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
          <w:sz w:val="52"/>
          <w:szCs w:val="52"/>
        </w:rPr>
      </w:pPr>
      <w:r>
        <w:rPr>
          <w:caps/>
          <w:sz w:val="36"/>
          <w:szCs w:val="36"/>
        </w:rPr>
        <w:t xml:space="preserve">          </w:t>
      </w:r>
    </w:p>
    <w:p>
      <w:pPr>
        <w:spacing w:line="360" w:lineRule="auto"/>
        <w:jc w:val="center"/>
        <w:rPr>
          <w:rFonts w:hint="eastAsia" w:ascii="仿宋_GB2312" w:eastAsia="仿宋_GB2312"/>
          <w:b/>
          <w:kern w:val="1"/>
          <w:sz w:val="48"/>
          <w:szCs w:val="48"/>
        </w:rPr>
      </w:pPr>
      <w:r>
        <w:rPr>
          <w:rFonts w:hint="eastAsia" w:ascii="仿宋_GB2312" w:eastAsia="仿宋_GB2312"/>
          <w:b/>
          <w:kern w:val="1"/>
          <w:sz w:val="48"/>
          <w:szCs w:val="48"/>
          <w:lang w:val="en-US" w:eastAsia="zh-CN"/>
        </w:rPr>
        <w:t>某</w:t>
      </w:r>
      <w:r>
        <w:rPr>
          <w:rFonts w:hint="eastAsia" w:ascii="仿宋_GB2312" w:eastAsia="仿宋_GB2312"/>
          <w:b/>
          <w:kern w:val="1"/>
          <w:sz w:val="48"/>
          <w:szCs w:val="48"/>
        </w:rPr>
        <w:t>部Y地S市市电引接工程</w:t>
      </w:r>
    </w:p>
    <w:p>
      <w:pPr>
        <w:jc w:val="center"/>
        <w:rPr>
          <w:rFonts w:hint="eastAsia" w:ascii="仿宋_GB2312" w:eastAsia="仿宋_GB2312"/>
          <w:b/>
          <w:kern w:val="1"/>
          <w:sz w:val="52"/>
          <w:szCs w:val="52"/>
        </w:rPr>
      </w:pPr>
    </w:p>
    <w:p>
      <w:pPr>
        <w:jc w:val="center"/>
        <w:rPr>
          <w:rFonts w:hint="eastAsia" w:ascii="仿宋_GB2312" w:eastAsia="仿宋_GB2312"/>
          <w:b/>
          <w:kern w:val="1"/>
          <w:sz w:val="52"/>
          <w:szCs w:val="52"/>
          <w:lang w:val="en-GB"/>
        </w:rPr>
      </w:pPr>
    </w:p>
    <w:p>
      <w:pPr>
        <w:rPr>
          <w:rFonts w:hint="eastAsia" w:ascii="仿宋_GB2312" w:eastAsia="仿宋_GB2312"/>
          <w:b/>
          <w:sz w:val="52"/>
        </w:rPr>
      </w:pPr>
    </w:p>
    <w:p>
      <w:pPr>
        <w:rPr>
          <w:rFonts w:hint="eastAsia" w:ascii="仿宋_GB2312" w:eastAsia="仿宋_GB2312"/>
          <w:b/>
          <w:sz w:val="52"/>
        </w:rPr>
      </w:pPr>
    </w:p>
    <w:p>
      <w:pPr>
        <w:rPr>
          <w:rFonts w:hint="eastAsia" w:ascii="仿宋_GB2312" w:eastAsia="仿宋_GB2312"/>
          <w:b/>
          <w:sz w:val="52"/>
        </w:rPr>
      </w:pPr>
    </w:p>
    <w:p>
      <w:pPr>
        <w:jc w:val="center"/>
        <w:rPr>
          <w:rFonts w:hint="eastAsia" w:ascii="仿宋_GB2312" w:eastAsia="仿宋_GB2312"/>
          <w:b/>
          <w:sz w:val="52"/>
        </w:rPr>
      </w:pPr>
      <w:r>
        <w:rPr>
          <w:rFonts w:hint="eastAsia" w:ascii="仿宋_GB2312" w:eastAsia="仿宋_GB2312"/>
          <w:b/>
          <w:sz w:val="52"/>
          <w:lang w:val="en-US" w:eastAsia="zh-CN"/>
        </w:rPr>
        <w:t>公 开</w:t>
      </w:r>
      <w:r>
        <w:rPr>
          <w:rFonts w:hint="eastAsia" w:ascii="仿宋_GB2312" w:eastAsia="仿宋_GB2312"/>
          <w:b/>
          <w:sz w:val="52"/>
        </w:rPr>
        <w:t xml:space="preserve"> </w:t>
      </w:r>
      <w:r>
        <w:rPr>
          <w:rFonts w:hint="eastAsia" w:ascii="仿宋_GB2312" w:eastAsia="仿宋_GB2312"/>
          <w:b/>
          <w:sz w:val="52"/>
          <w:lang w:val="en-US" w:eastAsia="zh-CN"/>
        </w:rPr>
        <w:t xml:space="preserve">招 标 </w:t>
      </w:r>
      <w:r>
        <w:rPr>
          <w:rFonts w:hint="eastAsia" w:ascii="仿宋_GB2312" w:eastAsia="仿宋_GB2312"/>
          <w:b/>
          <w:sz w:val="52"/>
        </w:rPr>
        <w:t>文 件</w:t>
      </w:r>
    </w:p>
    <w:p>
      <w:pPr>
        <w:ind w:firstLine="2249" w:firstLineChars="700"/>
        <w:rPr>
          <w:rFonts w:hint="eastAsia" w:ascii="仿宋_GB2312" w:eastAsia="仿宋_GB2312"/>
          <w:b/>
          <w:sz w:val="32"/>
        </w:rPr>
      </w:pPr>
    </w:p>
    <w:p>
      <w:pPr>
        <w:ind w:firstLine="2249" w:firstLineChars="700"/>
        <w:rPr>
          <w:rFonts w:hint="eastAsia" w:ascii="仿宋_GB2312" w:eastAsia="仿宋_GB2312"/>
          <w:b/>
          <w:sz w:val="32"/>
          <w:lang w:val="en-US" w:eastAsia="zh-CN"/>
        </w:rPr>
      </w:pPr>
      <w:r>
        <w:rPr>
          <w:rFonts w:hint="eastAsia" w:ascii="仿宋_GB2312" w:eastAsia="仿宋_GB2312"/>
          <w:b/>
          <w:sz w:val="32"/>
        </w:rPr>
        <w:t>采购编号：HNXJSY201</w:t>
      </w:r>
      <w:r>
        <w:rPr>
          <w:rFonts w:hint="eastAsia" w:ascii="仿宋_GB2312" w:eastAsia="仿宋_GB2312"/>
          <w:b/>
          <w:sz w:val="32"/>
          <w:lang w:val="en-US" w:eastAsia="zh-CN"/>
        </w:rPr>
        <w:t>808</w:t>
      </w:r>
    </w:p>
    <w:p>
      <w:pPr>
        <w:jc w:val="center"/>
        <w:rPr>
          <w:rFonts w:hint="eastAsia" w:ascii="仿宋_GB2312" w:eastAsia="仿宋_GB2312"/>
          <w:b/>
          <w:sz w:val="52"/>
        </w:rPr>
      </w:pPr>
    </w:p>
    <w:p>
      <w:pPr>
        <w:jc w:val="center"/>
        <w:rPr>
          <w:rFonts w:hint="eastAsia" w:ascii="仿宋_GB2312" w:eastAsia="仿宋_GB2312"/>
          <w:b/>
          <w:sz w:val="52"/>
        </w:rPr>
      </w:pPr>
    </w:p>
    <w:p>
      <w:pPr>
        <w:jc w:val="center"/>
        <w:rPr>
          <w:rFonts w:hint="eastAsia" w:ascii="仿宋_GB2312" w:eastAsia="仿宋_GB2312"/>
          <w:b/>
          <w:sz w:val="52"/>
        </w:rPr>
      </w:pPr>
    </w:p>
    <w:p>
      <w:pPr>
        <w:jc w:val="center"/>
        <w:rPr>
          <w:rFonts w:hint="eastAsia" w:ascii="仿宋_GB2312" w:eastAsia="仿宋_GB2312"/>
          <w:b/>
          <w:sz w:val="52"/>
        </w:rPr>
      </w:pPr>
    </w:p>
    <w:p>
      <w:pPr>
        <w:jc w:val="center"/>
        <w:rPr>
          <w:rFonts w:hint="eastAsia" w:ascii="仿宋_GB2312" w:eastAsia="仿宋_GB2312"/>
          <w:b/>
          <w:sz w:val="52"/>
        </w:rPr>
      </w:pPr>
    </w:p>
    <w:p>
      <w:pPr>
        <w:widowControl/>
        <w:spacing w:line="360" w:lineRule="auto"/>
        <w:rPr>
          <w:rFonts w:hint="eastAsia" w:ascii="仿宋_GB2312" w:eastAsia="仿宋_GB2312"/>
          <w:b/>
          <w:sz w:val="40"/>
          <w:szCs w:val="40"/>
        </w:rPr>
      </w:pPr>
      <w:r>
        <w:rPr>
          <w:rFonts w:hint="eastAsia" w:ascii="仿宋_GB2312" w:eastAsia="仿宋_GB2312"/>
          <w:b/>
          <w:sz w:val="44"/>
          <w:szCs w:val="44"/>
        </w:rPr>
        <w:t xml:space="preserve">     </w:t>
      </w:r>
      <w:r>
        <w:rPr>
          <w:rFonts w:hint="eastAsia" w:ascii="仿宋_GB2312" w:eastAsia="仿宋_GB2312"/>
          <w:b/>
          <w:sz w:val="40"/>
          <w:szCs w:val="40"/>
        </w:rPr>
        <w:t>采 购 人：中国人民解放军</w:t>
      </w:r>
      <w:r>
        <w:rPr>
          <w:rFonts w:hint="eastAsia" w:ascii="仿宋_GB2312" w:eastAsia="仿宋_GB2312"/>
          <w:b/>
          <w:sz w:val="40"/>
          <w:szCs w:val="40"/>
          <w:lang w:val="en-US" w:eastAsia="zh-CN"/>
        </w:rPr>
        <w:t>某</w:t>
      </w:r>
      <w:r>
        <w:rPr>
          <w:rFonts w:hint="eastAsia" w:ascii="仿宋_GB2312" w:eastAsia="仿宋_GB2312"/>
          <w:b/>
          <w:sz w:val="40"/>
          <w:szCs w:val="40"/>
        </w:rPr>
        <w:t>部</w:t>
      </w:r>
    </w:p>
    <w:p>
      <w:pPr>
        <w:widowControl/>
        <w:spacing w:line="360" w:lineRule="auto"/>
        <w:jc w:val="center"/>
        <w:rPr>
          <w:rFonts w:hint="eastAsia" w:ascii="仿宋_GB2312" w:eastAsia="仿宋_GB2312"/>
          <w:b/>
          <w:sz w:val="40"/>
          <w:szCs w:val="40"/>
        </w:rPr>
      </w:pPr>
    </w:p>
    <w:p>
      <w:pPr>
        <w:widowControl/>
        <w:spacing w:line="360" w:lineRule="auto"/>
        <w:rPr>
          <w:rFonts w:hint="eastAsia" w:ascii="仿宋_GB2312" w:eastAsia="仿宋_GB2312"/>
          <w:b/>
          <w:sz w:val="40"/>
          <w:szCs w:val="40"/>
          <w:lang w:val="en-GB"/>
        </w:rPr>
      </w:pPr>
      <w:r>
        <w:rPr>
          <w:rFonts w:hint="eastAsia" w:ascii="仿宋_GB2312" w:eastAsia="仿宋_GB2312"/>
          <w:b/>
          <w:sz w:val="40"/>
          <w:szCs w:val="40"/>
        </w:rPr>
        <w:t xml:space="preserve">      代理机构：河南兴建建设管理有限公司</w:t>
      </w:r>
    </w:p>
    <w:p>
      <w:pPr>
        <w:ind w:firstLine="442" w:firstLineChars="100"/>
        <w:rPr>
          <w:rFonts w:hint="eastAsia" w:ascii="仿宋_GB2312" w:eastAsia="仿宋_GB2312"/>
          <w:b/>
          <w:sz w:val="44"/>
          <w:szCs w:val="44"/>
        </w:rPr>
      </w:pPr>
    </w:p>
    <w:p>
      <w:pPr>
        <w:widowControl/>
        <w:spacing w:line="360" w:lineRule="auto"/>
        <w:jc w:val="center"/>
        <w:rPr>
          <w:rFonts w:hint="eastAsia" w:ascii="宋体" w:hAnsi="宋体" w:cs="宋体"/>
          <w:sz w:val="32"/>
          <w:szCs w:val="32"/>
        </w:rPr>
      </w:pPr>
      <w:r>
        <w:rPr>
          <w:rFonts w:hint="eastAsia" w:ascii="仿宋_GB2312" w:eastAsia="仿宋_GB2312"/>
          <w:b/>
          <w:sz w:val="44"/>
          <w:szCs w:val="44"/>
        </w:rPr>
        <w:t>二</w:t>
      </w:r>
      <w:r>
        <w:rPr>
          <w:rFonts w:hint="eastAsia" w:ascii="宋体" w:hAnsi="宋体" w:cs="宋体"/>
          <w:b/>
          <w:sz w:val="44"/>
          <w:szCs w:val="44"/>
        </w:rPr>
        <w:t>〇</w:t>
      </w:r>
      <w:r>
        <w:rPr>
          <w:rFonts w:hint="eastAsia" w:ascii="仿宋_GB2312" w:eastAsia="仿宋_GB2312"/>
          <w:b/>
          <w:sz w:val="44"/>
          <w:szCs w:val="44"/>
        </w:rPr>
        <w:t>一</w:t>
      </w:r>
      <w:r>
        <w:rPr>
          <w:rFonts w:hint="eastAsia" w:ascii="仿宋_GB2312" w:eastAsia="仿宋_GB2312"/>
          <w:b/>
          <w:sz w:val="44"/>
          <w:szCs w:val="44"/>
          <w:lang w:eastAsia="zh-CN"/>
        </w:rPr>
        <w:t>八</w:t>
      </w:r>
      <w:r>
        <w:rPr>
          <w:rFonts w:hint="eastAsia" w:ascii="仿宋_GB2312" w:eastAsia="仿宋_GB2312"/>
          <w:b/>
          <w:sz w:val="44"/>
          <w:szCs w:val="44"/>
        </w:rPr>
        <w:t>年</w:t>
      </w:r>
      <w:r>
        <w:rPr>
          <w:rFonts w:hint="eastAsia" w:ascii="仿宋_GB2312" w:eastAsia="仿宋_GB2312"/>
          <w:b/>
          <w:sz w:val="44"/>
          <w:szCs w:val="44"/>
          <w:lang w:eastAsia="zh-CN"/>
        </w:rPr>
        <w:t>五</w:t>
      </w:r>
      <w:r>
        <w:rPr>
          <w:rFonts w:hint="eastAsia" w:ascii="仿宋_GB2312" w:eastAsia="仿宋_GB2312"/>
          <w:b/>
          <w:sz w:val="44"/>
          <w:szCs w:val="44"/>
        </w:rPr>
        <w:t>月</w:t>
      </w:r>
    </w:p>
    <w:p>
      <w:pPr>
        <w:spacing w:line="360" w:lineRule="auto"/>
        <w:jc w:val="center"/>
        <w:rPr>
          <w:rFonts w:ascii="宋体" w:hAnsi="Courier New" w:cs="Times New Roman"/>
          <w:b/>
          <w:bCs/>
          <w:w w:val="95"/>
          <w:sz w:val="36"/>
          <w:szCs w:val="36"/>
        </w:rPr>
        <w:sectPr>
          <w:headerReference r:id="rId3" w:type="default"/>
          <w:footerReference r:id="rId4" w:type="default"/>
          <w:pgSz w:w="11906" w:h="16838"/>
          <w:pgMar w:top="1440" w:right="1274" w:bottom="1440" w:left="1276" w:header="851" w:footer="992" w:gutter="0"/>
          <w:pgNumType w:start="0"/>
          <w:cols w:space="720" w:num="1"/>
          <w:docGrid w:linePitch="312" w:charSpace="0"/>
        </w:sectPr>
      </w:pPr>
    </w:p>
    <w:p>
      <w:pPr>
        <w:spacing w:line="360" w:lineRule="auto"/>
        <w:jc w:val="center"/>
        <w:rPr>
          <w:rFonts w:ascii="宋体" w:cs="Times New Roman"/>
        </w:rPr>
      </w:pPr>
      <w:r>
        <w:rPr>
          <w:rFonts w:hint="eastAsia" w:ascii="仿宋_GB2312" w:hAnsi="华文中宋" w:eastAsia="仿宋_GB2312" w:cs="仿宋_GB2312"/>
          <w:b/>
          <w:bCs/>
          <w:sz w:val="48"/>
          <w:szCs w:val="48"/>
        </w:rPr>
        <w:t>目录</w:t>
      </w:r>
    </w:p>
    <w:p>
      <w:pPr>
        <w:pStyle w:val="33"/>
        <w:tabs>
          <w:tab w:val="right" w:leader="dot" w:pos="9639"/>
        </w:tabs>
      </w:pPr>
      <w:r>
        <w:rPr>
          <w:rFonts w:ascii="宋体" w:hAnsi="宋体" w:cs="宋体"/>
          <w:b w:val="0"/>
          <w:bCs w:val="0"/>
          <w:sz w:val="21"/>
          <w:szCs w:val="21"/>
        </w:rPr>
        <w:fldChar w:fldCharType="begin"/>
      </w:r>
      <w:r>
        <w:rPr>
          <w:rFonts w:ascii="宋体" w:hAnsi="宋体" w:cs="宋体"/>
          <w:b w:val="0"/>
          <w:bCs w:val="0"/>
          <w:sz w:val="21"/>
          <w:szCs w:val="21"/>
        </w:rPr>
        <w:instrText xml:space="preserve"> TOC \o "1-3" \h \z \u </w:instrText>
      </w:r>
      <w:r>
        <w:rPr>
          <w:rFonts w:ascii="宋体" w:hAnsi="宋体" w:cs="宋体"/>
          <w:b w:val="0"/>
          <w:bCs w:val="0"/>
          <w:sz w:val="21"/>
          <w:szCs w:val="21"/>
        </w:rPr>
        <w:fldChar w:fldCharType="separate"/>
      </w:r>
      <w:r>
        <w:fldChar w:fldCharType="begin"/>
      </w:r>
      <w:r>
        <w:instrText xml:space="preserve"> HYPERLINK \l "_Toc21284" </w:instrText>
      </w:r>
      <w:r>
        <w:fldChar w:fldCharType="separate"/>
      </w:r>
      <w:r>
        <w:rPr>
          <w:rFonts w:hint="eastAsia" w:hAnsi="宋体" w:cs="宋体"/>
          <w:szCs w:val="30"/>
        </w:rPr>
        <w:t>第一部 分招标公告</w:t>
      </w:r>
      <w:r>
        <w:tab/>
      </w:r>
      <w:r>
        <w:fldChar w:fldCharType="begin"/>
      </w:r>
      <w:r>
        <w:instrText xml:space="preserve"> PAGEREF _Toc21284 </w:instrText>
      </w:r>
      <w:r>
        <w:fldChar w:fldCharType="separate"/>
      </w:r>
      <w:r>
        <w:t>2</w:t>
      </w:r>
      <w:r>
        <w:fldChar w:fldCharType="end"/>
      </w:r>
      <w:r>
        <w:fldChar w:fldCharType="end"/>
      </w:r>
    </w:p>
    <w:p>
      <w:pPr>
        <w:pStyle w:val="33"/>
        <w:tabs>
          <w:tab w:val="right" w:leader="dot" w:pos="9639"/>
        </w:tabs>
      </w:pPr>
      <w:r>
        <w:fldChar w:fldCharType="begin"/>
      </w:r>
      <w:r>
        <w:instrText xml:space="preserve"> HYPERLINK \l "_Toc1166" </w:instrText>
      </w:r>
      <w:r>
        <w:fldChar w:fldCharType="separate"/>
      </w:r>
      <w:r>
        <w:rPr>
          <w:rFonts w:hint="eastAsia" w:ascii="黑体" w:hAnsi="仿宋_GB2312" w:cs="宋体"/>
          <w:szCs w:val="30"/>
        </w:rPr>
        <w:t>第二部分投标人须知</w:t>
      </w:r>
      <w:r>
        <w:tab/>
      </w:r>
      <w:r>
        <w:fldChar w:fldCharType="begin"/>
      </w:r>
      <w:r>
        <w:instrText xml:space="preserve"> PAGEREF _Toc1166 </w:instrText>
      </w:r>
      <w:r>
        <w:fldChar w:fldCharType="separate"/>
      </w:r>
      <w:r>
        <w:t>4</w:t>
      </w:r>
      <w:r>
        <w:fldChar w:fldCharType="end"/>
      </w:r>
      <w:r>
        <w:fldChar w:fldCharType="end"/>
      </w:r>
    </w:p>
    <w:p>
      <w:pPr>
        <w:pStyle w:val="33"/>
        <w:tabs>
          <w:tab w:val="right" w:leader="dot" w:pos="9639"/>
        </w:tabs>
        <w:ind w:firstLine="201" w:firstLineChars="100"/>
      </w:pPr>
      <w:r>
        <w:fldChar w:fldCharType="begin"/>
      </w:r>
      <w:r>
        <w:instrText xml:space="preserve"> HYPERLINK \l "_Toc8242" </w:instrText>
      </w:r>
      <w:r>
        <w:fldChar w:fldCharType="separate"/>
      </w:r>
      <w:r>
        <w:rPr>
          <w:rFonts w:hint="eastAsia" w:ascii="黑体" w:hAnsi="仿宋_GB2312" w:cs="宋体"/>
          <w:szCs w:val="30"/>
        </w:rPr>
        <w:t>一、总则</w:t>
      </w:r>
      <w:r>
        <w:tab/>
      </w:r>
      <w:r>
        <w:fldChar w:fldCharType="begin"/>
      </w:r>
      <w:r>
        <w:instrText xml:space="preserve"> PAGEREF _Toc8242 </w:instrText>
      </w:r>
      <w:r>
        <w:fldChar w:fldCharType="separate"/>
      </w:r>
      <w:r>
        <w:t>4</w:t>
      </w:r>
      <w:r>
        <w:fldChar w:fldCharType="end"/>
      </w:r>
      <w:r>
        <w:fldChar w:fldCharType="end"/>
      </w:r>
    </w:p>
    <w:p>
      <w:pPr>
        <w:pStyle w:val="33"/>
        <w:tabs>
          <w:tab w:val="right" w:leader="dot" w:pos="9639"/>
        </w:tabs>
        <w:ind w:firstLine="201" w:firstLineChars="100"/>
      </w:pPr>
      <w:r>
        <w:fldChar w:fldCharType="begin"/>
      </w:r>
      <w:r>
        <w:instrText xml:space="preserve"> HYPERLINK \l "_Toc19250" </w:instrText>
      </w:r>
      <w:r>
        <w:fldChar w:fldCharType="separate"/>
      </w:r>
      <w:r>
        <w:rPr>
          <w:rFonts w:hint="eastAsia" w:cs="宋体"/>
          <w:szCs w:val="28"/>
        </w:rPr>
        <w:t>二、招标文件</w:t>
      </w:r>
      <w:r>
        <w:tab/>
      </w:r>
      <w:r>
        <w:fldChar w:fldCharType="begin"/>
      </w:r>
      <w:r>
        <w:instrText xml:space="preserve"> PAGEREF _Toc19250 </w:instrText>
      </w:r>
      <w:r>
        <w:fldChar w:fldCharType="separate"/>
      </w:r>
      <w:r>
        <w:t>5</w:t>
      </w:r>
      <w:r>
        <w:fldChar w:fldCharType="end"/>
      </w:r>
      <w:r>
        <w:fldChar w:fldCharType="end"/>
      </w:r>
    </w:p>
    <w:p>
      <w:pPr>
        <w:pStyle w:val="33"/>
        <w:tabs>
          <w:tab w:val="right" w:leader="dot" w:pos="9639"/>
        </w:tabs>
        <w:ind w:firstLine="201" w:firstLineChars="100"/>
      </w:pPr>
      <w:r>
        <w:fldChar w:fldCharType="begin"/>
      </w:r>
      <w:r>
        <w:instrText xml:space="preserve"> HYPERLINK \l "_Toc20798" </w:instrText>
      </w:r>
      <w:r>
        <w:fldChar w:fldCharType="separate"/>
      </w:r>
      <w:r>
        <w:rPr>
          <w:rFonts w:hint="eastAsia" w:cs="宋体"/>
          <w:szCs w:val="28"/>
        </w:rPr>
        <w:t>三、投标文件</w:t>
      </w:r>
      <w:r>
        <w:tab/>
      </w:r>
      <w:r>
        <w:fldChar w:fldCharType="begin"/>
      </w:r>
      <w:r>
        <w:instrText xml:space="preserve"> PAGEREF _Toc20798 </w:instrText>
      </w:r>
      <w:r>
        <w:fldChar w:fldCharType="separate"/>
      </w:r>
      <w:r>
        <w:t>6</w:t>
      </w:r>
      <w:r>
        <w:fldChar w:fldCharType="end"/>
      </w:r>
      <w:r>
        <w:fldChar w:fldCharType="end"/>
      </w:r>
    </w:p>
    <w:p>
      <w:pPr>
        <w:pStyle w:val="33"/>
        <w:tabs>
          <w:tab w:val="right" w:leader="dot" w:pos="9639"/>
        </w:tabs>
      </w:pPr>
      <w:r>
        <w:fldChar w:fldCharType="begin"/>
      </w:r>
      <w:r>
        <w:instrText xml:space="preserve"> HYPERLINK \l "_Toc14553" </w:instrText>
      </w:r>
      <w:r>
        <w:fldChar w:fldCharType="separate"/>
      </w:r>
      <w:r>
        <w:rPr>
          <w:rFonts w:hint="eastAsia" w:cs="宋体"/>
          <w:szCs w:val="28"/>
        </w:rPr>
        <w:t>四、投标文件的递交</w:t>
      </w:r>
      <w:r>
        <w:tab/>
      </w:r>
      <w:r>
        <w:fldChar w:fldCharType="begin"/>
      </w:r>
      <w:r>
        <w:instrText xml:space="preserve"> PAGEREF _Toc14553 </w:instrText>
      </w:r>
      <w:r>
        <w:fldChar w:fldCharType="separate"/>
      </w:r>
      <w:r>
        <w:t>9</w:t>
      </w:r>
      <w:r>
        <w:fldChar w:fldCharType="end"/>
      </w:r>
      <w:r>
        <w:fldChar w:fldCharType="end"/>
      </w:r>
    </w:p>
    <w:p>
      <w:pPr>
        <w:pStyle w:val="33"/>
        <w:tabs>
          <w:tab w:val="right" w:leader="dot" w:pos="9639"/>
        </w:tabs>
        <w:ind w:firstLine="201" w:firstLineChars="100"/>
      </w:pPr>
      <w:r>
        <w:fldChar w:fldCharType="begin"/>
      </w:r>
      <w:r>
        <w:instrText xml:space="preserve"> HYPERLINK \l "_Toc6330" </w:instrText>
      </w:r>
      <w:r>
        <w:fldChar w:fldCharType="separate"/>
      </w:r>
      <w:r>
        <w:rPr>
          <w:rFonts w:hint="eastAsia" w:cs="宋体"/>
          <w:szCs w:val="28"/>
        </w:rPr>
        <w:t>五、开标及评标</w:t>
      </w:r>
      <w:r>
        <w:tab/>
      </w:r>
      <w:r>
        <w:fldChar w:fldCharType="begin"/>
      </w:r>
      <w:r>
        <w:instrText xml:space="preserve"> PAGEREF _Toc6330 </w:instrText>
      </w:r>
      <w:r>
        <w:fldChar w:fldCharType="separate"/>
      </w:r>
      <w:r>
        <w:t>11</w:t>
      </w:r>
      <w:r>
        <w:fldChar w:fldCharType="end"/>
      </w:r>
      <w:r>
        <w:fldChar w:fldCharType="end"/>
      </w:r>
    </w:p>
    <w:p>
      <w:pPr>
        <w:pStyle w:val="33"/>
        <w:tabs>
          <w:tab w:val="right" w:leader="dot" w:pos="9639"/>
        </w:tabs>
        <w:ind w:firstLine="201" w:firstLineChars="100"/>
      </w:pPr>
      <w:r>
        <w:fldChar w:fldCharType="begin"/>
      </w:r>
      <w:r>
        <w:instrText xml:space="preserve"> HYPERLINK \l "_Toc3506" </w:instrText>
      </w:r>
      <w:r>
        <w:fldChar w:fldCharType="separate"/>
      </w:r>
      <w:r>
        <w:rPr>
          <w:rFonts w:hint="eastAsia" w:cs="宋体"/>
          <w:szCs w:val="28"/>
        </w:rPr>
        <w:t>六、授标及签约</w:t>
      </w:r>
      <w:r>
        <w:tab/>
      </w:r>
      <w:r>
        <w:fldChar w:fldCharType="begin"/>
      </w:r>
      <w:r>
        <w:instrText xml:space="preserve"> PAGEREF _Toc3506 </w:instrText>
      </w:r>
      <w:r>
        <w:fldChar w:fldCharType="separate"/>
      </w:r>
      <w:r>
        <w:t>13</w:t>
      </w:r>
      <w:r>
        <w:fldChar w:fldCharType="end"/>
      </w:r>
      <w:r>
        <w:fldChar w:fldCharType="end"/>
      </w:r>
    </w:p>
    <w:p>
      <w:pPr>
        <w:pStyle w:val="33"/>
        <w:tabs>
          <w:tab w:val="right" w:leader="dot" w:pos="9639"/>
        </w:tabs>
      </w:pPr>
      <w:r>
        <w:fldChar w:fldCharType="begin"/>
      </w:r>
      <w:r>
        <w:instrText xml:space="preserve"> HYPERLINK \l "_Toc14952" </w:instrText>
      </w:r>
      <w:r>
        <w:fldChar w:fldCharType="separate"/>
      </w:r>
      <w:r>
        <w:rPr>
          <w:rFonts w:hint="eastAsia" w:ascii="宋体" w:hAnsi="宋体" w:cs="宋体"/>
          <w:szCs w:val="36"/>
        </w:rPr>
        <w:t>第三部分用户需求书</w:t>
      </w:r>
      <w:r>
        <w:tab/>
      </w:r>
      <w:r>
        <w:fldChar w:fldCharType="begin"/>
      </w:r>
      <w:r>
        <w:instrText xml:space="preserve"> PAGEREF _Toc14952 </w:instrText>
      </w:r>
      <w:r>
        <w:fldChar w:fldCharType="separate"/>
      </w:r>
      <w:r>
        <w:t>16</w:t>
      </w:r>
      <w:r>
        <w:fldChar w:fldCharType="end"/>
      </w:r>
      <w:r>
        <w:fldChar w:fldCharType="end"/>
      </w:r>
    </w:p>
    <w:p>
      <w:pPr>
        <w:pStyle w:val="33"/>
        <w:tabs>
          <w:tab w:val="right" w:leader="dot" w:pos="9639"/>
        </w:tabs>
      </w:pPr>
      <w:r>
        <w:fldChar w:fldCharType="begin"/>
      </w:r>
      <w:r>
        <w:instrText xml:space="preserve"> HYPERLINK \l "_Toc22642" </w:instrText>
      </w:r>
      <w:r>
        <w:fldChar w:fldCharType="separate"/>
      </w:r>
      <w:r>
        <w:rPr>
          <w:rFonts w:hint="eastAsia" w:ascii="宋体" w:hAnsi="宋体" w:cs="宋体"/>
          <w:szCs w:val="30"/>
        </w:rPr>
        <w:t>第四部分合同条款</w:t>
      </w:r>
      <w:r>
        <w:tab/>
      </w:r>
      <w:r>
        <w:rPr>
          <w:rFonts w:hint="eastAsia"/>
        </w:rPr>
        <w:t>96</w:t>
      </w:r>
      <w:r>
        <w:rPr>
          <w:rFonts w:hint="eastAsia"/>
        </w:rPr>
        <w:fldChar w:fldCharType="end"/>
      </w:r>
    </w:p>
    <w:p>
      <w:pPr>
        <w:pStyle w:val="33"/>
        <w:tabs>
          <w:tab w:val="right" w:leader="dot" w:pos="9639"/>
        </w:tabs>
      </w:pPr>
      <w:r>
        <w:fldChar w:fldCharType="begin"/>
      </w:r>
      <w:r>
        <w:instrText xml:space="preserve"> HYPERLINK \l "_Toc23698" </w:instrText>
      </w:r>
      <w:r>
        <w:fldChar w:fldCharType="separate"/>
      </w:r>
      <w:r>
        <w:rPr>
          <w:rFonts w:hint="eastAsia" w:ascii="宋体" w:hAnsi="宋体" w:cs="宋体"/>
          <w:szCs w:val="30"/>
        </w:rPr>
        <w:t>第五部分投标文件格式</w:t>
      </w:r>
      <w:r>
        <w:tab/>
      </w:r>
      <w:r>
        <w:fldChar w:fldCharType="begin"/>
      </w:r>
      <w:r>
        <w:instrText xml:space="preserve"> PAGEREF _Toc23698 </w:instrText>
      </w:r>
      <w:r>
        <w:fldChar w:fldCharType="separate"/>
      </w:r>
      <w:r>
        <w:t>102</w:t>
      </w:r>
      <w:r>
        <w:fldChar w:fldCharType="end"/>
      </w:r>
      <w:r>
        <w:fldChar w:fldCharType="end"/>
      </w:r>
    </w:p>
    <w:p>
      <w:pPr>
        <w:pStyle w:val="33"/>
        <w:tabs>
          <w:tab w:val="right" w:leader="dot" w:pos="9639"/>
        </w:tabs>
      </w:pPr>
    </w:p>
    <w:p>
      <w:pPr>
        <w:rPr>
          <w:rFonts w:ascii="宋体" w:cs="Times New Roman"/>
        </w:rPr>
      </w:pPr>
      <w:r>
        <w:rPr>
          <w:rFonts w:ascii="宋体" w:hAnsi="宋体" w:cs="宋体"/>
          <w:bCs/>
        </w:rPr>
        <w:fldChar w:fldCharType="end"/>
      </w:r>
    </w:p>
    <w:p>
      <w:pPr>
        <w:spacing w:line="480" w:lineRule="auto"/>
        <w:rPr>
          <w:rFonts w:ascii="仿宋_GB2312" w:hAnsi="华文中宋" w:eastAsia="仿宋_GB2312" w:cs="Times New Roman"/>
          <w:sz w:val="30"/>
          <w:szCs w:val="30"/>
        </w:rPr>
      </w:pPr>
      <w:bookmarkStart w:id="0" w:name="_Toc238906999"/>
      <w:bookmarkStart w:id="1" w:name="_Toc238871023"/>
    </w:p>
    <w:p>
      <w:pPr>
        <w:spacing w:line="480" w:lineRule="auto"/>
        <w:rPr>
          <w:rFonts w:ascii="仿宋_GB2312" w:hAnsi="华文中宋" w:eastAsia="仿宋_GB2312" w:cs="Times New Roman"/>
          <w:sz w:val="30"/>
          <w:szCs w:val="30"/>
        </w:rPr>
        <w:sectPr>
          <w:headerReference r:id="rId5" w:type="default"/>
          <w:footerReference r:id="rId6" w:type="default"/>
          <w:pgSz w:w="11907" w:h="16840"/>
          <w:pgMar w:top="1418" w:right="1134" w:bottom="1361" w:left="1134" w:header="794" w:footer="794" w:gutter="0"/>
          <w:cols w:space="720" w:num="1"/>
          <w:docGrid w:linePitch="285" w:charSpace="0"/>
        </w:sectPr>
      </w:pPr>
    </w:p>
    <w:bookmarkEnd w:id="0"/>
    <w:bookmarkEnd w:id="1"/>
    <w:p>
      <w:pPr>
        <w:tabs>
          <w:tab w:val="left" w:pos="4680"/>
        </w:tabs>
        <w:snapToGrid w:val="0"/>
        <w:spacing w:line="380" w:lineRule="exact"/>
        <w:ind w:right="-237" w:rightChars="-113"/>
        <w:jc w:val="center"/>
        <w:outlineLvl w:val="0"/>
        <w:rPr>
          <w:rFonts w:hAnsi="宋体"/>
          <w:b/>
          <w:bCs/>
          <w:sz w:val="30"/>
          <w:szCs w:val="30"/>
        </w:rPr>
      </w:pPr>
      <w:bookmarkStart w:id="2" w:name="_Toc21284"/>
      <w:bookmarkStart w:id="3" w:name="_Toc468811073"/>
      <w:r>
        <w:rPr>
          <w:rFonts w:hint="eastAsia" w:hAnsi="宋体" w:cs="宋体"/>
          <w:b/>
          <w:bCs/>
          <w:sz w:val="30"/>
          <w:szCs w:val="30"/>
        </w:rPr>
        <w:t>第一部分</w:t>
      </w:r>
      <w:bookmarkEnd w:id="2"/>
      <w:bookmarkEnd w:id="3"/>
      <w:r>
        <w:rPr>
          <w:rFonts w:hint="eastAsia" w:hAnsi="宋体"/>
          <w:b/>
          <w:bCs/>
          <w:sz w:val="30"/>
          <w:szCs w:val="30"/>
        </w:rPr>
        <w:t>投标邀请</w:t>
      </w:r>
    </w:p>
    <w:p>
      <w:pPr>
        <w:pStyle w:val="2"/>
        <w:numPr>
          <w:ilvl w:val="0"/>
          <w:numId w:val="0"/>
        </w:numPr>
        <w:ind w:left="794"/>
      </w:pPr>
    </w:p>
    <w:p>
      <w:pPr>
        <w:widowControl/>
        <w:tabs>
          <w:tab w:val="left" w:pos="4680"/>
        </w:tabs>
        <w:snapToGrid w:val="0"/>
        <w:spacing w:line="460" w:lineRule="exact"/>
        <w:ind w:firstLine="480"/>
        <w:jc w:val="left"/>
        <w:rPr>
          <w:sz w:val="24"/>
        </w:rPr>
      </w:pPr>
      <w:bookmarkStart w:id="4" w:name="_Toc468811079"/>
      <w:bookmarkStart w:id="5" w:name="_Toc238907000"/>
      <w:r>
        <w:rPr>
          <w:rFonts w:hint="eastAsia"/>
          <w:sz w:val="24"/>
        </w:rPr>
        <w:t>河南兴建建设管理有限公司受中国人民解放军</w:t>
      </w:r>
      <w:r>
        <w:rPr>
          <w:rFonts w:hint="eastAsia"/>
          <w:sz w:val="24"/>
          <w:lang w:val="en-US" w:eastAsia="zh-CN"/>
        </w:rPr>
        <w:t>某</w:t>
      </w:r>
      <w:r>
        <w:rPr>
          <w:rFonts w:hint="eastAsia"/>
          <w:sz w:val="24"/>
        </w:rPr>
        <w:t>部</w:t>
      </w:r>
      <w:r>
        <w:rPr>
          <w:rFonts w:hint="eastAsia"/>
          <w:sz w:val="24"/>
          <w:lang w:val="en-GB"/>
        </w:rPr>
        <w:t>委托，对</w:t>
      </w:r>
      <w:r>
        <w:rPr>
          <w:rFonts w:hint="eastAsia"/>
          <w:sz w:val="24"/>
          <w:lang w:val="en-US" w:eastAsia="zh-CN"/>
        </w:rPr>
        <w:t>某部Y地S市市电引接工程</w:t>
      </w:r>
      <w:r>
        <w:rPr>
          <w:rFonts w:hint="eastAsia"/>
          <w:sz w:val="24"/>
          <w:lang w:val="en-GB"/>
        </w:rPr>
        <w:t>组</w:t>
      </w:r>
      <w:r>
        <w:rPr>
          <w:rFonts w:hint="eastAsia"/>
          <w:sz w:val="24"/>
        </w:rPr>
        <w:t>织</w:t>
      </w:r>
      <w:r>
        <w:rPr>
          <w:rFonts w:hint="eastAsia"/>
          <w:sz w:val="24"/>
          <w:lang w:val="en-US" w:eastAsia="zh-CN"/>
        </w:rPr>
        <w:t>公开招标</w:t>
      </w:r>
      <w:r>
        <w:rPr>
          <w:rFonts w:hint="eastAsia"/>
          <w:sz w:val="24"/>
        </w:rPr>
        <w:t>。欢迎国内符合条件的供应商参加投标。</w:t>
      </w:r>
    </w:p>
    <w:p>
      <w:pPr>
        <w:spacing w:line="400" w:lineRule="exact"/>
        <w:ind w:left="480"/>
        <w:rPr>
          <w:b/>
          <w:bCs/>
          <w:sz w:val="24"/>
        </w:rPr>
      </w:pPr>
      <w:r>
        <w:rPr>
          <w:rFonts w:hint="eastAsia"/>
          <w:b/>
          <w:bCs/>
          <w:sz w:val="24"/>
        </w:rPr>
        <w:t>一、项目名称：</w:t>
      </w:r>
      <w:r>
        <w:rPr>
          <w:rFonts w:hint="eastAsia"/>
          <w:sz w:val="24"/>
          <w:lang w:val="en-US" w:eastAsia="zh-CN"/>
        </w:rPr>
        <w:t>某部Y地S市市电引接工程</w:t>
      </w:r>
    </w:p>
    <w:p>
      <w:pPr>
        <w:spacing w:line="400" w:lineRule="exact"/>
        <w:ind w:left="480"/>
        <w:rPr>
          <w:rFonts w:hint="eastAsia" w:eastAsia="宋体"/>
          <w:b/>
          <w:bCs/>
          <w:sz w:val="24"/>
          <w:lang w:eastAsia="zh-CN"/>
        </w:rPr>
      </w:pPr>
      <w:r>
        <w:rPr>
          <w:rFonts w:hint="eastAsia"/>
          <w:b/>
          <w:bCs/>
          <w:sz w:val="24"/>
        </w:rPr>
        <w:t>二、项目编号：HNXJSY20180</w:t>
      </w:r>
      <w:r>
        <w:rPr>
          <w:rFonts w:hint="eastAsia"/>
          <w:b/>
          <w:bCs/>
          <w:sz w:val="24"/>
          <w:lang w:val="en-US" w:eastAsia="zh-CN"/>
        </w:rPr>
        <w:t>8</w:t>
      </w:r>
    </w:p>
    <w:p>
      <w:pPr>
        <w:widowControl/>
        <w:tabs>
          <w:tab w:val="left" w:pos="4680"/>
        </w:tabs>
        <w:snapToGrid w:val="0"/>
        <w:spacing w:line="460" w:lineRule="exact"/>
        <w:ind w:firstLine="480"/>
        <w:jc w:val="left"/>
        <w:rPr>
          <w:rFonts w:hint="eastAsia"/>
          <w:sz w:val="24"/>
        </w:rPr>
      </w:pPr>
      <w:r>
        <w:rPr>
          <w:rFonts w:hint="eastAsia"/>
          <w:sz w:val="24"/>
        </w:rPr>
        <w:t>2.1、名称：</w:t>
      </w:r>
      <w:r>
        <w:rPr>
          <w:rFonts w:hint="eastAsia"/>
          <w:sz w:val="24"/>
          <w:lang w:val="en-US" w:eastAsia="zh-CN"/>
        </w:rPr>
        <w:t>某部Y地S市市电引接工程</w:t>
      </w:r>
      <w:r>
        <w:rPr>
          <w:rFonts w:hint="eastAsia"/>
          <w:sz w:val="24"/>
        </w:rPr>
        <w:t>。</w:t>
      </w:r>
    </w:p>
    <w:p>
      <w:pPr>
        <w:widowControl/>
        <w:tabs>
          <w:tab w:val="left" w:pos="4680"/>
        </w:tabs>
        <w:snapToGrid w:val="0"/>
        <w:spacing w:line="460" w:lineRule="exact"/>
        <w:ind w:firstLine="480"/>
        <w:jc w:val="left"/>
        <w:rPr>
          <w:rFonts w:hint="eastAsia"/>
          <w:sz w:val="24"/>
        </w:rPr>
      </w:pPr>
      <w:r>
        <w:rPr>
          <w:rFonts w:hint="eastAsia"/>
          <w:sz w:val="24"/>
        </w:rPr>
        <w:t>2.2、采购预算：本项目采购预算金额为48.4922万元，最高限价为48.4922万元，超出采购预算金额（最高限价）的投标，按无效投标处理。</w:t>
      </w:r>
    </w:p>
    <w:p>
      <w:pPr>
        <w:widowControl/>
        <w:tabs>
          <w:tab w:val="left" w:pos="4680"/>
        </w:tabs>
        <w:snapToGrid w:val="0"/>
        <w:spacing w:line="460" w:lineRule="exact"/>
        <w:ind w:firstLine="480"/>
        <w:jc w:val="left"/>
        <w:rPr>
          <w:rFonts w:hint="eastAsia"/>
          <w:sz w:val="24"/>
        </w:rPr>
      </w:pPr>
      <w:r>
        <w:rPr>
          <w:rFonts w:hint="eastAsia"/>
          <w:sz w:val="24"/>
        </w:rPr>
        <w:t>2.3、采购内容：S市Y地380V箱变市电引接并线工程建设（以</w:t>
      </w:r>
      <w:r>
        <w:rPr>
          <w:rFonts w:hint="eastAsia"/>
          <w:sz w:val="24"/>
          <w:lang w:val="en-US" w:eastAsia="zh-CN"/>
        </w:rPr>
        <w:t>某</w:t>
      </w:r>
      <w:r>
        <w:rPr>
          <w:rFonts w:hint="eastAsia"/>
          <w:sz w:val="24"/>
        </w:rPr>
        <w:t>部Y地S市市电引接工程建设方案为准）。</w:t>
      </w:r>
    </w:p>
    <w:p>
      <w:pPr>
        <w:widowControl/>
        <w:tabs>
          <w:tab w:val="left" w:pos="4680"/>
        </w:tabs>
        <w:snapToGrid w:val="0"/>
        <w:spacing w:line="460" w:lineRule="exact"/>
        <w:ind w:firstLine="480"/>
        <w:jc w:val="left"/>
        <w:rPr>
          <w:rFonts w:hint="eastAsia"/>
          <w:sz w:val="24"/>
        </w:rPr>
      </w:pPr>
      <w:r>
        <w:rPr>
          <w:rFonts w:hint="eastAsia"/>
          <w:sz w:val="24"/>
        </w:rPr>
        <w:t>2.4、</w:t>
      </w:r>
      <w:r>
        <w:rPr>
          <w:rFonts w:hint="eastAsia"/>
          <w:sz w:val="24"/>
          <w:lang w:eastAsia="zh-CN"/>
        </w:rPr>
        <w:t>计划工期</w:t>
      </w:r>
      <w:r>
        <w:rPr>
          <w:rFonts w:hint="eastAsia"/>
          <w:sz w:val="24"/>
        </w:rPr>
        <w:t>：</w:t>
      </w:r>
      <w:r>
        <w:rPr>
          <w:rFonts w:hint="eastAsia"/>
          <w:sz w:val="24"/>
          <w:lang w:val="en-US" w:eastAsia="zh-CN"/>
        </w:rPr>
        <w:t>60</w:t>
      </w:r>
      <w:r>
        <w:rPr>
          <w:rFonts w:hint="eastAsia"/>
          <w:sz w:val="24"/>
        </w:rPr>
        <w:t>日历天。</w:t>
      </w:r>
    </w:p>
    <w:p>
      <w:pPr>
        <w:pStyle w:val="230"/>
        <w:spacing w:line="400" w:lineRule="exact"/>
        <w:rPr>
          <w:sz w:val="24"/>
        </w:rPr>
      </w:pPr>
      <w:r>
        <w:rPr>
          <w:sz w:val="24"/>
        </w:rPr>
        <w:t>窗体底端</w:t>
      </w:r>
    </w:p>
    <w:p>
      <w:pPr>
        <w:spacing w:line="400" w:lineRule="exact"/>
        <w:ind w:left="480"/>
        <w:rPr>
          <w:b/>
          <w:bCs/>
          <w:sz w:val="24"/>
        </w:rPr>
      </w:pPr>
      <w:r>
        <w:rPr>
          <w:rFonts w:hint="eastAsia"/>
          <w:b/>
          <w:bCs/>
          <w:sz w:val="24"/>
        </w:rPr>
        <w:t>三、供应商资格要求</w:t>
      </w:r>
    </w:p>
    <w:p>
      <w:pPr>
        <w:widowControl/>
        <w:tabs>
          <w:tab w:val="left" w:pos="4680"/>
        </w:tabs>
        <w:snapToGrid w:val="0"/>
        <w:spacing w:line="460" w:lineRule="exact"/>
        <w:ind w:firstLine="480"/>
        <w:jc w:val="left"/>
        <w:rPr>
          <w:rFonts w:hint="eastAsia"/>
          <w:sz w:val="24"/>
        </w:rPr>
      </w:pPr>
      <w:r>
        <w:rPr>
          <w:rFonts w:hint="eastAsia"/>
          <w:sz w:val="24"/>
          <w:lang w:val="en-US" w:eastAsia="zh-CN"/>
        </w:rPr>
        <w:t>3.</w:t>
      </w:r>
      <w:r>
        <w:rPr>
          <w:rFonts w:hint="eastAsia"/>
          <w:sz w:val="24"/>
        </w:rPr>
        <w:t>1、符合《中华人民共和国政府采购法》第二十二条规定；</w:t>
      </w:r>
    </w:p>
    <w:p>
      <w:pPr>
        <w:widowControl/>
        <w:tabs>
          <w:tab w:val="left" w:pos="4680"/>
        </w:tabs>
        <w:snapToGrid w:val="0"/>
        <w:spacing w:line="460" w:lineRule="exact"/>
        <w:ind w:firstLine="480"/>
        <w:jc w:val="left"/>
        <w:rPr>
          <w:rFonts w:hint="eastAsia"/>
          <w:sz w:val="24"/>
        </w:rPr>
      </w:pPr>
      <w:r>
        <w:rPr>
          <w:rFonts w:hint="eastAsia"/>
          <w:sz w:val="24"/>
          <w:lang w:val="en-US" w:eastAsia="zh-CN"/>
        </w:rPr>
        <w:t>3.</w:t>
      </w:r>
      <w:r>
        <w:rPr>
          <w:rFonts w:hint="eastAsia"/>
          <w:sz w:val="24"/>
        </w:rPr>
        <w:t>2、具备有效的营业执照副本、组织机构代码证、税务登记证 (或多证合一的营业执照)；</w:t>
      </w:r>
    </w:p>
    <w:p>
      <w:pPr>
        <w:widowControl/>
        <w:tabs>
          <w:tab w:val="left" w:pos="4680"/>
        </w:tabs>
        <w:snapToGrid w:val="0"/>
        <w:spacing w:line="460" w:lineRule="exact"/>
        <w:ind w:firstLine="480"/>
        <w:jc w:val="left"/>
        <w:rPr>
          <w:rFonts w:hint="eastAsia"/>
          <w:sz w:val="24"/>
        </w:rPr>
      </w:pPr>
      <w:r>
        <w:rPr>
          <w:rFonts w:hint="eastAsia"/>
          <w:sz w:val="24"/>
          <w:lang w:val="en-US" w:eastAsia="zh-CN"/>
        </w:rPr>
        <w:t>3.</w:t>
      </w:r>
      <w:r>
        <w:rPr>
          <w:rFonts w:hint="eastAsia"/>
          <w:sz w:val="24"/>
        </w:rPr>
        <w:t>3、具备</w:t>
      </w:r>
      <w:r>
        <w:rPr>
          <w:rFonts w:hint="eastAsia"/>
          <w:sz w:val="24"/>
          <w:lang w:eastAsia="zh-CN"/>
        </w:rPr>
        <w:t>电力工程施工总承包三级及以上资质或输变电工程专业承包三级及以上资质，</w:t>
      </w:r>
      <w:r>
        <w:rPr>
          <w:rFonts w:hint="eastAsia"/>
          <w:sz w:val="24"/>
        </w:rPr>
        <w:t>同时具备国家电力监管机构核发的承装（修）五级及以上电力设施许可证，以及有效期内的省级及以上主管部门颁发的建筑施工企业安全生产许可证，并在人员、设备、资金等方面具有相应的施工能力；</w:t>
      </w:r>
    </w:p>
    <w:p>
      <w:pPr>
        <w:widowControl/>
        <w:tabs>
          <w:tab w:val="left" w:pos="4680"/>
        </w:tabs>
        <w:snapToGrid w:val="0"/>
        <w:spacing w:line="460" w:lineRule="exact"/>
        <w:ind w:firstLine="480"/>
        <w:jc w:val="left"/>
        <w:rPr>
          <w:rFonts w:hint="eastAsia"/>
          <w:sz w:val="24"/>
          <w:lang w:val="en-US" w:eastAsia="zh-CN"/>
        </w:rPr>
      </w:pPr>
      <w:r>
        <w:rPr>
          <w:rFonts w:hint="eastAsia"/>
          <w:sz w:val="24"/>
          <w:lang w:val="en-US" w:eastAsia="zh-CN"/>
        </w:rPr>
        <w:t>3.4、提供</w:t>
      </w:r>
      <w:r>
        <w:rPr>
          <w:rFonts w:hint="eastAsia"/>
          <w:sz w:val="24"/>
        </w:rPr>
        <w:t>“信用中国”网站（www.creditchina.gov.cn）、中国政府采购网（www.ccgp.gov.cn）等渠道查询的信用记录</w:t>
      </w:r>
      <w:r>
        <w:rPr>
          <w:rFonts w:hint="eastAsia"/>
          <w:sz w:val="24"/>
          <w:lang w:eastAsia="zh-CN"/>
        </w:rPr>
        <w:t>。</w:t>
      </w:r>
    </w:p>
    <w:p>
      <w:pPr>
        <w:widowControl/>
        <w:tabs>
          <w:tab w:val="left" w:pos="4680"/>
        </w:tabs>
        <w:snapToGrid w:val="0"/>
        <w:spacing w:line="460" w:lineRule="exact"/>
        <w:ind w:firstLine="480"/>
        <w:jc w:val="left"/>
        <w:rPr>
          <w:rFonts w:hint="eastAsia"/>
          <w:sz w:val="24"/>
        </w:rPr>
      </w:pPr>
      <w:r>
        <w:rPr>
          <w:rFonts w:hint="eastAsia"/>
          <w:sz w:val="24"/>
          <w:lang w:val="en-US" w:eastAsia="zh-CN"/>
        </w:rPr>
        <w:t>3.5</w:t>
      </w:r>
      <w:r>
        <w:rPr>
          <w:rFonts w:hint="eastAsia"/>
          <w:sz w:val="24"/>
        </w:rPr>
        <w:t>、有良好的企业信誉且过去三年中不曾在任何合同中违约（提供声明）；</w:t>
      </w:r>
    </w:p>
    <w:p>
      <w:pPr>
        <w:widowControl/>
        <w:tabs>
          <w:tab w:val="left" w:pos="4680"/>
        </w:tabs>
        <w:snapToGrid w:val="0"/>
        <w:spacing w:line="460" w:lineRule="exact"/>
        <w:ind w:firstLine="480"/>
        <w:jc w:val="left"/>
        <w:rPr>
          <w:rFonts w:hint="eastAsia"/>
          <w:sz w:val="24"/>
        </w:rPr>
      </w:pPr>
      <w:r>
        <w:rPr>
          <w:rFonts w:hint="eastAsia"/>
          <w:sz w:val="24"/>
          <w:lang w:val="en-US" w:eastAsia="zh-CN"/>
        </w:rPr>
        <w:t>3.6</w:t>
      </w:r>
      <w:r>
        <w:rPr>
          <w:rFonts w:hint="eastAsia"/>
          <w:sz w:val="24"/>
        </w:rPr>
        <w:t>、投标人近三年来无行贿或骗取中标的不良行为。</w:t>
      </w:r>
    </w:p>
    <w:p>
      <w:pPr>
        <w:widowControl/>
        <w:tabs>
          <w:tab w:val="left" w:pos="4680"/>
        </w:tabs>
        <w:snapToGrid w:val="0"/>
        <w:spacing w:line="460" w:lineRule="exact"/>
        <w:ind w:firstLine="480"/>
        <w:jc w:val="left"/>
        <w:rPr>
          <w:rFonts w:hint="eastAsia"/>
          <w:sz w:val="24"/>
        </w:rPr>
      </w:pPr>
      <w:r>
        <w:rPr>
          <w:rFonts w:hint="eastAsia"/>
          <w:sz w:val="24"/>
          <w:lang w:val="en-US" w:eastAsia="zh-CN"/>
        </w:rPr>
        <w:t>3.7</w:t>
      </w:r>
      <w:r>
        <w:rPr>
          <w:rFonts w:hint="eastAsia"/>
          <w:sz w:val="24"/>
        </w:rPr>
        <w:t>、不接受联合体投标。</w:t>
      </w:r>
    </w:p>
    <w:p>
      <w:pPr>
        <w:spacing w:before="120" w:beforeLines="50" w:line="360" w:lineRule="auto"/>
        <w:rPr>
          <w:rFonts w:hint="eastAsia"/>
          <w:b/>
          <w:sz w:val="24"/>
        </w:rPr>
      </w:pPr>
      <w:r>
        <w:rPr>
          <w:rFonts w:hint="eastAsia"/>
          <w:b/>
          <w:sz w:val="24"/>
        </w:rPr>
        <w:t>三、获取招标文件</w:t>
      </w:r>
    </w:p>
    <w:p>
      <w:pPr>
        <w:widowControl/>
        <w:tabs>
          <w:tab w:val="left" w:pos="4680"/>
        </w:tabs>
        <w:snapToGrid w:val="0"/>
        <w:spacing w:line="460" w:lineRule="exact"/>
        <w:ind w:firstLine="480"/>
        <w:jc w:val="left"/>
        <w:rPr>
          <w:rFonts w:hint="eastAsia" w:ascii="宋体" w:hAnsi="宋体"/>
          <w:sz w:val="24"/>
          <w:szCs w:val="21"/>
        </w:rPr>
      </w:pPr>
      <w:r>
        <w:rPr>
          <w:rFonts w:hint="eastAsia" w:ascii="宋体" w:hAnsi="宋体"/>
          <w:sz w:val="24"/>
          <w:szCs w:val="21"/>
        </w:rPr>
        <w:t>1、时间：</w:t>
      </w:r>
      <w:r>
        <w:rPr>
          <w:rFonts w:hint="eastAsia" w:ascii="宋体" w:hAnsi="宋体"/>
          <w:sz w:val="24"/>
          <w:szCs w:val="21"/>
          <w:u w:val="single"/>
        </w:rPr>
        <w:t xml:space="preserve"> 201</w:t>
      </w:r>
      <w:r>
        <w:rPr>
          <w:rFonts w:hint="eastAsia" w:ascii="宋体" w:hAnsi="宋体"/>
          <w:sz w:val="24"/>
          <w:szCs w:val="21"/>
          <w:u w:val="single"/>
          <w:lang w:val="en-US" w:eastAsia="zh-CN"/>
        </w:rPr>
        <w:t>8</w:t>
      </w:r>
      <w:r>
        <w:rPr>
          <w:rFonts w:hint="eastAsia" w:ascii="宋体" w:hAnsi="宋体"/>
          <w:sz w:val="24"/>
          <w:szCs w:val="21"/>
          <w:u w:val="single"/>
        </w:rPr>
        <w:t xml:space="preserve"> </w:t>
      </w:r>
      <w:r>
        <w:rPr>
          <w:rFonts w:hint="eastAsia" w:ascii="宋体" w:hAnsi="宋体"/>
          <w:sz w:val="24"/>
          <w:szCs w:val="21"/>
        </w:rPr>
        <w:t>年</w:t>
      </w:r>
      <w:r>
        <w:rPr>
          <w:rFonts w:hint="eastAsia" w:ascii="宋体" w:hAnsi="宋体"/>
          <w:sz w:val="24"/>
          <w:szCs w:val="21"/>
          <w:u w:val="single"/>
        </w:rPr>
        <w:t xml:space="preserve"> </w:t>
      </w:r>
      <w:r>
        <w:rPr>
          <w:rFonts w:hint="eastAsia" w:ascii="宋体" w:hAnsi="宋体"/>
          <w:sz w:val="24"/>
          <w:szCs w:val="21"/>
          <w:u w:val="single"/>
          <w:lang w:val="en-US" w:eastAsia="zh-CN"/>
        </w:rPr>
        <w:t>6</w:t>
      </w:r>
      <w:r>
        <w:rPr>
          <w:rFonts w:hint="eastAsia" w:ascii="宋体" w:hAnsi="宋体"/>
          <w:sz w:val="24"/>
          <w:szCs w:val="21"/>
          <w:u w:val="single"/>
        </w:rPr>
        <w:t xml:space="preserve"> </w:t>
      </w:r>
      <w:r>
        <w:rPr>
          <w:rFonts w:hint="eastAsia" w:ascii="宋体" w:hAnsi="宋体"/>
          <w:sz w:val="24"/>
          <w:szCs w:val="21"/>
        </w:rPr>
        <w:t>月</w:t>
      </w:r>
      <w:r>
        <w:rPr>
          <w:rFonts w:hint="eastAsia" w:ascii="宋体" w:hAnsi="宋体"/>
          <w:sz w:val="24"/>
          <w:szCs w:val="21"/>
          <w:u w:val="single"/>
        </w:rPr>
        <w:t xml:space="preserve"> </w:t>
      </w:r>
      <w:r>
        <w:rPr>
          <w:rFonts w:hint="eastAsia" w:ascii="宋体" w:hAnsi="宋体"/>
          <w:sz w:val="24"/>
          <w:szCs w:val="21"/>
          <w:u w:val="single"/>
          <w:lang w:val="en-US" w:eastAsia="zh-CN"/>
        </w:rPr>
        <w:t>1</w:t>
      </w:r>
      <w:r>
        <w:rPr>
          <w:rFonts w:hint="eastAsia" w:ascii="宋体" w:hAnsi="宋体"/>
          <w:sz w:val="24"/>
          <w:szCs w:val="21"/>
          <w:u w:val="single"/>
        </w:rPr>
        <w:t xml:space="preserve"> </w:t>
      </w:r>
      <w:r>
        <w:rPr>
          <w:rFonts w:hint="eastAsia" w:ascii="宋体" w:hAnsi="宋体"/>
          <w:sz w:val="24"/>
          <w:szCs w:val="21"/>
        </w:rPr>
        <w:t>日  至</w:t>
      </w:r>
      <w:r>
        <w:rPr>
          <w:rFonts w:hint="eastAsia" w:ascii="宋体" w:hAnsi="宋体"/>
          <w:sz w:val="24"/>
          <w:szCs w:val="21"/>
          <w:u w:val="single"/>
        </w:rPr>
        <w:t xml:space="preserve"> 201</w:t>
      </w:r>
      <w:r>
        <w:rPr>
          <w:rFonts w:hint="eastAsia" w:ascii="宋体" w:hAnsi="宋体"/>
          <w:sz w:val="24"/>
          <w:szCs w:val="21"/>
          <w:u w:val="single"/>
          <w:lang w:val="en-US" w:eastAsia="zh-CN"/>
        </w:rPr>
        <w:t>8</w:t>
      </w:r>
      <w:r>
        <w:rPr>
          <w:rFonts w:hint="eastAsia" w:ascii="宋体" w:hAnsi="宋体"/>
          <w:sz w:val="24"/>
          <w:szCs w:val="21"/>
          <w:u w:val="single"/>
        </w:rPr>
        <w:t xml:space="preserve"> </w:t>
      </w:r>
      <w:r>
        <w:rPr>
          <w:rFonts w:hint="eastAsia" w:ascii="宋体" w:hAnsi="宋体"/>
          <w:sz w:val="24"/>
          <w:szCs w:val="21"/>
        </w:rPr>
        <w:t>年</w:t>
      </w:r>
      <w:r>
        <w:rPr>
          <w:rFonts w:hint="eastAsia" w:ascii="宋体" w:hAnsi="宋体"/>
          <w:sz w:val="24"/>
          <w:szCs w:val="21"/>
          <w:u w:val="single"/>
        </w:rPr>
        <w:t xml:space="preserve"> </w:t>
      </w:r>
      <w:r>
        <w:rPr>
          <w:rFonts w:hint="eastAsia" w:ascii="宋体" w:hAnsi="宋体"/>
          <w:sz w:val="24"/>
          <w:szCs w:val="21"/>
          <w:u w:val="single"/>
          <w:lang w:val="en-US" w:eastAsia="zh-CN"/>
        </w:rPr>
        <w:t>6</w:t>
      </w:r>
      <w:r>
        <w:rPr>
          <w:rFonts w:hint="eastAsia" w:ascii="宋体" w:hAnsi="宋体"/>
          <w:sz w:val="24"/>
          <w:szCs w:val="21"/>
          <w:u w:val="single"/>
        </w:rPr>
        <w:t xml:space="preserve"> </w:t>
      </w:r>
      <w:r>
        <w:rPr>
          <w:rFonts w:hint="eastAsia" w:ascii="宋体" w:hAnsi="宋体"/>
          <w:sz w:val="24"/>
          <w:szCs w:val="21"/>
        </w:rPr>
        <w:t>月</w:t>
      </w:r>
      <w:r>
        <w:rPr>
          <w:rFonts w:hint="eastAsia" w:ascii="宋体" w:hAnsi="宋体"/>
          <w:sz w:val="24"/>
          <w:szCs w:val="21"/>
          <w:u w:val="single"/>
        </w:rPr>
        <w:t xml:space="preserve"> </w:t>
      </w:r>
      <w:r>
        <w:rPr>
          <w:rFonts w:hint="eastAsia" w:ascii="宋体" w:hAnsi="宋体"/>
          <w:sz w:val="24"/>
          <w:szCs w:val="21"/>
          <w:u w:val="single"/>
          <w:lang w:val="en-US" w:eastAsia="zh-CN"/>
        </w:rPr>
        <w:t xml:space="preserve">7 </w:t>
      </w:r>
      <w:r>
        <w:rPr>
          <w:rFonts w:hint="eastAsia" w:ascii="宋体" w:hAnsi="宋体"/>
          <w:sz w:val="24"/>
          <w:szCs w:val="21"/>
        </w:rPr>
        <w:t>日</w:t>
      </w:r>
      <w:r>
        <w:rPr>
          <w:rFonts w:hint="eastAsia" w:ascii="宋体" w:hAnsi="宋体"/>
          <w:sz w:val="24"/>
          <w:szCs w:val="21"/>
          <w:lang w:eastAsia="zh-CN"/>
        </w:rPr>
        <w:t>（</w:t>
      </w:r>
      <w:r>
        <w:rPr>
          <w:rFonts w:hint="eastAsia" w:ascii="宋体" w:hAnsi="宋体"/>
          <w:sz w:val="24"/>
          <w:szCs w:val="21"/>
          <w:lang w:val="en-US" w:eastAsia="zh-CN"/>
        </w:rPr>
        <w:t>法定节假日、公休日除外，</w:t>
      </w:r>
      <w:r>
        <w:rPr>
          <w:rFonts w:hint="eastAsia" w:ascii="宋体" w:hAnsi="宋体"/>
          <w:sz w:val="24"/>
          <w:szCs w:val="21"/>
          <w:lang w:eastAsia="zh-CN"/>
        </w:rPr>
        <w:t>每天上午</w:t>
      </w:r>
      <w:r>
        <w:rPr>
          <w:rFonts w:hint="eastAsia" w:ascii="宋体" w:hAnsi="宋体"/>
          <w:sz w:val="24"/>
          <w:szCs w:val="21"/>
          <w:lang w:val="en-US" w:eastAsia="zh-CN"/>
        </w:rPr>
        <w:t>09：00～12:00，下午15:00～18:00）。</w:t>
      </w:r>
    </w:p>
    <w:p>
      <w:pPr>
        <w:widowControl/>
        <w:tabs>
          <w:tab w:val="left" w:pos="4680"/>
        </w:tabs>
        <w:snapToGrid w:val="0"/>
        <w:spacing w:line="460" w:lineRule="exact"/>
        <w:ind w:firstLine="480"/>
        <w:jc w:val="left"/>
        <w:rPr>
          <w:rFonts w:hint="eastAsia" w:ascii="宋体" w:hAnsi="宋体"/>
          <w:sz w:val="24"/>
          <w:szCs w:val="21"/>
        </w:rPr>
      </w:pPr>
      <w:bookmarkStart w:id="6" w:name="_Toc234812711"/>
      <w:bookmarkStart w:id="7" w:name="_Toc184704560"/>
      <w:r>
        <w:rPr>
          <w:rFonts w:hint="eastAsia" w:ascii="宋体" w:hAnsi="宋体"/>
          <w:sz w:val="24"/>
          <w:szCs w:val="21"/>
        </w:rPr>
        <w:t>2、</w:t>
      </w:r>
      <w:r>
        <w:rPr>
          <w:rFonts w:hint="eastAsia" w:ascii="宋体" w:hAnsi="宋体"/>
          <w:sz w:val="24"/>
          <w:szCs w:val="21"/>
          <w:lang w:eastAsia="zh-CN"/>
        </w:rPr>
        <w:t>地点：三亚市新风路金鹿大厦西侧二楼。</w:t>
      </w:r>
    </w:p>
    <w:bookmarkEnd w:id="6"/>
    <w:bookmarkEnd w:id="7"/>
    <w:p>
      <w:pPr>
        <w:widowControl/>
        <w:tabs>
          <w:tab w:val="left" w:pos="4680"/>
        </w:tabs>
        <w:snapToGrid w:val="0"/>
        <w:spacing w:line="460" w:lineRule="exact"/>
        <w:ind w:firstLine="480"/>
        <w:jc w:val="left"/>
        <w:rPr>
          <w:rFonts w:hint="eastAsia" w:ascii="宋体" w:hAnsi="宋体"/>
          <w:sz w:val="24"/>
          <w:szCs w:val="21"/>
        </w:rPr>
      </w:pPr>
      <w:r>
        <w:rPr>
          <w:rFonts w:hint="eastAsia" w:ascii="宋体" w:hAnsi="宋体"/>
          <w:sz w:val="24"/>
          <w:szCs w:val="21"/>
          <w:lang w:val="en-US" w:eastAsia="zh-CN"/>
        </w:rPr>
        <w:t>3</w:t>
      </w:r>
      <w:r>
        <w:rPr>
          <w:rFonts w:hint="eastAsia" w:ascii="宋体" w:hAnsi="宋体"/>
          <w:sz w:val="24"/>
          <w:szCs w:val="21"/>
        </w:rPr>
        <w:t>、招标文件收取工本费100元/套，售后不退；未</w:t>
      </w:r>
      <w:r>
        <w:rPr>
          <w:rFonts w:hint="eastAsia" w:ascii="宋体" w:hAnsi="宋体"/>
          <w:sz w:val="24"/>
          <w:szCs w:val="21"/>
          <w:lang w:eastAsia="zh-CN"/>
        </w:rPr>
        <w:t>购买</w:t>
      </w:r>
      <w:r>
        <w:rPr>
          <w:rFonts w:hint="eastAsia" w:ascii="宋体" w:hAnsi="宋体"/>
          <w:sz w:val="24"/>
          <w:szCs w:val="21"/>
        </w:rPr>
        <w:t>招标文件的供应商不得参加本项目投标。</w:t>
      </w:r>
    </w:p>
    <w:p>
      <w:pPr>
        <w:widowControl/>
        <w:tabs>
          <w:tab w:val="left" w:pos="4680"/>
        </w:tabs>
        <w:snapToGrid w:val="0"/>
        <w:spacing w:line="460" w:lineRule="exact"/>
        <w:ind w:firstLine="480"/>
        <w:jc w:val="left"/>
        <w:rPr>
          <w:rFonts w:hint="eastAsia" w:ascii="宋体" w:hAnsi="宋体"/>
          <w:sz w:val="24"/>
          <w:szCs w:val="21"/>
        </w:rPr>
      </w:pPr>
      <w:r>
        <w:rPr>
          <w:rFonts w:hint="eastAsia" w:ascii="宋体" w:hAnsi="宋体"/>
          <w:sz w:val="24"/>
          <w:szCs w:val="21"/>
          <w:lang w:val="en-US" w:eastAsia="zh-CN"/>
        </w:rPr>
        <w:t>4</w:t>
      </w:r>
      <w:r>
        <w:rPr>
          <w:rFonts w:hint="eastAsia" w:ascii="宋体" w:hAnsi="宋体"/>
          <w:sz w:val="24"/>
          <w:szCs w:val="21"/>
        </w:rPr>
        <w:t>、采购文件内容如有澄清或修改，澄清或修改的内容在中国海南政府采购网</w:t>
      </w:r>
      <w:r>
        <w:rPr>
          <w:rFonts w:hint="eastAsia" w:ascii="宋体" w:hAnsi="宋体"/>
          <w:sz w:val="24"/>
          <w:szCs w:val="21"/>
        </w:rPr>
        <w:fldChar w:fldCharType="begin"/>
      </w:r>
      <w:r>
        <w:rPr>
          <w:rFonts w:hint="eastAsia" w:ascii="宋体" w:hAnsi="宋体"/>
          <w:sz w:val="24"/>
          <w:szCs w:val="21"/>
        </w:rPr>
        <w:instrText xml:space="preserve"> HYPERLINK "http://ztb.sanya.gov.cn/sanyaztb/）上发布，采购人不再以书面形式通知所有采购文件收受人。" </w:instrText>
      </w:r>
      <w:r>
        <w:rPr>
          <w:rFonts w:hint="eastAsia" w:ascii="宋体" w:hAnsi="宋体"/>
          <w:sz w:val="24"/>
          <w:szCs w:val="21"/>
        </w:rPr>
        <w:fldChar w:fldCharType="separate"/>
      </w:r>
      <w:r>
        <w:rPr>
          <w:rFonts w:hint="eastAsia" w:ascii="宋体" w:hAnsi="宋体"/>
          <w:sz w:val="24"/>
          <w:szCs w:val="21"/>
        </w:rPr>
        <w:t>上发布，采购人不再以书面形式通知所有采购文件收受人。</w:t>
      </w:r>
      <w:r>
        <w:rPr>
          <w:rFonts w:hint="eastAsia" w:ascii="宋体" w:hAnsi="宋体"/>
          <w:sz w:val="24"/>
          <w:szCs w:val="21"/>
        </w:rPr>
        <w:fldChar w:fldCharType="end"/>
      </w:r>
    </w:p>
    <w:p>
      <w:pPr>
        <w:tabs>
          <w:tab w:val="left" w:pos="630"/>
        </w:tabs>
        <w:spacing w:before="120" w:beforeLines="50" w:after="120" w:afterLines="50"/>
        <w:rPr>
          <w:b/>
          <w:sz w:val="24"/>
        </w:rPr>
      </w:pPr>
      <w:r>
        <w:rPr>
          <w:rFonts w:hint="eastAsia"/>
          <w:b/>
          <w:sz w:val="24"/>
        </w:rPr>
        <w:t>四、投标截止时间、开标仪式时间及地点</w:t>
      </w:r>
    </w:p>
    <w:p>
      <w:pPr>
        <w:widowControl/>
        <w:tabs>
          <w:tab w:val="left" w:pos="4680"/>
        </w:tabs>
        <w:snapToGrid w:val="0"/>
        <w:spacing w:line="460" w:lineRule="exact"/>
        <w:ind w:firstLine="480"/>
        <w:jc w:val="left"/>
        <w:rPr>
          <w:rFonts w:ascii="宋体" w:hAnsi="宋体"/>
          <w:sz w:val="24"/>
          <w:u w:val="single"/>
        </w:rPr>
      </w:pPr>
      <w:r>
        <w:rPr>
          <w:rFonts w:hint="eastAsia" w:ascii="宋体" w:hAnsi="宋体"/>
          <w:sz w:val="24"/>
          <w:szCs w:val="21"/>
        </w:rPr>
        <w:t>1、</w:t>
      </w:r>
      <w:r>
        <w:rPr>
          <w:rFonts w:hint="eastAsia" w:ascii="宋体" w:hAnsi="宋体"/>
          <w:sz w:val="24"/>
        </w:rPr>
        <w:t>递交投标文件截止时间:</w:t>
      </w:r>
      <w:r>
        <w:rPr>
          <w:rFonts w:hint="eastAsia" w:ascii="宋体" w:hAnsi="宋体"/>
          <w:sz w:val="24"/>
          <w:u w:val="single"/>
        </w:rPr>
        <w:t xml:space="preserve"> 201</w:t>
      </w:r>
      <w:r>
        <w:rPr>
          <w:rFonts w:hint="eastAsia" w:ascii="宋体" w:hAnsi="宋体"/>
          <w:sz w:val="24"/>
          <w:u w:val="single"/>
          <w:lang w:val="en-US" w:eastAsia="zh-CN"/>
        </w:rPr>
        <w:t>8</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15</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u w:val="single"/>
          <w:lang w:val="en-US" w:eastAsia="zh-CN"/>
        </w:rPr>
        <w:t>00</w:t>
      </w:r>
      <w:r>
        <w:rPr>
          <w:rFonts w:hint="eastAsia" w:ascii="宋体" w:hAnsi="宋体"/>
          <w:sz w:val="24"/>
          <w:u w:val="single"/>
        </w:rPr>
        <w:t xml:space="preserve"> </w:t>
      </w:r>
      <w:r>
        <w:rPr>
          <w:rFonts w:hint="eastAsia" w:ascii="宋体" w:hAnsi="宋体"/>
          <w:sz w:val="24"/>
        </w:rPr>
        <w:t>分</w:t>
      </w:r>
    </w:p>
    <w:p>
      <w:pPr>
        <w:widowControl/>
        <w:tabs>
          <w:tab w:val="left" w:pos="4680"/>
        </w:tabs>
        <w:snapToGrid w:val="0"/>
        <w:spacing w:line="460" w:lineRule="exact"/>
        <w:ind w:firstLine="480"/>
        <w:jc w:val="left"/>
        <w:rPr>
          <w:rFonts w:hint="eastAsia" w:ascii="宋体" w:hAnsi="宋体"/>
          <w:sz w:val="24"/>
          <w:u w:val="single"/>
        </w:rPr>
      </w:pPr>
      <w:r>
        <w:rPr>
          <w:rFonts w:hint="eastAsia" w:ascii="宋体" w:hAnsi="宋体"/>
          <w:sz w:val="24"/>
        </w:rPr>
        <w:t>2、开标时间：</w:t>
      </w:r>
      <w:r>
        <w:rPr>
          <w:rFonts w:hint="eastAsia" w:ascii="宋体" w:hAnsi="宋体"/>
          <w:sz w:val="24"/>
          <w:u w:val="single"/>
          <w:lang w:val="en-US" w:eastAsia="zh-CN"/>
        </w:rPr>
        <w:t xml:space="preserve"> </w:t>
      </w:r>
      <w:r>
        <w:rPr>
          <w:rFonts w:hint="eastAsia" w:ascii="宋体" w:hAnsi="宋体"/>
          <w:sz w:val="24"/>
          <w:u w:val="single"/>
        </w:rPr>
        <w:t>201</w:t>
      </w:r>
      <w:r>
        <w:rPr>
          <w:rFonts w:hint="eastAsia" w:ascii="宋体" w:hAnsi="宋体"/>
          <w:sz w:val="24"/>
          <w:u w:val="single"/>
          <w:lang w:val="en-US" w:eastAsia="zh-CN"/>
        </w:rPr>
        <w:t>8</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15</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u w:val="single"/>
          <w:lang w:val="en-US" w:eastAsia="zh-CN"/>
        </w:rPr>
        <w:t>00</w:t>
      </w:r>
      <w:r>
        <w:rPr>
          <w:rFonts w:hint="eastAsia" w:ascii="宋体" w:hAnsi="宋体"/>
          <w:sz w:val="24"/>
          <w:u w:val="single"/>
        </w:rPr>
        <w:t xml:space="preserve"> </w:t>
      </w:r>
      <w:r>
        <w:rPr>
          <w:rFonts w:hint="eastAsia" w:ascii="宋体" w:hAnsi="宋体"/>
          <w:sz w:val="24"/>
        </w:rPr>
        <w:t>分</w:t>
      </w:r>
    </w:p>
    <w:p>
      <w:pPr>
        <w:widowControl/>
        <w:tabs>
          <w:tab w:val="left" w:pos="4680"/>
        </w:tabs>
        <w:snapToGrid w:val="0"/>
        <w:spacing w:line="460" w:lineRule="exact"/>
        <w:ind w:firstLine="480"/>
        <w:jc w:val="left"/>
        <w:rPr>
          <w:rFonts w:hint="eastAsia" w:ascii="宋体" w:hAnsi="宋体"/>
          <w:sz w:val="24"/>
        </w:rPr>
      </w:pPr>
      <w:r>
        <w:rPr>
          <w:rFonts w:hint="eastAsia" w:ascii="宋体" w:hAnsi="宋体"/>
          <w:sz w:val="24"/>
        </w:rPr>
        <w:t>3、开标地点：三亚市榆亚路431号</w:t>
      </w:r>
      <w:r>
        <w:rPr>
          <w:rFonts w:hint="eastAsia" w:ascii="宋体" w:hAnsi="宋体"/>
          <w:sz w:val="24"/>
          <w:lang w:eastAsia="zh-CN"/>
        </w:rPr>
        <w:t>三</w:t>
      </w:r>
      <w:r>
        <w:rPr>
          <w:rFonts w:hint="eastAsia" w:ascii="宋体" w:hAnsi="宋体"/>
          <w:sz w:val="24"/>
        </w:rPr>
        <w:t>楼会议室</w:t>
      </w:r>
    </w:p>
    <w:p>
      <w:pPr>
        <w:tabs>
          <w:tab w:val="left" w:pos="630"/>
        </w:tabs>
        <w:spacing w:before="120" w:beforeLines="50" w:after="120" w:afterLines="50"/>
        <w:rPr>
          <w:rFonts w:hint="eastAsia"/>
          <w:b/>
          <w:sz w:val="24"/>
          <w:lang w:val="en-GB"/>
        </w:rPr>
      </w:pPr>
      <w:r>
        <w:rPr>
          <w:rFonts w:hint="eastAsia"/>
          <w:b/>
          <w:sz w:val="24"/>
          <w:lang w:val="en-GB"/>
        </w:rPr>
        <w:t>五、采购人联系方式：</w:t>
      </w:r>
    </w:p>
    <w:p>
      <w:pPr>
        <w:spacing w:line="420" w:lineRule="exact"/>
        <w:ind w:firstLine="480" w:firstLineChars="200"/>
        <w:rPr>
          <w:rFonts w:hint="eastAsia" w:ascii="宋体" w:hAnsi="宋体"/>
          <w:sz w:val="24"/>
          <w:lang w:eastAsia="zh-CN"/>
        </w:rPr>
      </w:pPr>
      <w:r>
        <w:rPr>
          <w:rFonts w:hint="eastAsia" w:ascii="宋体" w:hAnsi="宋体"/>
          <w:sz w:val="24"/>
          <w:lang w:eastAsia="zh-CN"/>
        </w:rPr>
        <w:t>采购人：中国人民解放军</w:t>
      </w:r>
      <w:r>
        <w:rPr>
          <w:rFonts w:hint="eastAsia" w:ascii="宋体" w:hAnsi="宋体"/>
          <w:sz w:val="24"/>
          <w:lang w:val="en-US" w:eastAsia="zh-CN"/>
        </w:rPr>
        <w:t>某</w:t>
      </w:r>
      <w:r>
        <w:rPr>
          <w:rFonts w:hint="eastAsia" w:ascii="宋体" w:hAnsi="宋体"/>
          <w:sz w:val="24"/>
          <w:lang w:eastAsia="zh-CN"/>
        </w:rPr>
        <w:t>部</w:t>
      </w:r>
    </w:p>
    <w:p>
      <w:pPr>
        <w:spacing w:line="420" w:lineRule="exact"/>
        <w:ind w:firstLine="480" w:firstLineChars="200"/>
        <w:rPr>
          <w:rFonts w:hint="eastAsia" w:ascii="宋体" w:hAnsi="宋体"/>
          <w:sz w:val="24"/>
          <w:lang w:val="en-US" w:eastAsia="zh-CN"/>
        </w:rPr>
      </w:pPr>
      <w:r>
        <w:rPr>
          <w:rFonts w:hint="eastAsia" w:ascii="宋体" w:hAnsi="宋体"/>
          <w:sz w:val="24"/>
          <w:lang w:eastAsia="zh-CN"/>
        </w:rPr>
        <w:t>联系人：张先生、陈先生             电话：</w:t>
      </w:r>
      <w:r>
        <w:rPr>
          <w:rFonts w:hint="eastAsia" w:ascii="宋体" w:hAnsi="宋体"/>
          <w:sz w:val="24"/>
          <w:lang w:val="en-US" w:eastAsia="zh-CN"/>
        </w:rPr>
        <w:t>0898-88559081</w:t>
      </w:r>
    </w:p>
    <w:p>
      <w:pPr>
        <w:tabs>
          <w:tab w:val="left" w:pos="630"/>
        </w:tabs>
        <w:spacing w:before="120" w:beforeLines="50" w:after="120" w:afterLines="50"/>
        <w:rPr>
          <w:rFonts w:hint="eastAsia"/>
          <w:b/>
          <w:sz w:val="24"/>
          <w:lang w:val="en-GB"/>
        </w:rPr>
      </w:pPr>
      <w:r>
        <w:rPr>
          <w:rFonts w:hint="eastAsia"/>
          <w:b/>
          <w:sz w:val="24"/>
          <w:lang w:val="en-GB"/>
        </w:rPr>
        <w:t>六、代理机构联系方式：</w:t>
      </w:r>
    </w:p>
    <w:p>
      <w:pPr>
        <w:spacing w:line="420" w:lineRule="exact"/>
        <w:ind w:firstLine="480" w:firstLineChars="200"/>
        <w:rPr>
          <w:rFonts w:hint="eastAsia" w:ascii="宋体" w:hAnsi="宋体"/>
          <w:sz w:val="24"/>
          <w:lang w:eastAsia="zh-CN"/>
        </w:rPr>
      </w:pPr>
      <w:r>
        <w:rPr>
          <w:rFonts w:hint="eastAsia" w:ascii="宋体" w:hAnsi="宋体"/>
          <w:sz w:val="24"/>
          <w:lang w:eastAsia="zh-CN"/>
        </w:rPr>
        <w:t>代理机构：河南兴建建设管理有限公司</w:t>
      </w:r>
    </w:p>
    <w:p>
      <w:pPr>
        <w:spacing w:line="420" w:lineRule="exact"/>
        <w:ind w:firstLine="480" w:firstLineChars="200"/>
        <w:rPr>
          <w:rFonts w:hint="eastAsia" w:ascii="宋体" w:hAnsi="宋体"/>
          <w:sz w:val="24"/>
          <w:lang w:eastAsia="zh-CN"/>
        </w:rPr>
      </w:pPr>
      <w:r>
        <w:rPr>
          <w:rFonts w:hint="eastAsia" w:ascii="宋体" w:hAnsi="宋体"/>
          <w:sz w:val="24"/>
          <w:lang w:eastAsia="zh-CN"/>
        </w:rPr>
        <w:t>地  址：海口市三叶东路玖九华府B栋904室</w:t>
      </w:r>
    </w:p>
    <w:p>
      <w:pPr>
        <w:spacing w:line="420" w:lineRule="exact"/>
        <w:ind w:firstLine="480" w:firstLineChars="200"/>
        <w:rPr>
          <w:rFonts w:hint="eastAsia" w:ascii="宋体" w:hAnsi="宋体"/>
          <w:sz w:val="24"/>
          <w:lang w:eastAsia="zh-CN"/>
        </w:rPr>
      </w:pPr>
      <w:r>
        <w:rPr>
          <w:rFonts w:hint="eastAsia" w:ascii="宋体" w:hAnsi="宋体"/>
          <w:sz w:val="24"/>
          <w:lang w:eastAsia="zh-CN"/>
        </w:rPr>
        <w:t xml:space="preserve">联系人：陈先生 </w:t>
      </w:r>
    </w:p>
    <w:p>
      <w:pPr>
        <w:spacing w:line="420" w:lineRule="exact"/>
        <w:ind w:firstLine="480" w:firstLineChars="200"/>
        <w:rPr>
          <w:rFonts w:hint="eastAsia" w:ascii="宋体" w:hAnsi="宋体"/>
          <w:sz w:val="24"/>
          <w:lang w:eastAsia="zh-CN"/>
        </w:rPr>
      </w:pPr>
      <w:r>
        <w:rPr>
          <w:rFonts w:hint="eastAsia" w:ascii="宋体" w:hAnsi="宋体"/>
          <w:sz w:val="24"/>
          <w:lang w:eastAsia="zh-CN"/>
        </w:rPr>
        <w:t>电  话：13976188121</w:t>
      </w:r>
    </w:p>
    <w:p>
      <w:pPr>
        <w:rPr>
          <w:rFonts w:hint="eastAsia"/>
        </w:rPr>
      </w:pPr>
      <w:r>
        <w:rPr>
          <w:rFonts w:hint="eastAsia"/>
        </w:rPr>
        <w:t xml:space="preserve"> </w:t>
      </w:r>
    </w:p>
    <w:p>
      <w:pPr>
        <w:rPr>
          <w:rFonts w:hint="eastAsia"/>
        </w:rPr>
      </w:pPr>
    </w:p>
    <w:p>
      <w:pPr>
        <w:spacing w:line="360" w:lineRule="auto"/>
        <w:rPr>
          <w:rFonts w:hint="eastAsia"/>
          <w:sz w:val="24"/>
        </w:rPr>
      </w:pPr>
    </w:p>
    <w:p>
      <w:pPr>
        <w:spacing w:line="360" w:lineRule="auto"/>
        <w:ind w:left="481" w:leftChars="229"/>
        <w:rPr>
          <w:rFonts w:hint="eastAsia"/>
          <w:sz w:val="24"/>
        </w:rPr>
      </w:pPr>
      <w:r>
        <w:rPr>
          <w:rFonts w:hint="eastAsia"/>
          <w:sz w:val="24"/>
        </w:rPr>
        <w:t xml:space="preserve">                                             </w:t>
      </w:r>
      <w:r>
        <w:rPr>
          <w:rFonts w:hint="eastAsia" w:ascii="宋体" w:hAnsi="宋体"/>
          <w:sz w:val="24"/>
        </w:rPr>
        <w:t>河南兴建建设管理有限公司</w:t>
      </w:r>
    </w:p>
    <w:p>
      <w:pPr>
        <w:spacing w:line="360" w:lineRule="auto"/>
        <w:ind w:left="481" w:leftChars="229"/>
        <w:rPr>
          <w:rFonts w:hint="eastAsia"/>
          <w:sz w:val="24"/>
        </w:rPr>
      </w:pP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2018</w:t>
      </w:r>
      <w:r>
        <w:rPr>
          <w:rFonts w:hint="eastAsia"/>
          <w:sz w:val="24"/>
        </w:rPr>
        <w:t>年</w:t>
      </w:r>
      <w:r>
        <w:rPr>
          <w:rFonts w:hint="eastAsia"/>
          <w:sz w:val="24"/>
          <w:lang w:val="en-US" w:eastAsia="zh-CN"/>
        </w:rPr>
        <w:t>6</w:t>
      </w:r>
      <w:r>
        <w:rPr>
          <w:rFonts w:hint="eastAsia"/>
          <w:sz w:val="24"/>
        </w:rPr>
        <w:t>月</w:t>
      </w:r>
      <w:r>
        <w:rPr>
          <w:rFonts w:hint="eastAsia"/>
          <w:sz w:val="24"/>
          <w:lang w:val="en-US" w:eastAsia="zh-CN"/>
        </w:rPr>
        <w:t>1</w:t>
      </w:r>
      <w:r>
        <w:rPr>
          <w:rFonts w:hint="eastAsia"/>
          <w:sz w:val="24"/>
        </w:rPr>
        <w:t>日</w:t>
      </w:r>
    </w:p>
    <w:p>
      <w:pPr>
        <w:shd w:val="clear" w:color="auto" w:fill="FFFFFF"/>
        <w:spacing w:line="400" w:lineRule="atLeast"/>
        <w:ind w:firstLine="470"/>
        <w:rPr>
          <w:sz w:val="24"/>
        </w:rPr>
      </w:pPr>
    </w:p>
    <w:p>
      <w:pPr>
        <w:tabs>
          <w:tab w:val="left" w:pos="4680"/>
        </w:tabs>
        <w:snapToGrid w:val="0"/>
        <w:spacing w:line="360" w:lineRule="auto"/>
        <w:ind w:firstLine="596" w:firstLineChars="198"/>
        <w:jc w:val="center"/>
        <w:outlineLvl w:val="0"/>
        <w:rPr>
          <w:rFonts w:ascii="黑体" w:hAnsi="仿宋_GB2312" w:cs="宋体"/>
          <w:b/>
          <w:bCs/>
          <w:sz w:val="30"/>
          <w:szCs w:val="30"/>
        </w:rPr>
        <w:sectPr>
          <w:pgSz w:w="11907" w:h="16840"/>
          <w:pgMar w:top="1418" w:right="1134" w:bottom="1361" w:left="1134" w:header="794" w:footer="794" w:gutter="0"/>
          <w:cols w:space="720" w:num="1"/>
          <w:docGrid w:linePitch="285" w:charSpace="0"/>
        </w:sectPr>
      </w:pPr>
      <w:bookmarkStart w:id="8" w:name="_Toc1166"/>
    </w:p>
    <w:p>
      <w:pPr>
        <w:tabs>
          <w:tab w:val="left" w:pos="4680"/>
        </w:tabs>
        <w:snapToGrid w:val="0"/>
        <w:spacing w:line="360" w:lineRule="auto"/>
        <w:ind w:firstLine="596" w:firstLineChars="198"/>
        <w:jc w:val="center"/>
        <w:outlineLvl w:val="0"/>
        <w:rPr>
          <w:rFonts w:ascii="黑体" w:hAnsi="仿宋_GB2312" w:cs="Times New Roman"/>
          <w:b/>
          <w:bCs/>
          <w:sz w:val="30"/>
          <w:szCs w:val="30"/>
        </w:rPr>
      </w:pPr>
      <w:r>
        <w:rPr>
          <w:rFonts w:hint="eastAsia" w:ascii="黑体" w:hAnsi="仿宋_GB2312" w:cs="宋体"/>
          <w:b/>
          <w:bCs/>
          <w:sz w:val="30"/>
          <w:szCs w:val="30"/>
        </w:rPr>
        <w:t>第二部分投标人须知</w:t>
      </w:r>
      <w:bookmarkEnd w:id="4"/>
      <w:bookmarkEnd w:id="5"/>
      <w:bookmarkEnd w:id="8"/>
      <w:bookmarkStart w:id="9" w:name="_Toc238907001"/>
    </w:p>
    <w:p>
      <w:pPr>
        <w:tabs>
          <w:tab w:val="left" w:pos="4680"/>
        </w:tabs>
        <w:snapToGrid w:val="0"/>
        <w:spacing w:line="360" w:lineRule="auto"/>
        <w:ind w:firstLine="596" w:firstLineChars="198"/>
        <w:jc w:val="center"/>
        <w:outlineLvl w:val="0"/>
        <w:rPr>
          <w:rFonts w:ascii="宋体" w:cs="Times New Roman"/>
          <w:b/>
          <w:bCs/>
          <w:sz w:val="44"/>
          <w:szCs w:val="44"/>
        </w:rPr>
      </w:pPr>
      <w:bookmarkStart w:id="10" w:name="_Toc8242"/>
      <w:bookmarkStart w:id="11" w:name="_Toc468811080"/>
      <w:r>
        <w:rPr>
          <w:rFonts w:hint="eastAsia" w:ascii="黑体" w:hAnsi="仿宋_GB2312" w:cs="宋体"/>
          <w:b/>
          <w:bCs/>
          <w:sz w:val="30"/>
          <w:szCs w:val="30"/>
        </w:rPr>
        <w:t>一、总则</w:t>
      </w:r>
      <w:bookmarkEnd w:id="9"/>
      <w:bookmarkEnd w:id="10"/>
      <w:bookmarkEnd w:id="11"/>
    </w:p>
    <w:p>
      <w:pPr>
        <w:tabs>
          <w:tab w:val="left" w:pos="4680"/>
        </w:tabs>
        <w:snapToGrid w:val="0"/>
        <w:spacing w:line="360" w:lineRule="auto"/>
        <w:outlineLvl w:val="0"/>
        <w:rPr>
          <w:rFonts w:cs="Times New Roman"/>
          <w:b/>
          <w:bCs/>
          <w:sz w:val="28"/>
          <w:szCs w:val="28"/>
        </w:rPr>
      </w:pPr>
      <w:bookmarkStart w:id="12" w:name="_Toc238907002"/>
      <w:bookmarkStart w:id="13" w:name="_Toc468811081"/>
      <w:bookmarkStart w:id="14" w:name="_Toc5313"/>
      <w:r>
        <w:rPr>
          <w:b/>
          <w:bCs/>
          <w:sz w:val="28"/>
          <w:szCs w:val="28"/>
        </w:rPr>
        <w:t>1</w:t>
      </w:r>
      <w:r>
        <w:rPr>
          <w:rFonts w:hint="eastAsia" w:cs="宋体"/>
          <w:b/>
          <w:bCs/>
          <w:sz w:val="28"/>
          <w:szCs w:val="28"/>
        </w:rPr>
        <w:t>．适用范围</w:t>
      </w:r>
      <w:bookmarkEnd w:id="12"/>
      <w:bookmarkEnd w:id="13"/>
      <w:bookmarkEnd w:id="14"/>
    </w:p>
    <w:p>
      <w:pPr>
        <w:tabs>
          <w:tab w:val="left" w:pos="7665"/>
        </w:tabs>
        <w:spacing w:line="500" w:lineRule="atLeast"/>
        <w:ind w:firstLine="480" w:firstLineChars="200"/>
        <w:rPr>
          <w:rFonts w:ascii="宋体" w:cs="Times New Roman"/>
          <w:sz w:val="24"/>
          <w:szCs w:val="24"/>
        </w:rPr>
      </w:pPr>
      <w:r>
        <w:rPr>
          <w:rFonts w:ascii="宋体" w:hAnsi="宋体" w:cs="宋体"/>
          <w:sz w:val="24"/>
          <w:szCs w:val="24"/>
        </w:rPr>
        <w:t>1</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本招标文件仅适用于本次公开招标所叙述的货物和服务项目采购。</w:t>
      </w:r>
    </w:p>
    <w:p>
      <w:pPr>
        <w:tabs>
          <w:tab w:val="left" w:pos="4680"/>
        </w:tabs>
        <w:snapToGrid w:val="0"/>
        <w:spacing w:line="360" w:lineRule="auto"/>
        <w:outlineLvl w:val="0"/>
        <w:rPr>
          <w:rFonts w:cs="Times New Roman"/>
          <w:b/>
          <w:bCs/>
          <w:sz w:val="28"/>
          <w:szCs w:val="28"/>
        </w:rPr>
      </w:pPr>
      <w:bookmarkStart w:id="15" w:name="_Toc238907003"/>
      <w:bookmarkStart w:id="16" w:name="_Toc468811082"/>
      <w:bookmarkStart w:id="17" w:name="_Toc19283"/>
      <w:r>
        <w:rPr>
          <w:b/>
          <w:bCs/>
          <w:sz w:val="28"/>
          <w:szCs w:val="28"/>
        </w:rPr>
        <w:t>2</w:t>
      </w:r>
      <w:r>
        <w:rPr>
          <w:rFonts w:hint="eastAsia" w:cs="宋体"/>
          <w:b/>
          <w:bCs/>
          <w:sz w:val="28"/>
          <w:szCs w:val="28"/>
        </w:rPr>
        <w:t>．合格的投标人</w:t>
      </w:r>
      <w:bookmarkEnd w:id="15"/>
      <w:bookmarkEnd w:id="16"/>
      <w:bookmarkEnd w:id="17"/>
    </w:p>
    <w:p>
      <w:pPr>
        <w:spacing w:line="500" w:lineRule="exact"/>
        <w:ind w:firstLine="480" w:firstLineChars="200"/>
        <w:rPr>
          <w:rFonts w:ascii="宋体" w:cs="Times New Roman"/>
          <w:sz w:val="24"/>
          <w:szCs w:val="24"/>
        </w:rPr>
      </w:pPr>
      <w:r>
        <w:rPr>
          <w:rFonts w:ascii="宋体" w:hAnsi="宋体" w:cs="宋体"/>
          <w:sz w:val="24"/>
          <w:szCs w:val="24"/>
        </w:rPr>
        <w:t xml:space="preserve">2.1 </w:t>
      </w:r>
      <w:r>
        <w:rPr>
          <w:rFonts w:hint="eastAsia" w:ascii="宋体" w:hAnsi="宋体" w:cs="宋体"/>
          <w:sz w:val="24"/>
          <w:szCs w:val="24"/>
        </w:rPr>
        <w:t>符合《政府采购法》规定的供应商资格。</w:t>
      </w:r>
    </w:p>
    <w:p>
      <w:pPr>
        <w:spacing w:line="500" w:lineRule="exact"/>
        <w:ind w:firstLine="480" w:firstLineChars="200"/>
        <w:rPr>
          <w:rFonts w:ascii="宋体" w:cs="Times New Roman"/>
          <w:sz w:val="24"/>
          <w:szCs w:val="24"/>
        </w:rPr>
      </w:pPr>
      <w:r>
        <w:rPr>
          <w:rFonts w:ascii="宋体" w:hAnsi="宋体" w:cs="宋体"/>
          <w:sz w:val="24"/>
          <w:szCs w:val="24"/>
        </w:rPr>
        <w:t xml:space="preserve">2.2 </w:t>
      </w:r>
      <w:r>
        <w:rPr>
          <w:rFonts w:hint="eastAsia" w:ascii="宋体" w:hAnsi="宋体" w:cs="宋体"/>
          <w:sz w:val="24"/>
          <w:szCs w:val="24"/>
        </w:rPr>
        <w:t>投标人其他合格条件详见本项目招标公告。</w:t>
      </w:r>
    </w:p>
    <w:p>
      <w:pPr>
        <w:spacing w:line="500" w:lineRule="exact"/>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rFonts w:ascii="宋体" w:cs="Times New Roman"/>
          <w:sz w:val="24"/>
          <w:szCs w:val="24"/>
        </w:rPr>
      </w:pPr>
      <w:r>
        <w:rPr>
          <w:rFonts w:ascii="宋体" w:hAnsi="宋体" w:cs="宋体"/>
          <w:sz w:val="24"/>
          <w:szCs w:val="24"/>
        </w:rPr>
        <w:t>2.4</w:t>
      </w:r>
      <w:r>
        <w:rPr>
          <w:rFonts w:hint="eastAsia" w:ascii="宋体" w:hAnsi="宋体" w:cs="宋体"/>
          <w:sz w:val="24"/>
          <w:szCs w:val="24"/>
        </w:rPr>
        <w:t>如为信息系统采购项目，供应商不得为该整体项目或其中分项目前期工作提供过设计、编制、管理等服务的法人及附属单位。</w:t>
      </w:r>
    </w:p>
    <w:p>
      <w:pPr>
        <w:pStyle w:val="164"/>
        <w:spacing w:line="360" w:lineRule="auto"/>
        <w:ind w:firstLine="480" w:firstLineChars="200"/>
        <w:rPr>
          <w:rFonts w:hAnsi="宋体" w:cs="Times New Roman"/>
          <w:sz w:val="24"/>
          <w:szCs w:val="24"/>
        </w:rPr>
      </w:pPr>
      <w:r>
        <w:rPr>
          <w:rFonts w:hAnsi="宋体"/>
          <w:sz w:val="24"/>
          <w:szCs w:val="24"/>
        </w:rPr>
        <w:t>2.5</w:t>
      </w:r>
      <w:r>
        <w:rPr>
          <w:rFonts w:hint="eastAsia" w:hAnsi="宋体"/>
          <w:sz w:val="24"/>
          <w:szCs w:val="24"/>
        </w:rPr>
        <w:t>招标（采购）文件中未明确规定允许进口产品参加的，均视为拒绝进口产品参加。（进口产品是指通过中国海关报关验放进入中国境内且产自关境外的产品）。</w:t>
      </w:r>
    </w:p>
    <w:p>
      <w:pPr>
        <w:tabs>
          <w:tab w:val="left" w:pos="4680"/>
        </w:tabs>
        <w:snapToGrid w:val="0"/>
        <w:spacing w:line="360" w:lineRule="auto"/>
        <w:outlineLvl w:val="0"/>
        <w:rPr>
          <w:rFonts w:cs="Times New Roman"/>
          <w:b/>
          <w:bCs/>
          <w:sz w:val="28"/>
          <w:szCs w:val="28"/>
        </w:rPr>
      </w:pPr>
      <w:bookmarkStart w:id="18" w:name="_Toc27344"/>
      <w:bookmarkStart w:id="19" w:name="_Toc468811083"/>
      <w:bookmarkStart w:id="20" w:name="_Toc238907004"/>
      <w:r>
        <w:rPr>
          <w:b/>
          <w:bCs/>
          <w:sz w:val="28"/>
          <w:szCs w:val="28"/>
        </w:rPr>
        <w:t>3</w:t>
      </w:r>
      <w:r>
        <w:rPr>
          <w:rFonts w:hint="eastAsia" w:cs="宋体"/>
          <w:b/>
          <w:bCs/>
          <w:sz w:val="28"/>
          <w:szCs w:val="28"/>
        </w:rPr>
        <w:t>．投标费用</w:t>
      </w:r>
      <w:bookmarkEnd w:id="18"/>
      <w:bookmarkEnd w:id="19"/>
      <w:bookmarkEnd w:id="20"/>
    </w:p>
    <w:p>
      <w:pPr>
        <w:adjustRightInd w:val="0"/>
        <w:snapToGrid w:val="0"/>
        <w:spacing w:line="500" w:lineRule="atLeast"/>
        <w:ind w:firstLine="480" w:firstLineChars="200"/>
        <w:rPr>
          <w:rFonts w:ascii="宋体" w:cs="Times New Roman"/>
          <w:sz w:val="24"/>
          <w:szCs w:val="24"/>
        </w:rPr>
      </w:pPr>
      <w:r>
        <w:rPr>
          <w:rFonts w:ascii="宋体" w:hAnsi="宋体" w:cs="宋体"/>
          <w:sz w:val="24"/>
          <w:szCs w:val="24"/>
        </w:rPr>
        <w:t>3.1</w:t>
      </w:r>
      <w:r>
        <w:rPr>
          <w:rFonts w:hint="eastAsia" w:ascii="宋体" w:hAnsi="宋体" w:cs="宋体"/>
          <w:sz w:val="24"/>
          <w:szCs w:val="24"/>
        </w:rPr>
        <w:t>投标人应承担其编制投标文件与递交投标文件等投标过程中所涉及的一切费用，不论投标结果如何，招标人及采购代理机构将不予承担。</w:t>
      </w:r>
    </w:p>
    <w:p>
      <w:pPr>
        <w:adjustRightInd w:val="0"/>
        <w:snapToGrid w:val="0"/>
        <w:spacing w:line="500" w:lineRule="atLeast"/>
        <w:ind w:firstLine="480" w:firstLineChars="200"/>
        <w:rPr>
          <w:rFonts w:ascii="宋体" w:cs="Times New Roman"/>
          <w:sz w:val="24"/>
          <w:szCs w:val="24"/>
        </w:rPr>
      </w:pPr>
      <w:r>
        <w:rPr>
          <w:rFonts w:ascii="宋体" w:hAnsi="宋体" w:cs="宋体"/>
          <w:sz w:val="24"/>
          <w:szCs w:val="24"/>
        </w:rPr>
        <w:t xml:space="preserve">3.2 </w:t>
      </w:r>
      <w:r>
        <w:rPr>
          <w:rFonts w:hint="eastAsia" w:ascii="宋体" w:hAnsi="宋体" w:cs="宋体"/>
          <w:sz w:val="24"/>
          <w:szCs w:val="24"/>
        </w:rPr>
        <w:t>采购代理服务费由中标人按国家发展计划委员会文件《采购代理服务费收费管理暂行办法》（计价格【</w:t>
      </w:r>
      <w:r>
        <w:rPr>
          <w:rFonts w:ascii="宋体" w:hAnsi="宋体" w:cs="宋体"/>
          <w:sz w:val="24"/>
          <w:szCs w:val="24"/>
        </w:rPr>
        <w:t>2002</w:t>
      </w:r>
      <w:r>
        <w:rPr>
          <w:rFonts w:hint="eastAsia" w:ascii="宋体" w:hAnsi="宋体" w:cs="宋体"/>
          <w:sz w:val="24"/>
          <w:szCs w:val="24"/>
        </w:rPr>
        <w:t>】</w:t>
      </w:r>
      <w:r>
        <w:rPr>
          <w:rFonts w:ascii="宋体" w:hAnsi="宋体" w:cs="宋体"/>
          <w:sz w:val="24"/>
          <w:szCs w:val="24"/>
        </w:rPr>
        <w:t>1980</w:t>
      </w:r>
      <w:r>
        <w:rPr>
          <w:rFonts w:hint="eastAsia" w:ascii="宋体" w:hAnsi="宋体" w:cs="宋体"/>
          <w:sz w:val="24"/>
          <w:szCs w:val="24"/>
        </w:rPr>
        <w:t>号）文件中相关规定进行支付。支付时间：在签发中标通知书前；支付方式：中标人将采购代理费以转账方式递交，否则采购代理机构有权利拒发中标通知书。</w:t>
      </w:r>
    </w:p>
    <w:p>
      <w:pPr>
        <w:adjustRightInd w:val="0"/>
        <w:snapToGrid w:val="0"/>
        <w:spacing w:line="500" w:lineRule="atLeast"/>
        <w:ind w:firstLine="480" w:firstLineChars="200"/>
        <w:rPr>
          <w:rFonts w:hint="eastAsia" w:ascii="宋体" w:hAnsi="宋体" w:cs="宋体"/>
          <w:sz w:val="24"/>
          <w:szCs w:val="24"/>
          <w:lang w:eastAsia="zh-CN"/>
        </w:rPr>
      </w:pPr>
      <w:bookmarkStart w:id="21" w:name="_Toc753"/>
      <w:bookmarkStart w:id="22" w:name="_Toc468811084"/>
      <w:bookmarkStart w:id="23" w:name="_Toc238907005"/>
      <w:r>
        <w:rPr>
          <w:rFonts w:hint="eastAsia" w:ascii="宋体" w:hAnsi="宋体" w:cs="宋体"/>
          <w:sz w:val="24"/>
          <w:szCs w:val="24"/>
          <w:lang w:eastAsia="zh-CN"/>
        </w:rPr>
        <w:t>开户单位：河南兴建建设管理有限公司</w:t>
      </w:r>
    </w:p>
    <w:p>
      <w:pPr>
        <w:adjustRightInd w:val="0"/>
        <w:snapToGrid w:val="0"/>
        <w:spacing w:line="500" w:lineRule="atLeast"/>
        <w:ind w:firstLine="480" w:firstLineChars="200"/>
        <w:rPr>
          <w:rFonts w:hint="eastAsia" w:ascii="宋体" w:hAnsi="宋体" w:cs="宋体"/>
          <w:sz w:val="24"/>
          <w:szCs w:val="24"/>
          <w:lang w:val="en-US" w:eastAsia="zh-CN"/>
        </w:rPr>
      </w:pPr>
      <w:r>
        <w:rPr>
          <w:rFonts w:hint="eastAsia" w:ascii="宋体" w:hAnsi="宋体" w:cs="宋体"/>
          <w:sz w:val="24"/>
          <w:szCs w:val="24"/>
          <w:lang w:eastAsia="zh-CN"/>
        </w:rPr>
        <w:t>开户银行：交通银行</w:t>
      </w:r>
      <w:r>
        <w:rPr>
          <w:rFonts w:hint="eastAsia" w:ascii="宋体" w:hAnsi="宋体" w:cs="宋体"/>
          <w:sz w:val="24"/>
          <w:szCs w:val="24"/>
          <w:lang w:val="en-US" w:eastAsia="zh-CN"/>
        </w:rPr>
        <w:t>郑州经三路支行</w:t>
      </w:r>
    </w:p>
    <w:p>
      <w:pPr>
        <w:adjustRightInd w:val="0"/>
        <w:snapToGrid w:val="0"/>
        <w:spacing w:line="500" w:lineRule="atLeast"/>
        <w:ind w:firstLine="480" w:firstLineChars="200"/>
        <w:rPr>
          <w:rFonts w:hint="eastAsia" w:ascii="宋体" w:hAnsi="宋体" w:cs="宋体"/>
          <w:sz w:val="24"/>
          <w:szCs w:val="24"/>
          <w:lang w:val="en-US" w:eastAsia="zh-CN"/>
        </w:rPr>
      </w:pPr>
      <w:r>
        <w:rPr>
          <w:rFonts w:hint="eastAsia" w:ascii="宋体" w:hAnsi="宋体" w:cs="宋体"/>
          <w:sz w:val="24"/>
          <w:szCs w:val="24"/>
          <w:lang w:eastAsia="zh-CN"/>
        </w:rPr>
        <w:t>帐    号：</w:t>
      </w:r>
      <w:r>
        <w:rPr>
          <w:rFonts w:hint="eastAsia" w:ascii="宋体" w:hAnsi="宋体" w:cs="宋体"/>
          <w:sz w:val="24"/>
          <w:szCs w:val="24"/>
          <w:lang w:val="en-US" w:eastAsia="zh-CN"/>
        </w:rPr>
        <w:t>411062400018000466887</w:t>
      </w:r>
    </w:p>
    <w:p>
      <w:pPr>
        <w:tabs>
          <w:tab w:val="left" w:pos="4680"/>
        </w:tabs>
        <w:snapToGrid w:val="0"/>
        <w:spacing w:line="360" w:lineRule="auto"/>
        <w:outlineLvl w:val="0"/>
        <w:rPr>
          <w:rFonts w:cs="Times New Roman"/>
          <w:b/>
          <w:bCs/>
          <w:sz w:val="28"/>
          <w:szCs w:val="28"/>
        </w:rPr>
      </w:pPr>
      <w:r>
        <w:rPr>
          <w:b/>
          <w:bCs/>
          <w:sz w:val="28"/>
          <w:szCs w:val="28"/>
        </w:rPr>
        <w:t>4</w:t>
      </w:r>
      <w:r>
        <w:rPr>
          <w:rFonts w:hint="eastAsia" w:cs="宋体"/>
          <w:b/>
          <w:bCs/>
          <w:sz w:val="28"/>
          <w:szCs w:val="28"/>
        </w:rPr>
        <w:t>．法律适用</w:t>
      </w:r>
      <w:bookmarkEnd w:id="21"/>
      <w:bookmarkEnd w:id="22"/>
      <w:bookmarkEnd w:id="23"/>
    </w:p>
    <w:p>
      <w:pPr>
        <w:spacing w:line="500" w:lineRule="exact"/>
        <w:ind w:firstLine="480" w:firstLineChars="200"/>
        <w:rPr>
          <w:rFonts w:ascii="宋体" w:cs="Times New Roman"/>
          <w:sz w:val="24"/>
          <w:szCs w:val="24"/>
        </w:rPr>
      </w:pPr>
      <w:r>
        <w:rPr>
          <w:rFonts w:ascii="宋体" w:hAnsi="宋体" w:cs="宋体"/>
          <w:sz w:val="24"/>
          <w:szCs w:val="24"/>
        </w:rPr>
        <w:t xml:space="preserve">4.1 </w:t>
      </w:r>
      <w:r>
        <w:rPr>
          <w:rFonts w:hint="eastAsia" w:ascii="宋体" w:hAnsi="宋体" w:cs="宋体"/>
          <w:sz w:val="24"/>
          <w:szCs w:val="24"/>
        </w:rPr>
        <w:t>本次招标活动及由本次招标产生的合同受中华人民共和国的法律制约和保护。</w:t>
      </w:r>
    </w:p>
    <w:p>
      <w:pPr>
        <w:tabs>
          <w:tab w:val="left" w:pos="4680"/>
        </w:tabs>
        <w:snapToGrid w:val="0"/>
        <w:spacing w:line="360" w:lineRule="auto"/>
        <w:outlineLvl w:val="0"/>
        <w:rPr>
          <w:rFonts w:cs="Times New Roman"/>
          <w:b/>
          <w:bCs/>
          <w:sz w:val="28"/>
          <w:szCs w:val="28"/>
        </w:rPr>
      </w:pPr>
      <w:bookmarkStart w:id="24" w:name="_Toc468811085"/>
      <w:bookmarkStart w:id="25" w:name="_Toc22066"/>
      <w:bookmarkStart w:id="26" w:name="_Toc238907006"/>
      <w:r>
        <w:rPr>
          <w:b/>
          <w:bCs/>
          <w:sz w:val="28"/>
          <w:szCs w:val="28"/>
        </w:rPr>
        <w:t>5</w:t>
      </w:r>
      <w:r>
        <w:rPr>
          <w:rFonts w:hint="eastAsia" w:cs="宋体"/>
          <w:b/>
          <w:bCs/>
          <w:sz w:val="28"/>
          <w:szCs w:val="28"/>
        </w:rPr>
        <w:t>．招标文件的约束力</w:t>
      </w:r>
      <w:bookmarkEnd w:id="24"/>
      <w:bookmarkEnd w:id="25"/>
      <w:bookmarkEnd w:id="26"/>
    </w:p>
    <w:p>
      <w:pPr>
        <w:spacing w:line="500" w:lineRule="exact"/>
        <w:ind w:firstLine="420" w:firstLineChars="175"/>
        <w:rPr>
          <w:rFonts w:ascii="宋体" w:cs="Times New Roman"/>
          <w:sz w:val="24"/>
          <w:szCs w:val="24"/>
        </w:rPr>
      </w:pPr>
      <w:r>
        <w:rPr>
          <w:rFonts w:ascii="宋体" w:hAnsi="宋体" w:cs="宋体"/>
          <w:sz w:val="24"/>
          <w:szCs w:val="24"/>
        </w:rPr>
        <w:t xml:space="preserve">5.1 </w:t>
      </w:r>
      <w:r>
        <w:rPr>
          <w:rFonts w:hint="eastAsia" w:ascii="宋体" w:hAnsi="宋体" w:cs="宋体"/>
          <w:sz w:val="24"/>
          <w:szCs w:val="24"/>
        </w:rPr>
        <w:t>本招标文件由河南兴建建设管理有限公司负责解释。</w:t>
      </w:r>
      <w:bookmarkStart w:id="27" w:name="_Toc238907007"/>
      <w:bookmarkStart w:id="28" w:name="_Toc468811086"/>
    </w:p>
    <w:p>
      <w:pPr>
        <w:tabs>
          <w:tab w:val="left" w:pos="4680"/>
        </w:tabs>
        <w:snapToGrid w:val="0"/>
        <w:spacing w:line="360" w:lineRule="auto"/>
        <w:jc w:val="center"/>
        <w:outlineLvl w:val="0"/>
        <w:rPr>
          <w:rFonts w:cs="Times New Roman"/>
          <w:b/>
          <w:bCs/>
          <w:sz w:val="28"/>
          <w:szCs w:val="28"/>
        </w:rPr>
      </w:pPr>
      <w:bookmarkStart w:id="29" w:name="_Toc19250"/>
      <w:r>
        <w:rPr>
          <w:rFonts w:hint="eastAsia" w:cs="宋体"/>
          <w:b/>
          <w:bCs/>
          <w:sz w:val="28"/>
          <w:szCs w:val="28"/>
        </w:rPr>
        <w:t>二、招标文件</w:t>
      </w:r>
      <w:bookmarkEnd w:id="27"/>
      <w:bookmarkEnd w:id="28"/>
      <w:bookmarkEnd w:id="29"/>
    </w:p>
    <w:p>
      <w:pPr>
        <w:tabs>
          <w:tab w:val="left" w:pos="4680"/>
        </w:tabs>
        <w:snapToGrid w:val="0"/>
        <w:spacing w:line="360" w:lineRule="auto"/>
        <w:outlineLvl w:val="0"/>
        <w:rPr>
          <w:rFonts w:cs="Times New Roman"/>
          <w:b/>
          <w:bCs/>
          <w:sz w:val="28"/>
          <w:szCs w:val="28"/>
        </w:rPr>
      </w:pPr>
      <w:bookmarkStart w:id="30" w:name="_Toc6874"/>
      <w:bookmarkStart w:id="31" w:name="_Toc468811087"/>
      <w:bookmarkStart w:id="32" w:name="_Toc238907008"/>
      <w:r>
        <w:rPr>
          <w:b/>
          <w:bCs/>
          <w:sz w:val="28"/>
          <w:szCs w:val="28"/>
        </w:rPr>
        <w:t>6</w:t>
      </w:r>
      <w:r>
        <w:rPr>
          <w:rFonts w:hint="eastAsia" w:cs="宋体"/>
          <w:b/>
          <w:bCs/>
          <w:sz w:val="28"/>
          <w:szCs w:val="28"/>
        </w:rPr>
        <w:t>．招标文件的组成</w:t>
      </w:r>
      <w:bookmarkEnd w:id="30"/>
      <w:bookmarkEnd w:id="31"/>
      <w:bookmarkEnd w:id="32"/>
    </w:p>
    <w:p>
      <w:pPr>
        <w:spacing w:line="500" w:lineRule="exact"/>
        <w:ind w:firstLine="480" w:firstLineChars="200"/>
        <w:rPr>
          <w:rFonts w:ascii="宋体" w:cs="Times New Roman"/>
          <w:sz w:val="24"/>
          <w:szCs w:val="24"/>
        </w:rPr>
      </w:pPr>
      <w:r>
        <w:rPr>
          <w:rFonts w:ascii="宋体" w:hAnsi="宋体" w:cs="宋体"/>
          <w:sz w:val="24"/>
          <w:szCs w:val="24"/>
        </w:rPr>
        <w:t xml:space="preserve">6.l </w:t>
      </w:r>
      <w:r>
        <w:rPr>
          <w:rFonts w:hint="eastAsia" w:ascii="宋体" w:hAnsi="宋体" w:cs="宋体"/>
          <w:sz w:val="24"/>
          <w:szCs w:val="24"/>
        </w:rPr>
        <w:t>招标文件由六部分组成，包括：</w:t>
      </w:r>
    </w:p>
    <w:p>
      <w:pPr>
        <w:tabs>
          <w:tab w:val="left" w:pos="4680"/>
        </w:tabs>
        <w:snapToGrid w:val="0"/>
        <w:spacing w:line="360" w:lineRule="auto"/>
        <w:ind w:firstLine="480" w:firstLineChars="200"/>
        <w:outlineLvl w:val="0"/>
        <w:rPr>
          <w:rFonts w:cs="Times New Roman"/>
          <w:sz w:val="24"/>
          <w:szCs w:val="24"/>
        </w:rPr>
      </w:pPr>
      <w:bookmarkStart w:id="33" w:name="_Toc468811088"/>
      <w:bookmarkStart w:id="34" w:name="_Toc28436"/>
      <w:r>
        <w:rPr>
          <w:rFonts w:hint="eastAsia" w:cs="宋体"/>
          <w:sz w:val="24"/>
          <w:szCs w:val="24"/>
        </w:rPr>
        <w:t>第一部分招标公告</w:t>
      </w:r>
      <w:bookmarkEnd w:id="33"/>
      <w:bookmarkEnd w:id="34"/>
    </w:p>
    <w:p>
      <w:pPr>
        <w:tabs>
          <w:tab w:val="left" w:pos="4680"/>
        </w:tabs>
        <w:snapToGrid w:val="0"/>
        <w:spacing w:line="360" w:lineRule="auto"/>
        <w:ind w:firstLine="480" w:firstLineChars="200"/>
        <w:outlineLvl w:val="0"/>
        <w:rPr>
          <w:rFonts w:cs="Times New Roman"/>
          <w:sz w:val="24"/>
          <w:szCs w:val="24"/>
        </w:rPr>
      </w:pPr>
      <w:bookmarkStart w:id="35" w:name="_Toc468811089"/>
      <w:bookmarkStart w:id="36" w:name="_Toc31553"/>
      <w:r>
        <w:rPr>
          <w:rFonts w:hint="eastAsia" w:cs="宋体"/>
          <w:sz w:val="24"/>
          <w:szCs w:val="24"/>
        </w:rPr>
        <w:t>第二部分投标人须知</w:t>
      </w:r>
      <w:bookmarkEnd w:id="35"/>
      <w:bookmarkEnd w:id="36"/>
    </w:p>
    <w:p>
      <w:pPr>
        <w:tabs>
          <w:tab w:val="left" w:pos="4680"/>
        </w:tabs>
        <w:snapToGrid w:val="0"/>
        <w:spacing w:line="360" w:lineRule="auto"/>
        <w:ind w:firstLine="480" w:firstLineChars="200"/>
        <w:outlineLvl w:val="0"/>
        <w:rPr>
          <w:rFonts w:cs="Times New Roman"/>
          <w:sz w:val="24"/>
          <w:szCs w:val="24"/>
        </w:rPr>
      </w:pPr>
      <w:bookmarkStart w:id="37" w:name="_Toc1242"/>
      <w:bookmarkStart w:id="38" w:name="_Toc468811090"/>
      <w:r>
        <w:rPr>
          <w:rFonts w:hint="eastAsia" w:cs="宋体"/>
          <w:sz w:val="24"/>
          <w:szCs w:val="24"/>
        </w:rPr>
        <w:t>第三部分用户需求书</w:t>
      </w:r>
      <w:bookmarkEnd w:id="37"/>
      <w:bookmarkEnd w:id="38"/>
    </w:p>
    <w:p>
      <w:pPr>
        <w:tabs>
          <w:tab w:val="left" w:pos="4680"/>
        </w:tabs>
        <w:snapToGrid w:val="0"/>
        <w:spacing w:line="360" w:lineRule="auto"/>
        <w:ind w:firstLine="480" w:firstLineChars="200"/>
        <w:outlineLvl w:val="0"/>
        <w:rPr>
          <w:rFonts w:cs="Times New Roman"/>
          <w:sz w:val="24"/>
          <w:szCs w:val="24"/>
        </w:rPr>
      </w:pPr>
      <w:bookmarkStart w:id="39" w:name="_Toc468811091"/>
      <w:bookmarkStart w:id="40" w:name="_Toc17309"/>
      <w:r>
        <w:rPr>
          <w:rFonts w:hint="eastAsia" w:cs="宋体"/>
          <w:sz w:val="24"/>
          <w:szCs w:val="24"/>
        </w:rPr>
        <w:t>第四部分合同条款</w:t>
      </w:r>
      <w:bookmarkEnd w:id="39"/>
      <w:bookmarkEnd w:id="40"/>
    </w:p>
    <w:p>
      <w:pPr>
        <w:tabs>
          <w:tab w:val="left" w:pos="4680"/>
        </w:tabs>
        <w:snapToGrid w:val="0"/>
        <w:spacing w:line="360" w:lineRule="auto"/>
        <w:ind w:firstLine="480" w:firstLineChars="200"/>
        <w:outlineLvl w:val="0"/>
        <w:rPr>
          <w:rFonts w:cs="Times New Roman"/>
          <w:sz w:val="24"/>
          <w:szCs w:val="24"/>
        </w:rPr>
      </w:pPr>
      <w:bookmarkStart w:id="41" w:name="_Toc732"/>
      <w:bookmarkStart w:id="42" w:name="_Toc468811092"/>
      <w:r>
        <w:rPr>
          <w:rFonts w:hint="eastAsia" w:cs="宋体"/>
          <w:sz w:val="24"/>
          <w:szCs w:val="24"/>
        </w:rPr>
        <w:t>第五部分投标文件格式</w:t>
      </w:r>
      <w:bookmarkEnd w:id="41"/>
      <w:bookmarkEnd w:id="42"/>
    </w:p>
    <w:p>
      <w:pPr>
        <w:tabs>
          <w:tab w:val="left" w:pos="4680"/>
        </w:tabs>
        <w:snapToGrid w:val="0"/>
        <w:spacing w:line="360" w:lineRule="auto"/>
        <w:ind w:firstLine="480" w:firstLineChars="200"/>
        <w:outlineLvl w:val="0"/>
        <w:rPr>
          <w:rFonts w:cs="Times New Roman"/>
          <w:sz w:val="24"/>
          <w:szCs w:val="24"/>
        </w:rPr>
      </w:pPr>
      <w:bookmarkStart w:id="43" w:name="_Toc468811093"/>
      <w:bookmarkStart w:id="44" w:name="_Toc26620"/>
      <w:r>
        <w:rPr>
          <w:rFonts w:hint="eastAsia" w:cs="宋体"/>
          <w:sz w:val="24"/>
          <w:szCs w:val="24"/>
        </w:rPr>
        <w:t>第六部分评标办法</w:t>
      </w:r>
      <w:bookmarkEnd w:id="43"/>
      <w:bookmarkEnd w:id="44"/>
    </w:p>
    <w:p>
      <w:pPr>
        <w:spacing w:line="500" w:lineRule="exact"/>
        <w:ind w:firstLine="360" w:firstLineChars="150"/>
        <w:rPr>
          <w:rFonts w:ascii="宋体" w:cs="Times New Roman"/>
          <w:sz w:val="24"/>
          <w:szCs w:val="24"/>
        </w:rPr>
      </w:pPr>
      <w:r>
        <w:rPr>
          <w:rFonts w:hint="eastAsia" w:ascii="宋体" w:hAnsi="宋体" w:cs="宋体"/>
          <w:sz w:val="24"/>
          <w:szCs w:val="24"/>
        </w:rPr>
        <w:t>请仔细检查招标文件是否齐全，如有缺漏，请立即与河南兴建建设管理有限公司联系解决。</w:t>
      </w:r>
    </w:p>
    <w:p>
      <w:pPr>
        <w:spacing w:line="500" w:lineRule="exact"/>
        <w:ind w:firstLine="480" w:firstLineChars="200"/>
        <w:rPr>
          <w:rFonts w:ascii="宋体" w:cs="Times New Roman"/>
          <w:sz w:val="24"/>
          <w:szCs w:val="24"/>
        </w:rPr>
      </w:pPr>
      <w:r>
        <w:rPr>
          <w:rFonts w:ascii="宋体" w:hAnsi="宋体" w:cs="宋体"/>
          <w:sz w:val="24"/>
          <w:szCs w:val="24"/>
        </w:rPr>
        <w:t xml:space="preserve">6.2 </w:t>
      </w:r>
      <w:r>
        <w:rPr>
          <w:rFonts w:hint="eastAsia" w:ascii="宋体" w:hAnsi="宋体" w:cs="宋体"/>
          <w:sz w:val="24"/>
          <w:szCs w:val="24"/>
        </w:rPr>
        <w:t>投标人被视为充分熟悉本招标项目所在地的与履行合同有关的各种情况，包括自然环境、气候条件、劳动力及公用设施等，本招标文件不再对上述情况进行描述。</w:t>
      </w:r>
    </w:p>
    <w:p>
      <w:pPr>
        <w:spacing w:line="500" w:lineRule="exact"/>
        <w:ind w:firstLine="480" w:firstLineChars="200"/>
        <w:rPr>
          <w:rFonts w:ascii="宋体" w:cs="Times New Roman"/>
          <w:sz w:val="24"/>
          <w:szCs w:val="24"/>
        </w:rPr>
      </w:pPr>
      <w:r>
        <w:rPr>
          <w:rFonts w:ascii="宋体" w:hAnsi="宋体" w:cs="宋体"/>
          <w:sz w:val="24"/>
          <w:szCs w:val="24"/>
        </w:rPr>
        <w:t xml:space="preserve">6.3 </w:t>
      </w:r>
      <w:r>
        <w:rPr>
          <w:rFonts w:hint="eastAsia" w:ascii="宋体" w:hAnsi="宋体" w:cs="宋体"/>
          <w:sz w:val="24"/>
          <w:szCs w:val="24"/>
        </w:rPr>
        <w:t>投标人必须详阅招标文件的所有条款、文件及表格格式。投标人若未按招标文件的要求和规范编制、提交投标文件，将有可能导致投标文件被拒绝接受，所造成的负面后果由投标人负责。</w:t>
      </w:r>
    </w:p>
    <w:p>
      <w:pPr>
        <w:tabs>
          <w:tab w:val="left" w:pos="4680"/>
        </w:tabs>
        <w:snapToGrid w:val="0"/>
        <w:spacing w:line="360" w:lineRule="auto"/>
        <w:outlineLvl w:val="0"/>
        <w:rPr>
          <w:rFonts w:cs="Times New Roman"/>
          <w:b/>
          <w:bCs/>
          <w:sz w:val="28"/>
          <w:szCs w:val="28"/>
        </w:rPr>
      </w:pPr>
      <w:bookmarkStart w:id="45" w:name="_Toc20408"/>
      <w:bookmarkStart w:id="46" w:name="_Toc238907009"/>
      <w:bookmarkStart w:id="47" w:name="_Toc468811094"/>
      <w:r>
        <w:rPr>
          <w:b/>
          <w:bCs/>
          <w:sz w:val="28"/>
          <w:szCs w:val="28"/>
        </w:rPr>
        <w:t>7</w:t>
      </w:r>
      <w:r>
        <w:rPr>
          <w:rFonts w:hint="eastAsia" w:cs="宋体"/>
          <w:b/>
          <w:bCs/>
          <w:sz w:val="28"/>
          <w:szCs w:val="28"/>
        </w:rPr>
        <w:t>．招标文件的澄清</w:t>
      </w:r>
      <w:bookmarkEnd w:id="45"/>
      <w:bookmarkEnd w:id="46"/>
      <w:bookmarkEnd w:id="47"/>
    </w:p>
    <w:p>
      <w:pPr>
        <w:spacing w:line="500" w:lineRule="atLeast"/>
        <w:ind w:firstLine="480" w:firstLineChars="200"/>
        <w:rPr>
          <w:rFonts w:ascii="宋体" w:cs="Times New Roman"/>
          <w:sz w:val="24"/>
          <w:szCs w:val="24"/>
        </w:rPr>
      </w:pPr>
      <w:r>
        <w:rPr>
          <w:rFonts w:ascii="宋体" w:hAnsi="宋体" w:cs="宋体"/>
          <w:sz w:val="24"/>
          <w:szCs w:val="24"/>
        </w:rPr>
        <w:t>7</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招标采购单位对已发出的招标文件进行澄清或者修改，将在招标文件要求的提交投标文件截止时间十五日前进行，并以书面形式将澄清或者修改的内容通知所有购买了招标文件的供应商。该澄清或者修改的内容为招标文件的组成部分。</w:t>
      </w:r>
    </w:p>
    <w:p>
      <w:pPr>
        <w:spacing w:line="500" w:lineRule="atLeast"/>
        <w:ind w:firstLine="480" w:firstLineChars="200"/>
        <w:rPr>
          <w:rFonts w:ascii="宋体" w:cs="Times New Roman"/>
          <w:sz w:val="24"/>
          <w:szCs w:val="24"/>
        </w:rPr>
      </w:pPr>
      <w:r>
        <w:rPr>
          <w:rFonts w:ascii="宋体" w:hAnsi="宋体" w:cs="宋体"/>
          <w:sz w:val="24"/>
          <w:szCs w:val="24"/>
        </w:rPr>
        <w:t>7</w:t>
      </w:r>
      <w:r>
        <w:rPr>
          <w:rFonts w:ascii="宋体" w:cs="宋体"/>
          <w:b/>
          <w:bCs/>
          <w:sz w:val="24"/>
          <w:szCs w:val="24"/>
        </w:rPr>
        <w:t>.</w:t>
      </w:r>
      <w:r>
        <w:rPr>
          <w:rFonts w:ascii="宋体" w:hAnsi="宋体" w:cs="宋体"/>
          <w:sz w:val="24"/>
          <w:szCs w:val="24"/>
        </w:rPr>
        <w:t>2</w:t>
      </w:r>
      <w:r>
        <w:rPr>
          <w:rFonts w:hint="eastAsia" w:ascii="宋体" w:hAnsi="宋体" w:cs="宋体"/>
          <w:sz w:val="24"/>
          <w:szCs w:val="24"/>
        </w:rPr>
        <w:t>投标人要求对招标文件进行澄清的，均应在投标截止日</w:t>
      </w:r>
      <w:r>
        <w:rPr>
          <w:rFonts w:ascii="宋体" w:hAnsi="宋体" w:cs="宋体"/>
          <w:sz w:val="24"/>
          <w:szCs w:val="24"/>
        </w:rPr>
        <w:t>15</w:t>
      </w:r>
      <w:r>
        <w:rPr>
          <w:rFonts w:hint="eastAsia" w:ascii="宋体" w:hAnsi="宋体" w:cs="宋体"/>
          <w:sz w:val="24"/>
          <w:szCs w:val="24"/>
        </w:rPr>
        <w:t>天前按招标文件中的联系方式，以书面形式通知采购代理机构。</w:t>
      </w:r>
    </w:p>
    <w:p>
      <w:pPr>
        <w:spacing w:line="500" w:lineRule="exact"/>
        <w:ind w:firstLine="480" w:firstLineChars="200"/>
        <w:rPr>
          <w:rFonts w:ascii="宋体" w:cs="Times New Roman"/>
          <w:sz w:val="24"/>
          <w:szCs w:val="24"/>
        </w:rPr>
      </w:pPr>
      <w:r>
        <w:rPr>
          <w:rFonts w:ascii="宋体" w:hAnsi="宋体" w:cs="宋体"/>
          <w:sz w:val="24"/>
          <w:szCs w:val="24"/>
        </w:rPr>
        <w:t xml:space="preserve">7.3 </w:t>
      </w:r>
      <w:r>
        <w:rPr>
          <w:rFonts w:hint="eastAsia" w:ascii="宋体" w:hAnsi="宋体" w:cs="宋体"/>
          <w:sz w:val="24"/>
          <w:szCs w:val="24"/>
        </w:rPr>
        <w:t>在投标截止时间前，招标采购单位可以视采购具体情况，延长投标截止时间和开标时间，并在招标文件要求提交投标文件的截止时间三日前，将变更时间以书面形式通知所有购买了招标文件的供应商。</w:t>
      </w:r>
    </w:p>
    <w:p>
      <w:pPr>
        <w:spacing w:line="500" w:lineRule="exact"/>
        <w:ind w:firstLine="542" w:firstLineChars="226"/>
        <w:rPr>
          <w:rFonts w:ascii="宋体" w:cs="Times New Roman"/>
          <w:sz w:val="24"/>
          <w:szCs w:val="24"/>
        </w:rPr>
      </w:pPr>
      <w:r>
        <w:rPr>
          <w:rFonts w:ascii="宋体" w:hAnsi="宋体" w:cs="宋体"/>
          <w:sz w:val="24"/>
          <w:szCs w:val="24"/>
        </w:rPr>
        <w:t xml:space="preserve">7.4 </w:t>
      </w:r>
      <w:r>
        <w:rPr>
          <w:rFonts w:hint="eastAsia" w:ascii="宋体" w:hAnsi="宋体" w:cs="宋体"/>
          <w:sz w:val="24"/>
          <w:szCs w:val="24"/>
        </w:rPr>
        <w:t>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48" w:name="_Toc217446041"/>
      <w:bookmarkStart w:id="49" w:name="_Toc183682350"/>
      <w:bookmarkStart w:id="50" w:name="_Toc208848971"/>
      <w:bookmarkStart w:id="51" w:name="_Toc183582213"/>
    </w:p>
    <w:bookmarkEnd w:id="48"/>
    <w:bookmarkEnd w:id="49"/>
    <w:bookmarkEnd w:id="50"/>
    <w:bookmarkEnd w:id="51"/>
    <w:p>
      <w:pPr>
        <w:tabs>
          <w:tab w:val="left" w:pos="4680"/>
        </w:tabs>
        <w:snapToGrid w:val="0"/>
        <w:spacing w:line="360" w:lineRule="auto"/>
        <w:outlineLvl w:val="0"/>
        <w:rPr>
          <w:rFonts w:cs="Times New Roman"/>
          <w:b/>
          <w:bCs/>
          <w:sz w:val="28"/>
          <w:szCs w:val="28"/>
        </w:rPr>
      </w:pPr>
      <w:bookmarkStart w:id="52" w:name="_Toc238907010"/>
      <w:bookmarkStart w:id="53" w:name="_Toc5152"/>
      <w:bookmarkStart w:id="54" w:name="_Toc468811095"/>
      <w:r>
        <w:rPr>
          <w:b/>
          <w:bCs/>
          <w:sz w:val="28"/>
          <w:szCs w:val="28"/>
        </w:rPr>
        <w:t>8</w:t>
      </w:r>
      <w:r>
        <w:rPr>
          <w:rFonts w:hint="eastAsia" w:cs="宋体"/>
          <w:b/>
          <w:bCs/>
          <w:sz w:val="28"/>
          <w:szCs w:val="28"/>
        </w:rPr>
        <w:t>．招标文件的更正或补充</w:t>
      </w:r>
      <w:bookmarkEnd w:id="52"/>
      <w:bookmarkEnd w:id="53"/>
      <w:bookmarkEnd w:id="54"/>
    </w:p>
    <w:p>
      <w:pPr>
        <w:spacing w:line="500" w:lineRule="exact"/>
        <w:ind w:firstLine="480" w:firstLineChars="200"/>
        <w:rPr>
          <w:rFonts w:ascii="宋体" w:cs="Times New Roman"/>
          <w:sz w:val="24"/>
          <w:szCs w:val="24"/>
        </w:rPr>
      </w:pPr>
      <w:r>
        <w:rPr>
          <w:rFonts w:ascii="宋体" w:hAnsi="宋体" w:cs="宋体"/>
          <w:sz w:val="24"/>
          <w:szCs w:val="24"/>
        </w:rPr>
        <w:t xml:space="preserve">8.l </w:t>
      </w:r>
      <w:r>
        <w:rPr>
          <w:rFonts w:hint="eastAsia" w:ascii="宋体" w:hAnsi="宋体" w:cs="宋体"/>
          <w:sz w:val="24"/>
          <w:szCs w:val="24"/>
        </w:rPr>
        <w:t>在投标截止时间前十五天，采购代理机构均可对招标文件用更正招标文件的方式进行修正。</w:t>
      </w:r>
    </w:p>
    <w:p>
      <w:pPr>
        <w:spacing w:line="500" w:lineRule="exact"/>
        <w:ind w:firstLine="480" w:firstLineChars="200"/>
        <w:rPr>
          <w:rFonts w:ascii="宋体" w:cs="Times New Roman"/>
          <w:sz w:val="24"/>
          <w:szCs w:val="24"/>
        </w:rPr>
      </w:pPr>
      <w:r>
        <w:rPr>
          <w:rFonts w:ascii="宋体" w:hAnsi="宋体" w:cs="宋体"/>
          <w:sz w:val="24"/>
          <w:szCs w:val="24"/>
        </w:rPr>
        <w:t xml:space="preserve">8.2 </w:t>
      </w:r>
      <w:r>
        <w:rPr>
          <w:rFonts w:hint="eastAsia" w:ascii="宋体" w:hAnsi="宋体" w:cs="宋体"/>
          <w:sz w:val="24"/>
          <w:szCs w:val="24"/>
        </w:rPr>
        <w:t>对招标文件的更正，将以书面形式通知所有投标人。更正内容将作为招标文件的组成部分，对所有投标人有约束力。</w:t>
      </w:r>
    </w:p>
    <w:p>
      <w:pPr>
        <w:spacing w:line="500" w:lineRule="exact"/>
        <w:ind w:firstLine="480" w:firstLineChars="200"/>
        <w:rPr>
          <w:rFonts w:ascii="宋体" w:cs="Times New Roman"/>
          <w:sz w:val="24"/>
          <w:szCs w:val="24"/>
        </w:rPr>
      </w:pPr>
      <w:r>
        <w:rPr>
          <w:rFonts w:ascii="宋体" w:hAnsi="宋体" w:cs="宋体"/>
          <w:sz w:val="24"/>
          <w:szCs w:val="24"/>
        </w:rPr>
        <w:t xml:space="preserve">8.3 </w:t>
      </w:r>
      <w:r>
        <w:rPr>
          <w:rFonts w:hint="eastAsia" w:ascii="宋体" w:hAnsi="宋体" w:cs="宋体"/>
          <w:sz w:val="24"/>
          <w:szCs w:val="24"/>
        </w:rPr>
        <w:t>当招标文件与更正内容相互矛盾时，以采购代理机构最后发出的更正内容为准。</w:t>
      </w:r>
    </w:p>
    <w:p>
      <w:pPr>
        <w:spacing w:line="500" w:lineRule="exact"/>
        <w:ind w:firstLine="480" w:firstLineChars="200"/>
        <w:rPr>
          <w:rFonts w:ascii="宋体" w:cs="Times New Roman"/>
          <w:sz w:val="24"/>
          <w:szCs w:val="24"/>
        </w:rPr>
      </w:pPr>
      <w:r>
        <w:rPr>
          <w:rFonts w:ascii="宋体" w:hAnsi="宋体" w:cs="宋体"/>
          <w:sz w:val="24"/>
          <w:szCs w:val="24"/>
        </w:rPr>
        <w:t xml:space="preserve">8.4 </w:t>
      </w:r>
      <w:r>
        <w:rPr>
          <w:rFonts w:hint="eastAsia" w:ascii="宋体" w:hAnsi="宋体" w:cs="宋体"/>
          <w:sz w:val="24"/>
          <w:szCs w:val="24"/>
        </w:rPr>
        <w:t>投标人在收到更正内容后，应于一个工作日内正式书面回函采购代理机构。逾期不回的，采购代理机构视同投标人已收到更正公告。</w:t>
      </w:r>
    </w:p>
    <w:p>
      <w:pPr>
        <w:spacing w:line="500" w:lineRule="exact"/>
        <w:ind w:firstLine="480" w:firstLineChars="200"/>
        <w:rPr>
          <w:rFonts w:ascii="宋体" w:cs="Times New Roman"/>
          <w:sz w:val="24"/>
          <w:szCs w:val="24"/>
        </w:rPr>
      </w:pPr>
      <w:r>
        <w:rPr>
          <w:rFonts w:ascii="宋体" w:hAnsi="宋体" w:cs="宋体"/>
          <w:sz w:val="24"/>
          <w:szCs w:val="24"/>
        </w:rPr>
        <w:t xml:space="preserve">8.5 </w:t>
      </w:r>
      <w:r>
        <w:rPr>
          <w:rFonts w:hint="eastAsia" w:ascii="宋体" w:hAnsi="宋体" w:cs="宋体"/>
          <w:sz w:val="24"/>
          <w:szCs w:val="24"/>
        </w:rPr>
        <w:t>为使投标人有足够的时间按招标文件的更正要求修正投标文件，采购代理机构有权决定推迟投标截止日期和开标时间，并将此变更书面通知所有购买了同一招标文件的投标人。</w:t>
      </w:r>
      <w:bookmarkStart w:id="55" w:name="_Toc468811096"/>
      <w:bookmarkStart w:id="56" w:name="_Toc238907011"/>
    </w:p>
    <w:p>
      <w:pPr>
        <w:tabs>
          <w:tab w:val="left" w:pos="4680"/>
        </w:tabs>
        <w:snapToGrid w:val="0"/>
        <w:spacing w:line="360" w:lineRule="auto"/>
        <w:jc w:val="center"/>
        <w:outlineLvl w:val="0"/>
        <w:rPr>
          <w:rFonts w:cs="Times New Roman"/>
          <w:b/>
          <w:bCs/>
          <w:sz w:val="28"/>
          <w:szCs w:val="28"/>
        </w:rPr>
      </w:pPr>
      <w:bookmarkStart w:id="57" w:name="_Toc20798"/>
      <w:r>
        <w:rPr>
          <w:rFonts w:hint="eastAsia" w:cs="宋体"/>
          <w:b/>
          <w:bCs/>
          <w:sz w:val="28"/>
          <w:szCs w:val="28"/>
        </w:rPr>
        <w:t>三、投标文件</w:t>
      </w:r>
      <w:bookmarkEnd w:id="55"/>
      <w:bookmarkEnd w:id="56"/>
      <w:bookmarkEnd w:id="57"/>
    </w:p>
    <w:p>
      <w:pPr>
        <w:tabs>
          <w:tab w:val="left" w:pos="4680"/>
        </w:tabs>
        <w:snapToGrid w:val="0"/>
        <w:spacing w:line="360" w:lineRule="auto"/>
        <w:outlineLvl w:val="0"/>
        <w:rPr>
          <w:rFonts w:cs="Times New Roman"/>
          <w:b/>
          <w:bCs/>
          <w:sz w:val="28"/>
          <w:szCs w:val="28"/>
        </w:rPr>
      </w:pPr>
      <w:bookmarkStart w:id="58" w:name="_Toc238907012"/>
      <w:bookmarkStart w:id="59" w:name="_Toc468811097"/>
      <w:bookmarkStart w:id="60" w:name="_Toc17231"/>
      <w:r>
        <w:rPr>
          <w:b/>
          <w:bCs/>
          <w:sz w:val="28"/>
          <w:szCs w:val="28"/>
        </w:rPr>
        <w:t>9</w:t>
      </w:r>
      <w:r>
        <w:rPr>
          <w:rFonts w:hint="eastAsia" w:cs="宋体"/>
          <w:b/>
          <w:bCs/>
          <w:sz w:val="28"/>
          <w:szCs w:val="28"/>
        </w:rPr>
        <w:t>．投标文件的语言及度量衡</w:t>
      </w:r>
      <w:bookmarkEnd w:id="58"/>
      <w:bookmarkEnd w:id="59"/>
      <w:bookmarkEnd w:id="60"/>
    </w:p>
    <w:p>
      <w:pPr>
        <w:spacing w:line="500" w:lineRule="exact"/>
        <w:ind w:firstLine="480" w:firstLineChars="200"/>
        <w:rPr>
          <w:rFonts w:ascii="宋体" w:cs="Times New Roman"/>
          <w:sz w:val="24"/>
          <w:szCs w:val="24"/>
        </w:rPr>
      </w:pPr>
      <w:r>
        <w:rPr>
          <w:rFonts w:ascii="宋体" w:hAnsi="宋体" w:cs="宋体"/>
          <w:sz w:val="24"/>
          <w:szCs w:val="24"/>
        </w:rPr>
        <w:t>9.1</w:t>
      </w:r>
      <w:r>
        <w:rPr>
          <w:rFonts w:hint="eastAsia" w:ascii="宋体" w:hAnsi="宋体" w:cs="宋体"/>
          <w:sz w:val="24"/>
          <w:szCs w:val="24"/>
        </w:rPr>
        <w:t>投标人提交的投标文件以及投标人与招标采购单位就有关投标的所有来往书面文件均须使用</w:t>
      </w:r>
      <w:r>
        <w:rPr>
          <w:rFonts w:hint="eastAsia" w:ascii="宋体" w:hAnsi="宋体" w:cs="宋体"/>
          <w:b/>
          <w:bCs/>
          <w:sz w:val="24"/>
          <w:szCs w:val="24"/>
          <w:u w:val="single"/>
        </w:rPr>
        <w:t>中文</w:t>
      </w:r>
      <w:r>
        <w:rPr>
          <w:rFonts w:hint="eastAsia" w:ascii="宋体" w:hAnsi="宋体" w:cs="宋体"/>
          <w:sz w:val="24"/>
          <w:szCs w:val="24"/>
        </w:rPr>
        <w:t>（语言文字）。除资质证书原件及其扫描件/复印件，投标文件中如附有外文资料，必须逐一对应翻译成中文并加盖投标人公章后附在相关外文资料后面，否则，投标人的投标文件将作为无效投标处理。</w:t>
      </w:r>
    </w:p>
    <w:p>
      <w:pPr>
        <w:spacing w:line="500" w:lineRule="exact"/>
        <w:ind w:firstLine="480" w:firstLineChars="200"/>
        <w:rPr>
          <w:rFonts w:ascii="宋体" w:cs="Times New Roman"/>
          <w:sz w:val="24"/>
          <w:szCs w:val="24"/>
        </w:rPr>
      </w:pPr>
      <w:r>
        <w:rPr>
          <w:rFonts w:ascii="宋体" w:hAnsi="宋体" w:cs="宋体"/>
          <w:sz w:val="24"/>
          <w:szCs w:val="24"/>
        </w:rPr>
        <w:t xml:space="preserve">9.2 </w:t>
      </w:r>
      <w:r>
        <w:rPr>
          <w:rFonts w:hint="eastAsia" w:ascii="宋体" w:hAnsi="宋体" w:cs="宋体"/>
          <w:sz w:val="24"/>
          <w:szCs w:val="24"/>
        </w:rPr>
        <w:t>投标人已印刷好的资料如产品样本、说明书等可以用其他语言，但其中要点应附有中文译文。在解释投标文件时，以译文为准。</w:t>
      </w:r>
    </w:p>
    <w:p>
      <w:pPr>
        <w:spacing w:line="500" w:lineRule="exact"/>
        <w:ind w:firstLine="480" w:firstLineChars="200"/>
        <w:rPr>
          <w:rFonts w:ascii="宋体" w:cs="Times New Roman"/>
          <w:sz w:val="24"/>
          <w:szCs w:val="24"/>
        </w:rPr>
      </w:pPr>
      <w:r>
        <w:rPr>
          <w:rFonts w:ascii="宋体" w:hAnsi="宋体" w:cs="宋体"/>
          <w:sz w:val="24"/>
          <w:szCs w:val="24"/>
        </w:rPr>
        <w:t xml:space="preserve">9.3 </w:t>
      </w:r>
      <w:r>
        <w:rPr>
          <w:rFonts w:hint="eastAsia" w:ascii="宋体" w:hAnsi="宋体" w:cs="宋体"/>
          <w:sz w:val="24"/>
          <w:szCs w:val="24"/>
        </w:rPr>
        <w:t>除在招标文件第五部分中另有规定外，度量衡单位应使用国际单位制。</w:t>
      </w:r>
    </w:p>
    <w:p>
      <w:pPr>
        <w:spacing w:line="500" w:lineRule="exact"/>
        <w:ind w:firstLine="480" w:firstLineChars="200"/>
        <w:rPr>
          <w:rFonts w:ascii="宋体" w:cs="Times New Roman"/>
          <w:sz w:val="24"/>
          <w:szCs w:val="24"/>
        </w:rPr>
      </w:pPr>
      <w:r>
        <w:rPr>
          <w:rFonts w:ascii="宋体" w:hAnsi="宋体" w:cs="宋体"/>
          <w:sz w:val="24"/>
          <w:szCs w:val="24"/>
        </w:rPr>
        <w:t xml:space="preserve">9.4 </w:t>
      </w:r>
      <w:r>
        <w:rPr>
          <w:rFonts w:hint="eastAsia" w:ascii="宋体" w:hAnsi="宋体" w:cs="宋体"/>
          <w:sz w:val="24"/>
          <w:szCs w:val="24"/>
        </w:rPr>
        <w:t>本招标文件所表述的时间均为北京时间。</w:t>
      </w:r>
    </w:p>
    <w:p>
      <w:pPr>
        <w:tabs>
          <w:tab w:val="left" w:pos="4680"/>
        </w:tabs>
        <w:snapToGrid w:val="0"/>
        <w:spacing w:line="360" w:lineRule="auto"/>
        <w:outlineLvl w:val="0"/>
        <w:rPr>
          <w:rFonts w:cs="Times New Roman"/>
          <w:b/>
          <w:bCs/>
          <w:sz w:val="28"/>
          <w:szCs w:val="28"/>
        </w:rPr>
      </w:pPr>
      <w:bookmarkStart w:id="61" w:name="_Toc238907013"/>
      <w:bookmarkStart w:id="62" w:name="_Toc22414"/>
      <w:bookmarkStart w:id="63" w:name="_Toc468811098"/>
      <w:r>
        <w:rPr>
          <w:b/>
          <w:bCs/>
          <w:sz w:val="28"/>
          <w:szCs w:val="28"/>
        </w:rPr>
        <w:t>10</w:t>
      </w:r>
      <w:r>
        <w:rPr>
          <w:rFonts w:hint="eastAsia" w:cs="宋体"/>
          <w:b/>
          <w:bCs/>
          <w:sz w:val="28"/>
          <w:szCs w:val="28"/>
        </w:rPr>
        <w:t>．投标文件的组成</w:t>
      </w:r>
      <w:bookmarkEnd w:id="61"/>
      <w:bookmarkEnd w:id="62"/>
      <w:bookmarkEnd w:id="63"/>
    </w:p>
    <w:p>
      <w:pPr>
        <w:spacing w:line="500" w:lineRule="exact"/>
        <w:ind w:firstLine="480" w:firstLineChars="200"/>
        <w:rPr>
          <w:rFonts w:ascii="宋体" w:cs="Times New Roman"/>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 xml:space="preserve">l </w:t>
      </w:r>
      <w:r>
        <w:rPr>
          <w:rFonts w:hint="eastAsia" w:ascii="宋体" w:hAnsi="宋体" w:cs="宋体"/>
          <w:sz w:val="24"/>
          <w:szCs w:val="24"/>
        </w:rPr>
        <w:t>投标文件应包括下列部分（目录及有关格式按招标文件第五部分“投标文件格式”要求）：</w:t>
      </w:r>
    </w:p>
    <w:p>
      <w:pPr>
        <w:spacing w:line="500" w:lineRule="exact"/>
        <w:ind w:firstLine="480" w:firstLineChars="200"/>
        <w:rPr>
          <w:rFonts w:ascii="宋体" w:cs="Times New Roman"/>
          <w:sz w:val="24"/>
          <w:szCs w:val="24"/>
        </w:rPr>
      </w:pPr>
      <w:r>
        <w:rPr>
          <w:rFonts w:ascii="宋体" w:hAnsi="宋体" w:cs="宋体"/>
          <w:sz w:val="24"/>
          <w:szCs w:val="24"/>
        </w:rPr>
        <w:t xml:space="preserve">10.1.l </w:t>
      </w:r>
      <w:r>
        <w:rPr>
          <w:rFonts w:hint="eastAsia" w:ascii="宋体" w:hAnsi="宋体" w:cs="宋体"/>
          <w:sz w:val="24"/>
          <w:szCs w:val="24"/>
        </w:rPr>
        <w:t>投标函、投标报价及相关证明文件。</w:t>
      </w:r>
    </w:p>
    <w:p>
      <w:pPr>
        <w:spacing w:line="500" w:lineRule="exact"/>
        <w:ind w:firstLine="480" w:firstLineChars="200"/>
        <w:rPr>
          <w:rFonts w:ascii="宋体" w:cs="Times New Roman"/>
          <w:sz w:val="24"/>
          <w:szCs w:val="24"/>
        </w:rPr>
      </w:pPr>
      <w:r>
        <w:rPr>
          <w:rFonts w:ascii="宋体" w:hAnsi="宋体" w:cs="宋体"/>
          <w:sz w:val="24"/>
          <w:szCs w:val="24"/>
        </w:rPr>
        <w:t xml:space="preserve">10.1.2 </w:t>
      </w:r>
      <w:r>
        <w:rPr>
          <w:rFonts w:hint="eastAsia" w:ascii="宋体" w:hAnsi="宋体" w:cs="宋体"/>
          <w:sz w:val="24"/>
          <w:szCs w:val="24"/>
        </w:rPr>
        <w:t>投标人资格证明文件。</w:t>
      </w:r>
    </w:p>
    <w:p>
      <w:pPr>
        <w:spacing w:line="500" w:lineRule="exact"/>
        <w:ind w:firstLine="480" w:firstLineChars="200"/>
        <w:rPr>
          <w:rFonts w:ascii="宋体" w:cs="Times New Roman"/>
          <w:sz w:val="24"/>
          <w:szCs w:val="24"/>
        </w:rPr>
      </w:pPr>
      <w:r>
        <w:rPr>
          <w:rFonts w:ascii="宋体" w:hAnsi="宋体" w:cs="宋体"/>
          <w:sz w:val="24"/>
          <w:szCs w:val="24"/>
        </w:rPr>
        <w:t xml:space="preserve">10.2 </w:t>
      </w:r>
      <w:r>
        <w:rPr>
          <w:rFonts w:hint="eastAsia" w:ascii="宋体" w:hAnsi="宋体" w:cs="宋体"/>
          <w:sz w:val="24"/>
          <w:szCs w:val="24"/>
        </w:rPr>
        <w:t>招标文件第三部分中指出的工艺、材料和设备的标准，以及商标、牌号或其目录编号，仅起说明作用并非进行限制。</w:t>
      </w:r>
    </w:p>
    <w:p>
      <w:pPr>
        <w:spacing w:line="500" w:lineRule="exact"/>
        <w:ind w:firstLine="480" w:firstLineChars="200"/>
        <w:rPr>
          <w:rFonts w:ascii="宋体" w:cs="Times New Roman"/>
          <w:sz w:val="24"/>
          <w:szCs w:val="24"/>
        </w:rPr>
      </w:pPr>
      <w:r>
        <w:rPr>
          <w:rFonts w:ascii="宋体" w:hAnsi="宋体" w:cs="宋体"/>
          <w:sz w:val="24"/>
          <w:szCs w:val="24"/>
        </w:rPr>
        <w:t xml:space="preserve">10.3 </w:t>
      </w:r>
      <w:r>
        <w:rPr>
          <w:rFonts w:hint="eastAsia" w:ascii="宋体" w:hAnsi="宋体" w:cs="宋体"/>
          <w:sz w:val="24"/>
          <w:szCs w:val="24"/>
        </w:rPr>
        <w:t>若投标人未按招标文件的要求提供资料，或未对招标文件做出实质性响应，将导致投标文件被视为无效。</w:t>
      </w:r>
    </w:p>
    <w:p>
      <w:pPr>
        <w:tabs>
          <w:tab w:val="left" w:pos="4680"/>
        </w:tabs>
        <w:snapToGrid w:val="0"/>
        <w:spacing w:line="360" w:lineRule="auto"/>
        <w:outlineLvl w:val="0"/>
        <w:rPr>
          <w:rFonts w:cs="Times New Roman"/>
          <w:b/>
          <w:bCs/>
          <w:sz w:val="28"/>
          <w:szCs w:val="28"/>
        </w:rPr>
      </w:pPr>
      <w:bookmarkStart w:id="64" w:name="_Toc26475"/>
      <w:bookmarkStart w:id="65" w:name="_Toc238907014"/>
      <w:bookmarkStart w:id="66" w:name="_Toc468811099"/>
      <w:r>
        <w:rPr>
          <w:b/>
          <w:bCs/>
          <w:sz w:val="28"/>
          <w:szCs w:val="28"/>
        </w:rPr>
        <w:t>11</w:t>
      </w:r>
      <w:r>
        <w:rPr>
          <w:rFonts w:hint="eastAsia" w:cs="宋体"/>
          <w:b/>
          <w:bCs/>
          <w:sz w:val="28"/>
          <w:szCs w:val="28"/>
        </w:rPr>
        <w:t>．投标报价</w:t>
      </w:r>
      <w:bookmarkEnd w:id="64"/>
      <w:bookmarkEnd w:id="65"/>
      <w:bookmarkEnd w:id="66"/>
    </w:p>
    <w:p>
      <w:pPr>
        <w:spacing w:line="500" w:lineRule="exact"/>
        <w:ind w:firstLine="480" w:firstLineChars="200"/>
        <w:rPr>
          <w:rFonts w:ascii="宋体" w:cs="Times New Roman"/>
          <w:sz w:val="24"/>
          <w:szCs w:val="24"/>
        </w:rPr>
      </w:pPr>
      <w:r>
        <w:rPr>
          <w:rFonts w:ascii="宋体" w:hAnsi="宋体" w:cs="宋体"/>
          <w:sz w:val="24"/>
          <w:szCs w:val="24"/>
        </w:rPr>
        <w:t>11.1</w:t>
      </w:r>
      <w:r>
        <w:rPr>
          <w:rFonts w:hint="eastAsia" w:ascii="宋体" w:hAnsi="宋体" w:cs="宋体"/>
          <w:sz w:val="24"/>
          <w:szCs w:val="24"/>
        </w:rPr>
        <w:t>本次采购采用总承包方式，因此投标人的报价应包括全部货物、服务的价格及相关税费、运输到指定地点的装运费用、安装调试、培训、售后服务等其他有关的所有费用。</w:t>
      </w:r>
    </w:p>
    <w:p>
      <w:pPr>
        <w:spacing w:line="500" w:lineRule="exact"/>
        <w:ind w:firstLine="480" w:firstLineChars="200"/>
        <w:rPr>
          <w:rFonts w:ascii="宋体" w:cs="Times New Roman"/>
          <w:sz w:val="24"/>
          <w:szCs w:val="24"/>
        </w:rPr>
      </w:pPr>
      <w:r>
        <w:rPr>
          <w:rFonts w:ascii="宋体" w:hAnsi="宋体" w:cs="宋体"/>
          <w:sz w:val="24"/>
          <w:szCs w:val="24"/>
        </w:rPr>
        <w:t>11.2</w:t>
      </w:r>
      <w:r>
        <w:rPr>
          <w:rFonts w:hint="eastAsia" w:ascii="宋体" w:hAnsi="宋体" w:cs="宋体"/>
          <w:sz w:val="24"/>
          <w:szCs w:val="24"/>
        </w:rPr>
        <w:t>采购代理机构不接受任何有选择的报价，必须是唯一报价。</w:t>
      </w:r>
    </w:p>
    <w:p>
      <w:pPr>
        <w:spacing w:line="500" w:lineRule="exact"/>
        <w:ind w:firstLine="480" w:firstLineChars="200"/>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预中标人的投标报价超过采购预算的，必须征得采购人同意追加预算，否则，采购人有权拒绝预中标人，而递选下一个顺位排序人。</w:t>
      </w:r>
    </w:p>
    <w:p>
      <w:pPr>
        <w:tabs>
          <w:tab w:val="left" w:pos="4680"/>
        </w:tabs>
        <w:snapToGrid w:val="0"/>
        <w:spacing w:line="360" w:lineRule="auto"/>
        <w:outlineLvl w:val="0"/>
        <w:rPr>
          <w:rFonts w:cs="Times New Roman"/>
          <w:b/>
          <w:bCs/>
          <w:sz w:val="28"/>
          <w:szCs w:val="28"/>
        </w:rPr>
      </w:pPr>
      <w:bookmarkStart w:id="67" w:name="_Toc238907015"/>
      <w:bookmarkStart w:id="68" w:name="_Toc468811100"/>
      <w:bookmarkStart w:id="69" w:name="_Toc28217"/>
      <w:r>
        <w:rPr>
          <w:b/>
          <w:bCs/>
          <w:sz w:val="28"/>
          <w:szCs w:val="28"/>
        </w:rPr>
        <w:t xml:space="preserve">12. </w:t>
      </w:r>
      <w:r>
        <w:rPr>
          <w:rFonts w:hint="eastAsia" w:cs="宋体"/>
          <w:b/>
          <w:bCs/>
          <w:sz w:val="28"/>
          <w:szCs w:val="28"/>
        </w:rPr>
        <w:t>投标货币</w:t>
      </w:r>
      <w:bookmarkEnd w:id="67"/>
      <w:bookmarkEnd w:id="68"/>
      <w:bookmarkEnd w:id="69"/>
    </w:p>
    <w:p>
      <w:pPr>
        <w:spacing w:line="500" w:lineRule="exact"/>
        <w:ind w:firstLine="480" w:firstLineChars="200"/>
        <w:rPr>
          <w:rFonts w:ascii="宋体" w:cs="Times New Roman"/>
          <w:sz w:val="24"/>
          <w:szCs w:val="24"/>
        </w:rPr>
      </w:pPr>
      <w:r>
        <w:rPr>
          <w:rFonts w:ascii="宋体" w:hAnsi="宋体" w:cs="宋体"/>
          <w:sz w:val="24"/>
          <w:szCs w:val="24"/>
        </w:rPr>
        <w:t xml:space="preserve">12.1 </w:t>
      </w:r>
      <w:r>
        <w:rPr>
          <w:rFonts w:hint="eastAsia" w:ascii="宋体" w:hAnsi="宋体" w:cs="宋体"/>
          <w:sz w:val="24"/>
          <w:szCs w:val="24"/>
        </w:rPr>
        <w:t>投标报价均须以人民币为计算单位。招标文件另有规定的，从其规定。</w:t>
      </w:r>
    </w:p>
    <w:p>
      <w:pPr>
        <w:tabs>
          <w:tab w:val="left" w:pos="4680"/>
        </w:tabs>
        <w:snapToGrid w:val="0"/>
        <w:spacing w:line="360" w:lineRule="auto"/>
        <w:outlineLvl w:val="0"/>
        <w:rPr>
          <w:rFonts w:cs="Times New Roman"/>
          <w:b/>
          <w:bCs/>
          <w:sz w:val="28"/>
          <w:szCs w:val="28"/>
        </w:rPr>
      </w:pPr>
      <w:bookmarkStart w:id="70" w:name="_Toc8722"/>
      <w:bookmarkStart w:id="71" w:name="_Toc468811101"/>
      <w:r>
        <w:rPr>
          <w:b/>
          <w:bCs/>
          <w:sz w:val="28"/>
          <w:szCs w:val="28"/>
        </w:rPr>
        <w:t>13</w:t>
      </w:r>
      <w:r>
        <w:rPr>
          <w:rFonts w:hint="eastAsia" w:cs="宋体"/>
          <w:b/>
          <w:bCs/>
          <w:sz w:val="28"/>
          <w:szCs w:val="28"/>
        </w:rPr>
        <w:t>．投标保证金</w:t>
      </w:r>
      <w:bookmarkEnd w:id="70"/>
      <w:bookmarkEnd w:id="71"/>
    </w:p>
    <w:p>
      <w:pPr>
        <w:spacing w:line="500" w:lineRule="exact"/>
        <w:ind w:firstLine="480" w:firstLineChars="200"/>
        <w:rPr>
          <w:rFonts w:ascii="宋体" w:hAnsi="宋体" w:cs="宋体"/>
          <w:sz w:val="24"/>
          <w:szCs w:val="24"/>
        </w:rPr>
      </w:pPr>
      <w:r>
        <w:rPr>
          <w:rFonts w:hint="eastAsia" w:ascii="宋体" w:hAnsi="宋体" w:cs="宋体"/>
          <w:sz w:val="24"/>
          <w:szCs w:val="24"/>
        </w:rPr>
        <w:t>13.1投标保证金缴纳</w:t>
      </w:r>
    </w:p>
    <w:p>
      <w:pPr>
        <w:spacing w:line="500" w:lineRule="exact"/>
        <w:ind w:firstLine="480" w:firstLineChars="200"/>
        <w:rPr>
          <w:rFonts w:ascii="宋体" w:hAnsi="宋体" w:cs="宋体"/>
          <w:sz w:val="24"/>
          <w:szCs w:val="24"/>
        </w:rPr>
      </w:pPr>
      <w:r>
        <w:rPr>
          <w:rFonts w:hint="eastAsia" w:ascii="宋体" w:hAnsi="宋体" w:cs="宋体"/>
          <w:sz w:val="24"/>
          <w:szCs w:val="24"/>
        </w:rPr>
        <w:t>投标人应提交投标保证金：人民</w:t>
      </w:r>
      <w:r>
        <w:rPr>
          <w:rFonts w:hint="eastAsia" w:ascii="宋体" w:hAnsi="宋体" w:cs="宋体"/>
          <w:sz w:val="24"/>
          <w:szCs w:val="24"/>
          <w:lang w:val="en-US" w:eastAsia="zh-CN"/>
        </w:rPr>
        <w:t>玖仟</w:t>
      </w:r>
      <w:r>
        <w:rPr>
          <w:rFonts w:hint="eastAsia" w:ascii="宋体" w:hAnsi="宋体" w:cs="宋体"/>
          <w:sz w:val="24"/>
          <w:szCs w:val="24"/>
        </w:rPr>
        <w:t>元整（</w:t>
      </w:r>
      <w:r>
        <w:rPr>
          <w:rFonts w:hint="eastAsia" w:ascii="宋体" w:hAnsi="宋体" w:cs="宋体"/>
          <w:sz w:val="24"/>
          <w:szCs w:val="24"/>
          <w:lang w:val="en-US" w:eastAsia="zh-CN"/>
        </w:rPr>
        <w:t>9</w:t>
      </w:r>
      <w:r>
        <w:rPr>
          <w:rFonts w:hint="eastAsia" w:ascii="宋体" w:hAnsi="宋体" w:cs="宋体"/>
          <w:sz w:val="24"/>
          <w:szCs w:val="24"/>
        </w:rPr>
        <w:t>000.00元）；</w:t>
      </w:r>
    </w:p>
    <w:p>
      <w:pPr>
        <w:spacing w:line="500" w:lineRule="exact"/>
        <w:ind w:firstLine="480" w:firstLineChars="200"/>
        <w:rPr>
          <w:rFonts w:hint="eastAsia" w:ascii="宋体" w:hAnsi="宋体" w:cs="宋体"/>
          <w:sz w:val="24"/>
          <w:szCs w:val="24"/>
          <w:lang w:val="en-US" w:eastAsia="zh-CN"/>
        </w:rPr>
      </w:pPr>
      <w:r>
        <w:rPr>
          <w:rFonts w:hint="eastAsia" w:ascii="宋体" w:hAnsi="宋体" w:cs="宋体"/>
          <w:sz w:val="24"/>
          <w:szCs w:val="24"/>
        </w:rPr>
        <w:t>投标保证金的形式：</w:t>
      </w:r>
      <w:r>
        <w:rPr>
          <w:rFonts w:hint="eastAsia" w:ascii="宋体" w:hAnsi="宋体" w:cs="宋体"/>
          <w:sz w:val="24"/>
          <w:szCs w:val="24"/>
          <w:lang w:val="en-US" w:eastAsia="zh-CN"/>
        </w:rPr>
        <w:t>银行转账</w:t>
      </w:r>
    </w:p>
    <w:p>
      <w:pPr>
        <w:spacing w:line="500" w:lineRule="exact"/>
        <w:ind w:firstLine="480" w:firstLineChars="200"/>
        <w:rPr>
          <w:rFonts w:hint="eastAsia" w:ascii="宋体" w:hAnsi="宋体" w:cs="宋体"/>
          <w:sz w:val="24"/>
          <w:szCs w:val="24"/>
          <w:lang w:eastAsia="zh-CN"/>
        </w:rPr>
      </w:pPr>
      <w:r>
        <w:rPr>
          <w:rFonts w:hint="eastAsia" w:ascii="宋体" w:hAnsi="宋体" w:cs="宋体"/>
          <w:sz w:val="24"/>
          <w:szCs w:val="24"/>
          <w:lang w:eastAsia="zh-CN"/>
        </w:rPr>
        <w:t>银行：中国工商银行三亚榆林支行</w:t>
      </w:r>
    </w:p>
    <w:p>
      <w:pPr>
        <w:spacing w:line="500" w:lineRule="exact"/>
        <w:ind w:firstLine="480" w:firstLineChars="200"/>
        <w:rPr>
          <w:rFonts w:hint="eastAsia" w:ascii="宋体" w:hAnsi="宋体" w:cs="宋体"/>
          <w:sz w:val="24"/>
          <w:szCs w:val="24"/>
          <w:lang w:eastAsia="zh-CN"/>
        </w:rPr>
      </w:pPr>
      <w:r>
        <w:rPr>
          <w:rFonts w:hint="eastAsia" w:ascii="宋体" w:hAnsi="宋体" w:cs="宋体"/>
          <w:sz w:val="24"/>
          <w:szCs w:val="24"/>
          <w:lang w:eastAsia="zh-CN"/>
        </w:rPr>
        <w:t>账户：中国人民解放军91154部队</w:t>
      </w:r>
    </w:p>
    <w:p>
      <w:pPr>
        <w:spacing w:line="500" w:lineRule="exact"/>
        <w:ind w:firstLine="480" w:firstLineChars="200"/>
        <w:rPr>
          <w:rFonts w:hint="eastAsia" w:ascii="宋体" w:hAnsi="宋体" w:cs="宋体"/>
          <w:sz w:val="24"/>
          <w:szCs w:val="24"/>
          <w:lang w:eastAsia="zh-CN"/>
        </w:rPr>
      </w:pPr>
      <w:r>
        <w:rPr>
          <w:rFonts w:hint="eastAsia" w:ascii="宋体" w:hAnsi="宋体" w:cs="宋体"/>
          <w:sz w:val="24"/>
          <w:szCs w:val="24"/>
          <w:lang w:eastAsia="zh-CN"/>
        </w:rPr>
        <w:t>账号：2201 0287 0920 0034 849</w:t>
      </w:r>
    </w:p>
    <w:p>
      <w:pPr>
        <w:spacing w:line="500" w:lineRule="exact"/>
        <w:ind w:firstLine="482" w:firstLineChars="200"/>
        <w:rPr>
          <w:rFonts w:ascii="宋体" w:hAnsi="宋体" w:cs="宋体"/>
          <w:b/>
          <w:sz w:val="24"/>
          <w:szCs w:val="24"/>
        </w:rPr>
      </w:pPr>
      <w:r>
        <w:rPr>
          <w:rFonts w:hint="eastAsia" w:ascii="宋体" w:hAnsi="宋体" w:cs="宋体"/>
          <w:b/>
          <w:sz w:val="24"/>
          <w:szCs w:val="24"/>
        </w:rPr>
        <w:t>缴纳凭证以银行</w:t>
      </w:r>
      <w:r>
        <w:rPr>
          <w:rFonts w:hint="eastAsia" w:ascii="宋体" w:hAnsi="宋体" w:cs="宋体"/>
          <w:b/>
          <w:sz w:val="24"/>
          <w:szCs w:val="24"/>
          <w:lang w:eastAsia="zh-CN"/>
        </w:rPr>
        <w:t>转账凭证</w:t>
      </w:r>
      <w:r>
        <w:rPr>
          <w:rFonts w:hint="eastAsia" w:ascii="宋体" w:hAnsi="宋体" w:cs="宋体"/>
          <w:b/>
          <w:sz w:val="24"/>
          <w:szCs w:val="24"/>
        </w:rPr>
        <w:t>为准。</w:t>
      </w:r>
    </w:p>
    <w:p>
      <w:pPr>
        <w:spacing w:line="500" w:lineRule="exact"/>
        <w:ind w:firstLine="480" w:firstLineChars="200"/>
        <w:rPr>
          <w:rFonts w:ascii="宋体" w:cs="Times New Roman"/>
          <w:sz w:val="24"/>
          <w:szCs w:val="24"/>
        </w:rPr>
      </w:pPr>
      <w:r>
        <w:rPr>
          <w:rFonts w:ascii="宋体" w:hAnsi="宋体" w:cs="宋体"/>
          <w:sz w:val="24"/>
          <w:szCs w:val="24"/>
        </w:rPr>
        <w:t>13.</w:t>
      </w:r>
      <w:r>
        <w:rPr>
          <w:rFonts w:hint="eastAsia" w:ascii="宋体" w:hAnsi="宋体" w:cs="宋体"/>
          <w:sz w:val="24"/>
          <w:szCs w:val="24"/>
        </w:rPr>
        <w:t>2投标保证金的退还</w:t>
      </w:r>
      <w:bookmarkStart w:id="184" w:name="_GoBack"/>
      <w:bookmarkEnd w:id="184"/>
    </w:p>
    <w:p>
      <w:pPr>
        <w:spacing w:line="500" w:lineRule="exact"/>
        <w:ind w:firstLine="480" w:firstLineChars="200"/>
        <w:rPr>
          <w:rFonts w:ascii="宋体" w:cs="Times New Roman"/>
          <w:sz w:val="24"/>
          <w:szCs w:val="24"/>
        </w:rPr>
      </w:pPr>
      <w:r>
        <w:rPr>
          <w:rFonts w:ascii="宋体" w:hAnsi="宋体" w:cs="宋体"/>
          <w:sz w:val="24"/>
          <w:szCs w:val="24"/>
        </w:rPr>
        <w:t>13.</w:t>
      </w:r>
      <w:r>
        <w:rPr>
          <w:rFonts w:hint="eastAsia" w:ascii="宋体" w:hAnsi="宋体" w:cs="宋体"/>
          <w:sz w:val="24"/>
          <w:szCs w:val="24"/>
        </w:rPr>
        <w:t>2</w:t>
      </w:r>
      <w:r>
        <w:rPr>
          <w:rFonts w:ascii="宋体" w:hAnsi="宋体" w:cs="宋体"/>
          <w:sz w:val="24"/>
          <w:szCs w:val="24"/>
        </w:rPr>
        <w:t xml:space="preserve">.l </w:t>
      </w:r>
      <w:r>
        <w:rPr>
          <w:rFonts w:hint="eastAsia" w:ascii="宋体" w:hAnsi="宋体" w:cs="宋体"/>
          <w:sz w:val="24"/>
          <w:szCs w:val="24"/>
        </w:rPr>
        <w:t>中标人的投标保证金在其与采购人签订了采购合同后</w:t>
      </w:r>
      <w:r>
        <w:rPr>
          <w:rFonts w:ascii="宋体" w:hAnsi="宋体" w:cs="宋体"/>
          <w:sz w:val="24"/>
          <w:szCs w:val="24"/>
        </w:rPr>
        <w:t>5</w:t>
      </w:r>
      <w:r>
        <w:rPr>
          <w:rFonts w:hint="eastAsia" w:ascii="宋体" w:hAnsi="宋体" w:cs="宋体"/>
          <w:sz w:val="24"/>
          <w:szCs w:val="24"/>
        </w:rPr>
        <w:t>个工作日内办理退还手续。</w:t>
      </w:r>
    </w:p>
    <w:p>
      <w:pPr>
        <w:spacing w:line="500" w:lineRule="exact"/>
        <w:ind w:firstLine="480" w:firstLineChars="200"/>
        <w:rPr>
          <w:rFonts w:ascii="宋体" w:cs="Times New Roman"/>
          <w:sz w:val="24"/>
          <w:szCs w:val="24"/>
        </w:rPr>
      </w:pPr>
      <w:r>
        <w:rPr>
          <w:rFonts w:ascii="宋体" w:hAnsi="宋体" w:cs="宋体"/>
          <w:sz w:val="24"/>
          <w:szCs w:val="24"/>
        </w:rPr>
        <w:t>13.</w:t>
      </w:r>
      <w:r>
        <w:rPr>
          <w:rFonts w:hint="eastAsia" w:ascii="宋体" w:hAnsi="宋体" w:cs="宋体"/>
          <w:sz w:val="24"/>
          <w:szCs w:val="24"/>
        </w:rPr>
        <w:t>2</w:t>
      </w:r>
      <w:r>
        <w:rPr>
          <w:rFonts w:ascii="宋体" w:hAnsi="宋体" w:cs="宋体"/>
          <w:sz w:val="24"/>
          <w:szCs w:val="24"/>
        </w:rPr>
        <w:t xml:space="preserve">.2 </w:t>
      </w:r>
      <w:r>
        <w:rPr>
          <w:rFonts w:hint="eastAsia" w:ascii="宋体" w:hAnsi="宋体" w:cs="宋体"/>
          <w:sz w:val="24"/>
          <w:szCs w:val="24"/>
        </w:rPr>
        <w:t>落标的投标人的投标保证金将在采购代理机构发出中标通知书</w:t>
      </w:r>
      <w:r>
        <w:rPr>
          <w:rFonts w:ascii="宋体" w:hAnsi="宋体" w:cs="宋体"/>
          <w:sz w:val="24"/>
          <w:szCs w:val="24"/>
        </w:rPr>
        <w:t>5</w:t>
      </w:r>
      <w:r>
        <w:rPr>
          <w:rFonts w:hint="eastAsia" w:ascii="宋体" w:hAnsi="宋体" w:cs="宋体"/>
          <w:sz w:val="24"/>
          <w:szCs w:val="24"/>
        </w:rPr>
        <w:t>个工作日内办理退还手续。</w:t>
      </w:r>
    </w:p>
    <w:p>
      <w:pPr>
        <w:spacing w:line="500" w:lineRule="exact"/>
        <w:ind w:firstLine="480" w:firstLineChars="200"/>
        <w:rPr>
          <w:rFonts w:ascii="宋体" w:cs="Times New Roman"/>
          <w:sz w:val="24"/>
          <w:szCs w:val="24"/>
        </w:rPr>
      </w:pPr>
      <w:r>
        <w:rPr>
          <w:rFonts w:ascii="宋体" w:hAnsi="宋体" w:cs="宋体"/>
          <w:sz w:val="24"/>
          <w:szCs w:val="24"/>
        </w:rPr>
        <w:t>13.</w:t>
      </w:r>
      <w:r>
        <w:rPr>
          <w:rFonts w:hint="eastAsia" w:ascii="宋体" w:hAnsi="宋体" w:cs="宋体"/>
          <w:sz w:val="24"/>
          <w:szCs w:val="24"/>
        </w:rPr>
        <w:t>3发生下列情况之一，投标保证金将不予退还：</w:t>
      </w:r>
    </w:p>
    <w:p>
      <w:pPr>
        <w:spacing w:line="500" w:lineRule="exact"/>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）投标人在投标有效期内撤回投标；</w:t>
      </w:r>
    </w:p>
    <w:p>
      <w:pPr>
        <w:spacing w:line="500" w:lineRule="exact"/>
        <w:ind w:firstLine="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）中标人不按第31条规定签订合同；</w:t>
      </w:r>
    </w:p>
    <w:p>
      <w:pPr>
        <w:spacing w:line="500" w:lineRule="exact"/>
        <w:ind w:firstLine="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）投标人提供虚假材料谋取中标、成交的；</w:t>
      </w:r>
    </w:p>
    <w:p>
      <w:pPr>
        <w:spacing w:line="500" w:lineRule="exact"/>
        <w:ind w:firstLine="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）采取不正当手段诋毁、排挤其他供应商的；</w:t>
      </w:r>
    </w:p>
    <w:p>
      <w:pPr>
        <w:spacing w:line="500" w:lineRule="exact"/>
        <w:ind w:firstLine="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）与采购人、其他供应商或者采购代理机构恶意串通的；</w:t>
      </w:r>
    </w:p>
    <w:p>
      <w:pPr>
        <w:spacing w:line="500" w:lineRule="exact"/>
        <w:ind w:firstLine="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）向采购人、采购代理机构行贿或者提供其他不正当利益的；</w:t>
      </w:r>
    </w:p>
    <w:p>
      <w:pPr>
        <w:tabs>
          <w:tab w:val="left" w:pos="4680"/>
        </w:tabs>
        <w:snapToGrid w:val="0"/>
        <w:spacing w:line="360" w:lineRule="auto"/>
        <w:outlineLvl w:val="0"/>
        <w:rPr>
          <w:rFonts w:cs="Times New Roman"/>
          <w:b/>
          <w:bCs/>
          <w:sz w:val="28"/>
          <w:szCs w:val="28"/>
        </w:rPr>
      </w:pPr>
      <w:bookmarkStart w:id="72" w:name="_Toc238907017"/>
      <w:bookmarkStart w:id="73" w:name="_Toc11114"/>
      <w:bookmarkStart w:id="74" w:name="_Toc468811102"/>
      <w:r>
        <w:rPr>
          <w:b/>
          <w:bCs/>
          <w:sz w:val="28"/>
          <w:szCs w:val="28"/>
        </w:rPr>
        <w:t>14</w:t>
      </w:r>
      <w:r>
        <w:rPr>
          <w:rFonts w:hint="eastAsia" w:cs="宋体"/>
          <w:b/>
          <w:bCs/>
          <w:sz w:val="28"/>
          <w:szCs w:val="28"/>
        </w:rPr>
        <w:t>．投标有效期</w:t>
      </w:r>
      <w:bookmarkEnd w:id="72"/>
      <w:bookmarkEnd w:id="73"/>
      <w:bookmarkEnd w:id="74"/>
    </w:p>
    <w:p>
      <w:pPr>
        <w:spacing w:line="500" w:lineRule="exact"/>
        <w:ind w:firstLine="480" w:firstLineChars="200"/>
        <w:rPr>
          <w:rFonts w:ascii="宋体" w:cs="Times New Roman"/>
          <w:sz w:val="24"/>
          <w:szCs w:val="24"/>
        </w:rPr>
      </w:pPr>
      <w:r>
        <w:rPr>
          <w:rFonts w:ascii="宋体" w:hAnsi="宋体" w:cs="宋体"/>
          <w:sz w:val="24"/>
          <w:szCs w:val="24"/>
        </w:rPr>
        <w:t xml:space="preserve">14.l </w:t>
      </w:r>
      <w:r>
        <w:rPr>
          <w:rFonts w:hint="eastAsia" w:ascii="宋体" w:hAnsi="宋体" w:cs="宋体"/>
          <w:sz w:val="24"/>
          <w:szCs w:val="24"/>
        </w:rPr>
        <w:t>投标有效期为从开标截止之日起计算的</w:t>
      </w:r>
      <w:r>
        <w:rPr>
          <w:rFonts w:hint="eastAsia" w:ascii="宋体" w:hAnsi="宋体" w:cs="宋体"/>
          <w:b/>
          <w:bCs/>
          <w:sz w:val="24"/>
          <w:szCs w:val="24"/>
          <w:u w:val="single"/>
        </w:rPr>
        <w:t>六十天</w:t>
      </w:r>
      <w:r>
        <w:rPr>
          <w:rFonts w:hint="eastAsia" w:ascii="宋体" w:hAnsi="宋体" w:cs="宋体"/>
          <w:sz w:val="24"/>
          <w:szCs w:val="24"/>
        </w:rPr>
        <w:t>，有效期短于此规定的投标文件将被视为无效。</w:t>
      </w:r>
    </w:p>
    <w:p>
      <w:pPr>
        <w:spacing w:line="500" w:lineRule="exact"/>
        <w:ind w:firstLine="480" w:firstLineChars="200"/>
        <w:rPr>
          <w:rFonts w:ascii="宋体" w:cs="Times New Roman"/>
          <w:sz w:val="24"/>
          <w:szCs w:val="24"/>
        </w:rPr>
      </w:pPr>
      <w:r>
        <w:rPr>
          <w:rFonts w:ascii="宋体" w:hAnsi="宋体" w:cs="宋体"/>
          <w:sz w:val="24"/>
          <w:szCs w:val="24"/>
        </w:rPr>
        <w:t xml:space="preserve">14.2 </w:t>
      </w:r>
      <w:r>
        <w:rPr>
          <w:rFonts w:hint="eastAsia" w:ascii="宋体" w:hAnsi="宋体" w:cs="宋体"/>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tabs>
          <w:tab w:val="left" w:pos="4680"/>
        </w:tabs>
        <w:snapToGrid w:val="0"/>
        <w:spacing w:line="360" w:lineRule="auto"/>
        <w:outlineLvl w:val="0"/>
        <w:rPr>
          <w:rFonts w:cs="Times New Roman"/>
          <w:b/>
          <w:bCs/>
          <w:sz w:val="28"/>
          <w:szCs w:val="28"/>
        </w:rPr>
      </w:pPr>
      <w:bookmarkStart w:id="75" w:name="_Toc468811103"/>
      <w:bookmarkStart w:id="76" w:name="_Toc26531"/>
      <w:bookmarkStart w:id="77" w:name="_Toc238907018"/>
      <w:r>
        <w:rPr>
          <w:b/>
          <w:bCs/>
          <w:sz w:val="28"/>
          <w:szCs w:val="28"/>
        </w:rPr>
        <w:t>15</w:t>
      </w:r>
      <w:r>
        <w:rPr>
          <w:rFonts w:hint="eastAsia" w:cs="宋体"/>
          <w:b/>
          <w:bCs/>
          <w:sz w:val="28"/>
          <w:szCs w:val="28"/>
        </w:rPr>
        <w:t>．投标文件的数量、签署及形式</w:t>
      </w:r>
      <w:bookmarkEnd w:id="75"/>
      <w:bookmarkEnd w:id="76"/>
      <w:bookmarkEnd w:id="77"/>
    </w:p>
    <w:p>
      <w:pPr>
        <w:spacing w:line="500" w:lineRule="exact"/>
        <w:ind w:firstLine="480" w:firstLineChars="200"/>
        <w:rPr>
          <w:rFonts w:ascii="宋体" w:cs="Times New Roman"/>
          <w:sz w:val="24"/>
          <w:szCs w:val="24"/>
        </w:rPr>
      </w:pPr>
      <w:r>
        <w:rPr>
          <w:rFonts w:ascii="宋体" w:hAnsi="宋体" w:cs="宋体"/>
          <w:sz w:val="24"/>
          <w:szCs w:val="24"/>
        </w:rPr>
        <w:t>15.1</w:t>
      </w:r>
      <w:r>
        <w:rPr>
          <w:rFonts w:hint="eastAsia" w:ascii="宋体" w:hAnsi="宋体" w:cs="宋体"/>
          <w:sz w:val="24"/>
          <w:szCs w:val="24"/>
        </w:rPr>
        <w:t>投标文件一式伍份，固定无线胶装订。其中正本壹份、副本肆份。每份投标文件均在封面上清楚标明“正本”或“副本”字样。“正本”和“副本”之间如有差异，以正本为准。</w:t>
      </w:r>
    </w:p>
    <w:p>
      <w:pPr>
        <w:spacing w:line="500" w:lineRule="exact"/>
        <w:ind w:firstLine="480" w:firstLineChars="200"/>
        <w:rPr>
          <w:rFonts w:ascii="宋体" w:cs="Times New Roman"/>
          <w:sz w:val="24"/>
          <w:szCs w:val="24"/>
        </w:rPr>
      </w:pPr>
      <w:r>
        <w:rPr>
          <w:rFonts w:ascii="宋体" w:hAnsi="宋体" w:cs="宋体"/>
          <w:sz w:val="24"/>
          <w:szCs w:val="24"/>
        </w:rPr>
        <w:t xml:space="preserve">15.2 </w:t>
      </w:r>
      <w:r>
        <w:rPr>
          <w:rFonts w:hint="eastAsia" w:ascii="宋体" w:hAnsi="宋体" w:cs="宋体"/>
          <w:sz w:val="24"/>
          <w:szCs w:val="24"/>
        </w:rPr>
        <w:t>投标文件正本中，除招标文件中规定的可提交复印件外，其他文件均须提交原件，文字材料需打印或用不褪色墨水书写。投标文件的正本须经法定代表人或授权代表人签名和加盖投标人公章，副本可以是正本的复印件，副本与正本不一致的，以正本为准。</w:t>
      </w:r>
    </w:p>
    <w:p>
      <w:pPr>
        <w:spacing w:line="500" w:lineRule="exact"/>
        <w:ind w:firstLine="480" w:firstLineChars="200"/>
        <w:rPr>
          <w:rFonts w:ascii="宋体" w:cs="Times New Roman"/>
          <w:sz w:val="24"/>
          <w:szCs w:val="24"/>
        </w:rPr>
      </w:pPr>
      <w:r>
        <w:rPr>
          <w:rFonts w:ascii="宋体" w:hAnsi="宋体" w:cs="宋体"/>
          <w:sz w:val="24"/>
          <w:szCs w:val="24"/>
        </w:rPr>
        <w:t xml:space="preserve">15.3 </w:t>
      </w:r>
      <w:r>
        <w:rPr>
          <w:rFonts w:hint="eastAsia" w:ascii="宋体" w:hAnsi="宋体" w:cs="宋体"/>
          <w:sz w:val="24"/>
          <w:szCs w:val="24"/>
        </w:rPr>
        <w:t>投标文件如有错误必须修改时，修改处须由法人代表或授权代表签名或加盖公章。</w:t>
      </w:r>
    </w:p>
    <w:p>
      <w:pPr>
        <w:tabs>
          <w:tab w:val="left" w:pos="4680"/>
        </w:tabs>
        <w:snapToGrid w:val="0"/>
        <w:spacing w:line="360" w:lineRule="auto"/>
        <w:outlineLvl w:val="0"/>
        <w:rPr>
          <w:rFonts w:cs="Times New Roman"/>
          <w:b/>
          <w:bCs/>
          <w:sz w:val="28"/>
          <w:szCs w:val="28"/>
        </w:rPr>
      </w:pPr>
      <w:bookmarkStart w:id="78" w:name="_Toc5478"/>
      <w:r>
        <w:rPr>
          <w:b/>
          <w:bCs/>
          <w:sz w:val="28"/>
          <w:szCs w:val="28"/>
        </w:rPr>
        <w:t>16</w:t>
      </w:r>
      <w:r>
        <w:rPr>
          <w:rFonts w:hint="eastAsia" w:cs="宋体"/>
          <w:b/>
          <w:bCs/>
          <w:sz w:val="28"/>
          <w:szCs w:val="28"/>
        </w:rPr>
        <w:t>．联合体投标</w:t>
      </w:r>
      <w:bookmarkEnd w:id="78"/>
    </w:p>
    <w:p>
      <w:pPr>
        <w:spacing w:line="360" w:lineRule="auto"/>
        <w:ind w:firstLine="480" w:firstLineChars="200"/>
        <w:rPr>
          <w:rFonts w:ascii="宋体" w:cs="Times New Roman"/>
          <w:sz w:val="24"/>
          <w:szCs w:val="24"/>
        </w:rPr>
      </w:pPr>
      <w:r>
        <w:rPr>
          <w:rFonts w:ascii="宋体" w:hAnsi="宋体" w:cs="宋体"/>
          <w:sz w:val="24"/>
          <w:szCs w:val="24"/>
        </w:rPr>
        <w:t>16.1</w:t>
      </w:r>
      <w:r>
        <w:rPr>
          <w:rFonts w:hint="eastAsia" w:ascii="宋体" w:hAnsi="宋体" w:cs="宋体"/>
          <w:sz w:val="24"/>
          <w:szCs w:val="24"/>
        </w:rPr>
        <w:t>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360" w:lineRule="auto"/>
        <w:ind w:firstLine="480" w:firstLineChars="200"/>
        <w:rPr>
          <w:rFonts w:ascii="宋体" w:cs="Times New Roman"/>
          <w:sz w:val="24"/>
          <w:szCs w:val="24"/>
        </w:rPr>
      </w:pPr>
      <w:r>
        <w:rPr>
          <w:rFonts w:ascii="宋体" w:hAnsi="宋体" w:cs="宋体"/>
          <w:sz w:val="24"/>
          <w:szCs w:val="24"/>
        </w:rPr>
        <w:t>16.2</w:t>
      </w:r>
      <w:r>
        <w:rPr>
          <w:rFonts w:hint="eastAsia" w:ascii="宋体" w:hAnsi="宋体" w:cs="宋体"/>
          <w:sz w:val="24"/>
          <w:szCs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pPr>
        <w:spacing w:line="360" w:lineRule="auto"/>
        <w:ind w:firstLine="480" w:firstLineChars="200"/>
        <w:rPr>
          <w:rFonts w:ascii="宋体" w:cs="Times New Roman"/>
          <w:sz w:val="24"/>
          <w:szCs w:val="24"/>
        </w:rPr>
      </w:pPr>
      <w:r>
        <w:rPr>
          <w:rFonts w:ascii="宋体" w:hAnsi="宋体" w:cs="宋体"/>
          <w:sz w:val="24"/>
          <w:szCs w:val="24"/>
        </w:rPr>
        <w:t>16</w:t>
      </w:r>
      <w:r>
        <w:rPr>
          <w:rFonts w:ascii="宋体" w:cs="宋体"/>
          <w:sz w:val="24"/>
          <w:szCs w:val="24"/>
        </w:rPr>
        <w:t>.</w:t>
      </w:r>
      <w:r>
        <w:rPr>
          <w:rFonts w:ascii="宋体" w:hAnsi="宋体" w:cs="宋体"/>
          <w:sz w:val="24"/>
          <w:szCs w:val="24"/>
        </w:rPr>
        <w:t xml:space="preserve">3 </w:t>
      </w:r>
      <w:r>
        <w:rPr>
          <w:rFonts w:hint="eastAsia" w:ascii="宋体" w:hAnsi="宋体" w:cs="宋体"/>
          <w:sz w:val="24"/>
          <w:szCs w:val="24"/>
        </w:rPr>
        <w:t>联合体应当确定其中一个单位为投标的全权代表，负责参加投标的一切事务，并承担投标及履约中应承担的全部责任与义务。</w:t>
      </w:r>
    </w:p>
    <w:p>
      <w:pPr>
        <w:spacing w:line="360" w:lineRule="auto"/>
        <w:ind w:firstLine="480" w:firstLineChars="200"/>
        <w:rPr>
          <w:rFonts w:ascii="宋体" w:cs="Times New Roman"/>
          <w:sz w:val="24"/>
          <w:szCs w:val="24"/>
        </w:rPr>
      </w:pPr>
      <w:r>
        <w:rPr>
          <w:rFonts w:ascii="宋体" w:hAnsi="宋体" w:cs="宋体"/>
          <w:sz w:val="24"/>
          <w:szCs w:val="24"/>
        </w:rPr>
        <w:t>16</w:t>
      </w:r>
      <w:r>
        <w:rPr>
          <w:rFonts w:ascii="宋体" w:cs="宋体"/>
          <w:sz w:val="24"/>
          <w:szCs w:val="24"/>
        </w:rPr>
        <w:t>.</w:t>
      </w:r>
      <w:r>
        <w:rPr>
          <w:rFonts w:ascii="宋体" w:hAnsi="宋体" w:cs="宋体"/>
          <w:sz w:val="24"/>
          <w:szCs w:val="24"/>
        </w:rPr>
        <w:t xml:space="preserve">4 </w:t>
      </w:r>
      <w:r>
        <w:rPr>
          <w:rFonts w:hint="eastAsia" w:ascii="宋体" w:hAnsi="宋体" w:cs="宋体"/>
          <w:sz w:val="24"/>
          <w:szCs w:val="24"/>
        </w:rPr>
        <w:t>联合体各方应当共同与采购人签订采购合同，就采购合同约定的事项对采购人承担连带责任。</w:t>
      </w:r>
    </w:p>
    <w:p>
      <w:pPr>
        <w:spacing w:line="360" w:lineRule="auto"/>
        <w:ind w:firstLine="480" w:firstLineChars="200"/>
        <w:rPr>
          <w:rFonts w:ascii="宋体" w:cs="Times New Roman"/>
          <w:sz w:val="24"/>
          <w:szCs w:val="24"/>
        </w:rPr>
      </w:pPr>
      <w:r>
        <w:rPr>
          <w:rFonts w:ascii="宋体" w:hAnsi="宋体" w:cs="宋体"/>
          <w:sz w:val="24"/>
          <w:szCs w:val="24"/>
        </w:rPr>
        <w:t>16.5</w:t>
      </w:r>
      <w:r>
        <w:rPr>
          <w:rFonts w:hint="eastAsia" w:ascii="宋体" w:hAnsi="宋体" w:cs="宋体"/>
          <w:sz w:val="24"/>
          <w:szCs w:val="24"/>
        </w:rPr>
        <w:t>本次政府采购活动不接受联合体投标。</w:t>
      </w:r>
    </w:p>
    <w:p>
      <w:pPr>
        <w:tabs>
          <w:tab w:val="left" w:pos="4680"/>
        </w:tabs>
        <w:snapToGrid w:val="0"/>
        <w:spacing w:line="360" w:lineRule="auto"/>
        <w:outlineLvl w:val="0"/>
        <w:rPr>
          <w:rFonts w:cs="Times New Roman"/>
          <w:b/>
          <w:bCs/>
          <w:sz w:val="28"/>
          <w:szCs w:val="28"/>
        </w:rPr>
      </w:pPr>
      <w:bookmarkStart w:id="79" w:name="_Toc25415"/>
      <w:bookmarkStart w:id="80" w:name="_Toc217446047"/>
      <w:r>
        <w:rPr>
          <w:b/>
          <w:bCs/>
          <w:sz w:val="28"/>
          <w:szCs w:val="28"/>
        </w:rPr>
        <w:t>17.</w:t>
      </w:r>
      <w:r>
        <w:rPr>
          <w:rFonts w:hint="eastAsia" w:cs="宋体"/>
          <w:b/>
          <w:bCs/>
          <w:sz w:val="28"/>
          <w:szCs w:val="28"/>
        </w:rPr>
        <w:t>知识产权</w:t>
      </w:r>
      <w:bookmarkEnd w:id="79"/>
      <w:bookmarkEnd w:id="80"/>
    </w:p>
    <w:p>
      <w:pPr>
        <w:pStyle w:val="20"/>
        <w:spacing w:line="360" w:lineRule="auto"/>
        <w:ind w:left="0" w:leftChars="0"/>
        <w:rPr>
          <w:rFonts w:ascii="宋体" w:cs="Times New Roman"/>
          <w:sz w:val="24"/>
          <w:szCs w:val="24"/>
        </w:rPr>
      </w:pPr>
      <w:r>
        <w:rPr>
          <w:rFonts w:ascii="宋体" w:hAnsi="宋体" w:cs="宋体"/>
          <w:sz w:val="24"/>
          <w:szCs w:val="24"/>
        </w:rPr>
        <w:t xml:space="preserve">   17.1 </w:t>
      </w:r>
      <w:r>
        <w:rPr>
          <w:rFonts w:hint="eastAsia" w:ascii="宋体" w:hAnsi="宋体" w:cs="宋体"/>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0"/>
        <w:spacing w:line="360" w:lineRule="auto"/>
        <w:rPr>
          <w:rFonts w:ascii="宋体" w:cs="Times New Roman"/>
          <w:sz w:val="24"/>
          <w:szCs w:val="24"/>
        </w:rPr>
      </w:pPr>
      <w:r>
        <w:rPr>
          <w:rFonts w:ascii="宋体" w:hAnsi="宋体" w:cs="宋体"/>
          <w:sz w:val="24"/>
          <w:szCs w:val="24"/>
        </w:rPr>
        <w:t xml:space="preserve">17.2 </w:t>
      </w:r>
      <w:r>
        <w:rPr>
          <w:rFonts w:hint="eastAsia" w:ascii="宋体" w:hAnsi="宋体" w:cs="宋体"/>
          <w:sz w:val="24"/>
          <w:szCs w:val="24"/>
        </w:rPr>
        <w:t>采购人享有本项目实施过程中产生的知识成果及知识产权。</w:t>
      </w:r>
    </w:p>
    <w:p>
      <w:pPr>
        <w:spacing w:line="360" w:lineRule="auto"/>
        <w:rPr>
          <w:rFonts w:ascii="宋体" w:cs="Times New Roman"/>
          <w:sz w:val="24"/>
          <w:szCs w:val="24"/>
        </w:rPr>
      </w:pPr>
      <w:r>
        <w:rPr>
          <w:rFonts w:ascii="宋体" w:hAnsi="宋体" w:cs="宋体"/>
          <w:sz w:val="24"/>
          <w:szCs w:val="24"/>
        </w:rPr>
        <w:t xml:space="preserve">   17.3 </w:t>
      </w:r>
      <w:r>
        <w:rPr>
          <w:rFonts w:hint="eastAsia" w:ascii="宋体" w:hAnsi="宋体" w:cs="宋体"/>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360" w:firstLineChars="150"/>
        <w:rPr>
          <w:rFonts w:ascii="宋体" w:cs="Times New Roman"/>
          <w:sz w:val="24"/>
          <w:szCs w:val="24"/>
        </w:rPr>
      </w:pPr>
      <w:r>
        <w:rPr>
          <w:rFonts w:ascii="宋体" w:hAnsi="宋体" w:cs="宋体"/>
          <w:sz w:val="24"/>
          <w:szCs w:val="24"/>
        </w:rPr>
        <w:t xml:space="preserve">17.4 </w:t>
      </w:r>
      <w:r>
        <w:rPr>
          <w:rFonts w:hint="eastAsia" w:ascii="宋体" w:hAnsi="宋体" w:cs="宋体"/>
          <w:sz w:val="24"/>
          <w:szCs w:val="24"/>
        </w:rPr>
        <w:t>如采用投标人所不拥有的知识产权，则在投标报价中必须包括合法获取该知识产权的相关费用。</w:t>
      </w:r>
      <w:bookmarkStart w:id="81" w:name="_Toc468811104"/>
      <w:bookmarkStart w:id="82" w:name="_Toc238907019"/>
    </w:p>
    <w:p>
      <w:pPr>
        <w:tabs>
          <w:tab w:val="left" w:pos="4680"/>
        </w:tabs>
        <w:snapToGrid w:val="0"/>
        <w:spacing w:line="360" w:lineRule="auto"/>
        <w:jc w:val="center"/>
        <w:outlineLvl w:val="0"/>
        <w:rPr>
          <w:rFonts w:cs="Times New Roman"/>
          <w:b/>
          <w:bCs/>
          <w:sz w:val="28"/>
          <w:szCs w:val="28"/>
        </w:rPr>
      </w:pPr>
      <w:bookmarkStart w:id="83" w:name="_Toc14553"/>
      <w:r>
        <w:rPr>
          <w:rFonts w:hint="eastAsia" w:cs="宋体"/>
          <w:b/>
          <w:bCs/>
          <w:sz w:val="28"/>
          <w:szCs w:val="28"/>
        </w:rPr>
        <w:t>四、投标文件的递交</w:t>
      </w:r>
      <w:bookmarkEnd w:id="81"/>
      <w:bookmarkEnd w:id="82"/>
      <w:bookmarkEnd w:id="83"/>
    </w:p>
    <w:p>
      <w:pPr>
        <w:tabs>
          <w:tab w:val="left" w:pos="4680"/>
        </w:tabs>
        <w:snapToGrid w:val="0"/>
        <w:spacing w:line="360" w:lineRule="auto"/>
        <w:outlineLvl w:val="0"/>
        <w:rPr>
          <w:rFonts w:cs="Times New Roman"/>
          <w:b/>
          <w:bCs/>
          <w:sz w:val="28"/>
          <w:szCs w:val="28"/>
        </w:rPr>
      </w:pPr>
      <w:bookmarkStart w:id="84" w:name="_Toc238907020"/>
      <w:bookmarkStart w:id="85" w:name="_Toc27766"/>
      <w:bookmarkStart w:id="86" w:name="_Toc468811105"/>
      <w:r>
        <w:rPr>
          <w:b/>
          <w:bCs/>
          <w:sz w:val="28"/>
          <w:szCs w:val="28"/>
        </w:rPr>
        <w:t>18</w:t>
      </w:r>
      <w:r>
        <w:rPr>
          <w:rFonts w:hint="eastAsia" w:cs="宋体"/>
          <w:b/>
          <w:bCs/>
          <w:sz w:val="28"/>
          <w:szCs w:val="28"/>
        </w:rPr>
        <w:t>．投标文件的密封及标记</w:t>
      </w:r>
      <w:bookmarkEnd w:id="84"/>
      <w:bookmarkEnd w:id="85"/>
      <w:bookmarkEnd w:id="86"/>
    </w:p>
    <w:p>
      <w:pPr>
        <w:spacing w:line="500" w:lineRule="exact"/>
        <w:ind w:firstLine="480" w:firstLineChars="200"/>
        <w:rPr>
          <w:rFonts w:ascii="宋体" w:cs="Times New Roman"/>
          <w:sz w:val="24"/>
          <w:szCs w:val="24"/>
        </w:rPr>
      </w:pPr>
      <w:r>
        <w:rPr>
          <w:rFonts w:ascii="宋体" w:hAnsi="宋体" w:cs="宋体"/>
          <w:sz w:val="24"/>
          <w:szCs w:val="24"/>
        </w:rPr>
        <w:t>18</w:t>
      </w:r>
      <w:r>
        <w:rPr>
          <w:rFonts w:hint="eastAsia" w:ascii="宋体" w:hAnsi="宋体" w:cs="宋体"/>
          <w:sz w:val="24"/>
          <w:szCs w:val="24"/>
        </w:rPr>
        <w:t>．</w:t>
      </w:r>
      <w:r>
        <w:rPr>
          <w:rFonts w:ascii="宋体" w:hAnsi="宋体" w:cs="宋体"/>
          <w:sz w:val="24"/>
          <w:szCs w:val="24"/>
        </w:rPr>
        <w:t xml:space="preserve">l </w:t>
      </w:r>
      <w:r>
        <w:rPr>
          <w:rFonts w:hint="eastAsia" w:ascii="宋体" w:hAnsi="宋体" w:cs="宋体"/>
          <w:sz w:val="24"/>
          <w:szCs w:val="24"/>
        </w:rPr>
        <w:t>投标人应将投标文件密封在投标专用袋（箱）中，并在投标专用袋（箱）上标明“正本”“副本”字样，封口处应加盖骑缝章。</w:t>
      </w:r>
    </w:p>
    <w:p>
      <w:pPr>
        <w:spacing w:line="500" w:lineRule="exact"/>
        <w:ind w:firstLine="480" w:firstLineChars="200"/>
        <w:rPr>
          <w:rFonts w:ascii="宋体" w:cs="Times New Roman"/>
          <w:sz w:val="24"/>
          <w:szCs w:val="24"/>
        </w:rPr>
      </w:pPr>
      <w:r>
        <w:rPr>
          <w:rFonts w:ascii="宋体" w:hAnsi="宋体" w:cs="宋体"/>
          <w:sz w:val="24"/>
          <w:szCs w:val="24"/>
        </w:rPr>
        <w:t xml:space="preserve">18.2 </w:t>
      </w:r>
      <w:r>
        <w:rPr>
          <w:rFonts w:hint="eastAsia" w:ascii="宋体" w:hAnsi="宋体" w:cs="宋体"/>
          <w:sz w:val="24"/>
          <w:szCs w:val="24"/>
        </w:rPr>
        <w:t>投标专用袋（箱）上须按采购代理机构提供的格式注明：</w:t>
      </w:r>
    </w:p>
    <w:p>
      <w:pPr>
        <w:spacing w:line="500" w:lineRule="exact"/>
        <w:rPr>
          <w:rFonts w:ascii="宋体" w:cs="Times New Roman"/>
          <w:sz w:val="24"/>
          <w:szCs w:val="24"/>
        </w:rPr>
      </w:pPr>
      <w:r>
        <w:rPr>
          <w:rFonts w:hint="eastAsia" w:ascii="宋体" w:hAnsi="宋体" w:cs="宋体"/>
          <w:sz w:val="24"/>
          <w:szCs w:val="24"/>
        </w:rPr>
        <w:t>（</w:t>
      </w:r>
      <w:r>
        <w:rPr>
          <w:rFonts w:ascii="宋体" w:hAnsi="宋体" w:cs="宋体"/>
          <w:sz w:val="24"/>
          <w:szCs w:val="24"/>
        </w:rPr>
        <w:t>l</w:t>
      </w:r>
      <w:r>
        <w:rPr>
          <w:rFonts w:hint="eastAsia" w:ascii="宋体" w:hAnsi="宋体" w:cs="宋体"/>
          <w:sz w:val="24"/>
          <w:szCs w:val="24"/>
        </w:rPr>
        <w:t>）项目编号及项目名称；</w:t>
      </w:r>
    </w:p>
    <w:p>
      <w:pPr>
        <w:spacing w:line="500" w:lineRule="exact"/>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）分包号（如有的话）；</w:t>
      </w:r>
    </w:p>
    <w:p>
      <w:pPr>
        <w:spacing w:line="500" w:lineRule="exac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）投标人的名称、地址、联系人、电话和传真。</w:t>
      </w:r>
    </w:p>
    <w:p>
      <w:pPr>
        <w:spacing w:line="500" w:lineRule="exact"/>
        <w:ind w:firstLine="480" w:firstLineChars="200"/>
        <w:rPr>
          <w:rFonts w:ascii="宋体" w:cs="Times New Roman"/>
          <w:sz w:val="24"/>
          <w:szCs w:val="24"/>
        </w:rPr>
      </w:pPr>
      <w:r>
        <w:rPr>
          <w:rFonts w:ascii="宋体" w:hAnsi="宋体" w:cs="宋体"/>
          <w:sz w:val="24"/>
          <w:szCs w:val="24"/>
        </w:rPr>
        <w:t xml:space="preserve">18.3 </w:t>
      </w:r>
      <w:r>
        <w:rPr>
          <w:rFonts w:hint="eastAsia" w:ascii="宋体" w:hAnsi="宋体" w:cs="宋体"/>
          <w:sz w:val="24"/>
          <w:szCs w:val="24"/>
        </w:rPr>
        <w:t>投标文件未按第</w:t>
      </w:r>
      <w:r>
        <w:rPr>
          <w:rFonts w:ascii="宋体" w:hAnsi="宋体" w:cs="宋体"/>
          <w:sz w:val="24"/>
          <w:szCs w:val="24"/>
        </w:rPr>
        <w:t xml:space="preserve"> 16.l</w:t>
      </w:r>
      <w:r>
        <w:rPr>
          <w:rFonts w:hint="eastAsia" w:ascii="宋体" w:hAnsi="宋体" w:cs="宋体"/>
          <w:sz w:val="24"/>
          <w:szCs w:val="24"/>
        </w:rPr>
        <w:t>和</w:t>
      </w:r>
      <w:r>
        <w:rPr>
          <w:rFonts w:ascii="宋体" w:hAnsi="宋体" w:cs="宋体"/>
          <w:sz w:val="24"/>
          <w:szCs w:val="24"/>
        </w:rPr>
        <w:t xml:space="preserve"> 16.2</w:t>
      </w:r>
      <w:r>
        <w:rPr>
          <w:rFonts w:hint="eastAsia" w:ascii="宋体" w:hAnsi="宋体" w:cs="宋体"/>
          <w:sz w:val="24"/>
          <w:szCs w:val="24"/>
        </w:rPr>
        <w:t>条规定书写标记和密封者，采购代理机构不对投标文件被错放或先期启封负责。</w:t>
      </w:r>
    </w:p>
    <w:p>
      <w:pPr>
        <w:spacing w:line="500" w:lineRule="exact"/>
        <w:ind w:firstLine="480" w:firstLineChars="200"/>
        <w:rPr>
          <w:rFonts w:ascii="宋体" w:cs="Times New Roman"/>
          <w:sz w:val="24"/>
          <w:szCs w:val="24"/>
        </w:rPr>
      </w:pPr>
      <w:r>
        <w:rPr>
          <w:rFonts w:ascii="宋体" w:hAnsi="宋体" w:cs="宋体"/>
          <w:sz w:val="24"/>
          <w:szCs w:val="24"/>
        </w:rPr>
        <w:t>18.4</w:t>
      </w:r>
      <w:r>
        <w:rPr>
          <w:rFonts w:hint="eastAsia" w:ascii="宋体" w:hAnsi="宋体" w:cs="宋体"/>
          <w:sz w:val="24"/>
          <w:szCs w:val="24"/>
        </w:rPr>
        <w:t>投标人提交投标文件时应备有一个“唱标信封”，并将下列内容单独密封入该信封，再将其封装于投标文件正本封套内：</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）从投标文件正本中复印的开标一览表；</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）交纳投标保证金证明文件的复印件；</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）投标函。</w:t>
      </w:r>
    </w:p>
    <w:p>
      <w:pPr>
        <w:tabs>
          <w:tab w:val="left" w:pos="4680"/>
        </w:tabs>
        <w:snapToGrid w:val="0"/>
        <w:spacing w:line="360" w:lineRule="auto"/>
        <w:outlineLvl w:val="0"/>
        <w:rPr>
          <w:rFonts w:cs="Times New Roman"/>
          <w:b/>
          <w:bCs/>
          <w:sz w:val="28"/>
          <w:szCs w:val="28"/>
        </w:rPr>
      </w:pPr>
      <w:bookmarkStart w:id="87" w:name="_Toc238907021"/>
      <w:bookmarkStart w:id="88" w:name="_Toc468811106"/>
      <w:bookmarkStart w:id="89" w:name="_Toc7889"/>
      <w:r>
        <w:rPr>
          <w:b/>
          <w:bCs/>
          <w:sz w:val="28"/>
          <w:szCs w:val="28"/>
        </w:rPr>
        <w:t>19</w:t>
      </w:r>
      <w:r>
        <w:rPr>
          <w:rFonts w:hint="eastAsia" w:cs="宋体"/>
          <w:b/>
          <w:bCs/>
          <w:sz w:val="28"/>
          <w:szCs w:val="28"/>
        </w:rPr>
        <w:t>．投标截止时间</w:t>
      </w:r>
      <w:bookmarkEnd w:id="87"/>
      <w:bookmarkEnd w:id="88"/>
      <w:bookmarkEnd w:id="89"/>
    </w:p>
    <w:p>
      <w:pPr>
        <w:spacing w:line="500" w:lineRule="exact"/>
        <w:ind w:firstLine="480" w:firstLineChars="200"/>
        <w:rPr>
          <w:rFonts w:ascii="宋体" w:cs="Times New Roman"/>
          <w:sz w:val="24"/>
          <w:szCs w:val="24"/>
        </w:rPr>
      </w:pPr>
      <w:r>
        <w:rPr>
          <w:rFonts w:ascii="宋体" w:hAnsi="宋体" w:cs="宋体"/>
          <w:sz w:val="24"/>
          <w:szCs w:val="24"/>
        </w:rPr>
        <w:t xml:space="preserve">19.l </w:t>
      </w:r>
      <w:r>
        <w:rPr>
          <w:rFonts w:hint="eastAsia" w:ascii="宋体" w:hAnsi="宋体" w:cs="宋体"/>
          <w:sz w:val="24"/>
          <w:szCs w:val="24"/>
        </w:rPr>
        <w:t>投标人须在招标文件第一部分规定的投标截止时间前将投标文件送达采购代理机构规定的投标地点。</w:t>
      </w:r>
    </w:p>
    <w:p>
      <w:pPr>
        <w:spacing w:line="500" w:lineRule="exact"/>
        <w:ind w:firstLine="480" w:firstLineChars="200"/>
        <w:rPr>
          <w:rFonts w:ascii="宋体" w:cs="Times New Roman"/>
          <w:sz w:val="24"/>
          <w:szCs w:val="24"/>
        </w:rPr>
      </w:pPr>
      <w:r>
        <w:rPr>
          <w:rFonts w:ascii="宋体" w:hAnsi="宋体" w:cs="宋体"/>
          <w:sz w:val="24"/>
          <w:szCs w:val="24"/>
        </w:rPr>
        <w:t xml:space="preserve">19.2 </w:t>
      </w:r>
      <w:r>
        <w:rPr>
          <w:rFonts w:hint="eastAsia" w:ascii="宋体" w:hAnsi="宋体" w:cs="宋体"/>
          <w:sz w:val="24"/>
          <w:szCs w:val="24"/>
        </w:rPr>
        <w:t>若采购代理机构按</w:t>
      </w:r>
      <w:r>
        <w:rPr>
          <w:rFonts w:ascii="宋体" w:hAnsi="宋体" w:cs="宋体"/>
          <w:sz w:val="24"/>
          <w:szCs w:val="24"/>
        </w:rPr>
        <w:t>8</w:t>
      </w:r>
      <w:r>
        <w:rPr>
          <w:rFonts w:hint="eastAsia" w:ascii="宋体" w:hAnsi="宋体" w:cs="宋体"/>
          <w:sz w:val="24"/>
          <w:szCs w:val="24"/>
        </w:rPr>
        <w:t>条规定推迟了投标截止时间，采购代理机构和投标人受投标截止时间制约的所有权利和义务均应以新的截止时间为准。</w:t>
      </w:r>
    </w:p>
    <w:p>
      <w:pPr>
        <w:tabs>
          <w:tab w:val="left" w:pos="4680"/>
        </w:tabs>
        <w:snapToGrid w:val="0"/>
        <w:spacing w:line="360" w:lineRule="auto"/>
        <w:outlineLvl w:val="0"/>
        <w:rPr>
          <w:rFonts w:cs="Times New Roman"/>
          <w:b/>
          <w:bCs/>
          <w:sz w:val="28"/>
          <w:szCs w:val="28"/>
        </w:rPr>
      </w:pPr>
      <w:bookmarkStart w:id="90" w:name="_Toc468811107"/>
      <w:bookmarkStart w:id="91" w:name="_Toc8604"/>
      <w:bookmarkStart w:id="92" w:name="_Toc238907022"/>
      <w:r>
        <w:rPr>
          <w:b/>
          <w:bCs/>
          <w:sz w:val="28"/>
          <w:szCs w:val="28"/>
        </w:rPr>
        <w:t>20</w:t>
      </w:r>
      <w:r>
        <w:rPr>
          <w:rFonts w:hint="eastAsia" w:cs="宋体"/>
          <w:b/>
          <w:bCs/>
          <w:sz w:val="28"/>
          <w:szCs w:val="28"/>
        </w:rPr>
        <w:t>．迟交的投标文件</w:t>
      </w:r>
      <w:bookmarkEnd w:id="90"/>
      <w:bookmarkEnd w:id="91"/>
      <w:bookmarkEnd w:id="92"/>
    </w:p>
    <w:p>
      <w:pPr>
        <w:spacing w:line="500" w:lineRule="exact"/>
        <w:ind w:firstLine="480" w:firstLineChars="200"/>
        <w:rPr>
          <w:rFonts w:ascii="宋体" w:cs="Times New Roman"/>
          <w:sz w:val="24"/>
          <w:szCs w:val="24"/>
        </w:rPr>
      </w:pPr>
      <w:r>
        <w:rPr>
          <w:rFonts w:ascii="宋体" w:hAnsi="宋体" w:cs="宋体"/>
          <w:sz w:val="24"/>
          <w:szCs w:val="24"/>
        </w:rPr>
        <w:t xml:space="preserve">20.1 </w:t>
      </w:r>
      <w:r>
        <w:rPr>
          <w:rFonts w:hint="eastAsia" w:ascii="宋体" w:hAnsi="宋体" w:cs="宋体"/>
          <w:sz w:val="24"/>
          <w:szCs w:val="24"/>
        </w:rPr>
        <w:t>在投标截止时间后递交的投标文件，采购代理机构将拒绝接受。</w:t>
      </w:r>
    </w:p>
    <w:p>
      <w:pPr>
        <w:tabs>
          <w:tab w:val="left" w:pos="4680"/>
        </w:tabs>
        <w:snapToGrid w:val="0"/>
        <w:spacing w:line="360" w:lineRule="auto"/>
        <w:outlineLvl w:val="0"/>
        <w:rPr>
          <w:rFonts w:cs="Times New Roman"/>
          <w:b/>
          <w:bCs/>
          <w:sz w:val="28"/>
          <w:szCs w:val="28"/>
        </w:rPr>
      </w:pPr>
      <w:bookmarkStart w:id="93" w:name="_Toc1880"/>
      <w:bookmarkStart w:id="94" w:name="_Toc238907023"/>
      <w:bookmarkStart w:id="95" w:name="_Toc468811108"/>
      <w:r>
        <w:rPr>
          <w:b/>
          <w:bCs/>
          <w:sz w:val="28"/>
          <w:szCs w:val="28"/>
        </w:rPr>
        <w:t>21</w:t>
      </w:r>
      <w:r>
        <w:rPr>
          <w:rFonts w:hint="eastAsia" w:cs="宋体"/>
          <w:b/>
          <w:bCs/>
          <w:sz w:val="28"/>
          <w:szCs w:val="28"/>
        </w:rPr>
        <w:t>．投标文件的修改和撤回</w:t>
      </w:r>
      <w:bookmarkEnd w:id="93"/>
      <w:bookmarkEnd w:id="94"/>
      <w:bookmarkEnd w:id="95"/>
    </w:p>
    <w:p>
      <w:pPr>
        <w:spacing w:line="500" w:lineRule="exact"/>
        <w:ind w:firstLine="480" w:firstLineChars="200"/>
        <w:rPr>
          <w:rFonts w:ascii="宋体" w:cs="Times New Roman"/>
          <w:sz w:val="24"/>
          <w:szCs w:val="24"/>
        </w:rPr>
      </w:pPr>
      <w:r>
        <w:rPr>
          <w:rFonts w:ascii="宋体" w:hAnsi="宋体" w:cs="宋体"/>
          <w:sz w:val="24"/>
          <w:szCs w:val="24"/>
        </w:rPr>
        <w:t xml:space="preserve">21.l </w:t>
      </w:r>
      <w:r>
        <w:rPr>
          <w:rFonts w:hint="eastAsia" w:ascii="宋体" w:hAnsi="宋体" w:cs="宋体"/>
          <w:sz w:val="24"/>
          <w:szCs w:val="24"/>
        </w:rPr>
        <w:t>投标人在提交投标文件后可对其进行修改或撤回，但必须使采购代理机构在投标截止时间前收到该修改的书面内容或撤回的书面通知，该书面文件须由法人代表或其授权代表签署。</w:t>
      </w:r>
    </w:p>
    <w:p>
      <w:pPr>
        <w:spacing w:line="500" w:lineRule="exact"/>
        <w:ind w:firstLine="480" w:firstLineChars="200"/>
        <w:rPr>
          <w:rFonts w:ascii="宋体" w:cs="Times New Roman"/>
          <w:sz w:val="24"/>
          <w:szCs w:val="24"/>
        </w:rPr>
      </w:pPr>
      <w:r>
        <w:rPr>
          <w:rFonts w:ascii="宋体" w:hAnsi="宋体" w:cs="宋体"/>
          <w:sz w:val="24"/>
          <w:szCs w:val="24"/>
        </w:rPr>
        <w:t xml:space="preserve">21.2 </w:t>
      </w:r>
      <w:r>
        <w:rPr>
          <w:rFonts w:hint="eastAsia" w:ascii="宋体" w:hAnsi="宋体" w:cs="宋体"/>
          <w:sz w:val="24"/>
          <w:szCs w:val="24"/>
        </w:rPr>
        <w:t>投标文件的修改文件应按第</w:t>
      </w:r>
      <w:r>
        <w:rPr>
          <w:rFonts w:ascii="宋体" w:hAnsi="宋体" w:cs="宋体"/>
          <w:sz w:val="24"/>
          <w:szCs w:val="24"/>
        </w:rPr>
        <w:t>15</w:t>
      </w:r>
      <w:r>
        <w:rPr>
          <w:rFonts w:hint="eastAsia" w:ascii="宋体" w:hAnsi="宋体" w:cs="宋体"/>
          <w:sz w:val="24"/>
          <w:szCs w:val="24"/>
        </w:rPr>
        <w:t>条规定签署、密封，并按第</w:t>
      </w:r>
      <w:r>
        <w:rPr>
          <w:rFonts w:ascii="宋体" w:hAnsi="宋体" w:cs="宋体"/>
          <w:sz w:val="24"/>
          <w:szCs w:val="24"/>
        </w:rPr>
        <w:t xml:space="preserve"> 16.2</w:t>
      </w:r>
      <w:r>
        <w:rPr>
          <w:rFonts w:hint="eastAsia" w:ascii="宋体" w:hAnsi="宋体" w:cs="宋体"/>
          <w:sz w:val="24"/>
          <w:szCs w:val="24"/>
        </w:rPr>
        <w:t>条规定标记，还须注明“修改投标文件”和“开标前不得启封”字样。修改文件须在投标截止时间前送达采购代理机构规定的投标地点。上述补充或修改若涉及投标报价，必须注明“最终唯一报价”字样，否则将视为有选择的报价。</w:t>
      </w:r>
    </w:p>
    <w:p>
      <w:pPr>
        <w:spacing w:line="500" w:lineRule="exact"/>
        <w:ind w:firstLine="480" w:firstLineChars="200"/>
        <w:rPr>
          <w:rFonts w:ascii="宋体" w:cs="Times New Roman"/>
          <w:sz w:val="24"/>
          <w:szCs w:val="24"/>
        </w:rPr>
      </w:pPr>
      <w:r>
        <w:rPr>
          <w:rFonts w:ascii="宋体" w:hAnsi="宋体" w:cs="宋体"/>
          <w:sz w:val="24"/>
          <w:szCs w:val="24"/>
        </w:rPr>
        <w:t xml:space="preserve">21.3 </w:t>
      </w:r>
      <w:r>
        <w:rPr>
          <w:rFonts w:hint="eastAsia" w:ascii="宋体" w:hAnsi="宋体" w:cs="宋体"/>
          <w:sz w:val="24"/>
          <w:szCs w:val="24"/>
        </w:rPr>
        <w:t>投标人不得在投标截止时间以后修改投标文件。</w:t>
      </w:r>
    </w:p>
    <w:p>
      <w:pPr>
        <w:spacing w:line="500" w:lineRule="exact"/>
        <w:ind w:firstLine="480" w:firstLineChars="200"/>
        <w:rPr>
          <w:rFonts w:ascii="宋体" w:cs="Times New Roman"/>
          <w:sz w:val="24"/>
          <w:szCs w:val="24"/>
        </w:rPr>
      </w:pPr>
      <w:r>
        <w:rPr>
          <w:rFonts w:ascii="宋体" w:hAnsi="宋体" w:cs="宋体"/>
          <w:sz w:val="24"/>
          <w:szCs w:val="24"/>
        </w:rPr>
        <w:t xml:space="preserve">21.4 </w:t>
      </w:r>
      <w:r>
        <w:rPr>
          <w:rFonts w:hint="eastAsia" w:ascii="宋体" w:hAnsi="宋体" w:cs="宋体"/>
          <w:sz w:val="24"/>
          <w:szCs w:val="24"/>
        </w:rPr>
        <w:t>投标人不得在投标截止时间起至投标有效期满前撤回投标文件，否则投标保证金将被没收。该投标人的投标文件不予退还。</w:t>
      </w:r>
    </w:p>
    <w:p>
      <w:pPr>
        <w:widowControl/>
        <w:jc w:val="left"/>
        <w:rPr>
          <w:rFonts w:cs="宋体"/>
          <w:b/>
          <w:bCs/>
          <w:sz w:val="28"/>
          <w:szCs w:val="28"/>
        </w:rPr>
      </w:pPr>
      <w:bookmarkStart w:id="96" w:name="_Toc238907024"/>
      <w:bookmarkStart w:id="97" w:name="_Toc468811109"/>
      <w:r>
        <w:rPr>
          <w:rFonts w:cs="宋体"/>
          <w:b/>
          <w:bCs/>
          <w:sz w:val="28"/>
          <w:szCs w:val="28"/>
        </w:rPr>
        <w:br w:type="page"/>
      </w:r>
    </w:p>
    <w:p>
      <w:pPr>
        <w:tabs>
          <w:tab w:val="left" w:pos="4680"/>
        </w:tabs>
        <w:snapToGrid w:val="0"/>
        <w:spacing w:line="360" w:lineRule="auto"/>
        <w:jc w:val="center"/>
        <w:outlineLvl w:val="0"/>
        <w:rPr>
          <w:rFonts w:cs="Times New Roman"/>
          <w:b/>
          <w:bCs/>
          <w:sz w:val="28"/>
          <w:szCs w:val="28"/>
        </w:rPr>
      </w:pPr>
      <w:bookmarkStart w:id="98" w:name="_Toc6330"/>
      <w:r>
        <w:rPr>
          <w:rFonts w:hint="eastAsia" w:cs="宋体"/>
          <w:b/>
          <w:bCs/>
          <w:sz w:val="28"/>
          <w:szCs w:val="28"/>
        </w:rPr>
        <w:t>五、开标及评标</w:t>
      </w:r>
      <w:bookmarkEnd w:id="96"/>
      <w:bookmarkEnd w:id="97"/>
      <w:bookmarkEnd w:id="98"/>
    </w:p>
    <w:p>
      <w:pPr>
        <w:tabs>
          <w:tab w:val="left" w:pos="4680"/>
        </w:tabs>
        <w:snapToGrid w:val="0"/>
        <w:spacing w:line="360" w:lineRule="auto"/>
        <w:outlineLvl w:val="0"/>
        <w:rPr>
          <w:rFonts w:cs="Times New Roman"/>
          <w:b/>
          <w:bCs/>
          <w:sz w:val="28"/>
          <w:szCs w:val="28"/>
        </w:rPr>
      </w:pPr>
      <w:bookmarkStart w:id="99" w:name="_Toc238907025"/>
      <w:bookmarkStart w:id="100" w:name="_Toc468811110"/>
      <w:bookmarkStart w:id="101" w:name="_Toc13831"/>
      <w:r>
        <w:rPr>
          <w:b/>
          <w:bCs/>
          <w:sz w:val="28"/>
          <w:szCs w:val="28"/>
        </w:rPr>
        <w:t>22</w:t>
      </w:r>
      <w:r>
        <w:rPr>
          <w:rFonts w:hint="eastAsia" w:cs="宋体"/>
          <w:b/>
          <w:bCs/>
          <w:sz w:val="28"/>
          <w:szCs w:val="28"/>
        </w:rPr>
        <w:t>．开标</w:t>
      </w:r>
      <w:bookmarkEnd w:id="99"/>
      <w:bookmarkEnd w:id="100"/>
      <w:bookmarkEnd w:id="101"/>
    </w:p>
    <w:p>
      <w:pPr>
        <w:spacing w:line="500" w:lineRule="exact"/>
        <w:ind w:firstLine="480" w:firstLineChars="200"/>
        <w:rPr>
          <w:rFonts w:ascii="宋体" w:cs="Times New Roman"/>
          <w:sz w:val="24"/>
          <w:szCs w:val="24"/>
        </w:rPr>
      </w:pPr>
      <w:r>
        <w:rPr>
          <w:rFonts w:ascii="宋体" w:hAnsi="宋体" w:cs="宋体"/>
          <w:sz w:val="24"/>
          <w:szCs w:val="24"/>
        </w:rPr>
        <w:t xml:space="preserve">22.l </w:t>
      </w:r>
      <w:r>
        <w:rPr>
          <w:rFonts w:hint="eastAsia" w:ascii="宋体" w:hAnsi="宋体" w:cs="宋体"/>
          <w:sz w:val="24"/>
          <w:szCs w:val="24"/>
        </w:rPr>
        <w:t>采购代理机构按招标文件第一部分规定的时间和地点开标。采购人代表、采购代理机构有关工作人员参加。政府采购主管部门、监督部门、国家公证机关公证员由其视情况决定是否派代表到现场进行监督。</w:t>
      </w:r>
    </w:p>
    <w:p>
      <w:pPr>
        <w:spacing w:line="500" w:lineRule="exact"/>
        <w:ind w:firstLine="480" w:firstLineChars="200"/>
        <w:rPr>
          <w:rFonts w:ascii="宋体" w:cs="Times New Roman"/>
          <w:sz w:val="24"/>
          <w:szCs w:val="24"/>
        </w:rPr>
      </w:pPr>
      <w:r>
        <w:rPr>
          <w:rFonts w:ascii="宋体" w:hAnsi="宋体" w:cs="宋体"/>
          <w:sz w:val="24"/>
          <w:szCs w:val="24"/>
        </w:rPr>
        <w:t xml:space="preserve">22.2 </w:t>
      </w:r>
      <w:r>
        <w:rPr>
          <w:rFonts w:hint="eastAsia" w:ascii="宋体" w:hAnsi="宋体" w:cs="宋体"/>
          <w:sz w:val="24"/>
          <w:szCs w:val="24"/>
        </w:rPr>
        <w:t>投标人应委派授权代表参加开标活动，参加开标的代表须持本人身份证件及授权委托书原件（需单独打印盖章，开标时核验原件）签名报到以证明其出席。未派授权代表或不能证明其授权代表身份的，采购代理机构对投标文件的处理不承担责任。</w:t>
      </w:r>
    </w:p>
    <w:p>
      <w:pPr>
        <w:spacing w:line="500" w:lineRule="exact"/>
        <w:ind w:firstLine="480" w:firstLineChars="200"/>
        <w:rPr>
          <w:rFonts w:ascii="宋体" w:cs="Times New Roman"/>
          <w:sz w:val="24"/>
          <w:szCs w:val="24"/>
        </w:rPr>
      </w:pPr>
      <w:r>
        <w:rPr>
          <w:rFonts w:ascii="宋体" w:hAnsi="宋体" w:cs="宋体"/>
          <w:sz w:val="24"/>
          <w:szCs w:val="24"/>
        </w:rPr>
        <w:t xml:space="preserve">22.3 </w:t>
      </w:r>
      <w:r>
        <w:rPr>
          <w:rFonts w:hint="eastAsia" w:ascii="宋体" w:hAnsi="宋体" w:cs="宋体"/>
          <w:sz w:val="24"/>
          <w:szCs w:val="24"/>
        </w:rPr>
        <w:t>开标时，采购代理机构、公证员（如有）或投标人代表将查验投标文件密封情况，确认无误后拆封唱标，公布每份投标文件中“开标一览表”的内容，以及采购代理机构认为合适的其他内容，采购代理机构将作开标记录。</w:t>
      </w:r>
    </w:p>
    <w:p>
      <w:pPr>
        <w:spacing w:line="500" w:lineRule="exact"/>
        <w:ind w:firstLine="480" w:firstLineChars="200"/>
        <w:rPr>
          <w:rFonts w:ascii="宋体" w:cs="Times New Roman"/>
          <w:sz w:val="24"/>
          <w:szCs w:val="24"/>
        </w:rPr>
      </w:pPr>
      <w:r>
        <w:rPr>
          <w:rFonts w:ascii="宋体" w:hAnsi="宋体" w:cs="宋体"/>
          <w:sz w:val="24"/>
          <w:szCs w:val="24"/>
        </w:rPr>
        <w:t xml:space="preserve">22.4 </w:t>
      </w:r>
      <w:r>
        <w:rPr>
          <w:rFonts w:hint="eastAsia" w:ascii="宋体" w:hAnsi="宋体" w:cs="宋体"/>
          <w:sz w:val="24"/>
          <w:szCs w:val="24"/>
        </w:rPr>
        <w:t>若投标文件未密封，或投标人未提交投标保证金（包括投标保证金不符合第</w:t>
      </w:r>
      <w:r>
        <w:rPr>
          <w:rFonts w:ascii="宋体" w:hAnsi="宋体" w:cs="宋体"/>
          <w:sz w:val="24"/>
          <w:szCs w:val="24"/>
        </w:rPr>
        <w:t>13</w:t>
      </w:r>
      <w:r>
        <w:rPr>
          <w:rFonts w:hint="eastAsia" w:ascii="宋体" w:hAnsi="宋体" w:cs="宋体"/>
          <w:sz w:val="24"/>
          <w:szCs w:val="24"/>
        </w:rPr>
        <w:t>条规定），采购代理机构将拒绝接受该投标人的投标文件。</w:t>
      </w:r>
    </w:p>
    <w:p>
      <w:pPr>
        <w:spacing w:line="500" w:lineRule="exact"/>
        <w:ind w:firstLine="480" w:firstLineChars="200"/>
        <w:rPr>
          <w:rFonts w:ascii="宋体" w:cs="Times New Roman"/>
          <w:sz w:val="24"/>
          <w:szCs w:val="24"/>
        </w:rPr>
      </w:pPr>
      <w:r>
        <w:rPr>
          <w:rFonts w:ascii="宋体" w:hAnsi="宋体" w:cs="宋体"/>
          <w:sz w:val="24"/>
          <w:szCs w:val="24"/>
        </w:rPr>
        <w:t xml:space="preserve">22.5 </w:t>
      </w:r>
      <w:r>
        <w:rPr>
          <w:rFonts w:hint="eastAsia" w:ascii="宋体" w:hAnsi="宋体" w:cs="宋体"/>
          <w:sz w:val="24"/>
          <w:szCs w:val="24"/>
        </w:rPr>
        <w:t>按照第</w:t>
      </w:r>
      <w:r>
        <w:rPr>
          <w:rFonts w:ascii="宋体" w:hAnsi="宋体" w:cs="宋体"/>
          <w:sz w:val="24"/>
          <w:szCs w:val="24"/>
        </w:rPr>
        <w:t>21</w:t>
      </w:r>
      <w:r>
        <w:rPr>
          <w:rFonts w:hint="eastAsia" w:ascii="宋体" w:hAnsi="宋体" w:cs="宋体"/>
          <w:sz w:val="24"/>
          <w:szCs w:val="24"/>
        </w:rPr>
        <w:t>条规定，同意撤回的投标文件将不予拆封。</w:t>
      </w:r>
    </w:p>
    <w:p>
      <w:pPr>
        <w:tabs>
          <w:tab w:val="left" w:pos="4680"/>
        </w:tabs>
        <w:snapToGrid w:val="0"/>
        <w:spacing w:line="360" w:lineRule="auto"/>
        <w:outlineLvl w:val="0"/>
        <w:rPr>
          <w:rFonts w:cs="Times New Roman"/>
          <w:b/>
          <w:bCs/>
          <w:sz w:val="28"/>
          <w:szCs w:val="28"/>
        </w:rPr>
      </w:pPr>
      <w:bookmarkStart w:id="102" w:name="_Toc468811111"/>
      <w:bookmarkStart w:id="103" w:name="_Toc24120"/>
      <w:bookmarkStart w:id="104" w:name="_Toc238907026"/>
      <w:r>
        <w:rPr>
          <w:b/>
          <w:bCs/>
          <w:sz w:val="28"/>
          <w:szCs w:val="28"/>
        </w:rPr>
        <w:t>23</w:t>
      </w:r>
      <w:r>
        <w:rPr>
          <w:rFonts w:hint="eastAsia" w:cs="宋体"/>
          <w:b/>
          <w:bCs/>
          <w:sz w:val="28"/>
          <w:szCs w:val="28"/>
        </w:rPr>
        <w:t>．评标委员会</w:t>
      </w:r>
      <w:bookmarkEnd w:id="102"/>
      <w:bookmarkEnd w:id="103"/>
      <w:bookmarkEnd w:id="104"/>
    </w:p>
    <w:p>
      <w:pPr>
        <w:spacing w:line="500" w:lineRule="exact"/>
        <w:ind w:firstLine="480" w:firstLineChars="200"/>
        <w:rPr>
          <w:rFonts w:ascii="宋体" w:hAnsi="宋体" w:cs="宋体"/>
          <w:sz w:val="24"/>
          <w:szCs w:val="24"/>
        </w:rPr>
      </w:pPr>
      <w:bookmarkStart w:id="105" w:name="_Toc238907027"/>
      <w:r>
        <w:rPr>
          <w:rFonts w:ascii="宋体" w:hAnsi="宋体" w:cs="宋体"/>
          <w:sz w:val="24"/>
          <w:szCs w:val="24"/>
        </w:rPr>
        <w:t xml:space="preserve">23.1 </w:t>
      </w:r>
      <w:r>
        <w:rPr>
          <w:rFonts w:hint="eastAsia" w:ascii="宋体" w:hAnsi="宋体" w:cs="宋体"/>
          <w:sz w:val="24"/>
          <w:szCs w:val="24"/>
        </w:rPr>
        <w:t>受采购人的委托，从海南省综合评标专家库中随机抽取。专家库中随机抽取</w:t>
      </w:r>
      <w:r>
        <w:rPr>
          <w:rFonts w:hint="eastAsia" w:ascii="宋体" w:hAnsi="宋体" w:cs="宋体"/>
          <w:sz w:val="24"/>
          <w:szCs w:val="24"/>
          <w:lang w:val="en-US" w:eastAsia="zh-CN"/>
        </w:rPr>
        <w:t>5</w:t>
      </w:r>
      <w:r>
        <w:rPr>
          <w:rFonts w:hint="eastAsia" w:ascii="宋体" w:hAnsi="宋体" w:cs="宋体"/>
          <w:sz w:val="24"/>
          <w:szCs w:val="24"/>
        </w:rPr>
        <w:t>名专家组成评标委员会，该委员会独立工作，负责评审所有投标文件并确定中标候选人。</w:t>
      </w:r>
    </w:p>
    <w:p>
      <w:pPr>
        <w:tabs>
          <w:tab w:val="left" w:pos="4680"/>
        </w:tabs>
        <w:snapToGrid w:val="0"/>
        <w:spacing w:line="360" w:lineRule="auto"/>
        <w:outlineLvl w:val="0"/>
        <w:rPr>
          <w:rFonts w:cs="Times New Roman"/>
          <w:b/>
          <w:bCs/>
          <w:sz w:val="28"/>
          <w:szCs w:val="28"/>
        </w:rPr>
      </w:pPr>
      <w:bookmarkStart w:id="106" w:name="_Toc18443"/>
      <w:bookmarkStart w:id="107" w:name="_Toc468811112"/>
      <w:r>
        <w:rPr>
          <w:b/>
          <w:bCs/>
          <w:sz w:val="28"/>
          <w:szCs w:val="28"/>
        </w:rPr>
        <w:t>24</w:t>
      </w:r>
      <w:r>
        <w:rPr>
          <w:rFonts w:hint="eastAsia" w:cs="宋体"/>
          <w:b/>
          <w:bCs/>
          <w:sz w:val="28"/>
          <w:szCs w:val="28"/>
        </w:rPr>
        <w:t>．对投标文件的资格性审查</w:t>
      </w:r>
      <w:bookmarkEnd w:id="105"/>
      <w:bookmarkEnd w:id="106"/>
      <w:bookmarkEnd w:id="107"/>
    </w:p>
    <w:p>
      <w:pPr>
        <w:spacing w:line="500" w:lineRule="exact"/>
        <w:ind w:firstLine="480" w:firstLineChars="200"/>
        <w:rPr>
          <w:rFonts w:ascii="宋体" w:cs="Times New Roman"/>
          <w:sz w:val="24"/>
          <w:szCs w:val="24"/>
        </w:rPr>
      </w:pPr>
      <w:r>
        <w:rPr>
          <w:rFonts w:ascii="宋体" w:hAnsi="宋体" w:cs="宋体"/>
          <w:sz w:val="24"/>
          <w:szCs w:val="24"/>
        </w:rPr>
        <w:t xml:space="preserve">24.l </w:t>
      </w:r>
      <w:r>
        <w:rPr>
          <w:rFonts w:hint="eastAsia" w:ascii="宋体" w:hAnsi="宋体" w:cs="宋体"/>
          <w:sz w:val="24"/>
          <w:szCs w:val="24"/>
        </w:rPr>
        <w:t>资格性审查的内容包括：详见资格性审查表</w:t>
      </w:r>
    </w:p>
    <w:p>
      <w:pPr>
        <w:spacing w:line="500" w:lineRule="exact"/>
        <w:ind w:firstLine="480" w:firstLineChars="200"/>
        <w:rPr>
          <w:rFonts w:ascii="宋体" w:cs="Times New Roman"/>
          <w:sz w:val="24"/>
          <w:szCs w:val="24"/>
        </w:rPr>
      </w:pPr>
      <w:r>
        <w:rPr>
          <w:rFonts w:ascii="宋体" w:hAnsi="宋体" w:cs="宋体"/>
          <w:sz w:val="24"/>
          <w:szCs w:val="24"/>
        </w:rPr>
        <w:t>24.2</w:t>
      </w:r>
      <w:r>
        <w:rPr>
          <w:rFonts w:hint="eastAsia" w:ascii="宋体" w:hAnsi="宋体" w:cs="宋体"/>
          <w:sz w:val="24"/>
          <w:szCs w:val="24"/>
        </w:rPr>
        <w:t>以上资格性审查的内容只要有一条不满足，则投标文件无效。</w:t>
      </w:r>
    </w:p>
    <w:p>
      <w:pPr>
        <w:spacing w:line="500" w:lineRule="exact"/>
        <w:ind w:firstLine="480" w:firstLineChars="200"/>
        <w:rPr>
          <w:rFonts w:ascii="宋体" w:cs="Times New Roman"/>
          <w:sz w:val="24"/>
          <w:szCs w:val="24"/>
        </w:rPr>
      </w:pPr>
      <w:r>
        <w:rPr>
          <w:rFonts w:ascii="宋体" w:hAnsi="宋体" w:cs="宋体"/>
          <w:sz w:val="24"/>
          <w:szCs w:val="24"/>
        </w:rPr>
        <w:t xml:space="preserve">24.3 </w:t>
      </w:r>
      <w:r>
        <w:rPr>
          <w:rFonts w:hint="eastAsia" w:ascii="宋体" w:hAnsi="宋体" w:cs="宋体"/>
          <w:sz w:val="24"/>
          <w:szCs w:val="24"/>
        </w:rPr>
        <w:t>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pPr>
        <w:spacing w:line="500" w:lineRule="exact"/>
        <w:ind w:firstLine="480" w:firstLineChars="200"/>
        <w:rPr>
          <w:rFonts w:ascii="宋体" w:cs="Times New Roman"/>
          <w:sz w:val="24"/>
          <w:szCs w:val="24"/>
        </w:rPr>
      </w:pPr>
      <w:r>
        <w:rPr>
          <w:rFonts w:ascii="宋体" w:hAnsi="宋体" w:cs="宋体"/>
          <w:sz w:val="24"/>
          <w:szCs w:val="24"/>
        </w:rPr>
        <w:t>24</w:t>
      </w:r>
      <w:r>
        <w:rPr>
          <w:rFonts w:hint="eastAsia" w:ascii="宋体" w:hAnsi="宋体" w:cs="宋体"/>
          <w:sz w:val="24"/>
          <w:szCs w:val="24"/>
        </w:rPr>
        <w:t>．</w:t>
      </w:r>
      <w:r>
        <w:rPr>
          <w:rFonts w:ascii="宋体" w:hAnsi="宋体" w:cs="宋体"/>
          <w:sz w:val="24"/>
          <w:szCs w:val="24"/>
        </w:rPr>
        <w:t xml:space="preserve">3.1 </w:t>
      </w:r>
      <w:r>
        <w:rPr>
          <w:rFonts w:hint="eastAsia" w:ascii="宋体" w:hAnsi="宋体" w:cs="宋体"/>
          <w:sz w:val="24"/>
          <w:szCs w:val="24"/>
        </w:rPr>
        <w:t>判断投标文件的响应与否只根据投标文件本身，而不寻求外部证据。</w:t>
      </w:r>
    </w:p>
    <w:p>
      <w:pPr>
        <w:spacing w:line="500" w:lineRule="exact"/>
        <w:ind w:firstLine="480" w:firstLineChars="200"/>
        <w:rPr>
          <w:rFonts w:ascii="宋体" w:cs="Times New Roman"/>
          <w:sz w:val="24"/>
          <w:szCs w:val="24"/>
        </w:rPr>
      </w:pPr>
      <w:r>
        <w:rPr>
          <w:rFonts w:ascii="宋体" w:hAnsi="宋体" w:cs="宋体"/>
          <w:sz w:val="24"/>
          <w:szCs w:val="24"/>
        </w:rPr>
        <w:t xml:space="preserve">24.4 </w:t>
      </w:r>
      <w:r>
        <w:rPr>
          <w:rFonts w:hint="eastAsia" w:ascii="宋体" w:hAnsi="宋体" w:cs="宋体"/>
          <w:sz w:val="24"/>
          <w:szCs w:val="24"/>
        </w:rPr>
        <w:t>评标委员会在初审中，对算术错误的修正原则如下</w:t>
      </w:r>
      <w:r>
        <w:rPr>
          <w:rFonts w:ascii="宋体" w:hAnsi="宋体" w:cs="宋体"/>
          <w:sz w:val="24"/>
          <w:szCs w:val="24"/>
        </w:rPr>
        <w:t>:</w:t>
      </w:r>
    </w:p>
    <w:p>
      <w:pPr>
        <w:spacing w:line="500" w:lineRule="exact"/>
        <w:ind w:firstLine="480" w:firstLineChars="200"/>
        <w:rPr>
          <w:rFonts w:ascii="宋体" w:cs="Times New Roman"/>
          <w:sz w:val="24"/>
          <w:szCs w:val="24"/>
        </w:rPr>
      </w:pPr>
      <w:r>
        <w:rPr>
          <w:rFonts w:ascii="宋体" w:hAnsi="宋体" w:cs="宋体"/>
          <w:sz w:val="24"/>
          <w:szCs w:val="24"/>
        </w:rPr>
        <w:t>24.4.l</w:t>
      </w:r>
      <w:r>
        <w:rPr>
          <w:rFonts w:hint="eastAsia" w:ascii="宋体" w:hAnsi="宋体" w:cs="宋体"/>
          <w:sz w:val="24"/>
          <w:szCs w:val="24"/>
        </w:rPr>
        <w:t>开标一览表（报价表）内容与投标文件中明细表内容不一致的，以开标一览表（报价表）为准</w:t>
      </w:r>
    </w:p>
    <w:p>
      <w:pPr>
        <w:spacing w:line="500" w:lineRule="exact"/>
        <w:ind w:firstLine="480" w:firstLineChars="200"/>
        <w:rPr>
          <w:rFonts w:ascii="宋体" w:cs="Times New Roman"/>
          <w:sz w:val="24"/>
          <w:szCs w:val="24"/>
        </w:rPr>
      </w:pPr>
      <w:r>
        <w:rPr>
          <w:rFonts w:ascii="宋体" w:hAnsi="宋体" w:cs="宋体"/>
          <w:sz w:val="24"/>
          <w:szCs w:val="24"/>
        </w:rPr>
        <w:t xml:space="preserve">24.4.2 </w:t>
      </w:r>
      <w:r>
        <w:rPr>
          <w:rFonts w:hint="eastAsia" w:ascii="宋体" w:hAnsi="宋体" w:cs="宋体"/>
          <w:sz w:val="24"/>
          <w:szCs w:val="24"/>
        </w:rPr>
        <w:t>投标文件的大写金额和小写金额不一致的，以大写金额为准；</w:t>
      </w:r>
    </w:p>
    <w:p>
      <w:pPr>
        <w:spacing w:line="500" w:lineRule="exact"/>
        <w:ind w:firstLine="480" w:firstLineChars="200"/>
        <w:rPr>
          <w:rFonts w:ascii="宋体" w:cs="Times New Roman"/>
          <w:sz w:val="24"/>
          <w:szCs w:val="24"/>
        </w:rPr>
      </w:pPr>
      <w:r>
        <w:rPr>
          <w:rFonts w:ascii="宋体" w:hAnsi="宋体" w:cs="宋体"/>
          <w:sz w:val="24"/>
          <w:szCs w:val="24"/>
        </w:rPr>
        <w:t xml:space="preserve">24.4.3 </w:t>
      </w:r>
      <w:r>
        <w:rPr>
          <w:rFonts w:hint="eastAsia" w:ascii="宋体" w:hAnsi="宋体" w:cs="宋体"/>
          <w:sz w:val="24"/>
          <w:szCs w:val="24"/>
        </w:rPr>
        <w:t>总价金额与按单价汇总金额不一致的，以单价金额计算结果为准；</w:t>
      </w:r>
    </w:p>
    <w:p>
      <w:pPr>
        <w:spacing w:line="500" w:lineRule="exact"/>
        <w:ind w:firstLine="480" w:firstLineChars="200"/>
        <w:rPr>
          <w:rFonts w:ascii="宋体" w:cs="Times New Roman"/>
          <w:sz w:val="24"/>
          <w:szCs w:val="24"/>
        </w:rPr>
      </w:pPr>
      <w:r>
        <w:rPr>
          <w:rFonts w:ascii="宋体" w:hAnsi="宋体" w:cs="宋体"/>
          <w:sz w:val="24"/>
          <w:szCs w:val="24"/>
        </w:rPr>
        <w:t xml:space="preserve">24.4.4 </w:t>
      </w:r>
      <w:r>
        <w:rPr>
          <w:rFonts w:hint="eastAsia" w:ascii="宋体" w:hAnsi="宋体" w:cs="宋体"/>
          <w:sz w:val="24"/>
          <w:szCs w:val="24"/>
        </w:rPr>
        <w:t>单价金额小数点有明显错位的，以总价为准并修改单价。</w:t>
      </w:r>
    </w:p>
    <w:p>
      <w:pPr>
        <w:spacing w:line="500" w:lineRule="exact"/>
        <w:ind w:firstLine="480" w:firstLineChars="200"/>
        <w:rPr>
          <w:rFonts w:ascii="宋体" w:cs="Times New Roman"/>
          <w:sz w:val="24"/>
          <w:szCs w:val="24"/>
        </w:rPr>
      </w:pPr>
      <w:r>
        <w:rPr>
          <w:rFonts w:ascii="宋体" w:hAnsi="宋体" w:cs="宋体"/>
          <w:sz w:val="24"/>
          <w:szCs w:val="24"/>
        </w:rPr>
        <w:t xml:space="preserve">24.4.5 </w:t>
      </w:r>
      <w:r>
        <w:rPr>
          <w:rFonts w:hint="eastAsia" w:ascii="宋体" w:hAnsi="宋体" w:cs="宋体"/>
          <w:sz w:val="24"/>
          <w:szCs w:val="24"/>
        </w:rPr>
        <w:t>若投标人不同意以上修正，投标文件将视为无效。</w:t>
      </w:r>
    </w:p>
    <w:p>
      <w:pPr>
        <w:tabs>
          <w:tab w:val="left" w:pos="4680"/>
        </w:tabs>
        <w:snapToGrid w:val="0"/>
        <w:spacing w:line="360" w:lineRule="auto"/>
        <w:outlineLvl w:val="0"/>
        <w:rPr>
          <w:rFonts w:cs="Times New Roman"/>
          <w:b/>
          <w:bCs/>
          <w:sz w:val="28"/>
          <w:szCs w:val="28"/>
        </w:rPr>
      </w:pPr>
      <w:bookmarkStart w:id="108" w:name="_Toc31568"/>
      <w:bookmarkStart w:id="109" w:name="_Toc468811113"/>
      <w:bookmarkStart w:id="110" w:name="_Toc238907028"/>
      <w:r>
        <w:rPr>
          <w:b/>
          <w:bCs/>
          <w:sz w:val="28"/>
          <w:szCs w:val="28"/>
        </w:rPr>
        <w:t>25</w:t>
      </w:r>
      <w:r>
        <w:rPr>
          <w:rFonts w:hint="eastAsia" w:cs="宋体"/>
          <w:b/>
          <w:bCs/>
          <w:sz w:val="28"/>
          <w:szCs w:val="28"/>
        </w:rPr>
        <w:t>．投标文件的澄清</w:t>
      </w:r>
      <w:bookmarkEnd w:id="108"/>
      <w:bookmarkEnd w:id="109"/>
      <w:bookmarkEnd w:id="110"/>
    </w:p>
    <w:p>
      <w:pPr>
        <w:spacing w:line="500" w:lineRule="exact"/>
        <w:ind w:firstLine="480" w:firstLineChars="200"/>
        <w:rPr>
          <w:rFonts w:ascii="宋体" w:cs="Times New Roman"/>
          <w:sz w:val="24"/>
          <w:szCs w:val="24"/>
        </w:rPr>
      </w:pPr>
      <w:r>
        <w:rPr>
          <w:rFonts w:ascii="宋体" w:hAnsi="宋体" w:cs="宋体"/>
          <w:sz w:val="24"/>
          <w:szCs w:val="24"/>
        </w:rPr>
        <w:t xml:space="preserve">25.1 </w:t>
      </w:r>
      <w:r>
        <w:rPr>
          <w:rFonts w:hint="eastAsia" w:ascii="宋体" w:hAnsi="宋体" w:cs="宋体"/>
          <w:sz w:val="24"/>
          <w:szCs w:val="24"/>
        </w:rPr>
        <w:t>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pPr>
        <w:spacing w:line="500" w:lineRule="exact"/>
        <w:ind w:firstLine="480" w:firstLineChars="200"/>
        <w:rPr>
          <w:rFonts w:ascii="宋体" w:cs="Times New Roman"/>
          <w:sz w:val="24"/>
          <w:szCs w:val="24"/>
        </w:rPr>
      </w:pPr>
      <w:r>
        <w:rPr>
          <w:rFonts w:ascii="宋体" w:hAnsi="宋体" w:cs="宋体"/>
          <w:sz w:val="24"/>
          <w:szCs w:val="24"/>
        </w:rPr>
        <w:t xml:space="preserve">25.2 </w:t>
      </w:r>
      <w:r>
        <w:rPr>
          <w:rFonts w:hint="eastAsia" w:ascii="宋体" w:hAnsi="宋体" w:cs="宋体"/>
          <w:sz w:val="24"/>
          <w:szCs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pPr>
        <w:spacing w:line="500" w:lineRule="exact"/>
        <w:ind w:firstLine="480" w:firstLineChars="200"/>
        <w:rPr>
          <w:rFonts w:ascii="宋体" w:cs="Times New Roman"/>
          <w:sz w:val="24"/>
          <w:szCs w:val="24"/>
        </w:rPr>
      </w:pPr>
      <w:r>
        <w:rPr>
          <w:rFonts w:ascii="宋体" w:hAnsi="宋体" w:cs="宋体"/>
          <w:sz w:val="24"/>
          <w:szCs w:val="24"/>
        </w:rPr>
        <w:t>25.3</w:t>
      </w:r>
      <w:r>
        <w:rPr>
          <w:rFonts w:hint="eastAsia" w:ascii="宋体" w:hAnsi="宋体" w:cs="宋体"/>
          <w:sz w:val="24"/>
          <w:szCs w:val="24"/>
        </w:rPr>
        <w:t>投标供应商不按评标委员会规定的时间和地点作书面澄清，将视为放弃该权利。</w:t>
      </w:r>
    </w:p>
    <w:p>
      <w:pPr>
        <w:spacing w:line="500" w:lineRule="exact"/>
        <w:ind w:firstLine="480" w:firstLineChars="200"/>
        <w:rPr>
          <w:rFonts w:ascii="宋体" w:cs="Times New Roman"/>
          <w:sz w:val="24"/>
          <w:szCs w:val="24"/>
        </w:rPr>
      </w:pPr>
      <w:r>
        <w:rPr>
          <w:rFonts w:ascii="宋体" w:hAnsi="宋体" w:cs="宋体"/>
          <w:sz w:val="24"/>
          <w:szCs w:val="24"/>
        </w:rPr>
        <w:t xml:space="preserve">25.4 </w:t>
      </w:r>
      <w:r>
        <w:rPr>
          <w:rFonts w:hint="eastAsia" w:ascii="宋体" w:hAnsi="宋体" w:cs="宋体"/>
          <w:sz w:val="24"/>
          <w:szCs w:val="24"/>
        </w:rPr>
        <w:t>并非每个投标人都将被询标。</w:t>
      </w:r>
    </w:p>
    <w:p>
      <w:pPr>
        <w:tabs>
          <w:tab w:val="left" w:pos="4680"/>
        </w:tabs>
        <w:snapToGrid w:val="0"/>
        <w:spacing w:line="360" w:lineRule="auto"/>
        <w:outlineLvl w:val="0"/>
        <w:rPr>
          <w:rFonts w:cs="Times New Roman"/>
          <w:b/>
          <w:bCs/>
          <w:sz w:val="28"/>
          <w:szCs w:val="28"/>
        </w:rPr>
      </w:pPr>
      <w:bookmarkStart w:id="111" w:name="_Toc468811114"/>
      <w:bookmarkStart w:id="112" w:name="_Toc1904"/>
      <w:bookmarkStart w:id="113" w:name="_Toc238907029"/>
      <w:r>
        <w:rPr>
          <w:b/>
          <w:bCs/>
          <w:sz w:val="28"/>
          <w:szCs w:val="28"/>
        </w:rPr>
        <w:t>26</w:t>
      </w:r>
      <w:r>
        <w:rPr>
          <w:rFonts w:hint="eastAsia" w:cs="宋体"/>
          <w:b/>
          <w:bCs/>
          <w:sz w:val="28"/>
          <w:szCs w:val="28"/>
        </w:rPr>
        <w:t>．评标及定标</w:t>
      </w:r>
      <w:bookmarkEnd w:id="111"/>
      <w:bookmarkEnd w:id="112"/>
      <w:bookmarkEnd w:id="113"/>
    </w:p>
    <w:p>
      <w:pPr>
        <w:spacing w:line="500" w:lineRule="exact"/>
        <w:ind w:firstLine="480" w:firstLineChars="200"/>
        <w:rPr>
          <w:rFonts w:ascii="宋体" w:cs="Times New Roman"/>
          <w:sz w:val="24"/>
          <w:szCs w:val="24"/>
        </w:rPr>
      </w:pPr>
      <w:r>
        <w:rPr>
          <w:rFonts w:ascii="宋体" w:hAnsi="宋体" w:cs="宋体"/>
          <w:sz w:val="24"/>
          <w:szCs w:val="24"/>
        </w:rPr>
        <w:t xml:space="preserve">26.1 </w:t>
      </w:r>
      <w:r>
        <w:rPr>
          <w:rFonts w:hint="eastAsia" w:ascii="宋体" w:hAnsi="宋体" w:cs="宋体"/>
          <w:sz w:val="24"/>
          <w:szCs w:val="24"/>
        </w:rPr>
        <w:t>采购代理机构、评标委员会分别对通过资格性审查的投标文件进行评价和比较。</w:t>
      </w:r>
    </w:p>
    <w:p>
      <w:pPr>
        <w:spacing w:line="500" w:lineRule="exact"/>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w:t>
      </w:r>
      <w:r>
        <w:rPr>
          <w:rFonts w:ascii="宋体" w:hAnsi="宋体" w:cs="宋体"/>
          <w:sz w:val="24"/>
          <w:szCs w:val="24"/>
        </w:rPr>
        <w:t xml:space="preserve">2 </w:t>
      </w:r>
      <w:r>
        <w:rPr>
          <w:rFonts w:hint="eastAsia" w:ascii="宋体" w:hAnsi="宋体" w:cs="宋体"/>
          <w:sz w:val="24"/>
          <w:szCs w:val="24"/>
        </w:rPr>
        <w:t>评标委员会按招标文件“第六章”中公布的评标办法对每份投标文件进行评审，确定中标候选人。最低投标价等任何单项因素的最优不能作为中标的保证。</w:t>
      </w:r>
    </w:p>
    <w:p>
      <w:pPr>
        <w:tabs>
          <w:tab w:val="left" w:pos="4680"/>
        </w:tabs>
        <w:snapToGrid w:val="0"/>
        <w:spacing w:line="360" w:lineRule="auto"/>
        <w:outlineLvl w:val="0"/>
        <w:rPr>
          <w:rFonts w:cs="Times New Roman"/>
          <w:b/>
          <w:bCs/>
          <w:sz w:val="28"/>
          <w:szCs w:val="28"/>
        </w:rPr>
      </w:pPr>
      <w:bookmarkStart w:id="114" w:name="_Toc18611"/>
      <w:bookmarkStart w:id="115" w:name="_Toc468811115"/>
      <w:bookmarkStart w:id="116" w:name="_Toc238907030"/>
      <w:r>
        <w:rPr>
          <w:b/>
          <w:bCs/>
          <w:sz w:val="28"/>
          <w:szCs w:val="28"/>
        </w:rPr>
        <w:t>27</w:t>
      </w:r>
      <w:r>
        <w:rPr>
          <w:rFonts w:hint="eastAsia" w:cs="宋体"/>
          <w:b/>
          <w:bCs/>
          <w:sz w:val="28"/>
          <w:szCs w:val="28"/>
        </w:rPr>
        <w:t>．评标过程保密</w:t>
      </w:r>
      <w:bookmarkEnd w:id="114"/>
      <w:bookmarkEnd w:id="115"/>
      <w:bookmarkEnd w:id="116"/>
    </w:p>
    <w:p>
      <w:pPr>
        <w:spacing w:line="500" w:lineRule="exact"/>
        <w:ind w:firstLine="480" w:firstLineChars="200"/>
        <w:rPr>
          <w:rFonts w:ascii="宋体" w:cs="Times New Roman"/>
          <w:sz w:val="24"/>
          <w:szCs w:val="24"/>
        </w:rPr>
      </w:pPr>
      <w:r>
        <w:rPr>
          <w:rFonts w:ascii="宋体" w:hAnsi="宋体" w:cs="宋体"/>
          <w:sz w:val="24"/>
          <w:szCs w:val="24"/>
        </w:rPr>
        <w:t xml:space="preserve">27.l </w:t>
      </w:r>
      <w:r>
        <w:rPr>
          <w:rFonts w:hint="eastAsia" w:ascii="宋体" w:hAnsi="宋体" w:cs="宋体"/>
          <w:sz w:val="24"/>
          <w:szCs w:val="24"/>
        </w:rPr>
        <w:t>在宣布中标结果之前，凡属于审查、澄清、评价、比较投标文件和中标意向等有关信息，相关当事人均不得泄露给任何投标人或与评标工作无关的人员。</w:t>
      </w:r>
    </w:p>
    <w:p>
      <w:pPr>
        <w:spacing w:line="500" w:lineRule="exact"/>
        <w:ind w:firstLine="480" w:firstLineChars="200"/>
        <w:rPr>
          <w:rFonts w:ascii="宋体" w:cs="Times New Roman"/>
          <w:sz w:val="24"/>
          <w:szCs w:val="24"/>
        </w:rPr>
      </w:pPr>
      <w:r>
        <w:rPr>
          <w:rFonts w:ascii="宋体" w:hAnsi="宋体" w:cs="宋体"/>
          <w:sz w:val="24"/>
          <w:szCs w:val="24"/>
        </w:rPr>
        <w:t xml:space="preserve">27.2 </w:t>
      </w:r>
      <w:r>
        <w:rPr>
          <w:rFonts w:hint="eastAsia" w:ascii="宋体" w:hAnsi="宋体" w:cs="宋体"/>
          <w:sz w:val="24"/>
          <w:szCs w:val="24"/>
        </w:rPr>
        <w:t>投标人不得探听上述信息，不得以任何行为影响评标过程，否则其投标文件将被作为无效投标文件。</w:t>
      </w:r>
    </w:p>
    <w:p>
      <w:pPr>
        <w:spacing w:line="500" w:lineRule="exact"/>
        <w:ind w:firstLine="480" w:firstLineChars="200"/>
        <w:rPr>
          <w:rFonts w:ascii="宋体" w:cs="Times New Roman"/>
          <w:sz w:val="24"/>
          <w:szCs w:val="24"/>
        </w:rPr>
      </w:pPr>
      <w:r>
        <w:rPr>
          <w:rFonts w:ascii="宋体" w:hAnsi="宋体" w:cs="宋体"/>
          <w:sz w:val="24"/>
          <w:szCs w:val="24"/>
        </w:rPr>
        <w:t xml:space="preserve">27.3 </w:t>
      </w:r>
      <w:r>
        <w:rPr>
          <w:rFonts w:hint="eastAsia" w:ascii="宋体" w:hAnsi="宋体" w:cs="宋体"/>
          <w:sz w:val="24"/>
          <w:szCs w:val="24"/>
        </w:rPr>
        <w:t>在评标期间，采购代理机构将有专门人员与投标人进行联络。</w:t>
      </w:r>
    </w:p>
    <w:p>
      <w:pPr>
        <w:spacing w:line="500" w:lineRule="exact"/>
        <w:ind w:firstLine="480" w:firstLineChars="200"/>
        <w:rPr>
          <w:rFonts w:ascii="宋体" w:cs="Times New Roman"/>
          <w:sz w:val="24"/>
          <w:szCs w:val="24"/>
        </w:rPr>
      </w:pPr>
      <w:r>
        <w:rPr>
          <w:rFonts w:ascii="宋体" w:hAnsi="宋体" w:cs="宋体"/>
          <w:sz w:val="24"/>
          <w:szCs w:val="24"/>
        </w:rPr>
        <w:t xml:space="preserve">27.4 </w:t>
      </w:r>
      <w:r>
        <w:rPr>
          <w:rFonts w:hint="eastAsia" w:ascii="宋体" w:hAnsi="宋体" w:cs="宋体"/>
          <w:sz w:val="24"/>
          <w:szCs w:val="24"/>
        </w:rPr>
        <w:t>采购代理机构和评标委员会不向落标的投标人解释落标原因，也不对评标过程中的细节问题进行公布。</w:t>
      </w:r>
    </w:p>
    <w:p>
      <w:pPr>
        <w:widowControl/>
        <w:jc w:val="left"/>
        <w:rPr>
          <w:rFonts w:cs="宋体"/>
          <w:b/>
          <w:bCs/>
          <w:sz w:val="28"/>
          <w:szCs w:val="28"/>
        </w:rPr>
      </w:pPr>
      <w:bookmarkStart w:id="117" w:name="_Toc238907031"/>
      <w:bookmarkStart w:id="118" w:name="_Toc468811116"/>
      <w:r>
        <w:rPr>
          <w:rFonts w:cs="宋体"/>
          <w:b/>
          <w:bCs/>
          <w:sz w:val="28"/>
          <w:szCs w:val="28"/>
        </w:rPr>
        <w:br w:type="page"/>
      </w:r>
    </w:p>
    <w:p>
      <w:pPr>
        <w:tabs>
          <w:tab w:val="left" w:pos="4680"/>
        </w:tabs>
        <w:snapToGrid w:val="0"/>
        <w:spacing w:line="360" w:lineRule="auto"/>
        <w:jc w:val="center"/>
        <w:outlineLvl w:val="0"/>
        <w:rPr>
          <w:rFonts w:cs="Times New Roman"/>
          <w:b/>
          <w:bCs/>
          <w:sz w:val="28"/>
          <w:szCs w:val="28"/>
        </w:rPr>
      </w:pPr>
      <w:bookmarkStart w:id="119" w:name="_Toc3506"/>
      <w:r>
        <w:rPr>
          <w:rFonts w:hint="eastAsia" w:cs="宋体"/>
          <w:b/>
          <w:bCs/>
          <w:sz w:val="28"/>
          <w:szCs w:val="28"/>
        </w:rPr>
        <w:t>六、授标及签约</w:t>
      </w:r>
      <w:bookmarkEnd w:id="117"/>
      <w:bookmarkEnd w:id="118"/>
      <w:bookmarkEnd w:id="119"/>
    </w:p>
    <w:p>
      <w:pPr>
        <w:tabs>
          <w:tab w:val="left" w:pos="4680"/>
        </w:tabs>
        <w:snapToGrid w:val="0"/>
        <w:spacing w:line="360" w:lineRule="auto"/>
        <w:outlineLvl w:val="0"/>
        <w:rPr>
          <w:rFonts w:cs="Times New Roman"/>
          <w:b/>
          <w:bCs/>
          <w:sz w:val="28"/>
          <w:szCs w:val="28"/>
        </w:rPr>
      </w:pPr>
      <w:bookmarkStart w:id="120" w:name="_Toc238907032"/>
      <w:bookmarkStart w:id="121" w:name="_Toc468811117"/>
      <w:bookmarkStart w:id="122" w:name="_Toc14159"/>
      <w:r>
        <w:rPr>
          <w:b/>
          <w:bCs/>
          <w:sz w:val="28"/>
          <w:szCs w:val="28"/>
        </w:rPr>
        <w:t>28</w:t>
      </w:r>
      <w:r>
        <w:rPr>
          <w:rFonts w:hint="eastAsia" w:cs="宋体"/>
          <w:b/>
          <w:bCs/>
          <w:sz w:val="28"/>
          <w:szCs w:val="28"/>
        </w:rPr>
        <w:t>．定标原则</w:t>
      </w:r>
      <w:bookmarkEnd w:id="120"/>
      <w:bookmarkEnd w:id="121"/>
      <w:bookmarkEnd w:id="122"/>
    </w:p>
    <w:p>
      <w:pPr>
        <w:pStyle w:val="146"/>
        <w:spacing w:line="500" w:lineRule="exact"/>
        <w:ind w:left="0" w:firstLine="480" w:firstLineChars="200"/>
        <w:rPr>
          <w:rFonts w:cs="Times New Roman"/>
          <w:sz w:val="24"/>
          <w:szCs w:val="24"/>
        </w:rPr>
      </w:pPr>
      <w:r>
        <w:rPr>
          <w:rFonts w:hint="eastAsia"/>
          <w:sz w:val="24"/>
          <w:szCs w:val="24"/>
        </w:rPr>
        <w:t>评标委员会将严格按照招标文件的要求和条件进行评标</w:t>
      </w:r>
      <w:r>
        <w:rPr>
          <w:sz w:val="24"/>
          <w:szCs w:val="24"/>
        </w:rPr>
        <w:t>,</w:t>
      </w:r>
      <w:r>
        <w:rPr>
          <w:rFonts w:hint="eastAsia"/>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p>
    <w:p>
      <w:pPr>
        <w:tabs>
          <w:tab w:val="left" w:pos="4680"/>
        </w:tabs>
        <w:snapToGrid w:val="0"/>
        <w:spacing w:line="360" w:lineRule="auto"/>
        <w:outlineLvl w:val="0"/>
        <w:rPr>
          <w:rFonts w:cs="Times New Roman"/>
          <w:b/>
          <w:bCs/>
          <w:sz w:val="28"/>
          <w:szCs w:val="28"/>
        </w:rPr>
      </w:pPr>
      <w:bookmarkStart w:id="123" w:name="_Toc238907033"/>
      <w:bookmarkStart w:id="124" w:name="_Toc468811118"/>
      <w:bookmarkStart w:id="125" w:name="_Toc22495"/>
      <w:r>
        <w:rPr>
          <w:b/>
          <w:bCs/>
          <w:sz w:val="28"/>
          <w:szCs w:val="28"/>
        </w:rPr>
        <w:t xml:space="preserve">29. </w:t>
      </w:r>
      <w:r>
        <w:rPr>
          <w:rFonts w:hint="eastAsia" w:cs="宋体"/>
          <w:b/>
          <w:bCs/>
          <w:sz w:val="28"/>
          <w:szCs w:val="28"/>
        </w:rPr>
        <w:t>质疑和投诉</w:t>
      </w:r>
      <w:bookmarkEnd w:id="123"/>
      <w:bookmarkEnd w:id="124"/>
      <w:bookmarkEnd w:id="125"/>
    </w:p>
    <w:p>
      <w:pPr>
        <w:spacing w:line="360" w:lineRule="auto"/>
        <w:ind w:firstLine="420" w:firstLineChars="175"/>
        <w:rPr>
          <w:rFonts w:ascii="宋体" w:cs="Times New Roman"/>
          <w:sz w:val="24"/>
          <w:szCs w:val="24"/>
        </w:rPr>
      </w:pPr>
      <w:r>
        <w:rPr>
          <w:rFonts w:ascii="宋体" w:hAnsi="宋体" w:cs="宋体"/>
          <w:sz w:val="24"/>
          <w:szCs w:val="24"/>
        </w:rPr>
        <w:t>29.1</w:t>
      </w:r>
      <w:r>
        <w:rPr>
          <w:rFonts w:hint="eastAsia" w:ascii="宋体" w:hAnsi="宋体" w:cs="宋体"/>
          <w:sz w:val="24"/>
          <w:szCs w:val="24"/>
        </w:rPr>
        <w:t>质疑、投诉的接收和处理严格按照《中华人共和国政府采购法》、《中华人共和国政府采购法实施条例》、《政府采购投标人投诉处理办法》、《财政部关于加强政府采购投标人投诉受理审查工作的通知》的规定办理。</w:t>
      </w:r>
    </w:p>
    <w:p>
      <w:pPr>
        <w:spacing w:line="360" w:lineRule="auto"/>
        <w:ind w:firstLine="420" w:firstLineChars="175"/>
        <w:rPr>
          <w:rFonts w:ascii="宋体" w:cs="Times New Roman"/>
          <w:sz w:val="24"/>
          <w:szCs w:val="24"/>
        </w:rPr>
      </w:pPr>
      <w:r>
        <w:rPr>
          <w:rFonts w:ascii="宋体" w:hAnsi="宋体" w:cs="宋体"/>
          <w:sz w:val="24"/>
          <w:szCs w:val="24"/>
        </w:rPr>
        <w:t>29.2</w:t>
      </w:r>
      <w:r>
        <w:rPr>
          <w:rFonts w:hint="eastAsia" w:ascii="宋体" w:hAnsi="宋体" w:cs="宋体"/>
          <w:sz w:val="24"/>
          <w:szCs w:val="24"/>
        </w:rPr>
        <w:t>投标人对政府采购活动事项有疑问的，可以向采购人或采购代理机构提出询问，采购人或采购代理机构应当及时作出答复，但答复的内容不得涉及商业秘密。</w:t>
      </w:r>
    </w:p>
    <w:p>
      <w:pPr>
        <w:spacing w:line="360" w:lineRule="auto"/>
        <w:ind w:firstLine="420" w:firstLineChars="175"/>
        <w:rPr>
          <w:rFonts w:ascii="宋体" w:cs="Times New Roman"/>
          <w:sz w:val="24"/>
          <w:szCs w:val="24"/>
        </w:rPr>
      </w:pPr>
      <w:r>
        <w:rPr>
          <w:rFonts w:ascii="宋体" w:hAnsi="宋体" w:cs="宋体"/>
          <w:sz w:val="24"/>
          <w:szCs w:val="24"/>
        </w:rPr>
        <w:t>29.3</w:t>
      </w:r>
      <w:r>
        <w:rPr>
          <w:rFonts w:hint="eastAsia" w:ascii="宋体" w:hAnsi="宋体" w:cs="宋体"/>
          <w:sz w:val="24"/>
          <w:szCs w:val="24"/>
        </w:rPr>
        <w:t>投标人认为采购文件、采购过程和中标、成交结果使自己的权益受到损害的，可以以书面形式向采购人或采购代理机构提出质疑。</w:t>
      </w:r>
    </w:p>
    <w:p>
      <w:pPr>
        <w:spacing w:line="360" w:lineRule="auto"/>
        <w:ind w:firstLine="420" w:firstLineChars="175"/>
        <w:rPr>
          <w:rFonts w:ascii="宋体" w:cs="Times New Roman"/>
          <w:sz w:val="24"/>
          <w:szCs w:val="24"/>
        </w:rPr>
      </w:pPr>
      <w:r>
        <w:rPr>
          <w:rFonts w:ascii="宋体" w:hAnsi="宋体" w:cs="宋体"/>
          <w:sz w:val="24"/>
          <w:szCs w:val="24"/>
        </w:rPr>
        <w:t>29.4</w:t>
      </w:r>
      <w:r>
        <w:rPr>
          <w:rFonts w:hint="eastAsia" w:ascii="宋体" w:hAnsi="宋体" w:cs="宋体"/>
          <w:sz w:val="24"/>
          <w:szCs w:val="24"/>
        </w:rPr>
        <w:t>采购人或采购代理机构应当在收到投标人的书面质疑后</w:t>
      </w:r>
      <w:r>
        <w:rPr>
          <w:rFonts w:ascii="宋体" w:hAnsi="宋体" w:cs="宋体"/>
          <w:sz w:val="24"/>
          <w:szCs w:val="24"/>
        </w:rPr>
        <w:t>7</w:t>
      </w:r>
      <w:r>
        <w:rPr>
          <w:rFonts w:hint="eastAsia" w:ascii="宋体" w:hAnsi="宋体" w:cs="宋体"/>
          <w:sz w:val="24"/>
          <w:szCs w:val="24"/>
        </w:rPr>
        <w:t>个工作日内作出答复，并以书面形式通知质疑投标人和其他有关投标人，但答复的内容不得涉及商业秘密。</w:t>
      </w:r>
    </w:p>
    <w:p>
      <w:pPr>
        <w:spacing w:line="360" w:lineRule="auto"/>
        <w:ind w:firstLine="420" w:firstLineChars="175"/>
        <w:rPr>
          <w:rFonts w:ascii="宋体" w:cs="Times New Roman"/>
          <w:sz w:val="24"/>
          <w:szCs w:val="24"/>
        </w:rPr>
      </w:pPr>
      <w:r>
        <w:rPr>
          <w:rFonts w:ascii="宋体" w:hAnsi="宋体" w:cs="宋体"/>
          <w:sz w:val="24"/>
          <w:szCs w:val="24"/>
        </w:rPr>
        <w:t>29.5</w:t>
      </w:r>
      <w:r>
        <w:rPr>
          <w:rFonts w:hint="eastAsia" w:ascii="宋体" w:hAnsi="宋体" w:cs="宋体"/>
          <w:sz w:val="24"/>
          <w:szCs w:val="24"/>
        </w:rPr>
        <w:t>质疑投标人对采购人、采购代理机构的答复不满意或者采购人、采购代理机构未在规定的时间内作出答复的，可以在答复期满后</w:t>
      </w:r>
      <w:r>
        <w:rPr>
          <w:rFonts w:ascii="宋体" w:hAnsi="宋体" w:cs="宋体"/>
          <w:sz w:val="24"/>
          <w:szCs w:val="24"/>
        </w:rPr>
        <w:t>15</w:t>
      </w:r>
      <w:r>
        <w:rPr>
          <w:rFonts w:hint="eastAsia" w:ascii="宋体" w:hAnsi="宋体" w:cs="宋体"/>
          <w:sz w:val="24"/>
          <w:szCs w:val="24"/>
        </w:rPr>
        <w:t>个工作日内向同级政府采购监督管理部门投诉。</w:t>
      </w:r>
    </w:p>
    <w:p>
      <w:pPr>
        <w:spacing w:line="360" w:lineRule="auto"/>
        <w:ind w:firstLine="420" w:firstLineChars="175"/>
        <w:rPr>
          <w:rFonts w:ascii="宋体" w:cs="Times New Roman"/>
          <w:sz w:val="24"/>
          <w:szCs w:val="24"/>
        </w:rPr>
      </w:pPr>
      <w:r>
        <w:rPr>
          <w:rFonts w:ascii="宋体" w:hAnsi="宋体" w:cs="宋体"/>
          <w:sz w:val="24"/>
          <w:szCs w:val="24"/>
        </w:rPr>
        <w:t>29.6</w:t>
      </w:r>
      <w:r>
        <w:rPr>
          <w:rFonts w:hint="eastAsia" w:ascii="宋体" w:hAnsi="宋体" w:cs="宋体"/>
          <w:sz w:val="24"/>
          <w:szCs w:val="24"/>
        </w:rPr>
        <w:t>政府采购监督管理部门应当在收到投诉后</w:t>
      </w:r>
      <w:r>
        <w:rPr>
          <w:rFonts w:ascii="宋体" w:hAnsi="宋体" w:cs="宋体"/>
          <w:sz w:val="24"/>
          <w:szCs w:val="24"/>
        </w:rPr>
        <w:t>30</w:t>
      </w:r>
      <w:r>
        <w:rPr>
          <w:rFonts w:hint="eastAsia" w:ascii="宋体" w:hAnsi="宋体" w:cs="宋体"/>
          <w:sz w:val="24"/>
          <w:szCs w:val="24"/>
        </w:rPr>
        <w:t>个工作日内，对投诉事项作出处理决定，并以书面形式通知投诉人和与投诉事项有关的当事人。</w:t>
      </w:r>
    </w:p>
    <w:p>
      <w:pPr>
        <w:spacing w:line="360" w:lineRule="auto"/>
        <w:ind w:firstLine="420" w:firstLineChars="175"/>
        <w:rPr>
          <w:rFonts w:ascii="宋体" w:cs="Times New Roman"/>
          <w:sz w:val="24"/>
          <w:szCs w:val="24"/>
        </w:rPr>
      </w:pPr>
      <w:r>
        <w:rPr>
          <w:rFonts w:ascii="宋体" w:hAnsi="宋体" w:cs="宋体"/>
          <w:sz w:val="24"/>
          <w:szCs w:val="24"/>
        </w:rPr>
        <w:t>29.7</w:t>
      </w:r>
      <w:r>
        <w:rPr>
          <w:rFonts w:hint="eastAsia" w:ascii="宋体" w:hAnsi="宋体" w:cs="宋体"/>
          <w:sz w:val="24"/>
          <w:szCs w:val="24"/>
        </w:rPr>
        <w:t>政府采购监督管理部门在处理投诉事项期间，可以视具体情况书面通知采购人暂停采购活动，但暂停时间最长不得超过</w:t>
      </w:r>
      <w:r>
        <w:rPr>
          <w:rFonts w:ascii="宋体" w:hAnsi="宋体" w:cs="宋体"/>
          <w:sz w:val="24"/>
          <w:szCs w:val="24"/>
        </w:rPr>
        <w:t>30</w:t>
      </w:r>
      <w:r>
        <w:rPr>
          <w:rFonts w:hint="eastAsia" w:ascii="宋体" w:hAnsi="宋体" w:cs="宋体"/>
          <w:sz w:val="24"/>
          <w:szCs w:val="24"/>
        </w:rPr>
        <w:t>日。</w:t>
      </w:r>
    </w:p>
    <w:p>
      <w:pPr>
        <w:spacing w:line="360" w:lineRule="auto"/>
        <w:ind w:firstLine="420" w:firstLineChars="175"/>
        <w:rPr>
          <w:rFonts w:ascii="宋体" w:cs="Times New Roman"/>
          <w:sz w:val="24"/>
          <w:szCs w:val="24"/>
        </w:rPr>
      </w:pPr>
      <w:r>
        <w:rPr>
          <w:rFonts w:ascii="宋体" w:hAnsi="宋体" w:cs="宋体"/>
          <w:sz w:val="24"/>
          <w:szCs w:val="24"/>
        </w:rPr>
        <w:t>29.8</w:t>
      </w:r>
      <w:r>
        <w:rPr>
          <w:rFonts w:hint="eastAsia" w:ascii="宋体" w:hAnsi="宋体" w:cs="宋体"/>
          <w:sz w:val="24"/>
          <w:szCs w:val="24"/>
        </w:rPr>
        <w:t>投诉人对政府采购监督管理部门的投诉处理决定不服或者政府采购监督管理部门逾期未作处理的，可以依法申请行政复议或者向人民法院提起行政诉。</w:t>
      </w:r>
    </w:p>
    <w:p>
      <w:pPr>
        <w:spacing w:line="500" w:lineRule="exact"/>
        <w:ind w:firstLine="480" w:firstLineChars="200"/>
        <w:rPr>
          <w:rFonts w:ascii="宋体" w:cs="Times New Roman"/>
          <w:sz w:val="24"/>
          <w:szCs w:val="24"/>
        </w:rPr>
      </w:pPr>
      <w:r>
        <w:rPr>
          <w:rFonts w:ascii="宋体" w:hAnsi="宋体" w:cs="宋体"/>
          <w:sz w:val="24"/>
          <w:szCs w:val="24"/>
        </w:rPr>
        <w:t>29.9</w:t>
      </w:r>
      <w:r>
        <w:rPr>
          <w:rFonts w:hint="eastAsia" w:ascii="宋体" w:hAnsi="宋体" w:cs="宋体"/>
          <w:sz w:val="24"/>
          <w:szCs w:val="24"/>
        </w:rPr>
        <w:t>投标人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p>
    <w:p>
      <w:pPr>
        <w:tabs>
          <w:tab w:val="left" w:pos="4680"/>
        </w:tabs>
        <w:snapToGrid w:val="0"/>
        <w:spacing w:line="360" w:lineRule="auto"/>
        <w:outlineLvl w:val="0"/>
        <w:rPr>
          <w:rFonts w:cs="Times New Roman"/>
          <w:b/>
          <w:bCs/>
          <w:sz w:val="28"/>
          <w:szCs w:val="28"/>
        </w:rPr>
      </w:pPr>
      <w:bookmarkStart w:id="126" w:name="_Toc468811119"/>
      <w:bookmarkStart w:id="127" w:name="_Toc18534"/>
      <w:bookmarkStart w:id="128" w:name="_Toc238907034"/>
      <w:r>
        <w:rPr>
          <w:b/>
          <w:bCs/>
          <w:sz w:val="28"/>
          <w:szCs w:val="28"/>
        </w:rPr>
        <w:t>30</w:t>
      </w:r>
      <w:r>
        <w:rPr>
          <w:rFonts w:hint="eastAsia" w:cs="宋体"/>
          <w:b/>
          <w:bCs/>
          <w:sz w:val="28"/>
          <w:szCs w:val="28"/>
        </w:rPr>
        <w:t>．中标通知</w:t>
      </w:r>
      <w:bookmarkEnd w:id="126"/>
      <w:bookmarkEnd w:id="127"/>
      <w:bookmarkEnd w:id="128"/>
    </w:p>
    <w:p>
      <w:pPr>
        <w:spacing w:line="500" w:lineRule="exact"/>
        <w:ind w:firstLine="480" w:firstLineChars="200"/>
        <w:rPr>
          <w:rFonts w:ascii="宋体" w:cs="Times New Roman"/>
          <w:sz w:val="24"/>
          <w:szCs w:val="24"/>
        </w:rPr>
      </w:pPr>
      <w:r>
        <w:rPr>
          <w:rFonts w:ascii="宋体" w:hAnsi="宋体" w:cs="宋体"/>
          <w:sz w:val="24"/>
          <w:szCs w:val="24"/>
        </w:rPr>
        <w:t xml:space="preserve">30.l </w:t>
      </w:r>
      <w:r>
        <w:rPr>
          <w:rFonts w:hint="eastAsia" w:ascii="宋体" w:hAnsi="宋体" w:cs="宋体"/>
          <w:sz w:val="24"/>
          <w:szCs w:val="24"/>
        </w:rPr>
        <w:t>定标后</w:t>
      </w:r>
      <w:r>
        <w:rPr>
          <w:rFonts w:ascii="宋体" w:cs="宋体"/>
          <w:sz w:val="24"/>
          <w:szCs w:val="24"/>
        </w:rPr>
        <w:t>,</w:t>
      </w:r>
      <w:r>
        <w:rPr>
          <w:rFonts w:hint="eastAsia" w:ascii="宋体" w:hAnsi="宋体" w:cs="宋体"/>
          <w:sz w:val="24"/>
          <w:szCs w:val="24"/>
        </w:rPr>
        <w:t>采购代理机构应将定标结果通知所有的投标人，并向中标人发出中标通知书。</w:t>
      </w:r>
    </w:p>
    <w:p>
      <w:pPr>
        <w:spacing w:line="500" w:lineRule="exact"/>
        <w:ind w:firstLine="480" w:firstLineChars="200"/>
        <w:rPr>
          <w:rFonts w:ascii="宋体" w:cs="Times New Roman"/>
          <w:sz w:val="24"/>
          <w:szCs w:val="24"/>
        </w:rPr>
      </w:pPr>
      <w:r>
        <w:rPr>
          <w:rFonts w:ascii="宋体" w:hAnsi="宋体" w:cs="宋体"/>
          <w:sz w:val="24"/>
          <w:szCs w:val="24"/>
        </w:rPr>
        <w:t xml:space="preserve">30.2  </w:t>
      </w:r>
      <w:r>
        <w:rPr>
          <w:rFonts w:hint="eastAsia" w:ascii="宋体" w:hAnsi="宋体" w:cs="宋体"/>
          <w:sz w:val="24"/>
          <w:szCs w:val="24"/>
        </w:rPr>
        <w:t>中标人收到中标通知书后，须立即以书面形式回复采购代理机构，确认中标通知书已收到，并同意接受（若到采购代理机构领取则无需回复）。</w:t>
      </w:r>
    </w:p>
    <w:p>
      <w:pPr>
        <w:spacing w:line="500" w:lineRule="exact"/>
        <w:ind w:firstLine="480" w:firstLineChars="200"/>
        <w:rPr>
          <w:rFonts w:ascii="宋体" w:cs="Times New Roman"/>
          <w:sz w:val="24"/>
          <w:szCs w:val="24"/>
        </w:rPr>
      </w:pPr>
      <w:r>
        <w:rPr>
          <w:rFonts w:ascii="宋体" w:hAnsi="宋体" w:cs="宋体"/>
          <w:sz w:val="24"/>
          <w:szCs w:val="24"/>
        </w:rPr>
        <w:t xml:space="preserve">30.3 </w:t>
      </w:r>
      <w:r>
        <w:rPr>
          <w:rFonts w:hint="eastAsia" w:ascii="宋体" w:hAnsi="宋体" w:cs="宋体"/>
          <w:sz w:val="24"/>
          <w:szCs w:val="24"/>
        </w:rPr>
        <w:t>中标通知书将是合同的一个组成部分。</w:t>
      </w:r>
    </w:p>
    <w:p>
      <w:pPr>
        <w:tabs>
          <w:tab w:val="left" w:pos="4680"/>
        </w:tabs>
        <w:snapToGrid w:val="0"/>
        <w:spacing w:line="360" w:lineRule="auto"/>
        <w:outlineLvl w:val="0"/>
        <w:rPr>
          <w:rFonts w:cs="Times New Roman"/>
          <w:b/>
          <w:bCs/>
          <w:sz w:val="28"/>
          <w:szCs w:val="28"/>
        </w:rPr>
      </w:pPr>
      <w:bookmarkStart w:id="129" w:name="_Toc238907035"/>
      <w:bookmarkStart w:id="130" w:name="_Toc468811120"/>
      <w:bookmarkStart w:id="131" w:name="_Toc16600"/>
      <w:r>
        <w:rPr>
          <w:b/>
          <w:bCs/>
          <w:sz w:val="28"/>
          <w:szCs w:val="28"/>
        </w:rPr>
        <w:t>31</w:t>
      </w:r>
      <w:r>
        <w:rPr>
          <w:rFonts w:hint="eastAsia" w:cs="宋体"/>
          <w:b/>
          <w:bCs/>
          <w:sz w:val="28"/>
          <w:szCs w:val="28"/>
        </w:rPr>
        <w:t>．签订合同</w:t>
      </w:r>
      <w:bookmarkEnd w:id="129"/>
      <w:bookmarkEnd w:id="130"/>
      <w:bookmarkEnd w:id="131"/>
    </w:p>
    <w:p>
      <w:pPr>
        <w:spacing w:line="500" w:lineRule="exact"/>
        <w:ind w:firstLine="480" w:firstLineChars="200"/>
        <w:rPr>
          <w:rFonts w:ascii="宋体" w:cs="Times New Roman"/>
          <w:sz w:val="24"/>
          <w:szCs w:val="24"/>
        </w:rPr>
      </w:pPr>
      <w:r>
        <w:rPr>
          <w:rFonts w:ascii="宋体" w:hAnsi="宋体" w:cs="宋体"/>
          <w:sz w:val="24"/>
          <w:szCs w:val="24"/>
        </w:rPr>
        <w:t>31.l</w:t>
      </w:r>
      <w:r>
        <w:rPr>
          <w:rFonts w:hint="eastAsia" w:ascii="宋体" w:hAnsi="宋体" w:cs="宋体"/>
          <w:sz w:val="24"/>
          <w:szCs w:val="24"/>
        </w:rPr>
        <w:t>中标人按中标通知书规定的时间、地点与采购人签订中标合同</w:t>
      </w:r>
      <w:r>
        <w:rPr>
          <w:rFonts w:ascii="宋体" w:cs="宋体"/>
          <w:sz w:val="24"/>
          <w:szCs w:val="24"/>
        </w:rPr>
        <w:t>,</w:t>
      </w:r>
      <w:r>
        <w:rPr>
          <w:rFonts w:hint="eastAsia" w:ascii="宋体" w:hAnsi="宋体" w:cs="宋体"/>
          <w:sz w:val="24"/>
          <w:szCs w:val="24"/>
        </w:rPr>
        <w:t>否则投标保证金将不予退还，给采购人和采购代理机构造成损失的，投标人还应承担赔偿责任。</w:t>
      </w:r>
    </w:p>
    <w:p>
      <w:pPr>
        <w:spacing w:line="500" w:lineRule="exact"/>
        <w:ind w:firstLine="480" w:firstLineChars="200"/>
        <w:rPr>
          <w:rFonts w:ascii="宋体" w:cs="Times New Roman"/>
          <w:sz w:val="24"/>
          <w:szCs w:val="24"/>
        </w:rPr>
      </w:pPr>
      <w:r>
        <w:rPr>
          <w:rFonts w:ascii="宋体" w:hAnsi="宋体" w:cs="宋体"/>
          <w:sz w:val="24"/>
          <w:szCs w:val="24"/>
        </w:rPr>
        <w:t xml:space="preserve">31.2 </w:t>
      </w:r>
      <w:r>
        <w:rPr>
          <w:rFonts w:hint="eastAsia" w:ascii="宋体" w:hAnsi="宋体" w:cs="宋体"/>
          <w:sz w:val="24"/>
          <w:szCs w:val="24"/>
        </w:rPr>
        <w:t>招标文件、中标人的投标文件及评标过程中有关澄清文件均应作为合同附件。</w:t>
      </w:r>
    </w:p>
    <w:p>
      <w:pPr>
        <w:spacing w:line="500" w:lineRule="exact"/>
        <w:ind w:firstLine="480" w:firstLineChars="200"/>
        <w:rPr>
          <w:rFonts w:ascii="宋体" w:cs="Times New Roman"/>
          <w:sz w:val="24"/>
          <w:szCs w:val="24"/>
        </w:rPr>
      </w:pPr>
      <w:r>
        <w:rPr>
          <w:rFonts w:ascii="宋体" w:hAnsi="宋体" w:cs="宋体"/>
          <w:sz w:val="24"/>
          <w:szCs w:val="24"/>
        </w:rPr>
        <w:t xml:space="preserve">31.3 </w:t>
      </w:r>
      <w:r>
        <w:rPr>
          <w:rFonts w:hint="eastAsia" w:ascii="宋体" w:hAnsi="宋体" w:cs="宋体"/>
          <w:sz w:val="24"/>
          <w:szCs w:val="24"/>
        </w:rPr>
        <w:t>签订合同后，中标人不得将货物、工程及其他相关服务进行转包。未经采购人同意，中标人不得采用分包的形式履行合同。否则采购代理机构有权终止合同，中标人的履约保证金（如有）将不予退还。允许将本项目中的机房装修工程（包括数据中心机房工程、机房照明及线缆、机房布线系统、防雷接地系统、气体灭火系统、门禁和视频监控系统）分包给具有相应资质的企业实施，转包或分包造成采购人损失的，中标人还应承担相应赔偿责任。</w:t>
      </w:r>
    </w:p>
    <w:p>
      <w:pPr>
        <w:tabs>
          <w:tab w:val="left" w:pos="4680"/>
        </w:tabs>
        <w:snapToGrid w:val="0"/>
        <w:spacing w:line="360" w:lineRule="auto"/>
        <w:outlineLvl w:val="0"/>
        <w:rPr>
          <w:rFonts w:cs="Times New Roman"/>
          <w:b/>
          <w:bCs/>
          <w:sz w:val="28"/>
          <w:szCs w:val="28"/>
        </w:rPr>
      </w:pPr>
      <w:bookmarkStart w:id="132" w:name="_Toc30558"/>
      <w:bookmarkStart w:id="133" w:name="_Toc468811121"/>
      <w:bookmarkStart w:id="134" w:name="_Toc238907038"/>
      <w:r>
        <w:rPr>
          <w:b/>
          <w:bCs/>
          <w:sz w:val="28"/>
          <w:szCs w:val="28"/>
        </w:rPr>
        <w:t>32</w:t>
      </w:r>
      <w:r>
        <w:rPr>
          <w:rFonts w:hint="eastAsia" w:cs="宋体"/>
          <w:b/>
          <w:bCs/>
          <w:sz w:val="28"/>
          <w:szCs w:val="28"/>
        </w:rPr>
        <w:t>．政策功能</w:t>
      </w:r>
      <w:bookmarkEnd w:id="132"/>
      <w:bookmarkEnd w:id="133"/>
    </w:p>
    <w:p>
      <w:pPr>
        <w:tabs>
          <w:tab w:val="left" w:pos="7665"/>
        </w:tabs>
        <w:spacing w:line="360" w:lineRule="auto"/>
        <w:ind w:firstLine="480" w:firstLineChars="200"/>
        <w:rPr>
          <w:rFonts w:ascii="宋体" w:cs="Times New Roman"/>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1</w:t>
      </w:r>
      <w:r>
        <w:rPr>
          <w:rFonts w:ascii="宋体" w:cs="Times New Roman"/>
          <w:sz w:val="24"/>
          <w:szCs w:val="24"/>
        </w:rPr>
        <w:t> </w:t>
      </w:r>
      <w:r>
        <w:rPr>
          <w:rFonts w:hint="eastAsia" w:ascii="宋体" w:hAnsi="宋体" w:cs="宋体"/>
          <w:sz w:val="24"/>
          <w:szCs w:val="24"/>
        </w:rPr>
        <w:t>本次招标优先选购中华人民共和国财政部公布的《政府采购自主创新产品目录》和《节能环保产品目录》的标的物。</w:t>
      </w:r>
    </w:p>
    <w:p>
      <w:pPr>
        <w:tabs>
          <w:tab w:val="left" w:pos="7665"/>
        </w:tabs>
        <w:spacing w:line="360" w:lineRule="auto"/>
        <w:ind w:firstLine="480" w:firstLineChars="200"/>
        <w:rPr>
          <w:rFonts w:ascii="宋体" w:cs="Times New Roman"/>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2</w:t>
      </w:r>
      <w:r>
        <w:rPr>
          <w:rFonts w:ascii="宋体" w:cs="Times New Roman"/>
          <w:sz w:val="24"/>
          <w:szCs w:val="24"/>
        </w:rPr>
        <w:t> </w:t>
      </w:r>
      <w:r>
        <w:rPr>
          <w:rFonts w:hint="eastAsia" w:ascii="宋体" w:hAnsi="宋体" w:cs="宋体"/>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cs="Times New Roman"/>
          <w:sz w:val="24"/>
          <w:szCs w:val="24"/>
        </w:rPr>
        <w:t> </w:t>
      </w:r>
      <w:r>
        <w:rPr>
          <w:rFonts w:hint="eastAsia" w:ascii="宋体" w:hAnsi="宋体" w:cs="宋体"/>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rFonts w:ascii="宋体" w:cs="Times New Roman"/>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3</w:t>
      </w:r>
      <w:r>
        <w:rPr>
          <w:rFonts w:ascii="宋体" w:cs="Times New Roman"/>
          <w:sz w:val="24"/>
          <w:szCs w:val="24"/>
        </w:rPr>
        <w:t> </w:t>
      </w:r>
      <w:r>
        <w:rPr>
          <w:rFonts w:hint="eastAsia" w:ascii="宋体" w:hAnsi="宋体" w:cs="宋体"/>
          <w:sz w:val="24"/>
          <w:szCs w:val="24"/>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rFonts w:ascii="宋体" w:cs="Times New Roman"/>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4</w:t>
      </w:r>
      <w:r>
        <w:rPr>
          <w:rFonts w:ascii="宋体" w:cs="Times New Roman"/>
          <w:sz w:val="24"/>
          <w:szCs w:val="24"/>
        </w:rPr>
        <w:t> </w:t>
      </w:r>
      <w:r>
        <w:rPr>
          <w:rFonts w:hint="eastAsia" w:ascii="宋体" w:hAnsi="宋体" w:cs="宋体"/>
          <w:sz w:val="24"/>
          <w:szCs w:val="24"/>
        </w:rPr>
        <w:t>投标产品属于政府强制采购节能产品的，投标人应当选择《节能产品政府采购清单》中的产品投标，并提供有效的节能产品认证证书复印件。</w:t>
      </w:r>
    </w:p>
    <w:p>
      <w:pPr>
        <w:tabs>
          <w:tab w:val="left" w:pos="7665"/>
        </w:tabs>
        <w:spacing w:line="360" w:lineRule="auto"/>
        <w:ind w:firstLine="480" w:firstLineChars="200"/>
        <w:rPr>
          <w:rFonts w:ascii="宋体" w:cs="Times New Roman"/>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5</w:t>
      </w:r>
      <w:r>
        <w:rPr>
          <w:rFonts w:ascii="宋体" w:cs="Times New Roman"/>
          <w:sz w:val="24"/>
          <w:szCs w:val="24"/>
        </w:rPr>
        <w:t> </w:t>
      </w:r>
      <w:r>
        <w:rPr>
          <w:rFonts w:hint="eastAsia" w:ascii="宋体" w:hAnsi="宋体" w:cs="宋体"/>
          <w:sz w:val="24"/>
          <w:szCs w:val="24"/>
        </w:rPr>
        <w:t>招标文件中提供的参考产品品牌或型号，是采购人根据项目所要实现的功能根据市场情况列出的品牌或型号，并不是限制条件。</w:t>
      </w:r>
    </w:p>
    <w:p>
      <w:pPr>
        <w:tabs>
          <w:tab w:val="left" w:pos="7665"/>
        </w:tabs>
        <w:spacing w:line="360" w:lineRule="auto"/>
        <w:ind w:firstLine="480" w:firstLineChars="200"/>
        <w:rPr>
          <w:rFonts w:ascii="宋体" w:hAnsi="宋体" w:cs="宋体"/>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6</w:t>
      </w:r>
      <w:r>
        <w:rPr>
          <w:rFonts w:ascii="宋体" w:cs="Times New Roman"/>
          <w:sz w:val="24"/>
          <w:szCs w:val="24"/>
        </w:rPr>
        <w:t> </w:t>
      </w:r>
      <w:r>
        <w:rPr>
          <w:rFonts w:hint="eastAsia" w:ascii="宋体" w:hAnsi="宋体" w:cs="宋体"/>
          <w:sz w:val="24"/>
          <w:szCs w:val="24"/>
        </w:rPr>
        <w:t>对于非专门面向中小企业的项目，对小型和微型企业产品的价格给予</w:t>
      </w:r>
      <w:r>
        <w:rPr>
          <w:rFonts w:ascii="宋体" w:hAnsi="宋体" w:cs="宋体"/>
          <w:sz w:val="24"/>
          <w:szCs w:val="24"/>
        </w:rPr>
        <w:t>6%</w:t>
      </w:r>
      <w:r>
        <w:rPr>
          <w:rFonts w:hint="eastAsia" w:ascii="宋体" w:hAnsi="宋体" w:cs="宋体"/>
          <w:sz w:val="24"/>
          <w:szCs w:val="24"/>
        </w:rPr>
        <w:t>的扣除（监狱企业视同小型、微型企业），用扣除后的价格参与评审。参加投标的中小企业，应当提供《中小企业声明函》（</w:t>
      </w:r>
      <w:r>
        <w:rPr>
          <w:rFonts w:hint="eastAsia" w:ascii="宋体" w:cs="宋体"/>
          <w:sz w:val="24"/>
          <w:szCs w:val="24"/>
        </w:rPr>
        <w:t>“</w:t>
      </w:r>
      <w:r>
        <w:rPr>
          <w:rFonts w:hint="eastAsia" w:ascii="宋体" w:hAnsi="宋体" w:cs="宋体"/>
          <w:sz w:val="24"/>
          <w:szCs w:val="24"/>
        </w:rPr>
        <w:t>中小企业划型标准</w:t>
      </w:r>
      <w:r>
        <w:rPr>
          <w:rFonts w:hint="eastAsia" w:ascii="宋体" w:cs="宋体"/>
          <w:sz w:val="24"/>
          <w:szCs w:val="24"/>
        </w:rPr>
        <w:t>”</w:t>
      </w:r>
      <w:r>
        <w:rPr>
          <w:rFonts w:hint="eastAsia" w:ascii="宋体" w:hAnsi="宋体" w:cs="宋体"/>
          <w:sz w:val="24"/>
          <w:szCs w:val="24"/>
        </w:rPr>
        <w:t>详见《关于印发中小企业划型标准规定的通知》工信部联企业（</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300</w:t>
      </w:r>
      <w:r>
        <w:rPr>
          <w:rFonts w:hint="eastAsia" w:ascii="宋体" w:hAnsi="宋体" w:cs="宋体"/>
          <w:sz w:val="24"/>
          <w:szCs w:val="24"/>
        </w:rPr>
        <w:t>号）。</w:t>
      </w:r>
    </w:p>
    <w:p>
      <w:pPr>
        <w:tabs>
          <w:tab w:val="left" w:pos="4680"/>
        </w:tabs>
        <w:snapToGrid w:val="0"/>
        <w:spacing w:line="360" w:lineRule="auto"/>
        <w:outlineLvl w:val="0"/>
        <w:rPr>
          <w:b/>
          <w:bCs/>
          <w:sz w:val="28"/>
          <w:szCs w:val="28"/>
        </w:rPr>
      </w:pPr>
      <w:r>
        <w:rPr>
          <w:rFonts w:hint="eastAsia"/>
          <w:b/>
          <w:bCs/>
          <w:sz w:val="28"/>
          <w:szCs w:val="28"/>
        </w:rPr>
        <w:t>33.信用查询记录</w:t>
      </w:r>
    </w:p>
    <w:p>
      <w:pPr>
        <w:spacing w:line="460" w:lineRule="exact"/>
        <w:ind w:firstLine="480" w:firstLineChars="200"/>
        <w:rPr>
          <w:rFonts w:ascii="宋体" w:hAnsi="宋体"/>
          <w:sz w:val="24"/>
          <w:szCs w:val="24"/>
        </w:rPr>
      </w:pPr>
      <w:r>
        <w:rPr>
          <w:rFonts w:hint="eastAsia" w:ascii="宋体" w:hAnsi="宋体" w:cs="宋体"/>
          <w:sz w:val="24"/>
        </w:rPr>
        <w:t>根据财库（2016）125号文《关于在政府采购活动中查询及使用信用记录有关问题的通知》的规定，所有投标人需提供“信用中国”网站(www.creditchina.gov.cn)或中国政府采购网(www.ccgp.gov.cn)查询的企业信用记录，并将网站截图作为投标文件的组成部分，如投标人不提供截图或被列入失信被执行人、重大税收违法案件当事人名单、政府采购严重违法实行行为记录名单的单位将被拒绝参加本次投标。</w:t>
      </w:r>
    </w:p>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rPr>
        <w:sectPr>
          <w:pgSz w:w="11907" w:h="16840"/>
          <w:pgMar w:top="1418" w:right="1134" w:bottom="1361" w:left="1134" w:header="794" w:footer="794" w:gutter="0"/>
          <w:cols w:space="720" w:num="1"/>
          <w:docGrid w:linePitch="285" w:charSpace="0"/>
        </w:sectPr>
      </w:pPr>
    </w:p>
    <w:bookmarkEnd w:id="134"/>
    <w:p>
      <w:pPr>
        <w:tabs>
          <w:tab w:val="left" w:pos="4680"/>
        </w:tabs>
        <w:snapToGrid w:val="0"/>
        <w:spacing w:line="360" w:lineRule="auto"/>
        <w:ind w:firstLine="596" w:firstLineChars="198"/>
        <w:jc w:val="center"/>
        <w:outlineLvl w:val="0"/>
        <w:rPr>
          <w:rFonts w:hint="eastAsia" w:ascii="黑体" w:hAnsi="仿宋_GB2312" w:cs="宋体"/>
          <w:b/>
          <w:bCs/>
          <w:sz w:val="30"/>
          <w:szCs w:val="30"/>
        </w:rPr>
      </w:pPr>
      <w:bookmarkStart w:id="135" w:name="_Toc22642"/>
      <w:bookmarkStart w:id="136" w:name="_Toc468811128"/>
      <w:bookmarkStart w:id="137" w:name="_Toc238907047"/>
      <w:r>
        <w:rPr>
          <w:rFonts w:hint="eastAsia" w:ascii="黑体" w:hAnsi="仿宋_GB2312" w:cs="宋体"/>
          <w:b/>
          <w:bCs/>
          <w:sz w:val="30"/>
          <w:szCs w:val="30"/>
        </w:rPr>
        <w:t>第三章　</w:t>
      </w:r>
      <w:r>
        <w:rPr>
          <w:rFonts w:hint="eastAsia" w:ascii="黑体" w:hAnsi="仿宋_GB2312" w:cs="宋体"/>
          <w:b/>
          <w:bCs/>
          <w:sz w:val="30"/>
          <w:szCs w:val="30"/>
          <w:lang w:val="zh-CN"/>
        </w:rPr>
        <w:t>用户需求书</w:t>
      </w:r>
    </w:p>
    <w:p>
      <w:pPr>
        <w:pStyle w:val="4"/>
        <w:keepNext/>
        <w:keepLines/>
        <w:pageBreakBefore w:val="0"/>
        <w:widowControl w:val="0"/>
        <w:numPr>
          <w:ilvl w:val="0"/>
          <w:numId w:val="0"/>
        </w:numPr>
        <w:kinsoku/>
        <w:wordWrap/>
        <w:overflowPunct/>
        <w:topLinePunct w:val="0"/>
        <w:autoSpaceDE/>
        <w:autoSpaceDN/>
        <w:bidi w:val="0"/>
        <w:adjustRightInd/>
        <w:snapToGrid/>
        <w:spacing w:before="21" w:after="21" w:line="240" w:lineRule="auto"/>
        <w:jc w:val="both"/>
        <w:textAlignment w:val="auto"/>
        <w:outlineLvl w:val="0"/>
        <w:rPr>
          <w:rFonts w:ascii="黑体" w:hAnsi="黑体" w:eastAsia="黑体"/>
          <w:sz w:val="24"/>
          <w:szCs w:val="24"/>
        </w:rPr>
      </w:pPr>
      <w:bookmarkStart w:id="138" w:name="_Toc491731833"/>
      <w:bookmarkStart w:id="139" w:name="_Toc392537793"/>
      <w:bookmarkStart w:id="140" w:name="_Toc392537870"/>
      <w:r>
        <w:rPr>
          <w:rFonts w:hint="eastAsia" w:ascii="黑体" w:hAnsi="黑体" w:eastAsia="黑体"/>
          <w:sz w:val="24"/>
          <w:szCs w:val="24"/>
        </w:rPr>
        <w:t>一、基本情况</w:t>
      </w:r>
      <w:bookmarkEnd w:id="138"/>
    </w:p>
    <w:p>
      <w:pPr>
        <w:spacing w:line="360" w:lineRule="auto"/>
        <w:ind w:firstLine="480"/>
        <w:jc w:val="left"/>
        <w:rPr>
          <w:rFonts w:ascii="宋体" w:hAnsi="宋体" w:cs="宋体"/>
          <w:sz w:val="24"/>
        </w:rPr>
      </w:pPr>
      <w:r>
        <w:rPr>
          <w:rFonts w:hint="eastAsia" w:ascii="宋体" w:hAnsi="宋体" w:cs="宋体"/>
          <w:sz w:val="24"/>
        </w:rPr>
        <w:t>C区Y地依托某配套项目，引接C区D单位电站10KV高压线路为主供电方式，并配备2套250KW柴油发电机组作为备用供电手段。随着E建设逐步加快，特别是某规划实施以来，Y地设备不断增加，用电负荷持续增多，现有供电结构已无法满足工作要求。特别自今年7月起，C区D单位电站柴油发电机组性能明显下降，经常出现故障，平均每天停机时间十余小时,短期内难以恢复正常。9月份故障情况扩大，已停止向我方供电，Y地只能依靠自有2部发电机组应急供电，急需破解现有困难局面。</w:t>
      </w:r>
    </w:p>
    <w:p>
      <w:pPr>
        <w:spacing w:line="360" w:lineRule="auto"/>
        <w:ind w:firstLine="480"/>
        <w:jc w:val="left"/>
        <w:rPr>
          <w:rFonts w:ascii="宋体" w:hAnsi="宋体" w:cs="宋体"/>
          <w:sz w:val="24"/>
        </w:rPr>
      </w:pPr>
      <w:r>
        <w:rPr>
          <w:rFonts w:hint="eastAsia" w:ascii="宋体" w:hAnsi="宋体" w:cs="宋体"/>
          <w:sz w:val="24"/>
        </w:rPr>
        <w:t>经了解，</w:t>
      </w:r>
      <w:r>
        <w:rPr>
          <w:rFonts w:hint="eastAsia" w:ascii="宋体" w:hAnsi="宋体" w:cs="宋体"/>
          <w:sz w:val="24"/>
          <w:lang w:val="en-US" w:eastAsia="zh-CN"/>
        </w:rPr>
        <w:t>S</w:t>
      </w:r>
      <w:r>
        <w:rPr>
          <w:rFonts w:hint="eastAsia" w:ascii="宋体" w:hAnsi="宋体" w:cs="宋体"/>
          <w:sz w:val="24"/>
        </w:rPr>
        <w:t>市南方电网已具备市电供应能力，后期也将持续加大投资进行配套设施建设，已能满足Y地现阶段用电需求。为确保工作不间断，提高Y地电力保障能力，建议尽快引接</w:t>
      </w:r>
      <w:r>
        <w:rPr>
          <w:rFonts w:hint="eastAsia" w:ascii="宋体" w:hAnsi="宋体" w:cs="宋体"/>
          <w:sz w:val="24"/>
          <w:lang w:val="en-US" w:eastAsia="zh-CN"/>
        </w:rPr>
        <w:t>S</w:t>
      </w:r>
      <w:r>
        <w:rPr>
          <w:rFonts w:hint="eastAsia" w:ascii="宋体" w:hAnsi="宋体" w:cs="宋体"/>
          <w:sz w:val="24"/>
        </w:rPr>
        <w:t>市南方电网市电，与C区D单位10KV高压线路构成双回路供电。</w:t>
      </w:r>
    </w:p>
    <w:p>
      <w:pPr>
        <w:pStyle w:val="4"/>
        <w:keepNext/>
        <w:keepLines/>
        <w:pageBreakBefore w:val="0"/>
        <w:widowControl w:val="0"/>
        <w:numPr>
          <w:ilvl w:val="0"/>
          <w:numId w:val="0"/>
        </w:numPr>
        <w:tabs>
          <w:tab w:val="center" w:pos="4621"/>
        </w:tabs>
        <w:kinsoku/>
        <w:wordWrap/>
        <w:overflowPunct/>
        <w:topLinePunct w:val="0"/>
        <w:autoSpaceDE/>
        <w:autoSpaceDN/>
        <w:bidi w:val="0"/>
        <w:adjustRightInd/>
        <w:snapToGrid/>
        <w:spacing w:before="21" w:after="21"/>
        <w:jc w:val="both"/>
        <w:textAlignment w:val="auto"/>
        <w:outlineLvl w:val="0"/>
        <w:rPr>
          <w:rFonts w:ascii="黑体" w:hAnsi="黑体" w:eastAsia="黑体"/>
          <w:sz w:val="32"/>
          <w:szCs w:val="32"/>
        </w:rPr>
      </w:pPr>
      <w:bookmarkStart w:id="141" w:name="_Toc491731834"/>
      <w:r>
        <w:rPr>
          <w:rFonts w:hint="eastAsia" w:ascii="黑体" w:hAnsi="黑体" w:eastAsia="黑体"/>
          <w:sz w:val="24"/>
          <w:szCs w:val="24"/>
        </w:rPr>
        <w:t>二、设计原则</w:t>
      </w:r>
      <w:bookmarkEnd w:id="141"/>
      <w:r>
        <w:rPr>
          <w:rFonts w:ascii="黑体" w:hAnsi="黑体" w:eastAsia="黑体"/>
          <w:sz w:val="32"/>
          <w:szCs w:val="32"/>
        </w:rPr>
        <w:tab/>
      </w:r>
    </w:p>
    <w:p>
      <w:pPr>
        <w:spacing w:line="360" w:lineRule="auto"/>
        <w:ind w:firstLine="480"/>
        <w:jc w:val="left"/>
        <w:rPr>
          <w:rFonts w:hint="eastAsia" w:ascii="宋体" w:hAnsi="宋体" w:cs="宋体"/>
          <w:sz w:val="24"/>
        </w:rPr>
      </w:pPr>
      <w:r>
        <w:rPr>
          <w:rFonts w:hint="eastAsia" w:ascii="宋体" w:hAnsi="宋体" w:cs="宋体"/>
          <w:sz w:val="24"/>
        </w:rPr>
        <w:t>根据C区Y地现有用电设备额定功率测算（详情见表1），所有负载同时开启时功率为269.5 kW，实测日常功率在120kW左右，考虑后期装备手段扩展需要，日常功率将有所增加，预计在150kW以上，低压接入方案将以此为依据，结合路由实际情况设计。高压接入方案以南方电网高压接入标准为依据。两套方案均立足现有供电设施，合理投入经费，适当进行供电线路扩展。</w:t>
      </w:r>
    </w:p>
    <w:p>
      <w:pPr>
        <w:ind w:firstLine="0" w:firstLineChars="0"/>
        <w:jc w:val="center"/>
        <w:rPr>
          <w:sz w:val="32"/>
          <w:szCs w:val="32"/>
        </w:rPr>
      </w:pPr>
    </w:p>
    <w:p>
      <w:pPr>
        <w:ind w:firstLine="0" w:firstLineChars="0"/>
        <w:jc w:val="center"/>
        <w:rPr>
          <w:sz w:val="32"/>
          <w:szCs w:val="32"/>
        </w:rPr>
      </w:pPr>
    </w:p>
    <w:p>
      <w:pPr>
        <w:ind w:firstLine="0" w:firstLineChars="0"/>
        <w:jc w:val="center"/>
        <w:rPr>
          <w:rFonts w:hint="eastAsia"/>
          <w:sz w:val="32"/>
          <w:szCs w:val="32"/>
        </w:rPr>
        <w:sectPr>
          <w:pgSz w:w="11907" w:h="16840"/>
          <w:pgMar w:top="1418" w:right="1247" w:bottom="1247" w:left="1418" w:header="851" w:footer="567" w:gutter="0"/>
          <w:cols w:space="720" w:num="1"/>
          <w:titlePg/>
          <w:docGrid w:type="lines" w:linePitch="381" w:charSpace="0"/>
        </w:sectPr>
      </w:pPr>
    </w:p>
    <w:p>
      <w:pPr>
        <w:ind w:firstLine="0" w:firstLineChars="0"/>
        <w:jc w:val="center"/>
        <w:rPr>
          <w:sz w:val="32"/>
          <w:szCs w:val="32"/>
        </w:rPr>
      </w:pPr>
      <w:r>
        <w:rPr>
          <w:rFonts w:hint="eastAsia"/>
          <w:sz w:val="32"/>
          <w:szCs w:val="32"/>
        </w:rPr>
        <w:t>表1</w:t>
      </w:r>
      <w:r>
        <w:rPr>
          <w:sz w:val="32"/>
          <w:szCs w:val="32"/>
        </w:rPr>
        <w:t xml:space="preserve">  </w:t>
      </w:r>
      <w:r>
        <w:rPr>
          <w:rFonts w:hint="eastAsia"/>
          <w:sz w:val="32"/>
          <w:szCs w:val="32"/>
        </w:rPr>
        <w:t>用电设备容量清单</w:t>
      </w:r>
    </w:p>
    <w:tbl>
      <w:tblPr>
        <w:tblStyle w:val="54"/>
        <w:tblW w:w="94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007"/>
        <w:gridCol w:w="1195"/>
        <w:gridCol w:w="999"/>
        <w:gridCol w:w="1084"/>
        <w:gridCol w:w="936"/>
        <w:gridCol w:w="1699"/>
        <w:gridCol w:w="6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 w:hRule="atLeast"/>
          <w:jc w:val="center"/>
        </w:trPr>
        <w:tc>
          <w:tcPr>
            <w:tcW w:w="887" w:type="dxa"/>
            <w:vAlign w:val="center"/>
          </w:tcPr>
          <w:p>
            <w:pPr>
              <w:spacing w:line="440" w:lineRule="exact"/>
              <w:ind w:firstLine="0" w:firstLineChars="0"/>
              <w:jc w:val="center"/>
              <w:rPr>
                <w:rFonts w:ascii="宋体" w:hAnsi="宋体"/>
                <w:szCs w:val="32"/>
              </w:rPr>
            </w:pPr>
            <w:r>
              <w:rPr>
                <w:rFonts w:hint="eastAsia" w:ascii="宋体" w:hAnsi="宋体"/>
                <w:szCs w:val="32"/>
              </w:rPr>
              <w:t>序号</w:t>
            </w:r>
          </w:p>
        </w:tc>
        <w:tc>
          <w:tcPr>
            <w:tcW w:w="2007" w:type="dxa"/>
            <w:vAlign w:val="center"/>
          </w:tcPr>
          <w:p>
            <w:pPr>
              <w:spacing w:line="440" w:lineRule="exact"/>
              <w:ind w:firstLine="0" w:firstLineChars="0"/>
              <w:jc w:val="center"/>
              <w:rPr>
                <w:rFonts w:ascii="宋体" w:hAnsi="宋体"/>
                <w:szCs w:val="32"/>
              </w:rPr>
            </w:pPr>
            <w:r>
              <w:rPr>
                <w:rFonts w:hint="eastAsia" w:ascii="宋体" w:hAnsi="宋体"/>
                <w:szCs w:val="32"/>
              </w:rPr>
              <w:t>设备名称</w:t>
            </w:r>
          </w:p>
        </w:tc>
        <w:tc>
          <w:tcPr>
            <w:tcW w:w="1195" w:type="dxa"/>
            <w:vAlign w:val="center"/>
          </w:tcPr>
          <w:p>
            <w:pPr>
              <w:spacing w:line="440" w:lineRule="exact"/>
              <w:ind w:firstLine="0" w:firstLineChars="0"/>
              <w:jc w:val="center"/>
              <w:rPr>
                <w:rFonts w:ascii="宋体" w:hAnsi="宋体"/>
                <w:szCs w:val="32"/>
              </w:rPr>
            </w:pPr>
            <w:r>
              <w:rPr>
                <w:rFonts w:hint="eastAsia" w:ascii="宋体" w:hAnsi="宋体"/>
                <w:szCs w:val="32"/>
              </w:rPr>
              <w:t>型号</w:t>
            </w:r>
          </w:p>
        </w:tc>
        <w:tc>
          <w:tcPr>
            <w:tcW w:w="999" w:type="dxa"/>
            <w:vAlign w:val="center"/>
          </w:tcPr>
          <w:p>
            <w:pPr>
              <w:spacing w:line="440" w:lineRule="exact"/>
              <w:ind w:firstLine="0" w:firstLineChars="0"/>
              <w:jc w:val="center"/>
              <w:rPr>
                <w:rFonts w:ascii="宋体" w:hAnsi="宋体"/>
                <w:szCs w:val="32"/>
              </w:rPr>
            </w:pPr>
            <w:r>
              <w:rPr>
                <w:rFonts w:hint="eastAsia" w:ascii="宋体" w:hAnsi="宋体"/>
                <w:szCs w:val="32"/>
              </w:rPr>
              <w:t>额定电压</w:t>
            </w:r>
          </w:p>
          <w:p>
            <w:pPr>
              <w:spacing w:line="440" w:lineRule="exact"/>
              <w:ind w:firstLine="0" w:firstLineChars="0"/>
              <w:jc w:val="center"/>
              <w:rPr>
                <w:rFonts w:ascii="宋体" w:hAnsi="宋体"/>
                <w:szCs w:val="32"/>
              </w:rPr>
            </w:pPr>
            <w:r>
              <w:rPr>
                <w:rFonts w:hint="eastAsia" w:ascii="宋体" w:hAnsi="宋体"/>
                <w:szCs w:val="32"/>
              </w:rPr>
              <w:t>(kV)</w:t>
            </w:r>
          </w:p>
        </w:tc>
        <w:tc>
          <w:tcPr>
            <w:tcW w:w="1084" w:type="dxa"/>
            <w:vAlign w:val="center"/>
          </w:tcPr>
          <w:p>
            <w:pPr>
              <w:spacing w:line="440" w:lineRule="exact"/>
              <w:ind w:firstLine="0" w:firstLineChars="0"/>
              <w:jc w:val="center"/>
              <w:rPr>
                <w:rFonts w:ascii="宋体" w:hAnsi="宋体"/>
                <w:szCs w:val="32"/>
              </w:rPr>
            </w:pPr>
            <w:r>
              <w:rPr>
                <w:rFonts w:hint="eastAsia" w:ascii="宋体" w:hAnsi="宋体"/>
                <w:szCs w:val="32"/>
              </w:rPr>
              <w:t>单台容量(kW)</w:t>
            </w:r>
          </w:p>
        </w:tc>
        <w:tc>
          <w:tcPr>
            <w:tcW w:w="936" w:type="dxa"/>
            <w:vAlign w:val="center"/>
          </w:tcPr>
          <w:p>
            <w:pPr>
              <w:spacing w:line="440" w:lineRule="exact"/>
              <w:ind w:firstLine="0" w:firstLineChars="0"/>
              <w:jc w:val="center"/>
              <w:rPr>
                <w:rFonts w:ascii="宋体" w:hAnsi="宋体"/>
                <w:szCs w:val="32"/>
              </w:rPr>
            </w:pPr>
            <w:r>
              <w:rPr>
                <w:rFonts w:hint="eastAsia" w:ascii="宋体" w:hAnsi="宋体"/>
                <w:szCs w:val="32"/>
              </w:rPr>
              <w:t>数量</w:t>
            </w:r>
          </w:p>
        </w:tc>
        <w:tc>
          <w:tcPr>
            <w:tcW w:w="1699" w:type="dxa"/>
            <w:vAlign w:val="center"/>
          </w:tcPr>
          <w:p>
            <w:pPr>
              <w:spacing w:line="440" w:lineRule="exact"/>
              <w:ind w:firstLine="0" w:firstLineChars="0"/>
              <w:jc w:val="center"/>
              <w:rPr>
                <w:rFonts w:ascii="宋体" w:hAnsi="宋体"/>
                <w:szCs w:val="32"/>
              </w:rPr>
            </w:pPr>
            <w:r>
              <w:rPr>
                <w:rFonts w:hint="eastAsia" w:ascii="宋体" w:hAnsi="宋体"/>
                <w:szCs w:val="32"/>
              </w:rPr>
              <w:t>容量小计</w:t>
            </w:r>
          </w:p>
          <w:p>
            <w:pPr>
              <w:spacing w:line="440" w:lineRule="exact"/>
              <w:ind w:firstLine="0" w:firstLineChars="0"/>
              <w:jc w:val="center"/>
              <w:rPr>
                <w:rFonts w:ascii="宋体" w:hAnsi="宋体"/>
                <w:szCs w:val="32"/>
              </w:rPr>
            </w:pPr>
            <w:r>
              <w:rPr>
                <w:rFonts w:hint="eastAsia" w:ascii="宋体" w:hAnsi="宋体"/>
                <w:szCs w:val="32"/>
              </w:rPr>
              <w:t>(kW)</w:t>
            </w:r>
          </w:p>
        </w:tc>
        <w:tc>
          <w:tcPr>
            <w:tcW w:w="651" w:type="dxa"/>
            <w:vAlign w:val="center"/>
          </w:tcPr>
          <w:p>
            <w:pPr>
              <w:spacing w:line="440" w:lineRule="exact"/>
              <w:ind w:firstLine="0" w:firstLineChars="0"/>
              <w:jc w:val="center"/>
              <w:rPr>
                <w:rFonts w:ascii="宋体" w:hAnsi="宋体"/>
                <w:szCs w:val="32"/>
              </w:rPr>
            </w:pPr>
            <w:r>
              <w:rPr>
                <w:rFonts w:hint="eastAsia" w:ascii="宋体" w:hAnsi="宋体"/>
                <w:szCs w:val="3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1</w:t>
            </w:r>
          </w:p>
        </w:tc>
        <w:tc>
          <w:tcPr>
            <w:tcW w:w="2007" w:type="dxa"/>
            <w:vAlign w:val="center"/>
          </w:tcPr>
          <w:p>
            <w:pPr>
              <w:ind w:firstLine="0" w:firstLineChars="0"/>
              <w:jc w:val="center"/>
              <w:rPr>
                <w:rFonts w:ascii="宋体" w:hAnsi="宋体"/>
                <w:szCs w:val="32"/>
              </w:rPr>
            </w:pPr>
            <w:r>
              <w:rPr>
                <w:rFonts w:hint="eastAsia" w:ascii="宋体" w:hAnsi="宋体"/>
                <w:szCs w:val="32"/>
              </w:rPr>
              <w:t>1#</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91</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2</w:t>
            </w:r>
          </w:p>
        </w:tc>
        <w:tc>
          <w:tcPr>
            <w:tcW w:w="2007" w:type="dxa"/>
            <w:vAlign w:val="center"/>
          </w:tcPr>
          <w:p>
            <w:pPr>
              <w:ind w:firstLine="0" w:firstLineChars="0"/>
              <w:jc w:val="center"/>
              <w:rPr>
                <w:rFonts w:ascii="宋体" w:hAnsi="宋体"/>
                <w:szCs w:val="32"/>
              </w:rPr>
            </w:pPr>
            <w:r>
              <w:rPr>
                <w:rFonts w:hint="eastAsia" w:ascii="宋体" w:hAnsi="宋体"/>
                <w:szCs w:val="32"/>
              </w:rPr>
              <w:t>2#</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108</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3</w:t>
            </w:r>
          </w:p>
        </w:tc>
        <w:tc>
          <w:tcPr>
            <w:tcW w:w="2007" w:type="dxa"/>
            <w:vAlign w:val="center"/>
          </w:tcPr>
          <w:p>
            <w:pPr>
              <w:ind w:firstLine="0" w:firstLineChars="0"/>
              <w:jc w:val="center"/>
              <w:rPr>
                <w:rFonts w:ascii="宋体" w:hAnsi="宋体"/>
                <w:szCs w:val="32"/>
              </w:rPr>
            </w:pPr>
            <w:r>
              <w:rPr>
                <w:rFonts w:hint="eastAsia" w:ascii="宋体" w:hAnsi="宋体"/>
                <w:szCs w:val="32"/>
              </w:rPr>
              <w:t>3#</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20</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4</w:t>
            </w:r>
          </w:p>
        </w:tc>
        <w:tc>
          <w:tcPr>
            <w:tcW w:w="2007" w:type="dxa"/>
            <w:vAlign w:val="center"/>
          </w:tcPr>
          <w:p>
            <w:pPr>
              <w:ind w:firstLine="0" w:firstLineChars="0"/>
              <w:jc w:val="center"/>
              <w:rPr>
                <w:rFonts w:ascii="宋体" w:hAnsi="宋体"/>
                <w:szCs w:val="32"/>
              </w:rPr>
            </w:pPr>
            <w:r>
              <w:rPr>
                <w:rFonts w:hint="eastAsia" w:ascii="宋体" w:hAnsi="宋体"/>
                <w:szCs w:val="32"/>
              </w:rPr>
              <w:t>4#</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7</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5</w:t>
            </w:r>
          </w:p>
        </w:tc>
        <w:tc>
          <w:tcPr>
            <w:tcW w:w="2007" w:type="dxa"/>
            <w:vAlign w:val="center"/>
          </w:tcPr>
          <w:p>
            <w:pPr>
              <w:ind w:firstLine="0" w:firstLineChars="0"/>
              <w:jc w:val="center"/>
              <w:rPr>
                <w:rFonts w:ascii="宋体" w:hAnsi="宋体"/>
                <w:szCs w:val="32"/>
              </w:rPr>
            </w:pPr>
            <w:r>
              <w:rPr>
                <w:rFonts w:hint="eastAsia" w:ascii="宋体" w:hAnsi="宋体"/>
                <w:szCs w:val="32"/>
              </w:rPr>
              <w:t>5#</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7.5</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6</w:t>
            </w:r>
          </w:p>
        </w:tc>
        <w:tc>
          <w:tcPr>
            <w:tcW w:w="2007" w:type="dxa"/>
            <w:vAlign w:val="center"/>
          </w:tcPr>
          <w:p>
            <w:pPr>
              <w:ind w:firstLine="0" w:firstLineChars="0"/>
              <w:jc w:val="center"/>
              <w:rPr>
                <w:rFonts w:ascii="宋体" w:hAnsi="宋体"/>
                <w:szCs w:val="32"/>
              </w:rPr>
            </w:pPr>
            <w:r>
              <w:rPr>
                <w:rFonts w:hint="eastAsia" w:ascii="宋体" w:hAnsi="宋体"/>
                <w:szCs w:val="32"/>
              </w:rPr>
              <w:t>6#</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12</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7</w:t>
            </w:r>
          </w:p>
        </w:tc>
        <w:tc>
          <w:tcPr>
            <w:tcW w:w="2007" w:type="dxa"/>
            <w:vAlign w:val="center"/>
          </w:tcPr>
          <w:p>
            <w:pPr>
              <w:ind w:firstLine="0" w:firstLineChars="0"/>
              <w:jc w:val="center"/>
              <w:rPr>
                <w:rFonts w:ascii="宋体" w:hAnsi="宋体"/>
                <w:szCs w:val="32"/>
              </w:rPr>
            </w:pPr>
            <w:r>
              <w:rPr>
                <w:rFonts w:hint="eastAsia" w:ascii="宋体" w:hAnsi="宋体"/>
                <w:szCs w:val="32"/>
              </w:rPr>
              <w:t>7#</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15</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8</w:t>
            </w:r>
          </w:p>
        </w:tc>
        <w:tc>
          <w:tcPr>
            <w:tcW w:w="2007" w:type="dxa"/>
            <w:vAlign w:val="center"/>
          </w:tcPr>
          <w:p>
            <w:pPr>
              <w:ind w:firstLine="0" w:firstLineChars="0"/>
              <w:jc w:val="center"/>
              <w:rPr>
                <w:rFonts w:ascii="宋体" w:hAnsi="宋体"/>
                <w:szCs w:val="32"/>
              </w:rPr>
            </w:pPr>
            <w:r>
              <w:rPr>
                <w:rFonts w:hint="eastAsia" w:ascii="宋体" w:hAnsi="宋体"/>
                <w:szCs w:val="32"/>
              </w:rPr>
              <w:t>8#</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4</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87" w:type="dxa"/>
            <w:vAlign w:val="center"/>
          </w:tcPr>
          <w:p>
            <w:pPr>
              <w:ind w:firstLine="0" w:firstLineChars="0"/>
              <w:jc w:val="center"/>
              <w:rPr>
                <w:rFonts w:ascii="宋体" w:hAnsi="宋体"/>
                <w:szCs w:val="32"/>
              </w:rPr>
            </w:pPr>
            <w:r>
              <w:rPr>
                <w:rFonts w:hint="eastAsia" w:ascii="宋体" w:hAnsi="宋体"/>
                <w:szCs w:val="32"/>
              </w:rPr>
              <w:t>9</w:t>
            </w:r>
          </w:p>
        </w:tc>
        <w:tc>
          <w:tcPr>
            <w:tcW w:w="2007" w:type="dxa"/>
            <w:vAlign w:val="center"/>
          </w:tcPr>
          <w:p>
            <w:pPr>
              <w:ind w:firstLine="0" w:firstLineChars="0"/>
              <w:jc w:val="center"/>
              <w:rPr>
                <w:rFonts w:ascii="宋体" w:hAnsi="宋体"/>
                <w:szCs w:val="32"/>
              </w:rPr>
            </w:pPr>
            <w:r>
              <w:rPr>
                <w:rFonts w:hint="eastAsia" w:ascii="宋体" w:hAnsi="宋体"/>
                <w:szCs w:val="32"/>
              </w:rPr>
              <w:t>9#</w:t>
            </w:r>
          </w:p>
        </w:tc>
        <w:tc>
          <w:tcPr>
            <w:tcW w:w="1195" w:type="dxa"/>
            <w:vAlign w:val="center"/>
          </w:tcPr>
          <w:p>
            <w:pPr>
              <w:jc w:val="center"/>
              <w:rPr>
                <w:rFonts w:ascii="宋体" w:hAnsi="宋体"/>
                <w:szCs w:val="32"/>
              </w:rPr>
            </w:pPr>
          </w:p>
        </w:tc>
        <w:tc>
          <w:tcPr>
            <w:tcW w:w="999" w:type="dxa"/>
            <w:vAlign w:val="center"/>
          </w:tcPr>
          <w:p>
            <w:pPr>
              <w:jc w:val="center"/>
              <w:rPr>
                <w:rFonts w:ascii="宋体" w:hAnsi="宋体"/>
                <w:szCs w:val="32"/>
              </w:rPr>
            </w:pPr>
          </w:p>
        </w:tc>
        <w:tc>
          <w:tcPr>
            <w:tcW w:w="1084" w:type="dxa"/>
            <w:vAlign w:val="center"/>
          </w:tcPr>
          <w:p>
            <w:pPr>
              <w:jc w:val="center"/>
              <w:rPr>
                <w:rFonts w:ascii="宋体" w:hAnsi="宋体"/>
                <w:szCs w:val="32"/>
              </w:rPr>
            </w:pPr>
          </w:p>
        </w:tc>
        <w:tc>
          <w:tcPr>
            <w:tcW w:w="936" w:type="dxa"/>
            <w:vAlign w:val="center"/>
          </w:tcPr>
          <w:p>
            <w:pPr>
              <w:jc w:val="center"/>
              <w:rPr>
                <w:rFonts w:ascii="宋体" w:hAnsi="宋体"/>
                <w:szCs w:val="32"/>
              </w:rPr>
            </w:pPr>
          </w:p>
        </w:tc>
        <w:tc>
          <w:tcPr>
            <w:tcW w:w="1699" w:type="dxa"/>
            <w:vAlign w:val="center"/>
          </w:tcPr>
          <w:p>
            <w:pPr>
              <w:ind w:firstLine="0" w:firstLineChars="0"/>
              <w:jc w:val="center"/>
              <w:rPr>
                <w:rFonts w:ascii="宋体" w:hAnsi="宋体"/>
                <w:szCs w:val="32"/>
              </w:rPr>
            </w:pPr>
            <w:r>
              <w:rPr>
                <w:rFonts w:hint="eastAsia" w:ascii="宋体" w:hAnsi="宋体"/>
                <w:szCs w:val="32"/>
              </w:rPr>
              <w:t>5</w:t>
            </w:r>
          </w:p>
        </w:tc>
        <w:tc>
          <w:tcPr>
            <w:tcW w:w="651" w:type="dxa"/>
            <w:vAlign w:val="center"/>
          </w:tcPr>
          <w:p>
            <w:pPr>
              <w:jc w:val="center"/>
              <w:rPr>
                <w:rFonts w:ascii="宋体" w:hAnsi="宋体"/>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2894" w:type="dxa"/>
            <w:gridSpan w:val="2"/>
            <w:vAlign w:val="center"/>
          </w:tcPr>
          <w:p>
            <w:pPr>
              <w:ind w:firstLine="0" w:firstLineChars="0"/>
              <w:jc w:val="center"/>
              <w:rPr>
                <w:rFonts w:ascii="宋体" w:hAnsi="宋体"/>
                <w:szCs w:val="32"/>
              </w:rPr>
            </w:pPr>
            <w:r>
              <w:rPr>
                <w:rFonts w:hint="eastAsia" w:ascii="宋体" w:hAnsi="宋体"/>
                <w:szCs w:val="32"/>
              </w:rPr>
              <w:t>用电负荷合计（kW）：</w:t>
            </w:r>
          </w:p>
        </w:tc>
        <w:tc>
          <w:tcPr>
            <w:tcW w:w="2194" w:type="dxa"/>
            <w:gridSpan w:val="2"/>
            <w:vAlign w:val="center"/>
          </w:tcPr>
          <w:p>
            <w:pPr>
              <w:ind w:firstLine="0" w:firstLineChars="0"/>
              <w:jc w:val="center"/>
              <w:rPr>
                <w:rFonts w:ascii="宋体" w:hAnsi="宋体"/>
                <w:szCs w:val="32"/>
              </w:rPr>
            </w:pPr>
            <w:r>
              <w:rPr>
                <w:rFonts w:hint="eastAsia" w:ascii="宋体" w:hAnsi="宋体"/>
                <w:szCs w:val="32"/>
              </w:rPr>
              <w:t>269.5</w:t>
            </w:r>
          </w:p>
        </w:tc>
        <w:tc>
          <w:tcPr>
            <w:tcW w:w="2020" w:type="dxa"/>
            <w:gridSpan w:val="2"/>
            <w:vAlign w:val="center"/>
          </w:tcPr>
          <w:p>
            <w:pPr>
              <w:ind w:firstLine="0" w:firstLineChars="0"/>
              <w:jc w:val="center"/>
              <w:rPr>
                <w:rFonts w:ascii="宋体" w:hAnsi="宋体"/>
                <w:szCs w:val="32"/>
              </w:rPr>
            </w:pPr>
          </w:p>
        </w:tc>
        <w:tc>
          <w:tcPr>
            <w:tcW w:w="2350" w:type="dxa"/>
            <w:gridSpan w:val="2"/>
            <w:vAlign w:val="center"/>
          </w:tcPr>
          <w:p>
            <w:pPr>
              <w:ind w:firstLine="0" w:firstLineChars="0"/>
              <w:jc w:val="center"/>
              <w:rPr>
                <w:rFonts w:ascii="宋体" w:hAnsi="宋体"/>
                <w:szCs w:val="32"/>
              </w:rPr>
            </w:pPr>
          </w:p>
        </w:tc>
      </w:tr>
    </w:tbl>
    <w:p>
      <w:pPr>
        <w:pStyle w:val="4"/>
        <w:keepNext/>
        <w:keepLines/>
        <w:pageBreakBefore w:val="0"/>
        <w:widowControl w:val="0"/>
        <w:numPr>
          <w:ilvl w:val="0"/>
          <w:numId w:val="0"/>
        </w:numPr>
        <w:tabs>
          <w:tab w:val="center" w:pos="4621"/>
        </w:tabs>
        <w:kinsoku/>
        <w:wordWrap/>
        <w:overflowPunct/>
        <w:topLinePunct w:val="0"/>
        <w:autoSpaceDE/>
        <w:autoSpaceDN/>
        <w:bidi w:val="0"/>
        <w:adjustRightInd/>
        <w:snapToGrid/>
        <w:spacing w:before="21" w:after="21"/>
        <w:jc w:val="both"/>
        <w:textAlignment w:val="auto"/>
        <w:outlineLvl w:val="0"/>
        <w:rPr>
          <w:rFonts w:hint="eastAsia" w:ascii="黑体" w:hAnsi="黑体" w:eastAsia="黑体"/>
          <w:sz w:val="24"/>
          <w:szCs w:val="24"/>
        </w:rPr>
      </w:pPr>
      <w:bookmarkStart w:id="142" w:name="_Toc491731835"/>
      <w:r>
        <w:rPr>
          <w:rFonts w:hint="eastAsia" w:ascii="黑体" w:hAnsi="黑体" w:eastAsia="黑体"/>
          <w:sz w:val="24"/>
          <w:szCs w:val="24"/>
        </w:rPr>
        <w:t>三、接入方案</w:t>
      </w:r>
      <w:bookmarkEnd w:id="139"/>
      <w:bookmarkEnd w:id="140"/>
      <w:bookmarkEnd w:id="142"/>
    </w:p>
    <w:p>
      <w:pPr>
        <w:spacing w:line="360" w:lineRule="auto"/>
        <w:ind w:firstLine="480"/>
        <w:jc w:val="left"/>
        <w:rPr>
          <w:rFonts w:hint="eastAsia" w:ascii="宋体" w:hAnsi="宋体" w:cs="宋体"/>
          <w:sz w:val="24"/>
        </w:rPr>
      </w:pPr>
      <w:r>
        <w:rPr>
          <w:rFonts w:hint="eastAsia" w:ascii="宋体" w:hAnsi="宋体" w:cs="宋体"/>
          <w:sz w:val="24"/>
        </w:rPr>
        <w:t>（一）低压电接入方案（380伏）</w:t>
      </w:r>
    </w:p>
    <w:p>
      <w:pPr>
        <w:spacing w:line="360" w:lineRule="auto"/>
        <w:ind w:firstLine="480"/>
        <w:jc w:val="left"/>
        <w:rPr>
          <w:rFonts w:hint="eastAsia" w:ascii="宋体" w:hAnsi="宋体" w:cs="宋体"/>
          <w:sz w:val="24"/>
        </w:rPr>
      </w:pPr>
      <w:r>
        <w:rPr>
          <w:rFonts w:hint="eastAsia" w:ascii="宋体" w:hAnsi="宋体" w:cs="宋体"/>
          <w:sz w:val="24"/>
        </w:rPr>
        <w:t>1、低压接入点</w:t>
      </w:r>
    </w:p>
    <w:p>
      <w:pPr>
        <w:spacing w:line="360" w:lineRule="auto"/>
        <w:ind w:firstLine="480"/>
        <w:jc w:val="left"/>
        <w:rPr>
          <w:rFonts w:hint="eastAsia" w:ascii="宋体" w:hAnsi="宋体" w:cs="宋体"/>
          <w:sz w:val="24"/>
        </w:rPr>
      </w:pPr>
      <w:r>
        <w:rPr>
          <w:rFonts w:hint="eastAsia" w:ascii="宋体" w:hAnsi="宋体" w:cs="宋体"/>
          <w:sz w:val="24"/>
        </w:rPr>
        <w:t>C区Y地周边有两处低压接入点。其中，一个接入点（低压接入点1）位</w:t>
      </w:r>
      <w:r>
        <w:rPr>
          <w:rFonts w:hint="eastAsia" w:ascii="宋体" w:hAnsi="宋体" w:cs="宋体"/>
          <w:sz w:val="24"/>
          <w:lang w:val="en-US" w:eastAsia="zh-CN"/>
        </w:rPr>
        <w:t>S</w:t>
      </w:r>
      <w:r>
        <w:rPr>
          <w:rFonts w:hint="eastAsia" w:ascii="宋体" w:hAnsi="宋体" w:cs="宋体"/>
          <w:sz w:val="24"/>
        </w:rPr>
        <w:t>市</w:t>
      </w:r>
      <w:r>
        <w:rPr>
          <w:rFonts w:hint="eastAsia" w:ascii="宋体" w:hAnsi="宋体" w:cs="宋体"/>
          <w:sz w:val="24"/>
          <w:lang w:eastAsia="zh-CN"/>
        </w:rPr>
        <w:t>某地</w:t>
      </w:r>
      <w:r>
        <w:rPr>
          <w:rFonts w:hint="eastAsia" w:ascii="宋体" w:hAnsi="宋体" w:cs="宋体"/>
          <w:sz w:val="24"/>
        </w:rPr>
        <w:t>1栋待拆民房的侧墙上，总功率为400kW，今后可能会拆除，现阶段使用用户较多，明线、暗线杂乱，布线施工难度大，该点至配电房需敷设280米电缆（详情见图1低压路由1）。另一个接入点（低压接入点2）位于C区某大楼对面，为南方电网新建低压配电箱，总功率为500 kW，容量大用户少，线路敷设难度小，但该点至配电房需敷设450米电缆（详情见图1低压路由2）,线路较长。综合以上情况，结合</w:t>
      </w:r>
      <w:r>
        <w:rPr>
          <w:rFonts w:hint="eastAsia" w:ascii="宋体" w:hAnsi="宋体" w:cs="宋体"/>
          <w:sz w:val="24"/>
          <w:lang w:val="en-US" w:eastAsia="zh-CN"/>
        </w:rPr>
        <w:t>S</w:t>
      </w:r>
      <w:r>
        <w:rPr>
          <w:rFonts w:hint="eastAsia" w:ascii="宋体" w:hAnsi="宋体" w:cs="宋体"/>
          <w:sz w:val="24"/>
        </w:rPr>
        <w:t>市南方电网意见，建议选择低压接入点2。</w:t>
      </w:r>
    </w:p>
    <w:p>
      <w:pPr>
        <w:spacing w:line="360" w:lineRule="auto"/>
        <w:ind w:firstLine="480"/>
        <w:jc w:val="left"/>
        <w:rPr>
          <w:rFonts w:hint="eastAsia" w:ascii="宋体" w:hAnsi="宋体" w:cs="宋体"/>
          <w:sz w:val="24"/>
        </w:rPr>
      </w:pPr>
      <w:r>
        <w:rPr>
          <w:rFonts w:hint="eastAsia" w:ascii="宋体" w:hAnsi="宋体" w:cs="宋体"/>
          <w:sz w:val="24"/>
        </w:rPr>
        <w:t>2、路由</w:t>
      </w:r>
    </w:p>
    <w:p>
      <w:pPr>
        <w:spacing w:line="360" w:lineRule="auto"/>
        <w:ind w:firstLine="480"/>
        <w:jc w:val="left"/>
        <w:rPr>
          <w:rFonts w:hint="eastAsia" w:ascii="宋体" w:hAnsi="宋体" w:cs="宋体"/>
          <w:sz w:val="24"/>
        </w:rPr>
      </w:pPr>
      <w:r>
        <w:rPr>
          <w:rFonts w:hint="eastAsia" w:ascii="宋体" w:hAnsi="宋体" w:cs="宋体"/>
          <w:sz w:val="24"/>
        </w:rPr>
        <w:t>由低压接入点2起始，经南方电网2个电井，挖沟至码头一侧护栏下，沿护栏套管直埋进C区科，以某方向沿护栏内侧走线进入配电室，总长450米（如图1：低压路由2）。</w:t>
      </w:r>
    </w:p>
    <w:p>
      <w:pPr>
        <w:spacing w:line="360" w:lineRule="auto"/>
        <w:ind w:firstLine="480"/>
        <w:jc w:val="left"/>
        <w:rPr>
          <w:rFonts w:hint="eastAsia" w:ascii="宋体" w:hAnsi="宋体" w:cs="宋体"/>
          <w:sz w:val="24"/>
        </w:rPr>
      </w:pPr>
      <w:r>
        <w:rPr>
          <w:rFonts w:hint="eastAsia" w:ascii="宋体" w:hAnsi="宋体" w:cs="宋体"/>
          <w:sz w:val="24"/>
        </w:rPr>
        <w:t>3、需要设备及电缆</w:t>
      </w:r>
    </w:p>
    <w:p>
      <w:pPr>
        <w:spacing w:line="360" w:lineRule="auto"/>
        <w:ind w:firstLine="480"/>
        <w:jc w:val="left"/>
        <w:rPr>
          <w:rFonts w:hint="eastAsia" w:ascii="宋体" w:hAnsi="宋体" w:cs="宋体"/>
          <w:sz w:val="24"/>
        </w:rPr>
      </w:pPr>
      <w:r>
        <w:rPr>
          <w:rFonts w:hint="eastAsia" w:ascii="宋体" w:hAnsi="宋体" w:cs="宋体"/>
          <w:sz w:val="24"/>
        </w:rPr>
        <w:t>为方便双路切换电源，需新安装低压进线柜、双电源切换柜各1个；需敷设YJV22-4*150+1*120低压电缆1条（该电缆型号最大负荷300 kW额定功率）。</w:t>
      </w:r>
    </w:p>
    <w:p>
      <w:pPr>
        <w:spacing w:line="360" w:lineRule="auto"/>
        <w:ind w:firstLine="480"/>
        <w:jc w:val="left"/>
        <w:rPr>
          <w:rFonts w:hint="eastAsia" w:ascii="宋体" w:hAnsi="宋体" w:cs="宋体"/>
          <w:sz w:val="24"/>
        </w:rPr>
      </w:pPr>
      <w:r>
        <w:rPr>
          <w:rFonts w:hint="eastAsia" w:ascii="宋体" w:hAnsi="宋体" w:cs="宋体"/>
          <w:sz w:val="24"/>
        </w:rPr>
        <w:t>4、施工要求</w:t>
      </w:r>
    </w:p>
    <w:p>
      <w:pPr>
        <w:spacing w:line="360" w:lineRule="auto"/>
        <w:ind w:firstLine="480"/>
        <w:jc w:val="left"/>
        <w:rPr>
          <w:rFonts w:hint="eastAsia" w:ascii="宋体" w:hAnsi="宋体" w:cs="宋体"/>
          <w:sz w:val="24"/>
        </w:rPr>
      </w:pPr>
      <w:r>
        <w:rPr>
          <w:rFonts w:hint="eastAsia" w:ascii="宋体" w:hAnsi="宋体" w:cs="宋体"/>
          <w:sz w:val="24"/>
        </w:rPr>
        <w:t>10kV/0.4kV变配电系统设计要求进行施工。</w:t>
      </w:r>
    </w:p>
    <w:p>
      <w:pPr>
        <w:spacing w:line="360" w:lineRule="auto"/>
        <w:ind w:firstLine="480"/>
        <w:jc w:val="left"/>
        <w:rPr>
          <w:rFonts w:hint="eastAsia" w:ascii="宋体" w:hAnsi="宋体" w:cs="宋体"/>
          <w:sz w:val="24"/>
        </w:rPr>
      </w:pPr>
      <w:r>
        <w:rPr>
          <w:rFonts w:hint="eastAsia" w:ascii="宋体" w:hAnsi="宋体" w:cs="宋体"/>
          <w:sz w:val="24"/>
        </w:rPr>
        <w:t>5、方案概述</w:t>
      </w:r>
    </w:p>
    <w:p>
      <w:pPr>
        <w:spacing w:line="360" w:lineRule="auto"/>
        <w:ind w:firstLine="480"/>
        <w:jc w:val="left"/>
        <w:rPr>
          <w:rFonts w:hint="eastAsia" w:ascii="宋体" w:hAnsi="宋体" w:cs="宋体"/>
          <w:sz w:val="24"/>
        </w:rPr>
      </w:pPr>
      <w:r>
        <w:rPr>
          <w:rFonts w:hint="eastAsia" w:ascii="宋体" w:hAnsi="宋体" w:cs="宋体"/>
          <w:sz w:val="24"/>
        </w:rPr>
        <w:t>从低压接入点2新建一条0.4kV电缆线路，采用套管直埋敷设YJV22-4*150+1*120电缆450m至配电房，并在D01进线柜、D02电容柜中间新建南方电网进线柜及双电源切换柜各一面，保留原发电机回路，重新拆装D02电容柜、D03市发电切换柜、D04馈线柜（如图1、图2）。</w:t>
      </w:r>
    </w:p>
    <w:p>
      <w:pPr>
        <w:spacing w:line="360" w:lineRule="auto"/>
        <w:ind w:firstLine="480"/>
        <w:jc w:val="left"/>
        <w:rPr>
          <w:rFonts w:hint="eastAsia" w:ascii="宋体" w:hAnsi="宋体" w:cs="宋体"/>
          <w:sz w:val="24"/>
        </w:rPr>
        <w:sectPr>
          <w:pgSz w:w="11907" w:h="16840"/>
          <w:pgMar w:top="1418" w:right="1247" w:bottom="1247" w:left="1418" w:header="851" w:footer="567" w:gutter="0"/>
          <w:cols w:space="720" w:num="1"/>
          <w:titlePg/>
          <w:docGrid w:type="lines" w:linePitch="381" w:charSpace="0"/>
        </w:sectPr>
      </w:pPr>
    </w:p>
    <w:p>
      <w:pPr>
        <w:ind w:firstLine="0" w:firstLineChars="0"/>
        <w:jc w:val="center"/>
        <w:rPr>
          <w:sz w:val="32"/>
          <w:szCs w:val="32"/>
        </w:rPr>
      </w:pPr>
      <w:r>
        <w:rPr>
          <w:rFonts w:hint="eastAsia"/>
          <w:sz w:val="32"/>
          <w:szCs w:val="32"/>
        </w:rPr>
        <w:t>图</w:t>
      </w:r>
      <w:r>
        <w:rPr>
          <w:sz w:val="32"/>
          <w:szCs w:val="32"/>
        </w:rPr>
        <w:t>1</w:t>
      </w:r>
      <w:r>
        <w:rPr>
          <w:rFonts w:hint="eastAsia"/>
          <w:sz w:val="32"/>
          <w:szCs w:val="32"/>
        </w:rPr>
        <w:t xml:space="preserve"> 高（低）压电缆敷设</w:t>
      </w:r>
      <w:r>
        <w:rPr>
          <w:sz w:val="32"/>
          <w:szCs w:val="32"/>
        </w:rPr>
        <w:t>路由</w:t>
      </w:r>
    </w:p>
    <w:p>
      <w:pPr>
        <w:spacing w:line="240" w:lineRule="auto"/>
        <w:ind w:firstLine="0" w:firstLineChars="0"/>
        <w:jc w:val="center"/>
        <w:rPr>
          <w:sz w:val="32"/>
          <w:szCs w:val="32"/>
        </w:rPr>
        <w:sectPr>
          <w:pgSz w:w="16840" w:h="11907" w:orient="landscape"/>
          <w:pgMar w:top="1418" w:right="1418" w:bottom="1247" w:left="1247" w:header="851" w:footer="567" w:gutter="0"/>
          <w:cols w:space="720" w:num="1"/>
          <w:titlePg/>
          <w:docGrid w:linePitch="381" w:charSpace="0"/>
        </w:sectPr>
      </w:pPr>
      <w:r>
        <w:object>
          <v:shape id="_x0000_i1025" o:spt="75" type="#_x0000_t75" style="height:409.2pt;width:699.6pt;" o:ole="t" filled="f" o:preferrelative="t" stroked="f" coordsize="21600,21600">
            <v:path/>
            <v:fill on="f" focussize="0,0"/>
            <v:stroke on="f" joinstyle="miter"/>
            <v:imagedata r:id="rId11" o:title=""/>
            <o:lock v:ext="edit" aspectratio="t"/>
            <w10:wrap type="none"/>
            <w10:anchorlock/>
          </v:shape>
          <o:OLEObject Type="Embed" ProgID="Visio.Drawing.11" ShapeID="_x0000_i1025" DrawAspect="Content" ObjectID="_1468075725" r:id="rId10">
            <o:LockedField>false</o:LockedField>
          </o:OLEObject>
        </w:object>
      </w:r>
    </w:p>
    <w:p>
      <w:pPr>
        <w:spacing w:line="240" w:lineRule="auto"/>
        <w:ind w:firstLine="0" w:firstLineChars="0"/>
        <w:rPr>
          <w:rFonts w:ascii="宋体" w:hAnsi="宋体"/>
          <w:kern w:val="0"/>
          <w:sz w:val="24"/>
          <w:szCs w:val="24"/>
        </w:rPr>
      </w:pPr>
    </w:p>
    <w:p>
      <w:pPr>
        <w:ind w:firstLine="0" w:firstLineChars="0"/>
        <w:jc w:val="center"/>
        <w:rPr>
          <w:rFonts w:ascii="宋体" w:hAnsi="宋体"/>
          <w:kern w:val="0"/>
          <w:sz w:val="32"/>
          <w:szCs w:val="32"/>
        </w:rPr>
      </w:pPr>
      <w:r>
        <w:rPr>
          <w:rFonts w:hint="eastAsia"/>
          <w:sz w:val="32"/>
          <w:szCs w:val="32"/>
        </w:rPr>
        <w:t>图</w:t>
      </w:r>
      <w:r>
        <w:rPr>
          <w:sz w:val="32"/>
          <w:szCs w:val="32"/>
        </w:rPr>
        <w:t xml:space="preserve">2  </w:t>
      </w:r>
      <w:r>
        <w:rPr>
          <w:rFonts w:hint="eastAsia"/>
          <w:sz w:val="32"/>
          <w:szCs w:val="32"/>
        </w:rPr>
        <w:t>低压</w:t>
      </w:r>
      <w:r>
        <w:rPr>
          <w:sz w:val="32"/>
          <w:szCs w:val="32"/>
        </w:rPr>
        <w:t>接入</w:t>
      </w:r>
      <w:r>
        <w:rPr>
          <w:rFonts w:hint="eastAsia"/>
          <w:sz w:val="32"/>
          <w:szCs w:val="32"/>
        </w:rPr>
        <w:t>配电房改造</w:t>
      </w:r>
      <w:r>
        <w:rPr>
          <w:sz w:val="32"/>
          <w:szCs w:val="32"/>
        </w:rPr>
        <w:t>示意图</w:t>
      </w:r>
    </w:p>
    <w:p>
      <w:pPr>
        <w:spacing w:line="240" w:lineRule="auto"/>
        <w:ind w:firstLine="0" w:firstLineChars="0"/>
        <w:jc w:val="center"/>
        <w:rPr>
          <w:rFonts w:ascii="宋体" w:hAnsi="宋体"/>
          <w:kern w:val="0"/>
          <w:sz w:val="24"/>
          <w:szCs w:val="24"/>
        </w:rPr>
      </w:pPr>
      <w:r>
        <w:object>
          <v:shape id="_x0000_i1026" o:spt="75" type="#_x0000_t75" style="height:345pt;width:594.6pt;" o:ole="t" filled="f" o:preferrelative="t" stroked="f" coordsize="21600,21600">
            <v:path/>
            <v:fill on="f" focussize="0,0"/>
            <v:stroke on="f" joinstyle="miter"/>
            <v:imagedata r:id="rId13" o:title=""/>
            <o:lock v:ext="edit" aspectratio="t"/>
            <w10:wrap type="none"/>
            <w10:anchorlock/>
          </v:shape>
          <o:OLEObject Type="Embed" ProgID="Visio.Drawing.11" ShapeID="_x0000_i1026" DrawAspect="Content" ObjectID="_1468075726" r:id="rId12">
            <o:LockedField>false</o:LockedField>
          </o:OLEObject>
        </w:object>
      </w:r>
    </w:p>
    <w:p>
      <w:pPr>
        <w:spacing w:line="240" w:lineRule="auto"/>
        <w:ind w:firstLine="0" w:firstLineChars="0"/>
        <w:jc w:val="left"/>
        <w:sectPr>
          <w:pgSz w:w="16840" w:h="11907" w:orient="landscape"/>
          <w:pgMar w:top="1247" w:right="1247" w:bottom="1418" w:left="1418" w:header="851" w:footer="567" w:gutter="0"/>
          <w:cols w:space="720" w:num="1"/>
          <w:titlePg/>
          <w:docGrid w:linePitch="381" w:charSpace="0"/>
        </w:sectPr>
      </w:pPr>
      <w:r>
        <w:rPr>
          <w:rFonts w:hint="eastAsia"/>
        </w:rPr>
        <w:t xml:space="preserve"> </w:t>
      </w:r>
    </w:p>
    <w:p>
      <w:pPr>
        <w:spacing w:line="360" w:lineRule="auto"/>
        <w:ind w:firstLine="480"/>
        <w:jc w:val="left"/>
        <w:rPr>
          <w:rFonts w:hint="eastAsia" w:ascii="宋体" w:hAnsi="宋体" w:cs="宋体"/>
          <w:sz w:val="24"/>
        </w:rPr>
      </w:pPr>
      <w:r>
        <w:rPr>
          <w:rFonts w:hint="eastAsia" w:ascii="宋体" w:hAnsi="宋体" w:cs="宋体"/>
          <w:sz w:val="24"/>
        </w:rPr>
        <w:t>（二）高压电接入方案（10千伏）</w:t>
      </w:r>
    </w:p>
    <w:p>
      <w:pPr>
        <w:spacing w:line="360" w:lineRule="auto"/>
        <w:ind w:firstLine="480"/>
        <w:jc w:val="left"/>
        <w:rPr>
          <w:rFonts w:hint="eastAsia" w:ascii="宋体" w:hAnsi="宋体" w:cs="宋体"/>
          <w:sz w:val="24"/>
        </w:rPr>
      </w:pPr>
      <w:r>
        <w:rPr>
          <w:rFonts w:hint="eastAsia" w:ascii="宋体" w:hAnsi="宋体" w:cs="宋体"/>
          <w:sz w:val="24"/>
        </w:rPr>
        <w:t>1、高压接入点</w:t>
      </w:r>
    </w:p>
    <w:p>
      <w:pPr>
        <w:spacing w:line="360" w:lineRule="auto"/>
        <w:ind w:firstLine="480"/>
        <w:jc w:val="left"/>
        <w:rPr>
          <w:rFonts w:hint="eastAsia" w:ascii="宋体" w:hAnsi="宋体" w:cs="宋体"/>
          <w:sz w:val="24"/>
        </w:rPr>
      </w:pPr>
      <w:r>
        <w:rPr>
          <w:rFonts w:hint="eastAsia" w:ascii="宋体" w:hAnsi="宋体" w:cs="宋体"/>
          <w:sz w:val="24"/>
        </w:rPr>
        <w:t>10千伏高压拟接入点为</w:t>
      </w:r>
      <w:r>
        <w:rPr>
          <w:rFonts w:hint="eastAsia" w:ascii="宋体" w:hAnsi="宋体" w:cs="宋体"/>
          <w:sz w:val="24"/>
          <w:lang w:eastAsia="zh-CN"/>
        </w:rPr>
        <w:t>S</w:t>
      </w:r>
      <w:r>
        <w:rPr>
          <w:rFonts w:hint="eastAsia" w:ascii="宋体" w:hAnsi="宋体" w:cs="宋体"/>
          <w:sz w:val="24"/>
        </w:rPr>
        <w:t>市环网柜处，该处距离我部直线距离约550米左右（目前为最近可用接口），实际路由最优650米（高压路由1），可选择路由850米（高压路由2）。</w:t>
      </w:r>
    </w:p>
    <w:p>
      <w:pPr>
        <w:spacing w:line="360" w:lineRule="auto"/>
        <w:ind w:firstLine="480"/>
        <w:jc w:val="left"/>
        <w:rPr>
          <w:rFonts w:hint="eastAsia" w:ascii="宋体" w:hAnsi="宋体" w:cs="宋体"/>
          <w:sz w:val="24"/>
        </w:rPr>
      </w:pPr>
      <w:r>
        <w:rPr>
          <w:rFonts w:hint="eastAsia" w:ascii="宋体" w:hAnsi="宋体" w:cs="宋体"/>
          <w:sz w:val="24"/>
        </w:rPr>
        <w:t>2、路由</w:t>
      </w:r>
    </w:p>
    <w:p>
      <w:pPr>
        <w:spacing w:line="360" w:lineRule="auto"/>
        <w:ind w:firstLine="480"/>
        <w:jc w:val="left"/>
        <w:rPr>
          <w:rFonts w:hint="eastAsia" w:ascii="宋体" w:hAnsi="宋体" w:cs="宋体"/>
          <w:sz w:val="24"/>
        </w:rPr>
      </w:pPr>
      <w:r>
        <w:rPr>
          <w:rFonts w:hint="eastAsia" w:ascii="宋体" w:hAnsi="宋体" w:cs="宋体"/>
          <w:sz w:val="24"/>
        </w:rPr>
        <w:t>由</w:t>
      </w:r>
      <w:r>
        <w:rPr>
          <w:rFonts w:hint="eastAsia" w:ascii="宋体" w:hAnsi="宋体" w:cs="宋体"/>
          <w:sz w:val="24"/>
          <w:lang w:eastAsia="zh-CN"/>
        </w:rPr>
        <w:t>S</w:t>
      </w:r>
      <w:r>
        <w:rPr>
          <w:rFonts w:hint="eastAsia" w:ascii="宋体" w:hAnsi="宋体" w:cs="宋体"/>
          <w:sz w:val="24"/>
        </w:rPr>
        <w:t>市南方电网</w:t>
      </w:r>
      <w:r>
        <w:rPr>
          <w:rFonts w:hint="eastAsia" w:ascii="宋体" w:hAnsi="宋体" w:cs="宋体"/>
          <w:sz w:val="24"/>
          <w:lang w:eastAsia="zh-CN"/>
        </w:rPr>
        <w:t>某地</w:t>
      </w:r>
      <w:r>
        <w:rPr>
          <w:rFonts w:hint="eastAsia" w:ascii="宋体" w:hAnsi="宋体" w:cs="宋体"/>
          <w:sz w:val="24"/>
        </w:rPr>
        <w:t>变压器起，沿市政电缆沟经</w:t>
      </w:r>
      <w:r>
        <w:rPr>
          <w:rFonts w:hint="eastAsia" w:ascii="宋体" w:hAnsi="宋体" w:cs="宋体"/>
          <w:sz w:val="24"/>
          <w:lang w:eastAsia="zh-CN"/>
        </w:rPr>
        <w:t>某</w:t>
      </w:r>
      <w:r>
        <w:rPr>
          <w:rFonts w:hint="eastAsia" w:ascii="宋体" w:hAnsi="宋体" w:cs="宋体"/>
          <w:sz w:val="24"/>
        </w:rPr>
        <w:t>村套管直埋进入我部围墙，沿围墙边缘直达我部配电房（详见图1 10KV高压路由1、路由2）。</w:t>
      </w:r>
    </w:p>
    <w:p>
      <w:pPr>
        <w:spacing w:line="360" w:lineRule="auto"/>
        <w:ind w:firstLine="480"/>
        <w:jc w:val="left"/>
        <w:rPr>
          <w:rFonts w:hint="eastAsia" w:ascii="宋体" w:hAnsi="宋体" w:cs="宋体"/>
          <w:sz w:val="24"/>
        </w:rPr>
      </w:pPr>
      <w:r>
        <w:rPr>
          <w:rFonts w:hint="eastAsia" w:ascii="宋体" w:hAnsi="宋体" w:cs="宋体"/>
          <w:sz w:val="24"/>
        </w:rPr>
        <w:t>3、需要设备及电缆</w:t>
      </w:r>
    </w:p>
    <w:p>
      <w:pPr>
        <w:spacing w:line="360" w:lineRule="auto"/>
        <w:ind w:firstLine="480"/>
        <w:jc w:val="left"/>
        <w:rPr>
          <w:rFonts w:hint="eastAsia" w:ascii="宋体" w:hAnsi="宋体" w:cs="宋体"/>
          <w:sz w:val="24"/>
        </w:rPr>
      </w:pPr>
      <w:r>
        <w:rPr>
          <w:rFonts w:hint="eastAsia" w:ascii="宋体" w:hAnsi="宋体" w:cs="宋体"/>
          <w:sz w:val="24"/>
        </w:rPr>
        <w:t>为方便双路切换电源，需安装高压接线柜1个、切换柜1个、出线柜1个；电缆型号为YJV22-8.7/15-3*50高压电缆1条（该规格为南方电网高压接入最低规格，原接入D单位电站电缆为YJV22-8.7/15-3*70高压电缆）。</w:t>
      </w:r>
    </w:p>
    <w:p>
      <w:pPr>
        <w:spacing w:line="360" w:lineRule="auto"/>
        <w:ind w:firstLine="480"/>
        <w:jc w:val="left"/>
        <w:rPr>
          <w:rFonts w:hint="eastAsia" w:ascii="宋体" w:hAnsi="宋体" w:cs="宋体"/>
          <w:sz w:val="24"/>
        </w:rPr>
      </w:pPr>
      <w:r>
        <w:rPr>
          <w:rFonts w:hint="eastAsia" w:ascii="宋体" w:hAnsi="宋体" w:cs="宋体"/>
          <w:sz w:val="24"/>
        </w:rPr>
        <w:t>4、施工要求</w:t>
      </w:r>
    </w:p>
    <w:p>
      <w:pPr>
        <w:spacing w:line="360" w:lineRule="auto"/>
        <w:ind w:firstLine="480"/>
        <w:jc w:val="left"/>
        <w:rPr>
          <w:rFonts w:hint="eastAsia" w:ascii="宋体" w:hAnsi="宋体" w:cs="宋体"/>
          <w:sz w:val="24"/>
        </w:rPr>
      </w:pPr>
      <w:r>
        <w:rPr>
          <w:rFonts w:hint="eastAsia" w:ascii="宋体" w:hAnsi="宋体" w:cs="宋体"/>
          <w:sz w:val="24"/>
        </w:rPr>
        <w:t>按照高压电缆施工标准进行施工。</w:t>
      </w:r>
    </w:p>
    <w:p>
      <w:pPr>
        <w:spacing w:line="360" w:lineRule="auto"/>
        <w:ind w:firstLine="480"/>
        <w:jc w:val="left"/>
        <w:rPr>
          <w:rFonts w:hint="eastAsia" w:ascii="宋体" w:hAnsi="宋体" w:cs="宋体"/>
          <w:sz w:val="24"/>
        </w:rPr>
      </w:pPr>
      <w:r>
        <w:rPr>
          <w:rFonts w:hint="eastAsia" w:ascii="宋体" w:hAnsi="宋体" w:cs="宋体"/>
          <w:sz w:val="24"/>
        </w:rPr>
        <w:t>5、方案概述</w:t>
      </w:r>
    </w:p>
    <w:p>
      <w:pPr>
        <w:spacing w:line="360" w:lineRule="auto"/>
        <w:ind w:firstLine="480"/>
        <w:jc w:val="left"/>
        <w:rPr>
          <w:rFonts w:hint="eastAsia" w:ascii="宋体" w:hAnsi="宋体" w:cs="宋体"/>
          <w:sz w:val="24"/>
        </w:rPr>
      </w:pPr>
      <w:r>
        <w:rPr>
          <w:rFonts w:hint="eastAsia" w:ascii="宋体" w:hAnsi="宋体" w:cs="宋体"/>
          <w:sz w:val="24"/>
        </w:rPr>
        <w:t>从</w:t>
      </w:r>
      <w:r>
        <w:rPr>
          <w:rFonts w:hint="eastAsia" w:ascii="宋体" w:hAnsi="宋体" w:cs="宋体"/>
          <w:sz w:val="24"/>
          <w:lang w:eastAsia="zh-CN"/>
        </w:rPr>
        <w:t>S</w:t>
      </w:r>
      <w:r>
        <w:rPr>
          <w:rFonts w:hint="eastAsia" w:ascii="宋体" w:hAnsi="宋体" w:cs="宋体"/>
          <w:sz w:val="24"/>
        </w:rPr>
        <w:t>市环网柜处高压接入点新建一路10KV高压电缆线路，采用套管直埋敷设YJV22-8.7/15-3*50高压电缆0.65km（或0.85km）至配电房，接入高压接线柜，在切换柜与原有D单位高压线路进行连锁，主电源失效时备用电源将自动投入，由出线柜接入变压器，提供双市电保障（如图1、图3）。</w:t>
      </w:r>
    </w:p>
    <w:p>
      <w:pPr>
        <w:ind w:firstLine="0" w:firstLineChars="0"/>
        <w:jc w:val="center"/>
        <w:rPr>
          <w:rFonts w:hint="eastAsia"/>
          <w:sz w:val="32"/>
          <w:szCs w:val="32"/>
        </w:rPr>
        <w:sectPr>
          <w:pgSz w:w="11906" w:h="16838"/>
          <w:pgMar w:top="1247" w:right="991" w:bottom="1134" w:left="1276" w:header="851" w:footer="720" w:gutter="0"/>
          <w:cols w:space="720" w:num="1"/>
          <w:titlePg/>
        </w:sectPr>
      </w:pPr>
      <w:r>
        <w:rPr>
          <w:rFonts w:hint="eastAsia" w:ascii="黑体" w:hAnsi="黑体" w:eastAsia="黑体"/>
          <w:sz w:val="24"/>
          <w:szCs w:val="24"/>
        </w:rPr>
        <w:object>
          <v:shape id="_x0000_i1027" o:spt="75" type="#_x0000_t75" style="height:270.55pt;width:462pt;" o:ole="t" filled="f" o:preferrelative="t" stroked="f" coordsize="21600,21600">
            <v:path/>
            <v:fill on="f" focussize="0,0"/>
            <v:stroke on="f"/>
            <v:imagedata r:id="rId15" o:title=""/>
            <o:lock v:ext="edit" aspectratio="t"/>
            <w10:wrap type="none"/>
            <w10:anchorlock/>
          </v:shape>
          <o:OLEObject Type="Embed" ProgID="Visio.Drawing.11" ShapeID="_x0000_i1027" DrawAspect="Content" ObjectID="_1468075727" r:id="rId14">
            <o:LockedField>false</o:LockedField>
          </o:OLEObject>
        </w:object>
      </w:r>
    </w:p>
    <w:p>
      <w:pPr>
        <w:ind w:firstLine="0" w:firstLineChars="0"/>
        <w:jc w:val="center"/>
        <w:rPr>
          <w:sz w:val="32"/>
          <w:szCs w:val="32"/>
        </w:rPr>
      </w:pPr>
      <w:r>
        <w:rPr>
          <w:rFonts w:hint="eastAsia"/>
          <w:sz w:val="32"/>
          <w:szCs w:val="32"/>
        </w:rPr>
        <w:t>图</w:t>
      </w:r>
      <w:r>
        <w:rPr>
          <w:sz w:val="32"/>
          <w:szCs w:val="32"/>
        </w:rPr>
        <w:t xml:space="preserve">3  </w:t>
      </w:r>
      <w:r>
        <w:rPr>
          <w:rFonts w:hint="eastAsia"/>
          <w:sz w:val="32"/>
          <w:szCs w:val="32"/>
        </w:rPr>
        <w:t>低压</w:t>
      </w:r>
      <w:r>
        <w:rPr>
          <w:sz w:val="32"/>
          <w:szCs w:val="32"/>
        </w:rPr>
        <w:t>接入</w:t>
      </w:r>
      <w:r>
        <w:rPr>
          <w:rFonts w:hint="eastAsia"/>
          <w:sz w:val="32"/>
          <w:szCs w:val="32"/>
        </w:rPr>
        <w:t>配电房改造</w:t>
      </w:r>
      <w:r>
        <w:rPr>
          <w:sz w:val="32"/>
          <w:szCs w:val="32"/>
        </w:rPr>
        <w:t>示意图</w:t>
      </w:r>
    </w:p>
    <w:p>
      <w:pPr>
        <w:pStyle w:val="4"/>
        <w:keepNext/>
        <w:keepLines/>
        <w:pageBreakBefore w:val="0"/>
        <w:widowControl w:val="0"/>
        <w:numPr>
          <w:ilvl w:val="0"/>
          <w:numId w:val="0"/>
        </w:numPr>
        <w:tabs>
          <w:tab w:val="center" w:pos="4621"/>
        </w:tabs>
        <w:kinsoku/>
        <w:wordWrap/>
        <w:overflowPunct/>
        <w:topLinePunct w:val="0"/>
        <w:autoSpaceDE/>
        <w:autoSpaceDN/>
        <w:bidi w:val="0"/>
        <w:adjustRightInd/>
        <w:snapToGrid/>
        <w:spacing w:before="21" w:after="21"/>
        <w:textAlignment w:val="auto"/>
        <w:outlineLvl w:val="0"/>
        <w:rPr>
          <w:rFonts w:hint="eastAsia" w:ascii="黑体" w:hAnsi="黑体" w:eastAsia="黑体"/>
          <w:sz w:val="24"/>
          <w:szCs w:val="24"/>
        </w:rPr>
      </w:pPr>
      <w:bookmarkStart w:id="143" w:name="_Toc491731836"/>
    </w:p>
    <w:p>
      <w:pPr>
        <w:pStyle w:val="4"/>
        <w:keepNext/>
        <w:keepLines/>
        <w:pageBreakBefore w:val="0"/>
        <w:widowControl w:val="0"/>
        <w:numPr>
          <w:ilvl w:val="0"/>
          <w:numId w:val="0"/>
        </w:numPr>
        <w:tabs>
          <w:tab w:val="center" w:pos="4621"/>
        </w:tabs>
        <w:kinsoku/>
        <w:wordWrap/>
        <w:overflowPunct/>
        <w:topLinePunct w:val="0"/>
        <w:autoSpaceDE/>
        <w:autoSpaceDN/>
        <w:bidi w:val="0"/>
        <w:adjustRightInd/>
        <w:snapToGrid/>
        <w:spacing w:before="21" w:after="21"/>
        <w:jc w:val="both"/>
        <w:textAlignment w:val="auto"/>
        <w:outlineLvl w:val="0"/>
        <w:rPr>
          <w:rFonts w:hint="eastAsia" w:ascii="黑体" w:hAnsi="黑体" w:eastAsia="黑体"/>
          <w:sz w:val="24"/>
          <w:szCs w:val="24"/>
        </w:rPr>
      </w:pPr>
      <w:r>
        <w:rPr>
          <w:rFonts w:hint="eastAsia" w:ascii="黑体" w:hAnsi="黑体" w:eastAsia="黑体"/>
          <w:sz w:val="24"/>
          <w:szCs w:val="24"/>
        </w:rPr>
        <w:t>四、方案比较</w:t>
      </w:r>
      <w:bookmarkEnd w:id="143"/>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outlineLvl w:val="9"/>
        <w:rPr>
          <w:rFonts w:hint="eastAsia" w:ascii="宋体" w:hAnsi="宋体" w:cs="宋体"/>
          <w:sz w:val="24"/>
        </w:rPr>
      </w:pPr>
      <w:r>
        <w:rPr>
          <w:rFonts w:hint="eastAsia" w:ascii="宋体" w:hAnsi="宋体" w:cs="宋体"/>
          <w:sz w:val="24"/>
        </w:rPr>
        <w:t>从经费开支比较，高压电接入方案较低压电接入方案经费投入至少高41.36%，经费投入体量较大。</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outlineLvl w:val="9"/>
        <w:rPr>
          <w:rFonts w:hint="eastAsia" w:ascii="宋体" w:hAnsi="宋体" w:cs="宋体"/>
          <w:sz w:val="24"/>
        </w:rPr>
      </w:pPr>
      <w:r>
        <w:rPr>
          <w:rFonts w:hint="eastAsia" w:ascii="宋体" w:hAnsi="宋体" w:cs="宋体"/>
          <w:sz w:val="24"/>
        </w:rPr>
        <w:t>从施工难度比较，高压电接入方案施工距离较长（理想情况下路由为650米），该路由途径主干道，流动人员较多，埋地电缆、光缆情况复杂，特别是中间约10米管道不通。由于高压线路比较敏感，涉及安全问题，与路由经过单位协调难度较大。如该高压路由1协调不畅，需改道至图1中电井2处，后与低压路由2重合，实际路由长度将达到850米（详见图1 10KV高压路由2），费用将更高。低压电接入方案施工距离短，路由经过线路协调事项少，施工难度较低，且路由人流少、安全性高。</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outlineLvl w:val="9"/>
        <w:rPr>
          <w:rFonts w:hint="eastAsia" w:ascii="宋体" w:hAnsi="宋体" w:cs="宋体"/>
          <w:sz w:val="24"/>
        </w:rPr>
      </w:pPr>
      <w:r>
        <w:rPr>
          <w:rFonts w:hint="eastAsia" w:ascii="宋体" w:hAnsi="宋体" w:cs="宋体"/>
          <w:sz w:val="24"/>
        </w:rPr>
        <w:t>从建设周期比较，高压电接入方案从采购至投入使用，工期约60天；低压电接入方案工期约40天，施工周期缩短较多。</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outlineLvl w:val="9"/>
        <w:rPr>
          <w:rFonts w:hint="eastAsia" w:ascii="宋体" w:hAnsi="宋体" w:cs="宋体"/>
          <w:sz w:val="24"/>
        </w:rPr>
      </w:pPr>
      <w:r>
        <w:rPr>
          <w:rFonts w:hint="eastAsia" w:ascii="宋体" w:hAnsi="宋体" w:cs="宋体"/>
          <w:sz w:val="24"/>
        </w:rPr>
        <w:t>从线路冗余比较，高压电接入方案中双市电共用一套变压器，如变压器故障，双市电都将无法使用，且增加一套变压器成本将大幅提高，但低压电接入方案能够有效避免此情况。</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outlineLvl w:val="9"/>
        <w:rPr>
          <w:rFonts w:hint="eastAsia" w:ascii="宋体" w:hAnsi="宋体" w:cs="宋体"/>
          <w:sz w:val="24"/>
        </w:rPr>
      </w:pPr>
      <w:r>
        <w:rPr>
          <w:rFonts w:hint="eastAsia" w:ascii="宋体" w:hAnsi="宋体" w:cs="宋体"/>
          <w:sz w:val="24"/>
        </w:rPr>
        <w:t>从后期维护成本考虑，高压接入方案路由中段经过渔民村等施工频繁区域，该区域线路复杂、改造工程多，被破坏的概率大，后期维护成本高。但供电能力稳定，且受距离影响较小；低压接入方案路由全程安全程度较高，被破坏的概率非常小，后期维护成本较低。但供电能力与接入用户负载和电缆规格等因素有关。</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outlineLvl w:val="9"/>
        <w:rPr>
          <w:rFonts w:hint="eastAsia" w:ascii="宋体" w:hAnsi="宋体" w:cs="宋体"/>
          <w:sz w:val="24"/>
        </w:rPr>
        <w:sectPr>
          <w:pgSz w:w="11906" w:h="16838"/>
          <w:pgMar w:top="1247" w:right="991" w:bottom="1134" w:left="1276" w:header="851" w:footer="720" w:gutter="0"/>
          <w:cols w:space="720" w:num="1"/>
          <w:titlePg/>
        </w:sectPr>
      </w:pPr>
      <w:r>
        <w:rPr>
          <w:rFonts w:hint="eastAsia" w:ascii="宋体" w:hAnsi="宋体" w:cs="宋体"/>
          <w:sz w:val="24"/>
        </w:rPr>
        <w:t>综上所述，Y地</w:t>
      </w:r>
      <w:r>
        <w:rPr>
          <w:rFonts w:hint="eastAsia" w:ascii="宋体" w:hAnsi="宋体" w:cs="宋体"/>
          <w:sz w:val="24"/>
          <w:lang w:eastAsia="zh-CN"/>
        </w:rPr>
        <w:t>S</w:t>
      </w:r>
      <w:r>
        <w:rPr>
          <w:rFonts w:hint="eastAsia" w:ascii="宋体" w:hAnsi="宋体" w:cs="宋体"/>
          <w:sz w:val="24"/>
        </w:rPr>
        <w:t>市市电引接工程建设建议采用低压电接入方案，采用图1低压路由2线路，全长约450米长。</w:t>
      </w:r>
    </w:p>
    <w:p>
      <w:pPr>
        <w:pStyle w:val="2"/>
        <w:rPr>
          <w:rFonts w:hint="eastAsia" w:eastAsia="黑体"/>
          <w:lang w:eastAsia="zh-CN"/>
        </w:rPr>
      </w:pPr>
      <w:r>
        <w:rPr>
          <w:rFonts w:hint="eastAsia"/>
          <w:lang w:eastAsia="zh-CN"/>
        </w:rPr>
        <w:t>附：工程量清单</w:t>
      </w:r>
    </w:p>
    <w:tbl>
      <w:tblPr>
        <w:tblStyle w:val="54"/>
        <w:tblW w:w="90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37"/>
        <w:gridCol w:w="821"/>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012" w:type="dxa"/>
            <w:gridSpan w:val="3"/>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编</w:t>
            </w:r>
            <w:r>
              <w:rPr>
                <w:rFonts w:ascii="Arial Narrow" w:hAnsi="Arial Narrow" w:eastAsia="Arial Narrow" w:cs="Arial Narrow"/>
                <w:b/>
                <w:i w:val="0"/>
                <w:color w:val="000000"/>
                <w:kern w:val="0"/>
                <w:sz w:val="40"/>
                <w:szCs w:val="40"/>
                <w:u w:val="none"/>
                <w:lang w:val="en-US" w:eastAsia="zh-CN" w:bidi="ar"/>
              </w:rPr>
              <w:t xml:space="preserve">    </w:t>
            </w:r>
            <w:r>
              <w:rPr>
                <w:rStyle w:val="458"/>
                <w:lang w:val="en-US" w:eastAsia="zh-CN" w:bidi="ar"/>
              </w:rPr>
              <w:t>制</w:t>
            </w:r>
            <w:r>
              <w:rPr>
                <w:rFonts w:ascii="Arial Narrow" w:hAnsi="Arial Narrow" w:eastAsia="Arial Narrow" w:cs="Arial Narrow"/>
                <w:b/>
                <w:i w:val="0"/>
                <w:color w:val="000000"/>
                <w:kern w:val="0"/>
                <w:sz w:val="40"/>
                <w:szCs w:val="40"/>
                <w:u w:val="none"/>
                <w:lang w:val="en-US" w:eastAsia="zh-CN" w:bidi="ar"/>
              </w:rPr>
              <w:t xml:space="preserve">    </w:t>
            </w:r>
            <w:r>
              <w:rPr>
                <w:rStyle w:val="458"/>
                <w:lang w:val="en-US" w:eastAsia="zh-CN" w:bidi="ar"/>
              </w:rPr>
              <w:t>说</w:t>
            </w:r>
            <w:r>
              <w:rPr>
                <w:rFonts w:ascii="Arial Narrow" w:hAnsi="Arial Narrow" w:eastAsia="Arial Narrow" w:cs="Arial Narrow"/>
                <w:b/>
                <w:i w:val="0"/>
                <w:color w:val="000000"/>
                <w:kern w:val="0"/>
                <w:sz w:val="40"/>
                <w:szCs w:val="40"/>
                <w:u w:val="none"/>
                <w:lang w:val="en-US" w:eastAsia="zh-CN" w:bidi="ar"/>
              </w:rPr>
              <w:t xml:space="preserve">   </w:t>
            </w:r>
            <w:r>
              <w:rPr>
                <w:rStyle w:val="458"/>
                <w:lang w:val="en-US" w:eastAsia="zh-CN" w:bidi="ar"/>
              </w:rPr>
              <w:t>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012" w:type="dxa"/>
            <w:gridSpan w:val="3"/>
            <w:vAlign w:val="center"/>
          </w:tcPr>
          <w:p>
            <w:pPr>
              <w:rPr>
                <w:rFonts w:hint="default" w:ascii="Arial Narrow" w:hAnsi="Arial Narrow" w:eastAsia="Arial Narrow" w:cs="Arial Narrow"/>
                <w:i w:val="0"/>
                <w:color w:val="000000"/>
                <w:sz w:val="24"/>
                <w:szCs w:val="24"/>
                <w:u w:val="none"/>
              </w:rPr>
            </w:pPr>
            <w:r>
              <w:rPr>
                <w:rFonts w:hint="eastAsia" w:ascii="宋体" w:hAnsi="宋体" w:eastAsia="宋体" w:cs="宋体"/>
                <w:i w:val="0"/>
                <w:color w:val="000000"/>
                <w:kern w:val="0"/>
                <w:sz w:val="24"/>
                <w:szCs w:val="24"/>
                <w:u w:val="none"/>
                <w:lang w:val="en-US" w:eastAsia="zh-CN" w:bidi="ar"/>
              </w:rPr>
              <w:t>一、工程名称：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012" w:type="dxa"/>
            <w:gridSpan w:val="3"/>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二、主要工程量：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012" w:type="dxa"/>
            <w:gridSpan w:val="3"/>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本预算包括新装低压GCK进线柜1面、GCK双电切换柜面；新穿管敷设YJV22-0.6/1kV-4*150+1*70低压电缆450米，破除水泥路面30米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65" w:hRule="atLeast"/>
        </w:trPr>
        <w:tc>
          <w:tcPr>
            <w:tcW w:w="9012" w:type="dxa"/>
            <w:gridSpan w:val="3"/>
            <w:vAlign w:val="center"/>
          </w:tcPr>
          <w:p>
            <w:pPr>
              <w:jc w:val="both"/>
              <w:rPr>
                <w:rFonts w:hint="default" w:ascii="Arial Narrow" w:hAnsi="Arial Narrow" w:eastAsia="Arial Narrow" w:cs="Arial Narrow"/>
                <w:i w:val="0"/>
                <w:color w:val="000000"/>
                <w:sz w:val="24"/>
                <w:szCs w:val="24"/>
                <w:u w:val="none"/>
              </w:rPr>
            </w:pPr>
            <w:r>
              <w:rPr>
                <w:rFonts w:hint="eastAsia" w:ascii="宋体" w:hAnsi="宋体" w:eastAsia="宋体" w:cs="宋体"/>
                <w:i w:val="0"/>
                <w:color w:val="000000"/>
                <w:kern w:val="0"/>
                <w:sz w:val="24"/>
                <w:szCs w:val="24"/>
                <w:u w:val="none"/>
                <w:lang w:val="en-US" w:eastAsia="zh-CN" w:bidi="ar"/>
              </w:rPr>
              <w:t>三、编制说明：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65" w:hRule="atLeast"/>
        </w:trPr>
        <w:tc>
          <w:tcPr>
            <w:tcW w:w="9012" w:type="dxa"/>
            <w:gridSpan w:val="3"/>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1、根据工地实际勘察、本工程现有关的图纸、资料及工地实际情况进行编制。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012" w:type="dxa"/>
            <w:gridSpan w:val="3"/>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2、工程预算定额执行海南省住建厅颁布《海南省市政计价定额2011》。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012" w:type="dxa"/>
            <w:gridSpan w:val="3"/>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3、工程预算的主材价格根据市场价编制。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012" w:type="dxa"/>
            <w:gridSpan w:val="3"/>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4、人工费价差根据海南省住房和城乡建设厅琼建定[2014]280号文规定调整至元XX.XX/工日。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012" w:type="dxa"/>
            <w:gridSpan w:val="3"/>
            <w:vAlign w:val="center"/>
          </w:tcPr>
          <w:p>
            <w:pPr>
              <w:keepNext w:val="0"/>
              <w:keepLines w:val="0"/>
              <w:widowControl/>
              <w:suppressLineNumbers w:val="0"/>
              <w:ind w:firstLine="480" w:firstLineChars="2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5、该项目施工地点为三沙市，按三沙市定额执行。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137" w:type="dxa"/>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四、报价总价：       元</w:t>
            </w:r>
          </w:p>
        </w:tc>
        <w:tc>
          <w:tcPr>
            <w:tcW w:w="821" w:type="dxa"/>
            <w:vAlign w:val="bottom"/>
          </w:tcPr>
          <w:p>
            <w:pPr>
              <w:rPr>
                <w:rFonts w:hint="eastAsia" w:ascii="宋体" w:hAnsi="宋体" w:eastAsia="宋体" w:cs="宋体"/>
                <w:i w:val="0"/>
                <w:color w:val="000000"/>
                <w:sz w:val="24"/>
                <w:szCs w:val="24"/>
                <w:u w:val="none"/>
              </w:rPr>
            </w:pPr>
          </w:p>
        </w:tc>
        <w:tc>
          <w:tcPr>
            <w:tcW w:w="2054" w:type="dxa"/>
            <w:vAlign w:val="bottom"/>
          </w:tcPr>
          <w:p>
            <w:pPr>
              <w:rPr>
                <w:rFonts w:hint="eastAsia" w:ascii="宋体" w:hAnsi="宋体" w:eastAsia="宋体" w:cs="宋体"/>
                <w:i w:val="0"/>
                <w:color w:val="000000"/>
                <w:sz w:val="24"/>
                <w:szCs w:val="24"/>
                <w:u w:val="none"/>
              </w:rPr>
            </w:pPr>
          </w:p>
        </w:tc>
      </w:tr>
    </w:tbl>
    <w:p>
      <w:pPr>
        <w:jc w:val="center"/>
        <w:outlineLvl w:val="0"/>
        <w:rPr>
          <w:rFonts w:ascii="Times New Roman" w:hAnsi="Times New Roman" w:cs="Times New Roman"/>
          <w:b/>
          <w:kern w:val="1"/>
          <w:szCs w:val="21"/>
        </w:rPr>
      </w:pPr>
    </w:p>
    <w:p>
      <w:pPr>
        <w:tabs>
          <w:tab w:val="left" w:pos="3119"/>
        </w:tabs>
        <w:spacing w:line="400" w:lineRule="exact"/>
        <w:jc w:val="center"/>
        <w:rPr>
          <w:rFonts w:ascii="Times New Roman" w:hAnsi="Times New Roman" w:cs="Times New Roman"/>
          <w:b/>
          <w:kern w:val="1"/>
          <w:szCs w:val="21"/>
        </w:rPr>
        <w:sectPr>
          <w:pgSz w:w="11906" w:h="16838"/>
          <w:pgMar w:top="1247" w:right="991" w:bottom="1134" w:left="1276" w:header="851" w:footer="720" w:gutter="0"/>
          <w:cols w:space="720" w:num="1"/>
          <w:titlePg/>
        </w:sectPr>
      </w:pPr>
    </w:p>
    <w:tbl>
      <w:tblPr>
        <w:tblStyle w:val="54"/>
        <w:tblW w:w="9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779"/>
        <w:gridCol w:w="2721"/>
        <w:gridCol w:w="367"/>
        <w:gridCol w:w="2994"/>
        <w:gridCol w:w="947"/>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9" w:type="dxa"/>
            <w:gridSpan w:val="7"/>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单位工程费汇总表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563"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5106"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行号</w:t>
            </w:r>
          </w:p>
        </w:tc>
        <w:tc>
          <w:tcPr>
            <w:tcW w:w="77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7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3361"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取费说明</w:t>
            </w:r>
          </w:p>
        </w:tc>
        <w:tc>
          <w:tcPr>
            <w:tcW w:w="947"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费率</w:t>
            </w:r>
          </w:p>
        </w:tc>
        <w:tc>
          <w:tcPr>
            <w:tcW w:w="1165"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分部分项工程项目费用合计</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分部分项工程量清单计价合计+分部分项工程人材机价差合计</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分部分项工程量清单计价合计</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其中：人工费</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分部分项人工费</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分部分项工程人材机价差合计</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分部分项人材机价差</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措施项目工程费用合计</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措施项目清单计价合计+措施项目工程人材机价差合计</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措施项目清单计价合计</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措施项目合计</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其中：人工费</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组织措施人工费+技术措施项目人工费</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措施项目工程人材机价差合计</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措施项目人材机价差</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其他项目清单计价合计</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其他项目合计</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规费</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建筑垃圾处置费+工程定额测定费+社会保障费+危险作业意外伤害保险</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建筑垃圾处置费</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工程定额测定费</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分部分项合计+措施项目合计+其他项目合计</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社会保障费</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(工日合计+技术措施项目工日合计+安装费用工日)*56.03</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危险作业意外伤害保险</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分部分项人工费+组织措施人工费+技术措施项目人工费</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分部分项工程项目费用合计+措施项目工程费用合计+其他项目清单计价合计+规费</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含税工程造价</w:t>
            </w: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不含税工程造价+税金</w:t>
            </w: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33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sectPr>
          <w:pgSz w:w="11906" w:h="16838"/>
          <w:pgMar w:top="1247" w:right="991" w:bottom="1134" w:left="1276" w:header="851" w:footer="720" w:gutter="0"/>
          <w:cols w:space="720" w:num="1"/>
          <w:titlePg/>
        </w:sectPr>
      </w:pPr>
    </w:p>
    <w:tbl>
      <w:tblPr>
        <w:tblStyle w:val="54"/>
        <w:tblW w:w="9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5"/>
        <w:gridCol w:w="1070"/>
        <w:gridCol w:w="419"/>
        <w:gridCol w:w="2218"/>
        <w:gridCol w:w="598"/>
        <w:gridCol w:w="829"/>
        <w:gridCol w:w="832"/>
        <w:gridCol w:w="1595"/>
        <w:gridCol w:w="831"/>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9" w:type="dxa"/>
            <w:gridSpan w:val="10"/>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单位工程预(结)算表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934" w:type="dxa"/>
            <w:gridSpan w:val="3"/>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477" w:type="dxa"/>
            <w:gridSpan w:val="4"/>
            <w:shd w:val="clear" w:color="FFFFFF" w:fill="FFFFFF"/>
            <w:vAlign w:val="center"/>
          </w:tcPr>
          <w:p>
            <w:pPr>
              <w:jc w:val="center"/>
              <w:rPr>
                <w:rFonts w:hint="eastAsia" w:ascii="宋体" w:hAnsi="宋体" w:eastAsia="宋体" w:cs="宋体"/>
                <w:i w:val="0"/>
                <w:color w:val="000000"/>
                <w:sz w:val="18"/>
                <w:szCs w:val="18"/>
                <w:u w:val="none"/>
              </w:rPr>
            </w:pPr>
          </w:p>
        </w:tc>
        <w:tc>
          <w:tcPr>
            <w:tcW w:w="3258"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总1页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45"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637"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427"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8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15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663"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45"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0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637"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8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b/>
                <w:i w:val="0"/>
                <w:color w:val="000000"/>
                <w:sz w:val="20"/>
                <w:szCs w:val="20"/>
                <w:u w:val="none"/>
              </w:rPr>
            </w:pPr>
          </w:p>
        </w:tc>
        <w:tc>
          <w:tcPr>
            <w:tcW w:w="15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人工费</w:t>
            </w: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直流屏及其他电气屏(柜)安装 蓄电池屏(柜)</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直流屏及其他电气屏(柜)安装 蓄电池屏(柜)</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带形铜母线安装 每相一片截面(mm2以下)1250</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10m/单相</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 *1.2</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拆除低压柜子目*1.2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 *1.2</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带形铜母线拆除子目*1.2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10m/单相</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电缆沟挖填、人工开挖路面 电缆沟挖填含建筑垃圾土</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2-6-54</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无混凝土基础暗敷铸铁管(公称直径mm以下)150</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2-6-137</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铜芯电力电缆敷设 电缆(截面mm2以下)240</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户内热缩式电力电缆终端头制作、安装 1kv以下终端头(截面mm2以下)240</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施工定位 单杆</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2-4-107</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槽钢安装</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借1-4-5</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人工拆除混凝土类路面层 无筋 厚度15cm内</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借3-5-2</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现浇混凝土工程</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10m3</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借2-3-63</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水泥混凝土路面(草袋养护) 厚度15cm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2-11-12</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送配电装置系统调试 1kv以下交流供电(综合)</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2-11-18</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自动投入装置调试 备用电源自投装置</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2-11-35</w:t>
            </w: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电缆测试(KV以下)1</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段</w:t>
            </w: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4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3"/>
        <w:sectPr>
          <w:pgSz w:w="11906" w:h="16838"/>
          <w:pgMar w:top="1247" w:right="991" w:bottom="1134" w:left="1276" w:header="851" w:footer="720" w:gutter="0"/>
          <w:cols w:space="720" w:num="1"/>
          <w:titlePg/>
        </w:sectPr>
      </w:pPr>
    </w:p>
    <w:tbl>
      <w:tblPr>
        <w:tblStyle w:val="54"/>
        <w:tblW w:w="9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2"/>
        <w:gridCol w:w="805"/>
        <w:gridCol w:w="1560"/>
        <w:gridCol w:w="392"/>
        <w:gridCol w:w="281"/>
        <w:gridCol w:w="284"/>
        <w:gridCol w:w="580"/>
        <w:gridCol w:w="580"/>
        <w:gridCol w:w="580"/>
        <w:gridCol w:w="581"/>
        <w:gridCol w:w="580"/>
        <w:gridCol w:w="570"/>
        <w:gridCol w:w="825"/>
        <w:gridCol w:w="8"/>
        <w:gridCol w:w="582"/>
        <w:gridCol w:w="581"/>
        <w:gridCol w:w="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9" w:type="dxa"/>
            <w:gridSpan w:val="17"/>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单位工程预(结)算表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20"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工程名称: </w:t>
            </w:r>
          </w:p>
        </w:tc>
        <w:tc>
          <w:tcPr>
            <w:tcW w:w="4580" w:type="dxa"/>
            <w:gridSpan w:val="8"/>
            <w:shd w:val="clear" w:color="FFFFFF" w:fill="FFFFFF"/>
            <w:vAlign w:val="center"/>
          </w:tcPr>
          <w:p>
            <w:pPr>
              <w:jc w:val="center"/>
              <w:rPr>
                <w:rFonts w:hint="eastAsia" w:ascii="宋体" w:hAnsi="宋体" w:eastAsia="宋体" w:cs="宋体"/>
                <w:i w:val="0"/>
                <w:color w:val="000000"/>
                <w:sz w:val="18"/>
                <w:szCs w:val="18"/>
                <w:u w:val="none"/>
              </w:rPr>
            </w:pPr>
          </w:p>
        </w:tc>
        <w:tc>
          <w:tcPr>
            <w:tcW w:w="1769"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总2页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8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0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156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957"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304" w:type="dxa"/>
            <w:gridSpan w:val="8"/>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58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1179"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28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80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56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58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直流屏及其他电气屏(柜)安装 蓄电池屏(柜)</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低压进线柜 GCK</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直流屏及其他电气屏(柜)安装 蓄电池屏(柜)</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双电源切换柜 GCK</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带形铜母线安装 每相一片截面(mm2以下)1250</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10m/单相</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带形铜母线 TYM-100*10</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m/单相</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6.138</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10.23</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 *1.2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拆除低压柜子目*1.2</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 *1.2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带形铜母线拆除子目*1.2</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10m/单相</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电缆沟挖填、人工开挖路面 电缆沟挖填含建筑垃圾土</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2-6-54</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无混凝土基础暗敷铸铁管(公称直径mm以下)150</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电缆保护管敷设 PVC-Φ150</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442.9</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2-6-137</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铜芯电力电缆敷设 电缆(截面mm2以下)240</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电力电缆 YJV-0.6/1kV-4*150+1*70</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户内热缩式电力电缆终端头制作、安装 1kv以下终端头(截面mm2以下)240</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户内热缩式电缆终端头 1KV-SY/4.2</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施工定位 单杆</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电缆标志桩 </w:t>
            </w:r>
          </w:p>
        </w:tc>
        <w:tc>
          <w:tcPr>
            <w:tcW w:w="3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w:t>
            </w:r>
          </w:p>
        </w:tc>
        <w:tc>
          <w:tcPr>
            <w:tcW w:w="5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2"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0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2-4-107</w:t>
            </w:r>
          </w:p>
        </w:tc>
        <w:tc>
          <w:tcPr>
            <w:tcW w:w="156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槽钢安装</w:t>
            </w:r>
          </w:p>
        </w:tc>
        <w:tc>
          <w:tcPr>
            <w:tcW w:w="39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5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8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3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8"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sectPr>
          <w:pgSz w:w="11906" w:h="16838"/>
          <w:pgMar w:top="1247" w:right="991" w:bottom="1134" w:left="1276" w:header="851" w:footer="720" w:gutter="0"/>
          <w:cols w:space="720" w:num="1"/>
          <w:titlePg/>
        </w:sectPr>
      </w:pPr>
    </w:p>
    <w:tbl>
      <w:tblPr>
        <w:tblStyle w:val="54"/>
        <w:tblW w:w="9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1"/>
        <w:gridCol w:w="796"/>
        <w:gridCol w:w="1536"/>
        <w:gridCol w:w="482"/>
        <w:gridCol w:w="279"/>
        <w:gridCol w:w="282"/>
        <w:gridCol w:w="575"/>
        <w:gridCol w:w="575"/>
        <w:gridCol w:w="575"/>
        <w:gridCol w:w="576"/>
        <w:gridCol w:w="575"/>
        <w:gridCol w:w="565"/>
        <w:gridCol w:w="817"/>
        <w:gridCol w:w="8"/>
        <w:gridCol w:w="578"/>
        <w:gridCol w:w="576"/>
        <w:gridCol w:w="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9" w:type="dxa"/>
            <w:gridSpan w:val="17"/>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单位工程预(结)算表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74"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工程名称: </w:t>
            </w:r>
          </w:p>
        </w:tc>
        <w:tc>
          <w:tcPr>
            <w:tcW w:w="4540" w:type="dxa"/>
            <w:gridSpan w:val="8"/>
            <w:shd w:val="clear" w:color="FFFFFF" w:fill="FFFFFF"/>
            <w:vAlign w:val="center"/>
          </w:tcPr>
          <w:p>
            <w:pPr>
              <w:jc w:val="center"/>
              <w:rPr>
                <w:rFonts w:hint="eastAsia" w:ascii="宋体" w:hAnsi="宋体" w:eastAsia="宋体" w:cs="宋体"/>
                <w:i w:val="0"/>
                <w:color w:val="000000"/>
                <w:sz w:val="18"/>
                <w:szCs w:val="18"/>
                <w:u w:val="none"/>
              </w:rPr>
            </w:pPr>
          </w:p>
        </w:tc>
        <w:tc>
          <w:tcPr>
            <w:tcW w:w="1755"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第2页 总2页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81"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96"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1536"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043"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266" w:type="dxa"/>
            <w:gridSpan w:val="8"/>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57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1169"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281"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796"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536"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57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槽钢 【10</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借1-4-5</w:t>
            </w: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人工拆除混凝土类路面层 无筋 厚度15cm内</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借3-5-2</w:t>
            </w: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现浇混凝土工程</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10m3</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借2-3-63</w:t>
            </w: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水泥混凝土路面(草袋养护) 厚度15cm</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2-11-12</w:t>
            </w: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送配电装置系统调试 1kv以下交流供电(综合)</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2-11-18</w:t>
            </w: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自动投入装置调试 备用电源自投装置</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2-11-35</w:t>
            </w: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电缆测试(KV以下)1</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段</w:t>
            </w: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8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1"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3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8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61"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93"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sectPr>
          <w:pgSz w:w="11906" w:h="16838"/>
          <w:pgMar w:top="1247" w:right="991" w:bottom="1134" w:left="1276" w:header="851" w:footer="720" w:gutter="0"/>
          <w:cols w:space="720" w:num="1"/>
          <w:titlePg/>
        </w:sectPr>
      </w:pPr>
    </w:p>
    <w:tbl>
      <w:tblPr>
        <w:tblStyle w:val="54"/>
        <w:tblW w:w="9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0"/>
        <w:gridCol w:w="704"/>
        <w:gridCol w:w="511"/>
        <w:gridCol w:w="2208"/>
        <w:gridCol w:w="924"/>
        <w:gridCol w:w="2630"/>
        <w:gridCol w:w="12"/>
        <w:gridCol w:w="956"/>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9" w:type="dxa"/>
            <w:gridSpan w:val="9"/>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措施项目表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55" w:type="dxa"/>
            <w:gridSpan w:val="3"/>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5762" w:type="dxa"/>
            <w:gridSpan w:val="3"/>
            <w:shd w:val="clear" w:color="FFFFFF" w:fill="FFFFFF"/>
            <w:vAlign w:val="center"/>
          </w:tcPr>
          <w:p>
            <w:pPr>
              <w:jc w:val="center"/>
              <w:rPr>
                <w:rFonts w:hint="eastAsia" w:ascii="宋体" w:hAnsi="宋体" w:eastAsia="宋体" w:cs="宋体"/>
                <w:i w:val="0"/>
                <w:color w:val="000000"/>
                <w:sz w:val="18"/>
                <w:szCs w:val="18"/>
                <w:u w:val="none"/>
              </w:rPr>
            </w:pPr>
          </w:p>
        </w:tc>
        <w:tc>
          <w:tcPr>
            <w:tcW w:w="2152"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40"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行号</w:t>
            </w:r>
          </w:p>
        </w:tc>
        <w:tc>
          <w:tcPr>
            <w:tcW w:w="704"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719"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924"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2642"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计算基数</w:t>
            </w:r>
          </w:p>
        </w:tc>
        <w:tc>
          <w:tcPr>
            <w:tcW w:w="95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费率</w:t>
            </w:r>
          </w:p>
        </w:tc>
        <w:tc>
          <w:tcPr>
            <w:tcW w:w="1184"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临时设施费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17.56</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夜间、雨季施工增加费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3.82</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二次搬运费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生产工具用具使用费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10.66</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工程定位、复测、工程点交、场地清理费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安全施工基本费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安全施工费(浮动部分)</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AQSGJBF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工程保险费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工程保修费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赶工措施费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预算包干费</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脚手架搭拆费用</w:t>
            </w: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40"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0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271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2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42"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sectPr>
          <w:pgSz w:w="11906" w:h="16838"/>
          <w:pgMar w:top="1247" w:right="991" w:bottom="1134" w:left="1276" w:header="851" w:footer="720" w:gutter="0"/>
          <w:cols w:space="720" w:num="1"/>
          <w:titlePg/>
        </w:sectPr>
      </w:pPr>
    </w:p>
    <w:tbl>
      <w:tblPr>
        <w:tblStyle w:val="54"/>
        <w:tblW w:w="96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7"/>
        <w:gridCol w:w="2853"/>
        <w:gridCol w:w="4447"/>
        <w:gridCol w:w="9"/>
        <w:gridCol w:w="840"/>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7" w:type="dxa"/>
            <w:gridSpan w:val="6"/>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措施项目费分析表(组织措施)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0" w:type="dxa"/>
            <w:gridSpan w:val="2"/>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447" w:type="dxa"/>
            <w:shd w:val="clear" w:color="FFFFFF" w:fill="FFFFFF"/>
            <w:vAlign w:val="center"/>
          </w:tcPr>
          <w:p>
            <w:pPr>
              <w:jc w:val="center"/>
              <w:rPr>
                <w:rFonts w:hint="eastAsia" w:ascii="宋体" w:hAnsi="宋体" w:eastAsia="宋体" w:cs="宋体"/>
                <w:i w:val="0"/>
                <w:color w:val="000000"/>
                <w:sz w:val="18"/>
                <w:szCs w:val="18"/>
                <w:u w:val="none"/>
              </w:rPr>
            </w:pPr>
          </w:p>
        </w:tc>
        <w:tc>
          <w:tcPr>
            <w:tcW w:w="1800"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85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4456"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取费基数</w:t>
            </w:r>
          </w:p>
        </w:tc>
        <w:tc>
          <w:tcPr>
            <w:tcW w:w="84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费率(%)</w:t>
            </w:r>
          </w:p>
        </w:tc>
        <w:tc>
          <w:tcPr>
            <w:tcW w:w="951"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临时设施费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17.56</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夜间、雨季施工增加费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3.82</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二次搬运费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生产工具用具使用费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10.66</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工程定位、复测、工程点交、场地清理费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安全施工基本费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安全施工费(浮动部分)</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AQSGJBF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工程保险费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工程保修费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赶工措施费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预算包干费</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FBFXHJ+JSCSF-ZCF-SBF-JSCS_ZCF-JSCS_SBF</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4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67"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85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456"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51"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3"/>
        <w:sectPr>
          <w:pgSz w:w="11906" w:h="16838"/>
          <w:pgMar w:top="1247" w:right="991" w:bottom="1134" w:left="1276" w:header="851" w:footer="720" w:gutter="0"/>
          <w:cols w:space="720" w:num="1"/>
          <w:titlePg/>
        </w:sectPr>
      </w:pPr>
    </w:p>
    <w:tbl>
      <w:tblPr>
        <w:tblStyle w:val="54"/>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6"/>
        <w:gridCol w:w="1221"/>
        <w:gridCol w:w="2482"/>
        <w:gridCol w:w="736"/>
        <w:gridCol w:w="930"/>
        <w:gridCol w:w="1488"/>
        <w:gridCol w:w="10"/>
        <w:gridCol w:w="845"/>
        <w:gridCol w:w="72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668" w:type="dxa"/>
            <w:gridSpan w:val="10"/>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373" w:type="dxa"/>
            <w:gridSpan w:val="6"/>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2295"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序号 </w:t>
            </w:r>
          </w:p>
        </w:tc>
        <w:tc>
          <w:tcPr>
            <w:tcW w:w="12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248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3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1498"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84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预算价合价</w:t>
            </w:r>
          </w:p>
        </w:tc>
        <w:tc>
          <w:tcPr>
            <w:tcW w:w="72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720"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359.31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人工费调整</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圆钢</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Ф10以内</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钢板</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封铅</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含铅65% 含锡35%</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木桩</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板方材(杉木)</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32.5(R)水泥</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PC32.5R水泥</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220.16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中砂</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中砂</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橡胶垫δ2</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异型塑料管</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Φ2.5～5</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石棉绒</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综合价</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焊锡丝</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铜焊条</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铜107Φ3.2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调和漆</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沥青清漆</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34.4</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沥青绝缘漆</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石油沥青 60~100#</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丙酮</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氩气</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电力复合酯一级</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焊锡膏瓶装50g</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硬脂酸一级</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煤</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铁件</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镀锌精制带帽螺栓</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M10×100以内 2平1弹垫</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镀锌精制带帽螺栓M12×100以内2平1弹垫</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镀锌精制带帽螺栓M16×100以内2平1弹垫</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钢板垫板δ1～2</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钢锯条</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固定卡子3×80</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精制沉头螺栓M16×25</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22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圆钉</w:t>
            </w:r>
          </w:p>
        </w:tc>
        <w:tc>
          <w:tcPr>
            <w:tcW w:w="248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1498"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668" w:type="dxa"/>
            <w:gridSpan w:val="10"/>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373" w:type="dxa"/>
            <w:gridSpan w:val="6"/>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2295"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第2页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序号 </w:t>
            </w:r>
          </w:p>
        </w:tc>
        <w:tc>
          <w:tcPr>
            <w:tcW w:w="12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248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3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1498"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84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预算价合价</w:t>
            </w:r>
          </w:p>
        </w:tc>
        <w:tc>
          <w:tcPr>
            <w:tcW w:w="72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720"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钢锯片</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片</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镀锡裸铜绞线16mm2</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镀锌电缆卡子3.0×100</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铜接线端子</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DT-185～240mm2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铜接线端子</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DT-16mm2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铁纱布</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其他材料费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93.85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标志牌</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塑料扁形</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草袋</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镀锌电缆吊挂3.0×100</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棉纱头</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尼龙绳Φ0.5～1</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破布一级</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塑料胶线2×16∕0.15</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钍钨极棒</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相色带20mm×20m</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校验材料费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油麻</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自粘性橡胶带20mm×5m</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其他材料费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13～18#</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镀锌扁钢</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16#(Φ1.6)</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电焊条</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结422 Φ3.2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竹桩</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酚醛磁漆</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各种颜色</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石子</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材料费调整</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机上人工</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履带式电动起重机</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5t</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机动翻斗车</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1t</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22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双锥反转混凝土搅拌机</w:t>
            </w:r>
          </w:p>
        </w:tc>
        <w:tc>
          <w:tcPr>
            <w:tcW w:w="248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350L</w:t>
            </w:r>
          </w:p>
        </w:tc>
        <w:tc>
          <w:tcPr>
            <w:tcW w:w="73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1498"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668" w:type="dxa"/>
            <w:gridSpan w:val="10"/>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373" w:type="dxa"/>
            <w:gridSpan w:val="6"/>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2295"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第3页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序号 </w:t>
            </w:r>
          </w:p>
        </w:tc>
        <w:tc>
          <w:tcPr>
            <w:tcW w:w="12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248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3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1498"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84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预算价合价</w:t>
            </w:r>
          </w:p>
        </w:tc>
        <w:tc>
          <w:tcPr>
            <w:tcW w:w="72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720"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混凝土震捣器(平板式)</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锯缝机</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安拆费及场外运输</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其他费用</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(机械用)</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(机械用)</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kwh</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交流电焊机</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21KV.A</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汽车式起重机</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10t</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电能校验仪</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ST9040</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高压绝缘电阻测试仪</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3124</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电压、电流互感升流器</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HJ-12E</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继电保护测试仪</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MRT-02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相位电压测试仪</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自动LCR测量仪</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ZL6</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三相精密测试电源</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JCD4060</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电感电容测试仪</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万能母线机</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精密电压电流表</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2554</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汽车式起重机</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5t</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载货汽车</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4t</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载货汽车</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5t</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电动卷扬机单筒慢速</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30KN</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立式钻床</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Φ25mm</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氩弧焊机</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500A</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交流试验变压器</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TSB-10∕50</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电缆测试仪</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JH5132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数字万用表</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F-87</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台班</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大修理费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折旧费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大修理费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经常修理费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安拆费及场外运费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22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w:t>
            </w:r>
          </w:p>
        </w:tc>
        <w:tc>
          <w:tcPr>
            <w:tcW w:w="248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kWh</w:t>
            </w:r>
          </w:p>
        </w:tc>
        <w:tc>
          <w:tcPr>
            <w:tcW w:w="93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29.03</w:t>
            </w:r>
          </w:p>
        </w:tc>
        <w:tc>
          <w:tcPr>
            <w:tcW w:w="1498"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668" w:type="dxa"/>
            <w:gridSpan w:val="10"/>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373" w:type="dxa"/>
            <w:gridSpan w:val="6"/>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2295"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第4页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序号 </w:t>
            </w:r>
          </w:p>
        </w:tc>
        <w:tc>
          <w:tcPr>
            <w:tcW w:w="12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248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3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1498"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84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预算价合价</w:t>
            </w:r>
          </w:p>
        </w:tc>
        <w:tc>
          <w:tcPr>
            <w:tcW w:w="72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720"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其他费用</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经常修理费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88.11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机械费调整</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通行附加费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折旧费</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户内热缩式电缆终端头</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1KV-SY/4.2</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电力电缆</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YJV-0.6/1kV-4*150+1*70</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带形铜母线</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TYM-100*10</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m/单相</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6.14</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低压进线柜</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GCK</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双电源切换柜</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GCK</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槽钢</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电缆保护管敷设</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PVC-Φ150</w:t>
            </w: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电缆标志桩</w:t>
            </w: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6"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sectPr>
          <w:pgSz w:w="11906" w:h="16838"/>
          <w:pgMar w:top="1247" w:right="991" w:bottom="1134" w:left="1276" w:header="851" w:footer="720" w:gutter="0"/>
          <w:cols w:space="720" w:num="1"/>
          <w:titlePg/>
        </w:sectPr>
      </w:pPr>
    </w:p>
    <w:tbl>
      <w:tblPr>
        <w:tblStyle w:val="54"/>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5"/>
        <w:gridCol w:w="1698"/>
        <w:gridCol w:w="2146"/>
        <w:gridCol w:w="739"/>
        <w:gridCol w:w="1089"/>
        <w:gridCol w:w="810"/>
        <w:gridCol w:w="675"/>
        <w:gridCol w:w="742"/>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8" w:type="dxa"/>
            <w:gridSpan w:val="9"/>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单位工程人材机价差表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722" w:type="dxa"/>
            <w:gridSpan w:val="7"/>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1946" w:type="dxa"/>
            <w:gridSpan w:val="2"/>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5"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698"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214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3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08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81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67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74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w:t>
            </w:r>
          </w:p>
        </w:tc>
        <w:tc>
          <w:tcPr>
            <w:tcW w:w="1204"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359.3055</w:t>
            </w: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sectPr>
          <w:pgSz w:w="11906" w:h="16838"/>
          <w:pgMar w:top="1247" w:right="991" w:bottom="1134" w:left="1276" w:header="851" w:footer="720" w:gutter="0"/>
          <w:cols w:space="720" w:num="1"/>
          <w:titlePg/>
        </w:sectPr>
      </w:pPr>
    </w:p>
    <w:tbl>
      <w:tblPr>
        <w:tblStyle w:val="54"/>
        <w:tblW w:w="9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2"/>
        <w:gridCol w:w="3616"/>
        <w:gridCol w:w="859"/>
        <w:gridCol w:w="2103"/>
        <w:gridCol w:w="9"/>
        <w:gridCol w:w="1232"/>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69" w:type="dxa"/>
            <w:gridSpan w:val="7"/>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主材表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31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2359"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61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名称规格</w:t>
            </w:r>
          </w:p>
        </w:tc>
        <w:tc>
          <w:tcPr>
            <w:tcW w:w="85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2112"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材料量</w:t>
            </w:r>
          </w:p>
        </w:tc>
        <w:tc>
          <w:tcPr>
            <w:tcW w:w="123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w:t>
            </w:r>
          </w:p>
        </w:tc>
        <w:tc>
          <w:tcPr>
            <w:tcW w:w="1118"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户内热缩式电缆终端头 1KV-SY/4.2</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电力电缆 YJV-0.6/1kV-4*150+1*70</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带形铜母线 TYM-100*10</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m/单相</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6.138</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低压进线柜 GCK</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双电源切换柜 GCK</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槽钢 【10</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电缆保护管敷设 PVC-Φ150</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442.9</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电缆标志桩 </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w:t>
            </w: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6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3"/>
        <w:sectPr>
          <w:pgSz w:w="11906" w:h="16838"/>
          <w:pgMar w:top="1247" w:right="991" w:bottom="1134" w:left="1276" w:header="851" w:footer="720" w:gutter="0"/>
          <w:cols w:space="720" w:num="1"/>
          <w:titlePg/>
        </w:sectPr>
      </w:pPr>
    </w:p>
    <w:p>
      <w:pPr>
        <w:sectPr>
          <w:pgSz w:w="11907" w:h="16840"/>
          <w:pgMar w:top="1418" w:right="1134" w:bottom="1361" w:left="1134" w:header="794" w:footer="794" w:gutter="0"/>
          <w:cols w:space="720" w:num="1"/>
          <w:docGrid w:linePitch="285" w:charSpace="0"/>
        </w:sectPr>
      </w:pPr>
    </w:p>
    <w:p>
      <w:pPr>
        <w:spacing w:line="360" w:lineRule="auto"/>
        <w:ind w:firstLine="602" w:firstLineChars="200"/>
        <w:jc w:val="center"/>
        <w:outlineLvl w:val="0"/>
        <w:rPr>
          <w:rFonts w:hint="eastAsia" w:ascii="宋体" w:hAnsi="宋体" w:cs="宋体"/>
          <w:b/>
          <w:bCs/>
          <w:sz w:val="30"/>
          <w:szCs w:val="30"/>
        </w:rPr>
      </w:pPr>
      <w:r>
        <w:rPr>
          <w:rFonts w:hint="eastAsia" w:ascii="宋体" w:hAnsi="宋体" w:cs="宋体"/>
          <w:b/>
          <w:bCs/>
          <w:sz w:val="30"/>
          <w:szCs w:val="30"/>
        </w:rPr>
        <w:t>第四部分合同条款</w:t>
      </w:r>
      <w:bookmarkEnd w:id="135"/>
      <w:bookmarkEnd w:id="136"/>
      <w:bookmarkEnd w:id="137"/>
    </w:p>
    <w:p>
      <w:pPr>
        <w:pStyle w:val="2"/>
        <w:numPr>
          <w:ilvl w:val="1"/>
          <w:numId w:val="0"/>
        </w:numPr>
        <w:ind w:left="227" w:leftChars="0"/>
        <w:rPr>
          <w:rFonts w:hint="eastAsia" w:ascii="宋体" w:hAnsi="宋体" w:cs="宋体"/>
          <w:b/>
          <w:bCs/>
          <w:sz w:val="30"/>
          <w:szCs w:val="30"/>
        </w:rPr>
      </w:pPr>
    </w:p>
    <w:p>
      <w:pPr>
        <w:pStyle w:val="3"/>
        <w:numPr>
          <w:ilvl w:val="2"/>
          <w:numId w:val="0"/>
        </w:numPr>
        <w:ind w:leftChars="0"/>
      </w:pPr>
    </w:p>
    <w:p>
      <w:pPr>
        <w:jc w:val="center"/>
        <w:outlineLvl w:val="0"/>
        <w:rPr>
          <w:rFonts w:hint="eastAsia" w:ascii="宋体" w:hAnsi="宋体" w:cs="宋体"/>
          <w:b/>
          <w:bCs/>
          <w:sz w:val="20"/>
          <w:szCs w:val="20"/>
        </w:rPr>
        <w:sectPr>
          <w:pgSz w:w="11907" w:h="16840"/>
          <w:pgMar w:top="1418" w:right="1134" w:bottom="1361" w:left="1134" w:header="794" w:footer="794" w:gutter="0"/>
          <w:cols w:space="720" w:num="1"/>
          <w:docGrid w:linePitch="285" w:charSpace="0"/>
        </w:sectPr>
      </w:pPr>
      <w:bookmarkStart w:id="144" w:name="_Toc23698"/>
      <w:bookmarkStart w:id="145" w:name="_Toc468811129"/>
      <w:r>
        <w:rPr>
          <w:rFonts w:hint="eastAsia" w:ascii="Times New Roman" w:hAnsi="Times New Roman" w:cs="Times New Roman"/>
          <w:b/>
          <w:kern w:val="1"/>
          <w:sz w:val="28"/>
          <w:szCs w:val="28"/>
        </w:rPr>
        <w:t>（以最终签订的格式为准）</w:t>
      </w:r>
    </w:p>
    <w:p>
      <w:pPr>
        <w:spacing w:line="360" w:lineRule="auto"/>
        <w:ind w:firstLine="602" w:firstLineChars="200"/>
        <w:jc w:val="center"/>
        <w:outlineLvl w:val="0"/>
        <w:rPr>
          <w:rFonts w:ascii="宋体" w:cs="Times New Roman"/>
          <w:b/>
          <w:bCs/>
          <w:sz w:val="30"/>
          <w:szCs w:val="30"/>
        </w:rPr>
      </w:pPr>
      <w:r>
        <w:rPr>
          <w:rFonts w:hint="eastAsia" w:ascii="宋体" w:hAnsi="宋体" w:cs="宋体"/>
          <w:b/>
          <w:bCs/>
          <w:sz w:val="30"/>
          <w:szCs w:val="30"/>
        </w:rPr>
        <w:t>第五部分投标文件格式</w:t>
      </w:r>
      <w:bookmarkEnd w:id="144"/>
      <w:bookmarkEnd w:id="145"/>
    </w:p>
    <w:p>
      <w:pPr>
        <w:spacing w:line="440" w:lineRule="exact"/>
        <w:ind w:firstLine="360" w:firstLineChars="150"/>
        <w:rPr>
          <w:rFonts w:ascii="宋体" w:cs="Times New Roman"/>
          <w:sz w:val="24"/>
          <w:szCs w:val="24"/>
        </w:rPr>
      </w:pPr>
      <w:r>
        <w:rPr>
          <w:rFonts w:hint="eastAsia" w:ascii="宋体" w:hAnsi="宋体" w:cs="宋体"/>
          <w:sz w:val="24"/>
          <w:szCs w:val="24"/>
        </w:rPr>
        <w:t>请投标人按照以下文件要求的格式、内容制作投标文件，并按以下顺序编制目录及页码，否则可能将影响对投标文件的评价：</w:t>
      </w:r>
    </w:p>
    <w:p>
      <w:pPr>
        <w:spacing w:line="440" w:lineRule="exact"/>
        <w:ind w:firstLine="480" w:firstLineChars="200"/>
        <w:outlineLvl w:val="0"/>
        <w:rPr>
          <w:rFonts w:ascii="宋体" w:cs="Times New Roman"/>
          <w:sz w:val="24"/>
          <w:szCs w:val="24"/>
        </w:rPr>
      </w:pPr>
      <w:bookmarkStart w:id="146" w:name="_Toc2820"/>
      <w:r>
        <w:rPr>
          <w:rFonts w:ascii="宋体" w:hAnsi="宋体" w:cs="宋体"/>
          <w:sz w:val="24"/>
          <w:szCs w:val="24"/>
        </w:rPr>
        <w:t>1</w:t>
      </w:r>
      <w:r>
        <w:rPr>
          <w:rFonts w:hint="eastAsia" w:ascii="宋体" w:hAnsi="宋体" w:cs="宋体"/>
          <w:sz w:val="24"/>
          <w:szCs w:val="24"/>
        </w:rPr>
        <w:t>、投标函（表</w:t>
      </w:r>
      <w:r>
        <w:rPr>
          <w:rFonts w:ascii="宋体" w:hAnsi="宋体" w:cs="宋体"/>
          <w:sz w:val="24"/>
          <w:szCs w:val="24"/>
        </w:rPr>
        <w:t>1</w:t>
      </w:r>
      <w:r>
        <w:rPr>
          <w:rFonts w:hint="eastAsia" w:ascii="宋体" w:hAnsi="宋体" w:cs="宋体"/>
          <w:sz w:val="24"/>
          <w:szCs w:val="24"/>
        </w:rPr>
        <w:t>）</w:t>
      </w:r>
      <w:bookmarkEnd w:id="146"/>
    </w:p>
    <w:p>
      <w:pPr>
        <w:spacing w:line="440" w:lineRule="exact"/>
        <w:ind w:firstLine="480" w:firstLineChars="200"/>
        <w:outlineLvl w:val="0"/>
        <w:rPr>
          <w:rFonts w:ascii="宋体" w:cs="Times New Roman"/>
          <w:sz w:val="24"/>
          <w:szCs w:val="24"/>
        </w:rPr>
      </w:pPr>
      <w:bookmarkStart w:id="147" w:name="_Toc3535"/>
      <w:r>
        <w:rPr>
          <w:rFonts w:ascii="宋体" w:hAnsi="宋体" w:cs="宋体"/>
          <w:sz w:val="24"/>
          <w:szCs w:val="24"/>
        </w:rPr>
        <w:t>2</w:t>
      </w:r>
      <w:r>
        <w:rPr>
          <w:rFonts w:hint="eastAsia" w:ascii="宋体" w:hAnsi="宋体" w:cs="宋体"/>
          <w:sz w:val="24"/>
          <w:szCs w:val="24"/>
        </w:rPr>
        <w:t>、报价明细表（表</w:t>
      </w:r>
      <w:r>
        <w:rPr>
          <w:rFonts w:ascii="宋体" w:hAnsi="宋体" w:cs="宋体"/>
          <w:sz w:val="24"/>
          <w:szCs w:val="24"/>
        </w:rPr>
        <w:t>2</w:t>
      </w:r>
      <w:r>
        <w:rPr>
          <w:rFonts w:hint="eastAsia" w:ascii="宋体" w:hAnsi="宋体" w:cs="宋体"/>
          <w:sz w:val="24"/>
          <w:szCs w:val="24"/>
        </w:rPr>
        <w:t>）</w:t>
      </w:r>
      <w:bookmarkEnd w:id="147"/>
    </w:p>
    <w:p>
      <w:pPr>
        <w:spacing w:line="440" w:lineRule="exact"/>
        <w:ind w:firstLine="480" w:firstLineChars="200"/>
        <w:outlineLvl w:val="0"/>
        <w:rPr>
          <w:rFonts w:ascii="宋体" w:cs="Times New Roman"/>
          <w:sz w:val="24"/>
          <w:szCs w:val="24"/>
        </w:rPr>
      </w:pPr>
      <w:bookmarkStart w:id="148" w:name="_Toc32054"/>
      <w:r>
        <w:rPr>
          <w:rFonts w:ascii="宋体" w:hAnsi="宋体" w:cs="宋体"/>
          <w:sz w:val="24"/>
          <w:szCs w:val="24"/>
        </w:rPr>
        <w:t>3</w:t>
      </w:r>
      <w:r>
        <w:rPr>
          <w:rFonts w:hint="eastAsia" w:ascii="宋体" w:hAnsi="宋体" w:cs="宋体"/>
          <w:sz w:val="24"/>
          <w:szCs w:val="24"/>
        </w:rPr>
        <w:t>、开标一览表（表</w:t>
      </w:r>
      <w:r>
        <w:rPr>
          <w:rFonts w:ascii="宋体" w:hAnsi="宋体" w:cs="宋体"/>
          <w:sz w:val="24"/>
          <w:szCs w:val="24"/>
        </w:rPr>
        <w:t>3</w:t>
      </w:r>
      <w:r>
        <w:rPr>
          <w:rFonts w:hint="eastAsia" w:ascii="宋体" w:hAnsi="宋体" w:cs="宋体"/>
          <w:sz w:val="24"/>
          <w:szCs w:val="24"/>
        </w:rPr>
        <w:t>）</w:t>
      </w:r>
      <w:bookmarkEnd w:id="148"/>
    </w:p>
    <w:p>
      <w:pPr>
        <w:spacing w:line="440" w:lineRule="exact"/>
        <w:ind w:firstLine="480" w:firstLineChars="200"/>
        <w:outlineLvl w:val="0"/>
        <w:rPr>
          <w:rFonts w:ascii="宋体" w:cs="Times New Roman"/>
          <w:sz w:val="24"/>
          <w:szCs w:val="24"/>
        </w:rPr>
      </w:pPr>
      <w:bookmarkStart w:id="149" w:name="_Toc8473"/>
      <w:r>
        <w:rPr>
          <w:rFonts w:ascii="宋体" w:hAnsi="宋体" w:cs="宋体"/>
          <w:sz w:val="24"/>
          <w:szCs w:val="24"/>
        </w:rPr>
        <w:t>4</w:t>
      </w:r>
      <w:r>
        <w:rPr>
          <w:rFonts w:hint="eastAsia" w:ascii="宋体" w:hAnsi="宋体" w:cs="宋体"/>
          <w:sz w:val="24"/>
          <w:szCs w:val="24"/>
        </w:rPr>
        <w:t>、法定代表人证明书（表</w:t>
      </w:r>
      <w:r>
        <w:rPr>
          <w:rFonts w:ascii="宋体" w:hAnsi="宋体" w:cs="宋体"/>
          <w:sz w:val="24"/>
          <w:szCs w:val="24"/>
        </w:rPr>
        <w:t>4</w:t>
      </w:r>
      <w:r>
        <w:rPr>
          <w:rFonts w:hint="eastAsia" w:ascii="宋体" w:hAnsi="宋体" w:cs="宋体"/>
          <w:sz w:val="24"/>
          <w:szCs w:val="24"/>
        </w:rPr>
        <w:t>）和授权委托书（表</w:t>
      </w:r>
      <w:r>
        <w:rPr>
          <w:rFonts w:ascii="宋体" w:hAnsi="宋体" w:cs="宋体"/>
          <w:sz w:val="24"/>
          <w:szCs w:val="24"/>
        </w:rPr>
        <w:t>5</w:t>
      </w:r>
      <w:r>
        <w:rPr>
          <w:rFonts w:hint="eastAsia" w:ascii="宋体" w:hAnsi="宋体" w:cs="宋体"/>
          <w:sz w:val="24"/>
          <w:szCs w:val="24"/>
        </w:rPr>
        <w:t>）</w:t>
      </w:r>
      <w:bookmarkEnd w:id="149"/>
    </w:p>
    <w:p>
      <w:pPr>
        <w:spacing w:line="440" w:lineRule="exact"/>
        <w:ind w:firstLine="480" w:firstLineChars="200"/>
        <w:outlineLvl w:val="0"/>
        <w:rPr>
          <w:rFonts w:ascii="宋体" w:cs="Times New Roman"/>
          <w:sz w:val="24"/>
          <w:szCs w:val="24"/>
        </w:rPr>
      </w:pPr>
      <w:bookmarkStart w:id="150" w:name="_Toc4822"/>
      <w:r>
        <w:rPr>
          <w:rFonts w:ascii="宋体" w:hAnsi="宋体" w:cs="宋体"/>
          <w:sz w:val="24"/>
          <w:szCs w:val="24"/>
        </w:rPr>
        <w:t>5</w:t>
      </w:r>
      <w:r>
        <w:rPr>
          <w:rFonts w:hint="eastAsia" w:ascii="宋体" w:hAnsi="宋体" w:cs="宋体"/>
          <w:sz w:val="24"/>
          <w:szCs w:val="24"/>
        </w:rPr>
        <w:t>、投标保证金证明单据（银行汇款凭证的复印件）</w:t>
      </w:r>
      <w:bookmarkEnd w:id="150"/>
    </w:p>
    <w:p>
      <w:pPr>
        <w:spacing w:line="440" w:lineRule="exact"/>
        <w:ind w:firstLine="480" w:firstLineChars="200"/>
        <w:outlineLvl w:val="0"/>
        <w:rPr>
          <w:rFonts w:ascii="宋体" w:cs="Times New Roman"/>
          <w:sz w:val="24"/>
          <w:szCs w:val="24"/>
        </w:rPr>
      </w:pPr>
      <w:bookmarkStart w:id="151" w:name="_Toc19043"/>
      <w:r>
        <w:rPr>
          <w:rFonts w:ascii="宋体" w:hAnsi="宋体" w:cs="宋体"/>
          <w:sz w:val="24"/>
          <w:szCs w:val="24"/>
        </w:rPr>
        <w:t>6</w:t>
      </w:r>
      <w:r>
        <w:rPr>
          <w:rFonts w:hint="eastAsia" w:ascii="宋体" w:hAnsi="宋体" w:cs="宋体"/>
          <w:sz w:val="24"/>
          <w:szCs w:val="24"/>
        </w:rPr>
        <w:t>、投标人简介：包括简要历史、既往同类项目的完成情况、投标人技术能力简要介绍（字数控制在二页纸以内）。</w:t>
      </w:r>
      <w:bookmarkEnd w:id="151"/>
    </w:p>
    <w:p>
      <w:pPr>
        <w:spacing w:line="440" w:lineRule="exact"/>
        <w:ind w:firstLine="480" w:firstLineChars="200"/>
        <w:outlineLvl w:val="0"/>
        <w:rPr>
          <w:rFonts w:ascii="宋体" w:cs="Times New Roman"/>
          <w:sz w:val="24"/>
          <w:szCs w:val="24"/>
        </w:rPr>
      </w:pPr>
      <w:bookmarkStart w:id="152" w:name="_Toc3482"/>
      <w:r>
        <w:rPr>
          <w:rFonts w:hint="eastAsia" w:ascii="宋体" w:hAnsi="宋体" w:cs="宋体"/>
          <w:sz w:val="24"/>
          <w:szCs w:val="24"/>
          <w:lang w:val="en-US" w:eastAsia="zh-CN"/>
        </w:rPr>
        <w:t>7</w:t>
      </w:r>
      <w:r>
        <w:rPr>
          <w:rFonts w:hint="eastAsia" w:ascii="宋体" w:hAnsi="宋体" w:cs="宋体"/>
          <w:sz w:val="24"/>
          <w:szCs w:val="24"/>
        </w:rPr>
        <w:t>、投标人基本情况表（表</w:t>
      </w:r>
      <w:r>
        <w:rPr>
          <w:rFonts w:ascii="宋体" w:hAnsi="宋体" w:cs="宋体"/>
          <w:sz w:val="24"/>
          <w:szCs w:val="24"/>
        </w:rPr>
        <w:t>7</w:t>
      </w:r>
      <w:r>
        <w:rPr>
          <w:rFonts w:hint="eastAsia" w:ascii="宋体" w:hAnsi="宋体" w:cs="宋体"/>
          <w:sz w:val="24"/>
          <w:szCs w:val="24"/>
        </w:rPr>
        <w:t>）</w:t>
      </w:r>
      <w:bookmarkEnd w:id="152"/>
    </w:p>
    <w:p>
      <w:pPr>
        <w:spacing w:line="440" w:lineRule="exact"/>
        <w:ind w:firstLine="480" w:firstLineChars="200"/>
        <w:outlineLvl w:val="0"/>
        <w:rPr>
          <w:rFonts w:ascii="宋体" w:cs="Times New Roman"/>
          <w:sz w:val="24"/>
          <w:szCs w:val="24"/>
        </w:rPr>
      </w:pPr>
      <w:bookmarkStart w:id="153" w:name="_Toc18495"/>
      <w:r>
        <w:rPr>
          <w:rFonts w:hint="eastAsia" w:ascii="宋体" w:hAnsi="宋体" w:cs="宋体"/>
          <w:sz w:val="24"/>
          <w:szCs w:val="24"/>
          <w:lang w:val="en-US" w:eastAsia="zh-CN"/>
        </w:rPr>
        <w:t>8</w:t>
      </w:r>
      <w:r>
        <w:rPr>
          <w:rFonts w:hint="eastAsia" w:ascii="宋体" w:hAnsi="宋体" w:cs="宋体"/>
          <w:sz w:val="24"/>
          <w:szCs w:val="24"/>
        </w:rPr>
        <w:t>、投标人资格要求证明文件：</w:t>
      </w:r>
      <w:bookmarkEnd w:id="153"/>
    </w:p>
    <w:p>
      <w:pPr>
        <w:widowControl/>
        <w:tabs>
          <w:tab w:val="left" w:pos="1320"/>
        </w:tabs>
        <w:snapToGrid w:val="0"/>
        <w:spacing w:line="440" w:lineRule="exact"/>
        <w:ind w:firstLine="360" w:firstLineChars="150"/>
        <w:jc w:val="lef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）营业执照副本、组织机构代码证副本、税务登记证副本或三证合一证的复印件</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（2） 具有良好的商业信誉和健全的财务会计制度（需提供</w:t>
      </w:r>
      <w:r>
        <w:rPr>
          <w:rFonts w:ascii="宋体" w:hAnsi="宋体" w:cs="宋体"/>
          <w:sz w:val="24"/>
          <w:szCs w:val="24"/>
        </w:rPr>
        <w:t>2017</w:t>
      </w:r>
      <w:r>
        <w:rPr>
          <w:rFonts w:hint="eastAsia" w:ascii="宋体" w:hAnsi="宋体" w:cs="宋体"/>
          <w:sz w:val="24"/>
          <w:szCs w:val="24"/>
        </w:rPr>
        <w:t>年任意</w:t>
      </w:r>
      <w:r>
        <w:rPr>
          <w:rFonts w:ascii="宋体" w:hAnsi="宋体" w:cs="宋体"/>
          <w:sz w:val="24"/>
          <w:szCs w:val="24"/>
        </w:rPr>
        <w:t>3</w:t>
      </w:r>
      <w:r>
        <w:rPr>
          <w:rFonts w:hint="eastAsia" w:ascii="宋体" w:hAnsi="宋体" w:cs="宋体"/>
          <w:sz w:val="24"/>
          <w:szCs w:val="24"/>
        </w:rPr>
        <w:t>个月纳税证明）</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（3）具有依法缴纳社会保障资金的良好记录（需提供</w:t>
      </w:r>
      <w:r>
        <w:rPr>
          <w:rFonts w:ascii="宋体" w:hAnsi="宋体" w:cs="宋体"/>
          <w:sz w:val="24"/>
          <w:szCs w:val="24"/>
        </w:rPr>
        <w:t>2017</w:t>
      </w:r>
      <w:r>
        <w:rPr>
          <w:rFonts w:hint="eastAsia" w:ascii="宋体" w:hAnsi="宋体" w:cs="宋体"/>
          <w:sz w:val="24"/>
          <w:szCs w:val="24"/>
        </w:rPr>
        <w:t>年任意</w:t>
      </w:r>
      <w:r>
        <w:rPr>
          <w:rFonts w:ascii="宋体" w:hAnsi="宋体" w:cs="宋体"/>
          <w:sz w:val="24"/>
          <w:szCs w:val="24"/>
        </w:rPr>
        <w:t>3</w:t>
      </w:r>
      <w:r>
        <w:rPr>
          <w:rFonts w:hint="eastAsia" w:ascii="宋体" w:hAnsi="宋体" w:cs="宋体"/>
          <w:sz w:val="24"/>
          <w:szCs w:val="24"/>
        </w:rPr>
        <w:t>个月社会保障缴费记录证明）</w:t>
      </w:r>
    </w:p>
    <w:p>
      <w:pPr>
        <w:widowControl/>
        <w:tabs>
          <w:tab w:val="left" w:pos="1320"/>
        </w:tabs>
        <w:snapToGrid w:val="0"/>
        <w:spacing w:line="440" w:lineRule="exact"/>
        <w:ind w:firstLine="360" w:firstLineChars="150"/>
        <w:jc w:val="left"/>
        <w:rPr>
          <w:rFonts w:ascii="宋体" w:cs="Times New Roman"/>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）参加政府采购活动前三年内，在经营活动中没有重大违法记录的声明函（表</w:t>
      </w:r>
      <w:r>
        <w:rPr>
          <w:rFonts w:ascii="宋体" w:hAnsi="宋体" w:cs="宋体"/>
          <w:sz w:val="24"/>
          <w:szCs w:val="24"/>
        </w:rPr>
        <w:t>8</w:t>
      </w:r>
      <w:r>
        <w:rPr>
          <w:rFonts w:hint="eastAsia" w:ascii="宋体" w:hAnsi="宋体" w:cs="宋体"/>
          <w:sz w:val="24"/>
          <w:szCs w:val="24"/>
        </w:rPr>
        <w:t>）</w:t>
      </w:r>
    </w:p>
    <w:p>
      <w:pPr>
        <w:widowControl/>
        <w:tabs>
          <w:tab w:val="left" w:pos="1320"/>
        </w:tabs>
        <w:snapToGrid w:val="0"/>
        <w:spacing w:line="440" w:lineRule="exact"/>
        <w:ind w:firstLine="360" w:firstLineChars="150"/>
        <w:jc w:val="left"/>
        <w:rPr>
          <w:rFonts w:ascii="宋体" w:cs="Times New Roman"/>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）其他资格要求需求提供的证明材料</w:t>
      </w:r>
    </w:p>
    <w:p>
      <w:pPr>
        <w:spacing w:line="440" w:lineRule="exact"/>
        <w:ind w:firstLine="480" w:firstLineChars="200"/>
        <w:outlineLvl w:val="0"/>
        <w:rPr>
          <w:rFonts w:ascii="宋体" w:cs="Times New Roman"/>
          <w:sz w:val="24"/>
          <w:szCs w:val="24"/>
        </w:rPr>
      </w:pPr>
      <w:bookmarkStart w:id="154" w:name="_Toc24992"/>
      <w:r>
        <w:rPr>
          <w:rFonts w:ascii="宋体" w:hAnsi="宋体" w:cs="宋体"/>
          <w:sz w:val="24"/>
          <w:szCs w:val="24"/>
        </w:rPr>
        <w:t>10</w:t>
      </w:r>
      <w:r>
        <w:rPr>
          <w:rFonts w:hint="eastAsia" w:ascii="宋体" w:hAnsi="宋体" w:cs="宋体"/>
          <w:sz w:val="24"/>
          <w:szCs w:val="24"/>
        </w:rPr>
        <w:t>、其他：类似项目业绩（表</w:t>
      </w:r>
      <w:r>
        <w:rPr>
          <w:rFonts w:ascii="宋体" w:hAnsi="宋体" w:cs="宋体"/>
          <w:sz w:val="24"/>
          <w:szCs w:val="24"/>
        </w:rPr>
        <w:t>9</w:t>
      </w:r>
      <w:r>
        <w:rPr>
          <w:rFonts w:hint="eastAsia" w:ascii="宋体" w:hAnsi="宋体" w:cs="宋体"/>
          <w:sz w:val="24"/>
          <w:szCs w:val="24"/>
        </w:rPr>
        <w:t>）等</w:t>
      </w:r>
      <w:bookmarkEnd w:id="154"/>
    </w:p>
    <w:p>
      <w:pPr>
        <w:spacing w:line="440" w:lineRule="exact"/>
        <w:ind w:firstLine="480" w:firstLineChars="200"/>
        <w:outlineLvl w:val="0"/>
        <w:rPr>
          <w:rFonts w:ascii="宋体" w:cs="Times New Roman"/>
          <w:sz w:val="24"/>
          <w:szCs w:val="24"/>
        </w:rPr>
      </w:pPr>
      <w:bookmarkStart w:id="155" w:name="_Toc1018"/>
      <w:r>
        <w:rPr>
          <w:rFonts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、中小企业声明函（表</w:t>
      </w:r>
      <w:r>
        <w:rPr>
          <w:rFonts w:ascii="宋体" w:hAnsi="宋体" w:cs="宋体"/>
          <w:sz w:val="24"/>
          <w:szCs w:val="24"/>
        </w:rPr>
        <w:t>11</w:t>
      </w:r>
      <w:r>
        <w:rPr>
          <w:rFonts w:hint="eastAsia" w:ascii="宋体" w:hAnsi="宋体" w:cs="宋体"/>
          <w:sz w:val="24"/>
          <w:szCs w:val="24"/>
        </w:rPr>
        <w:t>）</w:t>
      </w:r>
      <w:bookmarkEnd w:id="155"/>
    </w:p>
    <w:p>
      <w:pPr>
        <w:spacing w:line="440" w:lineRule="exact"/>
        <w:ind w:firstLine="480" w:firstLineChars="200"/>
        <w:outlineLvl w:val="0"/>
        <w:rPr>
          <w:rFonts w:ascii="宋体" w:hAnsi="宋体" w:cs="宋体"/>
          <w:sz w:val="24"/>
          <w:szCs w:val="24"/>
        </w:rPr>
      </w:pPr>
      <w:bookmarkStart w:id="156" w:name="_Toc20257"/>
      <w:r>
        <w:rPr>
          <w:rFonts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、企业信誉承诺书（表</w:t>
      </w:r>
      <w:r>
        <w:rPr>
          <w:rFonts w:ascii="宋体" w:hAnsi="宋体" w:cs="宋体"/>
          <w:sz w:val="24"/>
          <w:szCs w:val="24"/>
        </w:rPr>
        <w:t>12</w:t>
      </w:r>
      <w:r>
        <w:rPr>
          <w:rFonts w:hint="eastAsia" w:ascii="宋体" w:hAnsi="宋体" w:cs="宋体"/>
          <w:sz w:val="24"/>
          <w:szCs w:val="24"/>
        </w:rPr>
        <w:t>）</w:t>
      </w:r>
      <w:bookmarkEnd w:id="156"/>
    </w:p>
    <w:p>
      <w:pPr>
        <w:spacing w:line="440" w:lineRule="exact"/>
        <w:ind w:firstLine="480" w:firstLineChars="200"/>
        <w:outlineLvl w:val="0"/>
        <w:rPr>
          <w:rFonts w:ascii="宋体" w:cs="Times New Roman"/>
          <w:sz w:val="24"/>
          <w:szCs w:val="24"/>
        </w:rPr>
      </w:pPr>
      <w:bookmarkStart w:id="157" w:name="_Toc32155"/>
      <w:r>
        <w:rPr>
          <w:rFonts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、服务承诺书</w:t>
      </w:r>
      <w:bookmarkEnd w:id="157"/>
    </w:p>
    <w:p>
      <w:pPr>
        <w:snapToGrid w:val="0"/>
        <w:spacing w:line="440" w:lineRule="exact"/>
        <w:ind w:left="482"/>
        <w:rPr>
          <w:rFonts w:ascii="宋体" w:cs="Times New Roman"/>
          <w:sz w:val="24"/>
          <w:szCs w:val="24"/>
        </w:rPr>
      </w:pPr>
      <w:r>
        <w:rPr>
          <w:rFonts w:hint="eastAsia" w:ascii="宋体" w:hAnsi="宋体" w:cs="宋体"/>
          <w:sz w:val="24"/>
          <w:szCs w:val="24"/>
        </w:rPr>
        <w:t>由供应商根据自身实际情况并结合招标文件相关要求据实填写，格式由投标人自定</w:t>
      </w:r>
    </w:p>
    <w:p>
      <w:pPr>
        <w:spacing w:line="440" w:lineRule="exact"/>
        <w:ind w:firstLine="480" w:firstLineChars="200"/>
        <w:outlineLvl w:val="0"/>
        <w:rPr>
          <w:rFonts w:ascii="宋体" w:cs="Times New Roman"/>
          <w:sz w:val="24"/>
          <w:szCs w:val="24"/>
        </w:rPr>
      </w:pPr>
      <w:bookmarkStart w:id="158" w:name="_Toc5761"/>
      <w:r>
        <w:rPr>
          <w:rFonts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、投标人认为需要提供的其他材料</w:t>
      </w:r>
      <w:bookmarkEnd w:id="158"/>
    </w:p>
    <w:p>
      <w:pPr>
        <w:spacing w:line="440" w:lineRule="exact"/>
        <w:rPr>
          <w:rFonts w:ascii="宋体" w:cs="Times New Roman"/>
          <w:b/>
          <w:bCs/>
          <w:sz w:val="24"/>
          <w:szCs w:val="24"/>
        </w:rPr>
      </w:pPr>
      <w:r>
        <w:rPr>
          <w:rFonts w:hint="eastAsia" w:ascii="宋体" w:hAnsi="宋体" w:cs="宋体"/>
          <w:b/>
          <w:bCs/>
          <w:sz w:val="24"/>
          <w:szCs w:val="24"/>
        </w:rPr>
        <w:t>注：</w:t>
      </w:r>
      <w:r>
        <w:rPr>
          <w:rFonts w:ascii="宋体" w:hAnsi="宋体" w:cs="宋体"/>
          <w:b/>
          <w:bCs/>
          <w:sz w:val="24"/>
          <w:szCs w:val="24"/>
        </w:rPr>
        <w:t>1</w:t>
      </w:r>
      <w:r>
        <w:rPr>
          <w:rFonts w:hint="eastAsia" w:ascii="宋体" w:hAnsi="宋体" w:cs="宋体"/>
          <w:b/>
          <w:bCs/>
          <w:sz w:val="24"/>
          <w:szCs w:val="24"/>
        </w:rPr>
        <w:t>、为了便于评委对投标文件内容的审核，建议投标人针对本招标文件第六章中“综合评分表”的各项编写响应页码索引表。投标文件中的复印件均必须加盖公章。</w:t>
      </w:r>
    </w:p>
    <w:p>
      <w:pPr>
        <w:widowControl/>
        <w:spacing w:line="440" w:lineRule="exact"/>
        <w:jc w:val="center"/>
        <w:rPr>
          <w:rFonts w:ascii="宋体" w:cs="Times New Roman"/>
        </w:rPr>
      </w:pPr>
      <w:bookmarkStart w:id="159" w:name="_Toc264213368"/>
      <w:bookmarkStart w:id="160" w:name="_Toc171325099"/>
      <w:r>
        <w:br w:type="page"/>
      </w:r>
      <w:bookmarkStart w:id="161" w:name="_Toc22290"/>
      <w:r>
        <w:rPr>
          <w:rFonts w:hint="eastAsia" w:ascii="宋体" w:hAnsi="宋体" w:cs="宋体"/>
          <w:b/>
          <w:bCs/>
          <w:sz w:val="36"/>
          <w:szCs w:val="36"/>
        </w:rPr>
        <w:t>表1、投标函</w:t>
      </w:r>
      <w:bookmarkEnd w:id="161"/>
    </w:p>
    <w:p>
      <w:pPr>
        <w:snapToGrid w:val="0"/>
        <w:spacing w:before="19" w:line="360" w:lineRule="auto"/>
        <w:rPr>
          <w:rFonts w:hint="eastAsia" w:ascii="宋体" w:eastAsia="宋体" w:cs="Times New Roman"/>
          <w:sz w:val="24"/>
          <w:szCs w:val="24"/>
          <w:lang w:eastAsia="zh-CN"/>
        </w:rPr>
      </w:pPr>
      <w:r>
        <w:rPr>
          <w:rFonts w:hint="eastAsia" w:ascii="宋体" w:hAnsi="宋体" w:cs="宋体"/>
          <w:sz w:val="24"/>
          <w:szCs w:val="24"/>
        </w:rPr>
        <w:t>致：</w:t>
      </w:r>
      <w:r>
        <w:rPr>
          <w:rFonts w:hint="eastAsia" w:ascii="宋体" w:hAnsi="宋体" w:cs="宋体"/>
          <w:sz w:val="24"/>
          <w:szCs w:val="24"/>
          <w:lang w:val="en-US" w:eastAsia="zh-CN"/>
        </w:rPr>
        <w:t xml:space="preserve"> </w:t>
      </w:r>
    </w:p>
    <w:p>
      <w:pPr>
        <w:spacing w:line="360" w:lineRule="auto"/>
        <w:ind w:firstLine="600" w:firstLineChars="250"/>
        <w:rPr>
          <w:rFonts w:ascii="宋体" w:cs="Times New Roman"/>
          <w:sz w:val="24"/>
          <w:szCs w:val="24"/>
        </w:rPr>
      </w:pPr>
      <w:r>
        <w:rPr>
          <w:rFonts w:hint="eastAsia" w:ascii="宋体" w:hAnsi="宋体" w:cs="宋体"/>
          <w:sz w:val="24"/>
          <w:szCs w:val="24"/>
        </w:rPr>
        <w:t>根据贵单位项目的招标文件要求，正式授权下述签字人（姓名和职务）代表投标人（投标单位名称），提交投标文件。</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根据此函，我们宣布同意如下：</w:t>
      </w:r>
    </w:p>
    <w:p>
      <w:pPr>
        <w:snapToGrid w:val="0"/>
        <w:spacing w:line="360" w:lineRule="auto"/>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、我方接受招标文件的所有的条款和规定。</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、我方同意按照招标文件第二章“投标人须知”的规定，本投标文件的有效期为从投标截止日期起计算的</w:t>
      </w:r>
      <w:r>
        <w:rPr>
          <w:rFonts w:ascii="宋体" w:hAnsi="宋体" w:cs="宋体"/>
          <w:sz w:val="24"/>
          <w:szCs w:val="24"/>
          <w:u w:val="single"/>
        </w:rPr>
        <w:t xml:space="preserve">  60 </w:t>
      </w:r>
      <w:r>
        <w:rPr>
          <w:rFonts w:hint="eastAsia" w:ascii="宋体" w:hAnsi="宋体" w:cs="宋体"/>
          <w:sz w:val="24"/>
          <w:szCs w:val="24"/>
          <w:u w:val="single"/>
        </w:rPr>
        <w:t>天</w:t>
      </w:r>
      <w:r>
        <w:rPr>
          <w:rFonts w:hint="eastAsia" w:ascii="宋体" w:hAnsi="宋体" w:cs="宋体"/>
          <w:sz w:val="24"/>
          <w:szCs w:val="24"/>
        </w:rPr>
        <w:t>，在此期间，本投标文件将始终对我方具有约束力，并可随时被接受。</w:t>
      </w:r>
    </w:p>
    <w:p>
      <w:pPr>
        <w:snapToGrid w:val="0"/>
        <w:spacing w:line="360" w:lineRule="auto"/>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、我们同意提供贵单位要求的有关本次投标的所有资料或证据，并保证资料、证据的真实有效性。</w:t>
      </w:r>
    </w:p>
    <w:p>
      <w:pPr>
        <w:snapToGrid w:val="0"/>
        <w:spacing w:line="360" w:lineRule="auto"/>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、我方完全理解贵方不一定要接受最低投标价的投标，即</w:t>
      </w:r>
      <w:r>
        <w:rPr>
          <w:rFonts w:hint="eastAsia" w:ascii="宋体" w:hAnsi="宋体" w:cs="宋体"/>
          <w:sz w:val="24"/>
          <w:szCs w:val="24"/>
          <w:u w:val="single"/>
        </w:rPr>
        <w:t>最低投标价不是中标的保证</w:t>
      </w:r>
      <w:r>
        <w:rPr>
          <w:rFonts w:hint="eastAsia" w:ascii="宋体" w:hAnsi="宋体" w:cs="宋体"/>
          <w:sz w:val="24"/>
          <w:szCs w:val="24"/>
        </w:rPr>
        <w:t>。</w:t>
      </w:r>
    </w:p>
    <w:p>
      <w:pPr>
        <w:snapToGrid w:val="0"/>
        <w:spacing w:line="360" w:lineRule="auto"/>
        <w:ind w:firstLine="570"/>
        <w:rPr>
          <w:rFonts w:ascii="宋体" w:cs="Times New Roman"/>
          <w:sz w:val="24"/>
          <w:szCs w:val="24"/>
        </w:rPr>
      </w:pPr>
      <w:r>
        <w:rPr>
          <w:rFonts w:ascii="宋体" w:hAnsi="宋体" w:cs="宋体"/>
          <w:sz w:val="24"/>
          <w:szCs w:val="24"/>
        </w:rPr>
        <w:t>5</w:t>
      </w:r>
      <w:r>
        <w:rPr>
          <w:rFonts w:hint="eastAsia" w:ascii="宋体" w:hAnsi="宋体" w:cs="宋体"/>
          <w:sz w:val="24"/>
          <w:szCs w:val="24"/>
        </w:rPr>
        <w:t>、如果我方中标，我们将根据招标文件的规定严格履行自己的责任和义务。</w:t>
      </w:r>
    </w:p>
    <w:p>
      <w:pPr>
        <w:snapToGrid w:val="0"/>
        <w:spacing w:line="360" w:lineRule="auto"/>
        <w:ind w:firstLine="570"/>
        <w:rPr>
          <w:rFonts w:ascii="宋体" w:cs="Times New Roman"/>
          <w:sz w:val="24"/>
          <w:szCs w:val="24"/>
        </w:rPr>
      </w:pPr>
      <w:r>
        <w:rPr>
          <w:rFonts w:ascii="宋体" w:hAnsi="宋体" w:cs="宋体"/>
          <w:sz w:val="24"/>
          <w:szCs w:val="24"/>
        </w:rPr>
        <w:t>6</w:t>
      </w:r>
      <w:r>
        <w:rPr>
          <w:rFonts w:hint="eastAsia" w:ascii="宋体" w:hAnsi="宋体" w:cs="宋体"/>
          <w:sz w:val="24"/>
          <w:szCs w:val="24"/>
        </w:rPr>
        <w:t>、如果我方中标，我方将支付本次招标的服务费。</w:t>
      </w:r>
    </w:p>
    <w:p>
      <w:pPr>
        <w:snapToGrid w:val="0"/>
        <w:spacing w:line="360" w:lineRule="auto"/>
        <w:ind w:firstLine="570"/>
        <w:rPr>
          <w:rFonts w:ascii="宋体" w:cs="Times New Roman"/>
          <w:sz w:val="24"/>
          <w:szCs w:val="24"/>
        </w:rPr>
      </w:pPr>
    </w:p>
    <w:p>
      <w:pPr>
        <w:snapToGrid w:val="0"/>
        <w:spacing w:line="360" w:lineRule="auto"/>
        <w:rPr>
          <w:rFonts w:ascii="宋体" w:cs="Times New Roman"/>
          <w:sz w:val="24"/>
          <w:szCs w:val="24"/>
        </w:rPr>
      </w:pPr>
      <w:r>
        <w:rPr>
          <w:rFonts w:hint="eastAsia" w:ascii="宋体" w:hAnsi="宋体" w:cs="宋体"/>
          <w:sz w:val="24"/>
          <w:szCs w:val="24"/>
        </w:rPr>
        <w:t>投标人名称：</w:t>
      </w:r>
      <w:r>
        <w:rPr>
          <w:rFonts w:hint="eastAsia" w:ascii="宋体" w:hAnsi="宋体" w:cs="宋体"/>
          <w:sz w:val="24"/>
          <w:szCs w:val="24"/>
          <w:u w:val="single"/>
        </w:rPr>
        <w:t>（公章）</w:t>
      </w:r>
    </w:p>
    <w:p>
      <w:pPr>
        <w:snapToGrid w:val="0"/>
        <w:spacing w:line="360" w:lineRule="auto"/>
        <w:rPr>
          <w:rFonts w:ascii="宋体" w:cs="Times New Roman"/>
          <w:sz w:val="24"/>
          <w:szCs w:val="24"/>
          <w:u w:val="single"/>
        </w:rPr>
      </w:pPr>
      <w:r>
        <w:rPr>
          <w:rFonts w:hint="eastAsia" w:ascii="宋体" w:hAnsi="宋体" w:cs="宋体"/>
          <w:sz w:val="24"/>
          <w:szCs w:val="24"/>
        </w:rPr>
        <w:t>地址：邮编：</w:t>
      </w:r>
    </w:p>
    <w:p>
      <w:pPr>
        <w:snapToGrid w:val="0"/>
        <w:spacing w:line="360" w:lineRule="auto"/>
        <w:rPr>
          <w:rFonts w:ascii="宋体" w:cs="Times New Roman"/>
          <w:sz w:val="24"/>
          <w:szCs w:val="24"/>
          <w:u w:val="single"/>
        </w:rPr>
      </w:pPr>
      <w:r>
        <w:rPr>
          <w:rFonts w:hint="eastAsia" w:ascii="宋体" w:hAnsi="宋体" w:cs="宋体"/>
          <w:sz w:val="24"/>
          <w:szCs w:val="24"/>
        </w:rPr>
        <w:t>电话：传真：</w:t>
      </w:r>
    </w:p>
    <w:p>
      <w:pPr>
        <w:snapToGrid w:val="0"/>
        <w:spacing w:line="360" w:lineRule="auto"/>
        <w:rPr>
          <w:rFonts w:ascii="宋体" w:cs="Times New Roman"/>
          <w:sz w:val="24"/>
          <w:szCs w:val="24"/>
          <w:u w:val="single"/>
        </w:rPr>
      </w:pPr>
      <w:r>
        <w:rPr>
          <w:rFonts w:hint="eastAsia" w:ascii="宋体" w:hAnsi="宋体" w:cs="宋体"/>
          <w:sz w:val="24"/>
          <w:szCs w:val="24"/>
        </w:rPr>
        <w:t>授权代表（签字）：职务：</w:t>
      </w:r>
    </w:p>
    <w:p>
      <w:pPr>
        <w:snapToGrid w:val="0"/>
        <w:spacing w:line="360" w:lineRule="auto"/>
        <w:rPr>
          <w:rFonts w:ascii="宋体" w:cs="Times New Roman"/>
          <w:sz w:val="24"/>
          <w:szCs w:val="24"/>
          <w:u w:val="single"/>
        </w:rPr>
      </w:pPr>
      <w:r>
        <w:rPr>
          <w:rFonts w:hint="eastAsia" w:ascii="宋体" w:hAnsi="宋体" w:cs="宋体"/>
          <w:sz w:val="24"/>
          <w:szCs w:val="24"/>
        </w:rPr>
        <w:t>日期：</w:t>
      </w:r>
    </w:p>
    <w:p>
      <w:pPr>
        <w:rPr>
          <w:rFonts w:hAnsi="宋体" w:cs="宋体"/>
          <w:sz w:val="36"/>
          <w:szCs w:val="36"/>
        </w:rPr>
      </w:pPr>
      <w:r>
        <w:br w:type="page"/>
      </w:r>
    </w:p>
    <w:p>
      <w:pPr>
        <w:spacing w:line="360" w:lineRule="auto"/>
        <w:ind w:firstLine="723" w:firstLineChars="200"/>
        <w:jc w:val="center"/>
        <w:outlineLvl w:val="0"/>
        <w:rPr>
          <w:rFonts w:ascii="宋体" w:cs="Times New Roman"/>
          <w:b/>
          <w:bCs/>
          <w:sz w:val="36"/>
          <w:szCs w:val="36"/>
        </w:rPr>
      </w:pPr>
      <w:bookmarkStart w:id="162" w:name="_Toc18615"/>
      <w:r>
        <w:rPr>
          <w:rFonts w:hint="eastAsia" w:ascii="宋体" w:hAnsi="宋体" w:cs="宋体"/>
          <w:b/>
          <w:bCs/>
          <w:sz w:val="36"/>
          <w:szCs w:val="36"/>
        </w:rPr>
        <w:t>表2、开标一览表</w:t>
      </w:r>
      <w:bookmarkEnd w:id="162"/>
    </w:p>
    <w:p>
      <w:pPr>
        <w:pStyle w:val="16"/>
        <w:spacing w:line="440" w:lineRule="exact"/>
        <w:ind w:firstLine="240" w:firstLineChars="100"/>
        <w:rPr>
          <w:rFonts w:hAnsi="宋体"/>
          <w:kern w:val="0"/>
          <w:sz w:val="24"/>
          <w:szCs w:val="24"/>
        </w:rPr>
      </w:pPr>
      <w:r>
        <w:rPr>
          <w:rFonts w:hint="eastAsia" w:hAnsi="宋体"/>
          <w:sz w:val="24"/>
          <w:szCs w:val="24"/>
        </w:rPr>
        <w:t>项目名称：</w:t>
      </w:r>
    </w:p>
    <w:p>
      <w:pPr>
        <w:pStyle w:val="16"/>
        <w:spacing w:line="440" w:lineRule="exact"/>
        <w:ind w:firstLine="240" w:firstLineChars="100"/>
        <w:rPr>
          <w:rFonts w:hAnsi="宋体"/>
          <w:sz w:val="24"/>
          <w:szCs w:val="24"/>
        </w:rPr>
      </w:pPr>
      <w:r>
        <w:rPr>
          <w:rFonts w:hint="eastAsia" w:hAnsi="宋体"/>
          <w:sz w:val="24"/>
          <w:szCs w:val="24"/>
        </w:rPr>
        <w:t>项目编号：</w:t>
      </w:r>
    </w:p>
    <w:p>
      <w:pPr>
        <w:jc w:val="right"/>
        <w:rPr>
          <w:rFonts w:ascii="宋体" w:cs="Times New Roman"/>
          <w:sz w:val="24"/>
          <w:szCs w:val="24"/>
        </w:rPr>
      </w:pPr>
    </w:p>
    <w:tbl>
      <w:tblPr>
        <w:tblStyle w:val="54"/>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PrEx>
        <w:trPr>
          <w:trHeight w:val="788" w:hRule="exact"/>
          <w:jc w:val="center"/>
        </w:trPr>
        <w:tc>
          <w:tcPr>
            <w:tcW w:w="88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4"/>
                <w:szCs w:val="24"/>
              </w:rPr>
            </w:pPr>
          </w:p>
        </w:tc>
      </w:tr>
      <w:tr>
        <w:tblPrEx>
          <w:tblLayout w:type="fixed"/>
        </w:tblPrEx>
        <w:trPr>
          <w:cantSplit/>
          <w:trHeight w:val="1075" w:hRule="exact"/>
          <w:jc w:val="center"/>
        </w:trPr>
        <w:tc>
          <w:tcPr>
            <w:tcW w:w="233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Times New Roman"/>
                <w:b/>
                <w:bCs/>
                <w:sz w:val="24"/>
                <w:szCs w:val="24"/>
              </w:rPr>
            </w:pPr>
            <w:r>
              <w:rPr>
                <w:rFonts w:hint="eastAsia" w:ascii="宋体" w:hAnsi="宋体" w:cs="宋体"/>
                <w:b/>
                <w:bCs/>
                <w:sz w:val="24"/>
                <w:szCs w:val="24"/>
              </w:rPr>
              <w:t>投标总报价</w:t>
            </w:r>
          </w:p>
          <w:p>
            <w:pPr>
              <w:autoSpaceDE w:val="0"/>
              <w:autoSpaceDN w:val="0"/>
              <w:adjustRightInd w:val="0"/>
              <w:jc w:val="center"/>
              <w:rPr>
                <w:rFonts w:ascii="宋体" w:cs="Times New Roman"/>
                <w:sz w:val="24"/>
                <w:szCs w:val="24"/>
              </w:rPr>
            </w:pPr>
            <w:r>
              <w:rPr>
                <w:rFonts w:hint="eastAsia" w:ascii="宋体" w:hAnsi="宋体" w:cs="宋体"/>
                <w:b/>
                <w:bCs/>
                <w:sz w:val="24"/>
                <w:szCs w:val="24"/>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Times New Roman"/>
                <w:sz w:val="24"/>
                <w:szCs w:val="24"/>
              </w:rPr>
            </w:pPr>
            <w:r>
              <w:rPr>
                <w:rFonts w:hint="eastAsia" w:ascii="宋体" w:hAnsi="宋体" w:cs="宋体"/>
                <w:b/>
                <w:bCs/>
                <w:sz w:val="24"/>
                <w:szCs w:val="24"/>
              </w:rPr>
              <w:t>（小写）：</w:t>
            </w:r>
          </w:p>
        </w:tc>
      </w:tr>
      <w:tr>
        <w:tblPrEx>
          <w:tblLayout w:type="fixed"/>
          <w:tblCellMar>
            <w:top w:w="0" w:type="dxa"/>
            <w:left w:w="30" w:type="dxa"/>
            <w:bottom w:w="0" w:type="dxa"/>
            <w:right w:w="30" w:type="dxa"/>
          </w:tblCellMar>
        </w:tblPrEx>
        <w:trPr>
          <w:cantSplit/>
          <w:trHeight w:val="850" w:hRule="exact"/>
          <w:jc w:val="center"/>
        </w:trPr>
        <w:tc>
          <w:tcPr>
            <w:tcW w:w="2331"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sz w:val="24"/>
                <w:szCs w:val="24"/>
              </w:rPr>
            </w:pP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Times New Roman"/>
                <w:sz w:val="24"/>
                <w:szCs w:val="24"/>
              </w:rPr>
            </w:pPr>
            <w:r>
              <w:rPr>
                <w:rFonts w:hint="eastAsia" w:ascii="宋体" w:hAnsi="宋体" w:cs="宋体"/>
                <w:b/>
                <w:bCs/>
                <w:sz w:val="24"/>
                <w:szCs w:val="24"/>
              </w:rPr>
              <w:t>（大写）：</w:t>
            </w:r>
          </w:p>
        </w:tc>
      </w:tr>
      <w:tr>
        <w:tblPrEx>
          <w:tblLayout w:type="fixed"/>
          <w:tblCellMar>
            <w:top w:w="0" w:type="dxa"/>
            <w:left w:w="30" w:type="dxa"/>
            <w:bottom w:w="0" w:type="dxa"/>
            <w:right w:w="30" w:type="dxa"/>
          </w:tblCellMar>
        </w:tblPrEx>
        <w:trPr>
          <w:cantSplit/>
          <w:trHeight w:val="737"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jc w:val="center"/>
              <w:rPr>
                <w:rFonts w:ascii="宋体" w:cs="Times New Roman"/>
                <w:b/>
                <w:bCs/>
                <w:sz w:val="24"/>
                <w:szCs w:val="24"/>
              </w:rPr>
            </w:pPr>
            <w:r>
              <w:rPr>
                <w:rFonts w:hint="eastAsia" w:ascii="宋体" w:hAnsi="宋体" w:cs="宋体"/>
                <w:b/>
                <w:bCs/>
                <w:sz w:val="24"/>
                <w:szCs w:val="24"/>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Times New Roman"/>
                <w:b/>
                <w:bCs/>
                <w:sz w:val="24"/>
                <w:szCs w:val="24"/>
              </w:rPr>
            </w:pPr>
            <w:r>
              <w:rPr>
                <w:rFonts w:hint="eastAsia" w:ascii="宋体" w:hAnsi="宋体" w:cs="宋体"/>
                <w:b/>
                <w:bCs/>
                <w:sz w:val="24"/>
                <w:szCs w:val="24"/>
              </w:rPr>
              <w:t>合同签订后6个月内</w:t>
            </w:r>
          </w:p>
        </w:tc>
      </w:tr>
    </w:tbl>
    <w:p>
      <w:pPr>
        <w:spacing w:before="19" w:line="360" w:lineRule="auto"/>
        <w:rPr>
          <w:rFonts w:ascii="宋体" w:cs="Times New Roman"/>
          <w:sz w:val="28"/>
          <w:szCs w:val="28"/>
        </w:rPr>
      </w:pPr>
    </w:p>
    <w:p>
      <w:pPr>
        <w:spacing w:before="19" w:line="360" w:lineRule="auto"/>
        <w:rPr>
          <w:rFonts w:ascii="宋体" w:cs="Times New Roman"/>
          <w:sz w:val="24"/>
          <w:szCs w:val="24"/>
          <w:u w:val="single"/>
        </w:rPr>
      </w:pPr>
      <w:r>
        <w:rPr>
          <w:rFonts w:hint="eastAsia" w:ascii="宋体" w:hAnsi="宋体" w:cs="宋体"/>
          <w:sz w:val="24"/>
          <w:szCs w:val="24"/>
        </w:rPr>
        <w:t>报价人全称：（盖章）授权代表（签字）：</w:t>
      </w:r>
    </w:p>
    <w:p>
      <w:pPr>
        <w:spacing w:before="19" w:line="360" w:lineRule="auto"/>
        <w:rPr>
          <w:rFonts w:ascii="宋体" w:cs="Times New Roman"/>
          <w:sz w:val="24"/>
          <w:szCs w:val="24"/>
        </w:rPr>
      </w:pPr>
      <w:r>
        <w:rPr>
          <w:rFonts w:hint="eastAsia" w:ascii="宋体" w:hAnsi="宋体" w:cs="宋体"/>
          <w:sz w:val="24"/>
          <w:szCs w:val="24"/>
        </w:rPr>
        <w:t>日期：</w:t>
      </w:r>
    </w:p>
    <w:p>
      <w:pPr>
        <w:tabs>
          <w:tab w:val="left" w:pos="360"/>
        </w:tabs>
        <w:spacing w:before="67" w:line="360" w:lineRule="auto"/>
        <w:ind w:left="-15" w:leftChars="-7" w:right="-119"/>
        <w:rPr>
          <w:rFonts w:ascii="宋体" w:cs="Times New Roman"/>
          <w:b/>
          <w:bCs/>
          <w:sz w:val="24"/>
          <w:szCs w:val="24"/>
        </w:rPr>
      </w:pPr>
      <w:r>
        <w:rPr>
          <w:rFonts w:hint="eastAsia" w:ascii="宋体" w:hAnsi="宋体" w:cs="宋体"/>
          <w:b/>
          <w:bCs/>
          <w:sz w:val="24"/>
          <w:szCs w:val="24"/>
        </w:rPr>
        <w:t>注</w:t>
      </w:r>
      <w:r>
        <w:rPr>
          <w:rFonts w:ascii="宋体" w:hAnsi="宋体" w:cs="宋体"/>
          <w:b/>
          <w:bCs/>
          <w:sz w:val="24"/>
          <w:szCs w:val="24"/>
        </w:rPr>
        <w:t>: 1</w:t>
      </w:r>
      <w:r>
        <w:rPr>
          <w:rFonts w:hint="eastAsia" w:ascii="宋体" w:hAnsi="宋体" w:cs="宋体"/>
          <w:b/>
          <w:bCs/>
          <w:sz w:val="24"/>
          <w:szCs w:val="24"/>
        </w:rPr>
        <w:t>、本项目投标总报价包括全部货物供货、运输、相关税费、保险、装卸、检验、安装、调试、试运行、售后服务等所有费用；</w:t>
      </w:r>
    </w:p>
    <w:p>
      <w:pPr>
        <w:snapToGrid w:val="0"/>
        <w:spacing w:line="360" w:lineRule="auto"/>
        <w:ind w:firstLine="472" w:firstLineChars="196"/>
        <w:rPr>
          <w:rFonts w:ascii="宋体" w:cs="Times New Roman"/>
          <w:b/>
          <w:bCs/>
          <w:sz w:val="24"/>
          <w:szCs w:val="24"/>
        </w:rPr>
      </w:pPr>
      <w:r>
        <w:rPr>
          <w:rFonts w:ascii="宋体" w:hAnsi="宋体" w:cs="宋体"/>
          <w:b/>
          <w:bCs/>
          <w:sz w:val="24"/>
          <w:szCs w:val="24"/>
        </w:rPr>
        <w:t>2</w:t>
      </w:r>
      <w:r>
        <w:rPr>
          <w:rFonts w:hint="eastAsia" w:ascii="宋体" w:hAnsi="宋体" w:cs="宋体"/>
          <w:b/>
          <w:bCs/>
          <w:sz w:val="24"/>
          <w:szCs w:val="24"/>
        </w:rPr>
        <w:t>、</w:t>
      </w:r>
      <w:r>
        <w:rPr>
          <w:rFonts w:hint="eastAsia" w:ascii="宋体" w:hAnsi="宋体" w:cs="宋体"/>
          <w:b/>
          <w:bCs/>
          <w:sz w:val="24"/>
          <w:szCs w:val="24"/>
          <w:u w:val="single"/>
        </w:rPr>
        <w:t>报价一览表格式不得自行改动</w:t>
      </w:r>
      <w:r>
        <w:rPr>
          <w:rFonts w:hint="eastAsia" w:ascii="宋体" w:hAnsi="宋体" w:cs="宋体"/>
          <w:b/>
          <w:bCs/>
          <w:sz w:val="24"/>
          <w:szCs w:val="24"/>
        </w:rPr>
        <w:t>。</w:t>
      </w:r>
    </w:p>
    <w:p>
      <w:pPr>
        <w:spacing w:before="19" w:line="360" w:lineRule="auto"/>
        <w:jc w:val="center"/>
        <w:rPr>
          <w:rFonts w:ascii="宋体" w:cs="Times New Roman"/>
          <w:sz w:val="24"/>
          <w:szCs w:val="24"/>
          <w:u w:val="single"/>
        </w:rPr>
      </w:pPr>
      <w:bookmarkStart w:id="163" w:name="_Toc171325100"/>
      <w:r>
        <w:rPr>
          <w:rFonts w:ascii="宋体" w:cs="Times New Roman"/>
          <w:b/>
          <w:bCs/>
          <w:sz w:val="32"/>
          <w:szCs w:val="32"/>
        </w:rPr>
        <w:br w:type="page"/>
      </w:r>
      <w:bookmarkStart w:id="164" w:name="_Toc18797"/>
      <w:r>
        <w:rPr>
          <w:rFonts w:hint="eastAsia" w:ascii="宋体" w:hAnsi="宋体" w:cs="宋体"/>
          <w:b/>
          <w:bCs/>
          <w:sz w:val="36"/>
          <w:szCs w:val="36"/>
        </w:rPr>
        <w:t>表3、</w:t>
      </w:r>
      <w:bookmarkEnd w:id="164"/>
      <w:r>
        <w:rPr>
          <w:rFonts w:hint="eastAsia" w:ascii="宋体" w:hAnsi="宋体" w:cs="宋体"/>
          <w:b/>
          <w:bCs/>
          <w:sz w:val="36"/>
          <w:szCs w:val="36"/>
          <w:lang w:val="en-US" w:eastAsia="zh-CN"/>
        </w:rPr>
        <w:t>已标价工程量清单</w:t>
      </w:r>
    </w:p>
    <w:p/>
    <w:p>
      <w:pPr>
        <w:rPr>
          <w:rFonts w:hAnsi="宋体" w:cs="宋体"/>
          <w:sz w:val="36"/>
          <w:szCs w:val="36"/>
        </w:rPr>
      </w:pPr>
      <w:r>
        <w:br w:type="page"/>
      </w:r>
      <w:bookmarkEnd w:id="159"/>
      <w:bookmarkEnd w:id="160"/>
      <w:bookmarkEnd w:id="163"/>
      <w:bookmarkStart w:id="165" w:name="_Toc264213367"/>
    </w:p>
    <w:p>
      <w:pPr>
        <w:spacing w:line="360" w:lineRule="auto"/>
        <w:ind w:firstLine="723" w:firstLineChars="200"/>
        <w:jc w:val="center"/>
        <w:outlineLvl w:val="0"/>
        <w:rPr>
          <w:rFonts w:ascii="宋体" w:cs="Times New Roman"/>
          <w:b/>
          <w:bCs/>
          <w:sz w:val="32"/>
          <w:szCs w:val="32"/>
        </w:rPr>
      </w:pPr>
      <w:bookmarkStart w:id="166" w:name="_Toc14150"/>
      <w:r>
        <w:rPr>
          <w:rFonts w:hint="eastAsia" w:ascii="宋体" w:hAnsi="宋体" w:cs="宋体"/>
          <w:b/>
          <w:bCs/>
          <w:sz w:val="36"/>
          <w:szCs w:val="36"/>
        </w:rPr>
        <w:t>表</w:t>
      </w:r>
      <w:r>
        <w:rPr>
          <w:rFonts w:ascii="宋体" w:hAnsi="宋体" w:cs="宋体"/>
          <w:b/>
          <w:bCs/>
          <w:sz w:val="36"/>
          <w:szCs w:val="36"/>
        </w:rPr>
        <w:t>4</w:t>
      </w:r>
      <w:r>
        <w:rPr>
          <w:rFonts w:hint="eastAsia" w:ascii="宋体" w:hAnsi="宋体" w:cs="宋体"/>
          <w:b/>
          <w:bCs/>
          <w:sz w:val="36"/>
          <w:szCs w:val="36"/>
        </w:rPr>
        <w:t>、</w:t>
      </w:r>
      <w:bookmarkEnd w:id="165"/>
      <w:r>
        <w:rPr>
          <w:rFonts w:hint="eastAsia" w:ascii="宋体" w:hAnsi="宋体" w:cs="宋体"/>
          <w:b/>
          <w:bCs/>
          <w:sz w:val="36"/>
          <w:szCs w:val="36"/>
        </w:rPr>
        <w:t>法定代表人证明书</w:t>
      </w:r>
      <w:bookmarkEnd w:id="166"/>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投标人名称：</w:t>
      </w:r>
    </w:p>
    <w:p>
      <w:pPr>
        <w:spacing w:line="360" w:lineRule="auto"/>
        <w:ind w:firstLine="480" w:firstLineChars="200"/>
        <w:rPr>
          <w:rFonts w:ascii="宋体" w:cs="Times New Roman"/>
          <w:sz w:val="24"/>
          <w:szCs w:val="24"/>
        </w:rPr>
      </w:pPr>
      <w:r>
        <w:rPr>
          <w:rFonts w:hint="eastAsia" w:ascii="宋体" w:hAnsi="宋体" w:cs="宋体"/>
          <w:sz w:val="24"/>
          <w:szCs w:val="24"/>
        </w:rPr>
        <w:t>单位性质：</w:t>
      </w:r>
    </w:p>
    <w:p>
      <w:pPr>
        <w:spacing w:line="360" w:lineRule="auto"/>
        <w:ind w:firstLine="480" w:firstLineChars="200"/>
        <w:rPr>
          <w:rFonts w:ascii="宋体" w:cs="Times New Roman"/>
          <w:sz w:val="24"/>
          <w:szCs w:val="24"/>
        </w:rPr>
      </w:pPr>
      <w:r>
        <w:rPr>
          <w:rFonts w:hint="eastAsia" w:ascii="宋体" w:hAnsi="宋体" w:cs="宋体"/>
          <w:sz w:val="24"/>
          <w:szCs w:val="24"/>
        </w:rPr>
        <w:t>地址：</w:t>
      </w:r>
    </w:p>
    <w:p>
      <w:pPr>
        <w:spacing w:line="360" w:lineRule="auto"/>
        <w:ind w:firstLine="480" w:firstLineChars="200"/>
        <w:rPr>
          <w:rFonts w:ascii="宋体" w:cs="Times New Roman"/>
          <w:sz w:val="24"/>
          <w:szCs w:val="24"/>
        </w:rPr>
      </w:pPr>
      <w:r>
        <w:rPr>
          <w:rFonts w:hint="eastAsia" w:ascii="宋体" w:hAnsi="宋体" w:cs="宋体"/>
          <w:sz w:val="24"/>
          <w:szCs w:val="24"/>
        </w:rPr>
        <w:t>成立时间：年月日</w:t>
      </w:r>
    </w:p>
    <w:p>
      <w:pPr>
        <w:spacing w:line="360" w:lineRule="auto"/>
        <w:ind w:firstLine="480" w:firstLineChars="200"/>
        <w:rPr>
          <w:rFonts w:ascii="宋体" w:cs="Times New Roman"/>
          <w:sz w:val="24"/>
          <w:szCs w:val="24"/>
        </w:rPr>
      </w:pPr>
      <w:r>
        <w:rPr>
          <w:rFonts w:hint="eastAsia" w:ascii="宋体" w:hAnsi="宋体" w:cs="宋体"/>
          <w:sz w:val="24"/>
          <w:szCs w:val="24"/>
        </w:rPr>
        <w:t>经营期限：</w:t>
      </w:r>
    </w:p>
    <w:p>
      <w:pPr>
        <w:spacing w:line="360" w:lineRule="auto"/>
        <w:ind w:firstLine="480" w:firstLineChars="200"/>
        <w:rPr>
          <w:rFonts w:ascii="宋体" w:cs="Times New Roman"/>
          <w:sz w:val="24"/>
          <w:szCs w:val="24"/>
        </w:rPr>
      </w:pPr>
      <w:r>
        <w:rPr>
          <w:rFonts w:hint="eastAsia" w:ascii="宋体" w:hAnsi="宋体" w:cs="宋体"/>
          <w:sz w:val="24"/>
          <w:szCs w:val="24"/>
        </w:rPr>
        <w:t>姓名：性别：年龄：职务：</w:t>
      </w:r>
      <w:r>
        <w:rPr>
          <w:rFonts w:ascii="宋体" w:hAnsi="宋体" w:cs="宋体"/>
          <w:sz w:val="24"/>
          <w:szCs w:val="24"/>
        </w:rPr>
        <w:t>_</w:t>
      </w:r>
    </w:p>
    <w:p>
      <w:pPr>
        <w:spacing w:line="360" w:lineRule="auto"/>
        <w:ind w:firstLine="480" w:firstLineChars="200"/>
        <w:rPr>
          <w:rFonts w:ascii="宋体" w:cs="Times New Roman"/>
          <w:sz w:val="24"/>
          <w:szCs w:val="24"/>
        </w:rPr>
      </w:pPr>
      <w:r>
        <w:rPr>
          <w:rFonts w:hint="eastAsia" w:ascii="宋体" w:hAnsi="宋体" w:cs="宋体"/>
          <w:sz w:val="24"/>
          <w:szCs w:val="24"/>
        </w:rPr>
        <w:t>系（投标人名称）的法定代表人。</w:t>
      </w:r>
    </w:p>
    <w:p>
      <w:pPr>
        <w:spacing w:line="360" w:lineRule="auto"/>
        <w:ind w:firstLine="960" w:firstLineChars="400"/>
        <w:rPr>
          <w:rFonts w:ascii="宋体" w:cs="Times New Roman"/>
          <w:sz w:val="24"/>
          <w:szCs w:val="24"/>
        </w:rPr>
      </w:pPr>
      <w:r>
        <w:rPr>
          <w:rFonts w:hint="eastAsia" w:ascii="宋体" w:hAnsi="宋体" w:cs="宋体"/>
          <w:sz w:val="24"/>
          <w:szCs w:val="24"/>
        </w:rPr>
        <w:t>特此证明。</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附：法定代表人身份证复印件</w:t>
      </w:r>
    </w:p>
    <w:p>
      <w:pPr>
        <w:spacing w:line="360" w:lineRule="auto"/>
        <w:ind w:firstLine="480" w:firstLineChars="200"/>
        <w:rPr>
          <w:rFonts w:ascii="宋体" w:cs="Times New Roman"/>
          <w:sz w:val="24"/>
          <w:szCs w:val="24"/>
        </w:rPr>
      </w:pPr>
    </w:p>
    <w:p>
      <w:pPr>
        <w:spacing w:line="360" w:lineRule="auto"/>
        <w:ind w:firstLine="4800" w:firstLineChars="2000"/>
        <w:rPr>
          <w:rFonts w:ascii="宋体" w:cs="Times New Roman"/>
          <w:sz w:val="24"/>
          <w:szCs w:val="24"/>
        </w:rPr>
      </w:pPr>
      <w:r>
        <w:rPr>
          <w:rFonts w:hint="eastAsia" w:ascii="宋体" w:hAnsi="宋体" w:cs="宋体"/>
          <w:sz w:val="24"/>
          <w:szCs w:val="24"/>
        </w:rPr>
        <w:t>法定代表人：（签章）</w:t>
      </w:r>
    </w:p>
    <w:p>
      <w:pPr>
        <w:spacing w:line="360" w:lineRule="auto"/>
        <w:ind w:firstLine="4800" w:firstLineChars="2000"/>
        <w:rPr>
          <w:rFonts w:ascii="宋体" w:cs="Times New Roman"/>
          <w:sz w:val="24"/>
          <w:szCs w:val="24"/>
        </w:rPr>
      </w:pPr>
      <w:r>
        <w:rPr>
          <w:rFonts w:hint="eastAsia" w:ascii="宋体" w:hAnsi="宋体" w:cs="宋体"/>
          <w:sz w:val="24"/>
          <w:szCs w:val="24"/>
        </w:rPr>
        <w:t>投标人：（盖单位章）</w:t>
      </w:r>
    </w:p>
    <w:p>
      <w:pPr>
        <w:spacing w:line="360" w:lineRule="auto"/>
        <w:ind w:firstLine="5160" w:firstLineChars="2150"/>
        <w:rPr>
          <w:rFonts w:ascii="宋体" w:cs="Times New Roman"/>
          <w:sz w:val="24"/>
          <w:szCs w:val="24"/>
          <w:u w:val="single"/>
        </w:rPr>
      </w:pPr>
    </w:p>
    <w:p>
      <w:pPr>
        <w:rPr>
          <w:rFonts w:ascii="宋体" w:cs="Times New Roman"/>
          <w:sz w:val="24"/>
          <w:szCs w:val="24"/>
        </w:rPr>
      </w:pPr>
      <w:r>
        <w:rPr>
          <w:rFonts w:hint="eastAsia" w:ascii="宋体" w:hAnsi="宋体" w:cs="宋体"/>
          <w:sz w:val="24"/>
          <w:szCs w:val="24"/>
        </w:rPr>
        <w:t>年月日</w:t>
      </w:r>
    </w:p>
    <w:p>
      <w:pPr>
        <w:spacing w:line="360" w:lineRule="auto"/>
        <w:ind w:firstLine="643" w:firstLineChars="200"/>
        <w:jc w:val="center"/>
        <w:outlineLvl w:val="0"/>
        <w:rPr>
          <w:rFonts w:ascii="宋体" w:cs="Times New Roman"/>
          <w:b/>
          <w:bCs/>
          <w:sz w:val="32"/>
          <w:szCs w:val="32"/>
        </w:rPr>
      </w:pPr>
      <w:r>
        <w:rPr>
          <w:rFonts w:ascii="宋体" w:cs="Times New Roman"/>
          <w:b/>
          <w:bCs/>
          <w:sz w:val="32"/>
          <w:szCs w:val="32"/>
        </w:rPr>
        <w:br w:type="page"/>
      </w:r>
      <w:bookmarkStart w:id="167" w:name="_Toc2816"/>
      <w:r>
        <w:rPr>
          <w:rFonts w:hint="eastAsia" w:ascii="宋体" w:hAnsi="宋体" w:cs="宋体"/>
          <w:b/>
          <w:bCs/>
          <w:sz w:val="36"/>
          <w:szCs w:val="36"/>
        </w:rPr>
        <w:t>表</w:t>
      </w:r>
      <w:r>
        <w:rPr>
          <w:rFonts w:ascii="宋体" w:hAnsi="宋体" w:cs="宋体"/>
          <w:b/>
          <w:bCs/>
          <w:sz w:val="36"/>
          <w:szCs w:val="36"/>
        </w:rPr>
        <w:t>5</w:t>
      </w:r>
      <w:r>
        <w:rPr>
          <w:rFonts w:hint="eastAsia" w:ascii="宋体" w:hAnsi="宋体" w:cs="宋体"/>
          <w:b/>
          <w:bCs/>
          <w:sz w:val="36"/>
          <w:szCs w:val="36"/>
        </w:rPr>
        <w:t>、授权委托书</w:t>
      </w:r>
      <w:bookmarkEnd w:id="167"/>
    </w:p>
    <w:p>
      <w:pPr>
        <w:spacing w:line="360" w:lineRule="auto"/>
        <w:rPr>
          <w:rFonts w:ascii="宋体" w:cs="Times New Roman"/>
          <w:b/>
          <w:bCs/>
          <w:sz w:val="28"/>
          <w:szCs w:val="28"/>
        </w:rPr>
      </w:pPr>
    </w:p>
    <w:p>
      <w:pPr>
        <w:spacing w:line="360" w:lineRule="auto"/>
        <w:rPr>
          <w:rFonts w:hint="eastAsia" w:ascii="宋体" w:eastAsia="宋体" w:cs="Times New Roman"/>
          <w:b/>
          <w:bCs/>
          <w:sz w:val="28"/>
          <w:szCs w:val="28"/>
          <w:lang w:eastAsia="zh-CN"/>
        </w:rPr>
      </w:pPr>
      <w:r>
        <w:rPr>
          <w:rFonts w:hint="eastAsia" w:ascii="宋体" w:hAnsi="宋体" w:cs="宋体"/>
          <w:sz w:val="24"/>
          <w:szCs w:val="24"/>
        </w:rPr>
        <w:t>致：</w:t>
      </w:r>
      <w:r>
        <w:rPr>
          <w:rFonts w:hint="eastAsia" w:ascii="宋体" w:hAnsi="宋体" w:cs="宋体"/>
          <w:sz w:val="24"/>
          <w:szCs w:val="24"/>
          <w:lang w:val="en-US" w:eastAsia="zh-CN"/>
        </w:rPr>
        <w:t xml:space="preserve"> </w:t>
      </w:r>
    </w:p>
    <w:p>
      <w:pPr>
        <w:spacing w:line="360" w:lineRule="auto"/>
        <w:rPr>
          <w:rFonts w:ascii="宋体" w:cs="Times New Roman"/>
          <w:sz w:val="24"/>
          <w:szCs w:val="24"/>
        </w:rPr>
      </w:pPr>
      <w:r>
        <w:rPr>
          <w:rFonts w:hint="eastAsia" w:ascii="宋体" w:hAnsi="宋体" w:cs="宋体"/>
          <w:sz w:val="24"/>
          <w:szCs w:val="24"/>
        </w:rPr>
        <w:t>本授权书声明：</w:t>
      </w:r>
    </w:p>
    <w:p>
      <w:pPr>
        <w:snapToGrid w:val="0"/>
        <w:spacing w:line="360" w:lineRule="auto"/>
        <w:rPr>
          <w:rFonts w:ascii="宋体" w:cs="Times New Roman"/>
          <w:sz w:val="24"/>
          <w:szCs w:val="24"/>
          <w:u w:val="single"/>
        </w:rPr>
      </w:pPr>
      <w:r>
        <w:rPr>
          <w:rFonts w:hint="eastAsia" w:ascii="宋体" w:hAnsi="宋体" w:cs="宋体"/>
          <w:sz w:val="24"/>
          <w:szCs w:val="24"/>
        </w:rPr>
        <w:t>委托人：</w:t>
      </w:r>
    </w:p>
    <w:p>
      <w:pPr>
        <w:snapToGrid w:val="0"/>
        <w:spacing w:line="360" w:lineRule="auto"/>
        <w:rPr>
          <w:rFonts w:ascii="宋体" w:cs="Times New Roman"/>
          <w:sz w:val="24"/>
          <w:szCs w:val="24"/>
        </w:rPr>
      </w:pPr>
      <w:r>
        <w:rPr>
          <w:rFonts w:hint="eastAsia" w:ascii="宋体" w:hAnsi="宋体" w:cs="宋体"/>
          <w:sz w:val="24"/>
          <w:szCs w:val="24"/>
        </w:rPr>
        <w:t>地址：法定代表人：</w:t>
      </w:r>
    </w:p>
    <w:p>
      <w:pPr>
        <w:snapToGrid w:val="0"/>
        <w:spacing w:line="360" w:lineRule="auto"/>
        <w:rPr>
          <w:rFonts w:ascii="宋体" w:cs="Times New Roman"/>
          <w:sz w:val="24"/>
          <w:szCs w:val="24"/>
        </w:rPr>
      </w:pPr>
      <w:r>
        <w:rPr>
          <w:rFonts w:hint="eastAsia" w:ascii="宋体" w:hAnsi="宋体" w:cs="宋体"/>
          <w:sz w:val="24"/>
          <w:szCs w:val="24"/>
        </w:rPr>
        <w:t>受托人：姓名性别：出生日期：年月日</w:t>
      </w:r>
    </w:p>
    <w:p>
      <w:pPr>
        <w:snapToGrid w:val="0"/>
        <w:spacing w:line="360" w:lineRule="auto"/>
        <w:rPr>
          <w:rFonts w:ascii="宋体" w:cs="Times New Roman"/>
          <w:sz w:val="24"/>
          <w:szCs w:val="24"/>
        </w:rPr>
      </w:pPr>
      <w:r>
        <w:rPr>
          <w:rFonts w:hint="eastAsia" w:ascii="宋体" w:hAnsi="宋体" w:cs="宋体"/>
          <w:sz w:val="24"/>
          <w:szCs w:val="24"/>
        </w:rPr>
        <w:t>所在单位：职务：</w:t>
      </w:r>
    </w:p>
    <w:p>
      <w:pPr>
        <w:snapToGrid w:val="0"/>
        <w:spacing w:line="360" w:lineRule="auto"/>
        <w:rPr>
          <w:rFonts w:ascii="宋体" w:cs="Times New Roman"/>
          <w:sz w:val="24"/>
          <w:szCs w:val="24"/>
        </w:rPr>
      </w:pPr>
      <w:r>
        <w:rPr>
          <w:rFonts w:hint="eastAsia" w:ascii="宋体" w:hAnsi="宋体" w:cs="宋体"/>
          <w:sz w:val="24"/>
          <w:szCs w:val="24"/>
        </w:rPr>
        <w:t>身份证：联系方式</w:t>
      </w:r>
      <w:r>
        <w:rPr>
          <w:rFonts w:ascii="宋体" w:hAnsi="宋体" w:cs="宋体"/>
          <w:sz w:val="24"/>
          <w:szCs w:val="24"/>
        </w:rPr>
        <w:t>:</w:t>
      </w:r>
    </w:p>
    <w:p>
      <w:pPr>
        <w:snapToGrid w:val="0"/>
        <w:spacing w:line="360" w:lineRule="auto"/>
        <w:ind w:left="479" w:leftChars="228"/>
        <w:rPr>
          <w:rFonts w:ascii="宋体" w:cs="Times New Roman"/>
          <w:sz w:val="24"/>
          <w:szCs w:val="24"/>
        </w:rPr>
      </w:pPr>
      <w:r>
        <w:rPr>
          <w:rFonts w:hint="eastAsia" w:ascii="宋体" w:hAnsi="宋体" w:cs="宋体"/>
          <w:sz w:val="24"/>
          <w:szCs w:val="24"/>
        </w:rPr>
        <w:t>兹委托受托人代表我方参加河南兴建建设管理有限公司组织的（项目编号为：）的政府采购活动，并授权其全权办理以下事宜：</w:t>
      </w:r>
    </w:p>
    <w:p>
      <w:pPr>
        <w:snapToGrid w:val="0"/>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、参加投标活动；</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、出席开标评标会议；</w:t>
      </w:r>
    </w:p>
    <w:p>
      <w:pPr>
        <w:snapToGrid w:val="0"/>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、签订与中标事宜有关的合同；</w:t>
      </w:r>
    </w:p>
    <w:p>
      <w:pPr>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、负责合同的履行、服务以及在合同履行过程中有关事宜的洽谈和处理。</w:t>
      </w:r>
    </w:p>
    <w:p>
      <w:pPr>
        <w:snapToGrid w:val="0"/>
        <w:spacing w:line="360" w:lineRule="auto"/>
        <w:rPr>
          <w:rFonts w:ascii="宋体" w:cs="Times New Roman"/>
          <w:sz w:val="24"/>
          <w:szCs w:val="24"/>
        </w:rPr>
      </w:pPr>
      <w:r>
        <w:rPr>
          <w:rFonts w:hint="eastAsia" w:ascii="宋体" w:hAnsi="宋体" w:cs="宋体"/>
          <w:sz w:val="24"/>
          <w:szCs w:val="24"/>
        </w:rPr>
        <w:t>受托人在办理上述事宜过程中以其自己的名义所签署的所有文件我方均予以承认。受托人无转委托权。</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委托期限：至上述事宜处理完毕止。</w:t>
      </w:r>
    </w:p>
    <w:p>
      <w:pPr>
        <w:snapToGrid w:val="0"/>
        <w:spacing w:line="360" w:lineRule="auto"/>
        <w:rPr>
          <w:rFonts w:ascii="宋体" w:cs="Times New Roman"/>
          <w:sz w:val="24"/>
          <w:szCs w:val="24"/>
        </w:rPr>
      </w:pPr>
    </w:p>
    <w:p>
      <w:pPr>
        <w:snapToGrid w:val="0"/>
        <w:spacing w:line="360" w:lineRule="auto"/>
        <w:rPr>
          <w:rFonts w:ascii="宋体" w:cs="Times New Roman"/>
          <w:sz w:val="24"/>
          <w:szCs w:val="24"/>
        </w:rPr>
      </w:pPr>
    </w:p>
    <w:p>
      <w:pPr>
        <w:snapToGrid w:val="0"/>
        <w:spacing w:line="360" w:lineRule="auto"/>
        <w:rPr>
          <w:rFonts w:ascii="宋体" w:cs="Times New Roman"/>
          <w:sz w:val="24"/>
          <w:szCs w:val="24"/>
        </w:rPr>
      </w:pPr>
      <w:r>
        <w:rPr>
          <w:rFonts w:hint="eastAsia" w:ascii="宋体" w:hAnsi="宋体" w:cs="宋体"/>
          <w:sz w:val="24"/>
          <w:szCs w:val="24"/>
        </w:rPr>
        <w:t>附：受托人身份证复印件</w:t>
      </w:r>
    </w:p>
    <w:p>
      <w:pPr>
        <w:snapToGrid w:val="0"/>
        <w:spacing w:line="360" w:lineRule="auto"/>
        <w:ind w:firstLine="3840" w:firstLineChars="1600"/>
        <w:rPr>
          <w:rFonts w:ascii="宋体" w:cs="Times New Roman"/>
          <w:sz w:val="24"/>
          <w:szCs w:val="24"/>
        </w:rPr>
      </w:pPr>
    </w:p>
    <w:p>
      <w:pPr>
        <w:snapToGrid w:val="0"/>
        <w:spacing w:line="360" w:lineRule="auto"/>
        <w:rPr>
          <w:rFonts w:ascii="宋体" w:cs="Times New Roman"/>
          <w:sz w:val="24"/>
          <w:szCs w:val="24"/>
          <w:u w:val="single"/>
        </w:rPr>
      </w:pPr>
      <w:r>
        <w:rPr>
          <w:rFonts w:hint="eastAsia" w:ascii="宋体" w:hAnsi="宋体" w:cs="宋体"/>
          <w:sz w:val="24"/>
          <w:szCs w:val="24"/>
        </w:rPr>
        <w:t>法定代表人：</w:t>
      </w:r>
      <w:r>
        <w:rPr>
          <w:rFonts w:hint="eastAsia" w:ascii="宋体" w:hAnsi="宋体" w:cs="宋体"/>
          <w:sz w:val="24"/>
          <w:szCs w:val="24"/>
          <w:u w:val="single"/>
        </w:rPr>
        <w:t>（签名）</w:t>
      </w:r>
    </w:p>
    <w:p>
      <w:pPr>
        <w:snapToGrid w:val="0"/>
        <w:spacing w:line="360" w:lineRule="auto"/>
        <w:rPr>
          <w:rFonts w:ascii="宋体" w:cs="Times New Roman"/>
          <w:sz w:val="24"/>
          <w:szCs w:val="24"/>
          <w:u w:val="single"/>
        </w:rPr>
      </w:pPr>
      <w:r>
        <w:rPr>
          <w:rFonts w:hint="eastAsia" w:ascii="宋体" w:hAnsi="宋体" w:cs="宋体"/>
          <w:sz w:val="24"/>
          <w:szCs w:val="24"/>
        </w:rPr>
        <w:t>受托人：</w:t>
      </w:r>
      <w:r>
        <w:rPr>
          <w:rFonts w:hint="eastAsia" w:ascii="宋体" w:hAnsi="宋体" w:cs="宋体"/>
          <w:sz w:val="24"/>
          <w:szCs w:val="24"/>
          <w:u w:val="single"/>
        </w:rPr>
        <w:t>（签名）</w:t>
      </w:r>
    </w:p>
    <w:p>
      <w:pPr>
        <w:snapToGrid w:val="0"/>
        <w:spacing w:line="360" w:lineRule="auto"/>
        <w:ind w:firstLine="3840" w:firstLineChars="1600"/>
        <w:rPr>
          <w:rFonts w:ascii="宋体" w:cs="Times New Roman"/>
          <w:sz w:val="24"/>
          <w:szCs w:val="24"/>
          <w:u w:val="single"/>
        </w:rPr>
      </w:pPr>
      <w:r>
        <w:rPr>
          <w:rFonts w:hint="eastAsia" w:ascii="宋体" w:hAnsi="宋体" w:cs="宋体"/>
          <w:sz w:val="24"/>
          <w:szCs w:val="24"/>
        </w:rPr>
        <w:t>委托单位：</w:t>
      </w:r>
      <w:r>
        <w:rPr>
          <w:rFonts w:hint="eastAsia" w:ascii="宋体" w:hAnsi="宋体" w:cs="宋体"/>
          <w:sz w:val="24"/>
          <w:szCs w:val="24"/>
          <w:u w:val="single"/>
        </w:rPr>
        <w:t>（公章）</w:t>
      </w:r>
    </w:p>
    <w:p>
      <w:pPr>
        <w:snapToGrid w:val="0"/>
        <w:spacing w:line="360" w:lineRule="auto"/>
        <w:ind w:right="1200" w:firstLine="4200" w:firstLineChars="1750"/>
        <w:rPr>
          <w:rFonts w:ascii="宋体" w:cs="Times New Roman"/>
          <w:sz w:val="24"/>
          <w:szCs w:val="24"/>
        </w:rPr>
      </w:pPr>
      <w:r>
        <w:rPr>
          <w:rFonts w:hint="eastAsia" w:ascii="宋体" w:hAnsi="宋体" w:cs="宋体"/>
          <w:sz w:val="24"/>
          <w:szCs w:val="24"/>
        </w:rPr>
        <w:t>年月日</w:t>
      </w:r>
    </w:p>
    <w:p>
      <w:pPr>
        <w:spacing w:line="360" w:lineRule="auto"/>
        <w:ind w:firstLine="5160" w:firstLineChars="2150"/>
        <w:rPr>
          <w:rFonts w:ascii="宋体" w:cs="Times New Roman"/>
          <w:sz w:val="24"/>
          <w:szCs w:val="24"/>
        </w:rPr>
      </w:pPr>
    </w:p>
    <w:p>
      <w:pPr>
        <w:spacing w:line="360" w:lineRule="auto"/>
        <w:rPr>
          <w:rFonts w:ascii="宋体" w:cs="Times New Roman"/>
          <w:b/>
          <w:bCs/>
          <w:sz w:val="28"/>
          <w:szCs w:val="28"/>
        </w:rPr>
      </w:pPr>
    </w:p>
    <w:p>
      <w:pPr>
        <w:tabs>
          <w:tab w:val="left" w:pos="4680"/>
        </w:tabs>
        <w:snapToGrid w:val="0"/>
        <w:spacing w:line="360" w:lineRule="auto"/>
        <w:ind w:firstLine="723" w:firstLineChars="200"/>
        <w:jc w:val="center"/>
        <w:outlineLvl w:val="0"/>
        <w:rPr>
          <w:rFonts w:ascii="宋体" w:hAnsi="宋体" w:cs="宋体"/>
          <w:b/>
          <w:bCs/>
          <w:sz w:val="36"/>
          <w:szCs w:val="36"/>
        </w:rPr>
        <w:sectPr>
          <w:pgSz w:w="11907" w:h="16840"/>
          <w:pgMar w:top="1418" w:right="1134" w:bottom="1361" w:left="1134" w:header="794" w:footer="794" w:gutter="0"/>
          <w:cols w:space="720" w:num="1"/>
          <w:docGrid w:linePitch="285" w:charSpace="0"/>
        </w:sectPr>
      </w:pPr>
      <w:bookmarkStart w:id="168" w:name="_Toc480202223"/>
      <w:bookmarkStart w:id="169" w:name="_Toc12407"/>
    </w:p>
    <w:bookmarkEnd w:id="168"/>
    <w:bookmarkEnd w:id="169"/>
    <w:p>
      <w:pPr>
        <w:spacing w:line="360" w:lineRule="auto"/>
        <w:ind w:firstLine="723" w:firstLineChars="200"/>
        <w:jc w:val="center"/>
        <w:outlineLvl w:val="0"/>
        <w:rPr>
          <w:rFonts w:ascii="宋体" w:cs="Times New Roman"/>
          <w:b/>
          <w:bCs/>
          <w:sz w:val="36"/>
          <w:szCs w:val="36"/>
        </w:rPr>
      </w:pPr>
      <w:bookmarkStart w:id="170" w:name="_Toc13519"/>
      <w:r>
        <w:rPr>
          <w:rFonts w:hint="eastAsia" w:ascii="宋体" w:hAnsi="宋体" w:cs="宋体"/>
          <w:b/>
          <w:bCs/>
          <w:sz w:val="36"/>
          <w:szCs w:val="36"/>
        </w:rPr>
        <w:t>表</w:t>
      </w:r>
      <w:r>
        <w:rPr>
          <w:rFonts w:hint="eastAsia" w:ascii="宋体" w:hAnsi="宋体" w:cs="宋体"/>
          <w:b/>
          <w:bCs/>
          <w:sz w:val="36"/>
          <w:szCs w:val="36"/>
          <w:lang w:val="en-US" w:eastAsia="zh-CN"/>
        </w:rPr>
        <w:t>6</w:t>
      </w:r>
      <w:r>
        <w:rPr>
          <w:rFonts w:hint="eastAsia" w:ascii="宋体" w:hAnsi="宋体" w:cs="宋体"/>
          <w:b/>
          <w:bCs/>
          <w:sz w:val="36"/>
          <w:szCs w:val="36"/>
        </w:rPr>
        <w:t>、投标人基本情况表</w:t>
      </w:r>
      <w:bookmarkEnd w:id="170"/>
    </w:p>
    <w:tbl>
      <w:tblPr>
        <w:tblStyle w:val="54"/>
        <w:tblW w:w="875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1332"/>
        <w:gridCol w:w="397"/>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jc w:val="center"/>
        </w:trPr>
        <w:tc>
          <w:tcPr>
            <w:tcW w:w="1503" w:type="dxa"/>
            <w:tcBorders>
              <w:top w:val="single" w:color="auto" w:sz="18" w:space="0"/>
            </w:tcBorders>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投标人名称</w:t>
            </w:r>
          </w:p>
        </w:tc>
        <w:tc>
          <w:tcPr>
            <w:tcW w:w="7255" w:type="dxa"/>
            <w:gridSpan w:val="7"/>
            <w:tcBorders>
              <w:top w:val="single" w:color="auto" w:sz="18" w:space="0"/>
            </w:tcBorders>
            <w:vAlign w:val="center"/>
          </w:tcPr>
          <w:p>
            <w:pPr>
              <w:autoSpaceDE w:val="0"/>
              <w:autoSpaceDN w:val="0"/>
              <w:adjustRightInd w:val="0"/>
              <w:spacing w:line="400" w:lineRule="exact"/>
              <w:jc w:val="center"/>
              <w:rPr>
                <w:rFonts w:asci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联系方式</w:t>
            </w:r>
          </w:p>
        </w:tc>
        <w:tc>
          <w:tcPr>
            <w:tcW w:w="972"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联系人</w:t>
            </w:r>
          </w:p>
        </w:tc>
        <w:tc>
          <w:tcPr>
            <w:tcW w:w="2461" w:type="dxa"/>
            <w:gridSpan w:val="2"/>
            <w:vAlign w:val="center"/>
          </w:tcPr>
          <w:p>
            <w:pPr>
              <w:autoSpaceDE w:val="0"/>
              <w:autoSpaceDN w:val="0"/>
              <w:adjustRightInd w:val="0"/>
              <w:spacing w:line="400" w:lineRule="exact"/>
              <w:jc w:val="center"/>
              <w:rPr>
                <w:rFonts w:ascii="宋体" w:cs="Times New Roman"/>
                <w:sz w:val="24"/>
                <w:szCs w:val="24"/>
              </w:rPr>
            </w:pPr>
          </w:p>
        </w:tc>
        <w:tc>
          <w:tcPr>
            <w:tcW w:w="1332"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电话</w:t>
            </w:r>
          </w:p>
        </w:tc>
        <w:tc>
          <w:tcPr>
            <w:tcW w:w="2490" w:type="dxa"/>
            <w:gridSpan w:val="3"/>
            <w:vAlign w:val="center"/>
          </w:tcPr>
          <w:p>
            <w:pPr>
              <w:autoSpaceDE w:val="0"/>
              <w:autoSpaceDN w:val="0"/>
              <w:adjustRightInd w:val="0"/>
              <w:spacing w:line="400" w:lineRule="exact"/>
              <w:jc w:val="center"/>
              <w:rPr>
                <w:rFonts w:asci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法定代表人</w:t>
            </w:r>
          </w:p>
        </w:tc>
        <w:tc>
          <w:tcPr>
            <w:tcW w:w="972"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姓名</w:t>
            </w:r>
          </w:p>
        </w:tc>
        <w:tc>
          <w:tcPr>
            <w:tcW w:w="1206" w:type="dxa"/>
            <w:vAlign w:val="center"/>
          </w:tcPr>
          <w:p>
            <w:pPr>
              <w:autoSpaceDE w:val="0"/>
              <w:autoSpaceDN w:val="0"/>
              <w:adjustRightInd w:val="0"/>
              <w:spacing w:line="400" w:lineRule="exact"/>
              <w:jc w:val="center"/>
              <w:rPr>
                <w:rFonts w:ascii="宋体" w:cs="Times New Roman"/>
                <w:sz w:val="24"/>
                <w:szCs w:val="24"/>
              </w:rPr>
            </w:pPr>
          </w:p>
        </w:tc>
        <w:tc>
          <w:tcPr>
            <w:tcW w:w="1255"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技术职称</w:t>
            </w:r>
          </w:p>
        </w:tc>
        <w:tc>
          <w:tcPr>
            <w:tcW w:w="1332" w:type="dxa"/>
            <w:vAlign w:val="center"/>
          </w:tcPr>
          <w:p>
            <w:pPr>
              <w:autoSpaceDE w:val="0"/>
              <w:autoSpaceDN w:val="0"/>
              <w:adjustRightInd w:val="0"/>
              <w:spacing w:line="400" w:lineRule="exact"/>
              <w:jc w:val="center"/>
              <w:rPr>
                <w:rFonts w:ascii="宋体" w:cs="Times New Roman"/>
                <w:sz w:val="24"/>
                <w:szCs w:val="24"/>
              </w:rPr>
            </w:pPr>
          </w:p>
        </w:tc>
        <w:tc>
          <w:tcPr>
            <w:tcW w:w="1414" w:type="dxa"/>
            <w:gridSpan w:val="2"/>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电话</w:t>
            </w:r>
          </w:p>
        </w:tc>
        <w:tc>
          <w:tcPr>
            <w:tcW w:w="1076" w:type="dxa"/>
            <w:vAlign w:val="center"/>
          </w:tcPr>
          <w:p>
            <w:pPr>
              <w:autoSpaceDE w:val="0"/>
              <w:autoSpaceDN w:val="0"/>
              <w:adjustRightInd w:val="0"/>
              <w:spacing w:line="400" w:lineRule="exact"/>
              <w:jc w:val="center"/>
              <w:rPr>
                <w:rFonts w:ascii="宋体" w:cs="Times New Roman"/>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成立时间</w:t>
            </w:r>
          </w:p>
        </w:tc>
        <w:tc>
          <w:tcPr>
            <w:tcW w:w="2178" w:type="dxa"/>
            <w:gridSpan w:val="2"/>
            <w:vAlign w:val="center"/>
          </w:tcPr>
          <w:p>
            <w:pPr>
              <w:autoSpaceDE w:val="0"/>
              <w:autoSpaceDN w:val="0"/>
              <w:adjustRightInd w:val="0"/>
              <w:spacing w:line="400" w:lineRule="exact"/>
              <w:jc w:val="center"/>
              <w:rPr>
                <w:rFonts w:ascii="宋体" w:cs="Times New Roman"/>
                <w:sz w:val="24"/>
                <w:szCs w:val="24"/>
              </w:rPr>
            </w:pPr>
          </w:p>
        </w:tc>
        <w:tc>
          <w:tcPr>
            <w:tcW w:w="5077" w:type="dxa"/>
            <w:gridSpan w:val="5"/>
            <w:vAlign w:val="center"/>
          </w:tcPr>
          <w:p>
            <w:pPr>
              <w:autoSpaceDE w:val="0"/>
              <w:autoSpaceDN w:val="0"/>
              <w:adjustRightInd w:val="0"/>
              <w:spacing w:line="400" w:lineRule="exact"/>
              <w:ind w:firstLine="1680" w:firstLineChars="700"/>
              <w:rPr>
                <w:rFonts w:ascii="宋体" w:cs="Times New Roman"/>
                <w:sz w:val="24"/>
                <w:szCs w:val="24"/>
              </w:rPr>
            </w:pPr>
            <w:r>
              <w:rPr>
                <w:rFonts w:hint="eastAsia" w:ascii="宋体" w:hAnsi="宋体" w:cs="宋体"/>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营业执照号</w:t>
            </w:r>
          </w:p>
        </w:tc>
        <w:tc>
          <w:tcPr>
            <w:tcW w:w="2178" w:type="dxa"/>
            <w:gridSpan w:val="2"/>
            <w:vAlign w:val="center"/>
          </w:tcPr>
          <w:p>
            <w:pPr>
              <w:autoSpaceDE w:val="0"/>
              <w:autoSpaceDN w:val="0"/>
              <w:adjustRightInd w:val="0"/>
              <w:spacing w:line="400" w:lineRule="exact"/>
              <w:jc w:val="center"/>
              <w:rPr>
                <w:rFonts w:ascii="宋体" w:cs="Times New Roman"/>
                <w:sz w:val="24"/>
                <w:szCs w:val="24"/>
              </w:rPr>
            </w:pPr>
          </w:p>
        </w:tc>
        <w:tc>
          <w:tcPr>
            <w:tcW w:w="1255" w:type="dxa"/>
            <w:vMerge w:val="restart"/>
            <w:vAlign w:val="center"/>
          </w:tcPr>
          <w:p>
            <w:pPr>
              <w:autoSpaceDE w:val="0"/>
              <w:autoSpaceDN w:val="0"/>
              <w:adjustRightInd w:val="0"/>
              <w:spacing w:line="400" w:lineRule="exact"/>
              <w:jc w:val="center"/>
              <w:rPr>
                <w:rFonts w:ascii="宋体" w:cs="Times New Roman"/>
                <w:sz w:val="24"/>
                <w:szCs w:val="24"/>
              </w:rPr>
            </w:pPr>
          </w:p>
        </w:tc>
        <w:tc>
          <w:tcPr>
            <w:tcW w:w="1729" w:type="dxa"/>
            <w:gridSpan w:val="2"/>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高级职称人员</w:t>
            </w:r>
          </w:p>
        </w:tc>
        <w:tc>
          <w:tcPr>
            <w:tcW w:w="2093" w:type="dxa"/>
            <w:gridSpan w:val="2"/>
            <w:vAlign w:val="center"/>
          </w:tcPr>
          <w:p>
            <w:pPr>
              <w:autoSpaceDE w:val="0"/>
              <w:autoSpaceDN w:val="0"/>
              <w:adjustRightInd w:val="0"/>
              <w:spacing w:line="400" w:lineRule="exact"/>
              <w:jc w:val="center"/>
              <w:rPr>
                <w:rFonts w:ascii="宋体" w:cs="Times New Roman"/>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3"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注册资金</w:t>
            </w:r>
          </w:p>
        </w:tc>
        <w:tc>
          <w:tcPr>
            <w:tcW w:w="2178" w:type="dxa"/>
            <w:gridSpan w:val="2"/>
            <w:vAlign w:val="center"/>
          </w:tcPr>
          <w:p>
            <w:pPr>
              <w:autoSpaceDE w:val="0"/>
              <w:autoSpaceDN w:val="0"/>
              <w:adjustRightInd w:val="0"/>
              <w:spacing w:line="400" w:lineRule="exact"/>
              <w:jc w:val="center"/>
              <w:rPr>
                <w:rFonts w:ascii="宋体" w:cs="Times New Roman"/>
                <w:sz w:val="24"/>
                <w:szCs w:val="24"/>
              </w:rPr>
            </w:pPr>
          </w:p>
        </w:tc>
        <w:tc>
          <w:tcPr>
            <w:tcW w:w="1255" w:type="dxa"/>
            <w:vMerge w:val="continue"/>
            <w:vAlign w:val="center"/>
          </w:tcPr>
          <w:p>
            <w:pPr>
              <w:autoSpaceDE w:val="0"/>
              <w:autoSpaceDN w:val="0"/>
              <w:adjustRightInd w:val="0"/>
              <w:spacing w:line="400" w:lineRule="exact"/>
              <w:jc w:val="center"/>
              <w:rPr>
                <w:rFonts w:ascii="宋体" w:cs="Times New Roman"/>
                <w:sz w:val="24"/>
                <w:szCs w:val="24"/>
              </w:rPr>
            </w:pPr>
          </w:p>
        </w:tc>
        <w:tc>
          <w:tcPr>
            <w:tcW w:w="1729" w:type="dxa"/>
            <w:gridSpan w:val="2"/>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中级职称人员</w:t>
            </w:r>
          </w:p>
        </w:tc>
        <w:tc>
          <w:tcPr>
            <w:tcW w:w="2093" w:type="dxa"/>
            <w:gridSpan w:val="2"/>
            <w:vAlign w:val="center"/>
          </w:tcPr>
          <w:p>
            <w:pPr>
              <w:autoSpaceDE w:val="0"/>
              <w:autoSpaceDN w:val="0"/>
              <w:adjustRightInd w:val="0"/>
              <w:spacing w:line="400" w:lineRule="exact"/>
              <w:jc w:val="center"/>
              <w:rPr>
                <w:rFonts w:ascii="宋体" w:cs="Times New Roman"/>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03" w:type="dxa"/>
            <w:tcBorders>
              <w:bottom w:val="single" w:color="auto" w:sz="18" w:space="0"/>
            </w:tcBorders>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备注</w:t>
            </w:r>
          </w:p>
        </w:tc>
        <w:tc>
          <w:tcPr>
            <w:tcW w:w="7255" w:type="dxa"/>
            <w:gridSpan w:val="7"/>
            <w:tcBorders>
              <w:bottom w:val="single" w:color="auto" w:sz="18" w:space="0"/>
            </w:tcBorders>
          </w:tcPr>
          <w:p>
            <w:pPr>
              <w:autoSpaceDE w:val="0"/>
              <w:autoSpaceDN w:val="0"/>
              <w:adjustRightInd w:val="0"/>
              <w:spacing w:line="400" w:lineRule="exact"/>
              <w:rPr>
                <w:rFonts w:ascii="宋体" w:cs="Times New Roman"/>
                <w:sz w:val="24"/>
                <w:szCs w:val="24"/>
              </w:rPr>
            </w:pPr>
          </w:p>
        </w:tc>
      </w:tr>
    </w:tbl>
    <w:p>
      <w:pPr>
        <w:rPr>
          <w:rFonts w:ascii="宋体" w:cs="Times New Roman"/>
        </w:rPr>
      </w:pPr>
    </w:p>
    <w:p>
      <w:pPr>
        <w:adjustRightInd w:val="0"/>
        <w:spacing w:line="480" w:lineRule="auto"/>
        <w:ind w:firstLine="420" w:firstLineChars="175"/>
        <w:rPr>
          <w:rFonts w:ascii="宋体" w:cs="Times New Roman"/>
          <w:sz w:val="24"/>
          <w:szCs w:val="24"/>
        </w:rPr>
      </w:pPr>
      <w:r>
        <w:rPr>
          <w:rFonts w:hint="eastAsia" w:ascii="宋体" w:hAnsi="宋体" w:cs="宋体"/>
          <w:sz w:val="24"/>
          <w:szCs w:val="24"/>
        </w:rPr>
        <w:t>投标人名称：（盖章）</w:t>
      </w:r>
    </w:p>
    <w:p>
      <w:pPr>
        <w:adjustRightInd w:val="0"/>
        <w:spacing w:line="480" w:lineRule="auto"/>
        <w:ind w:firstLine="420" w:firstLineChars="175"/>
        <w:rPr>
          <w:rFonts w:ascii="宋体" w:cs="Times New Roman"/>
          <w:sz w:val="24"/>
          <w:szCs w:val="24"/>
          <w:u w:val="single"/>
        </w:rPr>
      </w:pPr>
      <w:r>
        <w:rPr>
          <w:rFonts w:hint="eastAsia" w:ascii="宋体" w:hAnsi="宋体" w:cs="宋体"/>
          <w:sz w:val="24"/>
          <w:szCs w:val="24"/>
        </w:rPr>
        <w:t>法定代表人或授权代表（签字）：</w:t>
      </w:r>
    </w:p>
    <w:p>
      <w:pPr>
        <w:adjustRightInd w:val="0"/>
        <w:spacing w:line="480" w:lineRule="auto"/>
        <w:ind w:firstLine="420" w:firstLineChars="175"/>
        <w:rPr>
          <w:rFonts w:ascii="宋体" w:cs="Times New Roman"/>
          <w:sz w:val="24"/>
          <w:szCs w:val="24"/>
          <w:u w:val="single"/>
        </w:rPr>
      </w:pPr>
      <w:r>
        <w:rPr>
          <w:rFonts w:hint="eastAsia" w:ascii="宋体" w:hAnsi="宋体" w:cs="宋体"/>
          <w:sz w:val="24"/>
          <w:szCs w:val="24"/>
        </w:rPr>
        <w:t>日期</w:t>
      </w:r>
      <w:r>
        <w:rPr>
          <w:rFonts w:ascii="宋体" w:hAnsi="宋体" w:cs="宋体"/>
          <w:sz w:val="24"/>
          <w:szCs w:val="24"/>
        </w:rPr>
        <w:t>:</w:t>
      </w:r>
    </w:p>
    <w:p>
      <w:pPr>
        <w:widowControl/>
        <w:jc w:val="left"/>
        <w:rPr>
          <w:rFonts w:ascii="宋体" w:cs="Times New Roman"/>
          <w:sz w:val="24"/>
          <w:szCs w:val="24"/>
        </w:rPr>
      </w:pPr>
      <w:bookmarkStart w:id="171" w:name="_Toc474337648"/>
      <w:bookmarkStart w:id="172" w:name="_Toc310958761"/>
      <w:bookmarkStart w:id="173" w:name="_Toc217446089"/>
      <w:r>
        <w:rPr>
          <w:rFonts w:ascii="宋体" w:cs="Times New Roman"/>
          <w:sz w:val="24"/>
          <w:szCs w:val="24"/>
        </w:rPr>
        <w:br w:type="page"/>
      </w:r>
    </w:p>
    <w:p>
      <w:pPr>
        <w:spacing w:line="360" w:lineRule="auto"/>
        <w:ind w:firstLine="723" w:firstLineChars="200"/>
        <w:jc w:val="center"/>
        <w:outlineLvl w:val="0"/>
        <w:rPr>
          <w:rFonts w:ascii="宋体" w:cs="Times New Roman"/>
          <w:b/>
          <w:bCs/>
          <w:sz w:val="32"/>
          <w:szCs w:val="32"/>
        </w:rPr>
      </w:pPr>
      <w:bookmarkStart w:id="174" w:name="_Toc1403"/>
      <w:r>
        <w:rPr>
          <w:rFonts w:hint="eastAsia" w:ascii="宋体" w:hAnsi="宋体" w:cs="宋体"/>
          <w:b/>
          <w:bCs/>
          <w:sz w:val="36"/>
          <w:szCs w:val="36"/>
        </w:rPr>
        <w:t>表</w:t>
      </w:r>
      <w:r>
        <w:rPr>
          <w:rFonts w:hint="eastAsia" w:ascii="宋体" w:hAnsi="宋体" w:cs="宋体"/>
          <w:b/>
          <w:bCs/>
          <w:sz w:val="36"/>
          <w:szCs w:val="36"/>
          <w:lang w:val="en-US" w:eastAsia="zh-CN"/>
        </w:rPr>
        <w:t>7</w:t>
      </w:r>
      <w:r>
        <w:rPr>
          <w:rFonts w:hint="eastAsia" w:ascii="宋体" w:hAnsi="宋体" w:cs="宋体"/>
          <w:b/>
          <w:bCs/>
          <w:sz w:val="36"/>
          <w:szCs w:val="36"/>
        </w:rPr>
        <w:t>、经营活动中没有重大违法记录的声明函</w:t>
      </w:r>
      <w:bookmarkEnd w:id="171"/>
      <w:bookmarkEnd w:id="174"/>
    </w:p>
    <w:tbl>
      <w:tblPr>
        <w:tblStyle w:val="54"/>
        <w:tblW w:w="88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40"/>
        <w:gridCol w:w="2940"/>
        <w:gridCol w:w="294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794" w:hRule="atLeast"/>
          <w:jc w:val="center"/>
        </w:trPr>
        <w:tc>
          <w:tcPr>
            <w:tcW w:w="8820" w:type="dxa"/>
            <w:gridSpan w:val="3"/>
            <w:tcBorders>
              <w:top w:val="double" w:color="auto" w:sz="4" w:space="0"/>
            </w:tcBorders>
            <w:vAlign w:val="center"/>
          </w:tcPr>
          <w:p>
            <w:pPr>
              <w:spacing w:line="900" w:lineRule="exact"/>
              <w:rPr>
                <w:rFonts w:ascii="宋体" w:cs="Times New Roman"/>
                <w:b/>
                <w:bCs/>
                <w:sz w:val="24"/>
                <w:szCs w:val="24"/>
              </w:rPr>
            </w:pPr>
            <w:r>
              <w:rPr>
                <w:rFonts w:hint="eastAsia" w:ascii="宋体" w:hAnsi="宋体" w:cs="宋体"/>
                <w:sz w:val="24"/>
                <w:szCs w:val="24"/>
              </w:rPr>
              <w:t>致：</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4797" w:hRule="atLeast"/>
          <w:jc w:val="center"/>
        </w:trPr>
        <w:tc>
          <w:tcPr>
            <w:tcW w:w="8820" w:type="dxa"/>
            <w:gridSpan w:val="3"/>
            <w:tcBorders>
              <w:bottom w:val="double" w:color="auto" w:sz="4" w:space="0"/>
            </w:tcBorders>
            <w:vAlign w:val="center"/>
          </w:tcPr>
          <w:p>
            <w:pPr>
              <w:spacing w:line="440" w:lineRule="exact"/>
              <w:ind w:firstLine="480" w:firstLineChars="200"/>
              <w:rPr>
                <w:rFonts w:ascii="宋体" w:cs="Times New Roman"/>
                <w:sz w:val="24"/>
                <w:szCs w:val="24"/>
              </w:rPr>
            </w:pPr>
            <w:r>
              <w:rPr>
                <w:rFonts w:hint="eastAsia" w:ascii="宋体" w:hAnsi="宋体" w:cs="宋体"/>
                <w:sz w:val="24"/>
                <w:szCs w:val="24"/>
              </w:rPr>
              <w:t>作为参加贵单位组织的招标采购项目的投标人，本公司郑重承诺：</w:t>
            </w:r>
          </w:p>
          <w:p>
            <w:pPr>
              <w:spacing w:line="440" w:lineRule="exact"/>
              <w:ind w:firstLine="480" w:firstLineChars="200"/>
              <w:rPr>
                <w:rFonts w:ascii="宋体" w:cs="Times New Roman"/>
                <w:sz w:val="24"/>
                <w:szCs w:val="24"/>
              </w:rPr>
            </w:pPr>
            <w:r>
              <w:rPr>
                <w:rFonts w:hint="eastAsia" w:ascii="宋体" w:hAnsi="宋体" w:cs="宋体"/>
                <w:sz w:val="24"/>
                <w:szCs w:val="24"/>
              </w:rPr>
              <w:t>一、本公司在参加本项目招标之前不存在被依法禁止经营行为、财产被接管或冻结的情况。</w:t>
            </w:r>
          </w:p>
          <w:p>
            <w:pPr>
              <w:spacing w:line="440" w:lineRule="exact"/>
              <w:ind w:firstLine="480" w:firstLineChars="200"/>
              <w:rPr>
                <w:rFonts w:ascii="宋体" w:cs="Times New Roman"/>
                <w:sz w:val="24"/>
                <w:szCs w:val="24"/>
              </w:rPr>
            </w:pPr>
            <w:r>
              <w:rPr>
                <w:rFonts w:hint="eastAsia" w:ascii="宋体" w:hAnsi="宋体" w:cs="宋体"/>
                <w:sz w:val="24"/>
                <w:szCs w:val="24"/>
              </w:rPr>
              <w:t>二、近三年受到有关行政主管部门的行政处理、不良行为记录为</w:t>
            </w:r>
            <w:r>
              <w:rPr>
                <w:rFonts w:ascii="宋体" w:cs="宋体"/>
                <w:sz w:val="24"/>
                <w:szCs w:val="24"/>
                <w:u w:val="single"/>
              </w:rPr>
              <w:t>0</w:t>
            </w:r>
            <w:r>
              <w:rPr>
                <w:rFonts w:hint="eastAsia" w:ascii="宋体" w:hAnsi="宋体" w:cs="宋体"/>
                <w:sz w:val="24"/>
                <w:szCs w:val="24"/>
              </w:rPr>
              <w:t>次（没有填</w:t>
            </w:r>
            <w:r>
              <w:rPr>
                <w:rFonts w:ascii="宋体" w:cs="宋体"/>
                <w:sz w:val="24"/>
                <w:szCs w:val="24"/>
              </w:rPr>
              <w:t>0</w:t>
            </w:r>
            <w:r>
              <w:rPr>
                <w:rFonts w:hint="eastAsia" w:ascii="宋体" w:hAnsi="宋体" w:cs="宋体"/>
                <w:sz w:val="24"/>
                <w:szCs w:val="24"/>
              </w:rPr>
              <w:t>）。</w:t>
            </w:r>
          </w:p>
          <w:p>
            <w:pPr>
              <w:spacing w:line="440" w:lineRule="exact"/>
              <w:ind w:firstLine="480" w:firstLineChars="200"/>
              <w:rPr>
                <w:rFonts w:ascii="宋体" w:cs="Times New Roman"/>
                <w:sz w:val="24"/>
                <w:szCs w:val="24"/>
              </w:rPr>
            </w:pPr>
            <w:r>
              <w:rPr>
                <w:rFonts w:hint="eastAsia" w:ascii="宋体" w:hAnsi="宋体" w:cs="宋体"/>
                <w:sz w:val="24"/>
                <w:szCs w:val="24"/>
              </w:rPr>
              <w:t>三、近三年因产品供货问题（假冒品、替代品、次品、翻新品等）的不法行为记录为</w:t>
            </w:r>
            <w:r>
              <w:rPr>
                <w:rFonts w:ascii="宋体" w:cs="宋体"/>
                <w:sz w:val="24"/>
                <w:szCs w:val="24"/>
                <w:u w:val="single"/>
              </w:rPr>
              <w:t>0</w:t>
            </w:r>
            <w:r>
              <w:rPr>
                <w:rFonts w:hint="eastAsia" w:ascii="宋体" w:hAnsi="宋体" w:cs="宋体"/>
                <w:sz w:val="24"/>
                <w:szCs w:val="24"/>
              </w:rPr>
              <w:t>次（没有填</w:t>
            </w:r>
            <w:r>
              <w:rPr>
                <w:rFonts w:ascii="宋体" w:cs="宋体"/>
                <w:sz w:val="24"/>
                <w:szCs w:val="24"/>
              </w:rPr>
              <w:t>0</w:t>
            </w:r>
            <w:r>
              <w:rPr>
                <w:rFonts w:hint="eastAsia" w:ascii="宋体" w:hAnsi="宋体" w:cs="宋体"/>
                <w:sz w:val="24"/>
                <w:szCs w:val="24"/>
              </w:rPr>
              <w:t>）。</w:t>
            </w:r>
          </w:p>
          <w:p>
            <w:pPr>
              <w:spacing w:line="440" w:lineRule="exact"/>
              <w:ind w:firstLine="480" w:firstLineChars="200"/>
              <w:rPr>
                <w:rFonts w:ascii="宋体" w:cs="Times New Roman"/>
                <w:sz w:val="24"/>
                <w:szCs w:val="24"/>
              </w:rPr>
            </w:pPr>
            <w:r>
              <w:rPr>
                <w:rFonts w:hint="eastAsia" w:ascii="宋体" w:hAnsi="宋体" w:cs="宋体"/>
                <w:sz w:val="24"/>
                <w:szCs w:val="24"/>
              </w:rPr>
              <w:t>四、本次投标标的物均为符合国家规定的相应技术标准、环保标准和安全标准的合格产品。</w:t>
            </w:r>
          </w:p>
          <w:p>
            <w:pPr>
              <w:spacing w:line="440" w:lineRule="exact"/>
              <w:ind w:firstLine="480" w:firstLineChars="200"/>
              <w:rPr>
                <w:rFonts w:ascii="宋体" w:cs="Times New Roman"/>
                <w:sz w:val="24"/>
                <w:szCs w:val="24"/>
              </w:rPr>
            </w:pPr>
            <w:r>
              <w:rPr>
                <w:rFonts w:hint="eastAsia" w:ascii="宋体" w:hAnsi="宋体" w:cs="宋体"/>
                <w:sz w:val="24"/>
                <w:szCs w:val="24"/>
              </w:rPr>
              <w:t>五、我公司提供本项目的整体解决方案，能实现与招标文件的全部技术要求，并如期完成工程。</w:t>
            </w:r>
          </w:p>
          <w:p>
            <w:pPr>
              <w:spacing w:line="440" w:lineRule="exact"/>
              <w:ind w:firstLine="480" w:firstLineChars="200"/>
              <w:rPr>
                <w:rFonts w:ascii="宋体" w:cs="Times New Roman"/>
                <w:sz w:val="24"/>
                <w:szCs w:val="24"/>
              </w:rPr>
            </w:pPr>
            <w:r>
              <w:rPr>
                <w:rFonts w:hint="eastAsia" w:ascii="宋体" w:hAnsi="宋体" w:cs="宋体"/>
                <w:sz w:val="24"/>
                <w:szCs w:val="24"/>
              </w:rPr>
              <w:t>六、用户有权根据需要，对中标候选人就投标响应内容，参考技术规格要求，进行验证性测试，如不通过则取消其中标候选人资格。</w:t>
            </w:r>
          </w:p>
          <w:p>
            <w:pPr>
              <w:spacing w:line="440" w:lineRule="exact"/>
              <w:ind w:firstLine="600" w:firstLineChars="250"/>
              <w:rPr>
                <w:rFonts w:ascii="宋体" w:cs="Times New Roman"/>
                <w:sz w:val="24"/>
                <w:szCs w:val="24"/>
              </w:rPr>
            </w:pPr>
            <w:r>
              <w:rPr>
                <w:rFonts w:hint="eastAsia" w:ascii="宋体" w:hAnsi="宋体" w:cs="宋体"/>
                <w:sz w:val="24"/>
                <w:szCs w:val="24"/>
              </w:rPr>
              <w:t>若采购人在本项目预中选公示期间，查核我公司有与上述承诺不符合、不满足、不响应的情况，我公司将自愿放弃预中选资格，并愿承担一切责任及后果。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980" w:hRule="atLeast"/>
          <w:jc w:val="center"/>
        </w:trPr>
        <w:tc>
          <w:tcPr>
            <w:tcW w:w="2940" w:type="dxa"/>
            <w:tcBorders>
              <w:top w:val="double" w:color="auto" w:sz="4" w:space="0"/>
              <w:right w:val="single" w:color="auto" w:sz="4" w:space="0"/>
            </w:tcBorders>
            <w:vAlign w:val="center"/>
          </w:tcPr>
          <w:p>
            <w:pPr>
              <w:spacing w:line="400" w:lineRule="exact"/>
              <w:jc w:val="center"/>
              <w:rPr>
                <w:rFonts w:ascii="宋体" w:cs="Times New Roman"/>
                <w:sz w:val="24"/>
                <w:szCs w:val="24"/>
              </w:rPr>
            </w:pPr>
            <w:r>
              <w:rPr>
                <w:rFonts w:hint="eastAsia" w:ascii="宋体" w:hAnsi="宋体" w:cs="宋体"/>
                <w:sz w:val="24"/>
                <w:szCs w:val="24"/>
              </w:rPr>
              <w:t>投标人</w:t>
            </w:r>
          </w:p>
        </w:tc>
        <w:tc>
          <w:tcPr>
            <w:tcW w:w="2940" w:type="dxa"/>
            <w:tcBorders>
              <w:top w:val="double" w:color="auto" w:sz="4" w:space="0"/>
              <w:left w:val="single" w:color="auto" w:sz="4" w:space="0"/>
              <w:right w:val="single" w:color="auto" w:sz="4" w:space="0"/>
            </w:tcBorders>
            <w:vAlign w:val="center"/>
          </w:tcPr>
          <w:p>
            <w:pPr>
              <w:spacing w:line="400" w:lineRule="exact"/>
              <w:jc w:val="center"/>
              <w:rPr>
                <w:rFonts w:ascii="宋体" w:cs="Times New Roman"/>
                <w:sz w:val="24"/>
                <w:szCs w:val="24"/>
              </w:rPr>
            </w:pPr>
            <w:r>
              <w:rPr>
                <w:rFonts w:hint="eastAsia" w:ascii="宋体" w:hAnsi="宋体" w:cs="宋体"/>
                <w:sz w:val="24"/>
                <w:szCs w:val="24"/>
              </w:rPr>
              <w:t>法定代表人</w:t>
            </w:r>
          </w:p>
        </w:tc>
        <w:tc>
          <w:tcPr>
            <w:tcW w:w="2940" w:type="dxa"/>
            <w:tcBorders>
              <w:top w:val="double" w:color="auto" w:sz="4" w:space="0"/>
              <w:left w:val="single" w:color="auto" w:sz="4" w:space="0"/>
            </w:tcBorders>
            <w:vAlign w:val="center"/>
          </w:tcPr>
          <w:p>
            <w:pPr>
              <w:spacing w:line="400" w:lineRule="exact"/>
              <w:jc w:val="center"/>
              <w:rPr>
                <w:rFonts w:ascii="宋体" w:cs="Times New Roman"/>
                <w:sz w:val="24"/>
                <w:szCs w:val="24"/>
              </w:rPr>
            </w:pPr>
            <w:r>
              <w:rPr>
                <w:rFonts w:hint="eastAsia" w:ascii="宋体" w:hAnsi="宋体" w:cs="宋体"/>
                <w:sz w:val="24"/>
                <w:szCs w:val="24"/>
              </w:rPr>
              <w:t>日期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2448" w:hRule="atLeast"/>
          <w:jc w:val="center"/>
        </w:trPr>
        <w:tc>
          <w:tcPr>
            <w:tcW w:w="2940" w:type="dxa"/>
            <w:tcBorders>
              <w:bottom w:val="double" w:color="auto" w:sz="4" w:space="0"/>
              <w:right w:val="single" w:color="auto" w:sz="4" w:space="0"/>
            </w:tcBorders>
            <w:vAlign w:val="center"/>
          </w:tcPr>
          <w:p>
            <w:pPr>
              <w:spacing w:line="400" w:lineRule="exact"/>
              <w:jc w:val="center"/>
              <w:rPr>
                <w:rFonts w:ascii="宋体" w:cs="Times New Roman"/>
                <w:sz w:val="24"/>
                <w:szCs w:val="24"/>
              </w:rPr>
            </w:pPr>
            <w:r>
              <w:rPr>
                <w:rFonts w:hint="eastAsia" w:ascii="宋体" w:hAnsi="宋体" w:cs="宋体"/>
                <w:sz w:val="24"/>
                <w:szCs w:val="24"/>
              </w:rPr>
              <w:t>（公司公章）</w:t>
            </w:r>
          </w:p>
        </w:tc>
        <w:tc>
          <w:tcPr>
            <w:tcW w:w="2940" w:type="dxa"/>
            <w:tcBorders>
              <w:left w:val="single" w:color="auto" w:sz="4" w:space="0"/>
              <w:bottom w:val="double" w:color="auto" w:sz="4" w:space="0"/>
              <w:right w:val="single" w:color="auto" w:sz="4" w:space="0"/>
            </w:tcBorders>
            <w:vAlign w:val="center"/>
          </w:tcPr>
          <w:p>
            <w:pPr>
              <w:spacing w:line="400" w:lineRule="exact"/>
              <w:jc w:val="center"/>
              <w:rPr>
                <w:rFonts w:ascii="宋体" w:cs="Times New Roman"/>
                <w:sz w:val="24"/>
                <w:szCs w:val="24"/>
              </w:rPr>
            </w:pPr>
            <w:r>
              <w:rPr>
                <w:rFonts w:hint="eastAsia" w:ascii="宋体" w:hAnsi="宋体" w:cs="宋体"/>
                <w:sz w:val="24"/>
                <w:szCs w:val="24"/>
              </w:rPr>
              <w:t>（签字或盖章）</w:t>
            </w:r>
          </w:p>
        </w:tc>
        <w:tc>
          <w:tcPr>
            <w:tcW w:w="2940" w:type="dxa"/>
            <w:tcBorders>
              <w:left w:val="single" w:color="auto" w:sz="4" w:space="0"/>
              <w:bottom w:val="double" w:color="auto" w:sz="4" w:space="0"/>
            </w:tcBorders>
            <w:vAlign w:val="center"/>
          </w:tcPr>
          <w:p>
            <w:pPr>
              <w:spacing w:line="400" w:lineRule="exact"/>
              <w:jc w:val="center"/>
              <w:rPr>
                <w:rFonts w:ascii="宋体" w:cs="Times New Roman"/>
                <w:sz w:val="24"/>
                <w:szCs w:val="24"/>
              </w:rPr>
            </w:pPr>
            <w:r>
              <w:rPr>
                <w:rFonts w:hint="eastAsia" w:ascii="宋体" w:hAnsi="宋体" w:cs="宋体"/>
                <w:sz w:val="24"/>
                <w:szCs w:val="24"/>
              </w:rPr>
              <w:t>年月日</w:t>
            </w:r>
          </w:p>
        </w:tc>
      </w:tr>
    </w:tbl>
    <w:p/>
    <w:p>
      <w:pPr>
        <w:widowControl/>
        <w:jc w:val="left"/>
      </w:pPr>
      <w:r>
        <w:br w:type="page"/>
      </w:r>
    </w:p>
    <w:p/>
    <w:p>
      <w:pPr>
        <w:spacing w:line="360" w:lineRule="auto"/>
        <w:ind w:firstLine="723" w:firstLineChars="200"/>
        <w:jc w:val="center"/>
        <w:outlineLvl w:val="0"/>
        <w:rPr>
          <w:rFonts w:ascii="宋体" w:hAnsi="宋体" w:cs="宋体"/>
          <w:b/>
          <w:bCs/>
          <w:sz w:val="36"/>
          <w:szCs w:val="36"/>
        </w:rPr>
      </w:pPr>
      <w:bookmarkStart w:id="175" w:name="_Toc1672"/>
      <w:r>
        <w:rPr>
          <w:rFonts w:hint="eastAsia" w:ascii="宋体" w:hAnsi="宋体" w:cs="宋体"/>
          <w:b/>
          <w:bCs/>
          <w:sz w:val="36"/>
          <w:szCs w:val="36"/>
        </w:rPr>
        <w:t>表</w:t>
      </w:r>
      <w:r>
        <w:rPr>
          <w:rFonts w:hint="eastAsia" w:ascii="宋体" w:hAnsi="宋体" w:cs="宋体"/>
          <w:b/>
          <w:bCs/>
          <w:sz w:val="36"/>
          <w:szCs w:val="36"/>
          <w:lang w:val="en-US" w:eastAsia="zh-CN"/>
        </w:rPr>
        <w:t>8</w:t>
      </w:r>
      <w:r>
        <w:rPr>
          <w:rFonts w:hint="eastAsia" w:ascii="宋体" w:hAnsi="宋体" w:cs="宋体"/>
          <w:b/>
          <w:bCs/>
          <w:sz w:val="36"/>
          <w:szCs w:val="36"/>
        </w:rPr>
        <w:t>、投标人类似项目业绩一览表</w:t>
      </w:r>
      <w:bookmarkEnd w:id="172"/>
      <w:bookmarkEnd w:id="173"/>
      <w:bookmarkEnd w:id="175"/>
    </w:p>
    <w:tbl>
      <w:tblPr>
        <w:tblStyle w:val="54"/>
        <w:tblW w:w="87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588"/>
        <w:gridCol w:w="12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20" w:firstLineChars="50"/>
              <w:rPr>
                <w:rFonts w:ascii="宋体" w:cs="Times New Roman"/>
                <w:b/>
                <w:bCs/>
                <w:sz w:val="24"/>
                <w:szCs w:val="24"/>
              </w:rPr>
            </w:pPr>
            <w:r>
              <w:rPr>
                <w:rFonts w:hint="eastAsia" w:ascii="宋体" w:hAnsi="宋体" w:cs="宋体"/>
                <w:b/>
                <w:bCs/>
                <w:sz w:val="24"/>
                <w:szCs w:val="24"/>
              </w:rPr>
              <w:t>年份</w:t>
            </w:r>
          </w:p>
        </w:tc>
        <w:tc>
          <w:tcPr>
            <w:tcW w:w="1440" w:type="dxa"/>
            <w:tcBorders>
              <w:top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用户名称</w:t>
            </w:r>
          </w:p>
        </w:tc>
        <w:tc>
          <w:tcPr>
            <w:tcW w:w="1320" w:type="dxa"/>
            <w:tcBorders>
              <w:top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项目名称</w:t>
            </w:r>
          </w:p>
        </w:tc>
        <w:tc>
          <w:tcPr>
            <w:tcW w:w="1161" w:type="dxa"/>
            <w:tcBorders>
              <w:top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完成时间</w:t>
            </w:r>
          </w:p>
        </w:tc>
        <w:tc>
          <w:tcPr>
            <w:tcW w:w="1260" w:type="dxa"/>
            <w:tcBorders>
              <w:top w:val="single" w:color="auto" w:sz="4" w:space="0"/>
            </w:tcBorders>
            <w:vAlign w:val="center"/>
          </w:tcPr>
          <w:p>
            <w:pPr>
              <w:spacing w:line="400" w:lineRule="exact"/>
              <w:ind w:firstLine="120" w:firstLineChars="50"/>
              <w:rPr>
                <w:rFonts w:ascii="宋体" w:cs="Times New Roman"/>
                <w:b/>
                <w:bCs/>
                <w:sz w:val="24"/>
                <w:szCs w:val="24"/>
              </w:rPr>
            </w:pPr>
            <w:r>
              <w:rPr>
                <w:rFonts w:hint="eastAsia" w:ascii="宋体" w:hAnsi="宋体" w:cs="宋体"/>
                <w:b/>
                <w:bCs/>
                <w:sz w:val="24"/>
                <w:szCs w:val="24"/>
              </w:rPr>
              <w:t>合同金额</w:t>
            </w:r>
          </w:p>
        </w:tc>
        <w:tc>
          <w:tcPr>
            <w:tcW w:w="1588" w:type="dxa"/>
            <w:tcBorders>
              <w:top w:val="single" w:color="auto" w:sz="4" w:space="0"/>
              <w:right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完成项目质量</w:t>
            </w:r>
          </w:p>
        </w:tc>
        <w:tc>
          <w:tcPr>
            <w:tcW w:w="1219" w:type="dxa"/>
            <w:tcBorders>
              <w:top w:val="single" w:color="auto" w:sz="4" w:space="0"/>
              <w:left w:val="single" w:color="auto" w:sz="4" w:space="0"/>
            </w:tcBorders>
            <w:vAlign w:val="center"/>
          </w:tcPr>
          <w:p>
            <w:pPr>
              <w:spacing w:line="400" w:lineRule="exact"/>
              <w:rPr>
                <w:rFonts w:ascii="宋体" w:cs="Times New Roman"/>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宋体" w:cs="Times New Roman"/>
                <w:sz w:val="24"/>
                <w:szCs w:val="24"/>
              </w:rPr>
            </w:pPr>
          </w:p>
        </w:tc>
        <w:tc>
          <w:tcPr>
            <w:tcW w:w="1440" w:type="dxa"/>
            <w:vAlign w:val="center"/>
          </w:tcPr>
          <w:p>
            <w:pPr>
              <w:spacing w:line="400" w:lineRule="exact"/>
              <w:jc w:val="center"/>
              <w:rPr>
                <w:rFonts w:ascii="宋体" w:cs="Times New Roman"/>
                <w:sz w:val="24"/>
                <w:szCs w:val="24"/>
              </w:rPr>
            </w:pPr>
          </w:p>
        </w:tc>
        <w:tc>
          <w:tcPr>
            <w:tcW w:w="1320" w:type="dxa"/>
            <w:vAlign w:val="center"/>
          </w:tcPr>
          <w:p>
            <w:pPr>
              <w:spacing w:line="400" w:lineRule="exact"/>
              <w:jc w:val="center"/>
              <w:rPr>
                <w:rFonts w:ascii="宋体" w:cs="Times New Roman"/>
                <w:sz w:val="24"/>
                <w:szCs w:val="24"/>
              </w:rPr>
            </w:pPr>
          </w:p>
        </w:tc>
        <w:tc>
          <w:tcPr>
            <w:tcW w:w="1161" w:type="dxa"/>
            <w:vAlign w:val="center"/>
          </w:tcPr>
          <w:p>
            <w:pPr>
              <w:spacing w:line="400" w:lineRule="exact"/>
              <w:jc w:val="center"/>
              <w:rPr>
                <w:rFonts w:ascii="宋体" w:cs="Times New Roman"/>
                <w:sz w:val="24"/>
                <w:szCs w:val="24"/>
              </w:rPr>
            </w:pPr>
          </w:p>
        </w:tc>
        <w:tc>
          <w:tcPr>
            <w:tcW w:w="1260" w:type="dxa"/>
            <w:vAlign w:val="center"/>
          </w:tcPr>
          <w:p>
            <w:pPr>
              <w:spacing w:line="400" w:lineRule="exact"/>
              <w:jc w:val="center"/>
              <w:rPr>
                <w:rFonts w:ascii="宋体" w:cs="Times New Roman"/>
                <w:sz w:val="24"/>
                <w:szCs w:val="24"/>
              </w:rPr>
            </w:pPr>
          </w:p>
        </w:tc>
        <w:tc>
          <w:tcPr>
            <w:tcW w:w="1588" w:type="dxa"/>
            <w:tcBorders>
              <w:right w:val="single" w:color="auto" w:sz="4" w:space="0"/>
            </w:tcBorders>
            <w:vAlign w:val="center"/>
          </w:tcPr>
          <w:p>
            <w:pPr>
              <w:spacing w:line="400" w:lineRule="exact"/>
              <w:jc w:val="center"/>
              <w:rPr>
                <w:rFonts w:ascii="宋体" w:cs="Times New Roman"/>
                <w:sz w:val="24"/>
                <w:szCs w:val="24"/>
              </w:rPr>
            </w:pPr>
          </w:p>
        </w:tc>
        <w:tc>
          <w:tcPr>
            <w:tcW w:w="1219" w:type="dxa"/>
            <w:tcBorders>
              <w:left w:val="single" w:color="auto" w:sz="4" w:space="0"/>
            </w:tcBorders>
            <w:vAlign w:val="center"/>
          </w:tcPr>
          <w:p>
            <w:pPr>
              <w:spacing w:line="40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宋体" w:cs="Times New Roman"/>
                <w:sz w:val="24"/>
                <w:szCs w:val="24"/>
              </w:rPr>
            </w:pPr>
          </w:p>
        </w:tc>
        <w:tc>
          <w:tcPr>
            <w:tcW w:w="1440" w:type="dxa"/>
            <w:vAlign w:val="center"/>
          </w:tcPr>
          <w:p>
            <w:pPr>
              <w:spacing w:line="400" w:lineRule="exact"/>
              <w:jc w:val="center"/>
              <w:rPr>
                <w:rFonts w:ascii="宋体" w:cs="Times New Roman"/>
                <w:sz w:val="24"/>
                <w:szCs w:val="24"/>
              </w:rPr>
            </w:pPr>
          </w:p>
        </w:tc>
        <w:tc>
          <w:tcPr>
            <w:tcW w:w="1320" w:type="dxa"/>
            <w:vAlign w:val="center"/>
          </w:tcPr>
          <w:p>
            <w:pPr>
              <w:spacing w:line="400" w:lineRule="exact"/>
              <w:jc w:val="center"/>
              <w:rPr>
                <w:rFonts w:ascii="宋体" w:cs="Times New Roman"/>
                <w:sz w:val="24"/>
                <w:szCs w:val="24"/>
              </w:rPr>
            </w:pPr>
          </w:p>
        </w:tc>
        <w:tc>
          <w:tcPr>
            <w:tcW w:w="1161" w:type="dxa"/>
            <w:vAlign w:val="center"/>
          </w:tcPr>
          <w:p>
            <w:pPr>
              <w:spacing w:line="400" w:lineRule="exact"/>
              <w:jc w:val="center"/>
              <w:rPr>
                <w:rFonts w:ascii="宋体" w:cs="Times New Roman"/>
                <w:sz w:val="24"/>
                <w:szCs w:val="24"/>
              </w:rPr>
            </w:pPr>
          </w:p>
        </w:tc>
        <w:tc>
          <w:tcPr>
            <w:tcW w:w="1260" w:type="dxa"/>
            <w:vAlign w:val="center"/>
          </w:tcPr>
          <w:p>
            <w:pPr>
              <w:spacing w:line="400" w:lineRule="exact"/>
              <w:jc w:val="center"/>
              <w:rPr>
                <w:rFonts w:ascii="宋体" w:cs="Times New Roman"/>
                <w:sz w:val="24"/>
                <w:szCs w:val="24"/>
              </w:rPr>
            </w:pPr>
          </w:p>
        </w:tc>
        <w:tc>
          <w:tcPr>
            <w:tcW w:w="1588" w:type="dxa"/>
            <w:tcBorders>
              <w:right w:val="single" w:color="auto" w:sz="4" w:space="0"/>
            </w:tcBorders>
            <w:vAlign w:val="center"/>
          </w:tcPr>
          <w:p>
            <w:pPr>
              <w:spacing w:line="400" w:lineRule="exact"/>
              <w:jc w:val="center"/>
              <w:rPr>
                <w:rFonts w:ascii="宋体" w:cs="Times New Roman"/>
                <w:sz w:val="24"/>
                <w:szCs w:val="24"/>
              </w:rPr>
            </w:pPr>
          </w:p>
        </w:tc>
        <w:tc>
          <w:tcPr>
            <w:tcW w:w="1219" w:type="dxa"/>
            <w:tcBorders>
              <w:left w:val="single" w:color="auto" w:sz="4" w:space="0"/>
            </w:tcBorders>
            <w:vAlign w:val="center"/>
          </w:tcPr>
          <w:p>
            <w:pPr>
              <w:spacing w:line="40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tcBorders>
              <w:bottom w:val="single" w:color="auto" w:sz="4" w:space="0"/>
            </w:tcBorders>
            <w:vAlign w:val="center"/>
          </w:tcPr>
          <w:p>
            <w:pPr>
              <w:spacing w:line="400" w:lineRule="exact"/>
              <w:jc w:val="center"/>
              <w:rPr>
                <w:rFonts w:ascii="宋体" w:cs="Times New Roman"/>
                <w:sz w:val="24"/>
                <w:szCs w:val="24"/>
              </w:rPr>
            </w:pPr>
          </w:p>
        </w:tc>
        <w:tc>
          <w:tcPr>
            <w:tcW w:w="1440" w:type="dxa"/>
            <w:tcBorders>
              <w:bottom w:val="single" w:color="auto" w:sz="4" w:space="0"/>
            </w:tcBorders>
            <w:vAlign w:val="center"/>
          </w:tcPr>
          <w:p>
            <w:pPr>
              <w:spacing w:line="400" w:lineRule="exact"/>
              <w:jc w:val="center"/>
              <w:rPr>
                <w:rFonts w:ascii="宋体" w:cs="Times New Roman"/>
                <w:sz w:val="24"/>
                <w:szCs w:val="24"/>
              </w:rPr>
            </w:pPr>
          </w:p>
        </w:tc>
        <w:tc>
          <w:tcPr>
            <w:tcW w:w="1320" w:type="dxa"/>
            <w:tcBorders>
              <w:bottom w:val="single" w:color="auto" w:sz="4" w:space="0"/>
            </w:tcBorders>
            <w:vAlign w:val="center"/>
          </w:tcPr>
          <w:p>
            <w:pPr>
              <w:spacing w:line="400" w:lineRule="exact"/>
              <w:jc w:val="center"/>
              <w:rPr>
                <w:rFonts w:ascii="宋体" w:cs="Times New Roman"/>
                <w:sz w:val="24"/>
                <w:szCs w:val="24"/>
              </w:rPr>
            </w:pPr>
          </w:p>
        </w:tc>
        <w:tc>
          <w:tcPr>
            <w:tcW w:w="1161" w:type="dxa"/>
            <w:tcBorders>
              <w:bottom w:val="single" w:color="auto" w:sz="4" w:space="0"/>
            </w:tcBorders>
            <w:vAlign w:val="center"/>
          </w:tcPr>
          <w:p>
            <w:pPr>
              <w:spacing w:line="400" w:lineRule="exact"/>
              <w:jc w:val="center"/>
              <w:rPr>
                <w:rFonts w:ascii="宋体" w:cs="Times New Roman"/>
                <w:sz w:val="24"/>
                <w:szCs w:val="24"/>
              </w:rPr>
            </w:pPr>
          </w:p>
        </w:tc>
        <w:tc>
          <w:tcPr>
            <w:tcW w:w="1260" w:type="dxa"/>
            <w:tcBorders>
              <w:bottom w:val="single" w:color="auto" w:sz="4" w:space="0"/>
            </w:tcBorders>
            <w:vAlign w:val="center"/>
          </w:tcPr>
          <w:p>
            <w:pPr>
              <w:spacing w:line="400" w:lineRule="exact"/>
              <w:jc w:val="center"/>
              <w:rPr>
                <w:rFonts w:ascii="宋体" w:cs="Times New Roman"/>
                <w:sz w:val="24"/>
                <w:szCs w:val="24"/>
              </w:rPr>
            </w:pPr>
          </w:p>
        </w:tc>
        <w:tc>
          <w:tcPr>
            <w:tcW w:w="1588" w:type="dxa"/>
            <w:tcBorders>
              <w:bottom w:val="single" w:color="auto" w:sz="4" w:space="0"/>
              <w:right w:val="single" w:color="auto" w:sz="4" w:space="0"/>
            </w:tcBorders>
            <w:vAlign w:val="center"/>
          </w:tcPr>
          <w:p>
            <w:pPr>
              <w:spacing w:line="400" w:lineRule="exact"/>
              <w:jc w:val="center"/>
              <w:rPr>
                <w:rFonts w:ascii="宋体" w:cs="Times New Roman"/>
                <w:sz w:val="24"/>
                <w:szCs w:val="24"/>
              </w:rPr>
            </w:pPr>
          </w:p>
        </w:tc>
        <w:tc>
          <w:tcPr>
            <w:tcW w:w="1219" w:type="dxa"/>
            <w:tcBorders>
              <w:left w:val="single" w:color="auto" w:sz="4" w:space="0"/>
              <w:bottom w:val="single" w:color="auto" w:sz="4" w:space="0"/>
            </w:tcBorders>
            <w:vAlign w:val="center"/>
          </w:tcPr>
          <w:p>
            <w:pPr>
              <w:spacing w:line="400" w:lineRule="exact"/>
              <w:jc w:val="center"/>
              <w:rPr>
                <w:rFonts w:ascii="宋体" w:cs="Times New Roman"/>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auto"/>
        <w:ind w:left="359" w:leftChars="171" w:firstLine="360" w:firstLineChars="150"/>
        <w:rPr>
          <w:rFonts w:ascii="宋体" w:cs="Times New Roman"/>
          <w:sz w:val="24"/>
          <w:szCs w:val="24"/>
        </w:rPr>
      </w:pPr>
      <w:r>
        <w:rPr>
          <w:rFonts w:hint="eastAsia" w:ascii="宋体" w:hAnsi="宋体" w:cs="宋体"/>
          <w:sz w:val="24"/>
          <w:szCs w:val="24"/>
        </w:rPr>
        <w:t>注：投标人以上业绩需提供有关书面证明材料。“合同金额”需提供合同复印件；</w:t>
      </w:r>
    </w:p>
    <w:p>
      <w:pPr>
        <w:adjustRightInd w:val="0"/>
        <w:spacing w:line="480" w:lineRule="auto"/>
        <w:ind w:firstLine="480" w:firstLineChars="200"/>
        <w:rPr>
          <w:rFonts w:ascii="宋体" w:cs="Times New Roman"/>
          <w:sz w:val="24"/>
          <w:szCs w:val="24"/>
        </w:rPr>
      </w:pPr>
    </w:p>
    <w:p>
      <w:pPr>
        <w:adjustRightInd w:val="0"/>
        <w:spacing w:line="480" w:lineRule="auto"/>
        <w:ind w:firstLine="480" w:firstLineChars="200"/>
        <w:rPr>
          <w:rFonts w:ascii="宋体" w:cs="Times New Roman"/>
          <w:sz w:val="24"/>
          <w:szCs w:val="24"/>
        </w:rPr>
      </w:pPr>
      <w:r>
        <w:rPr>
          <w:rFonts w:hint="eastAsia" w:ascii="宋体" w:hAnsi="宋体" w:cs="宋体"/>
          <w:sz w:val="24"/>
          <w:szCs w:val="24"/>
        </w:rPr>
        <w:t>投标人名称：（盖章）</w:t>
      </w:r>
    </w:p>
    <w:p>
      <w:pPr>
        <w:adjustRightInd w:val="0"/>
        <w:spacing w:line="480" w:lineRule="auto"/>
        <w:ind w:firstLine="540" w:firstLineChars="225"/>
        <w:rPr>
          <w:rFonts w:ascii="宋体" w:cs="Times New Roman"/>
          <w:sz w:val="24"/>
          <w:szCs w:val="24"/>
          <w:u w:val="single"/>
        </w:rPr>
      </w:pPr>
      <w:r>
        <w:rPr>
          <w:rFonts w:hint="eastAsia" w:ascii="宋体" w:hAnsi="宋体" w:cs="宋体"/>
          <w:sz w:val="24"/>
          <w:szCs w:val="24"/>
        </w:rPr>
        <w:t>法定代表人或授权代表（签字）：</w:t>
      </w:r>
    </w:p>
    <w:p>
      <w:pPr>
        <w:spacing w:line="480" w:lineRule="auto"/>
        <w:ind w:firstLine="480" w:firstLineChars="200"/>
        <w:rPr>
          <w:rFonts w:ascii="宋体" w:cs="Times New Roman"/>
          <w:sz w:val="24"/>
          <w:szCs w:val="24"/>
          <w:u w:val="single"/>
        </w:rPr>
      </w:pPr>
      <w:r>
        <w:rPr>
          <w:rFonts w:hint="eastAsia" w:ascii="宋体" w:hAnsi="宋体" w:cs="宋体"/>
          <w:sz w:val="24"/>
          <w:szCs w:val="24"/>
        </w:rPr>
        <w:t>日期</w:t>
      </w:r>
      <w:r>
        <w:rPr>
          <w:rFonts w:ascii="宋体" w:hAnsi="宋体" w:cs="宋体"/>
          <w:sz w:val="24"/>
          <w:szCs w:val="24"/>
        </w:rPr>
        <w:t xml:space="preserve">: </w:t>
      </w:r>
    </w:p>
    <w:p>
      <w:pPr>
        <w:widowControl/>
        <w:jc w:val="left"/>
        <w:rPr>
          <w:rFonts w:ascii="宋体" w:cs="Times New Roman"/>
          <w:sz w:val="24"/>
          <w:szCs w:val="24"/>
        </w:rPr>
      </w:pPr>
      <w:r>
        <w:rPr>
          <w:rFonts w:cs="Times New Roman"/>
          <w:sz w:val="24"/>
          <w:szCs w:val="24"/>
        </w:rPr>
        <w:br w:type="page"/>
      </w:r>
    </w:p>
    <w:p>
      <w:pPr>
        <w:spacing w:line="360" w:lineRule="auto"/>
        <w:ind w:firstLine="723" w:firstLineChars="200"/>
        <w:jc w:val="center"/>
        <w:outlineLvl w:val="0"/>
        <w:rPr>
          <w:rFonts w:ascii="宋体" w:cs="Times New Roman"/>
          <w:b/>
          <w:bCs/>
          <w:sz w:val="36"/>
          <w:szCs w:val="36"/>
        </w:rPr>
      </w:pPr>
      <w:bookmarkStart w:id="176" w:name="_Toc12099"/>
      <w:r>
        <w:rPr>
          <w:rFonts w:hint="eastAsia" w:ascii="宋体" w:hAnsi="宋体" w:cs="宋体"/>
          <w:b/>
          <w:bCs/>
          <w:sz w:val="36"/>
          <w:szCs w:val="36"/>
        </w:rPr>
        <w:t>表</w:t>
      </w:r>
      <w:r>
        <w:rPr>
          <w:rFonts w:hint="eastAsia" w:ascii="宋体" w:hAnsi="宋体" w:cs="宋体"/>
          <w:b/>
          <w:bCs/>
          <w:sz w:val="36"/>
          <w:szCs w:val="36"/>
          <w:lang w:val="en-US" w:eastAsia="zh-CN"/>
        </w:rPr>
        <w:t>9</w:t>
      </w:r>
      <w:r>
        <w:rPr>
          <w:rFonts w:hint="eastAsia" w:ascii="宋体" w:hAnsi="宋体" w:cs="宋体"/>
          <w:b/>
          <w:bCs/>
          <w:sz w:val="36"/>
          <w:szCs w:val="36"/>
        </w:rPr>
        <w:t>、中小企业声明函</w:t>
      </w:r>
      <w:bookmarkEnd w:id="176"/>
    </w:p>
    <w:p>
      <w:pPr>
        <w:spacing w:after="120" w:afterLines="50" w:line="440" w:lineRule="exact"/>
        <w:jc w:val="center"/>
        <w:rPr>
          <w:rFonts w:ascii="宋体" w:cs="Times New Roman"/>
          <w:b/>
          <w:bCs/>
          <w:sz w:val="30"/>
          <w:szCs w:val="30"/>
        </w:rPr>
      </w:pPr>
      <w:r>
        <w:rPr>
          <w:rStyle w:val="48"/>
          <w:rFonts w:hint="eastAsia" w:cs="宋体"/>
          <w:sz w:val="30"/>
          <w:szCs w:val="30"/>
        </w:rPr>
        <w:t>中小企业声明函</w:t>
      </w:r>
    </w:p>
    <w:p>
      <w:pPr>
        <w:pStyle w:val="45"/>
        <w:spacing w:line="440" w:lineRule="exact"/>
        <w:ind w:firstLine="480"/>
        <w:rPr>
          <w:rFonts w:cs="Times New Roman"/>
        </w:rPr>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rPr>
          <w:rFonts w:cs="Times New Roman"/>
        </w:rP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rPr>
          <w:rFonts w:cs="Times New Roman"/>
        </w:rP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rPr>
          <w:rFonts w:cs="Times New Roman"/>
        </w:rPr>
        <w:br w:type="textWrapping"/>
      </w:r>
      <w:r>
        <w:rPr>
          <w:rFonts w:hint="eastAsia"/>
        </w:rPr>
        <w:t>　　本公司对上述声明的真实性负责。如有虚假，将依法承担相应责任。</w:t>
      </w:r>
      <w:r>
        <w:rPr>
          <w:rFonts w:cs="Times New Roman"/>
        </w:rPr>
        <w:br w:type="textWrapping"/>
      </w:r>
      <w:r>
        <w:rPr>
          <w:rFonts w:hint="eastAsia"/>
        </w:rPr>
        <w:t>　　</w:t>
      </w:r>
    </w:p>
    <w:p>
      <w:pPr>
        <w:pStyle w:val="45"/>
        <w:spacing w:line="440" w:lineRule="exact"/>
        <w:ind w:firstLine="480"/>
        <w:rPr>
          <w:rFonts w:cs="Times New Roman"/>
        </w:rPr>
      </w:pPr>
      <w:r>
        <w:rPr>
          <w:rFonts w:hint="eastAsia"/>
        </w:rPr>
        <w:t>企业名称（盖章）：</w:t>
      </w:r>
      <w:r>
        <w:rPr>
          <w:rFonts w:cs="Times New Roman"/>
        </w:rPr>
        <w:br w:type="textWrapping"/>
      </w:r>
      <w:r>
        <w:rPr>
          <w:rFonts w:hint="eastAsia"/>
        </w:rPr>
        <w:t>　　</w:t>
      </w:r>
    </w:p>
    <w:p>
      <w:pPr>
        <w:pStyle w:val="45"/>
        <w:spacing w:line="440" w:lineRule="exact"/>
        <w:ind w:firstLine="480"/>
        <w:rPr>
          <w:u w:val="single"/>
        </w:rPr>
      </w:pPr>
      <w:r>
        <w:rPr>
          <w:rFonts w:hint="eastAsia"/>
        </w:rPr>
        <w:t>日期：</w:t>
      </w:r>
    </w:p>
    <w:p>
      <w:pPr>
        <w:snapToGrid w:val="0"/>
        <w:spacing w:line="360" w:lineRule="auto"/>
        <w:jc w:val="center"/>
        <w:rPr>
          <w:rFonts w:ascii="宋体" w:cs="Times New Roman"/>
          <w:sz w:val="24"/>
          <w:szCs w:val="24"/>
        </w:rPr>
      </w:pPr>
    </w:p>
    <w:p>
      <w:pPr>
        <w:widowControl/>
        <w:jc w:val="left"/>
        <w:rPr>
          <w:rFonts w:ascii="宋体" w:cs="Times New Roman"/>
          <w:sz w:val="28"/>
          <w:szCs w:val="28"/>
        </w:rPr>
      </w:pPr>
      <w:r>
        <w:rPr>
          <w:rFonts w:ascii="宋体" w:cs="Times New Roman"/>
          <w:sz w:val="28"/>
          <w:szCs w:val="28"/>
        </w:rPr>
        <w:br w:type="page"/>
      </w:r>
    </w:p>
    <w:p>
      <w:pPr>
        <w:spacing w:line="360" w:lineRule="auto"/>
        <w:ind w:firstLine="723" w:firstLineChars="200"/>
        <w:jc w:val="center"/>
        <w:outlineLvl w:val="0"/>
        <w:rPr>
          <w:rFonts w:ascii="宋体" w:cs="Times New Roman"/>
          <w:b/>
          <w:bCs/>
          <w:sz w:val="36"/>
          <w:szCs w:val="36"/>
        </w:rPr>
      </w:pPr>
      <w:bookmarkStart w:id="177" w:name="_Toc29822"/>
      <w:r>
        <w:rPr>
          <w:rFonts w:hint="eastAsia" w:ascii="宋体" w:hAnsi="宋体" w:cs="宋体"/>
          <w:b/>
          <w:bCs/>
          <w:sz w:val="36"/>
          <w:szCs w:val="36"/>
        </w:rPr>
        <w:t>表</w:t>
      </w:r>
      <w:r>
        <w:rPr>
          <w:rFonts w:ascii="宋体" w:hAnsi="宋体" w:cs="宋体"/>
          <w:b/>
          <w:bCs/>
          <w:sz w:val="36"/>
          <w:szCs w:val="36"/>
        </w:rPr>
        <w:t>1</w:t>
      </w:r>
      <w:r>
        <w:rPr>
          <w:rFonts w:hint="eastAsia" w:ascii="宋体" w:hAnsi="宋体" w:cs="宋体"/>
          <w:b/>
          <w:bCs/>
          <w:sz w:val="36"/>
          <w:szCs w:val="36"/>
          <w:lang w:val="en-US" w:eastAsia="zh-CN"/>
        </w:rPr>
        <w:t>0</w:t>
      </w:r>
      <w:r>
        <w:rPr>
          <w:rFonts w:ascii="宋体" w:cs="宋体"/>
          <w:b/>
          <w:bCs/>
          <w:sz w:val="36"/>
          <w:szCs w:val="36"/>
        </w:rPr>
        <w:t>.</w:t>
      </w:r>
      <w:r>
        <w:rPr>
          <w:rFonts w:hint="eastAsia" w:ascii="宋体" w:hAnsi="宋体" w:cs="宋体"/>
          <w:b/>
          <w:bCs/>
          <w:sz w:val="36"/>
          <w:szCs w:val="36"/>
        </w:rPr>
        <w:t>企业信誉承诺书</w:t>
      </w:r>
      <w:bookmarkEnd w:id="177"/>
    </w:p>
    <w:p>
      <w:pPr>
        <w:spacing w:before="240" w:beforeLines="100" w:after="240" w:afterLines="100"/>
        <w:jc w:val="center"/>
        <w:rPr>
          <w:rFonts w:ascii="宋体" w:cs="Times New Roman"/>
          <w:sz w:val="24"/>
          <w:szCs w:val="24"/>
        </w:rPr>
      </w:pPr>
      <w:r>
        <w:rPr>
          <w:rFonts w:hint="eastAsia" w:ascii="宋体" w:hAnsi="宋体" w:cs="宋体"/>
          <w:sz w:val="28"/>
          <w:szCs w:val="28"/>
        </w:rPr>
        <w:t>企业信誉承诺书</w:t>
      </w:r>
    </w:p>
    <w:p>
      <w:pPr>
        <w:spacing w:after="240" w:afterLines="100" w:line="440" w:lineRule="exact"/>
        <w:rPr>
          <w:rFonts w:ascii="宋体" w:cs="Times New Roman"/>
          <w:sz w:val="24"/>
          <w:szCs w:val="24"/>
        </w:rPr>
      </w:pPr>
      <w:r>
        <w:rPr>
          <w:rFonts w:hint="eastAsia" w:ascii="宋体" w:hAnsi="宋体" w:cs="宋体"/>
          <w:sz w:val="24"/>
          <w:szCs w:val="24"/>
        </w:rPr>
        <w:t>（招标人名称）：</w:t>
      </w:r>
    </w:p>
    <w:p>
      <w:pPr>
        <w:spacing w:line="440" w:lineRule="exact"/>
        <w:ind w:firstLine="480" w:firstLineChars="200"/>
        <w:rPr>
          <w:rFonts w:ascii="宋体" w:cs="Times New Roman"/>
          <w:sz w:val="24"/>
          <w:szCs w:val="24"/>
        </w:rPr>
      </w:pPr>
      <w:r>
        <w:rPr>
          <w:rFonts w:hint="eastAsia" w:ascii="宋体" w:hAnsi="宋体" w:cs="宋体"/>
          <w:sz w:val="24"/>
          <w:szCs w:val="24"/>
        </w:rPr>
        <w:t>我方在此声明，我公司自</w:t>
      </w:r>
      <w:r>
        <w:rPr>
          <w:rFonts w:hint="eastAsia" w:ascii="宋体" w:hAnsi="宋体" w:cs="宋体"/>
          <w:sz w:val="24"/>
          <w:szCs w:val="24"/>
          <w:u w:val="single"/>
        </w:rPr>
        <w:t>成立起至今</w:t>
      </w:r>
      <w:r>
        <w:rPr>
          <w:rFonts w:hint="eastAsia" w:ascii="宋体" w:hAnsi="宋体" w:cs="宋体"/>
          <w:sz w:val="24"/>
          <w:szCs w:val="24"/>
        </w:rPr>
        <w:t>：</w:t>
      </w:r>
    </w:p>
    <w:p>
      <w:pPr>
        <w:spacing w:line="44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、投标资格没有被取消、暂停；</w:t>
      </w:r>
    </w:p>
    <w:p>
      <w:pPr>
        <w:spacing w:line="44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、没有处于被责令停业、财产被接管、冻结、破产状态；</w:t>
      </w:r>
    </w:p>
    <w:p>
      <w:pPr>
        <w:spacing w:line="44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、未在被行政主管部门作出取消投标资格处罚期内。</w:t>
      </w:r>
    </w:p>
    <w:p>
      <w:pPr>
        <w:spacing w:line="440" w:lineRule="exact"/>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、经营范围包含了本项目相关的服务内容，且具有履行本项目所必需的能力；</w:t>
      </w:r>
    </w:p>
    <w:p>
      <w:pPr>
        <w:spacing w:line="440" w:lineRule="exact"/>
        <w:ind w:firstLine="480" w:firstLineChars="200"/>
        <w:rPr>
          <w:rFonts w:ascii="宋体" w:cs="Times New Roman"/>
          <w:sz w:val="24"/>
          <w:szCs w:val="24"/>
        </w:rPr>
      </w:pPr>
      <w:r>
        <w:rPr>
          <w:rFonts w:hint="eastAsia" w:ascii="宋体" w:hAnsi="宋体" w:cs="宋体"/>
          <w:sz w:val="24"/>
          <w:szCs w:val="24"/>
        </w:rPr>
        <w:t>我方保证上述信息的真实和准确，并愿意承担因我方就此弄虚作假所引起的一切法律后果。</w:t>
      </w:r>
    </w:p>
    <w:p>
      <w:pPr>
        <w:spacing w:line="440" w:lineRule="exact"/>
        <w:rPr>
          <w:rFonts w:ascii="宋体" w:cs="Times New Roman"/>
          <w:sz w:val="24"/>
          <w:szCs w:val="24"/>
        </w:rPr>
      </w:pPr>
    </w:p>
    <w:p>
      <w:pPr>
        <w:spacing w:line="440" w:lineRule="exact"/>
        <w:ind w:firstLine="480" w:firstLineChars="200"/>
        <w:rPr>
          <w:rFonts w:ascii="宋体" w:cs="Times New Roman"/>
          <w:sz w:val="24"/>
          <w:szCs w:val="24"/>
        </w:rPr>
      </w:pPr>
      <w:r>
        <w:rPr>
          <w:rFonts w:hint="eastAsia" w:ascii="宋体" w:hAnsi="宋体" w:cs="宋体"/>
          <w:sz w:val="24"/>
          <w:szCs w:val="24"/>
        </w:rPr>
        <w:t>特此承诺</w:t>
      </w:r>
    </w:p>
    <w:p>
      <w:pPr>
        <w:spacing w:line="440" w:lineRule="exact"/>
        <w:ind w:firstLine="480" w:firstLineChars="200"/>
        <w:rPr>
          <w:rFonts w:ascii="宋体" w:cs="Times New Roman"/>
          <w:sz w:val="24"/>
          <w:szCs w:val="24"/>
        </w:rPr>
      </w:pPr>
    </w:p>
    <w:p>
      <w:pPr>
        <w:spacing w:line="440" w:lineRule="exact"/>
        <w:rPr>
          <w:rFonts w:ascii="宋体" w:cs="Times New Roman"/>
          <w:sz w:val="24"/>
          <w:szCs w:val="24"/>
        </w:rPr>
      </w:pPr>
    </w:p>
    <w:p>
      <w:pPr>
        <w:spacing w:line="440" w:lineRule="exact"/>
        <w:ind w:right="420"/>
        <w:jc w:val="center"/>
        <w:rPr>
          <w:rFonts w:ascii="宋体" w:cs="Times New Roman"/>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投标人：（盖单位章）</w:t>
      </w:r>
    </w:p>
    <w:p>
      <w:pPr>
        <w:spacing w:line="440" w:lineRule="exact"/>
        <w:jc w:val="right"/>
        <w:rPr>
          <w:rFonts w:ascii="宋体" w:cs="Times New Roman"/>
          <w:sz w:val="24"/>
          <w:szCs w:val="24"/>
        </w:rPr>
      </w:pPr>
      <w:r>
        <w:rPr>
          <w:rFonts w:hint="eastAsia" w:ascii="宋体" w:hAnsi="宋体" w:cs="宋体"/>
          <w:sz w:val="24"/>
          <w:szCs w:val="24"/>
        </w:rPr>
        <w:t>法定代表人或其委托代理人：（签字或盖章）</w:t>
      </w:r>
    </w:p>
    <w:p>
      <w:pPr>
        <w:spacing w:line="440" w:lineRule="exact"/>
        <w:jc w:val="right"/>
        <w:rPr>
          <w:rFonts w:ascii="宋体" w:cs="Times New Roman"/>
          <w:sz w:val="24"/>
          <w:szCs w:val="24"/>
        </w:rPr>
      </w:pPr>
    </w:p>
    <w:p>
      <w:pPr>
        <w:spacing w:line="360" w:lineRule="auto"/>
        <w:rPr>
          <w:rFonts w:cs="宋体"/>
          <w:sz w:val="24"/>
          <w:szCs w:val="24"/>
        </w:rPr>
      </w:pPr>
      <w:r>
        <w:rPr>
          <w:rFonts w:hint="eastAsia" w:cs="宋体"/>
          <w:sz w:val="24"/>
          <w:szCs w:val="24"/>
        </w:rPr>
        <w:t>年月日</w:t>
      </w:r>
    </w:p>
    <w:p>
      <w:pPr>
        <w:widowControl/>
        <w:jc w:val="left"/>
        <w:rPr>
          <w:rFonts w:cs="宋体"/>
          <w:sz w:val="24"/>
          <w:szCs w:val="24"/>
        </w:rPr>
      </w:pPr>
      <w:bookmarkStart w:id="178" w:name="_Toc23644"/>
      <w:r>
        <w:rPr>
          <w:rFonts w:cs="宋体"/>
          <w:sz w:val="24"/>
          <w:szCs w:val="24"/>
        </w:rPr>
        <w:br w:type="page"/>
      </w:r>
    </w:p>
    <w:bookmarkEnd w:id="178"/>
    <w:p>
      <w:pPr>
        <w:numPr>
          <w:ilvl w:val="0"/>
          <w:numId w:val="6"/>
        </w:numPr>
        <w:tabs>
          <w:tab w:val="left" w:pos="4680"/>
        </w:tabs>
        <w:snapToGrid w:val="0"/>
        <w:spacing w:line="360" w:lineRule="auto"/>
        <w:ind w:firstLine="723" w:firstLineChars="200"/>
        <w:jc w:val="center"/>
        <w:outlineLvl w:val="0"/>
        <w:rPr>
          <w:rFonts w:ascii="宋体" w:hAnsi="宋体" w:cs="宋体"/>
          <w:b/>
          <w:bCs/>
          <w:sz w:val="36"/>
          <w:szCs w:val="36"/>
        </w:rPr>
      </w:pPr>
      <w:bookmarkStart w:id="179" w:name="_Toc468811150"/>
      <w:bookmarkStart w:id="180" w:name="_Toc238907095"/>
      <w:bookmarkStart w:id="181" w:name="_Toc6671"/>
      <w:r>
        <w:rPr>
          <w:rFonts w:hint="eastAsia" w:ascii="宋体" w:hAnsi="宋体" w:cs="宋体"/>
          <w:b/>
          <w:bCs/>
          <w:sz w:val="36"/>
          <w:szCs w:val="36"/>
        </w:rPr>
        <w:t>分 评标办法</w:t>
      </w:r>
      <w:bookmarkEnd w:id="179"/>
      <w:bookmarkEnd w:id="180"/>
      <w:bookmarkEnd w:id="181"/>
    </w:p>
    <w:p>
      <w:pPr>
        <w:pStyle w:val="2"/>
        <w:numPr>
          <w:ilvl w:val="1"/>
          <w:numId w:val="0"/>
        </w:numPr>
        <w:ind w:left="227"/>
      </w:pPr>
    </w:p>
    <w:p>
      <w:pPr>
        <w:tabs>
          <w:tab w:val="left" w:pos="4680"/>
        </w:tabs>
        <w:snapToGrid w:val="0"/>
        <w:spacing w:line="360" w:lineRule="auto"/>
        <w:ind w:firstLine="562" w:firstLineChars="200"/>
        <w:jc w:val="center"/>
        <w:outlineLvl w:val="0"/>
        <w:rPr>
          <w:rFonts w:ascii="宋体" w:cs="Times New Roman"/>
          <w:b/>
          <w:bCs/>
          <w:sz w:val="28"/>
          <w:szCs w:val="28"/>
        </w:rPr>
      </w:pPr>
      <w:bookmarkStart w:id="182" w:name="_Toc6353"/>
      <w:r>
        <w:rPr>
          <w:rFonts w:hint="eastAsia" w:ascii="宋体" w:hAnsi="宋体" w:cs="宋体"/>
          <w:b/>
          <w:bCs/>
          <w:sz w:val="28"/>
          <w:szCs w:val="28"/>
        </w:rPr>
        <w:t>（一）初步审查表</w:t>
      </w:r>
      <w:bookmarkEnd w:id="182"/>
    </w:p>
    <w:tbl>
      <w:tblPr>
        <w:tblStyle w:val="54"/>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1</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保证金</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cs="Times New Roman"/>
              </w:rPr>
            </w:pPr>
            <w:r>
              <w:rPr>
                <w:rFonts w:hint="eastAsia" w:ascii="宋体" w:hAnsi="宋体" w:cs="宋体"/>
              </w:rPr>
              <w:t>是否提交保证金的</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投标有效期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交货期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4"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4</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信用记录</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Tahoma" w:hAnsi="Tahoma" w:cs="宋体"/>
              </w:rPr>
              <w:t>提供“信用中国”网站(www.creditchina.gov.cn)或中国政府采购网(www.ccgp.gov.cn)查询的企</w:t>
            </w:r>
            <w:r>
              <w:rPr>
                <w:rFonts w:hint="eastAsia" w:ascii="宋体" w:hAnsi="宋体" w:cs="宋体"/>
                <w:sz w:val="24"/>
              </w:rPr>
              <w:t>业信用记录</w:t>
            </w:r>
            <w:r>
              <w:rPr>
                <w:rFonts w:hint="eastAsia" w:ascii="Tahoma" w:hAnsi="Tahoma" w:cs="宋体"/>
              </w:rPr>
              <w:t>(www.creditchina.gov.cn)或中国政府采购网(www.ccgp.gov.cn)查询的企</w:t>
            </w:r>
            <w:r>
              <w:rPr>
                <w:rFonts w:hint="eastAsia" w:ascii="宋体" w:hAnsi="宋体" w:cs="宋体"/>
                <w:sz w:val="24"/>
              </w:rPr>
              <w:t>业信用记录</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备注：经初步审查，投标人数量须不少于三家，否则项目招标失败。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r>
        <w:rPr>
          <w:rFonts w:hint="eastAsia" w:ascii="宋体" w:cs="Times New Roman"/>
          <w:sz w:val="24"/>
          <w:szCs w:val="24"/>
        </w:rPr>
        <w:t>招标人：                                    招标代理机构：</w:t>
      </w:r>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p>
      <w:pPr>
        <w:tabs>
          <w:tab w:val="left" w:pos="4680"/>
        </w:tabs>
        <w:snapToGrid w:val="0"/>
        <w:spacing w:line="360" w:lineRule="auto"/>
        <w:ind w:firstLine="562" w:firstLineChars="200"/>
        <w:jc w:val="center"/>
        <w:outlineLvl w:val="0"/>
        <w:rPr>
          <w:rFonts w:ascii="宋体" w:cs="Times New Roman"/>
          <w:b/>
          <w:bCs/>
          <w:sz w:val="28"/>
          <w:szCs w:val="28"/>
        </w:rPr>
      </w:pPr>
      <w:bookmarkStart w:id="183" w:name="_Toc14546"/>
      <w:r>
        <w:rPr>
          <w:rFonts w:hint="eastAsia" w:ascii="宋体" w:hAnsi="宋体" w:cs="宋体"/>
          <w:b/>
          <w:bCs/>
          <w:sz w:val="28"/>
          <w:szCs w:val="28"/>
        </w:rPr>
        <w:t>（二）符合性审查表</w:t>
      </w:r>
    </w:p>
    <w:tbl>
      <w:tblPr>
        <w:tblStyle w:val="54"/>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1</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ascii="Tahoma" w:hAnsi="Tahoma" w:cs="宋体"/>
              </w:rPr>
              <w:t>投标文件的有效性、完整性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Tahoma"/>
              </w:rPr>
            </w:pPr>
            <w:r>
              <w:rPr>
                <w:rFonts w:hint="eastAsia" w:ascii="Tahoma" w:hAnsi="Tahoma" w:cs="宋体"/>
              </w:rPr>
              <w:t>是否符合招标文件的式样和签署要求且内容完整无缺漏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ascii="Tahoma" w:hAnsi="Tahoma" w:cs="宋体"/>
              </w:rPr>
              <w:t>报价项目完整性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Tahoma"/>
              </w:rPr>
            </w:pPr>
            <w:r>
              <w:rPr>
                <w:rFonts w:hint="eastAsia" w:ascii="Tahoma" w:hAnsi="Tahoma" w:cs="宋体"/>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Tahoma" w:hAnsi="Tahoma" w:cs="宋体"/>
              </w:rPr>
              <w:t>投标人</w:t>
            </w:r>
            <w:r>
              <w:rPr>
                <w:rFonts w:hint="eastAsia" w:ascii="宋体" w:hAnsi="宋体" w:cs="宋体"/>
              </w:rPr>
              <w:t>的资格</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cs="Times New Roman"/>
              </w:rPr>
            </w:pPr>
            <w:r>
              <w:rPr>
                <w:rFonts w:hint="eastAsia" w:ascii="宋体" w:hAnsi="宋体" w:cs="宋体"/>
              </w:rPr>
              <w:t>是否符合投标</w:t>
            </w:r>
            <w:r>
              <w:rPr>
                <w:rFonts w:hint="eastAsia" w:ascii="Tahoma" w:hAnsi="Tahoma" w:cs="宋体"/>
              </w:rPr>
              <w:t>人</w:t>
            </w:r>
            <w:r>
              <w:rPr>
                <w:rFonts w:hint="eastAsia" w:ascii="宋体" w:hAnsi="宋体" w:cs="宋体"/>
              </w:rPr>
              <w:t>资格要求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备注：经初步审查，投标人数量须不少于三家，否则项目招标失败。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r>
        <w:rPr>
          <w:rFonts w:hint="eastAsia" w:ascii="宋体" w:cs="Times New Roman"/>
          <w:sz w:val="24"/>
          <w:szCs w:val="24"/>
        </w:rPr>
        <w:t>评委签字：</w:t>
      </w:r>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bookmarkEnd w:id="183"/>
    <w:p>
      <w:pPr>
        <w:spacing w:line="480" w:lineRule="exact"/>
        <w:jc w:val="center"/>
        <w:outlineLvl w:val="1"/>
        <w:rPr>
          <w:rFonts w:hint="eastAsia" w:ascii="宋体" w:hAnsi="宋体" w:cs="宋体"/>
          <w:b/>
          <w:sz w:val="36"/>
          <w:szCs w:val="36"/>
          <w:lang w:val="en-US" w:eastAsia="zh-CN"/>
        </w:rPr>
      </w:pPr>
      <w:r>
        <w:rPr>
          <w:rFonts w:hint="eastAsia" w:ascii="宋体" w:hAnsi="宋体" w:cs="宋体"/>
          <w:b/>
          <w:sz w:val="36"/>
          <w:szCs w:val="36"/>
        </w:rPr>
        <w:t>（三）</w:t>
      </w:r>
      <w:r>
        <w:rPr>
          <w:rFonts w:hint="eastAsia" w:ascii="宋体" w:hAnsi="宋体" w:cs="宋体"/>
          <w:b/>
          <w:sz w:val="36"/>
          <w:szCs w:val="36"/>
          <w:lang w:val="en-US" w:eastAsia="zh-CN"/>
        </w:rPr>
        <w:t>定标原则</w:t>
      </w:r>
    </w:p>
    <w:p>
      <w:pPr>
        <w:pStyle w:val="2"/>
        <w:numPr>
          <w:ilvl w:val="1"/>
          <w:numId w:val="0"/>
        </w:numPr>
        <w:ind w:left="227" w:leftChars="0"/>
      </w:pPr>
    </w:p>
    <w:p>
      <w:pPr>
        <w:spacing w:line="480" w:lineRule="exact"/>
        <w:ind w:firstLine="480" w:firstLineChars="200"/>
        <w:rPr>
          <w:rFonts w:hint="eastAsia" w:ascii="宋体" w:hAnsi="宋体" w:cs="宋体"/>
          <w:sz w:val="24"/>
          <w:szCs w:val="24"/>
          <w:lang w:val="en-US" w:eastAsia="zh-CN"/>
        </w:rPr>
      </w:pPr>
    </w:p>
    <w:p>
      <w:pPr>
        <w:spacing w:line="48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1、投标报价在不得超过484922.00元，超过的为无效报价，不计入计算因素。</w:t>
      </w:r>
    </w:p>
    <w:p>
      <w:pPr>
        <w:spacing w:line="48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w:t>
      </w:r>
      <w:r>
        <w:rPr>
          <w:rFonts w:ascii="宋体" w:hAnsi="宋体"/>
        </w:rPr>
        <w:t>通过资格审查的投标人有效投标报价的平均值作为评标基准</w:t>
      </w:r>
      <w:r>
        <w:rPr>
          <w:rFonts w:hint="eastAsia" w:ascii="宋体" w:hAnsi="宋体"/>
        </w:rPr>
        <w:t>价</w:t>
      </w:r>
      <w:r>
        <w:rPr>
          <w:rFonts w:ascii="宋体" w:hAnsi="宋体"/>
        </w:rPr>
        <w:t>；</w:t>
      </w:r>
    </w:p>
    <w:p>
      <w:pPr>
        <w:spacing w:line="48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投标人报价与评标基准价最接近的为第一名，即按投标人报价与评标基准价差的绝对值的大小排名，绝对值最小的为第一名，绝对值第二小的为第二名，依次类推。当绝对值相同的投标人为2家或2家以上时，以低标价排名在前（即绝对值相同取下标）；当投标人报价相同的投标人为2家及以上时，则抽签确定其排名。</w:t>
      </w:r>
    </w:p>
    <w:p>
      <w:pPr>
        <w:spacing w:line="480" w:lineRule="exact"/>
        <w:ind w:firstLine="480" w:firstLineChars="200"/>
        <w:rPr>
          <w:rFonts w:cs="Times New Roman"/>
          <w:sz w:val="18"/>
          <w:szCs w:val="18"/>
        </w:rPr>
      </w:pPr>
      <w:r>
        <w:rPr>
          <w:rFonts w:hint="eastAsia" w:ascii="宋体" w:hAnsi="宋体" w:cs="宋体"/>
          <w:sz w:val="24"/>
          <w:szCs w:val="24"/>
          <w:lang w:val="en-US" w:eastAsia="zh-CN"/>
        </w:rPr>
        <w:t>4、定标原则：按评标结果排名顺序选取第一名至第三名为中标候选人。第一中标候选人暂定为中标人。当第一中标候选人无正当理由或因不可抗力等原因在规定的时限里不与招标人签订合同时，招标人将取消其中标资格，由第二中标候选人与招标人签订合同，以此类推。如第一、第二、第三中标候选人均不与招标人签订施工合同时，应重新招标。（但必须查清其原因，因违约一方给另一方造成损失的，应承担相应的责任）</w:t>
      </w:r>
    </w:p>
    <w:sectPr>
      <w:headerReference r:id="rId7" w:type="default"/>
      <w:footerReference r:id="rId8" w:type="default"/>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roma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auto"/>
    <w:pitch w:val="default"/>
    <w:sig w:usb0="00000287" w:usb1="000008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p>
  <w:p>
    <w:pPr>
      <w:pStyle w:val="3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Fonts w:cs="Times New Roman"/>
      </w:rPr>
    </w:pPr>
    <w:r>
      <w:rPr>
        <w:rStyle w:val="49"/>
      </w:rPr>
      <w:fldChar w:fldCharType="begin"/>
    </w:r>
    <w:r>
      <w:rPr>
        <w:rStyle w:val="49"/>
      </w:rPr>
      <w:instrText xml:space="preserve">PAGE  </w:instrText>
    </w:r>
    <w:r>
      <w:rPr>
        <w:rStyle w:val="49"/>
      </w:rPr>
      <w:fldChar w:fldCharType="separate"/>
    </w:r>
    <w:r>
      <w:rPr>
        <w:rStyle w:val="49"/>
      </w:rPr>
      <w:t>94</w:t>
    </w:r>
    <w:r>
      <w:rPr>
        <w:rStyle w:val="49"/>
      </w:rPr>
      <w:fldChar w:fldCharType="end"/>
    </w:r>
  </w:p>
  <w:p>
    <w:pPr>
      <w:pStyle w:val="30"/>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r>
      <w:fldChar w:fldCharType="begin"/>
    </w:r>
    <w:r>
      <w:instrText xml:space="preserve">PAGE   \* MERGEFORMAT</w:instrText>
    </w:r>
    <w:r>
      <w:fldChar w:fldCharType="separate"/>
    </w:r>
    <w:r>
      <w:rPr>
        <w:lang w:val="zh-CN"/>
      </w:rPr>
      <w:t>8</w:t>
    </w:r>
    <w:r>
      <w:fldChar w:fldCharType="end"/>
    </w:r>
  </w:p>
  <w:p>
    <w:pPr>
      <w:pStyle w:val="30"/>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525" w:firstLineChars="250"/>
      <w:rPr>
        <w:rFonts w:ascii="宋体" w:cs="Times New Roman"/>
        <w:color w:val="00000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lvlText w:val="%1."/>
      <w:lvlJc w:val="left"/>
      <w:pPr>
        <w:tabs>
          <w:tab w:val="left" w:pos="360"/>
        </w:tabs>
        <w:ind w:left="360" w:hanging="360"/>
      </w:pPr>
    </w:lvl>
  </w:abstractNum>
  <w:abstractNum w:abstractNumId="1">
    <w:nsid w:val="0000000E"/>
    <w:multiLevelType w:val="multilevel"/>
    <w:tmpl w:val="0000000E"/>
    <w:lvl w:ilvl="0" w:tentative="0">
      <w:start w:val="1"/>
      <w:numFmt w:val="decimal"/>
      <w:pStyle w:val="212"/>
      <w:suff w:val="nothing"/>
      <w:lvlText w:val="附　表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pStyle w:val="433"/>
      <w:suff w:val="nothing"/>
      <w:lvlText w:val="%1.%2.%3.%4.%5　"/>
      <w:lvlJc w:val="left"/>
      <w:rPr>
        <w:rFonts w:hint="eastAsia" w:ascii="黑体" w:hAnsi="Times New Roman" w:eastAsia="黑体"/>
        <w:b w:val="0"/>
        <w:bCs w:val="0"/>
        <w:i w:val="0"/>
        <w:iCs w:val="0"/>
        <w:sz w:val="21"/>
        <w:szCs w:val="21"/>
      </w:rPr>
    </w:lvl>
    <w:lvl w:ilvl="5" w:tentative="0">
      <w:start w:val="1"/>
      <w:numFmt w:val="decimal"/>
      <w:pStyle w:val="288"/>
      <w:suff w:val="nothing"/>
      <w:lvlText w:val="%1.%2.%3.%4.%5.%6　"/>
      <w:lvlJc w:val="left"/>
      <w:rPr>
        <w:rFonts w:hint="eastAsia" w:ascii="黑体" w:hAnsi="Times New Roman" w:eastAsia="黑体"/>
        <w:b w:val="0"/>
        <w:bCs w:val="0"/>
        <w:i w:val="0"/>
        <w:iCs w:val="0"/>
        <w:sz w:val="21"/>
        <w:szCs w:val="21"/>
      </w:rPr>
    </w:lvl>
    <w:lvl w:ilvl="6" w:tentative="0">
      <w:start w:val="1"/>
      <w:numFmt w:val="decimal"/>
      <w:pStyle w:val="291"/>
      <w:suff w:val="nothing"/>
      <w:lvlText w:val="%1.%2.%3.%4.%5.%6.%7　"/>
      <w:lvlJc w:val="left"/>
      <w:rPr>
        <w:rFonts w:hint="eastAsia" w:ascii="黑体" w:hAnsi="Times New Roman" w:eastAsia="黑体"/>
        <w:b w:val="0"/>
        <w:bCs w:val="0"/>
        <w:i w:val="0"/>
        <w:iCs w:val="0"/>
        <w:sz w:val="21"/>
        <w:szCs w:val="21"/>
      </w:rPr>
    </w:lvl>
    <w:lvl w:ilvl="7" w:tentative="0">
      <w:start w:val="1"/>
      <w:numFmt w:val="decimal"/>
      <w:pStyle w:val="327"/>
      <w:lvlText w:val="%1.%2.%3.%4.%5.%6.%7.%8"/>
      <w:lvlJc w:val="left"/>
      <w:pPr>
        <w:tabs>
          <w:tab w:val="left" w:pos="4394"/>
        </w:tabs>
        <w:ind w:left="4394" w:hanging="1418"/>
      </w:pPr>
      <w:rPr>
        <w:rFonts w:hint="eastAsia"/>
      </w:rPr>
    </w:lvl>
    <w:lvl w:ilvl="8" w:tentative="0">
      <w:start w:val="1"/>
      <w:numFmt w:val="decimal"/>
      <w:pStyle w:val="324"/>
      <w:lvlText w:val="%1.%2.%3.%4.%5.%6.%7.%8.%9"/>
      <w:lvlJc w:val="left"/>
      <w:pPr>
        <w:tabs>
          <w:tab w:val="left" w:pos="5102"/>
        </w:tabs>
        <w:ind w:left="5102" w:hanging="1700"/>
      </w:pPr>
      <w:rPr>
        <w:rFonts w:hint="eastAsia"/>
      </w:rPr>
    </w:lvl>
  </w:abstractNum>
  <w:abstractNum w:abstractNumId="2">
    <w:nsid w:val="3B363D98"/>
    <w:multiLevelType w:val="multilevel"/>
    <w:tmpl w:val="3B363D98"/>
    <w:lvl w:ilvl="0" w:tentative="0">
      <w:start w:val="1"/>
      <w:numFmt w:val="decimal"/>
      <w:pStyle w:val="255"/>
      <w:suff w:val="space"/>
      <w:lvlText w:val="图%1."/>
      <w:lvlJc w:val="left"/>
      <w:pPr>
        <w:ind w:left="4815" w:hanging="420"/>
      </w:pPr>
      <w:rPr>
        <w:rFonts w:hint="eastAsia" w:cs="Times New Roman"/>
        <w:b w:val="0"/>
        <w:bCs w:val="0"/>
        <w:i w:val="0"/>
        <w:iCs w:val="0"/>
        <w:caps w:val="0"/>
        <w:smallCaps w:val="0"/>
        <w:strike w:val="0"/>
        <w:dstrike w:val="0"/>
        <w:vanish w:val="0"/>
        <w:color w:val="000000"/>
        <w:spacing w:val="0"/>
        <w:position w:val="0"/>
        <w:sz w:val="21"/>
        <w:u w:val="none"/>
        <w:vertAlign w:val="baseline"/>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3">
    <w:nsid w:val="49CB248F"/>
    <w:multiLevelType w:val="multilevel"/>
    <w:tmpl w:val="49CB248F"/>
    <w:lvl w:ilvl="0" w:tentative="0">
      <w:start w:val="1"/>
      <w:numFmt w:val="chineseCountingThousand"/>
      <w:pStyle w:val="15"/>
      <w:suff w:val="nothing"/>
      <w:lvlText w:val="第%1部分"/>
      <w:lvlJc w:val="left"/>
      <w:pPr>
        <w:ind w:left="425" w:hanging="425"/>
      </w:pPr>
      <w:rPr>
        <w:rFonts w:hint="eastAsia"/>
      </w:rPr>
    </w:lvl>
    <w:lvl w:ilvl="1" w:tentative="0">
      <w:start w:val="1"/>
      <w:numFmt w:val="chineseCountingThousand"/>
      <w:pStyle w:val="2"/>
      <w:suff w:val="nothing"/>
      <w:lvlText w:val="%2、"/>
      <w:lvlJc w:val="left"/>
      <w:pPr>
        <w:ind w:left="794"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FA404B4"/>
    <w:multiLevelType w:val="multilevel"/>
    <w:tmpl w:val="4FA404B4"/>
    <w:lvl w:ilvl="0" w:tentative="0">
      <w:start w:val="1"/>
      <w:numFmt w:val="chineseCountingThousand"/>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2"/>
      <w:numFmt w:val="decimal"/>
      <w:pStyle w:val="3"/>
      <w:suff w:val="nothing"/>
      <w:lvlText w:val="%3、"/>
      <w:lvlJc w:val="left"/>
      <w:pPr>
        <w:ind w:left="397" w:hanging="397"/>
      </w:pPr>
      <w:rPr>
        <w:rFonts w:hint="eastAsia"/>
      </w:rPr>
    </w:lvl>
    <w:lvl w:ilvl="3" w:tentative="0">
      <w:start w:val="1"/>
      <w:numFmt w:val="decimal"/>
      <w:pStyle w:val="5"/>
      <w:suff w:val="nothing"/>
      <w:lvlText w:val="%3.%4"/>
      <w:lvlJc w:val="left"/>
      <w:pPr>
        <w:ind w:left="1418" w:hanging="709"/>
      </w:pPr>
      <w:rPr>
        <w:rFonts w:hint="eastAsia"/>
      </w:rPr>
    </w:lvl>
    <w:lvl w:ilvl="4" w:tentative="0">
      <w:start w:val="1"/>
      <w:numFmt w:val="decimal"/>
      <w:lvlRestart w:val="0"/>
      <w:pStyle w:val="6"/>
      <w:suff w:val="nothing"/>
      <w:lvlText w:val="%3.%4.%5"/>
      <w:lvlJc w:val="left"/>
      <w:pPr>
        <w:ind w:left="1418" w:hanging="5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59060EA9"/>
    <w:multiLevelType w:val="multilevel"/>
    <w:tmpl w:val="59060EA9"/>
    <w:lvl w:ilvl="0" w:tentative="0">
      <w:start w:val="1"/>
      <w:numFmt w:val="bullet"/>
      <w:pStyle w:val="45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59F30436"/>
    <w:multiLevelType w:val="singleLevel"/>
    <w:tmpl w:val="59F30436"/>
    <w:lvl w:ilvl="0" w:tentative="0">
      <w:start w:val="6"/>
      <w:numFmt w:val="chineseCounting"/>
      <w:pStyle w:val="347"/>
      <w:suff w:val="nothing"/>
      <w:lvlText w:val="第%1部"/>
      <w:lvlJc w:val="left"/>
    </w:lvl>
  </w:abstractNum>
  <w:abstractNum w:abstractNumId="7">
    <w:nsid w:val="6B060A6C"/>
    <w:multiLevelType w:val="multilevel"/>
    <w:tmpl w:val="6B060A6C"/>
    <w:lvl w:ilvl="0" w:tentative="0">
      <w:start w:val="1"/>
      <w:numFmt w:val="chineseCountingThousand"/>
      <w:pStyle w:val="4"/>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suff w:val="nothing"/>
      <w:lvlText w:val="%3、"/>
      <w:lvlJc w:val="left"/>
      <w:pPr>
        <w:ind w:left="965" w:hanging="39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6B567DF7"/>
    <w:multiLevelType w:val="multilevel"/>
    <w:tmpl w:val="6B567DF7"/>
    <w:lvl w:ilvl="0" w:tentative="0">
      <w:start w:val="1"/>
      <w:numFmt w:val="bullet"/>
      <w:pStyle w:val="430"/>
      <w:lvlText w:val=""/>
      <w:lvlJc w:val="left"/>
      <w:pPr>
        <w:ind w:left="0" w:firstLine="48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7"/>
  </w:num>
  <w:num w:numId="2">
    <w:abstractNumId w:val="3"/>
  </w:num>
  <w:num w:numId="3">
    <w:abstractNumId w:val="4"/>
  </w:num>
  <w:num w:numId="4">
    <w:abstractNumId w:val="1"/>
  </w:num>
  <w:num w:numId="5">
    <w:abstractNumId w:val="2"/>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06084A"/>
    <w:rsid w:val="000020BE"/>
    <w:rsid w:val="000022CD"/>
    <w:rsid w:val="00002506"/>
    <w:rsid w:val="000123D2"/>
    <w:rsid w:val="00022604"/>
    <w:rsid w:val="000255FC"/>
    <w:rsid w:val="00027782"/>
    <w:rsid w:val="00031E2B"/>
    <w:rsid w:val="00032232"/>
    <w:rsid w:val="00052955"/>
    <w:rsid w:val="000565B4"/>
    <w:rsid w:val="000567CD"/>
    <w:rsid w:val="00057D68"/>
    <w:rsid w:val="00060645"/>
    <w:rsid w:val="0006084A"/>
    <w:rsid w:val="00060CDF"/>
    <w:rsid w:val="000771E1"/>
    <w:rsid w:val="000815AC"/>
    <w:rsid w:val="0008167C"/>
    <w:rsid w:val="00094B76"/>
    <w:rsid w:val="00094DE4"/>
    <w:rsid w:val="00094FE4"/>
    <w:rsid w:val="000A31C1"/>
    <w:rsid w:val="000B0392"/>
    <w:rsid w:val="000B0ABC"/>
    <w:rsid w:val="000C072B"/>
    <w:rsid w:val="000C137D"/>
    <w:rsid w:val="000C1D16"/>
    <w:rsid w:val="000C2FD7"/>
    <w:rsid w:val="000C6007"/>
    <w:rsid w:val="000C6D98"/>
    <w:rsid w:val="000E35CE"/>
    <w:rsid w:val="000E78C8"/>
    <w:rsid w:val="000F13C3"/>
    <w:rsid w:val="000F1DE2"/>
    <w:rsid w:val="000F45FA"/>
    <w:rsid w:val="000F4910"/>
    <w:rsid w:val="000F7C2F"/>
    <w:rsid w:val="00115A1C"/>
    <w:rsid w:val="00124703"/>
    <w:rsid w:val="00136D41"/>
    <w:rsid w:val="0014600C"/>
    <w:rsid w:val="0014631D"/>
    <w:rsid w:val="001710FE"/>
    <w:rsid w:val="0018060E"/>
    <w:rsid w:val="00185E00"/>
    <w:rsid w:val="00187C2E"/>
    <w:rsid w:val="001C34FE"/>
    <w:rsid w:val="001D3FFC"/>
    <w:rsid w:val="001E1363"/>
    <w:rsid w:val="001E4E3E"/>
    <w:rsid w:val="001E5266"/>
    <w:rsid w:val="001F3C1A"/>
    <w:rsid w:val="001F7543"/>
    <w:rsid w:val="00201A63"/>
    <w:rsid w:val="00211695"/>
    <w:rsid w:val="00212064"/>
    <w:rsid w:val="002135B4"/>
    <w:rsid w:val="002141C1"/>
    <w:rsid w:val="00220E72"/>
    <w:rsid w:val="0022193B"/>
    <w:rsid w:val="00222625"/>
    <w:rsid w:val="00223C6F"/>
    <w:rsid w:val="002271A9"/>
    <w:rsid w:val="00242685"/>
    <w:rsid w:val="00242862"/>
    <w:rsid w:val="00245200"/>
    <w:rsid w:val="00246C2B"/>
    <w:rsid w:val="002478FB"/>
    <w:rsid w:val="00257472"/>
    <w:rsid w:val="0026431A"/>
    <w:rsid w:val="00270412"/>
    <w:rsid w:val="002814C5"/>
    <w:rsid w:val="00281E38"/>
    <w:rsid w:val="00282273"/>
    <w:rsid w:val="0028428E"/>
    <w:rsid w:val="00284907"/>
    <w:rsid w:val="00286521"/>
    <w:rsid w:val="00291A79"/>
    <w:rsid w:val="002A2BE7"/>
    <w:rsid w:val="002A57F5"/>
    <w:rsid w:val="002A761A"/>
    <w:rsid w:val="002B678B"/>
    <w:rsid w:val="002B7AD9"/>
    <w:rsid w:val="002C2E7E"/>
    <w:rsid w:val="002C7C58"/>
    <w:rsid w:val="002D0C3F"/>
    <w:rsid w:val="002D6A1E"/>
    <w:rsid w:val="002E2721"/>
    <w:rsid w:val="002F5D4C"/>
    <w:rsid w:val="002F7CB4"/>
    <w:rsid w:val="00306A90"/>
    <w:rsid w:val="00310CDF"/>
    <w:rsid w:val="003136AF"/>
    <w:rsid w:val="00314B5B"/>
    <w:rsid w:val="00315889"/>
    <w:rsid w:val="003178BE"/>
    <w:rsid w:val="003256BD"/>
    <w:rsid w:val="00337482"/>
    <w:rsid w:val="00343DFC"/>
    <w:rsid w:val="00344F70"/>
    <w:rsid w:val="0034539B"/>
    <w:rsid w:val="00365BE0"/>
    <w:rsid w:val="00370747"/>
    <w:rsid w:val="00372B45"/>
    <w:rsid w:val="0037308A"/>
    <w:rsid w:val="00380EA4"/>
    <w:rsid w:val="00381F97"/>
    <w:rsid w:val="003A1899"/>
    <w:rsid w:val="003B00E1"/>
    <w:rsid w:val="003B55C6"/>
    <w:rsid w:val="003B7089"/>
    <w:rsid w:val="003C647D"/>
    <w:rsid w:val="003C6680"/>
    <w:rsid w:val="003D144D"/>
    <w:rsid w:val="003D3840"/>
    <w:rsid w:val="003D431E"/>
    <w:rsid w:val="003D602E"/>
    <w:rsid w:val="003D691D"/>
    <w:rsid w:val="003E5735"/>
    <w:rsid w:val="003E5818"/>
    <w:rsid w:val="003F2384"/>
    <w:rsid w:val="00414DD2"/>
    <w:rsid w:val="00421F67"/>
    <w:rsid w:val="004228AD"/>
    <w:rsid w:val="00423AAA"/>
    <w:rsid w:val="00432E88"/>
    <w:rsid w:val="004332B7"/>
    <w:rsid w:val="00437E13"/>
    <w:rsid w:val="004436EE"/>
    <w:rsid w:val="00450754"/>
    <w:rsid w:val="00452DE6"/>
    <w:rsid w:val="004574EF"/>
    <w:rsid w:val="004611BE"/>
    <w:rsid w:val="00475CFA"/>
    <w:rsid w:val="00486120"/>
    <w:rsid w:val="00490D9A"/>
    <w:rsid w:val="00491112"/>
    <w:rsid w:val="004A437C"/>
    <w:rsid w:val="004C7173"/>
    <w:rsid w:val="004D1B12"/>
    <w:rsid w:val="004D2998"/>
    <w:rsid w:val="004E18EF"/>
    <w:rsid w:val="004E3D95"/>
    <w:rsid w:val="004E6B6A"/>
    <w:rsid w:val="004F0BB1"/>
    <w:rsid w:val="004F4B0D"/>
    <w:rsid w:val="00516068"/>
    <w:rsid w:val="00516BF6"/>
    <w:rsid w:val="00520624"/>
    <w:rsid w:val="005236C4"/>
    <w:rsid w:val="00527135"/>
    <w:rsid w:val="00527C21"/>
    <w:rsid w:val="00527DB1"/>
    <w:rsid w:val="005303C4"/>
    <w:rsid w:val="0054014E"/>
    <w:rsid w:val="0054158E"/>
    <w:rsid w:val="00542DA2"/>
    <w:rsid w:val="00552912"/>
    <w:rsid w:val="00553C95"/>
    <w:rsid w:val="00553D76"/>
    <w:rsid w:val="005552C0"/>
    <w:rsid w:val="0056710E"/>
    <w:rsid w:val="005722B0"/>
    <w:rsid w:val="00573F35"/>
    <w:rsid w:val="0057435B"/>
    <w:rsid w:val="005810E0"/>
    <w:rsid w:val="00585D75"/>
    <w:rsid w:val="005A6419"/>
    <w:rsid w:val="005B1136"/>
    <w:rsid w:val="005B17D0"/>
    <w:rsid w:val="005B281B"/>
    <w:rsid w:val="005B58ED"/>
    <w:rsid w:val="005C07A9"/>
    <w:rsid w:val="005C11B2"/>
    <w:rsid w:val="005C299D"/>
    <w:rsid w:val="005C4A99"/>
    <w:rsid w:val="005C79C9"/>
    <w:rsid w:val="005C7B89"/>
    <w:rsid w:val="005D74AF"/>
    <w:rsid w:val="005D7994"/>
    <w:rsid w:val="005F0C72"/>
    <w:rsid w:val="005F3618"/>
    <w:rsid w:val="0060537B"/>
    <w:rsid w:val="00617041"/>
    <w:rsid w:val="00632344"/>
    <w:rsid w:val="0064068F"/>
    <w:rsid w:val="00642006"/>
    <w:rsid w:val="00644DB2"/>
    <w:rsid w:val="00646867"/>
    <w:rsid w:val="00652B5B"/>
    <w:rsid w:val="0065329D"/>
    <w:rsid w:val="006663FA"/>
    <w:rsid w:val="00670C58"/>
    <w:rsid w:val="0068621D"/>
    <w:rsid w:val="00695DC4"/>
    <w:rsid w:val="006A39CB"/>
    <w:rsid w:val="006A53F8"/>
    <w:rsid w:val="006A5459"/>
    <w:rsid w:val="006B626E"/>
    <w:rsid w:val="006C01A6"/>
    <w:rsid w:val="006C2A50"/>
    <w:rsid w:val="006C2D08"/>
    <w:rsid w:val="006C7C5E"/>
    <w:rsid w:val="006D3C7D"/>
    <w:rsid w:val="006F4394"/>
    <w:rsid w:val="006F63A1"/>
    <w:rsid w:val="006F6446"/>
    <w:rsid w:val="007042FD"/>
    <w:rsid w:val="00706D70"/>
    <w:rsid w:val="00715DEC"/>
    <w:rsid w:val="00720E49"/>
    <w:rsid w:val="0072375F"/>
    <w:rsid w:val="0073560F"/>
    <w:rsid w:val="00736148"/>
    <w:rsid w:val="0074178A"/>
    <w:rsid w:val="00754E61"/>
    <w:rsid w:val="00766305"/>
    <w:rsid w:val="0076717D"/>
    <w:rsid w:val="007755D8"/>
    <w:rsid w:val="0078134E"/>
    <w:rsid w:val="00790009"/>
    <w:rsid w:val="007909A9"/>
    <w:rsid w:val="007939C0"/>
    <w:rsid w:val="007A7931"/>
    <w:rsid w:val="007B2204"/>
    <w:rsid w:val="007B6CDC"/>
    <w:rsid w:val="007C091D"/>
    <w:rsid w:val="007D1CE2"/>
    <w:rsid w:val="007D20CC"/>
    <w:rsid w:val="007D4261"/>
    <w:rsid w:val="007E60A2"/>
    <w:rsid w:val="007E7F34"/>
    <w:rsid w:val="007F2C8E"/>
    <w:rsid w:val="007F5E71"/>
    <w:rsid w:val="0080386B"/>
    <w:rsid w:val="00803A1F"/>
    <w:rsid w:val="00807B2A"/>
    <w:rsid w:val="0081086B"/>
    <w:rsid w:val="00810DA1"/>
    <w:rsid w:val="0081322A"/>
    <w:rsid w:val="0081412B"/>
    <w:rsid w:val="0081432A"/>
    <w:rsid w:val="00815F1A"/>
    <w:rsid w:val="00821EE5"/>
    <w:rsid w:val="0082776F"/>
    <w:rsid w:val="00850C4D"/>
    <w:rsid w:val="00852709"/>
    <w:rsid w:val="008604A9"/>
    <w:rsid w:val="00873D19"/>
    <w:rsid w:val="008B0986"/>
    <w:rsid w:val="008B6596"/>
    <w:rsid w:val="008C0995"/>
    <w:rsid w:val="008C51F8"/>
    <w:rsid w:val="008C5D08"/>
    <w:rsid w:val="008E6AB9"/>
    <w:rsid w:val="008E7312"/>
    <w:rsid w:val="008F6616"/>
    <w:rsid w:val="009211CC"/>
    <w:rsid w:val="009220F4"/>
    <w:rsid w:val="00925D33"/>
    <w:rsid w:val="00930FE9"/>
    <w:rsid w:val="00931250"/>
    <w:rsid w:val="00934E44"/>
    <w:rsid w:val="009444DC"/>
    <w:rsid w:val="00950952"/>
    <w:rsid w:val="00954AC0"/>
    <w:rsid w:val="00956B7C"/>
    <w:rsid w:val="009621C6"/>
    <w:rsid w:val="00962AD9"/>
    <w:rsid w:val="00972AF8"/>
    <w:rsid w:val="009743DA"/>
    <w:rsid w:val="00975AD2"/>
    <w:rsid w:val="00984D11"/>
    <w:rsid w:val="00986A10"/>
    <w:rsid w:val="00992AA5"/>
    <w:rsid w:val="00997648"/>
    <w:rsid w:val="009976B3"/>
    <w:rsid w:val="009A2404"/>
    <w:rsid w:val="009A2450"/>
    <w:rsid w:val="009A3FAC"/>
    <w:rsid w:val="009A754D"/>
    <w:rsid w:val="009B08D4"/>
    <w:rsid w:val="009B324A"/>
    <w:rsid w:val="009B3F8B"/>
    <w:rsid w:val="009C046E"/>
    <w:rsid w:val="009C7B32"/>
    <w:rsid w:val="009D1AAE"/>
    <w:rsid w:val="009E40D5"/>
    <w:rsid w:val="009E429C"/>
    <w:rsid w:val="009E6CEB"/>
    <w:rsid w:val="009E7422"/>
    <w:rsid w:val="009F00EF"/>
    <w:rsid w:val="009F2CDA"/>
    <w:rsid w:val="00A01586"/>
    <w:rsid w:val="00A10B3B"/>
    <w:rsid w:val="00A319D3"/>
    <w:rsid w:val="00A32BAE"/>
    <w:rsid w:val="00A352A1"/>
    <w:rsid w:val="00A3748E"/>
    <w:rsid w:val="00A44133"/>
    <w:rsid w:val="00A45082"/>
    <w:rsid w:val="00A50383"/>
    <w:rsid w:val="00A53290"/>
    <w:rsid w:val="00A565E5"/>
    <w:rsid w:val="00A62E31"/>
    <w:rsid w:val="00A646FF"/>
    <w:rsid w:val="00A66985"/>
    <w:rsid w:val="00A71C22"/>
    <w:rsid w:val="00A80DA1"/>
    <w:rsid w:val="00A8199F"/>
    <w:rsid w:val="00A81B63"/>
    <w:rsid w:val="00A84BE1"/>
    <w:rsid w:val="00A867A8"/>
    <w:rsid w:val="00A90F79"/>
    <w:rsid w:val="00A94A36"/>
    <w:rsid w:val="00A96243"/>
    <w:rsid w:val="00AA6DC8"/>
    <w:rsid w:val="00AB2682"/>
    <w:rsid w:val="00AB39C1"/>
    <w:rsid w:val="00AB4824"/>
    <w:rsid w:val="00AC5180"/>
    <w:rsid w:val="00AD0306"/>
    <w:rsid w:val="00AD337A"/>
    <w:rsid w:val="00AE21CF"/>
    <w:rsid w:val="00AF1F16"/>
    <w:rsid w:val="00AF272F"/>
    <w:rsid w:val="00AF28F1"/>
    <w:rsid w:val="00AF6DE5"/>
    <w:rsid w:val="00B05CD4"/>
    <w:rsid w:val="00B14E9C"/>
    <w:rsid w:val="00B20623"/>
    <w:rsid w:val="00B24D88"/>
    <w:rsid w:val="00B41F9B"/>
    <w:rsid w:val="00B42527"/>
    <w:rsid w:val="00B47556"/>
    <w:rsid w:val="00B507F1"/>
    <w:rsid w:val="00B6290D"/>
    <w:rsid w:val="00B64EA4"/>
    <w:rsid w:val="00B657B0"/>
    <w:rsid w:val="00B702C6"/>
    <w:rsid w:val="00B70928"/>
    <w:rsid w:val="00B72DE5"/>
    <w:rsid w:val="00B74F47"/>
    <w:rsid w:val="00B80947"/>
    <w:rsid w:val="00B82586"/>
    <w:rsid w:val="00B85991"/>
    <w:rsid w:val="00B92235"/>
    <w:rsid w:val="00B93AC7"/>
    <w:rsid w:val="00BA2D3E"/>
    <w:rsid w:val="00BA3F62"/>
    <w:rsid w:val="00BA514D"/>
    <w:rsid w:val="00BB084E"/>
    <w:rsid w:val="00BB39F2"/>
    <w:rsid w:val="00BC40C5"/>
    <w:rsid w:val="00BC71F8"/>
    <w:rsid w:val="00BC7EB2"/>
    <w:rsid w:val="00BE335C"/>
    <w:rsid w:val="00BF1720"/>
    <w:rsid w:val="00BF5E52"/>
    <w:rsid w:val="00C036C2"/>
    <w:rsid w:val="00C0387D"/>
    <w:rsid w:val="00C0490A"/>
    <w:rsid w:val="00C1662B"/>
    <w:rsid w:val="00C16BAB"/>
    <w:rsid w:val="00C17E27"/>
    <w:rsid w:val="00C22DB2"/>
    <w:rsid w:val="00C256BD"/>
    <w:rsid w:val="00C3067F"/>
    <w:rsid w:val="00C35397"/>
    <w:rsid w:val="00C356C5"/>
    <w:rsid w:val="00C36504"/>
    <w:rsid w:val="00C3761B"/>
    <w:rsid w:val="00C425D8"/>
    <w:rsid w:val="00C43119"/>
    <w:rsid w:val="00C46240"/>
    <w:rsid w:val="00C51116"/>
    <w:rsid w:val="00C531F0"/>
    <w:rsid w:val="00C535B5"/>
    <w:rsid w:val="00C554D4"/>
    <w:rsid w:val="00C720E8"/>
    <w:rsid w:val="00C72E4D"/>
    <w:rsid w:val="00C75134"/>
    <w:rsid w:val="00C830C1"/>
    <w:rsid w:val="00C854C4"/>
    <w:rsid w:val="00C85B6E"/>
    <w:rsid w:val="00C94284"/>
    <w:rsid w:val="00C9536A"/>
    <w:rsid w:val="00CB2CF4"/>
    <w:rsid w:val="00CB6249"/>
    <w:rsid w:val="00CC3C59"/>
    <w:rsid w:val="00CD13CE"/>
    <w:rsid w:val="00CD2C51"/>
    <w:rsid w:val="00CD5FD4"/>
    <w:rsid w:val="00CD6467"/>
    <w:rsid w:val="00CE14B1"/>
    <w:rsid w:val="00CE1CF0"/>
    <w:rsid w:val="00CE269A"/>
    <w:rsid w:val="00CE51B1"/>
    <w:rsid w:val="00CE5431"/>
    <w:rsid w:val="00D02006"/>
    <w:rsid w:val="00D13E4F"/>
    <w:rsid w:val="00D152D9"/>
    <w:rsid w:val="00D20A5F"/>
    <w:rsid w:val="00D25A6E"/>
    <w:rsid w:val="00D26391"/>
    <w:rsid w:val="00D3445B"/>
    <w:rsid w:val="00D37D6A"/>
    <w:rsid w:val="00D425D1"/>
    <w:rsid w:val="00D45203"/>
    <w:rsid w:val="00D47706"/>
    <w:rsid w:val="00D535A3"/>
    <w:rsid w:val="00D73326"/>
    <w:rsid w:val="00D74517"/>
    <w:rsid w:val="00D74EB9"/>
    <w:rsid w:val="00D931FA"/>
    <w:rsid w:val="00D949D4"/>
    <w:rsid w:val="00D962DD"/>
    <w:rsid w:val="00D97EFC"/>
    <w:rsid w:val="00DA2DE5"/>
    <w:rsid w:val="00DB4E7C"/>
    <w:rsid w:val="00DB6E0A"/>
    <w:rsid w:val="00DC027D"/>
    <w:rsid w:val="00DC7A82"/>
    <w:rsid w:val="00DD3244"/>
    <w:rsid w:val="00DD3FB2"/>
    <w:rsid w:val="00DE2878"/>
    <w:rsid w:val="00DF5E94"/>
    <w:rsid w:val="00DF6427"/>
    <w:rsid w:val="00E0077F"/>
    <w:rsid w:val="00E05D30"/>
    <w:rsid w:val="00E069C1"/>
    <w:rsid w:val="00E11DCC"/>
    <w:rsid w:val="00E2717B"/>
    <w:rsid w:val="00E321BD"/>
    <w:rsid w:val="00E33D1B"/>
    <w:rsid w:val="00E62FA5"/>
    <w:rsid w:val="00E64C49"/>
    <w:rsid w:val="00E6766E"/>
    <w:rsid w:val="00E70490"/>
    <w:rsid w:val="00E74A87"/>
    <w:rsid w:val="00E81636"/>
    <w:rsid w:val="00E84825"/>
    <w:rsid w:val="00E86B7F"/>
    <w:rsid w:val="00EA04BB"/>
    <w:rsid w:val="00EA08FE"/>
    <w:rsid w:val="00EA522B"/>
    <w:rsid w:val="00EA6594"/>
    <w:rsid w:val="00EB2136"/>
    <w:rsid w:val="00EC569C"/>
    <w:rsid w:val="00EC7C52"/>
    <w:rsid w:val="00ED641D"/>
    <w:rsid w:val="00ED67B5"/>
    <w:rsid w:val="00ED7F8C"/>
    <w:rsid w:val="00EF4922"/>
    <w:rsid w:val="00EF7A79"/>
    <w:rsid w:val="00F0176F"/>
    <w:rsid w:val="00F01CCA"/>
    <w:rsid w:val="00F039D8"/>
    <w:rsid w:val="00F112E5"/>
    <w:rsid w:val="00F133F6"/>
    <w:rsid w:val="00F30993"/>
    <w:rsid w:val="00F31B40"/>
    <w:rsid w:val="00F34796"/>
    <w:rsid w:val="00F46F8C"/>
    <w:rsid w:val="00F55653"/>
    <w:rsid w:val="00F56B76"/>
    <w:rsid w:val="00F57A96"/>
    <w:rsid w:val="00F66DD5"/>
    <w:rsid w:val="00F71F55"/>
    <w:rsid w:val="00F747D0"/>
    <w:rsid w:val="00F76055"/>
    <w:rsid w:val="00F9024D"/>
    <w:rsid w:val="00FA2BF5"/>
    <w:rsid w:val="00FA698C"/>
    <w:rsid w:val="00FB5A13"/>
    <w:rsid w:val="00FD1CE4"/>
    <w:rsid w:val="00FE15ED"/>
    <w:rsid w:val="00FE31D1"/>
    <w:rsid w:val="00FF3501"/>
    <w:rsid w:val="00FF5353"/>
    <w:rsid w:val="00FF75A1"/>
    <w:rsid w:val="01434DAE"/>
    <w:rsid w:val="03C851C1"/>
    <w:rsid w:val="06166FCA"/>
    <w:rsid w:val="064462F9"/>
    <w:rsid w:val="06CE13D4"/>
    <w:rsid w:val="06E63935"/>
    <w:rsid w:val="07083664"/>
    <w:rsid w:val="077B0002"/>
    <w:rsid w:val="07A02055"/>
    <w:rsid w:val="082830E9"/>
    <w:rsid w:val="097D07A3"/>
    <w:rsid w:val="0A373DDC"/>
    <w:rsid w:val="0A4F1BCA"/>
    <w:rsid w:val="0C235A99"/>
    <w:rsid w:val="0CFA250F"/>
    <w:rsid w:val="0E650162"/>
    <w:rsid w:val="10863C65"/>
    <w:rsid w:val="111C3700"/>
    <w:rsid w:val="126E64B4"/>
    <w:rsid w:val="138762CF"/>
    <w:rsid w:val="13E54FE4"/>
    <w:rsid w:val="140E6CBB"/>
    <w:rsid w:val="149B2185"/>
    <w:rsid w:val="156B3706"/>
    <w:rsid w:val="19405BE2"/>
    <w:rsid w:val="1A900654"/>
    <w:rsid w:val="1C193EE1"/>
    <w:rsid w:val="1C21024C"/>
    <w:rsid w:val="1CAB6232"/>
    <w:rsid w:val="1D294947"/>
    <w:rsid w:val="1F926F1B"/>
    <w:rsid w:val="20B52DA0"/>
    <w:rsid w:val="235777BC"/>
    <w:rsid w:val="24CB6AA1"/>
    <w:rsid w:val="25CD3F74"/>
    <w:rsid w:val="276D02F9"/>
    <w:rsid w:val="27996CA8"/>
    <w:rsid w:val="28211F99"/>
    <w:rsid w:val="28343213"/>
    <w:rsid w:val="284171B5"/>
    <w:rsid w:val="2869057D"/>
    <w:rsid w:val="292057AA"/>
    <w:rsid w:val="298B49FC"/>
    <w:rsid w:val="2DCE0013"/>
    <w:rsid w:val="2F982C89"/>
    <w:rsid w:val="335524DE"/>
    <w:rsid w:val="33606D2A"/>
    <w:rsid w:val="37275EF2"/>
    <w:rsid w:val="37D54EBE"/>
    <w:rsid w:val="38F978DA"/>
    <w:rsid w:val="3E097C11"/>
    <w:rsid w:val="3F1B7ACA"/>
    <w:rsid w:val="3F5725EE"/>
    <w:rsid w:val="3F796672"/>
    <w:rsid w:val="3FF56BDD"/>
    <w:rsid w:val="401812CF"/>
    <w:rsid w:val="41C02839"/>
    <w:rsid w:val="42BF1349"/>
    <w:rsid w:val="471B7F99"/>
    <w:rsid w:val="476538F5"/>
    <w:rsid w:val="47DF739E"/>
    <w:rsid w:val="482E45FA"/>
    <w:rsid w:val="4C736634"/>
    <w:rsid w:val="4CCC2E10"/>
    <w:rsid w:val="4E5E1448"/>
    <w:rsid w:val="4FEC7954"/>
    <w:rsid w:val="524B54ED"/>
    <w:rsid w:val="52FE29BE"/>
    <w:rsid w:val="543E3EEC"/>
    <w:rsid w:val="55785AE5"/>
    <w:rsid w:val="55D80B37"/>
    <w:rsid w:val="56390A80"/>
    <w:rsid w:val="57110114"/>
    <w:rsid w:val="599359C8"/>
    <w:rsid w:val="5CC35544"/>
    <w:rsid w:val="5DFF04B6"/>
    <w:rsid w:val="5E313D4D"/>
    <w:rsid w:val="5E513694"/>
    <w:rsid w:val="5F1C59FD"/>
    <w:rsid w:val="5F8D35D9"/>
    <w:rsid w:val="61306DA0"/>
    <w:rsid w:val="6156148C"/>
    <w:rsid w:val="622731D0"/>
    <w:rsid w:val="62550DAA"/>
    <w:rsid w:val="63C51C73"/>
    <w:rsid w:val="644E3D06"/>
    <w:rsid w:val="64644930"/>
    <w:rsid w:val="663F0DC2"/>
    <w:rsid w:val="69ED4C9C"/>
    <w:rsid w:val="6B970321"/>
    <w:rsid w:val="6D856A81"/>
    <w:rsid w:val="6E5627E9"/>
    <w:rsid w:val="7011255A"/>
    <w:rsid w:val="70F74A15"/>
    <w:rsid w:val="713A674D"/>
    <w:rsid w:val="71C23F15"/>
    <w:rsid w:val="721815F8"/>
    <w:rsid w:val="72E86D1F"/>
    <w:rsid w:val="739E44E3"/>
    <w:rsid w:val="75C70755"/>
    <w:rsid w:val="77E71139"/>
    <w:rsid w:val="77F23F94"/>
    <w:rsid w:val="787B6715"/>
    <w:rsid w:val="79644059"/>
    <w:rsid w:val="7DC03EF6"/>
    <w:rsid w:val="7E741B23"/>
    <w:rsid w:val="7FAF76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ocked="1"/>
    <w:lsdException w:qFormat="1" w:unhideWhenUsed="0" w:uiPriority="0" w:semiHidden="0" w:name="caption"/>
    <w:lsdException w:uiPriority="99" w:name="table of figures" w:locked="1"/>
    <w:lsdException w:uiPriority="99" w:name="envelope address" w:locked="1"/>
    <w:lsdException w:uiPriority="99" w:name="envelope return" w:locked="1"/>
    <w:lsdException w:qFormat="1" w:unhideWhenUsed="0" w:uiPriority="0"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0" w:semiHidden="0" w:name="List Number" w:locked="1"/>
    <w:lsdException w:qFormat="1" w:uiPriority="99" w:semiHidden="0" w:name="List 2" w:locked="1"/>
    <w:lsdException w:uiPriority="99" w:name="List 3" w:locked="1"/>
    <w:lsdException w:qFormat="1" w:unhideWhenUsed="0" w:uiPriority="99" w:semiHidden="0"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0" w:semiHidden="0" w:name="Body Text 2"/>
    <w:lsdException w:uiPriority="99" w:name="Body Text 3" w:locked="1"/>
    <w:lsdException w:qFormat="1" w:unhideWhenUsed="0" w:uiPriority="0" w:semiHidden="0" w:name="Body Text Indent 2"/>
    <w:lsdException w:qFormat="1" w:unhideWhenUsed="0" w:uiPriority="0"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qFormat="1" w:unhideWhenUsed="0" w:uiPriority="99" w:semiHidden="0"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56"/>
    <w:qFormat/>
    <w:uiPriority w:val="0"/>
    <w:pPr>
      <w:keepNext/>
      <w:keepLines/>
      <w:numPr>
        <w:ilvl w:val="0"/>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1"/>
    <w:next w:val="3"/>
    <w:link w:val="93"/>
    <w:qFormat/>
    <w:uiPriority w:val="9"/>
    <w:pPr>
      <w:keepNext/>
      <w:keepLines/>
      <w:numPr>
        <w:ilvl w:val="1"/>
        <w:numId w:val="2"/>
      </w:numPr>
      <w:spacing w:line="360" w:lineRule="auto"/>
      <w:outlineLvl w:val="1"/>
    </w:pPr>
    <w:rPr>
      <w:rFonts w:ascii="Arial" w:hAnsi="Arial" w:cs="Arial"/>
      <w:b/>
      <w:bCs/>
      <w:sz w:val="28"/>
      <w:szCs w:val="28"/>
    </w:rPr>
  </w:style>
  <w:style w:type="paragraph" w:styleId="3">
    <w:name w:val="heading 3"/>
    <w:basedOn w:val="1"/>
    <w:next w:val="1"/>
    <w:link w:val="94"/>
    <w:qFormat/>
    <w:uiPriority w:val="9"/>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5">
    <w:name w:val="heading 4"/>
    <w:basedOn w:val="1"/>
    <w:next w:val="1"/>
    <w:link w:val="95"/>
    <w:qFormat/>
    <w:uiPriority w:val="9"/>
    <w:pPr>
      <w:keepNext/>
      <w:keepLines/>
      <w:numPr>
        <w:ilvl w:val="3"/>
        <w:numId w:val="3"/>
      </w:numPr>
      <w:spacing w:before="160" w:after="160" w:line="360" w:lineRule="auto"/>
      <w:outlineLvl w:val="3"/>
    </w:pPr>
    <w:rPr>
      <w:rFonts w:ascii="Arial" w:hAnsi="Arial" w:cs="Arial"/>
      <w:b/>
      <w:bCs/>
      <w:sz w:val="24"/>
      <w:szCs w:val="24"/>
    </w:rPr>
  </w:style>
  <w:style w:type="paragraph" w:styleId="6">
    <w:name w:val="heading 5"/>
    <w:basedOn w:val="1"/>
    <w:next w:val="1"/>
    <w:link w:val="60"/>
    <w:qFormat/>
    <w:uiPriority w:val="9"/>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7">
    <w:name w:val="heading 6"/>
    <w:basedOn w:val="1"/>
    <w:next w:val="1"/>
    <w:link w:val="61"/>
    <w:qFormat/>
    <w:uiPriority w:val="9"/>
    <w:pPr>
      <w:keepNext/>
      <w:keepLines/>
      <w:tabs>
        <w:tab w:val="left" w:pos="2940"/>
      </w:tabs>
      <w:spacing w:before="120" w:line="360" w:lineRule="auto"/>
      <w:ind w:left="2940" w:hanging="420"/>
      <w:outlineLvl w:val="5"/>
    </w:pPr>
    <w:rPr>
      <w:rFonts w:ascii="Arial" w:hAnsi="Arial" w:cs="Arial"/>
    </w:rPr>
  </w:style>
  <w:style w:type="paragraph" w:styleId="8">
    <w:name w:val="heading 7"/>
    <w:basedOn w:val="1"/>
    <w:next w:val="1"/>
    <w:link w:val="62"/>
    <w:qFormat/>
    <w:uiPriority w:val="9"/>
    <w:pPr>
      <w:keepNext/>
      <w:keepLines/>
      <w:tabs>
        <w:tab w:val="left" w:pos="3360"/>
      </w:tabs>
      <w:spacing w:before="120" w:line="360" w:lineRule="auto"/>
      <w:ind w:left="3360" w:hanging="420"/>
      <w:outlineLvl w:val="6"/>
    </w:pPr>
    <w:rPr>
      <w:rFonts w:ascii="Times New Roman" w:hAnsi="Times New Roman" w:cs="Times New Roman"/>
    </w:rPr>
  </w:style>
  <w:style w:type="paragraph" w:styleId="9">
    <w:name w:val="heading 8"/>
    <w:basedOn w:val="1"/>
    <w:next w:val="1"/>
    <w:link w:val="63"/>
    <w:qFormat/>
    <w:uiPriority w:val="0"/>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10">
    <w:name w:val="heading 9"/>
    <w:basedOn w:val="1"/>
    <w:next w:val="1"/>
    <w:link w:val="64"/>
    <w:qFormat/>
    <w:uiPriority w:val="0"/>
    <w:pPr>
      <w:keepNext/>
      <w:keepLines/>
      <w:tabs>
        <w:tab w:val="left" w:pos="4200"/>
      </w:tabs>
      <w:spacing w:before="120" w:line="360" w:lineRule="auto"/>
      <w:ind w:left="4200" w:hanging="420"/>
      <w:outlineLvl w:val="8"/>
    </w:pPr>
    <w:rPr>
      <w:rFonts w:ascii="Arial" w:hAnsi="Arial" w:cs="Arial"/>
    </w:rPr>
  </w:style>
  <w:style w:type="character" w:default="1" w:styleId="47">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0"/>
    <w:qFormat/>
    <w:uiPriority w:val="0"/>
    <w:rPr>
      <w:b/>
      <w:bCs/>
    </w:rPr>
  </w:style>
  <w:style w:type="paragraph" w:styleId="12">
    <w:name w:val="annotation text"/>
    <w:basedOn w:val="1"/>
    <w:link w:val="67"/>
    <w:qFormat/>
    <w:uiPriority w:val="0"/>
    <w:pPr>
      <w:spacing w:line="360" w:lineRule="auto"/>
      <w:ind w:firstLine="200" w:firstLineChars="200"/>
      <w:jc w:val="left"/>
    </w:pPr>
    <w:rPr>
      <w:rFonts w:eastAsia="仿宋"/>
      <w:sz w:val="32"/>
      <w:szCs w:val="32"/>
    </w:rPr>
  </w:style>
  <w:style w:type="paragraph" w:styleId="13">
    <w:name w:val="toc 7"/>
    <w:basedOn w:val="1"/>
    <w:next w:val="1"/>
    <w:qFormat/>
    <w:uiPriority w:val="39"/>
    <w:pPr>
      <w:widowControl/>
      <w:ind w:left="1260"/>
      <w:jc w:val="left"/>
    </w:pPr>
    <w:rPr>
      <w:kern w:val="0"/>
      <w:sz w:val="18"/>
      <w:szCs w:val="18"/>
    </w:rPr>
  </w:style>
  <w:style w:type="paragraph" w:styleId="14">
    <w:name w:val="Body Text First Indent"/>
    <w:basedOn w:val="1"/>
    <w:link w:val="69"/>
    <w:qFormat/>
    <w:uiPriority w:val="99"/>
    <w:pPr>
      <w:adjustRightInd w:val="0"/>
      <w:snapToGrid w:val="0"/>
      <w:spacing w:after="120" w:line="400" w:lineRule="exact"/>
      <w:ind w:firstLine="510"/>
    </w:pPr>
    <w:rPr>
      <w:rFonts w:ascii="Times New Roman" w:hAnsi="Times New Roman" w:cs="Times New Roman"/>
      <w:sz w:val="24"/>
      <w:szCs w:val="24"/>
    </w:rPr>
  </w:style>
  <w:style w:type="paragraph" w:styleId="15">
    <w:name w:val="List Number"/>
    <w:basedOn w:val="1"/>
    <w:qFormat/>
    <w:locked/>
    <w:uiPriority w:val="0"/>
    <w:pPr>
      <w:numPr>
        <w:ilvl w:val="0"/>
        <w:numId w:val="2"/>
      </w:numPr>
      <w:tabs>
        <w:tab w:val="left" w:pos="360"/>
      </w:tabs>
      <w:spacing w:line="360" w:lineRule="auto"/>
      <w:ind w:firstLine="200" w:firstLineChars="200"/>
      <w:contextualSpacing/>
    </w:pPr>
    <w:rPr>
      <w:rFonts w:ascii="仿宋" w:hAnsi="仿宋" w:cs="Times New Roman"/>
      <w:sz w:val="24"/>
    </w:rPr>
  </w:style>
  <w:style w:type="paragraph" w:styleId="16">
    <w:name w:val="Normal Indent"/>
    <w:basedOn w:val="1"/>
    <w:link w:val="106"/>
    <w:qFormat/>
    <w:uiPriority w:val="0"/>
    <w:pPr>
      <w:widowControl/>
      <w:spacing w:line="360" w:lineRule="auto"/>
      <w:ind w:firstLine="420"/>
      <w:jc w:val="left"/>
    </w:pPr>
    <w:rPr>
      <w:rFonts w:ascii="宋体" w:cs="宋体"/>
    </w:rPr>
  </w:style>
  <w:style w:type="paragraph" w:styleId="17">
    <w:name w:val="caption"/>
    <w:basedOn w:val="1"/>
    <w:next w:val="1"/>
    <w:link w:val="166"/>
    <w:qFormat/>
    <w:uiPriority w:val="0"/>
    <w:pPr>
      <w:jc w:val="center"/>
    </w:pPr>
    <w:rPr>
      <w:rFonts w:ascii="华文彩云" w:hAnsi="Century Gothic" w:cs="Times New Roman"/>
      <w:b/>
      <w:bCs/>
      <w:kern w:val="0"/>
      <w:sz w:val="72"/>
      <w:szCs w:val="72"/>
    </w:rPr>
  </w:style>
  <w:style w:type="paragraph" w:styleId="18">
    <w:name w:val="Document Map"/>
    <w:basedOn w:val="1"/>
    <w:link w:val="87"/>
    <w:qFormat/>
    <w:uiPriority w:val="99"/>
    <w:pPr>
      <w:widowControl/>
      <w:shd w:val="clear" w:color="auto" w:fill="000080"/>
      <w:jc w:val="left"/>
    </w:pPr>
  </w:style>
  <w:style w:type="paragraph" w:styleId="19">
    <w:name w:val="Body Text"/>
    <w:basedOn w:val="1"/>
    <w:link w:val="70"/>
    <w:qFormat/>
    <w:uiPriority w:val="0"/>
    <w:pPr>
      <w:widowControl/>
      <w:spacing w:after="120"/>
      <w:jc w:val="left"/>
    </w:pPr>
  </w:style>
  <w:style w:type="paragraph" w:styleId="20">
    <w:name w:val="Body Text Indent"/>
    <w:basedOn w:val="1"/>
    <w:link w:val="88"/>
    <w:qFormat/>
    <w:uiPriority w:val="0"/>
    <w:pPr>
      <w:widowControl/>
      <w:spacing w:after="120"/>
      <w:ind w:left="420" w:leftChars="200"/>
      <w:jc w:val="left"/>
    </w:pPr>
  </w:style>
  <w:style w:type="paragraph" w:styleId="21">
    <w:name w:val="List 2"/>
    <w:basedOn w:val="1"/>
    <w:unhideWhenUsed/>
    <w:qFormat/>
    <w:locked/>
    <w:uiPriority w:val="99"/>
    <w:pPr>
      <w:ind w:left="100" w:leftChars="200" w:hanging="200" w:hangingChars="200"/>
    </w:pPr>
    <w:rPr>
      <w:rFonts w:ascii="Times New Roman" w:hAnsi="Times New Roman" w:cs="Times New Roman"/>
      <w:sz w:val="28"/>
      <w:szCs w:val="20"/>
    </w:rPr>
  </w:style>
  <w:style w:type="paragraph" w:styleId="22">
    <w:name w:val="HTML Address"/>
    <w:basedOn w:val="1"/>
    <w:link w:val="73"/>
    <w:qFormat/>
    <w:locked/>
    <w:uiPriority w:val="99"/>
    <w:rPr>
      <w:i/>
      <w:iCs/>
      <w:kern w:val="0"/>
      <w:sz w:val="20"/>
      <w:szCs w:val="20"/>
    </w:rPr>
  </w:style>
  <w:style w:type="paragraph" w:styleId="23">
    <w:name w:val="toc 5"/>
    <w:basedOn w:val="1"/>
    <w:next w:val="1"/>
    <w:qFormat/>
    <w:uiPriority w:val="39"/>
    <w:pPr>
      <w:widowControl/>
      <w:ind w:left="840"/>
      <w:jc w:val="left"/>
    </w:pPr>
    <w:rPr>
      <w:kern w:val="0"/>
      <w:sz w:val="18"/>
      <w:szCs w:val="18"/>
    </w:rPr>
  </w:style>
  <w:style w:type="paragraph" w:styleId="24">
    <w:name w:val="toc 3"/>
    <w:basedOn w:val="1"/>
    <w:next w:val="1"/>
    <w:qFormat/>
    <w:uiPriority w:val="39"/>
    <w:pPr>
      <w:widowControl/>
      <w:ind w:left="420"/>
      <w:jc w:val="left"/>
    </w:pPr>
    <w:rPr>
      <w:i/>
      <w:iCs/>
      <w:kern w:val="0"/>
      <w:sz w:val="20"/>
      <w:szCs w:val="20"/>
    </w:rPr>
  </w:style>
  <w:style w:type="paragraph" w:styleId="25">
    <w:name w:val="Plain Text"/>
    <w:basedOn w:val="1"/>
    <w:link w:val="74"/>
    <w:qFormat/>
    <w:uiPriority w:val="99"/>
    <w:rPr>
      <w:rFonts w:ascii="宋体" w:hAnsi="Courier New" w:cs="宋体"/>
    </w:rPr>
  </w:style>
  <w:style w:type="paragraph" w:styleId="26">
    <w:name w:val="toc 8"/>
    <w:basedOn w:val="1"/>
    <w:next w:val="1"/>
    <w:qFormat/>
    <w:uiPriority w:val="39"/>
    <w:pPr>
      <w:widowControl/>
      <w:ind w:left="1470"/>
      <w:jc w:val="left"/>
    </w:pPr>
    <w:rPr>
      <w:kern w:val="0"/>
      <w:sz w:val="18"/>
      <w:szCs w:val="18"/>
    </w:rPr>
  </w:style>
  <w:style w:type="paragraph" w:styleId="27">
    <w:name w:val="Date"/>
    <w:basedOn w:val="1"/>
    <w:next w:val="1"/>
    <w:link w:val="75"/>
    <w:qFormat/>
    <w:uiPriority w:val="99"/>
    <w:pPr>
      <w:widowControl/>
      <w:ind w:left="100" w:leftChars="2500"/>
      <w:jc w:val="left"/>
    </w:pPr>
    <w:rPr>
      <w:rFonts w:ascii="Times New Roman" w:hAnsi="Times New Roman" w:cs="Times New Roman"/>
      <w:kern w:val="0"/>
    </w:rPr>
  </w:style>
  <w:style w:type="paragraph" w:styleId="28">
    <w:name w:val="Body Text Indent 2"/>
    <w:basedOn w:val="1"/>
    <w:link w:val="76"/>
    <w:qFormat/>
    <w:uiPriority w:val="0"/>
    <w:pPr>
      <w:spacing w:line="360" w:lineRule="auto"/>
      <w:ind w:firstLine="360"/>
    </w:pPr>
    <w:rPr>
      <w:rFonts w:ascii="宋体" w:hAnsi="Times New Roman" w:cs="宋体"/>
      <w:sz w:val="24"/>
      <w:szCs w:val="24"/>
    </w:rPr>
  </w:style>
  <w:style w:type="paragraph" w:styleId="29">
    <w:name w:val="Balloon Text"/>
    <w:basedOn w:val="1"/>
    <w:link w:val="89"/>
    <w:qFormat/>
    <w:uiPriority w:val="99"/>
    <w:pPr>
      <w:ind w:firstLine="200" w:firstLineChars="200"/>
      <w:jc w:val="left"/>
    </w:pPr>
    <w:rPr>
      <w:rFonts w:eastAsia="仿宋"/>
      <w:sz w:val="18"/>
      <w:szCs w:val="18"/>
    </w:rPr>
  </w:style>
  <w:style w:type="paragraph" w:styleId="30">
    <w:name w:val="footer"/>
    <w:basedOn w:val="1"/>
    <w:link w:val="78"/>
    <w:qFormat/>
    <w:uiPriority w:val="0"/>
    <w:pPr>
      <w:tabs>
        <w:tab w:val="center" w:pos="4153"/>
        <w:tab w:val="right" w:pos="8306"/>
      </w:tabs>
      <w:snapToGrid w:val="0"/>
      <w:jc w:val="left"/>
    </w:pPr>
    <w:rPr>
      <w:sz w:val="18"/>
      <w:szCs w:val="18"/>
    </w:rPr>
  </w:style>
  <w:style w:type="paragraph" w:styleId="31">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2">
    <w:name w:val="Signature"/>
    <w:basedOn w:val="1"/>
    <w:link w:val="90"/>
    <w:qFormat/>
    <w:uiPriority w:val="99"/>
    <w:pPr>
      <w:widowControl/>
      <w:jc w:val="right"/>
    </w:pPr>
  </w:style>
  <w:style w:type="paragraph" w:styleId="33">
    <w:name w:val="toc 1"/>
    <w:basedOn w:val="1"/>
    <w:next w:val="1"/>
    <w:qFormat/>
    <w:uiPriority w:val="39"/>
    <w:pPr>
      <w:widowControl/>
      <w:spacing w:before="120" w:after="120"/>
      <w:jc w:val="left"/>
    </w:pPr>
    <w:rPr>
      <w:b/>
      <w:bCs/>
      <w:caps/>
      <w:kern w:val="0"/>
      <w:sz w:val="20"/>
      <w:szCs w:val="20"/>
    </w:rPr>
  </w:style>
  <w:style w:type="paragraph" w:styleId="34">
    <w:name w:val="toc 4"/>
    <w:basedOn w:val="1"/>
    <w:next w:val="1"/>
    <w:qFormat/>
    <w:uiPriority w:val="39"/>
    <w:pPr>
      <w:widowControl/>
      <w:ind w:left="630"/>
      <w:jc w:val="left"/>
    </w:pPr>
    <w:rPr>
      <w:kern w:val="0"/>
      <w:sz w:val="18"/>
      <w:szCs w:val="18"/>
    </w:rPr>
  </w:style>
  <w:style w:type="paragraph" w:styleId="35">
    <w:name w:val="Subtitle"/>
    <w:basedOn w:val="1"/>
    <w:next w:val="1"/>
    <w:link w:val="91"/>
    <w:qFormat/>
    <w:uiPriority w:val="99"/>
    <w:pPr>
      <w:widowControl/>
      <w:spacing w:before="40" w:after="40"/>
      <w:jc w:val="center"/>
    </w:pPr>
    <w:rPr>
      <w:rFonts w:eastAsia="幼圆"/>
      <w:b/>
      <w:bCs/>
      <w:sz w:val="28"/>
      <w:szCs w:val="28"/>
    </w:rPr>
  </w:style>
  <w:style w:type="paragraph" w:styleId="36">
    <w:name w:val="footnote text"/>
    <w:basedOn w:val="1"/>
    <w:link w:val="245"/>
    <w:locked/>
    <w:uiPriority w:val="0"/>
    <w:pPr>
      <w:snapToGrid w:val="0"/>
      <w:spacing w:line="360" w:lineRule="auto"/>
      <w:ind w:firstLine="200" w:firstLineChars="200"/>
      <w:jc w:val="left"/>
    </w:pPr>
    <w:rPr>
      <w:rFonts w:ascii="仿宋" w:hAnsi="仿宋" w:cs="宋体"/>
      <w:sz w:val="18"/>
      <w:szCs w:val="18"/>
    </w:rPr>
  </w:style>
  <w:style w:type="paragraph" w:styleId="37">
    <w:name w:val="toc 6"/>
    <w:basedOn w:val="1"/>
    <w:next w:val="1"/>
    <w:qFormat/>
    <w:uiPriority w:val="39"/>
    <w:pPr>
      <w:widowControl/>
      <w:ind w:left="1050"/>
      <w:jc w:val="left"/>
    </w:pPr>
    <w:rPr>
      <w:kern w:val="0"/>
      <w:sz w:val="18"/>
      <w:szCs w:val="18"/>
    </w:rPr>
  </w:style>
  <w:style w:type="paragraph" w:styleId="38">
    <w:name w:val="Body Text Indent 3"/>
    <w:basedOn w:val="1"/>
    <w:link w:val="82"/>
    <w:qFormat/>
    <w:uiPriority w:val="0"/>
    <w:pPr>
      <w:spacing w:line="360" w:lineRule="exact"/>
      <w:ind w:firstLine="420" w:firstLineChars="200"/>
    </w:pPr>
    <w:rPr>
      <w:rFonts w:ascii="Times New Roman" w:hAnsi="Times New Roman" w:cs="Times New Roman"/>
    </w:rPr>
  </w:style>
  <w:style w:type="paragraph" w:styleId="39">
    <w:name w:val="toc 2"/>
    <w:basedOn w:val="1"/>
    <w:next w:val="1"/>
    <w:qFormat/>
    <w:uiPriority w:val="39"/>
    <w:pPr>
      <w:widowControl/>
      <w:ind w:left="210"/>
      <w:jc w:val="left"/>
    </w:pPr>
    <w:rPr>
      <w:smallCaps/>
      <w:kern w:val="0"/>
      <w:sz w:val="20"/>
      <w:szCs w:val="20"/>
    </w:rPr>
  </w:style>
  <w:style w:type="paragraph" w:styleId="40">
    <w:name w:val="toc 9"/>
    <w:basedOn w:val="1"/>
    <w:next w:val="1"/>
    <w:qFormat/>
    <w:uiPriority w:val="39"/>
    <w:pPr>
      <w:widowControl/>
      <w:ind w:left="1680"/>
      <w:jc w:val="left"/>
    </w:pPr>
    <w:rPr>
      <w:kern w:val="0"/>
      <w:sz w:val="18"/>
      <w:szCs w:val="18"/>
    </w:rPr>
  </w:style>
  <w:style w:type="paragraph" w:styleId="41">
    <w:name w:val="Body Text 2"/>
    <w:basedOn w:val="1"/>
    <w:link w:val="83"/>
    <w:qFormat/>
    <w:uiPriority w:val="0"/>
    <w:pPr>
      <w:spacing w:line="280" w:lineRule="exact"/>
    </w:pPr>
    <w:rPr>
      <w:rFonts w:ascii="仿宋_GB2312" w:hAnsi="Times New Roman" w:eastAsia="仿宋_GB2312" w:cs="仿宋_GB2312"/>
      <w:sz w:val="24"/>
      <w:szCs w:val="24"/>
    </w:rPr>
  </w:style>
  <w:style w:type="paragraph" w:styleId="42">
    <w:name w:val="List 4"/>
    <w:basedOn w:val="1"/>
    <w:qFormat/>
    <w:locked/>
    <w:uiPriority w:val="99"/>
    <w:pPr>
      <w:ind w:left="100" w:leftChars="600" w:hanging="200" w:hangingChars="200"/>
    </w:pPr>
    <w:rPr>
      <w:rFonts w:ascii="Times New Roman" w:hAnsi="Times New Roman" w:cs="Times New Roman"/>
    </w:rPr>
  </w:style>
  <w:style w:type="paragraph" w:styleId="43">
    <w:name w:val="Message Header"/>
    <w:basedOn w:val="19"/>
    <w:link w:val="84"/>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44">
    <w:name w:val="HTML Preformatted"/>
    <w:basedOn w:val="1"/>
    <w:link w:val="85"/>
    <w:qFormat/>
    <w:locked/>
    <w:uiPriority w:val="99"/>
    <w:rPr>
      <w:rFonts w:ascii="Courier New" w:hAnsi="Courier New" w:cs="Courier New"/>
      <w:kern w:val="0"/>
      <w:sz w:val="20"/>
      <w:szCs w:val="20"/>
    </w:rPr>
  </w:style>
  <w:style w:type="paragraph" w:styleId="45">
    <w:name w:val="Normal (Web)"/>
    <w:basedOn w:val="1"/>
    <w:link w:val="267"/>
    <w:qFormat/>
    <w:uiPriority w:val="0"/>
    <w:pPr>
      <w:widowControl/>
      <w:spacing w:before="100" w:beforeAutospacing="1" w:after="100" w:afterAutospacing="1"/>
      <w:jc w:val="left"/>
    </w:pPr>
    <w:rPr>
      <w:rFonts w:ascii="宋体" w:hAnsi="宋体" w:cs="宋体"/>
      <w:kern w:val="0"/>
      <w:sz w:val="24"/>
      <w:szCs w:val="24"/>
    </w:rPr>
  </w:style>
  <w:style w:type="paragraph" w:styleId="46">
    <w:name w:val="Title"/>
    <w:basedOn w:val="1"/>
    <w:link w:val="92"/>
    <w:qFormat/>
    <w:uiPriority w:val="0"/>
    <w:pPr>
      <w:widowControl/>
      <w:spacing w:before="240" w:after="60"/>
      <w:jc w:val="left"/>
      <w:outlineLvl w:val="0"/>
    </w:pPr>
    <w:rPr>
      <w:rFonts w:eastAsia="仿宋"/>
      <w:b/>
      <w:bCs/>
      <w:sz w:val="32"/>
      <w:szCs w:val="32"/>
    </w:r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qFormat/>
    <w:uiPriority w:val="99"/>
    <w:rPr>
      <w:color w:val="000000"/>
      <w:u w:val="none"/>
    </w:rPr>
  </w:style>
  <w:style w:type="character" w:styleId="51">
    <w:name w:val="Hyperlink"/>
    <w:basedOn w:val="47"/>
    <w:qFormat/>
    <w:uiPriority w:val="99"/>
    <w:rPr>
      <w:color w:val="000000"/>
      <w:u w:val="none"/>
    </w:rPr>
  </w:style>
  <w:style w:type="character" w:styleId="52">
    <w:name w:val="annotation reference"/>
    <w:basedOn w:val="47"/>
    <w:qFormat/>
    <w:uiPriority w:val="0"/>
    <w:rPr>
      <w:sz w:val="21"/>
      <w:szCs w:val="21"/>
    </w:rPr>
  </w:style>
  <w:style w:type="character" w:styleId="53">
    <w:name w:val="footnote reference"/>
    <w:qFormat/>
    <w:locked/>
    <w:uiPriority w:val="0"/>
    <w:rPr>
      <w:rFonts w:ascii="宋体" w:hAnsi="宋体" w:cs="宋体"/>
      <w:sz w:val="24"/>
      <w:vertAlign w:val="superscript"/>
    </w:rPr>
  </w:style>
  <w:style w:type="table" w:styleId="55">
    <w:name w:val="Table Grid"/>
    <w:basedOn w:val="54"/>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标题 1 字符"/>
    <w:basedOn w:val="47"/>
    <w:link w:val="4"/>
    <w:qFormat/>
    <w:locked/>
    <w:uiPriority w:val="0"/>
    <w:rPr>
      <w:rFonts w:ascii="Times New Roman" w:hAnsi="Times New Roman" w:eastAsia="宋体" w:cs="Times New Roman"/>
      <w:b/>
      <w:bCs/>
      <w:kern w:val="44"/>
      <w:sz w:val="44"/>
      <w:szCs w:val="44"/>
    </w:rPr>
  </w:style>
  <w:style w:type="character" w:customStyle="1" w:styleId="57">
    <w:name w:val="Heading 2 Char"/>
    <w:basedOn w:val="47"/>
    <w:qFormat/>
    <w:locked/>
    <w:uiPriority w:val="99"/>
    <w:rPr>
      <w:rFonts w:eastAsia="仿宋"/>
      <w:b/>
      <w:bCs/>
      <w:kern w:val="44"/>
      <w:sz w:val="32"/>
      <w:szCs w:val="32"/>
      <w:lang w:val="en-US" w:eastAsia="zh-CN"/>
    </w:rPr>
  </w:style>
  <w:style w:type="character" w:customStyle="1" w:styleId="58">
    <w:name w:val="Heading 3 Char"/>
    <w:basedOn w:val="47"/>
    <w:qFormat/>
    <w:locked/>
    <w:uiPriority w:val="99"/>
    <w:rPr>
      <w:rFonts w:eastAsia="仿宋"/>
      <w:b/>
      <w:bCs/>
      <w:kern w:val="44"/>
      <w:sz w:val="32"/>
      <w:szCs w:val="32"/>
      <w:lang w:val="en-US" w:eastAsia="zh-CN"/>
    </w:rPr>
  </w:style>
  <w:style w:type="character" w:customStyle="1" w:styleId="59">
    <w:name w:val="Heading 4 Char"/>
    <w:basedOn w:val="47"/>
    <w:qFormat/>
    <w:locked/>
    <w:uiPriority w:val="99"/>
    <w:rPr>
      <w:rFonts w:eastAsia="仿宋"/>
      <w:b/>
      <w:bCs/>
      <w:kern w:val="44"/>
      <w:sz w:val="32"/>
      <w:szCs w:val="32"/>
      <w:lang w:val="en-US" w:eastAsia="zh-CN"/>
    </w:rPr>
  </w:style>
  <w:style w:type="character" w:customStyle="1" w:styleId="60">
    <w:name w:val="标题 5 字符"/>
    <w:basedOn w:val="47"/>
    <w:link w:val="6"/>
    <w:qFormat/>
    <w:locked/>
    <w:uiPriority w:val="9"/>
    <w:rPr>
      <w:rFonts w:ascii="Times New Roman" w:hAnsi="Times New Roman" w:eastAsia="宋体" w:cs="Times New Roman"/>
      <w:sz w:val="44"/>
      <w:szCs w:val="44"/>
    </w:rPr>
  </w:style>
  <w:style w:type="character" w:customStyle="1" w:styleId="61">
    <w:name w:val="标题 6 字符"/>
    <w:basedOn w:val="47"/>
    <w:link w:val="7"/>
    <w:qFormat/>
    <w:locked/>
    <w:uiPriority w:val="9"/>
    <w:rPr>
      <w:rFonts w:ascii="Arial" w:hAnsi="Arial" w:eastAsia="宋体" w:cs="Arial"/>
      <w:sz w:val="44"/>
      <w:szCs w:val="44"/>
    </w:rPr>
  </w:style>
  <w:style w:type="character" w:customStyle="1" w:styleId="62">
    <w:name w:val="标题 7 字符"/>
    <w:basedOn w:val="47"/>
    <w:link w:val="8"/>
    <w:qFormat/>
    <w:locked/>
    <w:uiPriority w:val="9"/>
    <w:rPr>
      <w:rFonts w:ascii="Times New Roman" w:hAnsi="Times New Roman" w:eastAsia="宋体" w:cs="Times New Roman"/>
      <w:sz w:val="44"/>
      <w:szCs w:val="44"/>
    </w:rPr>
  </w:style>
  <w:style w:type="character" w:customStyle="1" w:styleId="63">
    <w:name w:val="标题 8 字符1"/>
    <w:basedOn w:val="47"/>
    <w:link w:val="9"/>
    <w:qFormat/>
    <w:locked/>
    <w:uiPriority w:val="0"/>
    <w:rPr>
      <w:rFonts w:ascii="Times New Roman" w:hAnsi="Times New Roman" w:eastAsia="宋体" w:cs="Times New Roman"/>
      <w:sz w:val="44"/>
      <w:szCs w:val="44"/>
    </w:rPr>
  </w:style>
  <w:style w:type="character" w:customStyle="1" w:styleId="64">
    <w:name w:val="标题 9 字符1"/>
    <w:basedOn w:val="47"/>
    <w:link w:val="10"/>
    <w:qFormat/>
    <w:locked/>
    <w:uiPriority w:val="0"/>
    <w:rPr>
      <w:rFonts w:ascii="Arial" w:hAnsi="Arial" w:eastAsia="宋体" w:cs="Arial"/>
      <w:sz w:val="44"/>
      <w:szCs w:val="44"/>
    </w:rPr>
  </w:style>
  <w:style w:type="character" w:customStyle="1" w:styleId="65">
    <w:name w:val="批注文字 Char"/>
    <w:basedOn w:val="47"/>
    <w:qFormat/>
    <w:locked/>
    <w:uiPriority w:val="0"/>
    <w:rPr>
      <w:rFonts w:eastAsia="仿宋"/>
      <w:sz w:val="32"/>
      <w:szCs w:val="32"/>
    </w:rPr>
  </w:style>
  <w:style w:type="character" w:customStyle="1" w:styleId="66">
    <w:name w:val="Comment Subject Char"/>
    <w:basedOn w:val="67"/>
    <w:semiHidden/>
    <w:qFormat/>
    <w:locked/>
    <w:uiPriority w:val="99"/>
    <w:rPr>
      <w:b/>
      <w:bCs/>
    </w:rPr>
  </w:style>
  <w:style w:type="character" w:customStyle="1" w:styleId="67">
    <w:name w:val="批注文字 字符"/>
    <w:basedOn w:val="47"/>
    <w:link w:val="12"/>
    <w:semiHidden/>
    <w:qFormat/>
    <w:locked/>
    <w:uiPriority w:val="99"/>
  </w:style>
  <w:style w:type="character" w:customStyle="1" w:styleId="68">
    <w:name w:val="正文文本 Char"/>
    <w:basedOn w:val="47"/>
    <w:qFormat/>
    <w:locked/>
    <w:uiPriority w:val="0"/>
  </w:style>
  <w:style w:type="character" w:customStyle="1" w:styleId="69">
    <w:name w:val="正文首行缩进 字符"/>
    <w:basedOn w:val="70"/>
    <w:link w:val="14"/>
    <w:qFormat/>
    <w:locked/>
    <w:uiPriority w:val="99"/>
    <w:rPr>
      <w:rFonts w:ascii="Times New Roman" w:hAnsi="Times New Roman" w:eastAsia="宋体" w:cs="Times New Roman"/>
      <w:sz w:val="44"/>
      <w:szCs w:val="44"/>
    </w:rPr>
  </w:style>
  <w:style w:type="character" w:customStyle="1" w:styleId="70">
    <w:name w:val="正文文本 字符"/>
    <w:basedOn w:val="47"/>
    <w:link w:val="19"/>
    <w:semiHidden/>
    <w:qFormat/>
    <w:locked/>
    <w:uiPriority w:val="99"/>
  </w:style>
  <w:style w:type="character" w:customStyle="1" w:styleId="71">
    <w:name w:val="文档结构图 Char"/>
    <w:basedOn w:val="47"/>
    <w:qFormat/>
    <w:locked/>
    <w:uiPriority w:val="99"/>
    <w:rPr>
      <w:shd w:val="clear" w:color="auto" w:fill="000080"/>
    </w:rPr>
  </w:style>
  <w:style w:type="character" w:customStyle="1" w:styleId="72">
    <w:name w:val="正文文本缩进 Char"/>
    <w:basedOn w:val="47"/>
    <w:qFormat/>
    <w:locked/>
    <w:uiPriority w:val="99"/>
  </w:style>
  <w:style w:type="character" w:customStyle="1" w:styleId="73">
    <w:name w:val="HTML 地址 字符"/>
    <w:basedOn w:val="47"/>
    <w:link w:val="22"/>
    <w:semiHidden/>
    <w:qFormat/>
    <w:locked/>
    <w:uiPriority w:val="99"/>
    <w:rPr>
      <w:i/>
      <w:iCs/>
      <w:kern w:val="2"/>
      <w:sz w:val="22"/>
      <w:szCs w:val="22"/>
    </w:rPr>
  </w:style>
  <w:style w:type="character" w:customStyle="1" w:styleId="74">
    <w:name w:val="纯文本 字符"/>
    <w:basedOn w:val="47"/>
    <w:link w:val="25"/>
    <w:qFormat/>
    <w:locked/>
    <w:uiPriority w:val="99"/>
    <w:rPr>
      <w:rFonts w:ascii="宋体" w:hAnsi="Courier New" w:eastAsia="宋体" w:cs="宋体"/>
      <w:sz w:val="21"/>
      <w:szCs w:val="21"/>
    </w:rPr>
  </w:style>
  <w:style w:type="character" w:customStyle="1" w:styleId="75">
    <w:name w:val="日期 字符"/>
    <w:basedOn w:val="47"/>
    <w:link w:val="27"/>
    <w:qFormat/>
    <w:locked/>
    <w:uiPriority w:val="99"/>
    <w:rPr>
      <w:rFonts w:ascii="Times New Roman" w:hAnsi="Times New Roman" w:eastAsia="宋体" w:cs="Times New Roman"/>
      <w:kern w:val="0"/>
      <w:sz w:val="20"/>
      <w:szCs w:val="20"/>
    </w:rPr>
  </w:style>
  <w:style w:type="character" w:customStyle="1" w:styleId="76">
    <w:name w:val="正文文本缩进 2 字符"/>
    <w:basedOn w:val="47"/>
    <w:link w:val="28"/>
    <w:qFormat/>
    <w:locked/>
    <w:uiPriority w:val="0"/>
    <w:rPr>
      <w:rFonts w:ascii="宋体" w:hAnsi="Times New Roman" w:eastAsia="宋体" w:cs="宋体"/>
      <w:sz w:val="20"/>
      <w:szCs w:val="20"/>
    </w:rPr>
  </w:style>
  <w:style w:type="character" w:customStyle="1" w:styleId="77">
    <w:name w:val="批注框文本 Char"/>
    <w:basedOn w:val="47"/>
    <w:qFormat/>
    <w:locked/>
    <w:uiPriority w:val="99"/>
    <w:rPr>
      <w:rFonts w:eastAsia="仿宋"/>
      <w:sz w:val="18"/>
      <w:szCs w:val="18"/>
    </w:rPr>
  </w:style>
  <w:style w:type="character" w:customStyle="1" w:styleId="78">
    <w:name w:val="页脚 字符"/>
    <w:basedOn w:val="47"/>
    <w:link w:val="30"/>
    <w:qFormat/>
    <w:locked/>
    <w:uiPriority w:val="0"/>
    <w:rPr>
      <w:sz w:val="18"/>
      <w:szCs w:val="18"/>
    </w:rPr>
  </w:style>
  <w:style w:type="character" w:customStyle="1" w:styleId="79">
    <w:name w:val="页眉 字符"/>
    <w:basedOn w:val="47"/>
    <w:link w:val="31"/>
    <w:qFormat/>
    <w:locked/>
    <w:uiPriority w:val="0"/>
    <w:rPr>
      <w:sz w:val="18"/>
      <w:szCs w:val="18"/>
    </w:rPr>
  </w:style>
  <w:style w:type="character" w:customStyle="1" w:styleId="80">
    <w:name w:val="签名 Char"/>
    <w:basedOn w:val="47"/>
    <w:qFormat/>
    <w:locked/>
    <w:uiPriority w:val="99"/>
    <w:rPr>
      <w:sz w:val="21"/>
      <w:szCs w:val="21"/>
    </w:rPr>
  </w:style>
  <w:style w:type="character" w:customStyle="1" w:styleId="81">
    <w:name w:val="副标题 Char"/>
    <w:basedOn w:val="47"/>
    <w:qFormat/>
    <w:locked/>
    <w:uiPriority w:val="99"/>
    <w:rPr>
      <w:rFonts w:eastAsia="幼圆"/>
      <w:b/>
      <w:bCs/>
      <w:sz w:val="28"/>
      <w:szCs w:val="28"/>
    </w:rPr>
  </w:style>
  <w:style w:type="character" w:customStyle="1" w:styleId="82">
    <w:name w:val="正文文本缩进 3 字符"/>
    <w:basedOn w:val="47"/>
    <w:link w:val="38"/>
    <w:qFormat/>
    <w:locked/>
    <w:uiPriority w:val="0"/>
    <w:rPr>
      <w:rFonts w:ascii="Times New Roman" w:hAnsi="Times New Roman" w:eastAsia="宋体" w:cs="Times New Roman"/>
      <w:sz w:val="24"/>
      <w:szCs w:val="24"/>
    </w:rPr>
  </w:style>
  <w:style w:type="character" w:customStyle="1" w:styleId="83">
    <w:name w:val="正文文本 2 字符"/>
    <w:basedOn w:val="47"/>
    <w:link w:val="41"/>
    <w:qFormat/>
    <w:locked/>
    <w:uiPriority w:val="0"/>
    <w:rPr>
      <w:rFonts w:ascii="仿宋_GB2312" w:hAnsi="Times New Roman" w:eastAsia="仿宋_GB2312" w:cs="仿宋_GB2312"/>
      <w:sz w:val="24"/>
      <w:szCs w:val="24"/>
    </w:rPr>
  </w:style>
  <w:style w:type="character" w:customStyle="1" w:styleId="84">
    <w:name w:val="信息标题 字符"/>
    <w:basedOn w:val="47"/>
    <w:link w:val="43"/>
    <w:qFormat/>
    <w:locked/>
    <w:uiPriority w:val="99"/>
    <w:rPr>
      <w:rFonts w:ascii="Arial" w:hAnsi="Arial" w:cs="Arial"/>
      <w:spacing w:val="-5"/>
      <w:sz w:val="20"/>
      <w:szCs w:val="20"/>
    </w:rPr>
  </w:style>
  <w:style w:type="character" w:customStyle="1" w:styleId="85">
    <w:name w:val="HTML 预设格式 字符"/>
    <w:basedOn w:val="47"/>
    <w:link w:val="44"/>
    <w:semiHidden/>
    <w:qFormat/>
    <w:locked/>
    <w:uiPriority w:val="99"/>
    <w:rPr>
      <w:rFonts w:ascii="Courier New" w:hAnsi="Courier New" w:cs="Courier New"/>
      <w:kern w:val="2"/>
    </w:rPr>
  </w:style>
  <w:style w:type="character" w:customStyle="1" w:styleId="86">
    <w:name w:val="标题 Char"/>
    <w:basedOn w:val="47"/>
    <w:qFormat/>
    <w:locked/>
    <w:uiPriority w:val="0"/>
    <w:rPr>
      <w:rFonts w:eastAsia="仿宋"/>
      <w:b/>
      <w:bCs/>
      <w:sz w:val="32"/>
      <w:szCs w:val="32"/>
    </w:rPr>
  </w:style>
  <w:style w:type="character" w:customStyle="1" w:styleId="87">
    <w:name w:val="文档结构图 字符"/>
    <w:basedOn w:val="47"/>
    <w:link w:val="18"/>
    <w:semiHidden/>
    <w:qFormat/>
    <w:locked/>
    <w:uiPriority w:val="99"/>
    <w:rPr>
      <w:rFonts w:ascii="宋体" w:eastAsia="宋体" w:cs="宋体"/>
      <w:sz w:val="18"/>
      <w:szCs w:val="18"/>
    </w:rPr>
  </w:style>
  <w:style w:type="character" w:customStyle="1" w:styleId="88">
    <w:name w:val="正文文本缩进 字符"/>
    <w:basedOn w:val="47"/>
    <w:link w:val="20"/>
    <w:semiHidden/>
    <w:qFormat/>
    <w:locked/>
    <w:uiPriority w:val="99"/>
  </w:style>
  <w:style w:type="character" w:customStyle="1" w:styleId="89">
    <w:name w:val="批注框文本 字符"/>
    <w:basedOn w:val="47"/>
    <w:link w:val="29"/>
    <w:semiHidden/>
    <w:qFormat/>
    <w:locked/>
    <w:uiPriority w:val="99"/>
    <w:rPr>
      <w:sz w:val="18"/>
      <w:szCs w:val="18"/>
    </w:rPr>
  </w:style>
  <w:style w:type="character" w:customStyle="1" w:styleId="90">
    <w:name w:val="签名 字符"/>
    <w:basedOn w:val="47"/>
    <w:link w:val="32"/>
    <w:semiHidden/>
    <w:qFormat/>
    <w:locked/>
    <w:uiPriority w:val="99"/>
  </w:style>
  <w:style w:type="character" w:customStyle="1" w:styleId="91">
    <w:name w:val="副标题 字符"/>
    <w:basedOn w:val="47"/>
    <w:link w:val="35"/>
    <w:qFormat/>
    <w:locked/>
    <w:uiPriority w:val="99"/>
    <w:rPr>
      <w:rFonts w:ascii="Cambria" w:hAnsi="Cambria" w:eastAsia="宋体" w:cs="Cambria"/>
      <w:b/>
      <w:bCs/>
      <w:kern w:val="28"/>
      <w:sz w:val="32"/>
      <w:szCs w:val="32"/>
    </w:rPr>
  </w:style>
  <w:style w:type="character" w:customStyle="1" w:styleId="92">
    <w:name w:val="标题 字符"/>
    <w:basedOn w:val="47"/>
    <w:link w:val="46"/>
    <w:qFormat/>
    <w:locked/>
    <w:uiPriority w:val="99"/>
    <w:rPr>
      <w:rFonts w:ascii="Cambria" w:hAnsi="Cambria" w:eastAsia="宋体" w:cs="Cambria"/>
      <w:b/>
      <w:bCs/>
      <w:sz w:val="32"/>
      <w:szCs w:val="32"/>
    </w:rPr>
  </w:style>
  <w:style w:type="character" w:customStyle="1" w:styleId="93">
    <w:name w:val="标题 2 字符"/>
    <w:basedOn w:val="47"/>
    <w:link w:val="2"/>
    <w:qFormat/>
    <w:locked/>
    <w:uiPriority w:val="9"/>
    <w:rPr>
      <w:rFonts w:ascii="Arial" w:hAnsi="Arial" w:eastAsia="宋体" w:cs="Arial"/>
      <w:b/>
      <w:bCs/>
      <w:sz w:val="32"/>
      <w:szCs w:val="32"/>
    </w:rPr>
  </w:style>
  <w:style w:type="character" w:customStyle="1" w:styleId="94">
    <w:name w:val="标题 3 字符"/>
    <w:basedOn w:val="47"/>
    <w:link w:val="3"/>
    <w:qFormat/>
    <w:locked/>
    <w:uiPriority w:val="9"/>
    <w:rPr>
      <w:rFonts w:ascii="Times New Roman" w:hAnsi="Times New Roman" w:eastAsia="宋体" w:cs="Times New Roman"/>
      <w:b/>
      <w:bCs/>
      <w:sz w:val="32"/>
      <w:szCs w:val="32"/>
    </w:rPr>
  </w:style>
  <w:style w:type="character" w:customStyle="1" w:styleId="95">
    <w:name w:val="标题 4 字符"/>
    <w:basedOn w:val="47"/>
    <w:link w:val="5"/>
    <w:qFormat/>
    <w:locked/>
    <w:uiPriority w:val="9"/>
    <w:rPr>
      <w:rFonts w:ascii="Arial" w:hAnsi="Arial" w:eastAsia="宋体" w:cs="Arial"/>
      <w:b/>
      <w:bCs/>
      <w:sz w:val="28"/>
      <w:szCs w:val="28"/>
    </w:rPr>
  </w:style>
  <w:style w:type="character" w:customStyle="1" w:styleId="96">
    <w:name w:val="ca-2"/>
    <w:basedOn w:val="47"/>
    <w:qFormat/>
    <w:uiPriority w:val="99"/>
  </w:style>
  <w:style w:type="character" w:customStyle="1" w:styleId="97">
    <w:name w:val="表哥标题居左 Char Char"/>
    <w:link w:val="98"/>
    <w:qFormat/>
    <w:locked/>
    <w:uiPriority w:val="99"/>
    <w:rPr>
      <w:b/>
      <w:bCs/>
      <w:sz w:val="21"/>
      <w:szCs w:val="21"/>
    </w:rPr>
  </w:style>
  <w:style w:type="paragraph" w:customStyle="1" w:styleId="98">
    <w:name w:val="表哥标题居左"/>
    <w:basedOn w:val="99"/>
    <w:link w:val="97"/>
    <w:qFormat/>
    <w:uiPriority w:val="99"/>
    <w:pPr>
      <w:jc w:val="left"/>
    </w:pPr>
    <w:rPr>
      <w:rFonts w:ascii="Calibri" w:hAnsi="Calibri"/>
      <w:sz w:val="21"/>
      <w:szCs w:val="21"/>
    </w:rPr>
  </w:style>
  <w:style w:type="paragraph" w:customStyle="1" w:styleId="99">
    <w:name w:val="表格标题"/>
    <w:link w:val="100"/>
    <w:qFormat/>
    <w:uiPriority w:val="99"/>
    <w:pPr>
      <w:jc w:val="center"/>
    </w:pPr>
    <w:rPr>
      <w:rFonts w:ascii="Times New Roman" w:hAnsi="Times New Roman" w:eastAsia="宋体" w:cs="Times New Roman"/>
      <w:b/>
      <w:bCs/>
      <w:sz w:val="22"/>
      <w:szCs w:val="22"/>
      <w:lang w:val="en-US" w:eastAsia="zh-CN" w:bidi="ar-SA"/>
    </w:rPr>
  </w:style>
  <w:style w:type="character" w:customStyle="1" w:styleId="100">
    <w:name w:val="表格标题 Char Char"/>
    <w:link w:val="99"/>
    <w:qFormat/>
    <w:locked/>
    <w:uiPriority w:val="99"/>
    <w:rPr>
      <w:rFonts w:ascii="Times New Roman" w:hAnsi="Times New Roman"/>
      <w:b/>
      <w:bCs/>
      <w:sz w:val="22"/>
      <w:szCs w:val="22"/>
      <w:lang w:bidi="ar-SA"/>
    </w:rPr>
  </w:style>
  <w:style w:type="character" w:customStyle="1" w:styleId="101">
    <w:name w:val="f12"/>
    <w:basedOn w:val="47"/>
    <w:qFormat/>
    <w:uiPriority w:val="99"/>
  </w:style>
  <w:style w:type="character" w:customStyle="1" w:styleId="102">
    <w:name w:val="Char Char13"/>
    <w:basedOn w:val="47"/>
    <w:qFormat/>
    <w:uiPriority w:val="99"/>
    <w:rPr>
      <w:rFonts w:eastAsia="仿宋"/>
      <w:b/>
      <w:bCs/>
      <w:kern w:val="44"/>
      <w:sz w:val="32"/>
      <w:szCs w:val="32"/>
      <w:lang w:val="en-US" w:eastAsia="zh-CN"/>
    </w:rPr>
  </w:style>
  <w:style w:type="character" w:customStyle="1" w:styleId="103">
    <w:name w:val="clh15"/>
    <w:basedOn w:val="47"/>
    <w:qFormat/>
    <w:uiPriority w:val="99"/>
  </w:style>
  <w:style w:type="character" w:customStyle="1" w:styleId="104">
    <w:name w:val="!我的正文 Ctr+Q Char Char"/>
    <w:link w:val="105"/>
    <w:qFormat/>
    <w:locked/>
    <w:uiPriority w:val="99"/>
    <w:rPr>
      <w:rFonts w:ascii="Arial" w:hAnsi="Arial" w:cs="Arial"/>
      <w:sz w:val="21"/>
      <w:szCs w:val="21"/>
    </w:rPr>
  </w:style>
  <w:style w:type="paragraph" w:customStyle="1" w:styleId="105">
    <w:name w:val="!我的正文 Ctr+Q"/>
    <w:basedOn w:val="1"/>
    <w:link w:val="104"/>
    <w:qFormat/>
    <w:uiPriority w:val="99"/>
    <w:pPr>
      <w:adjustRightInd w:val="0"/>
      <w:snapToGrid w:val="0"/>
      <w:spacing w:line="360" w:lineRule="auto"/>
      <w:ind w:firstLine="480" w:firstLineChars="200"/>
    </w:pPr>
    <w:rPr>
      <w:rFonts w:ascii="Arial" w:hAnsi="Arial" w:cs="Times New Roman"/>
      <w:kern w:val="0"/>
    </w:rPr>
  </w:style>
  <w:style w:type="character" w:customStyle="1" w:styleId="106">
    <w:name w:val="正文缩进 字符"/>
    <w:basedOn w:val="47"/>
    <w:link w:val="16"/>
    <w:qFormat/>
    <w:locked/>
    <w:uiPriority w:val="0"/>
    <w:rPr>
      <w:rFonts w:ascii="宋体" w:cs="宋体"/>
    </w:rPr>
  </w:style>
  <w:style w:type="character" w:customStyle="1" w:styleId="107">
    <w:name w:val="Char Char14"/>
    <w:basedOn w:val="47"/>
    <w:qFormat/>
    <w:uiPriority w:val="99"/>
    <w:rPr>
      <w:rFonts w:eastAsia="仿宋"/>
      <w:b/>
      <w:bCs/>
      <w:kern w:val="44"/>
      <w:sz w:val="32"/>
      <w:szCs w:val="32"/>
      <w:lang w:val="en-US" w:eastAsia="zh-CN"/>
    </w:rPr>
  </w:style>
  <w:style w:type="character" w:customStyle="1" w:styleId="108">
    <w:name w:val="Char Char12"/>
    <w:basedOn w:val="47"/>
    <w:qFormat/>
    <w:uiPriority w:val="99"/>
    <w:rPr>
      <w:rFonts w:eastAsia="仿宋"/>
      <w:b/>
      <w:bCs/>
      <w:kern w:val="44"/>
      <w:sz w:val="32"/>
      <w:szCs w:val="32"/>
      <w:lang w:val="en-US" w:eastAsia="zh-CN"/>
    </w:rPr>
  </w:style>
  <w:style w:type="character" w:customStyle="1" w:styleId="109">
    <w:name w:val="!标题3 Ctrl+3 Char Char"/>
    <w:link w:val="110"/>
    <w:qFormat/>
    <w:locked/>
    <w:uiPriority w:val="99"/>
    <w:rPr>
      <w:rFonts w:ascii="宋体" w:eastAsia="宋体" w:cs="宋体"/>
      <w:b/>
      <w:bCs/>
      <w:sz w:val="28"/>
      <w:szCs w:val="28"/>
    </w:rPr>
  </w:style>
  <w:style w:type="paragraph" w:customStyle="1" w:styleId="110">
    <w:name w:val="!标题3 Ctrl+3"/>
    <w:basedOn w:val="3"/>
    <w:next w:val="1"/>
    <w:link w:val="109"/>
    <w:qFormat/>
    <w:uiPriority w:val="99"/>
    <w:pPr>
      <w:keepNext w:val="0"/>
      <w:keepLines w:val="0"/>
      <w:tabs>
        <w:tab w:val="left" w:pos="1028"/>
      </w:tabs>
      <w:adjustRightInd w:val="0"/>
      <w:snapToGrid w:val="0"/>
      <w:spacing w:beforeLines="50" w:line="360" w:lineRule="auto"/>
      <w:ind w:left="720" w:hanging="720"/>
    </w:pPr>
    <w:rPr>
      <w:rFonts w:ascii="宋体" w:hAnsi="Calibri"/>
      <w:kern w:val="0"/>
      <w:sz w:val="28"/>
      <w:szCs w:val="28"/>
    </w:rPr>
  </w:style>
  <w:style w:type="character" w:customStyle="1" w:styleId="111">
    <w:name w:val="Char Char16"/>
    <w:basedOn w:val="47"/>
    <w:qFormat/>
    <w:uiPriority w:val="99"/>
    <w:rPr>
      <w:rFonts w:eastAsia="仿宋"/>
      <w:b/>
      <w:bCs/>
      <w:kern w:val="44"/>
      <w:sz w:val="32"/>
      <w:szCs w:val="32"/>
      <w:lang w:val="en-US" w:eastAsia="zh-CN"/>
    </w:rPr>
  </w:style>
  <w:style w:type="character" w:customStyle="1" w:styleId="112">
    <w:name w:val="表格字 Char Char"/>
    <w:link w:val="113"/>
    <w:qFormat/>
    <w:locked/>
    <w:uiPriority w:val="99"/>
    <w:rPr>
      <w:rFonts w:cs="Calibri"/>
      <w:kern w:val="2"/>
      <w:sz w:val="21"/>
      <w:szCs w:val="21"/>
      <w:lang w:val="en-US" w:eastAsia="zh-CN" w:bidi="ar-SA"/>
    </w:rPr>
  </w:style>
  <w:style w:type="paragraph" w:customStyle="1" w:styleId="113">
    <w:name w:val="表格字"/>
    <w:link w:val="112"/>
    <w:qFormat/>
    <w:uiPriority w:val="99"/>
    <w:rPr>
      <w:rFonts w:ascii="Calibri" w:hAnsi="Calibri" w:eastAsia="宋体" w:cs="Calibri"/>
      <w:kern w:val="2"/>
      <w:sz w:val="21"/>
      <w:szCs w:val="21"/>
      <w:lang w:val="en-US" w:eastAsia="zh-CN" w:bidi="ar-SA"/>
    </w:rPr>
  </w:style>
  <w:style w:type="character" w:customStyle="1" w:styleId="114">
    <w:name w:val="表格字居中 Char Char"/>
    <w:basedOn w:val="112"/>
    <w:link w:val="115"/>
    <w:qFormat/>
    <w:locked/>
    <w:uiPriority w:val="99"/>
    <w:rPr>
      <w:rFonts w:cs="Calibri"/>
      <w:kern w:val="2"/>
      <w:sz w:val="24"/>
      <w:szCs w:val="24"/>
      <w:lang w:val="en-US" w:eastAsia="zh-CN" w:bidi="ar-SA"/>
    </w:rPr>
  </w:style>
  <w:style w:type="paragraph" w:customStyle="1" w:styleId="115">
    <w:name w:val="表格字居中"/>
    <w:basedOn w:val="113"/>
    <w:link w:val="114"/>
    <w:qFormat/>
    <w:uiPriority w:val="99"/>
    <w:pPr>
      <w:jc w:val="center"/>
    </w:pPr>
    <w:rPr>
      <w:sz w:val="24"/>
      <w:szCs w:val="24"/>
    </w:rPr>
  </w:style>
  <w:style w:type="character" w:customStyle="1" w:styleId="116">
    <w:name w:val="Char Char11"/>
    <w:basedOn w:val="47"/>
    <w:qFormat/>
    <w:uiPriority w:val="99"/>
    <w:rPr>
      <w:rFonts w:eastAsia="宋体"/>
      <w:b/>
      <w:bCs/>
      <w:kern w:val="2"/>
      <w:sz w:val="24"/>
      <w:szCs w:val="24"/>
      <w:lang w:val="en-US" w:eastAsia="zh-CN"/>
    </w:rPr>
  </w:style>
  <w:style w:type="character" w:customStyle="1" w:styleId="117">
    <w:name w:val="Normal Indent Char Char"/>
    <w:basedOn w:val="47"/>
    <w:qFormat/>
    <w:uiPriority w:val="99"/>
    <w:rPr>
      <w:rFonts w:eastAsia="宋体"/>
      <w:sz w:val="24"/>
      <w:szCs w:val="24"/>
      <w:lang w:val="en-US" w:eastAsia="zh-CN"/>
    </w:rPr>
  </w:style>
  <w:style w:type="character" w:customStyle="1" w:styleId="118">
    <w:name w:val="Message Header Label"/>
    <w:qFormat/>
    <w:uiPriority w:val="99"/>
    <w:rPr>
      <w:rFonts w:ascii="Arial Black" w:hAnsi="Arial Black" w:eastAsia="宋体" w:cs="Arial Black"/>
      <w:sz w:val="18"/>
      <w:szCs w:val="18"/>
    </w:rPr>
  </w:style>
  <w:style w:type="character" w:customStyle="1" w:styleId="119">
    <w:name w:val="页眉 Char1"/>
    <w:basedOn w:val="47"/>
    <w:semiHidden/>
    <w:qFormat/>
    <w:uiPriority w:val="99"/>
    <w:rPr>
      <w:sz w:val="18"/>
      <w:szCs w:val="18"/>
    </w:rPr>
  </w:style>
  <w:style w:type="character" w:customStyle="1" w:styleId="120">
    <w:name w:val="批注主题 字符"/>
    <w:basedOn w:val="65"/>
    <w:link w:val="11"/>
    <w:qFormat/>
    <w:locked/>
    <w:uiPriority w:val="0"/>
    <w:rPr>
      <w:rFonts w:eastAsia="仿宋"/>
      <w:b/>
      <w:bCs/>
      <w:sz w:val="32"/>
      <w:szCs w:val="32"/>
    </w:rPr>
  </w:style>
  <w:style w:type="character" w:customStyle="1" w:styleId="121">
    <w:name w:val="页脚 Char1"/>
    <w:basedOn w:val="47"/>
    <w:semiHidden/>
    <w:qFormat/>
    <w:uiPriority w:val="99"/>
    <w:rPr>
      <w:sz w:val="18"/>
      <w:szCs w:val="18"/>
    </w:rPr>
  </w:style>
  <w:style w:type="character" w:customStyle="1" w:styleId="122">
    <w:name w:val="Emphasis1"/>
    <w:qFormat/>
    <w:uiPriority w:val="99"/>
    <w:rPr>
      <w:rFonts w:ascii="Arial Black" w:hAnsi="Arial Black" w:eastAsia="宋体" w:cs="Arial Black"/>
      <w:sz w:val="18"/>
      <w:szCs w:val="18"/>
    </w:rPr>
  </w:style>
  <w:style w:type="character" w:customStyle="1" w:styleId="123">
    <w:name w:val="样式 (符号) 宋体 加粗 下划线"/>
    <w:basedOn w:val="47"/>
    <w:qFormat/>
    <w:uiPriority w:val="99"/>
    <w:rPr>
      <w:b/>
      <w:bCs/>
      <w:u w:val="single"/>
    </w:rPr>
  </w:style>
  <w:style w:type="character" w:customStyle="1" w:styleId="124">
    <w:name w:val="抬头 Char Char"/>
    <w:link w:val="125"/>
    <w:qFormat/>
    <w:locked/>
    <w:uiPriority w:val="99"/>
    <w:rPr>
      <w:rFonts w:eastAsia="楷体" w:cs="Calibri"/>
      <w:b/>
      <w:bCs/>
      <w:kern w:val="2"/>
      <w:sz w:val="24"/>
      <w:szCs w:val="24"/>
      <w:lang w:val="en-US" w:eastAsia="zh-CN" w:bidi="ar-SA"/>
    </w:rPr>
  </w:style>
  <w:style w:type="paragraph" w:customStyle="1" w:styleId="125">
    <w:name w:val="抬头"/>
    <w:link w:val="124"/>
    <w:qFormat/>
    <w:uiPriority w:val="99"/>
    <w:rPr>
      <w:rFonts w:ascii="Calibri" w:hAnsi="Calibri" w:eastAsia="楷体" w:cs="Calibri"/>
      <w:b/>
      <w:bCs/>
      <w:kern w:val="2"/>
      <w:sz w:val="24"/>
      <w:szCs w:val="24"/>
      <w:lang w:val="en-US" w:eastAsia="zh-CN" w:bidi="ar-SA"/>
    </w:rPr>
  </w:style>
  <w:style w:type="character" w:customStyle="1" w:styleId="126">
    <w:name w:val="正文粗体 Char Char"/>
    <w:link w:val="127"/>
    <w:qFormat/>
    <w:locked/>
    <w:uiPriority w:val="99"/>
    <w:rPr>
      <w:rFonts w:eastAsia="仿宋"/>
      <w:b/>
      <w:bCs/>
      <w:sz w:val="32"/>
      <w:szCs w:val="32"/>
    </w:rPr>
  </w:style>
  <w:style w:type="paragraph" w:customStyle="1" w:styleId="127">
    <w:name w:val="正文粗体"/>
    <w:basedOn w:val="1"/>
    <w:link w:val="126"/>
    <w:qFormat/>
    <w:uiPriority w:val="99"/>
    <w:pPr>
      <w:spacing w:line="360" w:lineRule="auto"/>
      <w:ind w:firstLine="560" w:firstLineChars="200"/>
      <w:jc w:val="left"/>
    </w:pPr>
    <w:rPr>
      <w:rFonts w:eastAsia="仿宋" w:cs="Times New Roman"/>
      <w:b/>
      <w:bCs/>
      <w:kern w:val="0"/>
      <w:sz w:val="32"/>
      <w:szCs w:val="32"/>
    </w:rPr>
  </w:style>
  <w:style w:type="character" w:customStyle="1" w:styleId="128">
    <w:name w:val="Char Char15"/>
    <w:basedOn w:val="47"/>
    <w:qFormat/>
    <w:uiPriority w:val="99"/>
    <w:rPr>
      <w:rFonts w:eastAsia="仿宋"/>
      <w:b/>
      <w:bCs/>
      <w:kern w:val="44"/>
      <w:sz w:val="32"/>
      <w:szCs w:val="32"/>
      <w:lang w:val="en-US" w:eastAsia="zh-CN"/>
    </w:rPr>
  </w:style>
  <w:style w:type="character" w:customStyle="1" w:styleId="129">
    <w:name w:val="样式 宋体 小四"/>
    <w:basedOn w:val="47"/>
    <w:qFormat/>
    <w:uiPriority w:val="99"/>
    <w:rPr>
      <w:rFonts w:ascii="宋体" w:eastAsia="宋体" w:cs="宋体"/>
      <w:sz w:val="24"/>
      <w:szCs w:val="24"/>
    </w:rPr>
  </w:style>
  <w:style w:type="character" w:customStyle="1" w:styleId="130">
    <w:name w:val="bord3"/>
    <w:basedOn w:val="47"/>
    <w:qFormat/>
    <w:uiPriority w:val="99"/>
  </w:style>
  <w:style w:type="paragraph" w:customStyle="1" w:styleId="131">
    <w:name w:val="表格"/>
    <w:basedOn w:val="1"/>
    <w:qFormat/>
    <w:uiPriority w:val="0"/>
    <w:rPr>
      <w:rFonts w:ascii="Times New Roman" w:hAnsi="Times New Roman" w:cs="Times New Roman"/>
    </w:rPr>
  </w:style>
  <w:style w:type="paragraph" w:customStyle="1" w:styleId="132">
    <w:name w:val="列出段落1"/>
    <w:basedOn w:val="1"/>
    <w:qFormat/>
    <w:uiPriority w:val="99"/>
    <w:pPr>
      <w:ind w:firstLine="420" w:firstLineChars="200"/>
    </w:pPr>
    <w:rPr>
      <w:rFonts w:ascii="Times New Roman" w:hAnsi="Times New Roman" w:cs="Times New Roman"/>
    </w:rPr>
  </w:style>
  <w:style w:type="paragraph" w:customStyle="1" w:styleId="133">
    <w:name w:val="前面加点"/>
    <w:basedOn w:val="1"/>
    <w:qFormat/>
    <w:uiPriority w:val="99"/>
    <w:pPr>
      <w:tabs>
        <w:tab w:val="left" w:pos="720"/>
      </w:tabs>
      <w:ind w:left="760" w:firstLine="200"/>
    </w:pPr>
    <w:rPr>
      <w:rFonts w:ascii="Times New Roman" w:hAnsi="Times New Roman" w:cs="Times New Roman"/>
    </w:rPr>
  </w:style>
  <w:style w:type="paragraph" w:customStyle="1" w:styleId="134">
    <w:name w:val="正文加黑"/>
    <w:basedOn w:val="1"/>
    <w:qFormat/>
    <w:uiPriority w:val="99"/>
    <w:rPr>
      <w:rFonts w:ascii="Times New Roman" w:hAnsi="Times New Roman" w:cs="Times New Roman"/>
      <w:b/>
      <w:bCs/>
    </w:rPr>
  </w:style>
  <w:style w:type="paragraph" w:customStyle="1" w:styleId="135">
    <w:name w:val="默认段落字体 Para Char Char Char Char Char Char Char"/>
    <w:basedOn w:val="1"/>
    <w:qFormat/>
    <w:uiPriority w:val="99"/>
    <w:rPr>
      <w:rFonts w:ascii="Times New Roman" w:hAnsi="Times New Roman" w:eastAsia="仿宋_GB2312" w:cs="Times New Roman"/>
      <w:sz w:val="28"/>
      <w:szCs w:val="28"/>
    </w:rPr>
  </w:style>
  <w:style w:type="paragraph" w:customStyle="1" w:styleId="136">
    <w:name w:val="表格注释"/>
    <w:basedOn w:val="1"/>
    <w:qFormat/>
    <w:uiPriority w:val="99"/>
    <w:rPr>
      <w:rFonts w:ascii="Times New Roman" w:hAnsi="Times New Roman" w:cs="Times New Roman"/>
    </w:rPr>
  </w:style>
  <w:style w:type="paragraph" w:customStyle="1" w:styleId="137">
    <w:name w:val="--规划正文"/>
    <w:basedOn w:val="1"/>
    <w:qFormat/>
    <w:uiPriority w:val="99"/>
    <w:pPr>
      <w:spacing w:line="360" w:lineRule="auto"/>
      <w:ind w:firstLine="200" w:firstLineChars="200"/>
    </w:pPr>
    <w:rPr>
      <w:rFonts w:ascii="Times New Roman" w:hAnsi="Times New Roman" w:cs="Times New Roman"/>
    </w:rPr>
  </w:style>
  <w:style w:type="paragraph" w:customStyle="1" w:styleId="138">
    <w:name w:val="Message Header First"/>
    <w:basedOn w:val="43"/>
    <w:next w:val="43"/>
    <w:qFormat/>
    <w:uiPriority w:val="99"/>
  </w:style>
  <w:style w:type="paragraph" w:customStyle="1" w:styleId="139">
    <w:name w:val="样式2"/>
    <w:basedOn w:val="1"/>
    <w:qFormat/>
    <w:uiPriority w:val="99"/>
    <w:pPr>
      <w:tabs>
        <w:tab w:val="left" w:pos="720"/>
      </w:tabs>
      <w:ind w:left="760" w:firstLine="200"/>
    </w:pPr>
    <w:rPr>
      <w:rFonts w:ascii="Times New Roman" w:hAnsi="Times New Roman" w:cs="Times New Roman"/>
    </w:rPr>
  </w:style>
  <w:style w:type="paragraph" w:customStyle="1" w:styleId="140">
    <w:name w:val="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41">
    <w:name w:val="Char1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2">
    <w:name w:val="Char Char Char"/>
    <w:basedOn w:val="1"/>
    <w:qFormat/>
    <w:uiPriority w:val="99"/>
    <w:pPr>
      <w:widowControl/>
      <w:spacing w:after="160" w:line="240" w:lineRule="exact"/>
      <w:jc w:val="left"/>
    </w:pPr>
    <w:rPr>
      <w:rFonts w:ascii="Verdana" w:hAnsi="Verdana" w:cs="Verdana"/>
      <w:kern w:val="0"/>
      <w:lang w:eastAsia="en-US"/>
    </w:rPr>
  </w:style>
  <w:style w:type="paragraph" w:customStyle="1" w:styleId="143">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4">
    <w:name w:val="黑体标题"/>
    <w:basedOn w:val="1"/>
    <w:qFormat/>
    <w:uiPriority w:val="99"/>
    <w:pPr>
      <w:ind w:firstLine="200" w:firstLineChars="200"/>
    </w:pPr>
    <w:rPr>
      <w:rFonts w:ascii="Times New Roman" w:hAnsi="Times New Roman" w:eastAsia="黑体" w:cs="Times New Roman"/>
      <w:b/>
      <w:bCs/>
    </w:rPr>
  </w:style>
  <w:style w:type="paragraph" w:customStyle="1" w:styleId="145">
    <w:name w:val="样式 左侧:  2 字符"/>
    <w:basedOn w:val="1"/>
    <w:qFormat/>
    <w:uiPriority w:val="99"/>
    <w:pPr>
      <w:ind w:firstLine="200" w:firstLineChars="200"/>
    </w:pPr>
    <w:rPr>
      <w:rFonts w:ascii="Times New Roman" w:hAnsi="Times New Roman" w:cs="Times New Roman"/>
    </w:rPr>
  </w:style>
  <w:style w:type="paragraph" w:customStyle="1" w:styleId="146">
    <w:name w:val="样式1"/>
    <w:basedOn w:val="1"/>
    <w:qFormat/>
    <w:uiPriority w:val="0"/>
    <w:pPr>
      <w:tabs>
        <w:tab w:val="left" w:pos="709"/>
      </w:tabs>
      <w:adjustRightInd w:val="0"/>
      <w:ind w:left="709" w:hanging="709"/>
      <w:textAlignment w:val="baseline"/>
    </w:pPr>
    <w:rPr>
      <w:rFonts w:ascii="宋体" w:hAnsi="宋体" w:cs="宋体"/>
      <w:kern w:val="0"/>
    </w:rPr>
  </w:style>
  <w:style w:type="paragraph" w:customStyle="1" w:styleId="147">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48">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9">
    <w:name w:val="2册标题4"/>
    <w:basedOn w:val="1"/>
    <w:next w:val="1"/>
    <w:qFormat/>
    <w:uiPriority w:val="99"/>
    <w:pPr>
      <w:spacing w:beforeLines="50" w:afterLines="50" w:line="300" w:lineRule="auto"/>
      <w:ind w:left="420" w:leftChars="200"/>
      <w:outlineLvl w:val="3"/>
    </w:pPr>
    <w:rPr>
      <w:rFonts w:ascii="Arial" w:hAnsi="Arial" w:eastAsia="幼圆" w:cs="Arial"/>
      <w:b/>
      <w:bCs/>
      <w:sz w:val="24"/>
      <w:szCs w:val="24"/>
    </w:rPr>
  </w:style>
  <w:style w:type="paragraph" w:customStyle="1" w:styleId="150">
    <w:name w:val="列出段落11"/>
    <w:basedOn w:val="1"/>
    <w:qFormat/>
    <w:uiPriority w:val="34"/>
    <w:pPr>
      <w:ind w:firstLine="420" w:firstLineChars="200"/>
    </w:pPr>
  </w:style>
  <w:style w:type="paragraph" w:customStyle="1" w:styleId="151">
    <w:name w:val="样式 样式 样式 小四 行距: 1.5 倍行距 + 加粗 + 首行缩进:  2 字符"/>
    <w:basedOn w:val="1"/>
    <w:qFormat/>
    <w:uiPriority w:val="99"/>
    <w:pPr>
      <w:ind w:firstLine="482"/>
    </w:pPr>
    <w:rPr>
      <w:rFonts w:ascii="Times New Roman" w:hAnsi="Times New Roman" w:cs="Times New Roman"/>
      <w:b/>
      <w:bCs/>
      <w:sz w:val="24"/>
      <w:szCs w:val="24"/>
    </w:rPr>
  </w:style>
  <w:style w:type="paragraph" w:customStyle="1" w:styleId="152">
    <w:name w:val="列项——（一级）"/>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53">
    <w:name w:val="Char Char Char Char Char Char Char"/>
    <w:basedOn w:val="18"/>
    <w:qFormat/>
    <w:uiPriority w:val="99"/>
    <w:pPr>
      <w:widowControl w:val="0"/>
      <w:jc w:val="both"/>
    </w:pPr>
    <w:rPr>
      <w:rFonts w:ascii="Tahoma" w:hAnsi="Tahoma" w:cs="Tahoma"/>
      <w:sz w:val="24"/>
      <w:szCs w:val="24"/>
    </w:rPr>
  </w:style>
  <w:style w:type="paragraph" w:customStyle="1" w:styleId="154">
    <w:name w:val="此正文"/>
    <w:basedOn w:val="1"/>
    <w:qFormat/>
    <w:uiPriority w:val="99"/>
    <w:pPr>
      <w:spacing w:line="360" w:lineRule="auto"/>
      <w:ind w:firstLine="200" w:firstLineChars="200"/>
    </w:pPr>
    <w:rPr>
      <w:rFonts w:ascii="Times New Roman" w:hAnsi="Times New Roman" w:cs="Times New Roman"/>
      <w:sz w:val="24"/>
      <w:szCs w:val="24"/>
    </w:rPr>
  </w:style>
  <w:style w:type="paragraph" w:customStyle="1" w:styleId="155">
    <w:name w:val="正文图标题"/>
    <w:next w:val="143"/>
    <w:qFormat/>
    <w:uiPriority w:val="99"/>
    <w:pPr>
      <w:jc w:val="center"/>
    </w:pPr>
    <w:rPr>
      <w:rFonts w:ascii="黑体" w:hAnsi="Times New Roman" w:eastAsia="黑体" w:cs="黑体"/>
      <w:sz w:val="21"/>
      <w:szCs w:val="21"/>
      <w:lang w:val="en-US" w:eastAsia="zh-CN" w:bidi="ar-SA"/>
    </w:rPr>
  </w:style>
  <w:style w:type="paragraph" w:customStyle="1" w:styleId="156">
    <w:name w:val="正文 A A"/>
    <w:qFormat/>
    <w:uiPriority w:val="99"/>
    <w:pPr>
      <w:spacing w:line="360" w:lineRule="auto"/>
      <w:ind w:firstLine="480"/>
      <w:jc w:val="both"/>
    </w:pPr>
    <w:rPr>
      <w:rFonts w:ascii="Calibri" w:hAnsi="Calibri" w:eastAsia="宋体" w:cs="Times New Roman"/>
      <w:color w:val="000000"/>
      <w:sz w:val="24"/>
      <w:szCs w:val="24"/>
      <w:lang w:val="en-US" w:eastAsia="zh-CN" w:bidi="ar-SA"/>
    </w:rPr>
  </w:style>
  <w:style w:type="paragraph" w:customStyle="1" w:styleId="157">
    <w:name w:val="p0"/>
    <w:basedOn w:val="1"/>
    <w:qFormat/>
    <w:uiPriority w:val="0"/>
    <w:pPr>
      <w:widowControl/>
    </w:pPr>
    <w:rPr>
      <w:rFonts w:ascii="Times New Roman" w:hAnsi="Times New Roman" w:cs="Times New Roman"/>
      <w:kern w:val="0"/>
    </w:rPr>
  </w:style>
  <w:style w:type="paragraph" w:customStyle="1" w:styleId="158">
    <w:name w:val="reader-word-layer reader-word-s3-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9">
    <w:name w:val="样式 (西文) 宋体 小四 首行缩进:  0.95 厘米 段前: 5 磅 段后: 5 磅 行距: 1.5 倍行距"/>
    <w:basedOn w:val="1"/>
    <w:qFormat/>
    <w:uiPriority w:val="99"/>
    <w:pPr>
      <w:widowControl/>
      <w:spacing w:before="100" w:after="100" w:line="360" w:lineRule="auto"/>
      <w:ind w:firstLine="540"/>
      <w:jc w:val="left"/>
    </w:pPr>
    <w:rPr>
      <w:rFonts w:ascii="宋体" w:hAnsi="宋体" w:cs="宋体"/>
      <w:kern w:val="0"/>
      <w:sz w:val="24"/>
      <w:szCs w:val="24"/>
    </w:rPr>
  </w:style>
  <w:style w:type="paragraph" w:customStyle="1" w:styleId="160">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1">
    <w:name w:val="reader-word-layer reader-word-s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2">
    <w:name w:val="reader-word-layer reader-word-s3-4"/>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3">
    <w:name w:val="apple-converted-space"/>
    <w:basedOn w:val="47"/>
    <w:qFormat/>
    <w:uiPriority w:val="0"/>
  </w:style>
  <w:style w:type="paragraph" w:customStyle="1" w:styleId="164">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 w:type="character" w:customStyle="1" w:styleId="165">
    <w:name w:val="标题 3 Char2"/>
    <w:qFormat/>
    <w:uiPriority w:val="99"/>
    <w:rPr>
      <w:b/>
      <w:bCs/>
      <w:kern w:val="2"/>
      <w:sz w:val="32"/>
      <w:szCs w:val="32"/>
    </w:rPr>
  </w:style>
  <w:style w:type="character" w:customStyle="1" w:styleId="166">
    <w:name w:val="题注 字符"/>
    <w:link w:val="17"/>
    <w:qFormat/>
    <w:locked/>
    <w:uiPriority w:val="0"/>
    <w:rPr>
      <w:rFonts w:ascii="华文彩云" w:hAnsi="Century Gothic" w:eastAsia="宋体" w:cs="华文彩云"/>
      <w:b/>
      <w:bCs/>
      <w:sz w:val="72"/>
      <w:szCs w:val="72"/>
    </w:rPr>
  </w:style>
  <w:style w:type="paragraph" w:customStyle="1" w:styleId="167">
    <w:name w:val="列出段落2"/>
    <w:basedOn w:val="1"/>
    <w:qFormat/>
    <w:uiPriority w:val="0"/>
    <w:pPr>
      <w:ind w:firstLine="420" w:firstLineChars="200"/>
    </w:pPr>
  </w:style>
  <w:style w:type="paragraph" w:customStyle="1" w:styleId="168">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9">
    <w:name w:val="_Style 1"/>
    <w:basedOn w:val="1"/>
    <w:qFormat/>
    <w:uiPriority w:val="99"/>
    <w:pPr>
      <w:ind w:firstLine="420" w:firstLineChars="200"/>
    </w:pPr>
  </w:style>
  <w:style w:type="paragraph" w:customStyle="1" w:styleId="170">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1">
    <w:name w:val="font"/>
    <w:basedOn w:val="47"/>
    <w:qFormat/>
    <w:uiPriority w:val="99"/>
    <w:rPr>
      <w:rFonts w:ascii="Times New Roman" w:cs="Times New Roman"/>
    </w:rPr>
  </w:style>
  <w:style w:type="paragraph" w:customStyle="1" w:styleId="172">
    <w:name w:val="样式 正文（首行缩进两字） + 宋体 小四"/>
    <w:basedOn w:val="16"/>
    <w:qFormat/>
    <w:uiPriority w:val="99"/>
  </w:style>
  <w:style w:type="paragraph" w:customStyle="1" w:styleId="173">
    <w:name w:val="列出段落21"/>
    <w:basedOn w:val="1"/>
    <w:qFormat/>
    <w:uiPriority w:val="99"/>
    <w:pPr>
      <w:ind w:firstLine="420" w:firstLineChars="200"/>
    </w:pPr>
  </w:style>
  <w:style w:type="paragraph" w:customStyle="1" w:styleId="174">
    <w:name w:val="正文缩进2字符"/>
    <w:basedOn w:val="1"/>
    <w:qFormat/>
    <w:uiPriority w:val="99"/>
    <w:pPr>
      <w:spacing w:line="360" w:lineRule="auto"/>
      <w:ind w:firstLine="200" w:firstLineChars="200"/>
    </w:pPr>
    <w:rPr>
      <w:rFonts w:ascii="Times New Roman" w:hAnsi="Times New Roman" w:cs="Times New Roman"/>
      <w:sz w:val="24"/>
      <w:szCs w:val="24"/>
    </w:rPr>
  </w:style>
  <w:style w:type="character" w:customStyle="1" w:styleId="175">
    <w:name w:val="一级条标题 Char"/>
    <w:link w:val="176"/>
    <w:qFormat/>
    <w:locked/>
    <w:uiPriority w:val="99"/>
    <w:rPr>
      <w:rFonts w:ascii="黑体" w:eastAsia="黑体" w:cs="黑体"/>
    </w:rPr>
  </w:style>
  <w:style w:type="paragraph" w:customStyle="1" w:styleId="176">
    <w:name w:val="一级条标题"/>
    <w:basedOn w:val="177"/>
    <w:next w:val="143"/>
    <w:link w:val="175"/>
    <w:qFormat/>
    <w:uiPriority w:val="99"/>
    <w:pPr>
      <w:outlineLvl w:val="2"/>
    </w:pPr>
    <w:rPr>
      <w:rFonts w:hAnsi="Calibri"/>
      <w:sz w:val="20"/>
      <w:szCs w:val="20"/>
    </w:rPr>
  </w:style>
  <w:style w:type="paragraph" w:customStyle="1" w:styleId="177">
    <w:name w:val="章标题"/>
    <w:next w:val="143"/>
    <w:link w:val="178"/>
    <w:qFormat/>
    <w:uiPriority w:val="99"/>
    <w:pPr>
      <w:spacing w:beforeLines="50" w:afterLines="50"/>
      <w:jc w:val="both"/>
      <w:outlineLvl w:val="1"/>
    </w:pPr>
    <w:rPr>
      <w:rFonts w:ascii="黑体" w:hAnsi="Times New Roman" w:eastAsia="黑体" w:cs="Times New Roman"/>
      <w:sz w:val="21"/>
      <w:szCs w:val="21"/>
      <w:lang w:val="en-US" w:eastAsia="zh-CN" w:bidi="ar-SA"/>
    </w:rPr>
  </w:style>
  <w:style w:type="character" w:customStyle="1" w:styleId="178">
    <w:name w:val="章标题 Char"/>
    <w:link w:val="177"/>
    <w:qFormat/>
    <w:locked/>
    <w:uiPriority w:val="99"/>
    <w:rPr>
      <w:rFonts w:ascii="黑体" w:hAnsi="Times New Roman" w:eastAsia="黑体"/>
      <w:sz w:val="21"/>
      <w:szCs w:val="21"/>
      <w:lang w:bidi="ar-SA"/>
    </w:rPr>
  </w:style>
  <w:style w:type="character" w:customStyle="1" w:styleId="179">
    <w:name w:val="表内居两端对齐 Char"/>
    <w:basedOn w:val="180"/>
    <w:link w:val="182"/>
    <w:qFormat/>
    <w:locked/>
    <w:uiPriority w:val="99"/>
    <w:rPr>
      <w:sz w:val="18"/>
      <w:szCs w:val="18"/>
    </w:rPr>
  </w:style>
  <w:style w:type="character" w:customStyle="1" w:styleId="180">
    <w:name w:val="表内居中小五 Char"/>
    <w:link w:val="181"/>
    <w:qFormat/>
    <w:locked/>
    <w:uiPriority w:val="99"/>
    <w:rPr>
      <w:sz w:val="18"/>
      <w:szCs w:val="18"/>
    </w:rPr>
  </w:style>
  <w:style w:type="paragraph" w:customStyle="1" w:styleId="181">
    <w:name w:val="表内居中小五"/>
    <w:basedOn w:val="1"/>
    <w:link w:val="180"/>
    <w:qFormat/>
    <w:uiPriority w:val="99"/>
    <w:pPr>
      <w:jc w:val="center"/>
    </w:pPr>
    <w:rPr>
      <w:rFonts w:cs="Times New Roman"/>
      <w:kern w:val="0"/>
      <w:sz w:val="18"/>
      <w:szCs w:val="18"/>
    </w:rPr>
  </w:style>
  <w:style w:type="paragraph" w:customStyle="1" w:styleId="182">
    <w:name w:val="表内居两端对齐"/>
    <w:basedOn w:val="181"/>
    <w:link w:val="179"/>
    <w:qFormat/>
    <w:uiPriority w:val="99"/>
    <w:pPr>
      <w:jc w:val="both"/>
    </w:pPr>
  </w:style>
  <w:style w:type="character" w:customStyle="1" w:styleId="183">
    <w:name w:val="样式 标题 4 + (符号) 宋体 Char"/>
    <w:basedOn w:val="95"/>
    <w:link w:val="184"/>
    <w:qFormat/>
    <w:locked/>
    <w:uiPriority w:val="99"/>
    <w:rPr>
      <w:rFonts w:ascii="宋体" w:hAnsi="Arial" w:eastAsia="宋体" w:cs="宋体"/>
      <w:sz w:val="21"/>
      <w:szCs w:val="21"/>
    </w:rPr>
  </w:style>
  <w:style w:type="paragraph" w:customStyle="1" w:styleId="184">
    <w:name w:val="样式 标题 4 + (符号) 宋体"/>
    <w:basedOn w:val="5"/>
    <w:link w:val="183"/>
    <w:qFormat/>
    <w:uiPriority w:val="99"/>
    <w:pPr>
      <w:keepNext w:val="0"/>
      <w:keepLines w:val="0"/>
      <w:numPr>
        <w:ilvl w:val="0"/>
        <w:numId w:val="0"/>
      </w:numPr>
      <w:adjustRightInd w:val="0"/>
      <w:snapToGrid w:val="0"/>
      <w:spacing w:before="0" w:after="0"/>
    </w:pPr>
    <w:rPr>
      <w:rFonts w:ascii="宋体" w:hAnsi="Calibri" w:cs="宋体"/>
      <w:b w:val="0"/>
      <w:bCs w:val="0"/>
      <w:kern w:val="0"/>
      <w:sz w:val="20"/>
      <w:szCs w:val="20"/>
    </w:rPr>
  </w:style>
  <w:style w:type="character" w:customStyle="1" w:styleId="185">
    <w:name w:val="HTML 预设格式 Char"/>
    <w:qFormat/>
    <w:uiPriority w:val="99"/>
    <w:rPr>
      <w:rFonts w:ascii="Courier New" w:hAnsi="Courier New" w:cs="Courier New"/>
    </w:rPr>
  </w:style>
  <w:style w:type="character" w:customStyle="1" w:styleId="186">
    <w:name w:val="二级条标题 Char"/>
    <w:link w:val="187"/>
    <w:qFormat/>
    <w:locked/>
    <w:uiPriority w:val="99"/>
    <w:rPr>
      <w:rFonts w:ascii="黑体" w:eastAsia="黑体" w:cs="黑体"/>
    </w:rPr>
  </w:style>
  <w:style w:type="paragraph" w:customStyle="1" w:styleId="187">
    <w:name w:val="二级条标题"/>
    <w:basedOn w:val="1"/>
    <w:next w:val="143"/>
    <w:link w:val="186"/>
    <w:qFormat/>
    <w:uiPriority w:val="99"/>
    <w:pPr>
      <w:widowControl/>
      <w:outlineLvl w:val="3"/>
    </w:pPr>
    <w:rPr>
      <w:rFonts w:ascii="黑体" w:eastAsia="黑体" w:cs="Times New Roman"/>
      <w:kern w:val="0"/>
      <w:sz w:val="20"/>
      <w:szCs w:val="20"/>
    </w:rPr>
  </w:style>
  <w:style w:type="character" w:customStyle="1" w:styleId="188">
    <w:name w:val="样式 标题 3 + 宋体 Char"/>
    <w:link w:val="189"/>
    <w:qFormat/>
    <w:locked/>
    <w:uiPriority w:val="99"/>
    <w:rPr>
      <w:rFonts w:ascii="宋体" w:eastAsia="宋体" w:cs="宋体"/>
      <w:kern w:val="2"/>
      <w:sz w:val="21"/>
      <w:szCs w:val="21"/>
    </w:rPr>
  </w:style>
  <w:style w:type="paragraph" w:customStyle="1" w:styleId="189">
    <w:name w:val="样式 标题 3 + 宋体"/>
    <w:basedOn w:val="3"/>
    <w:link w:val="188"/>
    <w:qFormat/>
    <w:uiPriority w:val="99"/>
    <w:pPr>
      <w:keepNext w:val="0"/>
      <w:keepLines w:val="0"/>
      <w:numPr>
        <w:numId w:val="0"/>
      </w:numPr>
      <w:tabs>
        <w:tab w:val="left" w:pos="1560"/>
      </w:tabs>
      <w:snapToGrid w:val="0"/>
      <w:spacing w:afterLines="0" w:line="360" w:lineRule="auto"/>
      <w:ind w:left="360"/>
    </w:pPr>
    <w:rPr>
      <w:rFonts w:ascii="宋体" w:hAnsi="Calibri"/>
      <w:b w:val="0"/>
      <w:bCs w:val="0"/>
      <w:sz w:val="21"/>
      <w:szCs w:val="21"/>
    </w:rPr>
  </w:style>
  <w:style w:type="character" w:customStyle="1" w:styleId="190">
    <w:name w:val="HTML 地址 Char"/>
    <w:qFormat/>
    <w:uiPriority w:val="99"/>
    <w:rPr>
      <w:i/>
      <w:iCs/>
      <w:sz w:val="24"/>
      <w:szCs w:val="24"/>
    </w:rPr>
  </w:style>
  <w:style w:type="character" w:customStyle="1" w:styleId="191">
    <w:name w:val="三级条标题 Char"/>
    <w:basedOn w:val="186"/>
    <w:link w:val="192"/>
    <w:qFormat/>
    <w:locked/>
    <w:uiPriority w:val="99"/>
    <w:rPr>
      <w:rFonts w:ascii="黑体" w:eastAsia="黑体" w:cs="黑体"/>
    </w:rPr>
  </w:style>
  <w:style w:type="paragraph" w:customStyle="1" w:styleId="192">
    <w:name w:val="三级条标题"/>
    <w:basedOn w:val="187"/>
    <w:next w:val="143"/>
    <w:link w:val="191"/>
    <w:qFormat/>
    <w:uiPriority w:val="99"/>
    <w:pPr>
      <w:tabs>
        <w:tab w:val="left" w:pos="360"/>
      </w:tabs>
      <w:ind w:left="-180"/>
      <w:outlineLvl w:val="4"/>
    </w:pPr>
  </w:style>
  <w:style w:type="character" w:customStyle="1" w:styleId="193">
    <w:name w:val="首行缩进 Char"/>
    <w:link w:val="194"/>
    <w:qFormat/>
    <w:locked/>
    <w:uiPriority w:val="99"/>
    <w:rPr>
      <w:rFonts w:eastAsia="方正书宋简体"/>
    </w:rPr>
  </w:style>
  <w:style w:type="paragraph" w:customStyle="1" w:styleId="194">
    <w:name w:val="首行缩进"/>
    <w:basedOn w:val="1"/>
    <w:link w:val="193"/>
    <w:qFormat/>
    <w:uiPriority w:val="0"/>
    <w:pPr>
      <w:spacing w:line="300" w:lineRule="auto"/>
      <w:ind w:firstLine="420" w:firstLineChars="200"/>
    </w:pPr>
    <w:rPr>
      <w:rFonts w:eastAsia="方正书宋简体" w:cs="Times New Roman"/>
      <w:kern w:val="0"/>
      <w:sz w:val="20"/>
      <w:szCs w:val="20"/>
    </w:rPr>
  </w:style>
  <w:style w:type="paragraph" w:customStyle="1" w:styleId="195">
    <w:name w:val="附录标识"/>
    <w:basedOn w:val="196"/>
    <w:qFormat/>
    <w:uiPriority w:val="99"/>
  </w:style>
  <w:style w:type="paragraph" w:customStyle="1" w:styleId="196">
    <w:name w:val="前言、引言标题"/>
    <w:next w:val="1"/>
    <w:qFormat/>
    <w:uiPriority w:val="99"/>
    <w:pPr>
      <w:shd w:val="clear" w:color="FFFFFF" w:fill="FFFFFF"/>
      <w:spacing w:before="640" w:after="560"/>
      <w:ind w:left="720" w:hanging="720"/>
      <w:jc w:val="center"/>
      <w:outlineLvl w:val="0"/>
    </w:pPr>
    <w:rPr>
      <w:rFonts w:ascii="黑体" w:hAnsi="Times New Roman" w:eastAsia="黑体" w:cs="黑体"/>
      <w:sz w:val="32"/>
      <w:szCs w:val="32"/>
      <w:lang w:val="en-US" w:eastAsia="zh-CN" w:bidi="ar-SA"/>
    </w:rPr>
  </w:style>
  <w:style w:type="paragraph" w:customStyle="1" w:styleId="197">
    <w:name w:val="一级无标题条"/>
    <w:basedOn w:val="1"/>
    <w:qFormat/>
    <w:uiPriority w:val="99"/>
    <w:pPr>
      <w:ind w:left="851" w:hanging="397"/>
    </w:pPr>
    <w:rPr>
      <w:rFonts w:ascii="Times New Roman" w:hAnsi="Times New Roman" w:cs="Times New Roman"/>
    </w:rPr>
  </w:style>
  <w:style w:type="paragraph" w:customStyle="1" w:styleId="198">
    <w:name w:val="注×："/>
    <w:qFormat/>
    <w:uiPriority w:val="99"/>
    <w:pPr>
      <w:widowControl w:val="0"/>
      <w:tabs>
        <w:tab w:val="left" w:pos="360"/>
        <w:tab w:val="left" w:pos="630"/>
      </w:tabs>
      <w:autoSpaceDE w:val="0"/>
      <w:autoSpaceDN w:val="0"/>
      <w:jc w:val="both"/>
    </w:pPr>
    <w:rPr>
      <w:rFonts w:ascii="宋体" w:hAnsi="Times New Roman" w:eastAsia="宋体" w:cs="宋体"/>
      <w:sz w:val="18"/>
      <w:szCs w:val="18"/>
      <w:lang w:val="en-US" w:eastAsia="zh-CN" w:bidi="ar-SA"/>
    </w:rPr>
  </w:style>
  <w:style w:type="paragraph" w:customStyle="1" w:styleId="199">
    <w:name w:val="二级无标题条"/>
    <w:basedOn w:val="1"/>
    <w:qFormat/>
    <w:uiPriority w:val="99"/>
    <w:pPr>
      <w:ind w:left="1418" w:hanging="709"/>
    </w:pPr>
    <w:rPr>
      <w:rFonts w:ascii="Times New Roman" w:hAnsi="Times New Roman" w:cs="Times New Roman"/>
    </w:rPr>
  </w:style>
  <w:style w:type="paragraph" w:customStyle="1" w:styleId="200">
    <w:name w:val="附录三级条标题"/>
    <w:basedOn w:val="201"/>
    <w:next w:val="143"/>
    <w:qFormat/>
    <w:uiPriority w:val="99"/>
    <w:pPr>
      <w:ind w:left="2551" w:hanging="850"/>
      <w:outlineLvl w:val="4"/>
    </w:pPr>
  </w:style>
  <w:style w:type="paragraph" w:customStyle="1" w:styleId="201">
    <w:name w:val="附录二级条标题"/>
    <w:basedOn w:val="202"/>
    <w:next w:val="143"/>
    <w:qFormat/>
    <w:uiPriority w:val="99"/>
    <w:pPr>
      <w:autoSpaceDN w:val="0"/>
      <w:ind w:left="1984" w:hanging="708"/>
      <w:outlineLvl w:val="3"/>
    </w:pPr>
  </w:style>
  <w:style w:type="paragraph" w:customStyle="1" w:styleId="202">
    <w:name w:val="附录一级条标题"/>
    <w:basedOn w:val="203"/>
    <w:next w:val="143"/>
    <w:qFormat/>
    <w:uiPriority w:val="99"/>
    <w:pPr>
      <w:ind w:left="1418"/>
    </w:pPr>
  </w:style>
  <w:style w:type="paragraph" w:customStyle="1" w:styleId="203">
    <w:name w:val="附录章标题"/>
    <w:next w:val="143"/>
    <w:qFormat/>
    <w:uiPriority w:val="99"/>
    <w:pPr>
      <w:wordWrap w:val="0"/>
      <w:overflowPunct w:val="0"/>
      <w:autoSpaceDE w:val="0"/>
      <w:spacing w:beforeLines="50" w:afterLines="50"/>
      <w:ind w:left="794" w:hanging="567"/>
      <w:jc w:val="both"/>
      <w:textAlignment w:val="baseline"/>
      <w:outlineLvl w:val="1"/>
    </w:pPr>
    <w:rPr>
      <w:rFonts w:ascii="黑体" w:hAnsi="Times New Roman" w:eastAsia="黑体" w:cs="黑体"/>
      <w:kern w:val="21"/>
      <w:sz w:val="21"/>
      <w:szCs w:val="21"/>
      <w:lang w:val="en-US" w:eastAsia="zh-CN" w:bidi="ar-SA"/>
    </w:rPr>
  </w:style>
  <w:style w:type="paragraph" w:customStyle="1" w:styleId="204">
    <w:name w:val="附录四级条标题"/>
    <w:basedOn w:val="200"/>
    <w:next w:val="143"/>
    <w:qFormat/>
    <w:uiPriority w:val="99"/>
    <w:pPr>
      <w:outlineLvl w:val="5"/>
    </w:pPr>
  </w:style>
  <w:style w:type="paragraph" w:customStyle="1" w:styleId="205">
    <w:name w:val="示例"/>
    <w:next w:val="143"/>
    <w:qFormat/>
    <w:uiPriority w:val="99"/>
    <w:pPr>
      <w:tabs>
        <w:tab w:val="left" w:pos="360"/>
        <w:tab w:val="left" w:pos="420"/>
      </w:tabs>
      <w:ind w:left="420"/>
      <w:jc w:val="both"/>
    </w:pPr>
    <w:rPr>
      <w:rFonts w:ascii="宋体" w:hAnsi="Times New Roman" w:eastAsia="宋体" w:cs="宋体"/>
      <w:sz w:val="18"/>
      <w:szCs w:val="18"/>
      <w:lang w:val="en-US" w:eastAsia="zh-CN" w:bidi="ar-SA"/>
    </w:rPr>
  </w:style>
  <w:style w:type="paragraph" w:customStyle="1" w:styleId="206">
    <w:name w:val="三级无标题条"/>
    <w:basedOn w:val="1"/>
    <w:qFormat/>
    <w:uiPriority w:val="99"/>
    <w:pPr>
      <w:ind w:left="1418" w:hanging="567"/>
    </w:pPr>
    <w:rPr>
      <w:rFonts w:ascii="Times New Roman" w:hAnsi="Times New Roman" w:cs="Times New Roman"/>
    </w:rPr>
  </w:style>
  <w:style w:type="paragraph" w:customStyle="1" w:styleId="207">
    <w:name w:val="五级无标题条"/>
    <w:basedOn w:val="1"/>
    <w:qFormat/>
    <w:uiPriority w:val="99"/>
    <w:pPr>
      <w:ind w:left="3827" w:hanging="1276"/>
    </w:pPr>
    <w:rPr>
      <w:rFonts w:ascii="Times New Roman" w:hAnsi="Times New Roman" w:cs="Times New Roman"/>
    </w:rPr>
  </w:style>
  <w:style w:type="paragraph" w:customStyle="1" w:styleId="208">
    <w:name w:val="样式 标题 5 + 右侧:  1 字符"/>
    <w:basedOn w:val="6"/>
    <w:qFormat/>
    <w:uiPriority w:val="99"/>
    <w:pPr>
      <w:tabs>
        <w:tab w:val="clear" w:pos="2520"/>
      </w:tabs>
      <w:adjustRightInd w:val="0"/>
      <w:spacing w:before="0"/>
      <w:ind w:left="0" w:right="210" w:rightChars="100" w:firstLine="0"/>
      <w:textAlignment w:val="baseline"/>
    </w:pPr>
    <w:rPr>
      <w:kern w:val="0"/>
    </w:rPr>
  </w:style>
  <w:style w:type="paragraph" w:customStyle="1" w:styleId="209">
    <w:name w:val="附录五级条标题"/>
    <w:basedOn w:val="204"/>
    <w:next w:val="143"/>
    <w:qFormat/>
    <w:uiPriority w:val="99"/>
    <w:pPr>
      <w:outlineLvl w:val="6"/>
    </w:pPr>
  </w:style>
  <w:style w:type="paragraph" w:customStyle="1" w:styleId="210">
    <w:name w:val="四级条标题"/>
    <w:basedOn w:val="192"/>
    <w:next w:val="143"/>
    <w:qFormat/>
    <w:uiPriority w:val="99"/>
    <w:pPr>
      <w:tabs>
        <w:tab w:val="clear" w:pos="360"/>
      </w:tabs>
      <w:ind w:left="0"/>
      <w:outlineLvl w:val="5"/>
    </w:pPr>
  </w:style>
  <w:style w:type="paragraph" w:customStyle="1" w:styleId="211">
    <w:name w:val="四级无标题条"/>
    <w:basedOn w:val="1"/>
    <w:qFormat/>
    <w:uiPriority w:val="99"/>
    <w:pPr>
      <w:ind w:left="3260" w:hanging="1134"/>
    </w:pPr>
    <w:rPr>
      <w:rFonts w:ascii="Times New Roman" w:hAnsi="Times New Roman" w:cs="Times New Roman"/>
    </w:rPr>
  </w:style>
  <w:style w:type="paragraph" w:customStyle="1" w:styleId="212">
    <w:name w:val="列项——"/>
    <w:qFormat/>
    <w:uiPriority w:val="99"/>
    <w:pPr>
      <w:widowControl w:val="0"/>
      <w:numPr>
        <w:ilvl w:val="0"/>
        <w:numId w:val="4"/>
      </w:numPr>
      <w:tabs>
        <w:tab w:val="left" w:pos="360"/>
      </w:tabs>
      <w:jc w:val="both"/>
    </w:pPr>
    <w:rPr>
      <w:rFonts w:ascii="宋体" w:hAnsi="Times New Roman" w:eastAsia="宋体" w:cs="宋体"/>
      <w:sz w:val="21"/>
      <w:szCs w:val="21"/>
      <w:lang w:val="en-US" w:eastAsia="zh-CN" w:bidi="ar-SA"/>
    </w:rPr>
  </w:style>
  <w:style w:type="paragraph" w:customStyle="1" w:styleId="213">
    <w:name w:val="列项·"/>
    <w:qFormat/>
    <w:uiPriority w:val="99"/>
    <w:pPr>
      <w:tabs>
        <w:tab w:val="left" w:pos="360"/>
        <w:tab w:val="left" w:pos="840"/>
      </w:tabs>
      <w:jc w:val="both"/>
    </w:pPr>
    <w:rPr>
      <w:rFonts w:ascii="宋体" w:hAnsi="Times New Roman" w:eastAsia="宋体" w:cs="宋体"/>
      <w:sz w:val="21"/>
      <w:szCs w:val="21"/>
      <w:lang w:val="en-US" w:eastAsia="zh-CN" w:bidi="ar-SA"/>
    </w:rPr>
  </w:style>
  <w:style w:type="paragraph" w:customStyle="1" w:styleId="214">
    <w:name w:val="样式 标题 2 + Times New Roman 四号 非加粗 段前: 5 磅 段后: 0 磅 行距: 固定值 20..."/>
    <w:basedOn w:val="2"/>
    <w:qFormat/>
    <w:uiPriority w:val="99"/>
    <w:pPr>
      <w:numPr>
        <w:ilvl w:val="0"/>
        <w:numId w:val="0"/>
      </w:numPr>
      <w:spacing w:before="100" w:line="400" w:lineRule="exact"/>
    </w:pPr>
    <w:rPr>
      <w:rFonts w:ascii="Times New Roman" w:hAnsi="Times New Roman" w:eastAsia="黑体" w:cs="Times New Roman"/>
      <w:b w:val="0"/>
      <w:bCs w:val="0"/>
    </w:rPr>
  </w:style>
  <w:style w:type="paragraph" w:customStyle="1" w:styleId="215">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16">
    <w:name w:val="标题 2（网御星云）"/>
    <w:basedOn w:val="2"/>
    <w:next w:val="1"/>
    <w:qFormat/>
    <w:uiPriority w:val="99"/>
    <w:pPr>
      <w:numPr>
        <w:ilvl w:val="0"/>
        <w:numId w:val="0"/>
      </w:numPr>
      <w:spacing w:before="260" w:after="260" w:line="413" w:lineRule="auto"/>
      <w:ind w:left="794" w:hanging="794"/>
      <w:jc w:val="left"/>
    </w:pPr>
    <w:rPr>
      <w:rFonts w:eastAsia="黑体"/>
      <w:sz w:val="32"/>
      <w:szCs w:val="32"/>
    </w:rPr>
  </w:style>
  <w:style w:type="paragraph" w:customStyle="1" w:styleId="217">
    <w:name w:val="表内"/>
    <w:basedOn w:val="1"/>
    <w:qFormat/>
    <w:uiPriority w:val="0"/>
    <w:pPr>
      <w:spacing w:line="300" w:lineRule="auto"/>
    </w:pPr>
    <w:rPr>
      <w:rFonts w:ascii="Times New Roman" w:hAnsi="Times New Roman" w:cs="Times New Roman"/>
      <w:color w:val="000000"/>
      <w:kern w:val="0"/>
      <w:lang w:eastAsia="zh-TW"/>
    </w:rPr>
  </w:style>
  <w:style w:type="paragraph" w:customStyle="1" w:styleId="218">
    <w:name w:val="列出段落3"/>
    <w:basedOn w:val="1"/>
    <w:unhideWhenUsed/>
    <w:qFormat/>
    <w:uiPriority w:val="0"/>
    <w:pPr>
      <w:ind w:firstLine="420" w:firstLineChars="200"/>
    </w:pPr>
  </w:style>
  <w:style w:type="character" w:customStyle="1" w:styleId="219">
    <w:name w:val="Unresolved Mention"/>
    <w:basedOn w:val="47"/>
    <w:unhideWhenUsed/>
    <w:qFormat/>
    <w:uiPriority w:val="99"/>
    <w:rPr>
      <w:color w:val="808080"/>
      <w:shd w:val="clear" w:color="auto" w:fill="E6E6E6"/>
    </w:rPr>
  </w:style>
  <w:style w:type="character" w:customStyle="1" w:styleId="220">
    <w:name w:val="current"/>
    <w:basedOn w:val="47"/>
    <w:qFormat/>
    <w:uiPriority w:val="0"/>
    <w:rPr>
      <w:b/>
      <w:color w:val="0030CE"/>
    </w:rPr>
  </w:style>
  <w:style w:type="character" w:customStyle="1" w:styleId="221">
    <w:name w:val="allp"/>
    <w:basedOn w:val="47"/>
    <w:qFormat/>
    <w:uiPriority w:val="0"/>
    <w:rPr>
      <w:color w:val="0030CE"/>
    </w:rPr>
  </w:style>
  <w:style w:type="character" w:customStyle="1" w:styleId="222">
    <w:name w:val="dangq"/>
    <w:basedOn w:val="47"/>
    <w:qFormat/>
    <w:uiPriority w:val="0"/>
    <w:rPr>
      <w:b/>
      <w:color w:val="288094"/>
    </w:rPr>
  </w:style>
  <w:style w:type="table" w:customStyle="1" w:styleId="223">
    <w:name w:val="��ͨ���"/>
    <w:basedOn w:val="54"/>
    <w:semiHidden/>
    <w:qFormat/>
    <w:uiPriority w:val="0"/>
  </w:style>
  <w:style w:type="paragraph" w:customStyle="1" w:styleId="224">
    <w:name w:val="_Style 219"/>
    <w:basedOn w:val="1"/>
    <w:next w:val="1"/>
    <w:qFormat/>
    <w:uiPriority w:val="0"/>
    <w:pPr>
      <w:pBdr>
        <w:bottom w:val="single" w:color="auto" w:sz="6" w:space="1"/>
      </w:pBdr>
      <w:jc w:val="center"/>
    </w:pPr>
    <w:rPr>
      <w:rFonts w:ascii="Arial"/>
      <w:vanish/>
      <w:sz w:val="16"/>
    </w:rPr>
  </w:style>
  <w:style w:type="paragraph" w:customStyle="1" w:styleId="225">
    <w:name w:val="_Style 220"/>
    <w:basedOn w:val="1"/>
    <w:next w:val="1"/>
    <w:qFormat/>
    <w:uiPriority w:val="0"/>
    <w:pPr>
      <w:pBdr>
        <w:top w:val="single" w:color="auto" w:sz="6" w:space="1"/>
      </w:pBdr>
      <w:jc w:val="center"/>
    </w:pPr>
    <w:rPr>
      <w:rFonts w:ascii="Arial"/>
      <w:vanish/>
      <w:sz w:val="16"/>
    </w:rPr>
  </w:style>
  <w:style w:type="character" w:customStyle="1" w:styleId="226">
    <w:name w:val="inp1501"/>
    <w:basedOn w:val="47"/>
    <w:qFormat/>
    <w:uiPriority w:val="0"/>
  </w:style>
  <w:style w:type="character" w:customStyle="1" w:styleId="227">
    <w:name w:val="inp4001"/>
    <w:basedOn w:val="47"/>
    <w:qFormat/>
    <w:uiPriority w:val="0"/>
  </w:style>
  <w:style w:type="paragraph" w:customStyle="1" w:styleId="228">
    <w:name w:val="_Style 5"/>
    <w:basedOn w:val="1"/>
    <w:next w:val="1"/>
    <w:qFormat/>
    <w:uiPriority w:val="34"/>
    <w:pPr>
      <w:pBdr>
        <w:top w:val="single" w:color="auto" w:sz="6" w:space="1"/>
      </w:pBdr>
      <w:jc w:val="center"/>
    </w:pPr>
    <w:rPr>
      <w:rFonts w:ascii="Arial" w:hAnsi="Times New Roman" w:cs="Times New Roman"/>
      <w:vanish/>
      <w:sz w:val="16"/>
      <w:szCs w:val="24"/>
    </w:rPr>
  </w:style>
  <w:style w:type="paragraph" w:customStyle="1" w:styleId="229">
    <w:name w:val="_Style 6"/>
    <w:basedOn w:val="1"/>
    <w:next w:val="1"/>
    <w:qFormat/>
    <w:uiPriority w:val="34"/>
    <w:pPr>
      <w:pBdr>
        <w:bottom w:val="single" w:color="auto" w:sz="6" w:space="1"/>
      </w:pBdr>
      <w:jc w:val="center"/>
    </w:pPr>
    <w:rPr>
      <w:rFonts w:ascii="Arial" w:hAnsi="Times New Roman" w:cs="Times New Roman"/>
      <w:vanish/>
      <w:sz w:val="16"/>
      <w:szCs w:val="24"/>
    </w:rPr>
  </w:style>
  <w:style w:type="paragraph" w:customStyle="1" w:styleId="230">
    <w:name w:val="_Style 3"/>
    <w:basedOn w:val="1"/>
    <w:next w:val="1"/>
    <w:qFormat/>
    <w:uiPriority w:val="0"/>
    <w:pPr>
      <w:pBdr>
        <w:top w:val="single" w:color="auto" w:sz="6" w:space="1"/>
      </w:pBdr>
      <w:jc w:val="center"/>
    </w:pPr>
    <w:rPr>
      <w:rFonts w:ascii="Arial" w:hAnsi="Times New Roman" w:cs="Times New Roman"/>
      <w:vanish/>
      <w:sz w:val="16"/>
      <w:szCs w:val="24"/>
    </w:rPr>
  </w:style>
  <w:style w:type="paragraph" w:customStyle="1" w:styleId="23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Times New Roman"/>
      <w:kern w:val="0"/>
    </w:rPr>
  </w:style>
  <w:style w:type="character" w:customStyle="1" w:styleId="232">
    <w:name w:val="列出段落 字符"/>
    <w:link w:val="233"/>
    <w:uiPriority w:val="34"/>
    <w:rPr>
      <w:rFonts w:ascii="Calibri" w:hAnsi="Calibri"/>
      <w:kern w:val="2"/>
      <w:sz w:val="21"/>
      <w:szCs w:val="22"/>
    </w:rPr>
  </w:style>
  <w:style w:type="paragraph" w:styleId="233">
    <w:name w:val="List Paragraph"/>
    <w:basedOn w:val="1"/>
    <w:link w:val="232"/>
    <w:qFormat/>
    <w:uiPriority w:val="34"/>
    <w:pPr>
      <w:ind w:firstLine="420" w:firstLineChars="200"/>
    </w:pPr>
    <w:rPr>
      <w:rFonts w:cs="Times New Roman"/>
      <w:szCs w:val="22"/>
    </w:rPr>
  </w:style>
  <w:style w:type="character" w:customStyle="1" w:styleId="234">
    <w:name w:val="param-name"/>
    <w:qFormat/>
    <w:uiPriority w:val="0"/>
  </w:style>
  <w:style w:type="character" w:customStyle="1" w:styleId="235">
    <w:name w:val="*正文 Char"/>
    <w:link w:val="236"/>
    <w:qFormat/>
    <w:uiPriority w:val="0"/>
    <w:rPr>
      <w:rFonts w:ascii="宋体" w:hAnsi="宋体"/>
      <w:sz w:val="24"/>
    </w:rPr>
  </w:style>
  <w:style w:type="paragraph" w:customStyle="1" w:styleId="236">
    <w:name w:val="*正文"/>
    <w:basedOn w:val="1"/>
    <w:link w:val="235"/>
    <w:qFormat/>
    <w:uiPriority w:val="0"/>
    <w:pPr>
      <w:spacing w:line="360" w:lineRule="auto"/>
      <w:ind w:firstLine="200" w:firstLineChars="200"/>
      <w:jc w:val="left"/>
    </w:pPr>
    <w:rPr>
      <w:rFonts w:ascii="宋体" w:hAnsi="宋体" w:cs="Times New Roman"/>
      <w:kern w:val="0"/>
      <w:sz w:val="24"/>
      <w:szCs w:val="20"/>
    </w:rPr>
  </w:style>
  <w:style w:type="character" w:customStyle="1" w:styleId="237">
    <w:name w:val="正文对齐 Char"/>
    <w:link w:val="238"/>
    <w:qFormat/>
    <w:locked/>
    <w:uiPriority w:val="0"/>
    <w:rPr>
      <w:kern w:val="2"/>
      <w:sz w:val="21"/>
      <w:szCs w:val="21"/>
    </w:rPr>
  </w:style>
  <w:style w:type="paragraph" w:customStyle="1" w:styleId="238">
    <w:name w:val="正文对齐"/>
    <w:basedOn w:val="1"/>
    <w:link w:val="237"/>
    <w:qFormat/>
    <w:uiPriority w:val="0"/>
    <w:pPr>
      <w:spacing w:after="120"/>
      <w:ind w:left="400" w:leftChars="400"/>
    </w:pPr>
    <w:rPr>
      <w:rFonts w:ascii="Times New Roman" w:hAnsi="Times New Roman" w:cs="Times New Roman"/>
    </w:rPr>
  </w:style>
  <w:style w:type="character" w:customStyle="1" w:styleId="239">
    <w:name w:val="表格文本 Char"/>
    <w:link w:val="240"/>
    <w:qFormat/>
    <w:uiPriority w:val="1"/>
    <w:rPr>
      <w:rFonts w:ascii="宋体"/>
      <w:sz w:val="24"/>
    </w:rPr>
  </w:style>
  <w:style w:type="paragraph" w:customStyle="1" w:styleId="240">
    <w:name w:val="表格文本"/>
    <w:basedOn w:val="1"/>
    <w:link w:val="239"/>
    <w:qFormat/>
    <w:uiPriority w:val="1"/>
    <w:rPr>
      <w:rFonts w:ascii="宋体" w:hAnsi="Times New Roman" w:cs="Times New Roman"/>
      <w:kern w:val="0"/>
      <w:sz w:val="24"/>
      <w:szCs w:val="20"/>
    </w:rPr>
  </w:style>
  <w:style w:type="character" w:customStyle="1" w:styleId="241">
    <w:name w:val="标题 9 字符"/>
    <w:semiHidden/>
    <w:uiPriority w:val="0"/>
    <w:rPr>
      <w:rFonts w:ascii="等线 Light" w:hAnsi="等线 Light" w:eastAsia="等线 Light" w:cs="Times New Roman"/>
      <w:kern w:val="2"/>
      <w:sz w:val="21"/>
      <w:szCs w:val="21"/>
    </w:rPr>
  </w:style>
  <w:style w:type="character" w:customStyle="1" w:styleId="242">
    <w:name w:val="正文缩进 Char1"/>
    <w:uiPriority w:val="0"/>
    <w:rPr>
      <w:rFonts w:ascii="Times New Roman" w:hAnsi="Times New Roman" w:eastAsia="宋体" w:cs="Times New Roman"/>
      <w:szCs w:val="20"/>
    </w:rPr>
  </w:style>
  <w:style w:type="character" w:customStyle="1" w:styleId="243">
    <w:name w:val="彩色底纹 - 强调文字颜色 3 Char"/>
    <w:link w:val="244"/>
    <w:qFormat/>
    <w:uiPriority w:val="0"/>
    <w:rPr>
      <w:rFonts w:ascii="Arial" w:hAnsi="Arial" w:eastAsia="华文仿宋" w:cs="Arial"/>
      <w:color w:val="0D0D0D"/>
      <w:kern w:val="2"/>
      <w:sz w:val="28"/>
      <w:szCs w:val="32"/>
    </w:rPr>
  </w:style>
  <w:style w:type="paragraph" w:customStyle="1" w:styleId="244">
    <w:name w:val="彩色底纹 - 强调文字颜色 31"/>
    <w:basedOn w:val="1"/>
    <w:link w:val="243"/>
    <w:qFormat/>
    <w:uiPriority w:val="0"/>
    <w:pPr>
      <w:ind w:firstLine="420" w:firstLineChars="200"/>
    </w:pPr>
    <w:rPr>
      <w:rFonts w:ascii="Arial" w:hAnsi="Arial" w:eastAsia="华文仿宋" w:cs="Arial"/>
      <w:color w:val="0D0D0D"/>
      <w:sz w:val="28"/>
      <w:szCs w:val="32"/>
    </w:rPr>
  </w:style>
  <w:style w:type="character" w:customStyle="1" w:styleId="245">
    <w:name w:val="脚注文本 字符"/>
    <w:link w:val="36"/>
    <w:qFormat/>
    <w:uiPriority w:val="0"/>
    <w:rPr>
      <w:rFonts w:ascii="仿宋" w:hAnsi="仿宋" w:cs="宋体"/>
      <w:kern w:val="2"/>
      <w:sz w:val="18"/>
      <w:szCs w:val="18"/>
    </w:rPr>
  </w:style>
  <w:style w:type="character" w:customStyle="1" w:styleId="246">
    <w:name w:val="脚注文本 Char1"/>
    <w:basedOn w:val="47"/>
    <w:semiHidden/>
    <w:qFormat/>
    <w:uiPriority w:val="99"/>
    <w:rPr>
      <w:rFonts w:ascii="Calibri" w:hAnsi="Calibri" w:cs="Calibri"/>
      <w:kern w:val="2"/>
      <w:sz w:val="18"/>
      <w:szCs w:val="18"/>
    </w:rPr>
  </w:style>
  <w:style w:type="character" w:customStyle="1" w:styleId="247">
    <w:name w:val="JSFA 模板正文 Char"/>
    <w:link w:val="248"/>
    <w:qFormat/>
    <w:uiPriority w:val="0"/>
    <w:rPr>
      <w:kern w:val="2"/>
      <w:sz w:val="24"/>
      <w:szCs w:val="24"/>
    </w:rPr>
  </w:style>
  <w:style w:type="paragraph" w:customStyle="1" w:styleId="248">
    <w:name w:val="JSFA 模板正文"/>
    <w:basedOn w:val="1"/>
    <w:link w:val="247"/>
    <w:qFormat/>
    <w:uiPriority w:val="0"/>
    <w:pPr>
      <w:widowControl/>
      <w:spacing w:line="360" w:lineRule="auto"/>
      <w:ind w:firstLine="200" w:firstLineChars="200"/>
      <w:jc w:val="left"/>
    </w:pPr>
    <w:rPr>
      <w:rFonts w:ascii="Times New Roman" w:hAnsi="Times New Roman" w:cs="Times New Roman"/>
      <w:sz w:val="24"/>
      <w:szCs w:val="24"/>
    </w:rPr>
  </w:style>
  <w:style w:type="character" w:customStyle="1" w:styleId="249">
    <w:name w:val="5号表格字体 Char"/>
    <w:link w:val="250"/>
    <w:qFormat/>
    <w:uiPriority w:val="0"/>
    <w:rPr>
      <w:rFonts w:ascii="宋体" w:hAnsi="Arial"/>
      <w:sz w:val="21"/>
    </w:rPr>
  </w:style>
  <w:style w:type="paragraph" w:customStyle="1" w:styleId="250">
    <w:name w:val="5号表格字体"/>
    <w:basedOn w:val="1"/>
    <w:link w:val="249"/>
    <w:qFormat/>
    <w:uiPriority w:val="0"/>
    <w:pPr>
      <w:ind w:firstLine="200" w:firstLineChars="200"/>
    </w:pPr>
    <w:rPr>
      <w:rFonts w:ascii="宋体" w:hAnsi="Arial" w:cs="Times New Roman"/>
      <w:kern w:val="0"/>
      <w:szCs w:val="20"/>
    </w:rPr>
  </w:style>
  <w:style w:type="character" w:customStyle="1" w:styleId="251">
    <w:name w:val="插图对齐 Char"/>
    <w:link w:val="252"/>
    <w:locked/>
    <w:uiPriority w:val="0"/>
    <w:rPr>
      <w:rFonts w:cs="宋体"/>
      <w:sz w:val="24"/>
    </w:rPr>
  </w:style>
  <w:style w:type="paragraph" w:customStyle="1" w:styleId="252">
    <w:name w:val="插图对齐"/>
    <w:basedOn w:val="1"/>
    <w:next w:val="1"/>
    <w:link w:val="251"/>
    <w:qFormat/>
    <w:uiPriority w:val="0"/>
    <w:pPr>
      <w:spacing w:after="120"/>
      <w:ind w:left="400" w:leftChars="400"/>
      <w:jc w:val="center"/>
    </w:pPr>
    <w:rPr>
      <w:rFonts w:ascii="Times New Roman" w:hAnsi="Times New Roman" w:cs="宋体"/>
      <w:kern w:val="0"/>
      <w:sz w:val="24"/>
      <w:szCs w:val="20"/>
    </w:rPr>
  </w:style>
  <w:style w:type="character" w:customStyle="1" w:styleId="253">
    <w:name w:val="5号圆点 Char"/>
    <w:link w:val="254"/>
    <w:qFormat/>
    <w:uiPriority w:val="0"/>
    <w:rPr>
      <w:rFonts w:ascii="宋体" w:hAnsi="宋体"/>
      <w:kern w:val="2"/>
      <w:sz w:val="21"/>
      <w:szCs w:val="22"/>
    </w:rPr>
  </w:style>
  <w:style w:type="paragraph" w:customStyle="1" w:styleId="254">
    <w:name w:val="5号圆点"/>
    <w:basedOn w:val="255"/>
    <w:link w:val="253"/>
    <w:qFormat/>
    <w:uiPriority w:val="0"/>
    <w:pPr>
      <w:numPr>
        <w:ilvl w:val="0"/>
        <w:numId w:val="0"/>
      </w:numPr>
      <w:spacing w:line="240" w:lineRule="auto"/>
      <w:ind w:firstLine="420" w:firstLineChars="200"/>
    </w:pPr>
    <w:rPr>
      <w:rFonts w:hAnsi="宋体"/>
      <w:color w:val="auto"/>
      <w:sz w:val="21"/>
      <w:szCs w:val="22"/>
    </w:rPr>
  </w:style>
  <w:style w:type="paragraph" w:customStyle="1" w:styleId="255">
    <w:name w:val="圆形字体"/>
    <w:basedOn w:val="1"/>
    <w:link w:val="256"/>
    <w:qFormat/>
    <w:uiPriority w:val="0"/>
    <w:pPr>
      <w:numPr>
        <w:ilvl w:val="0"/>
        <w:numId w:val="5"/>
      </w:numPr>
      <w:spacing w:line="360" w:lineRule="auto"/>
    </w:pPr>
    <w:rPr>
      <w:rFonts w:ascii="宋体" w:hAnsi="Arial" w:cs="Times New Roman"/>
      <w:color w:val="000000"/>
      <w:sz w:val="24"/>
      <w:szCs w:val="24"/>
    </w:rPr>
  </w:style>
  <w:style w:type="character" w:customStyle="1" w:styleId="256">
    <w:name w:val="圆形字体 Char"/>
    <w:link w:val="255"/>
    <w:qFormat/>
    <w:uiPriority w:val="0"/>
    <w:rPr>
      <w:rFonts w:ascii="宋体" w:hAnsi="Arial"/>
      <w:color w:val="000000"/>
      <w:kern w:val="2"/>
      <w:sz w:val="24"/>
      <w:szCs w:val="24"/>
    </w:rPr>
  </w:style>
  <w:style w:type="character" w:customStyle="1" w:styleId="257">
    <w:name w:val="标题 8 字符"/>
    <w:semiHidden/>
    <w:qFormat/>
    <w:uiPriority w:val="0"/>
    <w:rPr>
      <w:rFonts w:ascii="等线 Light" w:hAnsi="等线 Light" w:eastAsia="等线 Light" w:cs="Times New Roman"/>
      <w:kern w:val="2"/>
      <w:sz w:val="24"/>
      <w:szCs w:val="24"/>
    </w:rPr>
  </w:style>
  <w:style w:type="character" w:customStyle="1" w:styleId="258">
    <w:name w:val="中等深浅底纹 1 - 强调文字颜色 2 Char"/>
    <w:link w:val="259"/>
    <w:qFormat/>
    <w:uiPriority w:val="1"/>
    <w:rPr>
      <w:rFonts w:ascii="Calibri" w:hAnsi="Calibri" w:eastAsia="仿宋_GB2312"/>
      <w:sz w:val="24"/>
      <w:szCs w:val="32"/>
      <w:lang w:eastAsia="en-US" w:bidi="en-US"/>
    </w:rPr>
  </w:style>
  <w:style w:type="paragraph" w:customStyle="1" w:styleId="259">
    <w:name w:val="中等深浅底纹 1 - 强调文字颜色 21"/>
    <w:basedOn w:val="1"/>
    <w:link w:val="258"/>
    <w:qFormat/>
    <w:uiPriority w:val="1"/>
    <w:pPr>
      <w:widowControl/>
      <w:ind w:firstLine="200" w:firstLineChars="200"/>
      <w:jc w:val="left"/>
    </w:pPr>
    <w:rPr>
      <w:rFonts w:eastAsia="仿宋_GB2312" w:cs="Times New Roman"/>
      <w:kern w:val="0"/>
      <w:sz w:val="24"/>
      <w:szCs w:val="32"/>
      <w:lang w:eastAsia="en-US" w:bidi="en-US"/>
    </w:rPr>
  </w:style>
  <w:style w:type="character" w:customStyle="1" w:styleId="260">
    <w:name w:val="普通(网站) Char"/>
    <w:qFormat/>
    <w:locked/>
    <w:uiPriority w:val="99"/>
    <w:rPr>
      <w:rFonts w:ascii="宋体" w:hAnsi="宋体" w:eastAsia="宋体" w:cs="宋体"/>
      <w:kern w:val="0"/>
      <w:sz w:val="24"/>
      <w:szCs w:val="24"/>
    </w:rPr>
  </w:style>
  <w:style w:type="character" w:customStyle="1" w:styleId="261">
    <w:name w:val="编号，小四 Char"/>
    <w:link w:val="262"/>
    <w:qFormat/>
    <w:uiPriority w:val="0"/>
    <w:rPr>
      <w:rFonts w:ascii="Verdana" w:hAnsi="Verdana"/>
      <w:kern w:val="2"/>
      <w:sz w:val="24"/>
    </w:rPr>
  </w:style>
  <w:style w:type="paragraph" w:customStyle="1" w:styleId="262">
    <w:name w:val="编号，小四"/>
    <w:basedOn w:val="1"/>
    <w:link w:val="261"/>
    <w:qFormat/>
    <w:uiPriority w:val="0"/>
    <w:pPr>
      <w:spacing w:line="360" w:lineRule="auto"/>
    </w:pPr>
    <w:rPr>
      <w:rFonts w:ascii="Verdana" w:hAnsi="Verdana" w:cs="Times New Roman"/>
      <w:sz w:val="24"/>
      <w:szCs w:val="20"/>
    </w:rPr>
  </w:style>
  <w:style w:type="character" w:customStyle="1" w:styleId="263">
    <w:name w:val="GW-正文 Char"/>
    <w:link w:val="264"/>
    <w:qFormat/>
    <w:uiPriority w:val="0"/>
    <w:rPr>
      <w:rFonts w:eastAsia="仿宋_GB2312"/>
      <w:kern w:val="2"/>
      <w:sz w:val="24"/>
      <w:szCs w:val="24"/>
    </w:rPr>
  </w:style>
  <w:style w:type="paragraph" w:customStyle="1" w:styleId="264">
    <w:name w:val="GW-正文"/>
    <w:link w:val="263"/>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character" w:customStyle="1" w:styleId="265">
    <w:name w:val="表格字体 Char"/>
    <w:link w:val="266"/>
    <w:qFormat/>
    <w:uiPriority w:val="0"/>
    <w:rPr>
      <w:rFonts w:ascii="宋体" w:hAnsi="宋体"/>
      <w:szCs w:val="24"/>
    </w:rPr>
  </w:style>
  <w:style w:type="paragraph" w:customStyle="1" w:styleId="266">
    <w:name w:val="表格字体"/>
    <w:link w:val="265"/>
    <w:qFormat/>
    <w:uiPriority w:val="0"/>
    <w:pPr>
      <w:jc w:val="both"/>
    </w:pPr>
    <w:rPr>
      <w:rFonts w:ascii="宋体" w:hAnsi="宋体" w:eastAsia="宋体" w:cs="Times New Roman"/>
      <w:szCs w:val="24"/>
      <w:lang w:val="en-US" w:eastAsia="zh-CN" w:bidi="ar-SA"/>
    </w:rPr>
  </w:style>
  <w:style w:type="character" w:customStyle="1" w:styleId="267">
    <w:name w:val="普通(网站) 字符"/>
    <w:link w:val="45"/>
    <w:qFormat/>
    <w:uiPriority w:val="0"/>
    <w:rPr>
      <w:rFonts w:ascii="宋体" w:hAnsi="宋体" w:cs="宋体"/>
      <w:sz w:val="24"/>
      <w:szCs w:val="24"/>
    </w:rPr>
  </w:style>
  <w:style w:type="paragraph" w:customStyle="1" w:styleId="268">
    <w:name w:val="xl16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69">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0">
    <w:name w:val="xl11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71">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2">
    <w:name w:val="xl19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3">
    <w:name w:val="xl13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4">
    <w:name w:val="xl1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75">
    <w:name w:val="xl108"/>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6">
    <w:name w:val="font13"/>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27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78">
    <w:name w:val="xl13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79">
    <w:name w:val="xl66"/>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8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1">
    <w:name w:val="关键指标"/>
    <w:basedOn w:val="1"/>
    <w:qFormat/>
    <w:uiPriority w:val="0"/>
    <w:pPr>
      <w:tabs>
        <w:tab w:val="left" w:pos="0"/>
      </w:tabs>
      <w:ind w:left="420" w:hanging="420" w:firstLineChars="200"/>
    </w:pPr>
    <w:rPr>
      <w:rFonts w:ascii="仿宋_GB2312" w:hAnsi="MS Mincho" w:eastAsia="仿宋_GB2312" w:cs="MS Mincho"/>
      <w:color w:val="262626"/>
      <w:sz w:val="24"/>
      <w:szCs w:val="26"/>
    </w:rPr>
  </w:style>
  <w:style w:type="paragraph" w:customStyle="1" w:styleId="282">
    <w:name w:val="中等深浅网格 2 - 强调文字颜色 111"/>
    <w:basedOn w:val="1"/>
    <w:qFormat/>
    <w:uiPriority w:val="99"/>
    <w:pPr>
      <w:widowControl/>
      <w:ind w:firstLine="200" w:firstLineChars="200"/>
      <w:jc w:val="left"/>
    </w:pPr>
    <w:rPr>
      <w:rFonts w:eastAsia="仿宋_GB2312" w:cs="Times New Roman"/>
      <w:kern w:val="0"/>
      <w:sz w:val="24"/>
      <w:szCs w:val="32"/>
      <w:lang w:eastAsia="en-US" w:bidi="en-US"/>
    </w:rPr>
  </w:style>
  <w:style w:type="paragraph" w:customStyle="1" w:styleId="283">
    <w:name w:val="xl132"/>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84">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85">
    <w:name w:val="font1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86">
    <w:name w:val="xl11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8">
    <w:name w:val="标题6"/>
    <w:basedOn w:val="7"/>
    <w:next w:val="1"/>
    <w:qFormat/>
    <w:uiPriority w:val="0"/>
    <w:pPr>
      <w:numPr>
        <w:ilvl w:val="5"/>
        <w:numId w:val="4"/>
      </w:numPr>
      <w:tabs>
        <w:tab w:val="clear" w:pos="2940"/>
      </w:tabs>
      <w:spacing w:before="240" w:after="64" w:line="320" w:lineRule="auto"/>
    </w:pPr>
    <w:rPr>
      <w:rFonts w:eastAsia="黑体" w:cs="宋体"/>
      <w:bCs/>
      <w:sz w:val="24"/>
      <w:szCs w:val="20"/>
    </w:rPr>
  </w:style>
  <w:style w:type="paragraph" w:customStyle="1" w:styleId="289">
    <w:name w:val="xl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9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1">
    <w:name w:val="标题7"/>
    <w:basedOn w:val="8"/>
    <w:next w:val="1"/>
    <w:qFormat/>
    <w:uiPriority w:val="0"/>
    <w:pPr>
      <w:numPr>
        <w:ilvl w:val="6"/>
        <w:numId w:val="4"/>
      </w:numPr>
      <w:tabs>
        <w:tab w:val="clear" w:pos="3360"/>
      </w:tabs>
      <w:spacing w:before="240" w:after="64" w:line="320" w:lineRule="auto"/>
    </w:pPr>
    <w:rPr>
      <w:rFonts w:ascii="Arial" w:hAnsi="Arial" w:eastAsia="黑体" w:cs="宋体"/>
      <w:bCs/>
      <w:sz w:val="24"/>
      <w:szCs w:val="24"/>
      <w:lang w:eastAsia="en-US"/>
    </w:rPr>
  </w:style>
  <w:style w:type="paragraph" w:customStyle="1" w:styleId="292">
    <w:name w:val="xl12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93">
    <w:name w:val="xl143"/>
    <w:basedOn w:val="1"/>
    <w:qFormat/>
    <w:uiPriority w:val="0"/>
    <w:pPr>
      <w:widowControl/>
      <w:pBdr>
        <w:lef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94">
    <w:name w:val="font16"/>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95">
    <w:name w:val="xl14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96">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97">
    <w:name w:val="xl1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98">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9">
    <w:name w:val="xl11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2">
    <w:name w:val="font14"/>
    <w:basedOn w:val="1"/>
    <w:qFormat/>
    <w:uiPriority w:val="0"/>
    <w:pPr>
      <w:widowControl/>
      <w:spacing w:before="100" w:beforeAutospacing="1" w:after="100" w:afterAutospacing="1"/>
      <w:jc w:val="left"/>
    </w:pPr>
    <w:rPr>
      <w:rFonts w:ascii="Tahoma" w:hAnsi="Tahoma" w:cs="Tahoma"/>
      <w:b/>
      <w:bCs/>
      <w:color w:val="000000"/>
      <w:kern w:val="0"/>
      <w:sz w:val="18"/>
      <w:szCs w:val="18"/>
    </w:rPr>
  </w:style>
  <w:style w:type="paragraph" w:customStyle="1" w:styleId="303">
    <w:name w:val="xl1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04">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5">
    <w:name w:val="xl16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6">
    <w:name w:val="正文 A"/>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307">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9">
    <w:name w:val="font8"/>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310">
    <w:name w:val="xl10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11">
    <w:name w:val="xl10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2">
    <w:name w:val="Char Char Char1 Char"/>
    <w:basedOn w:val="1"/>
    <w:semiHidden/>
    <w:qFormat/>
    <w:uiPriority w:val="0"/>
    <w:pPr>
      <w:spacing w:line="360" w:lineRule="auto"/>
      <w:ind w:firstLine="200" w:firstLineChars="200"/>
    </w:pPr>
    <w:rPr>
      <w:rFonts w:ascii="宋体" w:hAnsi="宋体" w:cs="宋体"/>
      <w:sz w:val="24"/>
    </w:rPr>
  </w:style>
  <w:style w:type="paragraph" w:customStyle="1" w:styleId="31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14">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6">
    <w:name w:val="xl11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1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318">
    <w:name w:val="xl13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1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20">
    <w:name w:val="xl15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22">
    <w:name w:val="xl12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23">
    <w:name w:val="xl169"/>
    <w:basedOn w:val="1"/>
    <w:qFormat/>
    <w:uiPriority w:val="0"/>
    <w:pPr>
      <w:widowControl/>
      <w:pBdr>
        <w:left w:val="single" w:color="auto" w:sz="4" w:space="0"/>
      </w:pBdr>
      <w:spacing w:before="100" w:beforeAutospacing="1" w:after="100" w:afterAutospacing="1"/>
      <w:jc w:val="left"/>
    </w:pPr>
    <w:rPr>
      <w:rFonts w:ascii="Arial" w:hAnsi="Arial" w:cs="Arial"/>
      <w:kern w:val="0"/>
      <w:sz w:val="20"/>
      <w:szCs w:val="20"/>
    </w:rPr>
  </w:style>
  <w:style w:type="paragraph" w:customStyle="1" w:styleId="324">
    <w:name w:val="标题9"/>
    <w:basedOn w:val="10"/>
    <w:next w:val="1"/>
    <w:qFormat/>
    <w:uiPriority w:val="0"/>
    <w:pPr>
      <w:numPr>
        <w:ilvl w:val="8"/>
        <w:numId w:val="4"/>
      </w:numPr>
      <w:tabs>
        <w:tab w:val="left" w:pos="420"/>
        <w:tab w:val="left" w:pos="6480"/>
        <w:tab w:val="clear" w:pos="4200"/>
      </w:tabs>
      <w:spacing w:before="240" w:after="64" w:line="320" w:lineRule="auto"/>
      <w:ind w:left="6480" w:hanging="360"/>
    </w:pPr>
    <w:rPr>
      <w:rFonts w:ascii="Cambria" w:hAnsi="Cambria" w:cs="Times New Roman"/>
      <w:lang w:eastAsia="en-US"/>
    </w:rPr>
  </w:style>
  <w:style w:type="paragraph" w:customStyle="1" w:styleId="325">
    <w:name w:val="font20"/>
    <w:basedOn w:val="1"/>
    <w:qFormat/>
    <w:uiPriority w:val="0"/>
    <w:pPr>
      <w:widowControl/>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326">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7">
    <w:name w:val="标题8"/>
    <w:basedOn w:val="9"/>
    <w:next w:val="1"/>
    <w:qFormat/>
    <w:uiPriority w:val="0"/>
    <w:pPr>
      <w:numPr>
        <w:ilvl w:val="7"/>
        <w:numId w:val="4"/>
      </w:numPr>
      <w:tabs>
        <w:tab w:val="left" w:pos="5760"/>
      </w:tabs>
      <w:spacing w:line="320" w:lineRule="auto"/>
      <w:ind w:left="5760" w:hanging="360"/>
    </w:pPr>
    <w:rPr>
      <w:rFonts w:ascii="Cambria" w:hAnsi="Cambria" w:eastAsia="黑体"/>
      <w:lang w:eastAsia="en-US"/>
    </w:rPr>
  </w:style>
  <w:style w:type="paragraph" w:customStyle="1" w:styleId="328">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29">
    <w:name w:val="xl13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330">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1">
    <w:name w:val="xl172"/>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xl135"/>
    <w:basedOn w:val="1"/>
    <w:qFormat/>
    <w:uiPriority w:val="0"/>
    <w:pPr>
      <w:widowControl/>
      <w:pBdr>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4">
    <w:name w:val="列出段落4"/>
    <w:basedOn w:val="1"/>
    <w:qFormat/>
    <w:uiPriority w:val="0"/>
    <w:pPr>
      <w:spacing w:line="360" w:lineRule="auto"/>
      <w:ind w:firstLine="420" w:firstLineChars="200"/>
    </w:pPr>
    <w:rPr>
      <w:rFonts w:ascii="仿宋" w:hAnsi="仿宋" w:cs="Times New Roman"/>
      <w:sz w:val="24"/>
    </w:rPr>
  </w:style>
  <w:style w:type="paragraph" w:customStyle="1" w:styleId="335">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6">
    <w:name w:val="xl13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37">
    <w:name w:val="xl175"/>
    <w:basedOn w:val="1"/>
    <w:qFormat/>
    <w:uiPriority w:val="0"/>
    <w:pPr>
      <w:widowControl/>
      <w:pBdr>
        <w:left w:val="single" w:color="auto" w:sz="4" w:space="0"/>
      </w:pBdr>
      <w:spacing w:before="100" w:beforeAutospacing="1" w:after="100" w:afterAutospacing="1"/>
      <w:jc w:val="left"/>
    </w:pPr>
    <w:rPr>
      <w:rFonts w:ascii="宋体" w:hAnsi="宋体" w:cs="宋体"/>
      <w:kern w:val="0"/>
      <w:sz w:val="20"/>
      <w:szCs w:val="20"/>
    </w:rPr>
  </w:style>
  <w:style w:type="paragraph" w:customStyle="1" w:styleId="338">
    <w:name w:val="xl11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9">
    <w:name w:val="xl146"/>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4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1">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42">
    <w:name w:val="图表批注"/>
    <w:basedOn w:val="1"/>
    <w:next w:val="16"/>
    <w:qFormat/>
    <w:uiPriority w:val="0"/>
    <w:pPr>
      <w:spacing w:line="360" w:lineRule="auto"/>
      <w:contextualSpacing/>
      <w:jc w:val="center"/>
    </w:pPr>
    <w:rPr>
      <w:rFonts w:ascii="宋体" w:hAnsi="宋体" w:cs="Times New Roman"/>
      <w:kern w:val="0"/>
      <w:szCs w:val="24"/>
      <w:lang w:eastAsia="en-US" w:bidi="en-US"/>
    </w:rPr>
  </w:style>
  <w:style w:type="paragraph" w:customStyle="1" w:styleId="343">
    <w:name w:val="xl17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344">
    <w:name w:val="WPS Plain"/>
    <w:qFormat/>
    <w:uiPriority w:val="0"/>
    <w:rPr>
      <w:rFonts w:ascii="Times New Roman" w:hAnsi="Times New Roman" w:eastAsia="宋体" w:cs="Times New Roman"/>
      <w:lang w:val="en-US" w:eastAsia="zh-CN" w:bidi="ar-SA"/>
    </w:rPr>
  </w:style>
  <w:style w:type="paragraph" w:customStyle="1" w:styleId="345">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7">
    <w:name w:val="正文标号1"/>
    <w:basedOn w:val="1"/>
    <w:semiHidden/>
    <w:qFormat/>
    <w:uiPriority w:val="0"/>
    <w:pPr>
      <w:numPr>
        <w:ilvl w:val="0"/>
        <w:numId w:val="6"/>
      </w:numPr>
      <w:tabs>
        <w:tab w:val="left" w:pos="627"/>
      </w:tabs>
      <w:spacing w:line="360" w:lineRule="auto"/>
      <w:ind w:left="720" w:hanging="240" w:firstLineChars="200"/>
    </w:pPr>
    <w:rPr>
      <w:rFonts w:ascii="宋体" w:hAnsi="Times New Roman" w:cs="Times New Roman"/>
      <w:color w:val="0D0D0D"/>
      <w:sz w:val="24"/>
      <w:szCs w:val="24"/>
      <w:lang w:val="en-GB"/>
    </w:rPr>
  </w:style>
  <w:style w:type="paragraph" w:customStyle="1" w:styleId="34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49">
    <w:name w:val="xl1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350">
    <w:name w:val="中等深浅网格 2 - 强调文字颜色 11"/>
    <w:basedOn w:val="1"/>
    <w:qFormat/>
    <w:uiPriority w:val="99"/>
    <w:pPr>
      <w:widowControl/>
      <w:ind w:firstLine="200" w:firstLineChars="200"/>
      <w:jc w:val="left"/>
    </w:pPr>
    <w:rPr>
      <w:rFonts w:eastAsia="仿宋_GB2312" w:cs="Times New Roman"/>
      <w:kern w:val="0"/>
      <w:sz w:val="24"/>
      <w:szCs w:val="32"/>
      <w:lang w:eastAsia="en-US" w:bidi="en-US"/>
    </w:rPr>
  </w:style>
  <w:style w:type="paragraph" w:customStyle="1" w:styleId="35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352">
    <w:name w:val="xl9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353">
    <w:name w:val="xl11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54">
    <w:name w:val="xl16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5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6">
    <w:name w:val="xl178"/>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7">
    <w:name w:val="xl196"/>
    <w:basedOn w:val="1"/>
    <w:qFormat/>
    <w:uiPriority w:val="0"/>
    <w:pPr>
      <w:widowControl/>
      <w:spacing w:before="100" w:beforeAutospacing="1" w:after="100" w:afterAutospacing="1"/>
      <w:jc w:val="center"/>
      <w:textAlignment w:val="bottom"/>
    </w:pPr>
    <w:rPr>
      <w:rFonts w:ascii="仿宋_GB2312" w:hAnsi="宋体" w:eastAsia="仿宋_GB2312" w:cs="宋体"/>
      <w:kern w:val="0"/>
      <w:sz w:val="20"/>
      <w:szCs w:val="20"/>
    </w:rPr>
  </w:style>
  <w:style w:type="paragraph" w:customStyle="1" w:styleId="358">
    <w:name w:val="xl174"/>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60">
    <w:name w:val="xl12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361">
    <w:name w:val="xl10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62">
    <w:name w:val="xl104"/>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63">
    <w:name w:val="xl14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6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65">
    <w:name w:val="xl99"/>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366">
    <w:name w:val="xl14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67">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8">
    <w:name w:val="xl144"/>
    <w:basedOn w:val="1"/>
    <w:qFormat/>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69">
    <w:name w:val="xl173"/>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0"/>
      <w:szCs w:val="20"/>
    </w:rPr>
  </w:style>
  <w:style w:type="paragraph" w:customStyle="1" w:styleId="37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371">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2">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73">
    <w:name w:val="xl171"/>
    <w:basedOn w:val="1"/>
    <w:qFormat/>
    <w:uiPriority w:val="0"/>
    <w:pPr>
      <w:widowControl/>
      <w:pBdr>
        <w:left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37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5">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76">
    <w:name w:val="xl170"/>
    <w:basedOn w:val="1"/>
    <w:qFormat/>
    <w:uiPriority w:val="0"/>
    <w:pPr>
      <w:widowControl/>
      <w:pBdr>
        <w:right w:val="single" w:color="auto" w:sz="4" w:space="0"/>
      </w:pBdr>
      <w:spacing w:before="100" w:beforeAutospacing="1" w:after="100" w:afterAutospacing="1"/>
      <w:jc w:val="left"/>
    </w:pPr>
    <w:rPr>
      <w:rFonts w:ascii="Arial" w:hAnsi="Arial" w:cs="Arial"/>
      <w:kern w:val="0"/>
      <w:sz w:val="20"/>
      <w:szCs w:val="20"/>
    </w:rPr>
  </w:style>
  <w:style w:type="paragraph" w:customStyle="1" w:styleId="377">
    <w:name w:val="xl176"/>
    <w:basedOn w:val="1"/>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378">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9">
    <w:name w:val="xl159"/>
    <w:basedOn w:val="1"/>
    <w:qFormat/>
    <w:uiPriority w:val="0"/>
    <w:pPr>
      <w:widowControl/>
      <w:spacing w:before="100" w:beforeAutospacing="1" w:after="100" w:afterAutospacing="1"/>
      <w:jc w:val="center"/>
      <w:textAlignment w:val="bottom"/>
    </w:pPr>
    <w:rPr>
      <w:rFonts w:ascii="宋体" w:hAnsi="宋体" w:cs="宋体"/>
      <w:b/>
      <w:bCs/>
      <w:kern w:val="0"/>
      <w:sz w:val="20"/>
      <w:szCs w:val="20"/>
    </w:rPr>
  </w:style>
  <w:style w:type="paragraph" w:customStyle="1" w:styleId="3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81">
    <w:name w:val="xl1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382">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83">
    <w:name w:val="列出段落41"/>
    <w:basedOn w:val="1"/>
    <w:qFormat/>
    <w:uiPriority w:val="0"/>
    <w:pPr>
      <w:widowControl/>
      <w:spacing w:line="360" w:lineRule="auto"/>
      <w:ind w:firstLine="420" w:firstLineChars="200"/>
    </w:pPr>
    <w:rPr>
      <w:rFonts w:ascii="Times New Roman" w:hAnsi="Times New Roman" w:cs="Times New Roman"/>
      <w:kern w:val="0"/>
      <w:sz w:val="28"/>
      <w:szCs w:val="22"/>
    </w:rPr>
  </w:style>
  <w:style w:type="paragraph" w:customStyle="1" w:styleId="384">
    <w:name w:val="xl14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85">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8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87">
    <w:name w:val="_Style 13"/>
    <w:basedOn w:val="1"/>
    <w:qFormat/>
    <w:uiPriority w:val="34"/>
    <w:pPr>
      <w:ind w:firstLine="420" w:firstLineChars="200"/>
    </w:pPr>
    <w:rPr>
      <w:rFonts w:cs="Times New Roman"/>
      <w:szCs w:val="22"/>
    </w:rPr>
  </w:style>
  <w:style w:type="paragraph" w:customStyle="1" w:styleId="388">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9">
    <w:name w:val="xl142"/>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90">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91">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92">
    <w:name w:val="xl120"/>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宋体" w:hAnsi="宋体" w:cs="宋体"/>
      <w:b/>
      <w:bCs/>
      <w:kern w:val="0"/>
      <w:sz w:val="24"/>
      <w:szCs w:val="24"/>
    </w:rPr>
  </w:style>
  <w:style w:type="paragraph" w:customStyle="1" w:styleId="393">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94">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395">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396">
    <w:name w:val="Level1"/>
    <w:qFormat/>
    <w:uiPriority w:val="1"/>
    <w:pPr>
      <w:spacing w:before="60" w:after="60" w:line="300" w:lineRule="auto"/>
      <w:ind w:firstLine="567"/>
    </w:pPr>
    <w:rPr>
      <w:rFonts w:ascii="Times New Roman" w:hAnsi="Times New Roman" w:eastAsia="宋体" w:cs="Arial"/>
      <w:b/>
      <w:bCs/>
      <w:color w:val="0000CC"/>
      <w:sz w:val="24"/>
      <w:szCs w:val="22"/>
      <w:lang w:val="en-GB" w:eastAsia="zh-CN" w:bidi="ar-SA"/>
    </w:rPr>
  </w:style>
  <w:style w:type="paragraph" w:customStyle="1" w:styleId="397">
    <w:name w:val="xl189"/>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398">
    <w:name w:val="xl19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9">
    <w:name w:val="xl103"/>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400">
    <w:name w:val="xl1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1">
    <w:name w:val="xl12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402">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0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4">
    <w:name w:val="xl15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5">
    <w:name w:val="默认"/>
    <w:qFormat/>
    <w:uiPriority w:val="0"/>
    <w:rPr>
      <w:rFonts w:ascii="Helvetica" w:hAnsi="Helvetica" w:eastAsia="Helvetica" w:cs="宋体"/>
      <w:color w:val="000000"/>
      <w:sz w:val="22"/>
      <w:szCs w:val="22"/>
      <w:lang w:val="en-US" w:eastAsia="zh-CN" w:bidi="ar-SA"/>
    </w:rPr>
  </w:style>
  <w:style w:type="paragraph" w:customStyle="1" w:styleId="406">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7">
    <w:name w:val="xl150"/>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8">
    <w:name w:val="默认段落字体 Para Char Char Char Char Char Char Char Char Char1 Char Char Char Char"/>
    <w:basedOn w:val="1"/>
    <w:qFormat/>
    <w:uiPriority w:val="0"/>
    <w:rPr>
      <w:rFonts w:ascii="Tahoma" w:hAnsi="Tahoma" w:cs="Times New Roman"/>
      <w:sz w:val="24"/>
      <w:szCs w:val="20"/>
    </w:rPr>
  </w:style>
  <w:style w:type="paragraph" w:customStyle="1" w:styleId="409">
    <w:name w:val="xl167"/>
    <w:basedOn w:val="1"/>
    <w:qFormat/>
    <w:uiPriority w:val="0"/>
    <w:pPr>
      <w:widowControl/>
      <w:pBdr>
        <w:top w:val="single" w:color="auto" w:sz="4" w:space="0"/>
        <w:left w:val="single" w:color="auto" w:sz="4" w:space="0"/>
      </w:pBdr>
      <w:spacing w:before="100" w:beforeAutospacing="1" w:after="100" w:afterAutospacing="1"/>
      <w:jc w:val="left"/>
    </w:pPr>
    <w:rPr>
      <w:rFonts w:ascii="Arial" w:hAnsi="Arial" w:cs="Arial"/>
      <w:kern w:val="0"/>
      <w:sz w:val="20"/>
      <w:szCs w:val="20"/>
    </w:rPr>
  </w:style>
  <w:style w:type="paragraph" w:customStyle="1" w:styleId="410">
    <w:name w:val="xl11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宋体" w:hAnsi="宋体" w:cs="宋体"/>
      <w:b/>
      <w:bCs/>
      <w:kern w:val="0"/>
      <w:sz w:val="24"/>
      <w:szCs w:val="24"/>
    </w:rPr>
  </w:style>
  <w:style w:type="paragraph" w:customStyle="1" w:styleId="411">
    <w:name w:val="段落缩进2 小四"/>
    <w:basedOn w:val="1"/>
    <w:qFormat/>
    <w:uiPriority w:val="0"/>
    <w:pPr>
      <w:numPr>
        <w:ilvl w:val="2"/>
        <w:numId w:val="7"/>
      </w:numPr>
      <w:tabs>
        <w:tab w:val="left" w:pos="360"/>
      </w:tabs>
      <w:spacing w:line="360" w:lineRule="auto"/>
      <w:ind w:left="0" w:firstLine="480" w:firstLineChars="200"/>
    </w:pPr>
    <w:rPr>
      <w:rFonts w:ascii="宋体" w:hAnsi="宋体" w:cs="Times New Roman"/>
      <w:color w:val="0D0D0D"/>
      <w:sz w:val="24"/>
      <w:szCs w:val="24"/>
    </w:rPr>
  </w:style>
  <w:style w:type="paragraph" w:customStyle="1" w:styleId="412">
    <w:name w:val="样式 首行缩进:  0.74 厘米"/>
    <w:basedOn w:val="1"/>
    <w:qFormat/>
    <w:uiPriority w:val="0"/>
    <w:pPr>
      <w:spacing w:line="360" w:lineRule="auto"/>
      <w:ind w:firstLine="200" w:firstLineChars="200"/>
    </w:pPr>
    <w:rPr>
      <w:rFonts w:ascii="Times New Roman" w:hAnsi="Times New Roman" w:eastAsia="仿宋" w:cs="宋体"/>
      <w:sz w:val="24"/>
      <w:szCs w:val="20"/>
    </w:rPr>
  </w:style>
  <w:style w:type="paragraph" w:customStyle="1" w:styleId="413">
    <w:name w:val="font1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414">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415">
    <w:name w:val="xl133"/>
    <w:basedOn w:val="1"/>
    <w:qFormat/>
    <w:uiPriority w:val="0"/>
    <w:pPr>
      <w:widowControl/>
      <w:pBdr>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416">
    <w:name w:val="xl124"/>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41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18">
    <w:name w:val="font19"/>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419">
    <w:name w:val="xl168"/>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420">
    <w:name w:val="xl19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21">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2">
    <w:name w:val="xl1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4">
    <w:name w:val="xl11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25">
    <w:name w:val="样式 首行缩进:  0 字符"/>
    <w:basedOn w:val="1"/>
    <w:qFormat/>
    <w:uiPriority w:val="99"/>
    <w:pPr>
      <w:spacing w:line="360" w:lineRule="auto"/>
      <w:ind w:firstLine="200" w:firstLineChars="200"/>
    </w:pPr>
    <w:rPr>
      <w:rFonts w:ascii="Verdana" w:hAnsi="Verdana" w:cs="宋体"/>
      <w:sz w:val="24"/>
      <w:szCs w:val="20"/>
    </w:rPr>
  </w:style>
  <w:style w:type="paragraph" w:customStyle="1" w:styleId="426">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7">
    <w:name w:val="xl15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0">
    <w:name w:val="浅色网格 - 强调文字颜色 31"/>
    <w:basedOn w:val="1"/>
    <w:qFormat/>
    <w:uiPriority w:val="99"/>
    <w:pPr>
      <w:widowControl/>
      <w:numPr>
        <w:ilvl w:val="0"/>
        <w:numId w:val="8"/>
      </w:numPr>
      <w:ind w:left="720" w:firstLine="200" w:firstLineChars="200"/>
      <w:contextualSpacing/>
      <w:jc w:val="left"/>
    </w:pPr>
    <w:rPr>
      <w:rFonts w:eastAsia="仿宋_GB2312" w:cs="Times New Roman"/>
      <w:kern w:val="0"/>
      <w:sz w:val="24"/>
      <w:szCs w:val="24"/>
      <w:lang w:eastAsia="en-US" w:bidi="en-US"/>
    </w:rPr>
  </w:style>
  <w:style w:type="paragraph" w:customStyle="1" w:styleId="431">
    <w:name w:val="xl16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32">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cs="宋体"/>
      <w:kern w:val="0"/>
      <w:sz w:val="20"/>
      <w:szCs w:val="20"/>
    </w:rPr>
  </w:style>
  <w:style w:type="paragraph" w:customStyle="1" w:styleId="433">
    <w:name w:val="样式 标题 5 + 段前: 0.5 行"/>
    <w:basedOn w:val="6"/>
    <w:qFormat/>
    <w:uiPriority w:val="0"/>
    <w:pPr>
      <w:numPr>
        <w:numId w:val="4"/>
      </w:numPr>
      <w:tabs>
        <w:tab w:val="clear" w:pos="2520"/>
      </w:tabs>
      <w:snapToGrid w:val="0"/>
      <w:spacing w:beforeLines="50"/>
      <w:jc w:val="left"/>
    </w:pPr>
    <w:rPr>
      <w:rFonts w:ascii="Arial" w:hAnsi="Arial" w:eastAsia="黑体" w:cs="宋体"/>
      <w:sz w:val="28"/>
      <w:szCs w:val="20"/>
    </w:rPr>
  </w:style>
  <w:style w:type="paragraph" w:customStyle="1" w:styleId="434">
    <w:name w:val="xl152"/>
    <w:basedOn w:val="1"/>
    <w:qFormat/>
    <w:uiPriority w:val="0"/>
    <w:pPr>
      <w:widowControl/>
      <w:pBdr>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35">
    <w:name w:val="xl10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436">
    <w:name w:val="TOC Heading"/>
    <w:basedOn w:val="4"/>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437">
    <w:name w:val="xl15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xl145"/>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1">
    <w:name w:val="xl1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2">
    <w:name w:val="xl11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43">
    <w:name w:val="xl6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44">
    <w:name w:val="xl151"/>
    <w:basedOn w:val="1"/>
    <w:qFormat/>
    <w:uiPriority w:val="0"/>
    <w:pPr>
      <w:widowControl/>
      <w:pBdr>
        <w:left w:val="single" w:color="auto" w:sz="4" w:space="0"/>
      </w:pBdr>
      <w:spacing w:before="100" w:beforeAutospacing="1" w:after="100" w:afterAutospacing="1"/>
      <w:jc w:val="center"/>
    </w:pPr>
    <w:rPr>
      <w:rFonts w:ascii="宋体" w:hAnsi="宋体" w:cs="宋体"/>
      <w:color w:val="000000"/>
      <w:kern w:val="0"/>
      <w:sz w:val="20"/>
      <w:szCs w:val="20"/>
    </w:rPr>
  </w:style>
  <w:style w:type="character" w:customStyle="1" w:styleId="445">
    <w:name w:val="空四正文 Char"/>
    <w:link w:val="446"/>
    <w:qFormat/>
    <w:uiPriority w:val="0"/>
    <w:rPr>
      <w:rFonts w:ascii="宋体"/>
      <w:sz w:val="24"/>
    </w:rPr>
  </w:style>
  <w:style w:type="paragraph" w:customStyle="1" w:styleId="446">
    <w:name w:val="空四正文"/>
    <w:basedOn w:val="1"/>
    <w:link w:val="445"/>
    <w:qFormat/>
    <w:uiPriority w:val="0"/>
    <w:pPr>
      <w:spacing w:line="360" w:lineRule="auto"/>
      <w:ind w:firstLine="480" w:firstLineChars="200"/>
    </w:pPr>
    <w:rPr>
      <w:rFonts w:ascii="宋体" w:hAnsi="Times New Roman" w:cs="Times New Roman"/>
      <w:kern w:val="0"/>
      <w:sz w:val="24"/>
      <w:szCs w:val="20"/>
    </w:rPr>
  </w:style>
  <w:style w:type="paragraph" w:customStyle="1" w:styleId="447">
    <w:name w:val="正文2"/>
    <w:basedOn w:val="1"/>
    <w:link w:val="448"/>
    <w:qFormat/>
    <w:uiPriority w:val="0"/>
    <w:pPr>
      <w:adjustRightInd w:val="0"/>
      <w:snapToGrid w:val="0"/>
      <w:spacing w:line="360" w:lineRule="auto"/>
      <w:ind w:firstLine="200" w:firstLineChars="200"/>
    </w:pPr>
    <w:rPr>
      <w:rFonts w:ascii="Times New Roman" w:hAnsi="Times New Roman" w:cs="Times New Roman"/>
      <w:kern w:val="0"/>
      <w:sz w:val="24"/>
      <w:szCs w:val="24"/>
    </w:rPr>
  </w:style>
  <w:style w:type="character" w:customStyle="1" w:styleId="448">
    <w:name w:val="正文2 Char"/>
    <w:link w:val="447"/>
    <w:qFormat/>
    <w:uiPriority w:val="0"/>
    <w:rPr>
      <w:sz w:val="24"/>
      <w:szCs w:val="24"/>
    </w:rPr>
  </w:style>
  <w:style w:type="character" w:customStyle="1" w:styleId="449">
    <w:name w:val="样式5 Char"/>
    <w:link w:val="450"/>
    <w:qFormat/>
    <w:locked/>
    <w:uiPriority w:val="0"/>
    <w:rPr>
      <w:rFonts w:ascii="宋体" w:hAnsi="宋体"/>
      <w:sz w:val="24"/>
    </w:rPr>
  </w:style>
  <w:style w:type="paragraph" w:customStyle="1" w:styleId="450">
    <w:name w:val="样式5"/>
    <w:basedOn w:val="446"/>
    <w:link w:val="449"/>
    <w:qFormat/>
    <w:uiPriority w:val="0"/>
    <w:pPr>
      <w:widowControl/>
      <w:numPr>
        <w:ilvl w:val="0"/>
        <w:numId w:val="9"/>
      </w:numPr>
      <w:ind w:firstLine="0" w:firstLineChars="0"/>
    </w:pPr>
    <w:rPr>
      <w:rFonts w:hAnsi="宋体"/>
    </w:rPr>
  </w:style>
  <w:style w:type="character" w:customStyle="1" w:styleId="451">
    <w:name w:val="样式3 Char"/>
    <w:link w:val="452"/>
    <w:qFormat/>
    <w:locked/>
    <w:uiPriority w:val="0"/>
    <w:rPr>
      <w:rFonts w:ascii="宋体" w:hAnsi="宋体"/>
      <w:kern w:val="2"/>
      <w:sz w:val="30"/>
      <w:szCs w:val="28"/>
    </w:rPr>
  </w:style>
  <w:style w:type="paragraph" w:customStyle="1" w:styleId="452">
    <w:name w:val="样式3"/>
    <w:basedOn w:val="3"/>
    <w:link w:val="451"/>
    <w:qFormat/>
    <w:uiPriority w:val="0"/>
    <w:pPr>
      <w:numPr>
        <w:ilvl w:val="0"/>
        <w:numId w:val="0"/>
      </w:numPr>
      <w:tabs>
        <w:tab w:val="left" w:pos="571"/>
      </w:tabs>
      <w:spacing w:beforeLines="50" w:line="240" w:lineRule="auto"/>
      <w:ind w:left="292"/>
      <w:jc w:val="left"/>
      <w:outlineLvl w:val="3"/>
    </w:pPr>
    <w:rPr>
      <w:rFonts w:ascii="宋体" w:hAnsi="宋体"/>
      <w:b w:val="0"/>
      <w:bCs w:val="0"/>
      <w:sz w:val="30"/>
      <w:szCs w:val="28"/>
    </w:rPr>
  </w:style>
  <w:style w:type="paragraph" w:customStyle="1" w:styleId="453">
    <w:name w:val="样式4"/>
    <w:basedOn w:val="452"/>
    <w:qFormat/>
    <w:uiPriority w:val="0"/>
    <w:pPr>
      <w:tabs>
        <w:tab w:val="left" w:pos="360"/>
        <w:tab w:val="clear" w:pos="571"/>
      </w:tabs>
      <w:ind w:left="8"/>
      <w:outlineLvl w:val="4"/>
    </w:pPr>
  </w:style>
  <w:style w:type="character" w:customStyle="1" w:styleId="454">
    <w:name w:val="my正文 Char"/>
    <w:link w:val="455"/>
    <w:qFormat/>
    <w:locked/>
    <w:uiPriority w:val="0"/>
    <w:rPr>
      <w:sz w:val="24"/>
    </w:rPr>
  </w:style>
  <w:style w:type="paragraph" w:customStyle="1" w:styleId="455">
    <w:name w:val="my正文"/>
    <w:basedOn w:val="1"/>
    <w:link w:val="454"/>
    <w:qFormat/>
    <w:uiPriority w:val="0"/>
    <w:pPr>
      <w:spacing w:beforeLines="50" w:afterLines="50" w:line="360" w:lineRule="auto"/>
      <w:ind w:firstLine="480" w:firstLineChars="200"/>
    </w:pPr>
    <w:rPr>
      <w:rFonts w:ascii="Times New Roman" w:hAnsi="Times New Roman" w:cs="Times New Roman"/>
      <w:kern w:val="0"/>
      <w:sz w:val="24"/>
      <w:szCs w:val="20"/>
    </w:rPr>
  </w:style>
  <w:style w:type="character" w:customStyle="1" w:styleId="456">
    <w:name w:val="偏离表字体 Char"/>
    <w:link w:val="457"/>
    <w:qFormat/>
    <w:uiPriority w:val="0"/>
    <w:rPr>
      <w:rFonts w:ascii="宋体" w:hAnsi="宋体"/>
      <w:szCs w:val="21"/>
    </w:rPr>
  </w:style>
  <w:style w:type="paragraph" w:customStyle="1" w:styleId="457">
    <w:name w:val="偏离表字体"/>
    <w:basedOn w:val="1"/>
    <w:link w:val="456"/>
    <w:qFormat/>
    <w:uiPriority w:val="0"/>
    <w:pPr>
      <w:tabs>
        <w:tab w:val="left" w:pos="4212"/>
      </w:tabs>
      <w:ind w:left="1" w:right="71" w:rightChars="34"/>
      <w:jc w:val="left"/>
    </w:pPr>
    <w:rPr>
      <w:rFonts w:ascii="宋体" w:hAnsi="宋体" w:cs="Times New Roman"/>
      <w:kern w:val="0"/>
      <w:sz w:val="20"/>
    </w:rPr>
  </w:style>
  <w:style w:type="character" w:customStyle="1" w:styleId="458">
    <w:name w:val="font51"/>
    <w:basedOn w:val="47"/>
    <w:uiPriority w:val="0"/>
    <w:rPr>
      <w:rFonts w:hint="eastAsia" w:ascii="宋体" w:hAnsi="宋体" w:eastAsia="宋体" w:cs="宋体"/>
      <w:b/>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BD4B1-443F-4846-AC87-4731E1253E1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121</Pages>
  <Words>14740</Words>
  <Characters>84023</Characters>
  <Lines>700</Lines>
  <Paragraphs>197</Paragraphs>
  <TotalTime>0</TotalTime>
  <ScaleCrop>false</ScaleCrop>
  <LinksUpToDate>false</LinksUpToDate>
  <CharactersWithSpaces>98566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2017-08-17T01:35:00Z</dcterms:created>
  <dc:creator>微软用户</dc:creator>
  <cp:lastModifiedBy>Administrator</cp:lastModifiedBy>
  <cp:lastPrinted>2018-03-22T09:00:00Z</cp:lastPrinted>
  <dcterms:modified xsi:type="dcterms:W3CDTF">2018-06-01T08:11:45Z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