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3F62" w14:textId="77777777" w:rsidR="001C241E" w:rsidRDefault="001C241E" w:rsidP="001C241E">
      <w:pPr>
        <w:numPr>
          <w:ilvl w:val="0"/>
          <w:numId w:val="1"/>
        </w:numPr>
        <w:spacing w:line="360" w:lineRule="auto"/>
        <w:rPr>
          <w:rFonts w:hint="eastAsia"/>
          <w:b/>
          <w:sz w:val="28"/>
          <w:szCs w:val="36"/>
        </w:rPr>
      </w:pPr>
      <w:r>
        <w:rPr>
          <w:rFonts w:hint="eastAsia"/>
          <w:b/>
          <w:sz w:val="28"/>
          <w:szCs w:val="36"/>
        </w:rPr>
        <w:t>工程概况</w:t>
      </w:r>
    </w:p>
    <w:p w14:paraId="5E4196EC" w14:textId="77777777" w:rsidR="001C241E" w:rsidRPr="00B602EE" w:rsidRDefault="001C241E" w:rsidP="001C241E">
      <w:pPr>
        <w:numPr>
          <w:ilvl w:val="0"/>
          <w:numId w:val="2"/>
        </w:numPr>
        <w:spacing w:line="360" w:lineRule="auto"/>
        <w:ind w:left="0" w:firstLine="567"/>
        <w:rPr>
          <w:rFonts w:hint="eastAsia"/>
          <w:sz w:val="24"/>
          <w:szCs w:val="36"/>
        </w:rPr>
      </w:pPr>
      <w:proofErr w:type="gramStart"/>
      <w:r w:rsidRPr="00B602EE">
        <w:rPr>
          <w:rFonts w:hint="eastAsia"/>
          <w:sz w:val="24"/>
          <w:szCs w:val="36"/>
        </w:rPr>
        <w:t>定安县岭口镇</w:t>
      </w:r>
      <w:proofErr w:type="gramEnd"/>
      <w:r w:rsidRPr="00B602EE">
        <w:rPr>
          <w:rFonts w:hint="eastAsia"/>
          <w:sz w:val="24"/>
          <w:szCs w:val="36"/>
        </w:rPr>
        <w:t>2019</w:t>
      </w:r>
      <w:r w:rsidRPr="00B602EE">
        <w:rPr>
          <w:rFonts w:hint="eastAsia"/>
          <w:sz w:val="24"/>
          <w:szCs w:val="36"/>
        </w:rPr>
        <w:t>年十三五</w:t>
      </w:r>
      <w:proofErr w:type="gramStart"/>
      <w:r w:rsidRPr="00B602EE">
        <w:rPr>
          <w:rFonts w:hint="eastAsia"/>
          <w:sz w:val="24"/>
          <w:szCs w:val="36"/>
        </w:rPr>
        <w:t>贫困村鲁古井</w:t>
      </w:r>
      <w:proofErr w:type="gramEnd"/>
      <w:r w:rsidRPr="00B602EE">
        <w:rPr>
          <w:rFonts w:hint="eastAsia"/>
          <w:sz w:val="24"/>
          <w:szCs w:val="36"/>
        </w:rPr>
        <w:t>村委会八大提升工程基础设施工程位于</w:t>
      </w:r>
      <w:proofErr w:type="gramStart"/>
      <w:r w:rsidRPr="00B602EE">
        <w:rPr>
          <w:rFonts w:hint="eastAsia"/>
          <w:sz w:val="24"/>
          <w:szCs w:val="36"/>
        </w:rPr>
        <w:t>定安县岭口镇</w:t>
      </w:r>
      <w:proofErr w:type="gramEnd"/>
      <w:r w:rsidRPr="00B602EE">
        <w:rPr>
          <w:rFonts w:hint="eastAsia"/>
          <w:sz w:val="24"/>
          <w:szCs w:val="36"/>
        </w:rPr>
        <w:t>。本次设计村道总长为</w:t>
      </w:r>
      <w:r w:rsidRPr="00B602EE">
        <w:rPr>
          <w:rFonts w:hint="eastAsia"/>
          <w:sz w:val="24"/>
          <w:szCs w:val="36"/>
        </w:rPr>
        <w:t>1766.37</w:t>
      </w:r>
      <w:r w:rsidRPr="00B602EE">
        <w:rPr>
          <w:rFonts w:hint="eastAsia"/>
          <w:sz w:val="24"/>
          <w:szCs w:val="36"/>
        </w:rPr>
        <w:t>米，道路路基宽度均为</w:t>
      </w:r>
      <w:r w:rsidRPr="00B602EE">
        <w:rPr>
          <w:rFonts w:hint="eastAsia"/>
          <w:sz w:val="24"/>
          <w:szCs w:val="36"/>
        </w:rPr>
        <w:t>3.6m</w:t>
      </w:r>
      <w:r w:rsidRPr="00B602EE">
        <w:rPr>
          <w:rFonts w:hint="eastAsia"/>
          <w:sz w:val="24"/>
          <w:szCs w:val="36"/>
        </w:rPr>
        <w:t>，路面宽度均为</w:t>
      </w:r>
      <w:r w:rsidRPr="00B602EE">
        <w:rPr>
          <w:rFonts w:hint="eastAsia"/>
          <w:sz w:val="24"/>
          <w:szCs w:val="36"/>
        </w:rPr>
        <w:t>3.0m</w:t>
      </w:r>
      <w:r w:rsidRPr="00B602EE">
        <w:rPr>
          <w:rFonts w:hint="eastAsia"/>
          <w:sz w:val="24"/>
          <w:szCs w:val="36"/>
        </w:rPr>
        <w:t>，路面结构采用水泥混凝土路面。</w:t>
      </w:r>
    </w:p>
    <w:p w14:paraId="1547D38C" w14:textId="77777777" w:rsidR="001C241E" w:rsidRDefault="001C241E" w:rsidP="001C241E">
      <w:pPr>
        <w:numPr>
          <w:ilvl w:val="0"/>
          <w:numId w:val="2"/>
        </w:numPr>
        <w:spacing w:line="360" w:lineRule="auto"/>
        <w:ind w:left="0" w:firstLine="567"/>
        <w:rPr>
          <w:rFonts w:hint="eastAsia"/>
          <w:sz w:val="24"/>
          <w:szCs w:val="36"/>
        </w:rPr>
      </w:pPr>
      <w:r>
        <w:rPr>
          <w:rFonts w:hint="eastAsia"/>
          <w:sz w:val="24"/>
          <w:szCs w:val="36"/>
        </w:rPr>
        <w:t>主要实施内容有：路基工程、路面工程、桥梁涵洞工程、路线交叉工程等。</w:t>
      </w:r>
    </w:p>
    <w:p w14:paraId="7F8B6657" w14:textId="77777777" w:rsidR="001C241E" w:rsidRDefault="001C241E" w:rsidP="001C241E">
      <w:pPr>
        <w:numPr>
          <w:ilvl w:val="0"/>
          <w:numId w:val="1"/>
        </w:numPr>
        <w:spacing w:line="360" w:lineRule="auto"/>
        <w:rPr>
          <w:rFonts w:hint="eastAsia"/>
          <w:b/>
          <w:sz w:val="28"/>
          <w:szCs w:val="36"/>
        </w:rPr>
      </w:pPr>
      <w:r>
        <w:rPr>
          <w:rFonts w:hint="eastAsia"/>
          <w:b/>
          <w:sz w:val="28"/>
          <w:szCs w:val="36"/>
        </w:rPr>
        <w:t>编制依据</w:t>
      </w:r>
    </w:p>
    <w:p w14:paraId="21E2188F"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国家发布的有关法律、法规、规章、规程等；</w:t>
      </w:r>
    </w:p>
    <w:p w14:paraId="79D4F0A6"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财政部颁发的《财政投资评审管理规定》</w:t>
      </w:r>
      <w:r w:rsidRPr="001D192B">
        <w:rPr>
          <w:rFonts w:hint="eastAsia"/>
          <w:sz w:val="24"/>
          <w:szCs w:val="36"/>
        </w:rPr>
        <w:t>(</w:t>
      </w:r>
      <w:r w:rsidRPr="001D192B">
        <w:rPr>
          <w:rFonts w:hint="eastAsia"/>
          <w:sz w:val="24"/>
          <w:szCs w:val="36"/>
        </w:rPr>
        <w:t>财办建</w:t>
      </w:r>
      <w:r w:rsidRPr="001D192B">
        <w:rPr>
          <w:rFonts w:hint="eastAsia"/>
          <w:sz w:val="24"/>
          <w:szCs w:val="36"/>
        </w:rPr>
        <w:t>[2009]648</w:t>
      </w:r>
      <w:r w:rsidRPr="001D192B">
        <w:rPr>
          <w:rFonts w:hint="eastAsia"/>
          <w:sz w:val="24"/>
          <w:szCs w:val="36"/>
        </w:rPr>
        <w:t>号</w:t>
      </w:r>
      <w:r w:rsidRPr="001D192B">
        <w:rPr>
          <w:rFonts w:hint="eastAsia"/>
          <w:sz w:val="24"/>
          <w:szCs w:val="36"/>
        </w:rPr>
        <w:t>)</w:t>
      </w:r>
      <w:r w:rsidRPr="001D192B">
        <w:rPr>
          <w:rFonts w:hint="eastAsia"/>
          <w:sz w:val="24"/>
          <w:szCs w:val="36"/>
        </w:rPr>
        <w:t>；</w:t>
      </w:r>
    </w:p>
    <w:p w14:paraId="7921142D"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《财政投资项目评审操作规程》</w:t>
      </w:r>
      <w:r w:rsidRPr="001D192B">
        <w:rPr>
          <w:rFonts w:hint="eastAsia"/>
          <w:sz w:val="24"/>
          <w:szCs w:val="36"/>
        </w:rPr>
        <w:t>(</w:t>
      </w:r>
      <w:r w:rsidRPr="001D192B">
        <w:rPr>
          <w:rFonts w:hint="eastAsia"/>
          <w:sz w:val="24"/>
          <w:szCs w:val="36"/>
        </w:rPr>
        <w:t>试行</w:t>
      </w:r>
      <w:r w:rsidRPr="001D192B">
        <w:rPr>
          <w:rFonts w:hint="eastAsia"/>
          <w:sz w:val="24"/>
          <w:szCs w:val="36"/>
        </w:rPr>
        <w:t>)(</w:t>
      </w:r>
      <w:r w:rsidRPr="001D192B">
        <w:rPr>
          <w:rFonts w:hint="eastAsia"/>
          <w:sz w:val="24"/>
          <w:szCs w:val="36"/>
        </w:rPr>
        <w:t>财办建</w:t>
      </w:r>
      <w:r w:rsidRPr="001D192B">
        <w:rPr>
          <w:rFonts w:hint="eastAsia"/>
          <w:sz w:val="24"/>
          <w:szCs w:val="36"/>
        </w:rPr>
        <w:t>[2002]619</w:t>
      </w:r>
      <w:r w:rsidRPr="001D192B">
        <w:rPr>
          <w:rFonts w:hint="eastAsia"/>
          <w:sz w:val="24"/>
          <w:szCs w:val="36"/>
        </w:rPr>
        <w:t>号</w:t>
      </w:r>
      <w:r w:rsidRPr="001D192B">
        <w:rPr>
          <w:rFonts w:hint="eastAsia"/>
          <w:sz w:val="24"/>
          <w:szCs w:val="36"/>
        </w:rPr>
        <w:t>)</w:t>
      </w:r>
      <w:r w:rsidRPr="001D192B">
        <w:rPr>
          <w:rFonts w:hint="eastAsia"/>
          <w:sz w:val="24"/>
          <w:szCs w:val="36"/>
        </w:rPr>
        <w:t>；</w:t>
      </w:r>
    </w:p>
    <w:p w14:paraId="050FF691"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交通部</w:t>
      </w:r>
      <w:proofErr w:type="gramStart"/>
      <w:r w:rsidRPr="001D192B">
        <w:rPr>
          <w:rFonts w:hint="eastAsia"/>
          <w:sz w:val="24"/>
          <w:szCs w:val="36"/>
        </w:rPr>
        <w:t>颁</w:t>
      </w:r>
      <w:proofErr w:type="gramEnd"/>
      <w:r w:rsidRPr="001D192B">
        <w:rPr>
          <w:rFonts w:hint="eastAsia"/>
          <w:sz w:val="24"/>
          <w:szCs w:val="36"/>
        </w:rPr>
        <w:t>2018</w:t>
      </w:r>
      <w:r w:rsidRPr="001D192B">
        <w:rPr>
          <w:rFonts w:hint="eastAsia"/>
          <w:sz w:val="24"/>
          <w:szCs w:val="36"/>
        </w:rPr>
        <w:t>清单计价依据；</w:t>
      </w:r>
    </w:p>
    <w:p w14:paraId="5072C1A9"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交通部《公路工程预算定额》（</w:t>
      </w:r>
      <w:r w:rsidRPr="001D192B">
        <w:rPr>
          <w:rFonts w:hint="eastAsia"/>
          <w:sz w:val="24"/>
          <w:szCs w:val="36"/>
        </w:rPr>
        <w:t>JTG/T 3832-2018-1.0.0</w:t>
      </w:r>
      <w:r w:rsidRPr="001D192B">
        <w:rPr>
          <w:rFonts w:hint="eastAsia"/>
          <w:sz w:val="24"/>
          <w:szCs w:val="36"/>
        </w:rPr>
        <w:t>）；</w:t>
      </w:r>
    </w:p>
    <w:p w14:paraId="5D7C57F2"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交通部《公路工程机械台班费用定额》（</w:t>
      </w:r>
      <w:r w:rsidRPr="001D192B">
        <w:rPr>
          <w:rFonts w:hint="eastAsia"/>
          <w:sz w:val="24"/>
          <w:szCs w:val="36"/>
        </w:rPr>
        <w:t>JTG/T 3832-2018-1.0.0</w:t>
      </w:r>
      <w:r w:rsidRPr="001D192B">
        <w:rPr>
          <w:rFonts w:hint="eastAsia"/>
          <w:sz w:val="24"/>
          <w:szCs w:val="36"/>
        </w:rPr>
        <w:t>）；</w:t>
      </w:r>
    </w:p>
    <w:p w14:paraId="0646B9CE"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交通运输部办公厅关于印发《公路工程营业税改征增值税计价依据调整方案》的通知（交办公路［</w:t>
      </w:r>
      <w:r w:rsidRPr="001D192B">
        <w:rPr>
          <w:rFonts w:hint="eastAsia"/>
          <w:sz w:val="24"/>
          <w:szCs w:val="36"/>
        </w:rPr>
        <w:t>2016</w:t>
      </w:r>
      <w:r w:rsidRPr="001D192B">
        <w:rPr>
          <w:rFonts w:hint="eastAsia"/>
          <w:sz w:val="24"/>
          <w:szCs w:val="36"/>
        </w:rPr>
        <w:t>］</w:t>
      </w:r>
      <w:r w:rsidRPr="001D192B">
        <w:rPr>
          <w:rFonts w:hint="eastAsia"/>
          <w:sz w:val="24"/>
          <w:szCs w:val="36"/>
        </w:rPr>
        <w:t>66</w:t>
      </w:r>
      <w:r w:rsidRPr="001D192B">
        <w:rPr>
          <w:rFonts w:hint="eastAsia"/>
          <w:sz w:val="24"/>
          <w:szCs w:val="36"/>
        </w:rPr>
        <w:t>号）；</w:t>
      </w:r>
    </w:p>
    <w:p w14:paraId="6252D3F9"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海南省交通厅文件琼交规财［</w:t>
      </w:r>
      <w:r w:rsidRPr="001D192B">
        <w:rPr>
          <w:rFonts w:hint="eastAsia"/>
          <w:sz w:val="24"/>
          <w:szCs w:val="36"/>
        </w:rPr>
        <w:t>2009</w:t>
      </w:r>
      <w:r w:rsidRPr="001D192B">
        <w:rPr>
          <w:rFonts w:hint="eastAsia"/>
          <w:sz w:val="24"/>
          <w:szCs w:val="36"/>
        </w:rPr>
        <w:t>］</w:t>
      </w:r>
      <w:r w:rsidRPr="001D192B">
        <w:rPr>
          <w:rFonts w:hint="eastAsia"/>
          <w:sz w:val="24"/>
          <w:szCs w:val="36"/>
        </w:rPr>
        <w:t>11</w:t>
      </w:r>
      <w:r w:rsidRPr="001D192B">
        <w:rPr>
          <w:rFonts w:hint="eastAsia"/>
          <w:sz w:val="24"/>
          <w:szCs w:val="36"/>
        </w:rPr>
        <w:t>号；</w:t>
      </w:r>
    </w:p>
    <w:p w14:paraId="1E9AE3E1"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海南省交通运输厅文件琼交运综［</w:t>
      </w:r>
      <w:r w:rsidRPr="001D192B">
        <w:rPr>
          <w:rFonts w:hint="eastAsia"/>
          <w:sz w:val="24"/>
          <w:szCs w:val="36"/>
        </w:rPr>
        <w:t>2011</w:t>
      </w:r>
      <w:r w:rsidRPr="001D192B">
        <w:rPr>
          <w:rFonts w:hint="eastAsia"/>
          <w:sz w:val="24"/>
          <w:szCs w:val="36"/>
        </w:rPr>
        <w:t>］</w:t>
      </w:r>
      <w:r w:rsidRPr="001D192B">
        <w:rPr>
          <w:rFonts w:hint="eastAsia"/>
          <w:sz w:val="24"/>
          <w:szCs w:val="36"/>
        </w:rPr>
        <w:t>259</w:t>
      </w:r>
      <w:r w:rsidRPr="001D192B">
        <w:rPr>
          <w:rFonts w:hint="eastAsia"/>
          <w:sz w:val="24"/>
          <w:szCs w:val="36"/>
        </w:rPr>
        <w:t>号；</w:t>
      </w:r>
    </w:p>
    <w:p w14:paraId="37250236" w14:textId="77777777" w:rsidR="001C241E" w:rsidRPr="001D192B" w:rsidRDefault="001C241E" w:rsidP="001C241E">
      <w:pPr>
        <w:numPr>
          <w:ilvl w:val="0"/>
          <w:numId w:val="3"/>
        </w:numPr>
        <w:spacing w:line="360" w:lineRule="auto"/>
        <w:ind w:left="0" w:firstLine="567"/>
        <w:rPr>
          <w:rFonts w:hint="eastAsia"/>
          <w:sz w:val="24"/>
          <w:szCs w:val="36"/>
        </w:rPr>
      </w:pPr>
      <w:r w:rsidRPr="001D192B">
        <w:rPr>
          <w:rFonts w:hint="eastAsia"/>
          <w:sz w:val="24"/>
          <w:szCs w:val="36"/>
        </w:rPr>
        <w:t>海南省物价局、海南省财政厅、海南省交通运输厅琼价费管</w:t>
      </w:r>
      <w:r w:rsidRPr="001D192B">
        <w:rPr>
          <w:rFonts w:hint="eastAsia"/>
          <w:sz w:val="24"/>
          <w:szCs w:val="36"/>
        </w:rPr>
        <w:t>[2013]153</w:t>
      </w:r>
      <w:r w:rsidRPr="001D192B">
        <w:rPr>
          <w:rFonts w:hint="eastAsia"/>
          <w:sz w:val="24"/>
          <w:szCs w:val="36"/>
        </w:rPr>
        <w:t>号；</w:t>
      </w:r>
    </w:p>
    <w:p w14:paraId="21D2926F" w14:textId="77777777" w:rsidR="001C241E" w:rsidRPr="00137336" w:rsidRDefault="001C241E" w:rsidP="001C241E">
      <w:pPr>
        <w:numPr>
          <w:ilvl w:val="0"/>
          <w:numId w:val="3"/>
        </w:numPr>
        <w:spacing w:line="360" w:lineRule="auto"/>
        <w:ind w:left="0" w:firstLine="567"/>
        <w:rPr>
          <w:rFonts w:hint="eastAsia"/>
          <w:sz w:val="24"/>
          <w:szCs w:val="36"/>
        </w:rPr>
      </w:pPr>
      <w:r>
        <w:rPr>
          <w:rFonts w:ascii="宋体" w:hAnsi="宋体" w:hint="eastAsia"/>
          <w:sz w:val="24"/>
        </w:rPr>
        <w:t>海南佳创建设工程有限公司设计的《</w:t>
      </w:r>
      <w:r>
        <w:rPr>
          <w:rFonts w:hint="eastAsia"/>
          <w:color w:val="000000"/>
          <w:sz w:val="24"/>
        </w:rPr>
        <w:t>定安县岭口镇</w:t>
      </w:r>
      <w:r>
        <w:rPr>
          <w:rFonts w:hint="eastAsia"/>
          <w:color w:val="000000"/>
          <w:sz w:val="24"/>
        </w:rPr>
        <w:t>2019</w:t>
      </w:r>
      <w:r>
        <w:rPr>
          <w:rFonts w:hint="eastAsia"/>
          <w:color w:val="000000"/>
          <w:sz w:val="24"/>
        </w:rPr>
        <w:t>年十三五贫困村鲁古井村委会八大提升工程基础设施工程</w:t>
      </w:r>
      <w:r>
        <w:rPr>
          <w:rFonts w:ascii="宋体" w:hAnsi="宋体" w:hint="eastAsia"/>
          <w:sz w:val="24"/>
        </w:rPr>
        <w:t>》施工图</w:t>
      </w:r>
      <w:r w:rsidRPr="00137336">
        <w:rPr>
          <w:rFonts w:hint="eastAsia"/>
          <w:sz w:val="24"/>
          <w:szCs w:val="36"/>
        </w:rPr>
        <w:t>交通部《公路工程预算定额》（</w:t>
      </w:r>
      <w:r w:rsidRPr="00137336">
        <w:rPr>
          <w:rFonts w:hint="eastAsia"/>
          <w:sz w:val="24"/>
          <w:szCs w:val="36"/>
        </w:rPr>
        <w:t>JTG/T 3832-2018-1.0.0</w:t>
      </w:r>
      <w:r w:rsidRPr="00137336">
        <w:rPr>
          <w:rFonts w:hint="eastAsia"/>
          <w:sz w:val="24"/>
          <w:szCs w:val="36"/>
        </w:rPr>
        <w:t>）；</w:t>
      </w:r>
    </w:p>
    <w:p w14:paraId="2648645F" w14:textId="77777777" w:rsidR="001C241E" w:rsidRDefault="001C241E" w:rsidP="001C241E">
      <w:pPr>
        <w:numPr>
          <w:ilvl w:val="0"/>
          <w:numId w:val="3"/>
        </w:numPr>
        <w:spacing w:line="360" w:lineRule="auto"/>
        <w:ind w:left="0" w:firstLine="567"/>
        <w:rPr>
          <w:rFonts w:hint="eastAsia"/>
          <w:sz w:val="24"/>
          <w:szCs w:val="36"/>
        </w:rPr>
      </w:pPr>
      <w:proofErr w:type="gramStart"/>
      <w:r w:rsidRPr="008A5A08">
        <w:rPr>
          <w:rFonts w:hint="eastAsia"/>
          <w:sz w:val="24"/>
          <w:szCs w:val="36"/>
        </w:rPr>
        <w:t>定安县岭口镇</w:t>
      </w:r>
      <w:proofErr w:type="gramEnd"/>
      <w:r w:rsidRPr="008A5A08">
        <w:rPr>
          <w:rFonts w:hint="eastAsia"/>
          <w:sz w:val="24"/>
          <w:szCs w:val="36"/>
        </w:rPr>
        <w:t>2019</w:t>
      </w:r>
      <w:r w:rsidRPr="008A5A08">
        <w:rPr>
          <w:rFonts w:hint="eastAsia"/>
          <w:sz w:val="24"/>
          <w:szCs w:val="36"/>
        </w:rPr>
        <w:t>年十三五</w:t>
      </w:r>
      <w:proofErr w:type="gramStart"/>
      <w:r w:rsidRPr="008A5A08">
        <w:rPr>
          <w:rFonts w:hint="eastAsia"/>
          <w:sz w:val="24"/>
          <w:szCs w:val="36"/>
        </w:rPr>
        <w:t>贫困村鲁古井</w:t>
      </w:r>
      <w:proofErr w:type="gramEnd"/>
      <w:r w:rsidRPr="008A5A08">
        <w:rPr>
          <w:rFonts w:hint="eastAsia"/>
          <w:sz w:val="24"/>
          <w:szCs w:val="36"/>
        </w:rPr>
        <w:t>村委会八大提升工程基础设施工程</w:t>
      </w:r>
      <w:r>
        <w:rPr>
          <w:rFonts w:hint="eastAsia"/>
          <w:sz w:val="24"/>
          <w:szCs w:val="36"/>
        </w:rPr>
        <w:t>施工图纸及其相关文件。</w:t>
      </w:r>
    </w:p>
    <w:p w14:paraId="423F6541" w14:textId="77777777" w:rsidR="001C241E" w:rsidRDefault="001C241E" w:rsidP="001C241E">
      <w:pPr>
        <w:numPr>
          <w:ilvl w:val="0"/>
          <w:numId w:val="1"/>
        </w:numPr>
        <w:spacing w:line="360" w:lineRule="auto"/>
        <w:rPr>
          <w:rFonts w:hint="eastAsia"/>
          <w:b/>
          <w:sz w:val="28"/>
          <w:szCs w:val="36"/>
        </w:rPr>
      </w:pPr>
      <w:r>
        <w:rPr>
          <w:rFonts w:hint="eastAsia"/>
          <w:b/>
          <w:sz w:val="28"/>
          <w:szCs w:val="36"/>
        </w:rPr>
        <w:t>其他说明</w:t>
      </w:r>
    </w:p>
    <w:p w14:paraId="151C592A" w14:textId="77777777" w:rsidR="001C241E" w:rsidRDefault="001C241E" w:rsidP="001C241E">
      <w:pPr>
        <w:numPr>
          <w:ilvl w:val="0"/>
          <w:numId w:val="4"/>
        </w:numPr>
        <w:tabs>
          <w:tab w:val="left" w:pos="993"/>
        </w:tabs>
        <w:spacing w:line="360" w:lineRule="auto"/>
        <w:ind w:left="0" w:firstLine="567"/>
        <w:rPr>
          <w:rFonts w:hint="eastAsia"/>
          <w:sz w:val="24"/>
          <w:szCs w:val="36"/>
        </w:rPr>
      </w:pPr>
      <w:r>
        <w:rPr>
          <w:rFonts w:ascii="宋体" w:hAnsi="宋体" w:cs="宋体" w:hint="eastAsia"/>
          <w:kern w:val="0"/>
          <w:sz w:val="24"/>
        </w:rPr>
        <w:t>工程量清单控制价按施工图纸及预算等文件结合起来查阅与理解编制。</w:t>
      </w:r>
    </w:p>
    <w:p w14:paraId="7B955EF8" w14:textId="77777777" w:rsidR="001C241E" w:rsidRDefault="001C241E" w:rsidP="001C241E">
      <w:pPr>
        <w:numPr>
          <w:ilvl w:val="0"/>
          <w:numId w:val="4"/>
        </w:numPr>
        <w:tabs>
          <w:tab w:val="left" w:pos="993"/>
        </w:tabs>
        <w:spacing w:line="360" w:lineRule="auto"/>
        <w:ind w:left="0" w:firstLine="567"/>
        <w:rPr>
          <w:rFonts w:hint="eastAsia"/>
          <w:sz w:val="24"/>
          <w:szCs w:val="36"/>
        </w:rPr>
      </w:pPr>
      <w:r>
        <w:rPr>
          <w:rFonts w:ascii="宋体" w:hAnsi="宋体" w:cs="宋体" w:hint="eastAsia"/>
          <w:kern w:val="0"/>
          <w:sz w:val="24"/>
        </w:rPr>
        <w:t>工程量清单中所列工程数量是估算或设计的数量,仅作为投标参考的共同基础,不能作为最终结算与支付的依据。实际支付应按实际完成的工程量,由</w:t>
      </w:r>
      <w:r>
        <w:rPr>
          <w:rFonts w:ascii="宋体" w:hAnsi="宋体" w:cs="宋体" w:hint="eastAsia"/>
          <w:kern w:val="0"/>
          <w:sz w:val="24"/>
        </w:rPr>
        <w:lastRenderedPageBreak/>
        <w:t>承包人按技术规范规定的计量方法,以监理工程师认可的尺寸、断面计量，按工程量清单的单价和</w:t>
      </w:r>
      <w:proofErr w:type="gramStart"/>
      <w:r>
        <w:rPr>
          <w:rFonts w:ascii="宋体" w:hAnsi="宋体" w:cs="宋体" w:hint="eastAsia"/>
          <w:kern w:val="0"/>
          <w:sz w:val="24"/>
        </w:rPr>
        <w:t>总额价</w:t>
      </w:r>
      <w:proofErr w:type="gramEnd"/>
      <w:r>
        <w:rPr>
          <w:rFonts w:ascii="宋体" w:hAnsi="宋体" w:cs="宋体" w:hint="eastAsia"/>
          <w:kern w:val="0"/>
          <w:sz w:val="24"/>
        </w:rPr>
        <w:t>计算支付金额；或者,根据具体情况,按合同条款第52条的规定,按批准后单价或</w:t>
      </w:r>
      <w:proofErr w:type="gramStart"/>
      <w:r>
        <w:rPr>
          <w:rFonts w:ascii="宋体" w:hAnsi="宋体" w:cs="宋体" w:hint="eastAsia"/>
          <w:kern w:val="0"/>
          <w:sz w:val="24"/>
        </w:rPr>
        <w:t>总额价</w:t>
      </w:r>
      <w:proofErr w:type="gramEnd"/>
      <w:r>
        <w:rPr>
          <w:rFonts w:ascii="宋体" w:hAnsi="宋体" w:cs="宋体" w:hint="eastAsia"/>
          <w:kern w:val="0"/>
          <w:sz w:val="24"/>
        </w:rPr>
        <w:t>确定支付额。</w:t>
      </w:r>
    </w:p>
    <w:p w14:paraId="2C695192"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除非合同另有规定,工程量清单中有标价的单价和</w:t>
      </w:r>
      <w:proofErr w:type="gramStart"/>
      <w:r>
        <w:rPr>
          <w:rFonts w:ascii="宋体" w:hAnsi="宋体" w:cs="宋体" w:hint="eastAsia"/>
          <w:kern w:val="0"/>
          <w:sz w:val="24"/>
        </w:rPr>
        <w:t>总额价</w:t>
      </w:r>
      <w:proofErr w:type="gramEnd"/>
      <w:r>
        <w:rPr>
          <w:rFonts w:ascii="宋体" w:hAnsi="宋体" w:cs="宋体" w:hint="eastAsia"/>
          <w:kern w:val="0"/>
          <w:sz w:val="24"/>
        </w:rPr>
        <w:t>均已包括了为实施和完成合同工程所需的劳务、材料、机械、质检(自检)、安装、缺陷修复、管理、保险（工程一切险及第三方责任险除外）、税费（营业税及其附加税除外）、利润等费用,以及合同明示或暗示的所有责任、义务和一般风险。</w:t>
      </w:r>
    </w:p>
    <w:p w14:paraId="5F6B2315"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各单位</w:t>
      </w:r>
      <w:proofErr w:type="gramStart"/>
      <w:r>
        <w:rPr>
          <w:rFonts w:ascii="宋体" w:hAnsi="宋体" w:cs="宋体" w:hint="eastAsia"/>
          <w:kern w:val="0"/>
          <w:sz w:val="24"/>
        </w:rPr>
        <w:t>工程</w:t>
      </w:r>
      <w:r>
        <w:rPr>
          <w:rFonts w:hint="eastAsia"/>
          <w:sz w:val="24"/>
          <w:szCs w:val="36"/>
        </w:rPr>
        <w:t>工程</w:t>
      </w:r>
      <w:proofErr w:type="gramEnd"/>
      <w:r>
        <w:rPr>
          <w:rFonts w:hint="eastAsia"/>
          <w:sz w:val="24"/>
          <w:szCs w:val="36"/>
        </w:rPr>
        <w:t>一切险的投保金额为各个单位工程量清单第</w:t>
      </w:r>
      <w:r>
        <w:rPr>
          <w:rFonts w:hint="eastAsia"/>
          <w:sz w:val="24"/>
          <w:szCs w:val="36"/>
        </w:rPr>
        <w:t>100</w:t>
      </w:r>
      <w:r>
        <w:rPr>
          <w:rFonts w:hint="eastAsia"/>
          <w:sz w:val="24"/>
          <w:szCs w:val="36"/>
        </w:rPr>
        <w:t>章</w:t>
      </w:r>
      <w:r>
        <w:rPr>
          <w:rFonts w:hint="eastAsia"/>
          <w:sz w:val="24"/>
          <w:szCs w:val="36"/>
        </w:rPr>
        <w:t>(</w:t>
      </w:r>
      <w:r>
        <w:rPr>
          <w:rFonts w:hint="eastAsia"/>
          <w:sz w:val="24"/>
          <w:szCs w:val="36"/>
        </w:rPr>
        <w:t>不含工程一切险和第三者责任险的保险费</w:t>
      </w:r>
      <w:r>
        <w:rPr>
          <w:rFonts w:hint="eastAsia"/>
          <w:sz w:val="24"/>
          <w:szCs w:val="36"/>
        </w:rPr>
        <w:t>)</w:t>
      </w:r>
      <w:r>
        <w:rPr>
          <w:rFonts w:hint="eastAsia"/>
          <w:sz w:val="24"/>
          <w:szCs w:val="36"/>
        </w:rPr>
        <w:t>至第</w:t>
      </w:r>
      <w:r>
        <w:rPr>
          <w:rFonts w:hint="eastAsia"/>
          <w:sz w:val="24"/>
          <w:szCs w:val="36"/>
        </w:rPr>
        <w:t>700</w:t>
      </w:r>
      <w:r>
        <w:rPr>
          <w:rFonts w:hint="eastAsia"/>
          <w:sz w:val="24"/>
          <w:szCs w:val="36"/>
        </w:rPr>
        <w:t>章的合计金额，保险费率为</w:t>
      </w:r>
      <w:r>
        <w:rPr>
          <w:rFonts w:hint="eastAsia"/>
          <w:sz w:val="24"/>
          <w:szCs w:val="36"/>
        </w:rPr>
        <w:t xml:space="preserve">2.5 </w:t>
      </w:r>
      <w:r>
        <w:rPr>
          <w:rFonts w:hint="eastAsia"/>
          <w:sz w:val="24"/>
          <w:szCs w:val="36"/>
        </w:rPr>
        <w:t>‰；第三者责任险的投保金额为</w:t>
      </w:r>
      <w:r>
        <w:rPr>
          <w:rFonts w:hint="eastAsia"/>
          <w:sz w:val="24"/>
          <w:szCs w:val="36"/>
        </w:rPr>
        <w:t xml:space="preserve"> 50</w:t>
      </w:r>
      <w:r>
        <w:rPr>
          <w:rFonts w:hint="eastAsia"/>
          <w:sz w:val="24"/>
          <w:szCs w:val="36"/>
        </w:rPr>
        <w:t>万元，保险费率为</w:t>
      </w:r>
      <w:r>
        <w:rPr>
          <w:rFonts w:hint="eastAsia"/>
          <w:sz w:val="24"/>
          <w:szCs w:val="36"/>
        </w:rPr>
        <w:t>2.5</w:t>
      </w:r>
      <w:r>
        <w:rPr>
          <w:rFonts w:hint="eastAsia"/>
          <w:sz w:val="24"/>
          <w:szCs w:val="36"/>
        </w:rPr>
        <w:t>‰。各个单位工程量清单第</w:t>
      </w:r>
      <w:r>
        <w:rPr>
          <w:rFonts w:hint="eastAsia"/>
          <w:sz w:val="24"/>
          <w:szCs w:val="36"/>
        </w:rPr>
        <w:t>100</w:t>
      </w:r>
      <w:r>
        <w:rPr>
          <w:rFonts w:hint="eastAsia"/>
          <w:sz w:val="24"/>
          <w:szCs w:val="36"/>
        </w:rPr>
        <w:t>章内列有上述保险费的支付子目，投标人根据上述保险费率计算出保险费，填入工程量清单。除上述工程一切险及第三者责任险以外，所投其他保险的保险费均由承包人承担并支付，不在报价中单列。</w:t>
      </w:r>
      <w:r>
        <w:rPr>
          <w:rFonts w:ascii="宋体" w:hAnsi="宋体" w:cs="宋体" w:hint="eastAsia"/>
          <w:kern w:val="0"/>
          <w:sz w:val="24"/>
        </w:rPr>
        <w:t>增值税及其附加税单独计量，在</w:t>
      </w:r>
      <w:r>
        <w:rPr>
          <w:rFonts w:hint="eastAsia"/>
          <w:sz w:val="24"/>
          <w:szCs w:val="36"/>
        </w:rPr>
        <w:t>各个单位</w:t>
      </w:r>
      <w:r>
        <w:rPr>
          <w:rFonts w:ascii="宋体" w:hAnsi="宋体" w:cs="宋体" w:hint="eastAsia"/>
          <w:kern w:val="0"/>
          <w:sz w:val="24"/>
        </w:rPr>
        <w:t>工程量清单第100章中的增值税及其附加税项下，以工程量清单第100章至第700章小计（不计增值税及其附加税、保险费）为基数，按国家法定税率计列。除了增值税及其附加税外，承包人因承包本合同工程需缴纳的其它税费，均由承包人自行负责，并包含在所报的单价或</w:t>
      </w:r>
      <w:proofErr w:type="gramStart"/>
      <w:r>
        <w:rPr>
          <w:rFonts w:ascii="宋体" w:hAnsi="宋体" w:cs="宋体" w:hint="eastAsia"/>
          <w:kern w:val="0"/>
          <w:sz w:val="24"/>
        </w:rPr>
        <w:t>总额价</w:t>
      </w:r>
      <w:proofErr w:type="gramEnd"/>
      <w:r>
        <w:rPr>
          <w:rFonts w:ascii="宋体" w:hAnsi="宋体" w:cs="宋体" w:hint="eastAsia"/>
          <w:kern w:val="0"/>
          <w:sz w:val="24"/>
        </w:rPr>
        <w:t>中。</w:t>
      </w:r>
    </w:p>
    <w:p w14:paraId="2C2DBCB0"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工程量清单中本合同工程的每一个有数量的细目,都需填入单价；对于没有填入单价或</w:t>
      </w:r>
      <w:proofErr w:type="gramStart"/>
      <w:r>
        <w:rPr>
          <w:rFonts w:ascii="宋体" w:hAnsi="宋体" w:cs="宋体" w:hint="eastAsia"/>
          <w:kern w:val="0"/>
          <w:sz w:val="24"/>
        </w:rPr>
        <w:t>总额价</w:t>
      </w:r>
      <w:proofErr w:type="gramEnd"/>
      <w:r>
        <w:rPr>
          <w:rFonts w:ascii="宋体" w:hAnsi="宋体" w:cs="宋体" w:hint="eastAsia"/>
          <w:kern w:val="0"/>
          <w:sz w:val="24"/>
        </w:rPr>
        <w:t>的细目,其费用应视为已包括在工程量清单的其他单价或</w:t>
      </w:r>
      <w:proofErr w:type="gramStart"/>
      <w:r>
        <w:rPr>
          <w:rFonts w:ascii="宋体" w:hAnsi="宋体" w:cs="宋体" w:hint="eastAsia"/>
          <w:kern w:val="0"/>
          <w:sz w:val="24"/>
        </w:rPr>
        <w:t>总额价</w:t>
      </w:r>
      <w:proofErr w:type="gramEnd"/>
      <w:r>
        <w:rPr>
          <w:rFonts w:ascii="宋体" w:hAnsi="宋体" w:cs="宋体" w:hint="eastAsia"/>
          <w:kern w:val="0"/>
          <w:sz w:val="24"/>
        </w:rPr>
        <w:t>中。</w:t>
      </w:r>
    </w:p>
    <w:p w14:paraId="71AC8087"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符合合同条款规定的全部费用应认为已被计入有标价的工程量清单所列各细目之中,未列细目不予计量的工作,其费用应视为已分摊在本合同工程的有关细目的单价或</w:t>
      </w:r>
      <w:proofErr w:type="gramStart"/>
      <w:r>
        <w:rPr>
          <w:rFonts w:ascii="宋体" w:hAnsi="宋体" w:cs="宋体" w:hint="eastAsia"/>
          <w:kern w:val="0"/>
          <w:sz w:val="24"/>
        </w:rPr>
        <w:t>总额价</w:t>
      </w:r>
      <w:proofErr w:type="gramEnd"/>
      <w:r>
        <w:rPr>
          <w:rFonts w:ascii="宋体" w:hAnsi="宋体" w:cs="宋体" w:hint="eastAsia"/>
          <w:kern w:val="0"/>
          <w:sz w:val="24"/>
        </w:rPr>
        <w:t>之中。</w:t>
      </w:r>
    </w:p>
    <w:p w14:paraId="01CBBE06"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工程量清单各章是按技术规范</w:t>
      </w:r>
      <w:proofErr w:type="gramStart"/>
      <w:r>
        <w:rPr>
          <w:rFonts w:ascii="宋体" w:hAnsi="宋体" w:cs="宋体" w:hint="eastAsia"/>
          <w:kern w:val="0"/>
          <w:sz w:val="24"/>
        </w:rPr>
        <w:t>相应章次编号</w:t>
      </w:r>
      <w:proofErr w:type="gramEnd"/>
      <w:r>
        <w:rPr>
          <w:rFonts w:ascii="宋体" w:hAnsi="宋体" w:cs="宋体" w:hint="eastAsia"/>
          <w:kern w:val="0"/>
          <w:sz w:val="24"/>
        </w:rPr>
        <w:t>的,因此工程量清单中各章的工程细目的范围与计量等应与技术规范相应章节的范围、计量与支付条款结合起来理解或解释。</w:t>
      </w:r>
    </w:p>
    <w:p w14:paraId="00458CC7"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工程量清单中所列工程量的变动,丝毫不会降低或影响合同条款的效力,也</w:t>
      </w:r>
      <w:proofErr w:type="gramStart"/>
      <w:r>
        <w:rPr>
          <w:rFonts w:ascii="宋体" w:hAnsi="宋体" w:cs="宋体" w:hint="eastAsia"/>
          <w:kern w:val="0"/>
          <w:sz w:val="24"/>
        </w:rPr>
        <w:t>不</w:t>
      </w:r>
      <w:proofErr w:type="gramEnd"/>
      <w:r>
        <w:rPr>
          <w:rFonts w:ascii="宋体" w:hAnsi="宋体" w:cs="宋体" w:hint="eastAsia"/>
          <w:kern w:val="0"/>
          <w:sz w:val="24"/>
        </w:rPr>
        <w:t>免除承包人按规定的标准进行施工和修复缺陷的责任。</w:t>
      </w:r>
    </w:p>
    <w:p w14:paraId="0736624D"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本合同工程的各类装备的提供、运输、维护、拆卸、拼装等支付的费用,</w:t>
      </w:r>
      <w:r>
        <w:rPr>
          <w:rFonts w:ascii="宋体" w:hAnsi="宋体" w:cs="宋体" w:hint="eastAsia"/>
          <w:kern w:val="0"/>
          <w:sz w:val="24"/>
        </w:rPr>
        <w:lastRenderedPageBreak/>
        <w:t>已包括在工程量清单的单价与</w:t>
      </w:r>
      <w:proofErr w:type="gramStart"/>
      <w:r>
        <w:rPr>
          <w:rFonts w:ascii="宋体" w:hAnsi="宋体" w:cs="宋体" w:hint="eastAsia"/>
          <w:kern w:val="0"/>
          <w:sz w:val="24"/>
        </w:rPr>
        <w:t>总额价</w:t>
      </w:r>
      <w:proofErr w:type="gramEnd"/>
      <w:r>
        <w:rPr>
          <w:rFonts w:ascii="宋体" w:hAnsi="宋体" w:cs="宋体" w:hint="eastAsia"/>
          <w:kern w:val="0"/>
          <w:sz w:val="24"/>
        </w:rPr>
        <w:t>之中。</w:t>
      </w:r>
    </w:p>
    <w:p w14:paraId="4C65CA54"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用材和预制场地均考虑就近原则计算核定。</w:t>
      </w:r>
    </w:p>
    <w:p w14:paraId="780FE877" w14:textId="77777777" w:rsidR="001C241E" w:rsidRDefault="001C241E" w:rsidP="001C241E">
      <w:pPr>
        <w:numPr>
          <w:ilvl w:val="0"/>
          <w:numId w:val="4"/>
        </w:numPr>
        <w:tabs>
          <w:tab w:val="left" w:pos="993"/>
          <w:tab w:val="left" w:pos="1134"/>
        </w:tabs>
        <w:spacing w:line="360" w:lineRule="auto"/>
        <w:ind w:left="0" w:firstLine="567"/>
        <w:rPr>
          <w:rFonts w:ascii="宋体" w:hAnsi="宋体" w:cs="宋体" w:hint="eastAsia"/>
          <w:kern w:val="0"/>
          <w:sz w:val="24"/>
        </w:rPr>
      </w:pPr>
      <w:r>
        <w:rPr>
          <w:rFonts w:ascii="宋体" w:hAnsi="宋体" w:cs="宋体" w:hint="eastAsia"/>
          <w:kern w:val="0"/>
          <w:sz w:val="24"/>
        </w:rPr>
        <w:t>各单位工程子目102-3安全生产费：报价实行总费用报价，各单位工程安全生产费用按14款中相应单位工程所列金额为基数的1.5%计。</w:t>
      </w:r>
    </w:p>
    <w:p w14:paraId="15561498" w14:textId="77777777" w:rsidR="001C241E" w:rsidRDefault="001C241E" w:rsidP="001C241E">
      <w:pPr>
        <w:numPr>
          <w:ilvl w:val="0"/>
          <w:numId w:val="4"/>
        </w:numPr>
        <w:tabs>
          <w:tab w:val="left" w:pos="993"/>
          <w:tab w:val="left" w:pos="1134"/>
        </w:tabs>
        <w:spacing w:line="360" w:lineRule="auto"/>
        <w:ind w:left="0" w:firstLine="567"/>
        <w:rPr>
          <w:rFonts w:ascii="宋体" w:hAnsi="宋体" w:cs="宋体" w:hint="eastAsia"/>
          <w:kern w:val="0"/>
          <w:sz w:val="24"/>
        </w:rPr>
      </w:pPr>
      <w:r>
        <w:rPr>
          <w:rFonts w:ascii="宋体" w:hAnsi="宋体" w:cs="宋体" w:hint="eastAsia"/>
          <w:kern w:val="0"/>
          <w:sz w:val="24"/>
        </w:rPr>
        <w:t>单位工程子目102-3安全生产费的计算基数：项目建安费</w:t>
      </w:r>
    </w:p>
    <w:p w14:paraId="2260CC55"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在各单位工程工程量清单中标明的专项暂定金额、不可预见费（工程量清单合计减去专项暂定金额后的</w:t>
      </w:r>
      <w:r>
        <w:rPr>
          <w:rFonts w:ascii="宋体" w:hAnsi="宋体" w:cs="宋体" w:hint="eastAsia"/>
          <w:kern w:val="0"/>
          <w:sz w:val="24"/>
          <w:u w:val="single"/>
        </w:rPr>
        <w:t>3%</w:t>
      </w:r>
      <w:r>
        <w:rPr>
          <w:rFonts w:ascii="宋体" w:hAnsi="宋体" w:cs="宋体" w:hint="eastAsia"/>
          <w:kern w:val="0"/>
          <w:sz w:val="24"/>
        </w:rPr>
        <w:t>），除合同另有规定外，应由监理工程师按合同条款第52条、58条的规定，结合工程具体情况，报经业主批准后指令全部或部分地使用，或者根本不予动用。</w:t>
      </w:r>
    </w:p>
    <w:p w14:paraId="768BACCC" w14:textId="77777777" w:rsidR="001C241E" w:rsidRDefault="001C241E" w:rsidP="001C241E">
      <w:pPr>
        <w:numPr>
          <w:ilvl w:val="0"/>
          <w:numId w:val="4"/>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计量方法</w:t>
      </w:r>
    </w:p>
    <w:p w14:paraId="6770F8BB" w14:textId="77777777" w:rsidR="001C241E" w:rsidRDefault="001C241E" w:rsidP="001C241E">
      <w:pPr>
        <w:numPr>
          <w:ilvl w:val="0"/>
          <w:numId w:val="5"/>
        </w:numPr>
        <w:tabs>
          <w:tab w:val="left" w:pos="993"/>
          <w:tab w:val="left" w:pos="1134"/>
        </w:tabs>
        <w:spacing w:line="360" w:lineRule="auto"/>
        <w:ind w:left="0" w:firstLine="567"/>
        <w:rPr>
          <w:rFonts w:ascii="宋体" w:hAnsi="宋体" w:cs="宋体" w:hint="eastAsia"/>
          <w:kern w:val="0"/>
          <w:sz w:val="24"/>
        </w:rPr>
      </w:pPr>
      <w:r>
        <w:rPr>
          <w:rFonts w:ascii="宋体" w:hAnsi="宋体" w:cs="宋体" w:hint="eastAsia"/>
          <w:kern w:val="0"/>
          <w:sz w:val="24"/>
        </w:rPr>
        <w:t>用于支付已完工工程的计量方法,应符合技术规范中相关章节的“计量与支付”条款的规定。</w:t>
      </w:r>
    </w:p>
    <w:p w14:paraId="74030A0D" w14:textId="77777777" w:rsidR="001C241E" w:rsidRDefault="001C241E" w:rsidP="001C241E">
      <w:pPr>
        <w:numPr>
          <w:ilvl w:val="0"/>
          <w:numId w:val="5"/>
        </w:numPr>
        <w:tabs>
          <w:tab w:val="left" w:pos="993"/>
          <w:tab w:val="left" w:pos="1134"/>
        </w:tabs>
        <w:spacing w:line="360" w:lineRule="auto"/>
        <w:ind w:left="0" w:firstLine="567"/>
        <w:rPr>
          <w:rFonts w:hint="eastAsia"/>
          <w:sz w:val="24"/>
          <w:szCs w:val="36"/>
        </w:rPr>
      </w:pPr>
      <w:r>
        <w:rPr>
          <w:rFonts w:ascii="宋体" w:hAnsi="宋体" w:cs="宋体" w:hint="eastAsia"/>
          <w:kern w:val="0"/>
          <w:sz w:val="24"/>
        </w:rPr>
        <w:t>图纸中所列的工程数量表及数量</w:t>
      </w:r>
      <w:proofErr w:type="gramStart"/>
      <w:r>
        <w:rPr>
          <w:rFonts w:ascii="宋体" w:hAnsi="宋体" w:cs="宋体" w:hint="eastAsia"/>
          <w:kern w:val="0"/>
          <w:sz w:val="24"/>
        </w:rPr>
        <w:t>汇总表仅是</w:t>
      </w:r>
      <w:proofErr w:type="gramEnd"/>
      <w:r>
        <w:rPr>
          <w:rFonts w:ascii="宋体" w:hAnsi="宋体" w:cs="宋体" w:hint="eastAsia"/>
          <w:kern w:val="0"/>
          <w:sz w:val="24"/>
        </w:rPr>
        <w:t>提供资料,不是工程量清单的外延。当图纸与工程量清单所列数量不一致时,以工程量清单所列数量作为报价的依据。</w:t>
      </w:r>
    </w:p>
    <w:p w14:paraId="094FADB9" w14:textId="33A5990C" w:rsidR="009D160E" w:rsidRDefault="001C241E" w:rsidP="001C241E">
      <w:r>
        <w:rPr>
          <w:rFonts w:hint="eastAsia"/>
        </w:rPr>
        <w:t>工程量清单中各项金额均以人民币</w:t>
      </w:r>
      <w:r>
        <w:rPr>
          <w:rFonts w:hint="eastAsia"/>
        </w:rPr>
        <w:t>(</w:t>
      </w:r>
      <w:r>
        <w:rPr>
          <w:rFonts w:hint="eastAsia"/>
        </w:rPr>
        <w:t>元</w:t>
      </w:r>
      <w:r>
        <w:rPr>
          <w:rFonts w:hint="eastAsia"/>
        </w:rPr>
        <w:t>)</w:t>
      </w:r>
      <w:r>
        <w:rPr>
          <w:rFonts w:hint="eastAsia"/>
        </w:rPr>
        <w:t>结算。</w:t>
      </w:r>
      <w:bookmarkStart w:id="0" w:name="_GoBack"/>
      <w:bookmarkEnd w:id="0"/>
    </w:p>
    <w:sectPr w:rsidR="009D16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D49E6" w14:textId="77777777" w:rsidR="00FA3EC3" w:rsidRDefault="00FA3EC3" w:rsidP="001C241E">
      <w:r>
        <w:separator/>
      </w:r>
    </w:p>
  </w:endnote>
  <w:endnote w:type="continuationSeparator" w:id="0">
    <w:p w14:paraId="0B321A21" w14:textId="77777777" w:rsidR="00FA3EC3" w:rsidRDefault="00FA3EC3" w:rsidP="001C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BA403" w14:textId="77777777" w:rsidR="00FA3EC3" w:rsidRDefault="00FA3EC3" w:rsidP="001C241E">
      <w:r>
        <w:separator/>
      </w:r>
    </w:p>
  </w:footnote>
  <w:footnote w:type="continuationSeparator" w:id="0">
    <w:p w14:paraId="59816941" w14:textId="77777777" w:rsidR="00FA3EC3" w:rsidRDefault="00FA3EC3" w:rsidP="001C2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E34"/>
    <w:multiLevelType w:val="multilevel"/>
    <w:tmpl w:val="0AEB0E34"/>
    <w:lvl w:ilvl="0">
      <w:start w:val="1"/>
      <w:numFmt w:val="decimal"/>
      <w:lvlText w:val="%1."/>
      <w:lvlJc w:val="left"/>
      <w:pPr>
        <w:ind w:left="1168" w:hanging="420"/>
      </w:pPr>
      <w:rPr>
        <w:rFonts w:ascii="宋体" w:eastAsia="宋体" w:hAnsi="宋体"/>
      </w:rPr>
    </w:lvl>
    <w:lvl w:ilvl="1">
      <w:start w:val="1"/>
      <w:numFmt w:val="lowerLetter"/>
      <w:lvlText w:val="%2)"/>
      <w:lvlJc w:val="left"/>
      <w:pPr>
        <w:ind w:left="1588" w:hanging="420"/>
      </w:pPr>
    </w:lvl>
    <w:lvl w:ilvl="2">
      <w:start w:val="1"/>
      <w:numFmt w:val="lowerRoman"/>
      <w:lvlText w:val="%3."/>
      <w:lvlJc w:val="right"/>
      <w:pPr>
        <w:ind w:left="2008" w:hanging="420"/>
      </w:pPr>
    </w:lvl>
    <w:lvl w:ilvl="3">
      <w:start w:val="1"/>
      <w:numFmt w:val="decimal"/>
      <w:lvlText w:val="%4."/>
      <w:lvlJc w:val="left"/>
      <w:pPr>
        <w:ind w:left="2428" w:hanging="420"/>
      </w:pPr>
    </w:lvl>
    <w:lvl w:ilvl="4">
      <w:start w:val="1"/>
      <w:numFmt w:val="lowerLetter"/>
      <w:lvlText w:val="%5)"/>
      <w:lvlJc w:val="left"/>
      <w:pPr>
        <w:ind w:left="2848" w:hanging="420"/>
      </w:pPr>
    </w:lvl>
    <w:lvl w:ilvl="5">
      <w:start w:val="1"/>
      <w:numFmt w:val="lowerRoman"/>
      <w:lvlText w:val="%6."/>
      <w:lvlJc w:val="right"/>
      <w:pPr>
        <w:ind w:left="3268" w:hanging="420"/>
      </w:pPr>
    </w:lvl>
    <w:lvl w:ilvl="6">
      <w:start w:val="1"/>
      <w:numFmt w:val="decimal"/>
      <w:lvlText w:val="%7."/>
      <w:lvlJc w:val="left"/>
      <w:pPr>
        <w:ind w:left="3688" w:hanging="420"/>
      </w:pPr>
    </w:lvl>
    <w:lvl w:ilvl="7">
      <w:start w:val="1"/>
      <w:numFmt w:val="lowerLetter"/>
      <w:lvlText w:val="%8)"/>
      <w:lvlJc w:val="left"/>
      <w:pPr>
        <w:ind w:left="4108" w:hanging="420"/>
      </w:pPr>
    </w:lvl>
    <w:lvl w:ilvl="8">
      <w:start w:val="1"/>
      <w:numFmt w:val="lowerRoman"/>
      <w:lvlText w:val="%9."/>
      <w:lvlJc w:val="right"/>
      <w:pPr>
        <w:ind w:left="4528" w:hanging="420"/>
      </w:pPr>
    </w:lvl>
  </w:abstractNum>
  <w:abstractNum w:abstractNumId="1" w15:restartNumberingAfterBreak="0">
    <w:nsid w:val="1842516A"/>
    <w:multiLevelType w:val="multilevel"/>
    <w:tmpl w:val="1842516A"/>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5327E40"/>
    <w:multiLevelType w:val="multilevel"/>
    <w:tmpl w:val="35327E40"/>
    <w:lvl w:ilvl="0">
      <w:start w:val="1"/>
      <w:numFmt w:val="lowerLetter"/>
      <w:lvlText w:val="%1."/>
      <w:lvlJc w:val="left"/>
      <w:pPr>
        <w:ind w:left="1736" w:hanging="990"/>
      </w:pPr>
      <w:rPr>
        <w:rFonts w:hint="default"/>
      </w:rPr>
    </w:lvl>
    <w:lvl w:ilvl="1">
      <w:start w:val="1"/>
      <w:numFmt w:val="lowerLetter"/>
      <w:lvlText w:val="%2)"/>
      <w:lvlJc w:val="left"/>
      <w:pPr>
        <w:ind w:left="1586" w:hanging="420"/>
      </w:pPr>
    </w:lvl>
    <w:lvl w:ilvl="2">
      <w:start w:val="1"/>
      <w:numFmt w:val="lowerRoman"/>
      <w:lvlText w:val="%3."/>
      <w:lvlJc w:val="right"/>
      <w:pPr>
        <w:ind w:left="2006" w:hanging="420"/>
      </w:pPr>
    </w:lvl>
    <w:lvl w:ilvl="3">
      <w:start w:val="1"/>
      <w:numFmt w:val="decimal"/>
      <w:lvlText w:val="%4."/>
      <w:lvlJc w:val="left"/>
      <w:pPr>
        <w:ind w:left="2426" w:hanging="420"/>
      </w:pPr>
    </w:lvl>
    <w:lvl w:ilvl="4">
      <w:start w:val="1"/>
      <w:numFmt w:val="lowerLetter"/>
      <w:lvlText w:val="%5)"/>
      <w:lvlJc w:val="left"/>
      <w:pPr>
        <w:ind w:left="2846" w:hanging="420"/>
      </w:pPr>
    </w:lvl>
    <w:lvl w:ilvl="5">
      <w:start w:val="1"/>
      <w:numFmt w:val="lowerRoman"/>
      <w:lvlText w:val="%6."/>
      <w:lvlJc w:val="right"/>
      <w:pPr>
        <w:ind w:left="3266" w:hanging="420"/>
      </w:pPr>
    </w:lvl>
    <w:lvl w:ilvl="6">
      <w:start w:val="1"/>
      <w:numFmt w:val="decimal"/>
      <w:lvlText w:val="%7."/>
      <w:lvlJc w:val="left"/>
      <w:pPr>
        <w:ind w:left="3686" w:hanging="420"/>
      </w:pPr>
    </w:lvl>
    <w:lvl w:ilvl="7">
      <w:start w:val="1"/>
      <w:numFmt w:val="lowerLetter"/>
      <w:lvlText w:val="%8)"/>
      <w:lvlJc w:val="left"/>
      <w:pPr>
        <w:ind w:left="4106" w:hanging="420"/>
      </w:pPr>
    </w:lvl>
    <w:lvl w:ilvl="8">
      <w:start w:val="1"/>
      <w:numFmt w:val="lowerRoman"/>
      <w:lvlText w:val="%9."/>
      <w:lvlJc w:val="right"/>
      <w:pPr>
        <w:ind w:left="4526" w:hanging="420"/>
      </w:pPr>
    </w:lvl>
  </w:abstractNum>
  <w:abstractNum w:abstractNumId="3" w15:restartNumberingAfterBreak="0">
    <w:nsid w:val="38497CD9"/>
    <w:multiLevelType w:val="multilevel"/>
    <w:tmpl w:val="38497CD9"/>
    <w:lvl w:ilvl="0">
      <w:start w:val="1"/>
      <w:numFmt w:val="decimal"/>
      <w:lvlText w:val="%1."/>
      <w:lvlJc w:val="left"/>
      <w:pPr>
        <w:ind w:left="786" w:hanging="360"/>
      </w:pPr>
      <w:rPr>
        <w:rFonts w:hint="default"/>
      </w:rPr>
    </w:lvl>
    <w:lvl w:ilvl="1">
      <w:start w:val="2"/>
      <w:numFmt w:val="decimal"/>
      <w:isLgl/>
      <w:lvlText w:val="%1.%2"/>
      <w:lvlJc w:val="left"/>
      <w:pPr>
        <w:ind w:left="1995" w:hanging="1245"/>
      </w:pPr>
      <w:rPr>
        <w:rFonts w:hint="default"/>
      </w:rPr>
    </w:lvl>
    <w:lvl w:ilvl="2">
      <w:start w:val="1"/>
      <w:numFmt w:val="decimal"/>
      <w:isLgl/>
      <w:lvlText w:val="%1.%2.%3"/>
      <w:lvlJc w:val="left"/>
      <w:pPr>
        <w:ind w:left="1995" w:hanging="1245"/>
      </w:pPr>
      <w:rPr>
        <w:rFonts w:hint="default"/>
      </w:rPr>
    </w:lvl>
    <w:lvl w:ilvl="3">
      <w:start w:val="1"/>
      <w:numFmt w:val="decimal"/>
      <w:isLgl/>
      <w:lvlText w:val="%1.%2.%3.%4"/>
      <w:lvlJc w:val="left"/>
      <w:pPr>
        <w:ind w:left="1995" w:hanging="1245"/>
      </w:pPr>
      <w:rPr>
        <w:rFonts w:hint="default"/>
      </w:rPr>
    </w:lvl>
    <w:lvl w:ilvl="4">
      <w:start w:val="1"/>
      <w:numFmt w:val="decimal"/>
      <w:isLgl/>
      <w:lvlText w:val="%1.%2.%3.%4.%5"/>
      <w:lvlJc w:val="left"/>
      <w:pPr>
        <w:ind w:left="1995" w:hanging="1245"/>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4" w15:restartNumberingAfterBreak="0">
    <w:nsid w:val="47402EDE"/>
    <w:multiLevelType w:val="multilevel"/>
    <w:tmpl w:val="47402EDE"/>
    <w:lvl w:ilvl="0">
      <w:start w:val="1"/>
      <w:numFmt w:val="decimal"/>
      <w:lvlText w:val="%1."/>
      <w:lvlJc w:val="left"/>
      <w:pPr>
        <w:ind w:left="1110" w:hanging="360"/>
      </w:pPr>
      <w:rPr>
        <w:rFonts w:hint="default"/>
      </w:rPr>
    </w:lvl>
    <w:lvl w:ilvl="1">
      <w:start w:val="1"/>
      <w:numFmt w:val="lowerLetter"/>
      <w:lvlText w:val="%2)"/>
      <w:lvlJc w:val="left"/>
      <w:pPr>
        <w:ind w:left="1590" w:hanging="420"/>
      </w:pPr>
    </w:lvl>
    <w:lvl w:ilvl="2">
      <w:start w:val="1"/>
      <w:numFmt w:val="lowerRoman"/>
      <w:lvlText w:val="%3."/>
      <w:lvlJc w:val="right"/>
      <w:pPr>
        <w:ind w:left="2010" w:hanging="420"/>
      </w:pPr>
    </w:lvl>
    <w:lvl w:ilvl="3">
      <w:start w:val="1"/>
      <w:numFmt w:val="decimal"/>
      <w:lvlText w:val="%4."/>
      <w:lvlJc w:val="left"/>
      <w:pPr>
        <w:ind w:left="2430" w:hanging="420"/>
      </w:pPr>
    </w:lvl>
    <w:lvl w:ilvl="4">
      <w:start w:val="1"/>
      <w:numFmt w:val="lowerLetter"/>
      <w:lvlText w:val="%5)"/>
      <w:lvlJc w:val="left"/>
      <w:pPr>
        <w:ind w:left="2850" w:hanging="420"/>
      </w:pPr>
    </w:lvl>
    <w:lvl w:ilvl="5">
      <w:start w:val="1"/>
      <w:numFmt w:val="lowerRoman"/>
      <w:lvlText w:val="%6."/>
      <w:lvlJc w:val="right"/>
      <w:pPr>
        <w:ind w:left="3270" w:hanging="420"/>
      </w:pPr>
    </w:lvl>
    <w:lvl w:ilvl="6">
      <w:start w:val="1"/>
      <w:numFmt w:val="decimal"/>
      <w:lvlText w:val="%7."/>
      <w:lvlJc w:val="left"/>
      <w:pPr>
        <w:ind w:left="3690" w:hanging="420"/>
      </w:pPr>
    </w:lvl>
    <w:lvl w:ilvl="7">
      <w:start w:val="1"/>
      <w:numFmt w:val="lowerLetter"/>
      <w:lvlText w:val="%8)"/>
      <w:lvlJc w:val="left"/>
      <w:pPr>
        <w:ind w:left="4110" w:hanging="420"/>
      </w:pPr>
    </w:lvl>
    <w:lvl w:ilvl="8">
      <w:start w:val="1"/>
      <w:numFmt w:val="lowerRoman"/>
      <w:lvlText w:val="%9."/>
      <w:lvlJc w:val="right"/>
      <w:pPr>
        <w:ind w:left="453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D2"/>
    <w:rsid w:val="001C241E"/>
    <w:rsid w:val="009D160E"/>
    <w:rsid w:val="00C72DD2"/>
    <w:rsid w:val="00FA3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809043-5DBD-43C8-9CCE-13C75DA9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41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4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241E"/>
    <w:rPr>
      <w:sz w:val="18"/>
      <w:szCs w:val="18"/>
    </w:rPr>
  </w:style>
  <w:style w:type="paragraph" w:styleId="a5">
    <w:name w:val="footer"/>
    <w:basedOn w:val="a"/>
    <w:link w:val="a6"/>
    <w:uiPriority w:val="99"/>
    <w:unhideWhenUsed/>
    <w:rsid w:val="001C241E"/>
    <w:pPr>
      <w:tabs>
        <w:tab w:val="center" w:pos="4153"/>
        <w:tab w:val="right" w:pos="8306"/>
      </w:tabs>
      <w:snapToGrid w:val="0"/>
      <w:jc w:val="left"/>
    </w:pPr>
    <w:rPr>
      <w:sz w:val="18"/>
      <w:szCs w:val="18"/>
    </w:rPr>
  </w:style>
  <w:style w:type="character" w:customStyle="1" w:styleId="a6">
    <w:name w:val="页脚 字符"/>
    <w:basedOn w:val="a0"/>
    <w:link w:val="a5"/>
    <w:uiPriority w:val="99"/>
    <w:rsid w:val="001C24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50001075@qq.com</dc:creator>
  <cp:keywords/>
  <dc:description/>
  <cp:lastModifiedBy>50001075@qq.com</cp:lastModifiedBy>
  <cp:revision>2</cp:revision>
  <dcterms:created xsi:type="dcterms:W3CDTF">2019-05-23T08:33:00Z</dcterms:created>
  <dcterms:modified xsi:type="dcterms:W3CDTF">2019-05-23T08:33:00Z</dcterms:modified>
</cp:coreProperties>
</file>