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numPr>
          <w:numId w:val="0"/>
        </w:numPr>
        <w:spacing w:line="360" w:lineRule="auto"/>
        <w:ind w:leftChars="0" w:firstLine="2650" w:firstLineChars="600"/>
        <w:jc w:val="both"/>
        <w:rPr>
          <w:rFonts w:hAnsi="宋体"/>
          <w:sz w:val="44"/>
          <w:szCs w:val="44"/>
        </w:rPr>
      </w:pPr>
      <w:bookmarkStart w:id="3" w:name="_GoBack"/>
      <w:bookmarkEnd w:id="3"/>
      <w:r>
        <w:rPr>
          <w:rFonts w:hint="eastAsia" w:hAnsi="宋体"/>
          <w:sz w:val="44"/>
          <w:szCs w:val="44"/>
        </w:rPr>
        <w:t>用户需求书</w:t>
      </w:r>
    </w:p>
    <w:p>
      <w:pPr>
        <w:pStyle w:val="3"/>
        <w:ind w:firstLine="0"/>
        <w:contextualSpacing/>
        <w:jc w:val="center"/>
        <w:rPr>
          <w:rFonts w:hAnsi="宋体"/>
          <w:b/>
          <w:bCs/>
          <w:sz w:val="32"/>
          <w:szCs w:val="32"/>
        </w:rPr>
      </w:pPr>
    </w:p>
    <w:p>
      <w:pPr>
        <w:pStyle w:val="3"/>
        <w:spacing w:line="420" w:lineRule="exact"/>
        <w:ind w:firstLine="0"/>
        <w:contextualSpacing/>
        <w:rPr>
          <w:rFonts w:hAnsi="宋体"/>
          <w:b/>
          <w:bCs/>
          <w:szCs w:val="24"/>
        </w:rPr>
      </w:pPr>
      <w:r>
        <w:rPr>
          <w:rFonts w:hint="eastAsia" w:hAnsi="宋体"/>
          <w:b/>
          <w:bCs/>
          <w:szCs w:val="24"/>
        </w:rPr>
        <w:t>（一）服务时间</w:t>
      </w:r>
    </w:p>
    <w:p>
      <w:pPr>
        <w:pStyle w:val="3"/>
        <w:spacing w:line="420" w:lineRule="exact"/>
        <w:ind w:firstLine="480"/>
        <w:contextualSpacing/>
        <w:rPr>
          <w:rFonts w:hAnsi="宋体"/>
          <w:szCs w:val="24"/>
        </w:rPr>
      </w:pPr>
      <w:r>
        <w:rPr>
          <w:rFonts w:hint="eastAsia" w:hAnsi="宋体"/>
          <w:szCs w:val="24"/>
        </w:rPr>
        <w:t>租赁服务时间为：租赁服务时间为：201</w:t>
      </w:r>
      <w:r>
        <w:rPr>
          <w:rFonts w:hAnsi="宋体"/>
          <w:szCs w:val="24"/>
        </w:rPr>
        <w:t>8</w:t>
      </w:r>
      <w:r>
        <w:rPr>
          <w:rFonts w:hint="eastAsia" w:hAnsi="宋体"/>
          <w:szCs w:val="24"/>
        </w:rPr>
        <w:t>年12月1日-201</w:t>
      </w:r>
      <w:r>
        <w:rPr>
          <w:rFonts w:hAnsi="宋体"/>
          <w:szCs w:val="24"/>
        </w:rPr>
        <w:t>9</w:t>
      </w:r>
      <w:r>
        <w:rPr>
          <w:rFonts w:hint="eastAsia" w:hAnsi="宋体"/>
          <w:szCs w:val="24"/>
        </w:rPr>
        <w:t>年11月30日，共计12个月。在9月15日前完成设备安装调试，在2018年11月20日正式开通线路。</w:t>
      </w:r>
    </w:p>
    <w:p>
      <w:pPr>
        <w:pStyle w:val="3"/>
        <w:spacing w:line="420" w:lineRule="exact"/>
        <w:ind w:firstLine="0"/>
        <w:contextualSpacing/>
        <w:rPr>
          <w:rFonts w:hAnsi="宋体"/>
          <w:b/>
          <w:szCs w:val="24"/>
        </w:rPr>
      </w:pPr>
      <w:r>
        <w:rPr>
          <w:rFonts w:hint="eastAsia" w:hAnsi="宋体"/>
          <w:b/>
          <w:szCs w:val="24"/>
        </w:rPr>
        <w:t>1.3 安装地点</w:t>
      </w:r>
    </w:p>
    <w:p>
      <w:pPr>
        <w:pStyle w:val="3"/>
        <w:spacing w:line="420" w:lineRule="exact"/>
        <w:ind w:firstLine="480"/>
        <w:contextualSpacing/>
        <w:rPr>
          <w:rFonts w:hAnsi="宋体"/>
          <w:szCs w:val="24"/>
        </w:rPr>
      </w:pPr>
      <w:r>
        <w:rPr>
          <w:rFonts w:hint="eastAsia" w:hAnsi="宋体"/>
          <w:szCs w:val="24"/>
        </w:rPr>
        <w:t>海南省图书馆指定安装地点。</w:t>
      </w:r>
    </w:p>
    <w:p>
      <w:pPr>
        <w:pStyle w:val="3"/>
        <w:spacing w:line="420" w:lineRule="exact"/>
        <w:ind w:firstLine="0"/>
        <w:contextualSpacing/>
        <w:rPr>
          <w:rFonts w:hAnsi="宋体"/>
          <w:b/>
          <w:szCs w:val="24"/>
        </w:rPr>
      </w:pPr>
      <w:r>
        <w:rPr>
          <w:rFonts w:hint="eastAsia" w:hAnsi="宋体"/>
          <w:b/>
          <w:szCs w:val="24"/>
        </w:rPr>
        <w:t>1.4 业务描述</w:t>
      </w:r>
    </w:p>
    <w:p>
      <w:pPr>
        <w:pStyle w:val="3"/>
        <w:spacing w:line="420" w:lineRule="exact"/>
        <w:ind w:firstLine="480"/>
        <w:contextualSpacing/>
        <w:rPr>
          <w:rFonts w:hAnsi="宋体"/>
          <w:szCs w:val="24"/>
        </w:rPr>
      </w:pPr>
      <w:r>
        <w:rPr>
          <w:rFonts w:hint="eastAsia" w:hAnsi="宋体"/>
          <w:szCs w:val="24"/>
        </w:rPr>
        <w:t>1、互联网出口：1条1G互联网专线租用，汇聚至中心机房数据专线业务保障需为双路由等级。同时提供不少于30个有效连续公网IP地址，提供路由器、防火墙、交换机等网络设备（注：项目配套网络设备由中方负责提供使用，设备资产、保障和维护工作归中标方，合同期内使用权归海南省图书馆。）。</w:t>
      </w:r>
    </w:p>
    <w:p>
      <w:pPr>
        <w:pStyle w:val="3"/>
        <w:spacing w:line="420" w:lineRule="exact"/>
        <w:ind w:firstLine="480"/>
        <w:contextualSpacing/>
        <w:rPr>
          <w:rFonts w:hAnsi="宋体"/>
          <w:szCs w:val="24"/>
        </w:rPr>
      </w:pPr>
      <w:r>
        <w:rPr>
          <w:rFonts w:hAnsi="宋体"/>
          <w:szCs w:val="24"/>
        </w:rPr>
        <w:t>2</w:t>
      </w:r>
      <w:r>
        <w:rPr>
          <w:rFonts w:hint="eastAsia" w:hAnsi="宋体"/>
          <w:szCs w:val="24"/>
        </w:rPr>
        <w:t xml:space="preserve">、网络建设：完善省图数据中心机房汇聚层网络设备的数据调整。 </w:t>
      </w:r>
    </w:p>
    <w:p>
      <w:pPr>
        <w:spacing w:line="420" w:lineRule="exact"/>
        <w:rPr>
          <w:rFonts w:hAnsi="宋体"/>
          <w:b/>
          <w:sz w:val="24"/>
          <w:szCs w:val="24"/>
        </w:rPr>
      </w:pPr>
      <w:bookmarkStart w:id="0" w:name="_Toc428265966"/>
      <w:r>
        <w:rPr>
          <w:rFonts w:hint="eastAsia" w:hAnsi="宋体"/>
          <w:b/>
          <w:bCs/>
          <w:sz w:val="24"/>
          <w:szCs w:val="24"/>
        </w:rPr>
        <w:t>（二）</w:t>
      </w:r>
      <w:r>
        <w:rPr>
          <w:rFonts w:hint="eastAsia" w:hAnsi="宋体"/>
          <w:b/>
          <w:sz w:val="24"/>
          <w:szCs w:val="24"/>
        </w:rPr>
        <w:t>网络建设方案</w:t>
      </w:r>
      <w:bookmarkEnd w:id="0"/>
    </w:p>
    <w:p>
      <w:pPr>
        <w:spacing w:line="420" w:lineRule="exact"/>
        <w:jc w:val="left"/>
        <w:rPr>
          <w:rFonts w:hAnsi="宋体"/>
          <w:b/>
          <w:sz w:val="24"/>
          <w:szCs w:val="24"/>
        </w:rPr>
      </w:pPr>
      <w:bookmarkStart w:id="1" w:name="_Toc428265967"/>
      <w:r>
        <w:rPr>
          <w:rFonts w:hint="eastAsia" w:hAnsi="宋体"/>
          <w:b/>
          <w:sz w:val="24"/>
          <w:szCs w:val="24"/>
        </w:rPr>
        <w:t>2.1整体拓扑设计</w:t>
      </w:r>
    </w:p>
    <w:p>
      <w:pPr>
        <w:spacing w:line="420" w:lineRule="exact"/>
        <w:ind w:firstLine="360" w:firstLineChars="150"/>
        <w:jc w:val="left"/>
        <w:rPr>
          <w:rFonts w:hAnsi="宋体"/>
          <w:sz w:val="24"/>
          <w:szCs w:val="24"/>
        </w:rPr>
      </w:pPr>
      <w:r>
        <w:rPr>
          <w:rFonts w:hint="eastAsia" w:hAnsi="宋体"/>
          <w:sz w:val="24"/>
          <w:szCs w:val="24"/>
        </w:rPr>
        <w:t>针对网络需求，需要对现有的网络进行改造升级，计划网络拓扑图（或根据实际情况调整）如下：</w:t>
      </w:r>
    </w:p>
    <w:bookmarkEnd w:id="1"/>
    <w:p>
      <w:pPr>
        <w:pStyle w:val="2"/>
      </w:pPr>
      <w:r>
        <w:drawing>
          <wp:inline distT="0" distB="0" distL="0" distR="0">
            <wp:extent cx="2933065" cy="3174365"/>
            <wp:effectExtent l="0" t="0" r="635" b="6985"/>
            <wp:docPr id="5" name="图片 5" descr="图书馆-2018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书馆-20180326"/>
                    <pic:cNvPicPr>
                      <a:picLocks noChangeAspect="1" noChangeArrowheads="1"/>
                    </pic:cNvPicPr>
                  </pic:nvPicPr>
                  <pic:blipFill>
                    <a:blip r:embed="rId4" cstate="print"/>
                    <a:srcRect/>
                    <a:stretch>
                      <a:fillRect/>
                    </a:stretch>
                  </pic:blipFill>
                  <pic:spPr>
                    <a:xfrm>
                      <a:off x="0" y="0"/>
                      <a:ext cx="2933065" cy="3174365"/>
                    </a:xfrm>
                    <a:prstGeom prst="rect">
                      <a:avLst/>
                    </a:prstGeom>
                    <a:noFill/>
                    <a:ln w="9525">
                      <a:noFill/>
                      <a:miter lim="800000"/>
                      <a:headEnd/>
                      <a:tailEnd/>
                    </a:ln>
                  </pic:spPr>
                </pic:pic>
              </a:graphicData>
            </a:graphic>
          </wp:inline>
        </w:drawing>
      </w:r>
    </w:p>
    <w:p>
      <w:pPr>
        <w:pStyle w:val="3"/>
        <w:spacing w:line="420" w:lineRule="exact"/>
        <w:ind w:firstLine="0"/>
        <w:contextualSpacing/>
        <w:rPr>
          <w:rFonts w:hAnsi="宋体"/>
          <w:b/>
          <w:szCs w:val="24"/>
        </w:rPr>
      </w:pPr>
      <w:r>
        <w:rPr>
          <w:rFonts w:hAnsi="宋体"/>
          <w:b/>
          <w:szCs w:val="24"/>
        </w:rPr>
        <w:t>2.2</w:t>
      </w:r>
      <w:r>
        <w:rPr>
          <w:rFonts w:hint="eastAsia" w:hAnsi="宋体"/>
          <w:b/>
          <w:szCs w:val="24"/>
        </w:rPr>
        <w:t>组网说明</w:t>
      </w:r>
    </w:p>
    <w:p>
      <w:pPr>
        <w:spacing w:line="420" w:lineRule="exact"/>
        <w:ind w:firstLine="360" w:firstLineChars="150"/>
        <w:jc w:val="left"/>
        <w:rPr>
          <w:rFonts w:hAnsi="宋体"/>
          <w:sz w:val="24"/>
          <w:szCs w:val="24"/>
        </w:rPr>
      </w:pPr>
      <w:r>
        <w:rPr>
          <w:rFonts w:hint="eastAsia" w:hAnsi="宋体"/>
          <w:sz w:val="24"/>
          <w:szCs w:val="24"/>
        </w:rPr>
        <w:t>在网络出口部署出口路由器和防火墙。出口路由和核心防火墙配置双电源、双业务背板的冗余设计。出口防火墙和路由采用串联结构，能够充分的保障图书馆网络安全。</w:t>
      </w:r>
    </w:p>
    <w:p>
      <w:pPr>
        <w:spacing w:line="420" w:lineRule="exact"/>
        <w:ind w:right="210" w:firstLine="480" w:firstLineChars="200"/>
        <w:jc w:val="left"/>
        <w:rPr>
          <w:rFonts w:hAnsi="宋体"/>
          <w:sz w:val="24"/>
          <w:szCs w:val="24"/>
        </w:rPr>
      </w:pPr>
      <w:r>
        <w:rPr>
          <w:rFonts w:hint="eastAsia" w:hAnsi="宋体"/>
          <w:sz w:val="24"/>
          <w:szCs w:val="24"/>
        </w:rPr>
        <w:t>核心交换机部署网络管理系统来对全网设备进行统一智能化管理，实现网络业务的端到端管理，为文化共享业务提供分级式交互管理特性。</w:t>
      </w:r>
    </w:p>
    <w:p>
      <w:pPr>
        <w:spacing w:line="420" w:lineRule="exact"/>
        <w:ind w:firstLine="360" w:firstLineChars="150"/>
        <w:jc w:val="left"/>
        <w:rPr>
          <w:rFonts w:hAnsi="宋体"/>
          <w:sz w:val="24"/>
          <w:szCs w:val="24"/>
        </w:rPr>
      </w:pPr>
      <w:r>
        <w:rPr>
          <w:rFonts w:hint="eastAsia" w:hAnsi="宋体"/>
          <w:sz w:val="24"/>
          <w:szCs w:val="24"/>
        </w:rPr>
        <w:t>通过安全策略服务器、网络设备以及第三方软件的联动，对接入网络的用户终端强制实施安全策略，严格控制终端用户的网络使用行为，可以有效的满足图书馆文化共享工程站安全控制的需求。</w:t>
      </w:r>
    </w:p>
    <w:p>
      <w:pPr>
        <w:spacing w:line="420" w:lineRule="exact"/>
        <w:rPr>
          <w:rFonts w:hAnsi="宋体"/>
          <w:b/>
          <w:sz w:val="24"/>
          <w:szCs w:val="24"/>
        </w:rPr>
      </w:pPr>
      <w:bookmarkStart w:id="2" w:name="_Toc428265970"/>
      <w:r>
        <w:rPr>
          <w:rFonts w:hint="eastAsia" w:hAnsi="宋体"/>
          <w:b/>
          <w:sz w:val="24"/>
          <w:szCs w:val="24"/>
        </w:rPr>
        <w:t>2.2设备选型参考</w:t>
      </w:r>
      <w:bookmarkEnd w:id="2"/>
    </w:p>
    <w:p>
      <w:pPr>
        <w:spacing w:line="420" w:lineRule="exact"/>
        <w:ind w:firstLine="480" w:firstLineChars="200"/>
        <w:contextualSpacing/>
        <w:rPr>
          <w:rFonts w:hAnsi="宋体"/>
          <w:sz w:val="24"/>
          <w:szCs w:val="24"/>
        </w:rPr>
      </w:pPr>
      <w:r>
        <w:rPr>
          <w:rFonts w:hint="eastAsia" w:hAnsi="宋体"/>
          <w:sz w:val="24"/>
          <w:szCs w:val="24"/>
        </w:rPr>
        <w:t>针对此项目，提供以下设备规格选型参考，可根据实际情况选择合适的设备型号。</w:t>
      </w:r>
    </w:p>
    <w:p>
      <w:pPr>
        <w:numPr>
          <w:ilvl w:val="0"/>
          <w:numId w:val="1"/>
        </w:numPr>
        <w:spacing w:line="420" w:lineRule="exact"/>
        <w:outlineLvl w:val="0"/>
        <w:rPr>
          <w:rFonts w:hAnsi="宋体"/>
          <w:sz w:val="24"/>
          <w:szCs w:val="24"/>
        </w:rPr>
      </w:pPr>
      <w:r>
        <w:rPr>
          <w:rFonts w:hint="eastAsia" w:hAnsi="宋体"/>
          <w:sz w:val="24"/>
          <w:szCs w:val="24"/>
        </w:rPr>
        <w:t>路由器1台、参数要求如下</w:t>
      </w:r>
    </w:p>
    <w:tbl>
      <w:tblPr>
        <w:tblStyle w:val="4"/>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36"/>
        <w:gridCol w:w="779"/>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664" w:type="dxa"/>
            <w:shd w:val="clear" w:color="auto" w:fill="auto"/>
            <w:vAlign w:val="center"/>
          </w:tcPr>
          <w:p>
            <w:pPr>
              <w:widowControl/>
              <w:jc w:val="center"/>
              <w:rPr>
                <w:rFonts w:hAnsi="宋体"/>
                <w:sz w:val="24"/>
              </w:rPr>
            </w:pPr>
            <w:r>
              <w:rPr>
                <w:rFonts w:hint="eastAsia" w:hAnsi="宋体"/>
                <w:sz w:val="24"/>
              </w:rPr>
              <w:t>序号</w:t>
            </w:r>
          </w:p>
        </w:tc>
        <w:tc>
          <w:tcPr>
            <w:tcW w:w="736" w:type="dxa"/>
            <w:shd w:val="clear" w:color="auto" w:fill="auto"/>
            <w:vAlign w:val="center"/>
          </w:tcPr>
          <w:p>
            <w:pPr>
              <w:widowControl/>
              <w:jc w:val="center"/>
              <w:rPr>
                <w:rFonts w:hAnsi="宋体"/>
                <w:sz w:val="24"/>
              </w:rPr>
            </w:pPr>
            <w:r>
              <w:rPr>
                <w:rFonts w:hint="eastAsia" w:hAnsi="宋体"/>
                <w:sz w:val="24"/>
              </w:rPr>
              <w:t>设备名称</w:t>
            </w:r>
          </w:p>
        </w:tc>
        <w:tc>
          <w:tcPr>
            <w:tcW w:w="779" w:type="dxa"/>
            <w:vAlign w:val="center"/>
          </w:tcPr>
          <w:p>
            <w:pPr>
              <w:widowControl/>
              <w:jc w:val="center"/>
              <w:rPr>
                <w:rFonts w:hAnsi="宋体"/>
                <w:sz w:val="24"/>
              </w:rPr>
            </w:pPr>
            <w:r>
              <w:rPr>
                <w:rFonts w:hint="eastAsia" w:hAnsi="宋体"/>
                <w:sz w:val="24"/>
              </w:rPr>
              <w:t>设备</w:t>
            </w:r>
            <w:r>
              <w:rPr>
                <w:rFonts w:hAnsi="宋体"/>
                <w:sz w:val="24"/>
              </w:rPr>
              <w:t>数量</w:t>
            </w:r>
          </w:p>
        </w:tc>
        <w:tc>
          <w:tcPr>
            <w:tcW w:w="6358" w:type="dxa"/>
            <w:vAlign w:val="center"/>
          </w:tcPr>
          <w:p>
            <w:pPr>
              <w:widowControl/>
              <w:jc w:val="center"/>
              <w:rPr>
                <w:rFonts w:hAnsi="宋体"/>
                <w:sz w:val="24"/>
              </w:rPr>
            </w:pPr>
            <w:r>
              <w:rPr>
                <w:rFonts w:hint="eastAsia" w:hAnsi="宋体"/>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664" w:type="dxa"/>
            <w:shd w:val="clear" w:color="auto" w:fill="auto"/>
            <w:vAlign w:val="center"/>
          </w:tcPr>
          <w:p>
            <w:pPr>
              <w:widowControl/>
              <w:jc w:val="center"/>
              <w:rPr>
                <w:rFonts w:hAnsi="宋体"/>
                <w:sz w:val="24"/>
              </w:rPr>
            </w:pPr>
            <w:r>
              <w:rPr>
                <w:rFonts w:hAnsi="宋体"/>
                <w:sz w:val="24"/>
              </w:rPr>
              <w:t>1</w:t>
            </w:r>
          </w:p>
        </w:tc>
        <w:tc>
          <w:tcPr>
            <w:tcW w:w="736" w:type="dxa"/>
            <w:shd w:val="clear" w:color="auto" w:fill="auto"/>
            <w:vAlign w:val="center"/>
          </w:tcPr>
          <w:p>
            <w:pPr>
              <w:widowControl/>
              <w:jc w:val="center"/>
              <w:rPr>
                <w:rFonts w:hAnsi="宋体"/>
                <w:sz w:val="24"/>
              </w:rPr>
            </w:pPr>
            <w:r>
              <w:rPr>
                <w:rFonts w:hint="eastAsia" w:hAnsi="宋体"/>
                <w:sz w:val="24"/>
              </w:rPr>
              <w:t>路由器</w:t>
            </w:r>
          </w:p>
        </w:tc>
        <w:tc>
          <w:tcPr>
            <w:tcW w:w="779" w:type="dxa"/>
            <w:vAlign w:val="center"/>
          </w:tcPr>
          <w:p>
            <w:pPr>
              <w:widowControl/>
              <w:jc w:val="center"/>
              <w:rPr>
                <w:rFonts w:hAnsi="宋体"/>
                <w:sz w:val="24"/>
              </w:rPr>
            </w:pPr>
            <w:r>
              <w:rPr>
                <w:rFonts w:hint="eastAsia" w:hAnsi="宋体"/>
                <w:sz w:val="24"/>
              </w:rPr>
              <w:t>1</w:t>
            </w:r>
          </w:p>
        </w:tc>
        <w:tc>
          <w:tcPr>
            <w:tcW w:w="6358" w:type="dxa"/>
            <w:vAlign w:val="center"/>
          </w:tcPr>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实配1个路由器机框，电源模块≥2个，1</w:t>
            </w:r>
            <w:r>
              <w:rPr>
                <w:rFonts w:ascii="宋体" w:hAnsi="宋体"/>
                <w:kern w:val="0"/>
                <w:sz w:val="24"/>
                <w:szCs w:val="20"/>
              </w:rPr>
              <w:t>+1</w:t>
            </w:r>
            <w:r>
              <w:rPr>
                <w:rFonts w:hint="eastAsia" w:ascii="宋体" w:hAnsi="宋体"/>
                <w:kern w:val="0"/>
                <w:sz w:val="24"/>
                <w:szCs w:val="20"/>
              </w:rPr>
              <w:t>冗余</w:t>
            </w:r>
            <w:r>
              <w:rPr>
                <w:rFonts w:ascii="宋体" w:hAnsi="宋体"/>
                <w:kern w:val="0"/>
                <w:sz w:val="24"/>
                <w:szCs w:val="20"/>
              </w:rPr>
              <w:t>，</w:t>
            </w:r>
            <w:r>
              <w:rPr>
                <w:rFonts w:hint="eastAsia" w:ascii="宋体" w:hAnsi="宋体"/>
                <w:kern w:val="0"/>
                <w:sz w:val="24"/>
                <w:szCs w:val="20"/>
              </w:rPr>
              <w:t>主控模块≥2个</w:t>
            </w:r>
            <w:r>
              <w:rPr>
                <w:rFonts w:ascii="宋体" w:hAnsi="宋体"/>
                <w:kern w:val="0"/>
                <w:sz w:val="24"/>
                <w:szCs w:val="20"/>
              </w:rPr>
              <w:t>，</w:t>
            </w:r>
            <w:r>
              <w:rPr>
                <w:rFonts w:hint="eastAsia" w:ascii="宋体" w:hAnsi="宋体"/>
                <w:kern w:val="0"/>
                <w:sz w:val="24"/>
                <w:szCs w:val="20"/>
              </w:rPr>
              <w:t>1</w:t>
            </w:r>
            <w:r>
              <w:rPr>
                <w:rFonts w:ascii="宋体" w:hAnsi="宋体"/>
                <w:kern w:val="0"/>
                <w:sz w:val="24"/>
                <w:szCs w:val="20"/>
              </w:rPr>
              <w:t>+1</w:t>
            </w:r>
            <w:r>
              <w:rPr>
                <w:rFonts w:hint="eastAsia" w:ascii="宋体" w:hAnsi="宋体"/>
                <w:kern w:val="0"/>
                <w:sz w:val="24"/>
                <w:szCs w:val="20"/>
              </w:rPr>
              <w:t>冗余，业务槽位数≥6个，配置</w:t>
            </w:r>
            <w:r>
              <w:rPr>
                <w:rFonts w:ascii="宋体" w:hAnsi="宋体"/>
                <w:kern w:val="0"/>
                <w:sz w:val="24"/>
                <w:szCs w:val="20"/>
              </w:rPr>
              <w:t>≥2</w:t>
            </w:r>
            <w:r>
              <w:rPr>
                <w:rFonts w:hint="eastAsia" w:ascii="宋体" w:hAnsi="宋体"/>
                <w:kern w:val="0"/>
                <w:sz w:val="24"/>
                <w:szCs w:val="20"/>
              </w:rPr>
              <w:t>个万兆</w:t>
            </w:r>
            <w:r>
              <w:rPr>
                <w:rFonts w:ascii="宋体" w:hAnsi="宋体"/>
                <w:kern w:val="0"/>
                <w:sz w:val="24"/>
                <w:szCs w:val="20"/>
              </w:rPr>
              <w:t>业务端口，</w:t>
            </w:r>
            <w:r>
              <w:rPr>
                <w:rFonts w:hint="eastAsia" w:ascii="宋体" w:hAnsi="宋体"/>
                <w:kern w:val="0"/>
                <w:sz w:val="24"/>
                <w:szCs w:val="20"/>
              </w:rPr>
              <w:t>配置≥3个</w:t>
            </w:r>
            <w:r>
              <w:rPr>
                <w:rFonts w:ascii="宋体" w:hAnsi="宋体"/>
                <w:kern w:val="0"/>
                <w:sz w:val="24"/>
                <w:szCs w:val="20"/>
              </w:rPr>
              <w:t>千兆业务Combo口</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主机包</w:t>
            </w:r>
            <w:r>
              <w:rPr>
                <w:rFonts w:ascii="宋体" w:hAnsi="宋体"/>
                <w:kern w:val="0"/>
                <w:sz w:val="24"/>
                <w:szCs w:val="20"/>
              </w:rPr>
              <w:t>转发率</w:t>
            </w:r>
            <w:r>
              <w:rPr>
                <w:rFonts w:hint="eastAsia" w:ascii="宋体" w:hAnsi="宋体"/>
                <w:kern w:val="0"/>
                <w:sz w:val="24"/>
                <w:szCs w:val="20"/>
              </w:rPr>
              <w:t>≥16Mpps，交换容量≥135G；</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支持静态路由，动态路由协议：RIPv1/v2、OSPFv2、BGP、IS-IS；</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支持虚拟化特性，将物理上两台设备虚拟化成一台逻辑设备。；</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设备支持对系统软硬件部件的内部事件、状态进行监控，出现问题时收集实时信息并自动修复,并能将实时信息发送到指定的服务器；</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▲支持VXLAN、数据中心特性，提供支持此特性权威第三方机构的测试报告并加盖厂商项目授权章；</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▲支持IPS入侵</w:t>
            </w:r>
            <w:r>
              <w:rPr>
                <w:rFonts w:ascii="宋体" w:hAnsi="宋体"/>
                <w:kern w:val="0"/>
                <w:sz w:val="24"/>
                <w:szCs w:val="20"/>
              </w:rPr>
              <w:t>防御</w:t>
            </w:r>
            <w:r>
              <w:rPr>
                <w:rFonts w:hint="eastAsia" w:ascii="宋体" w:hAnsi="宋体"/>
                <w:kern w:val="0"/>
                <w:sz w:val="24"/>
                <w:szCs w:val="20"/>
              </w:rPr>
              <w:t>功能</w:t>
            </w:r>
            <w:r>
              <w:rPr>
                <w:rFonts w:ascii="宋体" w:hAnsi="宋体"/>
                <w:kern w:val="0"/>
                <w:sz w:val="24"/>
                <w:szCs w:val="20"/>
              </w:rPr>
              <w:t>，支持</w:t>
            </w:r>
            <w:r>
              <w:rPr>
                <w:rFonts w:hint="eastAsia" w:ascii="宋体" w:hAnsi="宋体"/>
                <w:kern w:val="0"/>
                <w:sz w:val="24"/>
                <w:szCs w:val="20"/>
              </w:rPr>
              <w:t>对已知网络攻击进行安全防御，提高网络安全性，权威第三方机构的测试报告，</w:t>
            </w:r>
            <w:r>
              <w:rPr>
                <w:rFonts w:ascii="宋体" w:hAnsi="宋体"/>
                <w:kern w:val="0"/>
                <w:sz w:val="24"/>
                <w:szCs w:val="20"/>
              </w:rPr>
              <w:t>并加盖厂商项目授权章</w:t>
            </w:r>
            <w:r>
              <w:rPr>
                <w:rFonts w:hint="eastAsia" w:ascii="宋体" w:hAnsi="宋体"/>
                <w:kern w:val="0"/>
                <w:sz w:val="24"/>
                <w:szCs w:val="20"/>
              </w:rPr>
              <w:t>；</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▲支持密钥和IPSEC安全策略集中管理，基于IPSEC安全模型，属于同一组的所有成员共享相同的策略及密钥，权威第三方机构的测试报告，</w:t>
            </w:r>
            <w:r>
              <w:rPr>
                <w:rFonts w:ascii="宋体" w:hAnsi="宋体"/>
                <w:kern w:val="0"/>
                <w:sz w:val="24"/>
                <w:szCs w:val="20"/>
              </w:rPr>
              <w:t>并加盖厂商项目授权章</w:t>
            </w:r>
            <w:r>
              <w:rPr>
                <w:rFonts w:hint="eastAsia" w:ascii="宋体" w:hAnsi="宋体"/>
                <w:kern w:val="0"/>
                <w:sz w:val="24"/>
                <w:szCs w:val="20"/>
              </w:rPr>
              <w:t>；</w:t>
            </w:r>
          </w:p>
          <w:p>
            <w:pPr>
              <w:pStyle w:val="6"/>
              <w:widowControl/>
              <w:numPr>
                <w:ilvl w:val="0"/>
                <w:numId w:val="2"/>
              </w:numPr>
              <w:ind w:firstLineChars="0"/>
              <w:jc w:val="left"/>
              <w:rPr>
                <w:rFonts w:ascii="宋体" w:hAnsi="宋体"/>
                <w:kern w:val="0"/>
                <w:sz w:val="24"/>
                <w:szCs w:val="20"/>
              </w:rPr>
            </w:pPr>
            <w:r>
              <w:rPr>
                <w:rFonts w:hint="eastAsia" w:ascii="宋体" w:hAnsi="宋体"/>
                <w:kern w:val="0"/>
                <w:sz w:val="24"/>
                <w:szCs w:val="20"/>
              </w:rPr>
              <w:t>支持广域网优化、上网行为审计、应用识别控制（DPI）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37" w:type="dxa"/>
            <w:gridSpan w:val="4"/>
            <w:shd w:val="clear" w:color="auto" w:fill="auto"/>
            <w:vAlign w:val="center"/>
          </w:tcPr>
          <w:p>
            <w:pPr>
              <w:pStyle w:val="6"/>
              <w:widowControl/>
              <w:ind w:firstLine="0" w:firstLineChars="0"/>
              <w:jc w:val="left"/>
              <w:rPr>
                <w:rFonts w:ascii="宋体" w:hAnsi="宋体"/>
                <w:kern w:val="0"/>
                <w:sz w:val="24"/>
                <w:szCs w:val="20"/>
              </w:rPr>
            </w:pPr>
            <w:r>
              <w:rPr>
                <w:rFonts w:hint="eastAsia" w:ascii="宋体" w:hAnsi="宋体"/>
                <w:kern w:val="0"/>
                <w:sz w:val="24"/>
                <w:szCs w:val="20"/>
              </w:rPr>
              <w:t>▲如此设备在实际使用中性能不能满足工作需要，投标方同意免费升级符合采购方实际工作需求的设备。</w:t>
            </w:r>
          </w:p>
        </w:tc>
      </w:tr>
    </w:tbl>
    <w:p>
      <w:pPr>
        <w:outlineLvl w:val="0"/>
        <w:rPr>
          <w:rFonts w:hAnsi="宋体"/>
          <w:sz w:val="24"/>
        </w:rPr>
      </w:pPr>
      <w:r>
        <w:rPr>
          <w:rFonts w:hint="eastAsia" w:hAnsi="宋体"/>
          <w:sz w:val="24"/>
        </w:rPr>
        <w:t>二、防火墙1台、参数要求如下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33"/>
        <w:gridCol w:w="779"/>
        <w:gridCol w:w="6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63" w:type="dxa"/>
            <w:shd w:val="clear" w:color="auto" w:fill="auto"/>
            <w:vAlign w:val="center"/>
          </w:tcPr>
          <w:p>
            <w:pPr>
              <w:widowControl/>
              <w:jc w:val="center"/>
              <w:rPr>
                <w:rFonts w:hAnsi="宋体"/>
                <w:sz w:val="24"/>
              </w:rPr>
            </w:pPr>
            <w:r>
              <w:rPr>
                <w:rFonts w:hint="eastAsia" w:hAnsi="宋体"/>
                <w:sz w:val="24"/>
              </w:rPr>
              <w:t>序号</w:t>
            </w:r>
          </w:p>
        </w:tc>
        <w:tc>
          <w:tcPr>
            <w:tcW w:w="733" w:type="dxa"/>
            <w:shd w:val="clear" w:color="auto" w:fill="auto"/>
            <w:vAlign w:val="center"/>
          </w:tcPr>
          <w:p>
            <w:pPr>
              <w:widowControl/>
              <w:jc w:val="center"/>
              <w:rPr>
                <w:rFonts w:hAnsi="宋体"/>
                <w:sz w:val="24"/>
              </w:rPr>
            </w:pPr>
            <w:r>
              <w:rPr>
                <w:rFonts w:hint="eastAsia" w:hAnsi="宋体"/>
                <w:sz w:val="24"/>
              </w:rPr>
              <w:t>设备名称</w:t>
            </w:r>
          </w:p>
        </w:tc>
        <w:tc>
          <w:tcPr>
            <w:tcW w:w="779" w:type="dxa"/>
            <w:vAlign w:val="center"/>
          </w:tcPr>
          <w:p>
            <w:pPr>
              <w:widowControl/>
              <w:jc w:val="center"/>
              <w:rPr>
                <w:rFonts w:hAnsi="宋体"/>
                <w:sz w:val="24"/>
              </w:rPr>
            </w:pPr>
            <w:r>
              <w:rPr>
                <w:rFonts w:hint="eastAsia" w:hAnsi="宋体"/>
                <w:sz w:val="24"/>
              </w:rPr>
              <w:t>设备</w:t>
            </w:r>
            <w:r>
              <w:rPr>
                <w:rFonts w:hAnsi="宋体"/>
                <w:sz w:val="24"/>
              </w:rPr>
              <w:t>数量</w:t>
            </w:r>
          </w:p>
        </w:tc>
        <w:tc>
          <w:tcPr>
            <w:tcW w:w="6347" w:type="dxa"/>
            <w:vAlign w:val="center"/>
          </w:tcPr>
          <w:p>
            <w:pPr>
              <w:widowControl/>
              <w:jc w:val="center"/>
              <w:rPr>
                <w:rFonts w:hAnsi="宋体"/>
                <w:sz w:val="24"/>
              </w:rPr>
            </w:pPr>
            <w:r>
              <w:rPr>
                <w:rFonts w:hint="eastAsia" w:hAnsi="宋体"/>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63" w:type="dxa"/>
            <w:shd w:val="clear" w:color="auto" w:fill="auto"/>
            <w:vAlign w:val="center"/>
          </w:tcPr>
          <w:p>
            <w:pPr>
              <w:widowControl/>
              <w:jc w:val="center"/>
              <w:rPr>
                <w:rFonts w:hAnsi="宋体"/>
                <w:sz w:val="24"/>
              </w:rPr>
            </w:pPr>
            <w:r>
              <w:rPr>
                <w:rFonts w:hAnsi="宋体"/>
                <w:sz w:val="24"/>
              </w:rPr>
              <w:t>2</w:t>
            </w:r>
          </w:p>
        </w:tc>
        <w:tc>
          <w:tcPr>
            <w:tcW w:w="733" w:type="dxa"/>
            <w:shd w:val="clear" w:color="auto" w:fill="auto"/>
            <w:vAlign w:val="center"/>
          </w:tcPr>
          <w:p>
            <w:pPr>
              <w:widowControl/>
              <w:jc w:val="center"/>
              <w:rPr>
                <w:rFonts w:hAnsi="宋体"/>
                <w:sz w:val="24"/>
              </w:rPr>
            </w:pPr>
            <w:r>
              <w:rPr>
                <w:rFonts w:hint="eastAsia" w:hAnsi="宋体"/>
                <w:sz w:val="24"/>
              </w:rPr>
              <w:t>防火墙</w:t>
            </w:r>
          </w:p>
        </w:tc>
        <w:tc>
          <w:tcPr>
            <w:tcW w:w="779" w:type="dxa"/>
            <w:vAlign w:val="center"/>
          </w:tcPr>
          <w:p>
            <w:pPr>
              <w:widowControl/>
              <w:jc w:val="center"/>
              <w:rPr>
                <w:rFonts w:hAnsi="宋体"/>
                <w:sz w:val="24"/>
              </w:rPr>
            </w:pPr>
            <w:r>
              <w:rPr>
                <w:rFonts w:hint="eastAsia" w:hAnsi="宋体"/>
                <w:sz w:val="24"/>
              </w:rPr>
              <w:t>1</w:t>
            </w:r>
          </w:p>
        </w:tc>
        <w:tc>
          <w:tcPr>
            <w:tcW w:w="6347" w:type="dxa"/>
            <w:vAlign w:val="center"/>
          </w:tcPr>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主机固化千兆电口数量≥8，千兆Combo</w:t>
            </w:r>
            <w:r>
              <w:rPr>
                <w:rFonts w:ascii="宋体" w:hAnsi="宋体"/>
                <w:kern w:val="0"/>
                <w:sz w:val="24"/>
                <w:szCs w:val="20"/>
              </w:rPr>
              <w:t>口</w:t>
            </w:r>
            <w:r>
              <w:rPr>
                <w:rFonts w:hint="eastAsia" w:ascii="宋体" w:hAnsi="宋体"/>
                <w:kern w:val="0"/>
                <w:sz w:val="24"/>
                <w:szCs w:val="20"/>
              </w:rPr>
              <w:t>数量≥4，万兆</w:t>
            </w:r>
            <w:r>
              <w:rPr>
                <w:rFonts w:ascii="宋体" w:hAnsi="宋体"/>
                <w:kern w:val="0"/>
                <w:sz w:val="24"/>
                <w:szCs w:val="20"/>
              </w:rPr>
              <w:t>光口数量≥8</w:t>
            </w:r>
            <w:r>
              <w:rPr>
                <w:rFonts w:hint="eastAsia" w:ascii="宋体" w:hAnsi="宋体"/>
                <w:kern w:val="0"/>
                <w:sz w:val="24"/>
                <w:szCs w:val="20"/>
              </w:rPr>
              <w:t>个，业务</w:t>
            </w:r>
            <w:r>
              <w:rPr>
                <w:rFonts w:ascii="宋体" w:hAnsi="宋体"/>
                <w:kern w:val="0"/>
                <w:sz w:val="24"/>
                <w:szCs w:val="20"/>
              </w:rPr>
              <w:t>扩展槽位≥6</w:t>
            </w:r>
            <w:r>
              <w:rPr>
                <w:rFonts w:hint="eastAsia" w:ascii="宋体" w:hAnsi="宋体"/>
                <w:kern w:val="0"/>
                <w:sz w:val="24"/>
                <w:szCs w:val="20"/>
              </w:rPr>
              <w:t>个。</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实配模块双交流电源，</w:t>
            </w:r>
            <w:r>
              <w:rPr>
                <w:rFonts w:ascii="宋体" w:hAnsi="宋体"/>
                <w:kern w:val="0"/>
                <w:sz w:val="24"/>
                <w:szCs w:val="20"/>
              </w:rPr>
              <w:t>模块冗余</w:t>
            </w:r>
            <w:r>
              <w:rPr>
                <w:rFonts w:hint="eastAsia" w:ascii="宋体" w:hAnsi="宋体"/>
                <w:kern w:val="0"/>
                <w:sz w:val="24"/>
                <w:szCs w:val="20"/>
              </w:rPr>
              <w:t xml:space="preserve">双风扇， </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▲最大并发连接数≥2000万，每秒新建连接数≥500</w:t>
            </w:r>
            <w:r>
              <w:rPr>
                <w:rFonts w:ascii="宋体" w:hAnsi="宋体"/>
                <w:kern w:val="0"/>
                <w:sz w:val="24"/>
                <w:szCs w:val="20"/>
              </w:rPr>
              <w:t>0</w:t>
            </w:r>
            <w:r>
              <w:rPr>
                <w:rFonts w:hint="eastAsia" w:ascii="宋体" w:hAnsi="宋体"/>
                <w:kern w:val="0"/>
                <w:sz w:val="24"/>
                <w:szCs w:val="20"/>
              </w:rPr>
              <w:t>00，整机大包吞吐量≥35Gbps，权威第三方机构的测试报告，</w:t>
            </w:r>
            <w:r>
              <w:rPr>
                <w:rFonts w:ascii="宋体" w:hAnsi="宋体"/>
                <w:kern w:val="0"/>
                <w:sz w:val="24"/>
                <w:szCs w:val="20"/>
              </w:rPr>
              <w:t>并加盖厂商项目授权章</w:t>
            </w:r>
            <w:r>
              <w:rPr>
                <w:rFonts w:hint="eastAsia" w:ascii="宋体" w:hAnsi="宋体"/>
                <w:kern w:val="0"/>
                <w:sz w:val="24"/>
                <w:szCs w:val="20"/>
              </w:rPr>
              <w:t>；</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所投设备须支持虚拟防火墙功能：支持虚拟防火墙的创建、启动、关闭、删除功能；可独立分配CPU/内存等计算资源；虚拟防火墙可独立管理，独立保存配置；虚拟防火墙具备独立会话管理、NAT、路由等功能；</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实现高性能IPSec、L2TP、GRE VPN、SSL VPN等功能。</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实现一对一、多对一、多对多等多种形式的NAT，实现DNS、FTP、H.323等多种NAT ALG功能</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实现</w:t>
            </w:r>
            <w:r>
              <w:rPr>
                <w:rFonts w:ascii="宋体" w:hAnsi="宋体"/>
                <w:kern w:val="0"/>
                <w:sz w:val="24"/>
                <w:szCs w:val="20"/>
              </w:rPr>
              <w:t>安全区域划分</w:t>
            </w:r>
            <w:r>
              <w:rPr>
                <w:rFonts w:hint="eastAsia" w:ascii="宋体" w:hAnsi="宋体"/>
                <w:kern w:val="0"/>
                <w:sz w:val="24"/>
                <w:szCs w:val="20"/>
              </w:rPr>
              <w:t>，访问控制列表，配置对象及策略，动态包过滤，黑名单，</w:t>
            </w:r>
            <w:r>
              <w:rPr>
                <w:rFonts w:ascii="宋体" w:hAnsi="宋体"/>
                <w:kern w:val="0"/>
                <w:sz w:val="24"/>
                <w:szCs w:val="20"/>
              </w:rPr>
              <w:t>MAC和IP绑定功能</w:t>
            </w:r>
            <w:r>
              <w:rPr>
                <w:rFonts w:hint="eastAsia" w:ascii="宋体" w:hAnsi="宋体"/>
                <w:kern w:val="0"/>
                <w:sz w:val="24"/>
                <w:szCs w:val="20"/>
              </w:rPr>
              <w:t>，</w:t>
            </w:r>
            <w:r>
              <w:rPr>
                <w:rFonts w:ascii="宋体" w:hAnsi="宋体"/>
                <w:kern w:val="0"/>
                <w:sz w:val="24"/>
                <w:szCs w:val="20"/>
              </w:rPr>
              <w:t>基于MAC的访问控制列表</w:t>
            </w:r>
            <w:r>
              <w:rPr>
                <w:rFonts w:hint="eastAsia" w:ascii="宋体" w:hAnsi="宋体"/>
                <w:kern w:val="0"/>
                <w:sz w:val="24"/>
                <w:szCs w:val="20"/>
              </w:rPr>
              <w:t>，</w:t>
            </w:r>
            <w:r>
              <w:rPr>
                <w:rFonts w:ascii="宋体" w:hAnsi="宋体"/>
                <w:kern w:val="0"/>
                <w:sz w:val="24"/>
                <w:szCs w:val="20"/>
              </w:rPr>
              <w:t>802.1q VLAN 透传</w:t>
            </w:r>
            <w:r>
              <w:rPr>
                <w:rFonts w:hint="eastAsia" w:ascii="宋体" w:hAnsi="宋体"/>
                <w:kern w:val="0"/>
                <w:sz w:val="24"/>
                <w:szCs w:val="20"/>
              </w:rPr>
              <w:t>等功能。</w:t>
            </w:r>
          </w:p>
          <w:p>
            <w:pPr>
              <w:pStyle w:val="6"/>
              <w:widowControl/>
              <w:numPr>
                <w:ilvl w:val="0"/>
                <w:numId w:val="3"/>
              </w:numPr>
              <w:ind w:firstLineChars="0"/>
              <w:rPr>
                <w:rFonts w:ascii="宋体" w:hAnsi="宋体"/>
                <w:kern w:val="0"/>
                <w:sz w:val="24"/>
                <w:szCs w:val="20"/>
              </w:rPr>
            </w:pPr>
            <w:r>
              <w:rPr>
                <w:rFonts w:ascii="宋体" w:hAnsi="宋体"/>
                <w:kern w:val="0"/>
                <w:sz w:val="24"/>
                <w:szCs w:val="20"/>
              </w:rPr>
              <w:t>实现对黑客攻击、蠕虫/病毒、木马、恶意代码、间谍软件/广告软件等攻击的防御</w:t>
            </w:r>
            <w:r>
              <w:rPr>
                <w:rFonts w:hint="eastAsia" w:ascii="宋体" w:hAnsi="宋体"/>
                <w:kern w:val="0"/>
                <w:sz w:val="24"/>
                <w:szCs w:val="20"/>
              </w:rPr>
              <w:t>，</w:t>
            </w:r>
            <w:r>
              <w:rPr>
                <w:rFonts w:ascii="宋体" w:hAnsi="宋体"/>
                <w:kern w:val="0"/>
                <w:sz w:val="24"/>
                <w:szCs w:val="20"/>
              </w:rPr>
              <w:t>实现缓冲区溢出、SQL注入、IDS/IPS逃逸等攻击的防御</w:t>
            </w:r>
            <w:r>
              <w:rPr>
                <w:rFonts w:hint="eastAsia" w:ascii="宋体" w:hAnsi="宋体"/>
                <w:kern w:val="0"/>
                <w:sz w:val="24"/>
                <w:szCs w:val="20"/>
              </w:rPr>
              <w:t>，</w:t>
            </w:r>
            <w:r>
              <w:rPr>
                <w:rFonts w:ascii="宋体" w:hAnsi="宋体"/>
                <w:kern w:val="0"/>
                <w:sz w:val="24"/>
                <w:szCs w:val="20"/>
              </w:rPr>
              <w:t>实现攻击特征库的分类</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▲为了便于网络管理、维护及网络安全防护,所投产品具有中国信息安全测评中心颁发的《信息技术产品安全测评EAL3+级》证书，须提供证书复印件，并加盖原厂商项目授权章；</w:t>
            </w:r>
          </w:p>
          <w:p>
            <w:pPr>
              <w:pStyle w:val="6"/>
              <w:widowControl/>
              <w:numPr>
                <w:ilvl w:val="0"/>
                <w:numId w:val="3"/>
              </w:numPr>
              <w:ind w:firstLineChars="0"/>
              <w:rPr>
                <w:rFonts w:ascii="宋体" w:hAnsi="宋体"/>
                <w:kern w:val="0"/>
                <w:sz w:val="24"/>
                <w:szCs w:val="20"/>
              </w:rPr>
            </w:pPr>
            <w:r>
              <w:rPr>
                <w:rFonts w:hint="eastAsia" w:ascii="宋体" w:hAnsi="宋体"/>
                <w:kern w:val="0"/>
                <w:sz w:val="24"/>
                <w:szCs w:val="20"/>
              </w:rPr>
              <w:t>▲为保证投标产品厂商在安全漏洞方面的整体研究水平和及时预防能力。具备网络安全漏洞统一收集验证、预警发布及应急处置体系，进而提高产品的安全性。产品生产厂商须成为国家信息安全漏洞共享平台（CNNVD）一级技术支撑单位和中国国家信息安全漏洞库（CNVD）技术组成员(提供相应证明材料并加盖生产厂商项目授权章)，</w:t>
            </w:r>
            <w:r>
              <w:rPr>
                <w:rFonts w:ascii="宋体" w:hAnsi="宋体"/>
                <w:kern w:val="0"/>
                <w:sz w:val="24"/>
                <w:szCs w:val="20"/>
              </w:rPr>
              <w:t>提供</w:t>
            </w:r>
            <w:r>
              <w:rPr>
                <w:rFonts w:hint="eastAsia" w:ascii="宋体" w:hAnsi="宋体"/>
                <w:kern w:val="0"/>
                <w:sz w:val="24"/>
                <w:szCs w:val="20"/>
              </w:rPr>
              <w:t>证明</w:t>
            </w:r>
            <w:r>
              <w:rPr>
                <w:rFonts w:ascii="宋体" w:hAnsi="宋体"/>
                <w:kern w:val="0"/>
                <w:sz w:val="24"/>
                <w:szCs w:val="20"/>
              </w:rPr>
              <w:t>材料</w:t>
            </w:r>
            <w:r>
              <w:rPr>
                <w:rFonts w:hint="eastAsia" w:ascii="宋体" w:hAnsi="宋体"/>
                <w:kern w:val="0"/>
                <w:sz w:val="24"/>
                <w:szCs w:val="20"/>
              </w:rPr>
              <w:t>并加盖生产厂商项目授权章；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522" w:type="dxa"/>
            <w:gridSpan w:val="4"/>
            <w:shd w:val="clear" w:color="auto" w:fill="auto"/>
            <w:vAlign w:val="center"/>
          </w:tcPr>
          <w:p>
            <w:pPr>
              <w:pStyle w:val="6"/>
              <w:widowControl/>
              <w:ind w:firstLine="0" w:firstLineChars="0"/>
              <w:rPr>
                <w:rFonts w:ascii="宋体" w:hAnsi="宋体"/>
                <w:kern w:val="0"/>
                <w:sz w:val="24"/>
                <w:szCs w:val="20"/>
              </w:rPr>
            </w:pPr>
            <w:r>
              <w:rPr>
                <w:rFonts w:hint="eastAsia" w:ascii="宋体" w:hAnsi="宋体"/>
                <w:kern w:val="0"/>
                <w:sz w:val="24"/>
                <w:szCs w:val="20"/>
              </w:rPr>
              <w:t>▲如此设备在实际使用中性能不能满足工作需要，投标方同意免费升级符合采购方实际工作需求的设备。</w:t>
            </w:r>
          </w:p>
        </w:tc>
      </w:tr>
    </w:tbl>
    <w:p>
      <w:pPr>
        <w:numPr>
          <w:ilvl w:val="0"/>
          <w:numId w:val="1"/>
        </w:numPr>
        <w:outlineLvl w:val="0"/>
        <w:rPr>
          <w:rFonts w:hAnsi="宋体"/>
          <w:sz w:val="24"/>
        </w:rPr>
      </w:pPr>
      <w:r>
        <w:rPr>
          <w:rFonts w:hint="eastAsia" w:hAnsi="宋体"/>
          <w:sz w:val="24"/>
        </w:rPr>
        <w:t>核心交换机1台、参数要求如下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33"/>
        <w:gridCol w:w="837"/>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63" w:type="dxa"/>
            <w:shd w:val="clear" w:color="auto" w:fill="auto"/>
            <w:vAlign w:val="center"/>
          </w:tcPr>
          <w:p>
            <w:pPr>
              <w:widowControl/>
              <w:jc w:val="center"/>
              <w:rPr>
                <w:rFonts w:hAnsi="宋体"/>
                <w:sz w:val="24"/>
              </w:rPr>
            </w:pPr>
            <w:r>
              <w:rPr>
                <w:rFonts w:hint="eastAsia" w:hAnsi="宋体"/>
                <w:sz w:val="24"/>
              </w:rPr>
              <w:t>序号</w:t>
            </w:r>
          </w:p>
        </w:tc>
        <w:tc>
          <w:tcPr>
            <w:tcW w:w="733" w:type="dxa"/>
            <w:shd w:val="clear" w:color="auto" w:fill="auto"/>
            <w:vAlign w:val="center"/>
          </w:tcPr>
          <w:p>
            <w:pPr>
              <w:widowControl/>
              <w:jc w:val="center"/>
              <w:rPr>
                <w:rFonts w:hAnsi="宋体"/>
                <w:sz w:val="24"/>
              </w:rPr>
            </w:pPr>
            <w:r>
              <w:rPr>
                <w:rFonts w:hint="eastAsia" w:hAnsi="宋体"/>
                <w:sz w:val="24"/>
              </w:rPr>
              <w:t>设备名称</w:t>
            </w:r>
          </w:p>
        </w:tc>
        <w:tc>
          <w:tcPr>
            <w:tcW w:w="837" w:type="dxa"/>
            <w:vAlign w:val="center"/>
          </w:tcPr>
          <w:p>
            <w:pPr>
              <w:widowControl/>
              <w:jc w:val="center"/>
              <w:rPr>
                <w:rFonts w:hAnsi="宋体"/>
                <w:sz w:val="24"/>
              </w:rPr>
            </w:pPr>
            <w:r>
              <w:rPr>
                <w:rFonts w:hint="eastAsia" w:hAnsi="宋体"/>
                <w:sz w:val="24"/>
              </w:rPr>
              <w:t>设备</w:t>
            </w:r>
            <w:r>
              <w:rPr>
                <w:rFonts w:hAnsi="宋体"/>
                <w:sz w:val="24"/>
              </w:rPr>
              <w:t>数量</w:t>
            </w:r>
          </w:p>
        </w:tc>
        <w:tc>
          <w:tcPr>
            <w:tcW w:w="6289" w:type="dxa"/>
            <w:vAlign w:val="center"/>
          </w:tcPr>
          <w:p>
            <w:pPr>
              <w:widowControl/>
              <w:jc w:val="center"/>
              <w:rPr>
                <w:rFonts w:hAnsi="宋体"/>
                <w:sz w:val="24"/>
              </w:rPr>
            </w:pPr>
            <w:r>
              <w:rPr>
                <w:rFonts w:hint="eastAsia" w:hAnsi="宋体"/>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63" w:type="dxa"/>
            <w:shd w:val="clear" w:color="auto" w:fill="auto"/>
            <w:vAlign w:val="center"/>
          </w:tcPr>
          <w:p>
            <w:pPr>
              <w:widowControl/>
              <w:jc w:val="center"/>
              <w:rPr>
                <w:rFonts w:hAnsi="宋体"/>
                <w:sz w:val="24"/>
              </w:rPr>
            </w:pPr>
            <w:r>
              <w:rPr>
                <w:rFonts w:hAnsi="宋体"/>
                <w:sz w:val="24"/>
              </w:rPr>
              <w:t>3</w:t>
            </w:r>
          </w:p>
        </w:tc>
        <w:tc>
          <w:tcPr>
            <w:tcW w:w="733" w:type="dxa"/>
            <w:shd w:val="clear" w:color="auto" w:fill="auto"/>
            <w:vAlign w:val="center"/>
          </w:tcPr>
          <w:p>
            <w:pPr>
              <w:widowControl/>
              <w:jc w:val="center"/>
              <w:rPr>
                <w:rFonts w:hAnsi="宋体"/>
                <w:sz w:val="24"/>
              </w:rPr>
            </w:pPr>
            <w:r>
              <w:rPr>
                <w:rFonts w:hint="eastAsia" w:hAnsi="宋体"/>
                <w:sz w:val="24"/>
              </w:rPr>
              <w:t>核心</w:t>
            </w:r>
            <w:r>
              <w:rPr>
                <w:rFonts w:hAnsi="宋体"/>
                <w:sz w:val="24"/>
              </w:rPr>
              <w:t>交换机</w:t>
            </w:r>
          </w:p>
        </w:tc>
        <w:tc>
          <w:tcPr>
            <w:tcW w:w="837" w:type="dxa"/>
            <w:vAlign w:val="center"/>
          </w:tcPr>
          <w:p>
            <w:pPr>
              <w:widowControl/>
              <w:jc w:val="center"/>
              <w:rPr>
                <w:rFonts w:hAnsi="宋体"/>
                <w:sz w:val="24"/>
              </w:rPr>
            </w:pPr>
            <w:r>
              <w:rPr>
                <w:rFonts w:hAnsi="宋体"/>
                <w:sz w:val="24"/>
              </w:rPr>
              <w:t>1</w:t>
            </w:r>
          </w:p>
        </w:tc>
        <w:tc>
          <w:tcPr>
            <w:tcW w:w="6289" w:type="dxa"/>
            <w:vAlign w:val="center"/>
          </w:tcPr>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框式交换机</w:t>
            </w:r>
            <w:r>
              <w:rPr>
                <w:rFonts w:ascii="宋体" w:hAnsi="宋体"/>
                <w:kern w:val="0"/>
                <w:sz w:val="24"/>
                <w:szCs w:val="20"/>
              </w:rPr>
              <w:t>，</w:t>
            </w:r>
            <w:r>
              <w:rPr>
                <w:rFonts w:hint="eastAsia" w:ascii="宋体" w:hAnsi="宋体"/>
                <w:kern w:val="0"/>
                <w:sz w:val="24"/>
                <w:szCs w:val="20"/>
              </w:rPr>
              <w:t>实配双主控，千兆光口≥48，万兆光口≥8，配置</w:t>
            </w:r>
            <w:r>
              <w:rPr>
                <w:rFonts w:ascii="宋体" w:hAnsi="宋体"/>
                <w:kern w:val="0"/>
                <w:sz w:val="24"/>
                <w:szCs w:val="20"/>
              </w:rPr>
              <w:t>冗余</w:t>
            </w:r>
            <w:r>
              <w:rPr>
                <w:rFonts w:hint="eastAsia" w:ascii="宋体" w:hAnsi="宋体"/>
                <w:kern w:val="0"/>
                <w:sz w:val="24"/>
                <w:szCs w:val="20"/>
              </w:rPr>
              <w:t>电源模块</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 xml:space="preserve">交换容量 ≥ </w:t>
            </w:r>
            <w:r>
              <w:rPr>
                <w:rFonts w:ascii="宋体" w:hAnsi="宋体"/>
                <w:kern w:val="0"/>
                <w:sz w:val="24"/>
                <w:szCs w:val="20"/>
              </w:rPr>
              <w:t>19</w:t>
            </w:r>
            <w:r>
              <w:rPr>
                <w:rFonts w:hint="eastAsia" w:ascii="宋体" w:hAnsi="宋体"/>
                <w:kern w:val="0"/>
                <w:sz w:val="24"/>
                <w:szCs w:val="20"/>
              </w:rPr>
              <w:t>Tbps，包转发率≥2880Mpps;</w:t>
            </w:r>
          </w:p>
          <w:p>
            <w:pPr>
              <w:pStyle w:val="6"/>
              <w:numPr>
                <w:ilvl w:val="0"/>
                <w:numId w:val="4"/>
              </w:numPr>
              <w:ind w:firstLineChars="0"/>
              <w:rPr>
                <w:rFonts w:ascii="宋体" w:hAnsi="宋体"/>
                <w:kern w:val="0"/>
                <w:sz w:val="24"/>
                <w:szCs w:val="20"/>
              </w:rPr>
            </w:pPr>
            <w:r>
              <w:rPr>
                <w:rFonts w:hint="eastAsia" w:ascii="宋体" w:hAnsi="宋体"/>
                <w:kern w:val="0"/>
                <w:sz w:val="24"/>
                <w:szCs w:val="20"/>
              </w:rPr>
              <w:t>支持EPON OLT接口，权威第三方机构的测试报告，并加盖厂商项目授权章；</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▲MAC/Route容量 MAC地址表≥1</w:t>
            </w:r>
            <w:r>
              <w:rPr>
                <w:rFonts w:ascii="宋体" w:hAnsi="宋体"/>
                <w:kern w:val="0"/>
                <w:sz w:val="24"/>
                <w:szCs w:val="20"/>
              </w:rPr>
              <w:t>M</w:t>
            </w:r>
            <w:r>
              <w:rPr>
                <w:rFonts w:hint="eastAsia" w:ascii="宋体" w:hAnsi="宋体"/>
                <w:kern w:val="0"/>
                <w:sz w:val="24"/>
                <w:szCs w:val="20"/>
              </w:rPr>
              <w:t>，IPv4</w:t>
            </w:r>
            <w:r>
              <w:rPr>
                <w:rFonts w:ascii="宋体" w:hAnsi="宋体"/>
                <w:kern w:val="0"/>
                <w:sz w:val="24"/>
                <w:szCs w:val="20"/>
              </w:rPr>
              <w:t xml:space="preserve"> F</w:t>
            </w:r>
            <w:r>
              <w:rPr>
                <w:rFonts w:hint="eastAsia" w:ascii="宋体" w:hAnsi="宋体"/>
                <w:kern w:val="0"/>
                <w:sz w:val="24"/>
                <w:szCs w:val="20"/>
              </w:rPr>
              <w:t>IB容量≥3</w:t>
            </w:r>
            <w:r>
              <w:rPr>
                <w:rFonts w:ascii="宋体" w:hAnsi="宋体"/>
                <w:kern w:val="0"/>
                <w:sz w:val="24"/>
                <w:szCs w:val="20"/>
              </w:rPr>
              <w:t>M</w:t>
            </w:r>
            <w:r>
              <w:rPr>
                <w:rFonts w:hint="eastAsia" w:ascii="宋体" w:hAnsi="宋体"/>
                <w:kern w:val="0"/>
                <w:sz w:val="24"/>
                <w:szCs w:val="20"/>
              </w:rPr>
              <w:t xml:space="preserve">,IPv6 </w:t>
            </w:r>
            <w:r>
              <w:rPr>
                <w:rFonts w:ascii="宋体" w:hAnsi="宋体"/>
                <w:kern w:val="0"/>
                <w:sz w:val="24"/>
                <w:szCs w:val="20"/>
              </w:rPr>
              <w:t>FIB</w:t>
            </w:r>
            <w:r>
              <w:rPr>
                <w:rFonts w:hint="eastAsia" w:ascii="宋体" w:hAnsi="宋体"/>
                <w:kern w:val="0"/>
                <w:sz w:val="24"/>
                <w:szCs w:val="20"/>
              </w:rPr>
              <w:t>容量≥1</w:t>
            </w:r>
            <w:r>
              <w:rPr>
                <w:rFonts w:ascii="宋体" w:hAnsi="宋体"/>
                <w:kern w:val="0"/>
                <w:sz w:val="24"/>
                <w:szCs w:val="20"/>
              </w:rPr>
              <w:t>M</w:t>
            </w:r>
            <w:r>
              <w:rPr>
                <w:rFonts w:hint="eastAsia" w:ascii="宋体" w:hAnsi="宋体"/>
                <w:kern w:val="0"/>
                <w:sz w:val="24"/>
                <w:szCs w:val="20"/>
              </w:rPr>
              <w:t>；</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多虚一技术(N:1)，支持4框虚拟化技术，</w:t>
            </w:r>
            <w:r>
              <w:rPr>
                <w:rFonts w:ascii="宋体" w:hAnsi="宋体"/>
                <w:kern w:val="0"/>
                <w:sz w:val="24"/>
                <w:szCs w:val="20"/>
              </w:rPr>
              <w:t>支持</w:t>
            </w:r>
            <w:r>
              <w:rPr>
                <w:rFonts w:hint="eastAsia" w:ascii="宋体" w:hAnsi="宋体"/>
                <w:kern w:val="0"/>
                <w:sz w:val="24"/>
                <w:szCs w:val="20"/>
              </w:rPr>
              <w:t>一虚多技术（1:N），支持多虚一技术和一虚多技术的配合使用</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安全板卡支持安全插卡扩展，支持IPS、防病毒、应用识别、SSL VPN功能；</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支持WLAN配置</w:t>
            </w:r>
            <w:r>
              <w:rPr>
                <w:rFonts w:ascii="宋体" w:hAnsi="宋体"/>
                <w:kern w:val="0"/>
                <w:sz w:val="24"/>
                <w:szCs w:val="20"/>
              </w:rPr>
              <w:t>，</w:t>
            </w:r>
            <w:r>
              <w:rPr>
                <w:rFonts w:hint="eastAsia" w:ascii="宋体" w:hAnsi="宋体"/>
                <w:kern w:val="0"/>
                <w:sz w:val="24"/>
                <w:szCs w:val="20"/>
              </w:rPr>
              <w:t>提供</w:t>
            </w:r>
            <w:r>
              <w:rPr>
                <w:rFonts w:ascii="宋体" w:hAnsi="宋体"/>
                <w:kern w:val="0"/>
                <w:sz w:val="24"/>
                <w:szCs w:val="20"/>
              </w:rPr>
              <w:t>官网配置手册截图和链接</w:t>
            </w:r>
            <w:r>
              <w:rPr>
                <w:rFonts w:hint="eastAsia" w:ascii="宋体" w:hAnsi="宋体"/>
                <w:kern w:val="0"/>
                <w:sz w:val="24"/>
                <w:szCs w:val="20"/>
              </w:rPr>
              <w:t>，支持</w:t>
            </w:r>
            <w:r>
              <w:rPr>
                <w:rFonts w:ascii="宋体" w:hAnsi="宋体"/>
                <w:kern w:val="0"/>
                <w:sz w:val="24"/>
                <w:szCs w:val="20"/>
              </w:rPr>
              <w:t>原生</w:t>
            </w:r>
            <w:r>
              <w:rPr>
                <w:rFonts w:hint="eastAsia" w:ascii="宋体" w:hAnsi="宋体"/>
                <w:kern w:val="0"/>
                <w:sz w:val="24"/>
                <w:szCs w:val="20"/>
              </w:rPr>
              <w:t>的</w:t>
            </w:r>
            <w:r>
              <w:rPr>
                <w:rFonts w:ascii="宋体" w:hAnsi="宋体"/>
                <w:kern w:val="0"/>
                <w:sz w:val="24"/>
                <w:szCs w:val="20"/>
              </w:rPr>
              <w:t>无线</w:t>
            </w:r>
            <w:r>
              <w:rPr>
                <w:rFonts w:hint="eastAsia" w:ascii="宋体" w:hAnsi="宋体"/>
                <w:kern w:val="0"/>
                <w:sz w:val="24"/>
                <w:szCs w:val="20"/>
              </w:rPr>
              <w:t>AC功能</w:t>
            </w:r>
            <w:r>
              <w:rPr>
                <w:rFonts w:ascii="宋体" w:hAnsi="宋体"/>
                <w:kern w:val="0"/>
                <w:sz w:val="24"/>
                <w:szCs w:val="20"/>
              </w:rPr>
              <w:t>，</w:t>
            </w:r>
            <w:r>
              <w:rPr>
                <w:rFonts w:hint="eastAsia" w:ascii="宋体" w:hAnsi="宋体"/>
                <w:kern w:val="0"/>
                <w:sz w:val="24"/>
                <w:szCs w:val="20"/>
              </w:rPr>
              <w:t>无需</w:t>
            </w:r>
            <w:r>
              <w:rPr>
                <w:rFonts w:ascii="宋体" w:hAnsi="宋体"/>
                <w:kern w:val="0"/>
                <w:sz w:val="24"/>
                <w:szCs w:val="20"/>
              </w:rPr>
              <w:t>独立的</w:t>
            </w:r>
            <w:r>
              <w:rPr>
                <w:rFonts w:hint="eastAsia" w:ascii="宋体" w:hAnsi="宋体"/>
                <w:kern w:val="0"/>
                <w:sz w:val="24"/>
                <w:szCs w:val="20"/>
              </w:rPr>
              <w:t>AC板卡或带AC功能</w:t>
            </w:r>
            <w:r>
              <w:rPr>
                <w:rFonts w:ascii="宋体" w:hAnsi="宋体"/>
                <w:kern w:val="0"/>
                <w:sz w:val="24"/>
                <w:szCs w:val="20"/>
              </w:rPr>
              <w:t>的接口板</w:t>
            </w:r>
            <w:r>
              <w:rPr>
                <w:rFonts w:hint="eastAsia" w:ascii="宋体" w:hAnsi="宋体"/>
                <w:kern w:val="0"/>
                <w:sz w:val="24"/>
                <w:szCs w:val="20"/>
              </w:rPr>
              <w:t>，</w:t>
            </w:r>
            <w:r>
              <w:rPr>
                <w:rFonts w:ascii="宋体" w:hAnsi="宋体"/>
                <w:kern w:val="0"/>
                <w:sz w:val="24"/>
                <w:szCs w:val="20"/>
              </w:rPr>
              <w:t>即支持</w:t>
            </w:r>
            <w:r>
              <w:rPr>
                <w:rFonts w:hint="eastAsia" w:ascii="宋体" w:hAnsi="宋体"/>
                <w:kern w:val="0"/>
                <w:sz w:val="24"/>
                <w:szCs w:val="20"/>
              </w:rPr>
              <w:t>无线AP管理</w:t>
            </w:r>
            <w:r>
              <w:rPr>
                <w:rFonts w:ascii="宋体" w:hAnsi="宋体"/>
                <w:kern w:val="0"/>
                <w:sz w:val="24"/>
                <w:szCs w:val="20"/>
              </w:rPr>
              <w:t xml:space="preserve">功能 </w:t>
            </w:r>
          </w:p>
          <w:p>
            <w:pPr>
              <w:pStyle w:val="6"/>
              <w:widowControl/>
              <w:numPr>
                <w:ilvl w:val="0"/>
                <w:numId w:val="4"/>
              </w:numPr>
              <w:ind w:firstLineChars="0"/>
              <w:rPr>
                <w:rFonts w:ascii="宋体" w:hAnsi="宋体"/>
                <w:kern w:val="0"/>
                <w:sz w:val="24"/>
                <w:szCs w:val="20"/>
              </w:rPr>
            </w:pPr>
            <w:r>
              <w:rPr>
                <w:rFonts w:hint="eastAsia" w:ascii="宋体" w:hAnsi="宋体"/>
                <w:kern w:val="0"/>
                <w:sz w:val="24"/>
                <w:szCs w:val="20"/>
              </w:rPr>
              <w:t>支持IEEE 802.1ae介质访问控制安全技术MAC</w:t>
            </w:r>
            <w:r>
              <w:rPr>
                <w:rFonts w:ascii="宋体" w:hAnsi="宋体"/>
                <w:kern w:val="0"/>
                <w:sz w:val="24"/>
                <w:szCs w:val="20"/>
              </w:rPr>
              <w:t>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522" w:type="dxa"/>
            <w:gridSpan w:val="4"/>
            <w:shd w:val="clear" w:color="auto" w:fill="auto"/>
            <w:vAlign w:val="center"/>
          </w:tcPr>
          <w:p>
            <w:pPr>
              <w:pStyle w:val="6"/>
              <w:widowControl/>
              <w:ind w:firstLine="0" w:firstLineChars="0"/>
              <w:rPr>
                <w:rFonts w:ascii="宋体" w:hAnsi="宋体"/>
                <w:kern w:val="0"/>
                <w:sz w:val="24"/>
                <w:szCs w:val="20"/>
              </w:rPr>
            </w:pPr>
            <w:r>
              <w:rPr>
                <w:rFonts w:hint="eastAsia" w:ascii="宋体" w:hAnsi="宋体"/>
                <w:kern w:val="0"/>
                <w:sz w:val="24"/>
                <w:szCs w:val="20"/>
              </w:rPr>
              <w:t>▲如此设备在实际使用中性能不能满足工作需要，投标方同意免费升级符合采购方实际工作需求的设备。</w:t>
            </w:r>
          </w:p>
        </w:tc>
      </w:tr>
    </w:tbl>
    <w:p>
      <w:pPr>
        <w:spacing w:line="420" w:lineRule="exact"/>
        <w:contextualSpacing/>
        <w:outlineLvl w:val="0"/>
        <w:rPr>
          <w:rFonts w:hAnsi="宋体"/>
          <w:b/>
          <w:sz w:val="24"/>
          <w:szCs w:val="24"/>
        </w:rPr>
      </w:pPr>
      <w:r>
        <w:rPr>
          <w:rFonts w:hint="eastAsia" w:hAnsi="宋体"/>
          <w:b/>
          <w:sz w:val="24"/>
          <w:szCs w:val="24"/>
        </w:rPr>
        <w:t>2.3、技术要求</w:t>
      </w:r>
    </w:p>
    <w:p>
      <w:pPr>
        <w:spacing w:line="420" w:lineRule="exact"/>
        <w:ind w:firstLine="480" w:firstLineChars="200"/>
        <w:contextualSpacing/>
        <w:rPr>
          <w:rFonts w:hAnsi="宋体"/>
          <w:sz w:val="24"/>
          <w:szCs w:val="24"/>
        </w:rPr>
      </w:pPr>
      <w:r>
        <w:rPr>
          <w:rFonts w:hint="eastAsia" w:hAnsi="宋体"/>
          <w:sz w:val="24"/>
          <w:szCs w:val="24"/>
        </w:rPr>
        <w:t>（1）投标人提供的网络必须具有高可靠性，保证海南省图书馆数据共享系统的正常运行，具有完备的网络健康保障及运营支持体系。</w:t>
      </w:r>
    </w:p>
    <w:p>
      <w:pPr>
        <w:spacing w:line="420" w:lineRule="exact"/>
        <w:ind w:firstLine="480" w:firstLineChars="200"/>
        <w:contextualSpacing/>
        <w:rPr>
          <w:rFonts w:hAnsi="宋体"/>
          <w:sz w:val="24"/>
          <w:szCs w:val="24"/>
        </w:rPr>
      </w:pPr>
      <w:r>
        <w:rPr>
          <w:rFonts w:hint="eastAsia" w:hAnsi="宋体"/>
          <w:sz w:val="24"/>
          <w:szCs w:val="24"/>
        </w:rPr>
        <w:t>（2）投标人提供的网络必须具有很强的安全保密性，确保海南省图书馆数据业务传输的安全与保密，具有完善的安全保障措施。</w:t>
      </w:r>
    </w:p>
    <w:p>
      <w:pPr>
        <w:spacing w:line="420" w:lineRule="exact"/>
        <w:ind w:firstLine="480" w:firstLineChars="200"/>
        <w:contextualSpacing/>
        <w:rPr>
          <w:rFonts w:hAnsi="宋体"/>
          <w:sz w:val="24"/>
          <w:szCs w:val="24"/>
        </w:rPr>
      </w:pPr>
      <w:r>
        <w:rPr>
          <w:rFonts w:hint="eastAsia" w:hAnsi="宋体"/>
          <w:sz w:val="24"/>
          <w:szCs w:val="24"/>
        </w:rPr>
        <w:t>（3）投标人提供的网络必须具备可扩展能力，能够适应海南省图书馆办公室网络结构的变化，具有灵活的伸缩能力，满足业务发展的需要。</w:t>
      </w:r>
    </w:p>
    <w:p>
      <w:pPr>
        <w:spacing w:line="420" w:lineRule="exact"/>
        <w:ind w:firstLine="480" w:firstLineChars="200"/>
        <w:contextualSpacing/>
        <w:rPr>
          <w:rFonts w:hAnsi="宋体"/>
          <w:sz w:val="24"/>
          <w:szCs w:val="24"/>
        </w:rPr>
      </w:pPr>
      <w:r>
        <w:rPr>
          <w:rFonts w:hint="eastAsia" w:hAnsi="宋体"/>
          <w:sz w:val="24"/>
          <w:szCs w:val="24"/>
        </w:rPr>
        <w:t>（4）海南省图书馆数据中心机房数字电路汇聚须采用双路由结构，实现环状保护。</w:t>
      </w:r>
    </w:p>
    <w:p>
      <w:pPr>
        <w:spacing w:line="420" w:lineRule="exact"/>
        <w:ind w:firstLine="480" w:firstLineChars="200"/>
        <w:contextualSpacing/>
        <w:rPr>
          <w:rFonts w:hAnsi="宋体"/>
          <w:sz w:val="24"/>
          <w:szCs w:val="24"/>
        </w:rPr>
      </w:pPr>
      <w:r>
        <w:rPr>
          <w:rFonts w:hint="eastAsia" w:hAnsi="宋体"/>
          <w:sz w:val="24"/>
          <w:szCs w:val="24"/>
        </w:rPr>
        <w:t>（5）安装线路不能对现有业务网络造成影响，保障业务平滑过渡。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540E"/>
    <w:multiLevelType w:val="multilevel"/>
    <w:tmpl w:val="21F454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5E0097"/>
    <w:multiLevelType w:val="multilevel"/>
    <w:tmpl w:val="445E009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182188"/>
    <w:multiLevelType w:val="multilevel"/>
    <w:tmpl w:val="4E18218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41A5BB5"/>
    <w:multiLevelType w:val="multilevel"/>
    <w:tmpl w:val="741A5B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56224"/>
    <w:rsid w:val="3935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0"/>
      <w:lang w:val="en-US" w:eastAsia="zh-CN" w:bidi="ar-SA"/>
    </w:rPr>
  </w:style>
  <w:style w:type="paragraph" w:styleId="2">
    <w:name w:val="heading 1"/>
    <w:basedOn w:val="1"/>
    <w:next w:val="1"/>
    <w:qFormat/>
    <w:uiPriority w:val="99"/>
    <w:pPr>
      <w:keepNext/>
      <w:keepLines/>
      <w:autoSpaceDE w:val="0"/>
      <w:autoSpaceDN w:val="0"/>
      <w:adjustRightInd w:val="0"/>
      <w:spacing w:before="240" w:after="120" w:line="300" w:lineRule="auto"/>
      <w:jc w:val="center"/>
      <w:outlineLvl w:val="0"/>
    </w:pPr>
    <w:rPr>
      <w:b/>
      <w:kern w:val="44"/>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hAnsiTheme="minorHAnsi" w:cstheme="minorBidi"/>
      <w:kern w:val="2"/>
      <w:sz w:val="24"/>
      <w:szCs w:val="22"/>
    </w:rPr>
  </w:style>
  <w:style w:type="paragraph" w:styleId="6">
    <w:name w:val="List Paragraph"/>
    <w:basedOn w:val="1"/>
    <w:qFormat/>
    <w:uiPriority w:val="0"/>
    <w:pPr>
      <w:ind w:firstLine="420" w:firstLineChars="200"/>
    </w:pPr>
    <w:rPr>
      <w:rFonts w:ascii="Calibri" w:hAnsi="Calibri"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2019-06-13T01:41:00Z</dcterms:created>
  <dc:creator>Le</dc:creator>
  <cp:lastModifiedBy>Le</cp:lastModifiedBy>
  <dcterms:modified xsi:type="dcterms:W3CDTF">2019-06-13T01:47:22Z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