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58" w:tblpY="919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876"/>
        <w:gridCol w:w="1318"/>
        <w:gridCol w:w="1479"/>
        <w:gridCol w:w="568"/>
        <w:gridCol w:w="588"/>
        <w:gridCol w:w="126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5"/>
              <w:spacing w:beforeLines="30" w:afterLines="30" w:line="440" w:lineRule="exact"/>
              <w:jc w:val="center"/>
              <w:rPr>
                <w:rFonts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  <w:t>序号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货物或服务名称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品牌规格型号（服务可不填）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产地/制造厂商（服务可不填）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数量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单价（元）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GB"/>
              </w:rPr>
              <w:t>一</w:t>
            </w:r>
          </w:p>
        </w:tc>
        <w:tc>
          <w:tcPr>
            <w:tcW w:w="9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模拟测评工作经费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根据《全省社会文明大行动测评体系》，从保亭县上报点位中筛选点位，重新研制保亭县区、镇、社区及窗口服务单位的实地考察操作卡片，以及实地考察采集数据的录入、核对等工作经费；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40000.00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160000.00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模拟测评问卷发放与统计分析，其中：</w:t>
            </w:r>
          </w:p>
          <w:p>
            <w:pPr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1）、县区、镇、社区和窗口服务单位考察点位发放1000份问卷；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2）、学校、校外基地500份问卷发放。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20000.00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80000.00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重新研制覆盖保亭县城区、镇、社区、学校、农贸市场等点位的模拟测评软件和数据采集与统计分析工作经费；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40000.00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160000.00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4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汇编模拟测评问题清单、报告撰写等工作。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30000.00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120000.00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GB"/>
              </w:rPr>
              <w:t>二</w:t>
            </w:r>
          </w:p>
        </w:tc>
        <w:tc>
          <w:tcPr>
            <w:tcW w:w="9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模拟测评期间的差旅费、食宿、交通和劳务费等经费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差旅费：7人从内地到保亭县来回机票，每人来回0.36万x7人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101000.00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租车费：在保亭县工作期间的出租车费0.4万元x3辆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5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天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60000.00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食宿费：7人住宿费：350元x7间房x7天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69000.00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4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餐费：200元x7人x7天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39000.00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5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人员劳务费：500元x7人x7天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98000.00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6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人员意外保险费：每人每次200元x7人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5600.00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7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其他费用：含矿泉水、通信等经费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20000.00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GB"/>
              </w:rPr>
              <w:t>三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策划、设计保亭县社会文明大行动宣传氛围提升工程概念方案工作经费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（含设计师实地测量、设计费、食宿、劳务、材料印刷、交通等费用）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GB"/>
              </w:rPr>
              <w:t>四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业务培训费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（含老师授课费、制作PPT、资料、交通、食宿等费用）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180000.00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Toc11668531"/>
            <w:bookmarkStart w:id="1" w:name="_Toc11668441"/>
            <w:bookmarkStart w:id="2" w:name="_Toc11667726"/>
            <w:bookmarkStart w:id="3" w:name="_Toc11669156"/>
            <w:bookmarkStart w:id="4" w:name="_Toc9648"/>
            <w:bookmarkStart w:id="5" w:name="_Toc11692"/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资料打印、复印、纸张、油墨、通讯联络、场租等办公经费和其它费用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49400.00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六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项目运行、组织管理费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144000.00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七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营业税：项目总款项的3.8%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GB"/>
              </w:rPr>
              <w:t>项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57000.00</w:t>
            </w: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25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文字"/>
    <w:basedOn w:val="1"/>
    <w:qFormat/>
    <w:uiPriority w:val="0"/>
    <w:pPr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小晶</cp:lastModifiedBy>
  <dcterms:modified xsi:type="dcterms:W3CDTF">2019-06-20T02:52:37Z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