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eastAsia="仿宋" w:cs="仿宋"/>
          <w:b/>
          <w:sz w:val="56"/>
          <w:szCs w:val="56"/>
          <w:shd w:val="clear" w:color="auto" w:fill="FFFFFF"/>
        </w:rPr>
      </w:pPr>
    </w:p>
    <w:p>
      <w:pPr>
        <w:ind w:firstLine="0" w:firstLineChars="0"/>
        <w:jc w:val="center"/>
        <w:rPr>
          <w:rFonts w:ascii="仿宋" w:hAnsi="仿宋" w:eastAsia="仿宋" w:cs="仿宋"/>
          <w:b/>
          <w:bCs/>
          <w:sz w:val="48"/>
          <w:szCs w:val="48"/>
          <w:shd w:val="clear" w:color="auto" w:fill="FFFFFF"/>
        </w:rPr>
      </w:pPr>
      <w:r>
        <w:rPr>
          <w:rFonts w:hint="eastAsia" w:ascii="仿宋" w:hAnsi="仿宋" w:eastAsia="仿宋" w:cs="仿宋"/>
          <w:b/>
          <w:bCs/>
          <w:sz w:val="48"/>
          <w:szCs w:val="48"/>
          <w:shd w:val="clear" w:color="auto" w:fill="FFFFFF"/>
        </w:rPr>
        <w:t>海南省图书馆配置硬件设备采购项目</w:t>
      </w:r>
    </w:p>
    <w:p>
      <w:pPr>
        <w:ind w:firstLine="0" w:firstLineChars="0"/>
        <w:jc w:val="center"/>
        <w:rPr>
          <w:rFonts w:asciiTheme="minorEastAsia" w:hAnsiTheme="minorEastAsia" w:eastAsiaTheme="minorEastAsia" w:cstheme="minorEastAsia"/>
          <w:b/>
          <w:bCs/>
          <w:sz w:val="52"/>
          <w:szCs w:val="52"/>
        </w:rPr>
      </w:pPr>
      <w:r>
        <w:rPr>
          <w:rFonts w:hint="eastAsia" w:ascii="仿宋" w:hAnsi="仿宋" w:eastAsia="仿宋" w:cs="仿宋"/>
          <w:b/>
          <w:bCs/>
          <w:sz w:val="52"/>
          <w:szCs w:val="52"/>
          <w:shd w:val="clear" w:color="auto" w:fill="FFFFFF"/>
        </w:rPr>
        <w:t>A包：《视听阅览室电子资源展示设备采购》</w:t>
      </w:r>
    </w:p>
    <w:p>
      <w:pPr>
        <w:ind w:firstLine="0" w:firstLineChars="0"/>
        <w:jc w:val="center"/>
        <w:rPr>
          <w:rFonts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（项目编号：QSZB-2019-03）</w:t>
      </w:r>
    </w:p>
    <w:p>
      <w:pPr>
        <w:ind w:firstLine="0" w:firstLineChars="0"/>
        <w:rPr>
          <w:rFonts w:ascii="仿宋" w:hAnsi="仿宋" w:eastAsia="仿宋" w:cs="仿宋"/>
          <w:b/>
          <w:sz w:val="44"/>
          <w:szCs w:val="44"/>
          <w:u w:val="single"/>
          <w:shd w:val="clear" w:color="auto" w:fill="FFFFFF"/>
        </w:rPr>
      </w:pPr>
    </w:p>
    <w:p>
      <w:pPr>
        <w:ind w:firstLine="0" w:firstLineChars="0"/>
        <w:rPr>
          <w:rFonts w:ascii="仿宋" w:hAnsi="仿宋" w:eastAsia="仿宋" w:cs="仿宋"/>
          <w:b/>
          <w:sz w:val="44"/>
          <w:szCs w:val="44"/>
          <w:u w:val="single"/>
          <w:shd w:val="clear" w:color="auto" w:fill="FFFFFF"/>
        </w:rPr>
      </w:pPr>
    </w:p>
    <w:p>
      <w:pPr>
        <w:ind w:firstLine="0" w:firstLineChars="0"/>
        <w:jc w:val="center"/>
        <w:rPr>
          <w:rFonts w:ascii="仿宋" w:hAnsi="仿宋" w:eastAsia="仿宋" w:cs="仿宋"/>
          <w:b/>
          <w:sz w:val="36"/>
          <w:szCs w:val="36"/>
          <w:shd w:val="clear" w:color="auto" w:fill="FFFFFF"/>
        </w:rPr>
      </w:pPr>
      <w:r>
        <w:rPr>
          <w:rFonts w:hint="eastAsia" w:ascii="仿宋" w:hAnsi="仿宋" w:eastAsia="仿宋" w:cs="仿宋"/>
          <w:b/>
          <w:sz w:val="96"/>
          <w:szCs w:val="96"/>
          <w:shd w:val="clear" w:color="auto" w:fill="FFFFFF"/>
        </w:rPr>
        <w:t>竞争性磋商文件</w:t>
      </w:r>
    </w:p>
    <w:p>
      <w:pPr>
        <w:ind w:firstLine="0" w:firstLineChars="0"/>
        <w:rPr>
          <w:rFonts w:ascii="仿宋" w:hAnsi="仿宋" w:eastAsia="仿宋" w:cs="仿宋"/>
          <w:b/>
          <w:sz w:val="36"/>
          <w:szCs w:val="36"/>
          <w:shd w:val="clear" w:color="auto" w:fill="FFFFFF"/>
        </w:rPr>
      </w:pPr>
    </w:p>
    <w:p>
      <w:pPr>
        <w:ind w:firstLine="0" w:firstLineChars="0"/>
        <w:rPr>
          <w:rFonts w:ascii="仿宋" w:hAnsi="仿宋" w:eastAsia="仿宋" w:cs="仿宋"/>
          <w:b/>
          <w:sz w:val="36"/>
          <w:szCs w:val="36"/>
          <w:shd w:val="clear" w:color="auto" w:fill="FFFFFF"/>
        </w:rPr>
      </w:pPr>
    </w:p>
    <w:p>
      <w:pPr>
        <w:ind w:firstLine="0" w:firstLineChars="0"/>
        <w:rPr>
          <w:rFonts w:ascii="仿宋" w:hAnsi="仿宋" w:eastAsia="仿宋" w:cs="仿宋"/>
        </w:rPr>
      </w:pPr>
      <w:r>
        <w:rPr>
          <w:rFonts w:hint="eastAsia" w:ascii="仿宋" w:hAnsi="仿宋" w:eastAsia="仿宋" w:cs="仿宋"/>
          <w:b/>
          <w:sz w:val="36"/>
          <w:szCs w:val="36"/>
          <w:shd w:val="clear" w:color="auto" w:fill="FFFFFF"/>
        </w:rPr>
        <w:t>采购单位：海南省图书馆（盖章）</w:t>
      </w:r>
    </w:p>
    <w:p>
      <w:pPr>
        <w:ind w:firstLine="0" w:firstLineChars="0"/>
        <w:rPr>
          <w:rFonts w:ascii="仿宋" w:hAnsi="仿宋" w:eastAsia="仿宋" w:cs="仿宋"/>
          <w:b/>
          <w:sz w:val="36"/>
          <w:szCs w:val="36"/>
          <w:shd w:val="clear" w:color="auto" w:fill="FFFFFF"/>
        </w:rPr>
      </w:pPr>
      <w:r>
        <w:rPr>
          <w:rFonts w:hint="eastAsia" w:ascii="仿宋" w:hAnsi="仿宋" w:eastAsia="仿宋" w:cs="仿宋"/>
          <w:b/>
          <w:sz w:val="36"/>
          <w:szCs w:val="36"/>
          <w:shd w:val="clear" w:color="auto" w:fill="FFFFFF"/>
        </w:rPr>
        <w:t>采购代理单位：海南琪硕招投标有限公司（盖章）</w:t>
      </w:r>
    </w:p>
    <w:p>
      <w:pPr>
        <w:pStyle w:val="67"/>
        <w:rPr>
          <w:rFonts w:ascii="仿宋" w:hAnsi="仿宋" w:cs="仿宋"/>
        </w:rPr>
      </w:pPr>
    </w:p>
    <w:p>
      <w:pPr>
        <w:ind w:firstLine="0" w:firstLineChars="0"/>
        <w:jc w:val="center"/>
        <w:rPr>
          <w:rFonts w:ascii="仿宋" w:hAnsi="仿宋" w:eastAsia="仿宋" w:cs="仿宋"/>
          <w:bCs/>
          <w:sz w:val="32"/>
          <w:szCs w:val="32"/>
          <w:u w:val="single"/>
          <w:shd w:val="clear" w:color="auto" w:fill="FFFFFF"/>
        </w:rPr>
      </w:pPr>
      <w:r>
        <w:rPr>
          <w:rFonts w:hint="eastAsia" w:ascii="仿宋" w:hAnsi="仿宋" w:eastAsia="仿宋" w:cs="仿宋"/>
          <w:b/>
          <w:sz w:val="36"/>
          <w:szCs w:val="36"/>
          <w:shd w:val="clear" w:color="auto" w:fill="FFFFFF"/>
        </w:rPr>
        <w:t>二〇一九年</w:t>
      </w:r>
      <w:r>
        <w:rPr>
          <w:rFonts w:hint="eastAsia" w:ascii="仿宋" w:hAnsi="仿宋" w:eastAsia="仿宋" w:cs="仿宋"/>
          <w:b/>
          <w:sz w:val="36"/>
          <w:szCs w:val="36"/>
          <w:shd w:val="clear" w:color="auto" w:fill="FFFFFF"/>
          <w:lang w:eastAsia="zh-CN"/>
        </w:rPr>
        <w:t>八</w:t>
      </w:r>
      <w:r>
        <w:rPr>
          <w:rFonts w:hint="eastAsia" w:ascii="仿宋" w:hAnsi="仿宋" w:eastAsia="仿宋" w:cs="仿宋"/>
          <w:b/>
          <w:sz w:val="36"/>
          <w:szCs w:val="36"/>
          <w:shd w:val="clear" w:color="auto" w:fill="FFFFFF"/>
        </w:rPr>
        <w:t>月</w:t>
      </w:r>
    </w:p>
    <w:p>
      <w:pPr>
        <w:ind w:firstLine="723"/>
        <w:jc w:val="center"/>
        <w:rPr>
          <w:rFonts w:ascii="仿宋" w:hAnsi="仿宋" w:eastAsia="仿宋" w:cs="仿宋"/>
          <w:b/>
          <w:sz w:val="36"/>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851" w:footer="851" w:gutter="0"/>
          <w:pgNumType w:fmt="upperRoman" w:start="1"/>
          <w:cols w:space="425" w:num="1"/>
          <w:docGrid w:linePitch="312" w:charSpace="0"/>
        </w:sectPr>
      </w:pPr>
    </w:p>
    <w:p>
      <w:pPr>
        <w:ind w:firstLine="723"/>
        <w:jc w:val="center"/>
        <w:rPr>
          <w:rFonts w:ascii="仿宋" w:hAnsi="仿宋" w:eastAsia="仿宋" w:cs="仿宋"/>
          <w:b/>
          <w:sz w:val="36"/>
          <w:szCs w:val="32"/>
        </w:rPr>
      </w:pPr>
      <w:r>
        <w:rPr>
          <w:rFonts w:hint="eastAsia" w:ascii="仿宋" w:hAnsi="仿宋" w:eastAsia="仿宋" w:cs="仿宋"/>
          <w:b/>
          <w:sz w:val="36"/>
          <w:szCs w:val="32"/>
        </w:rPr>
        <w:t>目录</w:t>
      </w:r>
    </w:p>
    <w:p>
      <w:pPr>
        <w:pStyle w:val="52"/>
        <w:tabs>
          <w:tab w:val="right" w:leader="dot" w:pos="9070"/>
        </w:tabs>
        <w:ind w:firstLine="360" w:firstLineChars="100"/>
      </w:pPr>
      <w:r>
        <w:rPr>
          <w:rFonts w:hint="eastAsia" w:ascii="仿宋" w:hAnsi="仿宋" w:eastAsia="仿宋" w:cs="仿宋"/>
          <w:b w:val="0"/>
          <w:sz w:val="36"/>
          <w:szCs w:val="36"/>
        </w:rPr>
        <w:fldChar w:fldCharType="begin"/>
      </w:r>
      <w:r>
        <w:rPr>
          <w:rFonts w:hint="eastAsia" w:ascii="仿宋" w:hAnsi="仿宋" w:eastAsia="仿宋" w:cs="仿宋"/>
          <w:sz w:val="36"/>
          <w:szCs w:val="36"/>
        </w:rPr>
        <w:instrText xml:space="preserve"> TOC \o "1-2" \h \z \u </w:instrText>
      </w:r>
      <w:r>
        <w:rPr>
          <w:rFonts w:hint="eastAsia" w:ascii="仿宋" w:hAnsi="仿宋" w:eastAsia="仿宋" w:cs="仿宋"/>
          <w:b w:val="0"/>
          <w:sz w:val="36"/>
          <w:szCs w:val="36"/>
        </w:rPr>
        <w:fldChar w:fldCharType="separate"/>
      </w:r>
      <w:r>
        <w:fldChar w:fldCharType="begin"/>
      </w:r>
      <w:r>
        <w:instrText xml:space="preserve"> HYPERLINK \l "_Toc31957" </w:instrText>
      </w:r>
      <w:r>
        <w:fldChar w:fldCharType="separate"/>
      </w:r>
      <w:r>
        <w:rPr>
          <w:rFonts w:hint="eastAsia"/>
        </w:rPr>
        <w:t>第一章 磋商邀请函</w:t>
      </w:r>
      <w:r>
        <w:tab/>
      </w:r>
      <w:r>
        <w:fldChar w:fldCharType="begin"/>
      </w:r>
      <w:r>
        <w:instrText xml:space="preserve"> PAGEREF _Toc31957 </w:instrText>
      </w:r>
      <w:r>
        <w:fldChar w:fldCharType="separate"/>
      </w:r>
      <w:r>
        <w:t>3</w:t>
      </w:r>
      <w:r>
        <w:fldChar w:fldCharType="end"/>
      </w:r>
      <w:r>
        <w:fldChar w:fldCharType="end"/>
      </w:r>
    </w:p>
    <w:p>
      <w:pPr>
        <w:pStyle w:val="65"/>
        <w:tabs>
          <w:tab w:val="right" w:leader="dot" w:pos="9070"/>
        </w:tabs>
        <w:ind w:firstLine="400"/>
      </w:pPr>
      <w:r>
        <w:fldChar w:fldCharType="begin"/>
      </w:r>
      <w:r>
        <w:instrText xml:space="preserve"> HYPERLINK \l "_Toc7447" </w:instrText>
      </w:r>
      <w:r>
        <w:fldChar w:fldCharType="separate"/>
      </w:r>
      <w:r>
        <w:rPr>
          <w:rFonts w:ascii="Times New Roman" w:hAnsi="Times New Roman" w:eastAsia="仿宋"/>
          <w:smallCaps w:val="0"/>
          <w:snapToGrid w:val="0"/>
          <w:w w:val="0"/>
          <w:kern w:val="0"/>
          <w:szCs w:val="0"/>
        </w:rPr>
        <w:t xml:space="preserve">1.1 </w:t>
      </w:r>
      <w:r>
        <w:rPr>
          <w:rFonts w:hint="eastAsia" w:ascii="宋体" w:hAnsi="宋体" w:cs="宋体"/>
          <w:bCs/>
          <w:szCs w:val="28"/>
          <w:lang w:val="zh-CN"/>
        </w:rPr>
        <w:t>项目概况</w:t>
      </w:r>
      <w:r>
        <w:tab/>
      </w:r>
      <w:r>
        <w:fldChar w:fldCharType="begin"/>
      </w:r>
      <w:r>
        <w:instrText xml:space="preserve"> PAGEREF _Toc7447 </w:instrText>
      </w:r>
      <w:r>
        <w:fldChar w:fldCharType="separate"/>
      </w:r>
      <w:r>
        <w:t>3</w:t>
      </w:r>
      <w:r>
        <w:fldChar w:fldCharType="end"/>
      </w:r>
      <w:r>
        <w:fldChar w:fldCharType="end"/>
      </w:r>
    </w:p>
    <w:p>
      <w:pPr>
        <w:pStyle w:val="65"/>
        <w:tabs>
          <w:tab w:val="right" w:leader="dot" w:pos="9070"/>
        </w:tabs>
        <w:ind w:firstLine="400"/>
      </w:pPr>
      <w:r>
        <w:fldChar w:fldCharType="begin"/>
      </w:r>
      <w:r>
        <w:instrText xml:space="preserve"> HYPERLINK \l "_Toc4381" </w:instrText>
      </w:r>
      <w:r>
        <w:fldChar w:fldCharType="separate"/>
      </w:r>
      <w:r>
        <w:rPr>
          <w:rFonts w:ascii="Times New Roman" w:hAnsi="Times New Roman" w:eastAsia="仿宋"/>
          <w:smallCaps w:val="0"/>
          <w:snapToGrid w:val="0"/>
          <w:w w:val="0"/>
          <w:kern w:val="0"/>
          <w:szCs w:val="0"/>
        </w:rPr>
        <w:t xml:space="preserve">1.2 </w:t>
      </w:r>
      <w:r>
        <w:rPr>
          <w:rFonts w:hint="eastAsia" w:ascii="仿宋" w:hAnsi="仿宋" w:eastAsia="仿宋" w:cs="仿宋"/>
        </w:rPr>
        <w:t>投标人资格条件</w:t>
      </w:r>
      <w:r>
        <w:tab/>
      </w:r>
      <w:r>
        <w:fldChar w:fldCharType="begin"/>
      </w:r>
      <w:r>
        <w:instrText xml:space="preserve"> PAGEREF _Toc4381 </w:instrText>
      </w:r>
      <w:r>
        <w:fldChar w:fldCharType="separate"/>
      </w:r>
      <w:r>
        <w:t>3</w:t>
      </w:r>
      <w:r>
        <w:fldChar w:fldCharType="end"/>
      </w:r>
      <w:r>
        <w:fldChar w:fldCharType="end"/>
      </w:r>
    </w:p>
    <w:p>
      <w:pPr>
        <w:pStyle w:val="65"/>
        <w:tabs>
          <w:tab w:val="right" w:leader="dot" w:pos="9070"/>
        </w:tabs>
        <w:ind w:firstLine="400"/>
      </w:pPr>
      <w:r>
        <w:fldChar w:fldCharType="begin"/>
      </w:r>
      <w:r>
        <w:instrText xml:space="preserve"> HYPERLINK \l "_Toc4186" </w:instrText>
      </w:r>
      <w:r>
        <w:fldChar w:fldCharType="separate"/>
      </w:r>
      <w:r>
        <w:rPr>
          <w:rFonts w:hint="eastAsia" w:ascii="Times New Roman" w:hAnsi="Times New Roman" w:eastAsia="仿宋"/>
          <w:smallCaps w:val="0"/>
          <w:snapToGrid w:val="0"/>
          <w:w w:val="0"/>
          <w:kern w:val="0"/>
          <w:szCs w:val="0"/>
        </w:rPr>
        <w:t xml:space="preserve">1.3 </w:t>
      </w:r>
      <w:r>
        <w:rPr>
          <w:rFonts w:hint="eastAsia"/>
        </w:rPr>
        <w:t>磋商文件的获取</w:t>
      </w:r>
      <w:r>
        <w:tab/>
      </w:r>
      <w:r>
        <w:fldChar w:fldCharType="begin"/>
      </w:r>
      <w:r>
        <w:instrText xml:space="preserve"> PAGEREF _Toc4186 </w:instrText>
      </w:r>
      <w:r>
        <w:fldChar w:fldCharType="separate"/>
      </w:r>
      <w:r>
        <w:t>4</w:t>
      </w:r>
      <w:r>
        <w:fldChar w:fldCharType="end"/>
      </w:r>
      <w:r>
        <w:fldChar w:fldCharType="end"/>
      </w:r>
    </w:p>
    <w:p>
      <w:pPr>
        <w:pStyle w:val="65"/>
        <w:tabs>
          <w:tab w:val="right" w:leader="dot" w:pos="9070"/>
        </w:tabs>
        <w:ind w:firstLine="400"/>
      </w:pPr>
      <w:r>
        <w:fldChar w:fldCharType="begin"/>
      </w:r>
      <w:r>
        <w:instrText xml:space="preserve"> HYPERLINK \l "_Toc13219" </w:instrText>
      </w:r>
      <w:r>
        <w:fldChar w:fldCharType="separate"/>
      </w:r>
      <w:r>
        <w:rPr>
          <w:rFonts w:ascii="Times New Roman" w:hAnsi="Times New Roman" w:eastAsia="仿宋"/>
          <w:smallCaps w:val="0"/>
          <w:snapToGrid w:val="0"/>
          <w:w w:val="0"/>
          <w:kern w:val="0"/>
          <w:szCs w:val="0"/>
        </w:rPr>
        <w:t xml:space="preserve">1.4 </w:t>
      </w:r>
      <w:r>
        <w:rPr>
          <w:rFonts w:hint="eastAsia" w:ascii="仿宋" w:hAnsi="仿宋" w:eastAsia="仿宋" w:cs="仿宋"/>
        </w:rPr>
        <w:t>磋商保证金</w:t>
      </w:r>
      <w:r>
        <w:tab/>
      </w:r>
      <w:r>
        <w:fldChar w:fldCharType="begin"/>
      </w:r>
      <w:r>
        <w:instrText xml:space="preserve"> PAGEREF _Toc13219 </w:instrText>
      </w:r>
      <w:r>
        <w:fldChar w:fldCharType="separate"/>
      </w:r>
      <w:r>
        <w:t>5</w:t>
      </w:r>
      <w:r>
        <w:fldChar w:fldCharType="end"/>
      </w:r>
      <w:r>
        <w:fldChar w:fldCharType="end"/>
      </w:r>
    </w:p>
    <w:p>
      <w:pPr>
        <w:pStyle w:val="65"/>
        <w:tabs>
          <w:tab w:val="right" w:leader="dot" w:pos="9070"/>
        </w:tabs>
        <w:ind w:firstLine="400"/>
      </w:pPr>
      <w:r>
        <w:fldChar w:fldCharType="begin"/>
      </w:r>
      <w:r>
        <w:instrText xml:space="preserve"> HYPERLINK \l "_Toc3578" </w:instrText>
      </w:r>
      <w:r>
        <w:fldChar w:fldCharType="separate"/>
      </w:r>
      <w:r>
        <w:rPr>
          <w:rFonts w:ascii="Times New Roman" w:hAnsi="Times New Roman" w:eastAsia="仿宋"/>
          <w:smallCaps w:val="0"/>
          <w:snapToGrid w:val="0"/>
          <w:w w:val="0"/>
          <w:kern w:val="0"/>
          <w:szCs w:val="0"/>
        </w:rPr>
        <w:t xml:space="preserve">1.5 </w:t>
      </w:r>
      <w:r>
        <w:rPr>
          <w:rFonts w:hint="eastAsia" w:ascii="仿宋" w:hAnsi="仿宋" w:eastAsia="仿宋" w:cs="仿宋"/>
        </w:rPr>
        <w:t>公告发布媒介：中国海南政府采购网。</w:t>
      </w:r>
      <w:r>
        <w:tab/>
      </w:r>
      <w:r>
        <w:fldChar w:fldCharType="begin"/>
      </w:r>
      <w:r>
        <w:instrText xml:space="preserve"> PAGEREF _Toc3578 </w:instrText>
      </w:r>
      <w:r>
        <w:fldChar w:fldCharType="separate"/>
      </w:r>
      <w:r>
        <w:t>5</w:t>
      </w:r>
      <w:r>
        <w:fldChar w:fldCharType="end"/>
      </w:r>
      <w:r>
        <w:fldChar w:fldCharType="end"/>
      </w:r>
    </w:p>
    <w:p>
      <w:pPr>
        <w:pStyle w:val="65"/>
        <w:tabs>
          <w:tab w:val="right" w:leader="dot" w:pos="9070"/>
        </w:tabs>
        <w:ind w:firstLine="400"/>
      </w:pPr>
      <w:r>
        <w:fldChar w:fldCharType="begin"/>
      </w:r>
      <w:r>
        <w:instrText xml:space="preserve"> HYPERLINK \l "_Toc31956" </w:instrText>
      </w:r>
      <w:r>
        <w:fldChar w:fldCharType="separate"/>
      </w:r>
      <w:r>
        <w:rPr>
          <w:rFonts w:ascii="Times New Roman" w:hAnsi="Times New Roman" w:eastAsia="仿宋"/>
          <w:smallCaps w:val="0"/>
          <w:snapToGrid w:val="0"/>
          <w:w w:val="0"/>
          <w:kern w:val="0"/>
          <w:szCs w:val="0"/>
        </w:rPr>
        <w:t xml:space="preserve">1.6 </w:t>
      </w:r>
      <w:r>
        <w:rPr>
          <w:rFonts w:hint="eastAsia" w:ascii="仿宋" w:hAnsi="仿宋" w:eastAsia="仿宋" w:cs="仿宋"/>
          <w:lang w:val="zh-CN"/>
        </w:rPr>
        <w:t>采购单位及采购代理机构联系方式</w:t>
      </w:r>
      <w:r>
        <w:tab/>
      </w:r>
      <w:r>
        <w:fldChar w:fldCharType="begin"/>
      </w:r>
      <w:r>
        <w:instrText xml:space="preserve"> PAGEREF _Toc31956 </w:instrText>
      </w:r>
      <w:r>
        <w:fldChar w:fldCharType="separate"/>
      </w:r>
      <w:r>
        <w:t>6</w:t>
      </w:r>
      <w:r>
        <w:fldChar w:fldCharType="end"/>
      </w:r>
      <w:r>
        <w:fldChar w:fldCharType="end"/>
      </w:r>
    </w:p>
    <w:p>
      <w:pPr>
        <w:pStyle w:val="52"/>
        <w:tabs>
          <w:tab w:val="right" w:leader="dot" w:pos="9070"/>
        </w:tabs>
        <w:ind w:firstLine="402"/>
      </w:pPr>
      <w:r>
        <w:fldChar w:fldCharType="begin"/>
      </w:r>
      <w:r>
        <w:instrText xml:space="preserve"> HYPERLINK \l "_Toc5971" </w:instrText>
      </w:r>
      <w:r>
        <w:fldChar w:fldCharType="separate"/>
      </w:r>
      <w:r>
        <w:rPr>
          <w:rFonts w:hint="eastAsia" w:ascii="仿宋" w:hAnsi="仿宋" w:eastAsia="仿宋" w:cs="仿宋"/>
        </w:rPr>
        <w:t>第二章 投标人须知</w:t>
      </w:r>
      <w:r>
        <w:tab/>
      </w:r>
      <w:r>
        <w:fldChar w:fldCharType="begin"/>
      </w:r>
      <w:r>
        <w:instrText xml:space="preserve"> PAGEREF _Toc5971 </w:instrText>
      </w:r>
      <w:r>
        <w:fldChar w:fldCharType="separate"/>
      </w:r>
      <w:r>
        <w:t>7</w:t>
      </w:r>
      <w:r>
        <w:fldChar w:fldCharType="end"/>
      </w:r>
      <w:r>
        <w:fldChar w:fldCharType="end"/>
      </w:r>
    </w:p>
    <w:p>
      <w:pPr>
        <w:pStyle w:val="65"/>
        <w:tabs>
          <w:tab w:val="right" w:leader="dot" w:pos="9070"/>
        </w:tabs>
        <w:ind w:firstLine="400"/>
      </w:pPr>
      <w:r>
        <w:fldChar w:fldCharType="begin"/>
      </w:r>
      <w:r>
        <w:instrText xml:space="preserve"> HYPERLINK \l "_Toc12442" </w:instrText>
      </w:r>
      <w:r>
        <w:fldChar w:fldCharType="separate"/>
      </w:r>
      <w:r>
        <w:rPr>
          <w:rFonts w:ascii="Times New Roman" w:hAnsi="Times New Roman" w:eastAsia="仿宋"/>
          <w:smallCaps w:val="0"/>
          <w:snapToGrid w:val="0"/>
          <w:w w:val="0"/>
          <w:kern w:val="0"/>
          <w:szCs w:val="0"/>
        </w:rPr>
        <w:t xml:space="preserve">1.7 </w:t>
      </w:r>
      <w:r>
        <w:rPr>
          <w:rFonts w:hint="eastAsia" w:ascii="仿宋" w:hAnsi="仿宋" w:eastAsia="仿宋" w:cs="仿宋"/>
        </w:rPr>
        <w:t>总则</w:t>
      </w:r>
      <w:r>
        <w:tab/>
      </w:r>
      <w:r>
        <w:fldChar w:fldCharType="begin"/>
      </w:r>
      <w:r>
        <w:instrText xml:space="preserve"> PAGEREF _Toc12442 </w:instrText>
      </w:r>
      <w:r>
        <w:fldChar w:fldCharType="separate"/>
      </w:r>
      <w:r>
        <w:t>7</w:t>
      </w:r>
      <w:r>
        <w:fldChar w:fldCharType="end"/>
      </w:r>
      <w:r>
        <w:fldChar w:fldCharType="end"/>
      </w:r>
    </w:p>
    <w:p>
      <w:pPr>
        <w:pStyle w:val="65"/>
        <w:tabs>
          <w:tab w:val="right" w:leader="dot" w:pos="9070"/>
        </w:tabs>
        <w:ind w:firstLine="400"/>
      </w:pPr>
      <w:r>
        <w:fldChar w:fldCharType="begin"/>
      </w:r>
      <w:r>
        <w:instrText xml:space="preserve"> HYPERLINK \l "_Toc4266" </w:instrText>
      </w:r>
      <w:r>
        <w:fldChar w:fldCharType="separate"/>
      </w:r>
      <w:r>
        <w:rPr>
          <w:rFonts w:ascii="Times New Roman" w:hAnsi="Times New Roman" w:eastAsia="仿宋"/>
          <w:smallCaps w:val="0"/>
          <w:snapToGrid w:val="0"/>
          <w:w w:val="0"/>
          <w:kern w:val="0"/>
          <w:szCs w:val="0"/>
        </w:rPr>
        <w:t xml:space="preserve">1.8 </w:t>
      </w:r>
      <w:r>
        <w:rPr>
          <w:rFonts w:hint="eastAsia" w:ascii="仿宋" w:hAnsi="仿宋" w:eastAsia="仿宋" w:cs="仿宋"/>
        </w:rPr>
        <w:t>竞争性磋商文件</w:t>
      </w:r>
      <w:r>
        <w:tab/>
      </w:r>
      <w:r>
        <w:fldChar w:fldCharType="begin"/>
      </w:r>
      <w:r>
        <w:instrText xml:space="preserve"> PAGEREF _Toc4266 </w:instrText>
      </w:r>
      <w:r>
        <w:fldChar w:fldCharType="separate"/>
      </w:r>
      <w:r>
        <w:t>9</w:t>
      </w:r>
      <w:r>
        <w:fldChar w:fldCharType="end"/>
      </w:r>
      <w:r>
        <w:fldChar w:fldCharType="end"/>
      </w:r>
    </w:p>
    <w:p>
      <w:pPr>
        <w:pStyle w:val="65"/>
        <w:tabs>
          <w:tab w:val="right" w:leader="dot" w:pos="9070"/>
        </w:tabs>
        <w:ind w:firstLine="400"/>
      </w:pPr>
      <w:r>
        <w:fldChar w:fldCharType="begin"/>
      </w:r>
      <w:r>
        <w:instrText xml:space="preserve"> HYPERLINK \l "_Toc31294" </w:instrText>
      </w:r>
      <w:r>
        <w:fldChar w:fldCharType="separate"/>
      </w:r>
      <w:r>
        <w:rPr>
          <w:rFonts w:ascii="Times New Roman" w:hAnsi="Times New Roman" w:eastAsia="仿宋"/>
          <w:smallCaps w:val="0"/>
          <w:snapToGrid w:val="0"/>
          <w:w w:val="0"/>
          <w:kern w:val="0"/>
          <w:szCs w:val="0"/>
        </w:rPr>
        <w:t xml:space="preserve">1.9 </w:t>
      </w:r>
      <w:r>
        <w:rPr>
          <w:rFonts w:hint="eastAsia" w:ascii="仿宋" w:hAnsi="仿宋" w:eastAsia="仿宋" w:cs="仿宋"/>
        </w:rPr>
        <w:t>响应文件的递交及编制</w:t>
      </w:r>
      <w:r>
        <w:tab/>
      </w:r>
      <w:r>
        <w:fldChar w:fldCharType="begin"/>
      </w:r>
      <w:r>
        <w:instrText xml:space="preserve"> PAGEREF _Toc31294 </w:instrText>
      </w:r>
      <w:r>
        <w:fldChar w:fldCharType="separate"/>
      </w:r>
      <w:r>
        <w:t>10</w:t>
      </w:r>
      <w:r>
        <w:fldChar w:fldCharType="end"/>
      </w:r>
      <w:r>
        <w:fldChar w:fldCharType="end"/>
      </w:r>
    </w:p>
    <w:p>
      <w:pPr>
        <w:pStyle w:val="65"/>
        <w:tabs>
          <w:tab w:val="right" w:leader="dot" w:pos="9070"/>
        </w:tabs>
        <w:ind w:firstLine="400"/>
      </w:pPr>
      <w:r>
        <w:fldChar w:fldCharType="begin"/>
      </w:r>
      <w:r>
        <w:instrText xml:space="preserve"> HYPERLINK \l "_Toc14315" </w:instrText>
      </w:r>
      <w:r>
        <w:fldChar w:fldCharType="separate"/>
      </w:r>
      <w:r>
        <w:rPr>
          <w:rFonts w:ascii="Times New Roman" w:hAnsi="Times New Roman" w:eastAsia="仿宋"/>
          <w:smallCaps w:val="0"/>
          <w:snapToGrid w:val="0"/>
          <w:w w:val="0"/>
          <w:kern w:val="0"/>
          <w:szCs w:val="0"/>
        </w:rPr>
        <w:t xml:space="preserve">1.10 </w:t>
      </w:r>
      <w:r>
        <w:rPr>
          <w:rFonts w:hint="eastAsia" w:ascii="仿宋" w:hAnsi="仿宋" w:eastAsia="仿宋" w:cs="仿宋"/>
        </w:rPr>
        <w:t>响应文件的递交</w:t>
      </w:r>
      <w:r>
        <w:tab/>
      </w:r>
      <w:r>
        <w:fldChar w:fldCharType="begin"/>
      </w:r>
      <w:r>
        <w:instrText xml:space="preserve"> PAGEREF _Toc14315 </w:instrText>
      </w:r>
      <w:r>
        <w:fldChar w:fldCharType="separate"/>
      </w:r>
      <w:r>
        <w:t>13</w:t>
      </w:r>
      <w:r>
        <w:fldChar w:fldCharType="end"/>
      </w:r>
      <w:r>
        <w:fldChar w:fldCharType="end"/>
      </w:r>
    </w:p>
    <w:p>
      <w:pPr>
        <w:pStyle w:val="65"/>
        <w:tabs>
          <w:tab w:val="right" w:leader="dot" w:pos="9070"/>
        </w:tabs>
        <w:ind w:firstLine="400"/>
      </w:pPr>
      <w:r>
        <w:fldChar w:fldCharType="begin"/>
      </w:r>
      <w:r>
        <w:instrText xml:space="preserve"> HYPERLINK \l "_Toc2200" </w:instrText>
      </w:r>
      <w:r>
        <w:fldChar w:fldCharType="separate"/>
      </w:r>
      <w:r>
        <w:rPr>
          <w:rFonts w:ascii="Times New Roman" w:hAnsi="Times New Roman" w:eastAsia="仿宋"/>
          <w:smallCaps w:val="0"/>
          <w:snapToGrid w:val="0"/>
          <w:w w:val="0"/>
          <w:kern w:val="0"/>
          <w:szCs w:val="0"/>
        </w:rPr>
        <w:t xml:space="preserve">1.11 </w:t>
      </w:r>
      <w:r>
        <w:rPr>
          <w:rFonts w:hint="eastAsia" w:ascii="仿宋" w:hAnsi="仿宋" w:eastAsia="仿宋" w:cs="仿宋"/>
        </w:rPr>
        <w:t>磋商与评审</w:t>
      </w:r>
      <w:r>
        <w:tab/>
      </w:r>
      <w:r>
        <w:fldChar w:fldCharType="begin"/>
      </w:r>
      <w:r>
        <w:instrText xml:space="preserve"> PAGEREF _Toc2200 </w:instrText>
      </w:r>
      <w:r>
        <w:fldChar w:fldCharType="separate"/>
      </w:r>
      <w:r>
        <w:t>14</w:t>
      </w:r>
      <w:r>
        <w:fldChar w:fldCharType="end"/>
      </w:r>
      <w:r>
        <w:fldChar w:fldCharType="end"/>
      </w:r>
    </w:p>
    <w:p>
      <w:pPr>
        <w:pStyle w:val="65"/>
        <w:tabs>
          <w:tab w:val="right" w:leader="dot" w:pos="9070"/>
        </w:tabs>
        <w:ind w:firstLine="400"/>
      </w:pPr>
      <w:r>
        <w:fldChar w:fldCharType="begin"/>
      </w:r>
      <w:r>
        <w:instrText xml:space="preserve"> HYPERLINK \l "_Toc20134" </w:instrText>
      </w:r>
      <w:r>
        <w:fldChar w:fldCharType="separate"/>
      </w:r>
      <w:r>
        <w:rPr>
          <w:rFonts w:ascii="Times New Roman" w:hAnsi="Times New Roman" w:eastAsia="仿宋"/>
          <w:smallCaps w:val="0"/>
          <w:snapToGrid w:val="0"/>
          <w:w w:val="0"/>
          <w:kern w:val="0"/>
          <w:szCs w:val="0"/>
        </w:rPr>
        <w:t xml:space="preserve">1.12 </w:t>
      </w:r>
      <w:r>
        <w:rPr>
          <w:rFonts w:hint="eastAsia" w:ascii="仿宋" w:hAnsi="仿宋" w:eastAsia="仿宋" w:cs="仿宋"/>
        </w:rPr>
        <w:t>确定成交、询问及质疑</w:t>
      </w:r>
      <w:r>
        <w:tab/>
      </w:r>
      <w:r>
        <w:fldChar w:fldCharType="begin"/>
      </w:r>
      <w:r>
        <w:instrText xml:space="preserve"> PAGEREF _Toc20134 </w:instrText>
      </w:r>
      <w:r>
        <w:fldChar w:fldCharType="separate"/>
      </w:r>
      <w:r>
        <w:t>17</w:t>
      </w:r>
      <w:r>
        <w:fldChar w:fldCharType="end"/>
      </w:r>
      <w:r>
        <w:fldChar w:fldCharType="end"/>
      </w:r>
    </w:p>
    <w:p>
      <w:pPr>
        <w:pStyle w:val="65"/>
        <w:tabs>
          <w:tab w:val="right" w:leader="dot" w:pos="9070"/>
        </w:tabs>
        <w:ind w:firstLine="400"/>
      </w:pPr>
      <w:r>
        <w:fldChar w:fldCharType="begin"/>
      </w:r>
      <w:r>
        <w:instrText xml:space="preserve"> HYPERLINK \l "_Toc5291" </w:instrText>
      </w:r>
      <w:r>
        <w:fldChar w:fldCharType="separate"/>
      </w:r>
      <w:r>
        <w:rPr>
          <w:rFonts w:ascii="Times New Roman" w:hAnsi="Times New Roman" w:eastAsia="仿宋"/>
          <w:smallCaps w:val="0"/>
          <w:snapToGrid w:val="0"/>
          <w:w w:val="0"/>
          <w:kern w:val="0"/>
          <w:szCs w:val="0"/>
        </w:rPr>
        <w:t xml:space="preserve">1.13 </w:t>
      </w:r>
      <w:r>
        <w:rPr>
          <w:rFonts w:hint="eastAsia" w:ascii="仿宋" w:hAnsi="仿宋" w:eastAsia="仿宋" w:cs="仿宋"/>
        </w:rPr>
        <w:t>授予合同</w:t>
      </w:r>
      <w:r>
        <w:tab/>
      </w:r>
      <w:r>
        <w:fldChar w:fldCharType="begin"/>
      </w:r>
      <w:r>
        <w:instrText xml:space="preserve"> PAGEREF _Toc5291 </w:instrText>
      </w:r>
      <w:r>
        <w:fldChar w:fldCharType="separate"/>
      </w:r>
      <w:r>
        <w:t>18</w:t>
      </w:r>
      <w:r>
        <w:fldChar w:fldCharType="end"/>
      </w:r>
      <w:r>
        <w:fldChar w:fldCharType="end"/>
      </w:r>
    </w:p>
    <w:p>
      <w:pPr>
        <w:pStyle w:val="65"/>
        <w:tabs>
          <w:tab w:val="right" w:leader="dot" w:pos="9070"/>
        </w:tabs>
        <w:ind w:firstLine="400"/>
      </w:pPr>
      <w:r>
        <w:fldChar w:fldCharType="begin"/>
      </w:r>
      <w:r>
        <w:instrText xml:space="preserve"> HYPERLINK \l "_Toc30910" </w:instrText>
      </w:r>
      <w:r>
        <w:fldChar w:fldCharType="separate"/>
      </w:r>
      <w:r>
        <w:rPr>
          <w:rFonts w:ascii="Times New Roman" w:hAnsi="Times New Roman" w:eastAsia="仿宋"/>
          <w:smallCaps w:val="0"/>
          <w:snapToGrid w:val="0"/>
          <w:w w:val="0"/>
          <w:kern w:val="0"/>
          <w:szCs w:val="0"/>
        </w:rPr>
        <w:t xml:space="preserve">1.14 </w:t>
      </w:r>
      <w:r>
        <w:rPr>
          <w:rFonts w:hint="eastAsia" w:ascii="仿宋" w:hAnsi="仿宋" w:eastAsia="仿宋" w:cs="仿宋"/>
        </w:rPr>
        <w:t>验收</w:t>
      </w:r>
      <w:r>
        <w:tab/>
      </w:r>
      <w:r>
        <w:fldChar w:fldCharType="begin"/>
      </w:r>
      <w:r>
        <w:instrText xml:space="preserve"> PAGEREF _Toc30910 </w:instrText>
      </w:r>
      <w:r>
        <w:fldChar w:fldCharType="separate"/>
      </w:r>
      <w:r>
        <w:t>19</w:t>
      </w:r>
      <w:r>
        <w:fldChar w:fldCharType="end"/>
      </w:r>
      <w:r>
        <w:fldChar w:fldCharType="end"/>
      </w:r>
    </w:p>
    <w:p>
      <w:pPr>
        <w:pStyle w:val="65"/>
        <w:tabs>
          <w:tab w:val="right" w:leader="dot" w:pos="9070"/>
        </w:tabs>
        <w:ind w:firstLine="400"/>
      </w:pPr>
      <w:r>
        <w:fldChar w:fldCharType="begin"/>
      </w:r>
      <w:r>
        <w:instrText xml:space="preserve"> HYPERLINK \l "_Toc28179" </w:instrText>
      </w:r>
      <w:r>
        <w:fldChar w:fldCharType="separate"/>
      </w:r>
      <w:r>
        <w:rPr>
          <w:rFonts w:ascii="Times New Roman" w:hAnsi="Times New Roman" w:eastAsia="仿宋"/>
          <w:smallCaps w:val="0"/>
          <w:snapToGrid w:val="0"/>
          <w:w w:val="0"/>
          <w:kern w:val="0"/>
          <w:szCs w:val="0"/>
        </w:rPr>
        <w:t xml:space="preserve">1.15 </w:t>
      </w:r>
      <w:r>
        <w:rPr>
          <w:rFonts w:hint="eastAsia" w:ascii="仿宋" w:hAnsi="仿宋" w:eastAsia="仿宋" w:cs="仿宋"/>
          <w:szCs w:val="28"/>
        </w:rPr>
        <w:t>政府采购优惠政策</w:t>
      </w:r>
      <w:r>
        <w:tab/>
      </w:r>
      <w:r>
        <w:fldChar w:fldCharType="begin"/>
      </w:r>
      <w:r>
        <w:instrText xml:space="preserve"> PAGEREF _Toc28179 </w:instrText>
      </w:r>
      <w:r>
        <w:fldChar w:fldCharType="separate"/>
      </w:r>
      <w:r>
        <w:t>19</w:t>
      </w:r>
      <w:r>
        <w:fldChar w:fldCharType="end"/>
      </w:r>
      <w:r>
        <w:fldChar w:fldCharType="end"/>
      </w:r>
    </w:p>
    <w:p>
      <w:pPr>
        <w:pStyle w:val="65"/>
        <w:tabs>
          <w:tab w:val="right" w:leader="dot" w:pos="9070"/>
        </w:tabs>
        <w:ind w:firstLine="400"/>
      </w:pPr>
      <w:r>
        <w:fldChar w:fldCharType="begin"/>
      </w:r>
      <w:r>
        <w:instrText xml:space="preserve"> HYPERLINK \l "_Toc7576" </w:instrText>
      </w:r>
      <w:r>
        <w:fldChar w:fldCharType="separate"/>
      </w:r>
      <w:r>
        <w:rPr>
          <w:rFonts w:ascii="Times New Roman" w:hAnsi="Times New Roman" w:eastAsia="仿宋"/>
          <w:smallCaps w:val="0"/>
          <w:snapToGrid w:val="0"/>
          <w:w w:val="0"/>
          <w:kern w:val="0"/>
          <w:szCs w:val="0"/>
        </w:rPr>
        <w:t xml:space="preserve">1.16 </w:t>
      </w:r>
      <w:r>
        <w:rPr>
          <w:rFonts w:hint="eastAsia" w:ascii="仿宋" w:hAnsi="仿宋" w:eastAsia="仿宋" w:cs="仿宋"/>
          <w:szCs w:val="28"/>
        </w:rPr>
        <w:t>充分、公平竞争保障措施</w:t>
      </w:r>
      <w:r>
        <w:tab/>
      </w:r>
      <w:r>
        <w:fldChar w:fldCharType="begin"/>
      </w:r>
      <w:r>
        <w:instrText xml:space="preserve"> PAGEREF _Toc7576 </w:instrText>
      </w:r>
      <w:r>
        <w:fldChar w:fldCharType="separate"/>
      </w:r>
      <w:r>
        <w:t>20</w:t>
      </w:r>
      <w:r>
        <w:fldChar w:fldCharType="end"/>
      </w:r>
      <w:r>
        <w:fldChar w:fldCharType="end"/>
      </w:r>
    </w:p>
    <w:p>
      <w:pPr>
        <w:pStyle w:val="52"/>
        <w:tabs>
          <w:tab w:val="right" w:leader="dot" w:pos="9070"/>
        </w:tabs>
        <w:ind w:firstLine="402"/>
      </w:pPr>
      <w:r>
        <w:fldChar w:fldCharType="begin"/>
      </w:r>
      <w:r>
        <w:instrText xml:space="preserve"> HYPERLINK \l "_Toc17394" </w:instrText>
      </w:r>
      <w:r>
        <w:fldChar w:fldCharType="separate"/>
      </w:r>
      <w:r>
        <w:rPr>
          <w:rFonts w:hint="eastAsia" w:ascii="仿宋" w:hAnsi="仿宋" w:eastAsia="仿宋" w:cs="仿宋"/>
        </w:rPr>
        <w:t>第三章 合同条款及格式</w:t>
      </w:r>
      <w:r>
        <w:tab/>
      </w:r>
      <w:r>
        <w:fldChar w:fldCharType="begin"/>
      </w:r>
      <w:r>
        <w:instrText xml:space="preserve"> PAGEREF _Toc17394 </w:instrText>
      </w:r>
      <w:r>
        <w:fldChar w:fldCharType="separate"/>
      </w:r>
      <w:r>
        <w:t>23</w:t>
      </w:r>
      <w:r>
        <w:fldChar w:fldCharType="end"/>
      </w:r>
      <w:r>
        <w:fldChar w:fldCharType="end"/>
      </w:r>
    </w:p>
    <w:p>
      <w:pPr>
        <w:pStyle w:val="52"/>
        <w:tabs>
          <w:tab w:val="right" w:leader="dot" w:pos="9070"/>
        </w:tabs>
        <w:ind w:firstLine="402"/>
      </w:pPr>
      <w:r>
        <w:fldChar w:fldCharType="begin"/>
      </w:r>
      <w:r>
        <w:instrText xml:space="preserve"> HYPERLINK \l "_Toc18389" </w:instrText>
      </w:r>
      <w:r>
        <w:fldChar w:fldCharType="separate"/>
      </w:r>
      <w:r>
        <w:rPr>
          <w:rFonts w:hint="eastAsia" w:ascii="仿宋" w:hAnsi="仿宋" w:eastAsia="仿宋" w:cs="仿宋"/>
        </w:rPr>
        <w:t xml:space="preserve">第四章 </w:t>
      </w:r>
      <w:r>
        <w:rPr>
          <w:rFonts w:hint="eastAsia" w:ascii="仿宋" w:hAnsi="仿宋" w:eastAsia="仿宋" w:cs="仿宋"/>
          <w:lang w:val="zh-CN"/>
        </w:rPr>
        <w:t>采购需求</w:t>
      </w:r>
      <w:r>
        <w:tab/>
      </w:r>
      <w:r>
        <w:fldChar w:fldCharType="begin"/>
      </w:r>
      <w:r>
        <w:instrText xml:space="preserve"> PAGEREF _Toc18389 </w:instrText>
      </w:r>
      <w:r>
        <w:fldChar w:fldCharType="separate"/>
      </w:r>
      <w:r>
        <w:t>34</w:t>
      </w:r>
      <w:r>
        <w:fldChar w:fldCharType="end"/>
      </w:r>
      <w:r>
        <w:fldChar w:fldCharType="end"/>
      </w:r>
    </w:p>
    <w:p>
      <w:pPr>
        <w:pStyle w:val="52"/>
        <w:tabs>
          <w:tab w:val="right" w:leader="dot" w:pos="9070"/>
        </w:tabs>
        <w:ind w:firstLine="402"/>
      </w:pPr>
      <w:r>
        <w:fldChar w:fldCharType="begin"/>
      </w:r>
      <w:r>
        <w:instrText xml:space="preserve"> HYPERLINK \l "_Toc22084" </w:instrText>
      </w:r>
      <w:r>
        <w:fldChar w:fldCharType="separate"/>
      </w:r>
      <w:r>
        <w:rPr>
          <w:rFonts w:hint="eastAsia" w:ascii="仿宋" w:hAnsi="仿宋" w:eastAsia="仿宋" w:cs="仿宋"/>
          <w:szCs w:val="28"/>
        </w:rPr>
        <w:t>1、项目概况</w:t>
      </w:r>
      <w:r>
        <w:tab/>
      </w:r>
      <w:r>
        <w:fldChar w:fldCharType="begin"/>
      </w:r>
      <w:r>
        <w:instrText xml:space="preserve"> PAGEREF _Toc22084 </w:instrText>
      </w:r>
      <w:r>
        <w:fldChar w:fldCharType="separate"/>
      </w:r>
      <w:r>
        <w:t>34</w:t>
      </w:r>
      <w:r>
        <w:fldChar w:fldCharType="end"/>
      </w:r>
      <w:r>
        <w:fldChar w:fldCharType="end"/>
      </w:r>
    </w:p>
    <w:p>
      <w:pPr>
        <w:pStyle w:val="52"/>
        <w:tabs>
          <w:tab w:val="right" w:leader="dot" w:pos="9070"/>
        </w:tabs>
        <w:ind w:firstLine="402"/>
      </w:pPr>
      <w:r>
        <w:fldChar w:fldCharType="begin"/>
      </w:r>
      <w:r>
        <w:instrText xml:space="preserve"> HYPERLINK \l "_Toc8162" </w:instrText>
      </w:r>
      <w:r>
        <w:fldChar w:fldCharType="separate"/>
      </w:r>
      <w:r>
        <w:rPr>
          <w:rFonts w:hint="eastAsia" w:ascii="仿宋" w:hAnsi="仿宋" w:eastAsia="仿宋" w:cs="仿宋"/>
          <w:szCs w:val="28"/>
        </w:rPr>
        <w:t>2、 视听阅览室电子资源展示设备采购清单</w:t>
      </w:r>
      <w:r>
        <w:tab/>
      </w:r>
      <w:r>
        <w:fldChar w:fldCharType="begin"/>
      </w:r>
      <w:r>
        <w:instrText xml:space="preserve"> PAGEREF _Toc8162 </w:instrText>
      </w:r>
      <w:r>
        <w:fldChar w:fldCharType="separate"/>
      </w:r>
      <w:r>
        <w:t>35</w:t>
      </w:r>
      <w:r>
        <w:fldChar w:fldCharType="end"/>
      </w:r>
      <w:r>
        <w:fldChar w:fldCharType="end"/>
      </w:r>
    </w:p>
    <w:p>
      <w:pPr>
        <w:pStyle w:val="52"/>
        <w:tabs>
          <w:tab w:val="right" w:leader="dot" w:pos="9070"/>
        </w:tabs>
        <w:ind w:firstLine="402"/>
      </w:pPr>
      <w:r>
        <w:fldChar w:fldCharType="begin"/>
      </w:r>
      <w:r>
        <w:instrText xml:space="preserve"> HYPERLINK \l "_Toc23225" </w:instrText>
      </w:r>
      <w:r>
        <w:fldChar w:fldCharType="separate"/>
      </w:r>
      <w:r>
        <w:rPr>
          <w:rFonts w:hint="eastAsia" w:ascii="仿宋" w:hAnsi="仿宋" w:eastAsia="仿宋" w:cs="仿宋"/>
          <w:szCs w:val="28"/>
        </w:rPr>
        <w:t>3、现场勘察、组织标前答疑会、分包、履约保证金及采购代理服务费支付要求</w:t>
      </w:r>
      <w:r>
        <w:tab/>
      </w:r>
      <w:r>
        <w:fldChar w:fldCharType="begin"/>
      </w:r>
      <w:r>
        <w:instrText xml:space="preserve"> PAGEREF _Toc23225 </w:instrText>
      </w:r>
      <w:r>
        <w:fldChar w:fldCharType="separate"/>
      </w:r>
      <w:r>
        <w:t>44</w:t>
      </w:r>
      <w:r>
        <w:fldChar w:fldCharType="end"/>
      </w:r>
      <w:r>
        <w:fldChar w:fldCharType="end"/>
      </w:r>
    </w:p>
    <w:p>
      <w:pPr>
        <w:pStyle w:val="52"/>
        <w:tabs>
          <w:tab w:val="right" w:leader="dot" w:pos="9070"/>
        </w:tabs>
        <w:ind w:firstLine="402"/>
      </w:pPr>
      <w:r>
        <w:fldChar w:fldCharType="begin"/>
      </w:r>
      <w:r>
        <w:instrText xml:space="preserve"> HYPERLINK \l "_Toc16341" </w:instrText>
      </w:r>
      <w:r>
        <w:fldChar w:fldCharType="separate"/>
      </w:r>
      <w:r>
        <w:rPr>
          <w:rFonts w:hint="eastAsia" w:ascii="仿宋" w:hAnsi="仿宋" w:eastAsia="仿宋" w:cs="仿宋"/>
          <w:szCs w:val="28"/>
        </w:rPr>
        <w:t>4、货物质量标准考评</w:t>
      </w:r>
      <w:r>
        <w:tab/>
      </w:r>
      <w:r>
        <w:fldChar w:fldCharType="begin"/>
      </w:r>
      <w:r>
        <w:instrText xml:space="preserve"> PAGEREF _Toc16341 </w:instrText>
      </w:r>
      <w:r>
        <w:fldChar w:fldCharType="separate"/>
      </w:r>
      <w:r>
        <w:t>45</w:t>
      </w:r>
      <w:r>
        <w:fldChar w:fldCharType="end"/>
      </w:r>
      <w:r>
        <w:fldChar w:fldCharType="end"/>
      </w:r>
    </w:p>
    <w:p>
      <w:pPr>
        <w:pStyle w:val="52"/>
        <w:tabs>
          <w:tab w:val="right" w:leader="dot" w:pos="9070"/>
        </w:tabs>
        <w:ind w:firstLine="402"/>
      </w:pPr>
      <w:r>
        <w:fldChar w:fldCharType="begin"/>
      </w:r>
      <w:r>
        <w:instrText xml:space="preserve"> HYPERLINK \l "_Toc31115" </w:instrText>
      </w:r>
      <w:r>
        <w:fldChar w:fldCharType="separate"/>
      </w:r>
      <w:r>
        <w:rPr>
          <w:rFonts w:hint="eastAsia" w:ascii="仿宋" w:hAnsi="仿宋" w:eastAsia="仿宋" w:cs="仿宋"/>
          <w:szCs w:val="28"/>
        </w:rPr>
        <w:t>5、付款方式</w:t>
      </w:r>
      <w:r>
        <w:tab/>
      </w:r>
      <w:r>
        <w:fldChar w:fldCharType="begin"/>
      </w:r>
      <w:r>
        <w:instrText xml:space="preserve"> PAGEREF _Toc31115 </w:instrText>
      </w:r>
      <w:r>
        <w:fldChar w:fldCharType="separate"/>
      </w:r>
      <w:r>
        <w:t>45</w:t>
      </w:r>
      <w:r>
        <w:fldChar w:fldCharType="end"/>
      </w:r>
      <w:r>
        <w:fldChar w:fldCharType="end"/>
      </w:r>
    </w:p>
    <w:p>
      <w:pPr>
        <w:pStyle w:val="52"/>
        <w:tabs>
          <w:tab w:val="right" w:leader="dot" w:pos="9070"/>
        </w:tabs>
        <w:ind w:firstLine="402"/>
      </w:pPr>
      <w:r>
        <w:fldChar w:fldCharType="begin"/>
      </w:r>
      <w:r>
        <w:instrText xml:space="preserve"> HYPERLINK \l "_Toc21369" </w:instrText>
      </w:r>
      <w:r>
        <w:fldChar w:fldCharType="separate"/>
      </w:r>
      <w:r>
        <w:rPr>
          <w:rFonts w:hint="eastAsia" w:ascii="仿宋" w:hAnsi="仿宋" w:eastAsia="仿宋" w:cs="仿宋"/>
          <w:szCs w:val="28"/>
        </w:rPr>
        <w:t>6、售后服务</w:t>
      </w:r>
      <w:r>
        <w:tab/>
      </w:r>
      <w:r>
        <w:fldChar w:fldCharType="begin"/>
      </w:r>
      <w:r>
        <w:instrText xml:space="preserve"> PAGEREF _Toc21369 </w:instrText>
      </w:r>
      <w:r>
        <w:fldChar w:fldCharType="separate"/>
      </w:r>
      <w:r>
        <w:t>45</w:t>
      </w:r>
      <w:r>
        <w:fldChar w:fldCharType="end"/>
      </w:r>
      <w:r>
        <w:fldChar w:fldCharType="end"/>
      </w:r>
    </w:p>
    <w:p>
      <w:pPr>
        <w:pStyle w:val="52"/>
        <w:tabs>
          <w:tab w:val="right" w:leader="dot" w:pos="9070"/>
        </w:tabs>
        <w:ind w:firstLine="402"/>
      </w:pPr>
      <w:r>
        <w:fldChar w:fldCharType="begin"/>
      </w:r>
      <w:r>
        <w:instrText xml:space="preserve"> HYPERLINK \l "_Toc10736" </w:instrText>
      </w:r>
      <w:r>
        <w:fldChar w:fldCharType="separate"/>
      </w:r>
      <w:r>
        <w:rPr>
          <w:rFonts w:hint="eastAsia" w:ascii="仿宋" w:hAnsi="仿宋" w:eastAsia="仿宋" w:cs="仿宋"/>
          <w:kern w:val="44"/>
          <w:szCs w:val="28"/>
        </w:rPr>
        <w:t>7、免费维护期</w:t>
      </w:r>
      <w:r>
        <w:tab/>
      </w:r>
      <w:r>
        <w:fldChar w:fldCharType="begin"/>
      </w:r>
      <w:r>
        <w:instrText xml:space="preserve"> PAGEREF _Toc10736 </w:instrText>
      </w:r>
      <w:r>
        <w:fldChar w:fldCharType="separate"/>
      </w:r>
      <w:r>
        <w:t>45</w:t>
      </w:r>
      <w:r>
        <w:fldChar w:fldCharType="end"/>
      </w:r>
      <w:r>
        <w:fldChar w:fldCharType="end"/>
      </w:r>
    </w:p>
    <w:p>
      <w:pPr>
        <w:pStyle w:val="52"/>
        <w:tabs>
          <w:tab w:val="right" w:leader="dot" w:pos="9070"/>
        </w:tabs>
        <w:ind w:firstLine="402"/>
      </w:pPr>
      <w:r>
        <w:fldChar w:fldCharType="begin"/>
      </w:r>
      <w:r>
        <w:instrText xml:space="preserve"> HYPERLINK \l "_Toc19830" </w:instrText>
      </w:r>
      <w:r>
        <w:fldChar w:fldCharType="separate"/>
      </w:r>
      <w:r>
        <w:rPr>
          <w:rFonts w:hint="eastAsia" w:ascii="仿宋" w:hAnsi="仿宋" w:eastAsia="仿宋" w:cs="仿宋"/>
          <w:szCs w:val="28"/>
        </w:rPr>
        <w:t>8、产品质量要求</w:t>
      </w:r>
      <w:r>
        <w:tab/>
      </w:r>
      <w:r>
        <w:fldChar w:fldCharType="begin"/>
      </w:r>
      <w:r>
        <w:instrText xml:space="preserve"> PAGEREF _Toc19830 </w:instrText>
      </w:r>
      <w:r>
        <w:fldChar w:fldCharType="separate"/>
      </w:r>
      <w:r>
        <w:t>45</w:t>
      </w:r>
      <w:r>
        <w:fldChar w:fldCharType="end"/>
      </w:r>
      <w:r>
        <w:fldChar w:fldCharType="end"/>
      </w:r>
    </w:p>
    <w:p>
      <w:pPr>
        <w:pStyle w:val="52"/>
        <w:tabs>
          <w:tab w:val="right" w:leader="dot" w:pos="9070"/>
        </w:tabs>
        <w:ind w:firstLine="402"/>
      </w:pPr>
      <w:r>
        <w:fldChar w:fldCharType="begin"/>
      </w:r>
      <w:r>
        <w:instrText xml:space="preserve"> HYPERLINK \l "_Toc13071" </w:instrText>
      </w:r>
      <w:r>
        <w:fldChar w:fldCharType="separate"/>
      </w:r>
      <w:r>
        <w:rPr>
          <w:rFonts w:hint="eastAsia" w:ascii="仿宋" w:hAnsi="仿宋" w:eastAsia="仿宋" w:cs="仿宋"/>
          <w:szCs w:val="28"/>
        </w:rPr>
        <w:t>9、投标人资格要求</w:t>
      </w:r>
      <w:r>
        <w:tab/>
      </w:r>
      <w:r>
        <w:fldChar w:fldCharType="begin"/>
      </w:r>
      <w:r>
        <w:instrText xml:space="preserve"> PAGEREF _Toc13071 </w:instrText>
      </w:r>
      <w:r>
        <w:fldChar w:fldCharType="separate"/>
      </w:r>
      <w:r>
        <w:t>45</w:t>
      </w:r>
      <w:r>
        <w:fldChar w:fldCharType="end"/>
      </w:r>
      <w:r>
        <w:fldChar w:fldCharType="end"/>
      </w:r>
    </w:p>
    <w:p>
      <w:pPr>
        <w:pStyle w:val="52"/>
        <w:tabs>
          <w:tab w:val="right" w:leader="dot" w:pos="9070"/>
        </w:tabs>
        <w:ind w:firstLine="402"/>
      </w:pPr>
      <w:r>
        <w:fldChar w:fldCharType="begin"/>
      </w:r>
      <w:r>
        <w:instrText xml:space="preserve"> HYPERLINK \l "_Toc758" </w:instrText>
      </w:r>
      <w:r>
        <w:fldChar w:fldCharType="separate"/>
      </w:r>
      <w:r>
        <w:rPr>
          <w:rFonts w:hint="eastAsia" w:ascii="仿宋" w:hAnsi="仿宋" w:eastAsia="仿宋" w:cs="仿宋"/>
        </w:rPr>
        <w:t>第五章 响应文件内容和格式</w:t>
      </w:r>
      <w:r>
        <w:tab/>
      </w:r>
      <w:r>
        <w:fldChar w:fldCharType="begin"/>
      </w:r>
      <w:r>
        <w:instrText xml:space="preserve"> PAGEREF _Toc758 </w:instrText>
      </w:r>
      <w:r>
        <w:fldChar w:fldCharType="separate"/>
      </w:r>
      <w:r>
        <w:t>47</w:t>
      </w:r>
      <w:r>
        <w:fldChar w:fldCharType="end"/>
      </w:r>
      <w:r>
        <w:fldChar w:fldCharType="end"/>
      </w:r>
    </w:p>
    <w:p>
      <w:pPr>
        <w:pStyle w:val="65"/>
        <w:tabs>
          <w:tab w:val="right" w:leader="dot" w:pos="9070"/>
        </w:tabs>
        <w:ind w:firstLine="400"/>
      </w:pPr>
      <w:r>
        <w:fldChar w:fldCharType="begin"/>
      </w:r>
      <w:r>
        <w:instrText xml:space="preserve"> HYPERLINK \l "_Toc32159" </w:instrText>
      </w:r>
      <w:r>
        <w:fldChar w:fldCharType="separate"/>
      </w:r>
      <w:r>
        <w:rPr>
          <w:rFonts w:hint="eastAsia" w:ascii="仿宋" w:hAnsi="仿宋" w:eastAsia="仿宋" w:cs="仿宋"/>
        </w:rPr>
        <w:t>附件1：首次响应报价</w:t>
      </w:r>
      <w:r>
        <w:tab/>
      </w:r>
      <w:r>
        <w:fldChar w:fldCharType="begin"/>
      </w:r>
      <w:r>
        <w:instrText xml:space="preserve"> PAGEREF _Toc32159 </w:instrText>
      </w:r>
      <w:r>
        <w:fldChar w:fldCharType="separate"/>
      </w:r>
      <w:r>
        <w:t>48</w:t>
      </w:r>
      <w:r>
        <w:fldChar w:fldCharType="end"/>
      </w:r>
      <w:r>
        <w:fldChar w:fldCharType="end"/>
      </w:r>
    </w:p>
    <w:p>
      <w:pPr>
        <w:pStyle w:val="65"/>
        <w:tabs>
          <w:tab w:val="right" w:leader="dot" w:pos="9070"/>
        </w:tabs>
        <w:ind w:firstLine="400"/>
      </w:pPr>
      <w:r>
        <w:fldChar w:fldCharType="begin"/>
      </w:r>
      <w:r>
        <w:instrText xml:space="preserve"> HYPERLINK \l "_Toc18743" </w:instrText>
      </w:r>
      <w:r>
        <w:fldChar w:fldCharType="separate"/>
      </w:r>
      <w:r>
        <w:rPr>
          <w:rFonts w:hint="eastAsia"/>
        </w:rPr>
        <w:t>附件2：竞争性磋商函</w:t>
      </w:r>
      <w:r>
        <w:tab/>
      </w:r>
      <w:r>
        <w:fldChar w:fldCharType="begin"/>
      </w:r>
      <w:r>
        <w:instrText xml:space="preserve"> PAGEREF _Toc18743 </w:instrText>
      </w:r>
      <w:r>
        <w:fldChar w:fldCharType="separate"/>
      </w:r>
      <w:r>
        <w:t>49</w:t>
      </w:r>
      <w:r>
        <w:fldChar w:fldCharType="end"/>
      </w:r>
      <w:r>
        <w:fldChar w:fldCharType="end"/>
      </w:r>
    </w:p>
    <w:p>
      <w:pPr>
        <w:pStyle w:val="65"/>
        <w:tabs>
          <w:tab w:val="right" w:leader="dot" w:pos="9070"/>
        </w:tabs>
        <w:ind w:firstLine="400"/>
      </w:pPr>
      <w:r>
        <w:fldChar w:fldCharType="begin"/>
      </w:r>
      <w:r>
        <w:instrText xml:space="preserve"> HYPERLINK \l "_Toc933" </w:instrText>
      </w:r>
      <w:r>
        <w:fldChar w:fldCharType="separate"/>
      </w:r>
      <w:r>
        <w:rPr>
          <w:rFonts w:hint="eastAsia"/>
        </w:rPr>
        <w:t>附件3：法定代表人证明书</w:t>
      </w:r>
      <w:r>
        <w:tab/>
      </w:r>
      <w:r>
        <w:fldChar w:fldCharType="begin"/>
      </w:r>
      <w:r>
        <w:instrText xml:space="preserve"> PAGEREF _Toc933 </w:instrText>
      </w:r>
      <w:r>
        <w:fldChar w:fldCharType="separate"/>
      </w:r>
      <w:r>
        <w:t>50</w:t>
      </w:r>
      <w:r>
        <w:fldChar w:fldCharType="end"/>
      </w:r>
      <w:r>
        <w:fldChar w:fldCharType="end"/>
      </w:r>
    </w:p>
    <w:p>
      <w:pPr>
        <w:pStyle w:val="65"/>
        <w:tabs>
          <w:tab w:val="right" w:leader="dot" w:pos="9070"/>
        </w:tabs>
        <w:ind w:firstLine="400"/>
      </w:pPr>
      <w:r>
        <w:fldChar w:fldCharType="begin"/>
      </w:r>
      <w:r>
        <w:instrText xml:space="preserve"> HYPERLINK \l "_Toc19690" </w:instrText>
      </w:r>
      <w:r>
        <w:fldChar w:fldCharType="separate"/>
      </w:r>
      <w:r>
        <w:rPr>
          <w:rFonts w:hint="eastAsia"/>
        </w:rPr>
        <w:t>附件4：授权委托书</w:t>
      </w:r>
      <w:r>
        <w:tab/>
      </w:r>
      <w:r>
        <w:fldChar w:fldCharType="begin"/>
      </w:r>
      <w:r>
        <w:instrText xml:space="preserve"> PAGEREF _Toc19690 </w:instrText>
      </w:r>
      <w:r>
        <w:fldChar w:fldCharType="separate"/>
      </w:r>
      <w:r>
        <w:t>51</w:t>
      </w:r>
      <w:r>
        <w:fldChar w:fldCharType="end"/>
      </w:r>
      <w:r>
        <w:fldChar w:fldCharType="end"/>
      </w:r>
    </w:p>
    <w:p>
      <w:pPr>
        <w:pStyle w:val="65"/>
        <w:tabs>
          <w:tab w:val="right" w:leader="dot" w:pos="9070"/>
        </w:tabs>
        <w:ind w:firstLine="400"/>
      </w:pPr>
      <w:r>
        <w:fldChar w:fldCharType="begin"/>
      </w:r>
      <w:r>
        <w:instrText xml:space="preserve"> HYPERLINK \l "_Toc22242" </w:instrText>
      </w:r>
      <w:r>
        <w:fldChar w:fldCharType="separate"/>
      </w:r>
      <w:r>
        <w:rPr>
          <w:rFonts w:hint="eastAsia" w:ascii="仿宋" w:hAnsi="仿宋" w:eastAsia="仿宋" w:cs="仿宋"/>
          <w:szCs w:val="28"/>
        </w:rPr>
        <w:t>附件5：投标人基本情况</w:t>
      </w:r>
      <w:r>
        <w:tab/>
      </w:r>
      <w:r>
        <w:fldChar w:fldCharType="begin"/>
      </w:r>
      <w:r>
        <w:instrText xml:space="preserve"> PAGEREF _Toc22242 </w:instrText>
      </w:r>
      <w:r>
        <w:fldChar w:fldCharType="separate"/>
      </w:r>
      <w:r>
        <w:t>52</w:t>
      </w:r>
      <w:r>
        <w:fldChar w:fldCharType="end"/>
      </w:r>
      <w:r>
        <w:fldChar w:fldCharType="end"/>
      </w:r>
    </w:p>
    <w:p>
      <w:pPr>
        <w:pStyle w:val="65"/>
        <w:tabs>
          <w:tab w:val="right" w:leader="dot" w:pos="9070"/>
        </w:tabs>
        <w:ind w:firstLine="400"/>
      </w:pPr>
      <w:r>
        <w:fldChar w:fldCharType="begin"/>
      </w:r>
      <w:r>
        <w:instrText xml:space="preserve"> HYPERLINK \l "_Toc22865" </w:instrText>
      </w:r>
      <w:r>
        <w:fldChar w:fldCharType="separate"/>
      </w:r>
      <w:r>
        <w:rPr>
          <w:rFonts w:hint="eastAsia"/>
        </w:rPr>
        <w:t>附件6：类似项目业绩一览表</w:t>
      </w:r>
      <w:r>
        <w:tab/>
      </w:r>
      <w:r>
        <w:fldChar w:fldCharType="begin"/>
      </w:r>
      <w:r>
        <w:instrText xml:space="preserve"> PAGEREF _Toc22865 </w:instrText>
      </w:r>
      <w:r>
        <w:fldChar w:fldCharType="separate"/>
      </w:r>
      <w:r>
        <w:t>53</w:t>
      </w:r>
      <w:r>
        <w:fldChar w:fldCharType="end"/>
      </w:r>
      <w:r>
        <w:fldChar w:fldCharType="end"/>
      </w:r>
    </w:p>
    <w:p>
      <w:pPr>
        <w:pStyle w:val="65"/>
        <w:tabs>
          <w:tab w:val="right" w:leader="dot" w:pos="9070"/>
        </w:tabs>
        <w:ind w:firstLine="400"/>
      </w:pPr>
      <w:r>
        <w:fldChar w:fldCharType="begin"/>
      </w:r>
      <w:r>
        <w:instrText xml:space="preserve"> HYPERLINK \l "_Toc15347" </w:instrText>
      </w:r>
      <w:r>
        <w:fldChar w:fldCharType="separate"/>
      </w:r>
      <w:r>
        <w:rPr>
          <w:rFonts w:hint="eastAsia"/>
        </w:rPr>
        <w:t>附件7：拟投入本项目主要岗位人员一览表</w:t>
      </w:r>
      <w:r>
        <w:tab/>
      </w:r>
      <w:r>
        <w:fldChar w:fldCharType="begin"/>
      </w:r>
      <w:r>
        <w:instrText xml:space="preserve"> PAGEREF _Toc15347 </w:instrText>
      </w:r>
      <w:r>
        <w:fldChar w:fldCharType="separate"/>
      </w:r>
      <w:r>
        <w:t>54</w:t>
      </w:r>
      <w:r>
        <w:fldChar w:fldCharType="end"/>
      </w:r>
      <w:r>
        <w:fldChar w:fldCharType="end"/>
      </w:r>
    </w:p>
    <w:p>
      <w:pPr>
        <w:pStyle w:val="65"/>
        <w:tabs>
          <w:tab w:val="right" w:leader="dot" w:pos="9070"/>
        </w:tabs>
        <w:ind w:firstLine="400"/>
      </w:pPr>
      <w:r>
        <w:fldChar w:fldCharType="begin"/>
      </w:r>
      <w:r>
        <w:instrText xml:space="preserve"> HYPERLINK \l "_Toc13682" </w:instrText>
      </w:r>
      <w:r>
        <w:fldChar w:fldCharType="separate"/>
      </w:r>
      <w:r>
        <w:rPr>
          <w:rFonts w:hint="eastAsia"/>
        </w:rPr>
        <w:t>附件8：承诺书</w:t>
      </w:r>
      <w:r>
        <w:tab/>
      </w:r>
      <w:r>
        <w:fldChar w:fldCharType="begin"/>
      </w:r>
      <w:r>
        <w:instrText xml:space="preserve"> PAGEREF _Toc13682 </w:instrText>
      </w:r>
      <w:r>
        <w:fldChar w:fldCharType="separate"/>
      </w:r>
      <w:r>
        <w:t>55</w:t>
      </w:r>
      <w:r>
        <w:fldChar w:fldCharType="end"/>
      </w:r>
      <w:r>
        <w:fldChar w:fldCharType="end"/>
      </w:r>
    </w:p>
    <w:p>
      <w:pPr>
        <w:pStyle w:val="65"/>
        <w:tabs>
          <w:tab w:val="right" w:leader="dot" w:pos="9070"/>
        </w:tabs>
        <w:ind w:firstLine="400"/>
      </w:pPr>
      <w:r>
        <w:fldChar w:fldCharType="begin"/>
      </w:r>
      <w:r>
        <w:instrText xml:space="preserve"> HYPERLINK \l "_Toc1841" </w:instrText>
      </w:r>
      <w:r>
        <w:fldChar w:fldCharType="separate"/>
      </w:r>
      <w:r>
        <w:rPr>
          <w:rFonts w:hint="eastAsia"/>
        </w:rPr>
        <w:t>附件9：非联合体投标声明</w:t>
      </w:r>
      <w:r>
        <w:tab/>
      </w:r>
      <w:r>
        <w:fldChar w:fldCharType="begin"/>
      </w:r>
      <w:r>
        <w:instrText xml:space="preserve"> PAGEREF _Toc1841 </w:instrText>
      </w:r>
      <w:r>
        <w:fldChar w:fldCharType="separate"/>
      </w:r>
      <w:r>
        <w:t>56</w:t>
      </w:r>
      <w:r>
        <w:fldChar w:fldCharType="end"/>
      </w:r>
      <w:r>
        <w:fldChar w:fldCharType="end"/>
      </w:r>
    </w:p>
    <w:p>
      <w:pPr>
        <w:pStyle w:val="65"/>
        <w:tabs>
          <w:tab w:val="right" w:leader="dot" w:pos="9070"/>
        </w:tabs>
        <w:ind w:firstLine="400"/>
      </w:pPr>
      <w:r>
        <w:fldChar w:fldCharType="begin"/>
      </w:r>
      <w:r>
        <w:instrText xml:space="preserve"> HYPERLINK \l "_Toc12265" </w:instrText>
      </w:r>
      <w:r>
        <w:fldChar w:fldCharType="separate"/>
      </w:r>
      <w:r>
        <w:rPr>
          <w:rFonts w:hint="eastAsia" w:ascii="仿宋" w:hAnsi="仿宋" w:eastAsia="仿宋" w:cs="仿宋"/>
          <w:szCs w:val="28"/>
        </w:rPr>
        <w:t>附件10：中小企业（监狱企业）声明函</w:t>
      </w:r>
      <w:r>
        <w:tab/>
      </w:r>
      <w:r>
        <w:fldChar w:fldCharType="begin"/>
      </w:r>
      <w:r>
        <w:instrText xml:space="preserve"> PAGEREF _Toc12265 </w:instrText>
      </w:r>
      <w:r>
        <w:fldChar w:fldCharType="separate"/>
      </w:r>
      <w:r>
        <w:t>57</w:t>
      </w:r>
      <w:r>
        <w:fldChar w:fldCharType="end"/>
      </w:r>
      <w:r>
        <w:fldChar w:fldCharType="end"/>
      </w:r>
    </w:p>
    <w:p>
      <w:pPr>
        <w:pStyle w:val="65"/>
        <w:tabs>
          <w:tab w:val="right" w:leader="dot" w:pos="9070"/>
        </w:tabs>
        <w:ind w:firstLine="400"/>
      </w:pPr>
      <w:r>
        <w:fldChar w:fldCharType="begin"/>
      </w:r>
      <w:r>
        <w:instrText xml:space="preserve"> HYPERLINK \l "_Toc4565" </w:instrText>
      </w:r>
      <w:r>
        <w:fldChar w:fldCharType="separate"/>
      </w:r>
      <w:r>
        <w:rPr>
          <w:rFonts w:hint="eastAsia" w:ascii="仿宋" w:hAnsi="仿宋" w:eastAsia="仿宋" w:cs="仿宋"/>
          <w:szCs w:val="28"/>
        </w:rPr>
        <w:t>附件11：残疾人福利性单位声明函</w:t>
      </w:r>
      <w:r>
        <w:tab/>
      </w:r>
      <w:r>
        <w:fldChar w:fldCharType="begin"/>
      </w:r>
      <w:r>
        <w:instrText xml:space="preserve"> PAGEREF _Toc4565 </w:instrText>
      </w:r>
      <w:r>
        <w:fldChar w:fldCharType="separate"/>
      </w:r>
      <w:r>
        <w:t>58</w:t>
      </w:r>
      <w:r>
        <w:fldChar w:fldCharType="end"/>
      </w:r>
      <w:r>
        <w:fldChar w:fldCharType="end"/>
      </w:r>
    </w:p>
    <w:p>
      <w:pPr>
        <w:pStyle w:val="65"/>
        <w:tabs>
          <w:tab w:val="right" w:leader="dot" w:pos="9070"/>
        </w:tabs>
        <w:ind w:firstLine="400"/>
      </w:pPr>
      <w:r>
        <w:fldChar w:fldCharType="begin"/>
      </w:r>
      <w:r>
        <w:instrText xml:space="preserve"> HYPERLINK \l "_Toc30220" </w:instrText>
      </w:r>
      <w:r>
        <w:fldChar w:fldCharType="separate"/>
      </w:r>
      <w:r>
        <w:rPr>
          <w:rFonts w:hint="eastAsia" w:ascii="仿宋" w:hAnsi="仿宋" w:eastAsia="仿宋" w:cs="仿宋"/>
          <w:szCs w:val="28"/>
        </w:rPr>
        <w:t>附件12：商务、技术响应偏离说明表</w:t>
      </w:r>
      <w:r>
        <w:tab/>
      </w:r>
      <w:r>
        <w:fldChar w:fldCharType="begin"/>
      </w:r>
      <w:r>
        <w:instrText xml:space="preserve"> PAGEREF _Toc30220 </w:instrText>
      </w:r>
      <w:r>
        <w:fldChar w:fldCharType="separate"/>
      </w:r>
      <w:r>
        <w:t>59</w:t>
      </w:r>
      <w:r>
        <w:fldChar w:fldCharType="end"/>
      </w:r>
      <w:r>
        <w:fldChar w:fldCharType="end"/>
      </w:r>
    </w:p>
    <w:p>
      <w:pPr>
        <w:pStyle w:val="65"/>
        <w:tabs>
          <w:tab w:val="right" w:leader="dot" w:pos="9070"/>
        </w:tabs>
        <w:ind w:firstLine="400"/>
      </w:pPr>
      <w:r>
        <w:fldChar w:fldCharType="begin"/>
      </w:r>
      <w:r>
        <w:instrText xml:space="preserve"> HYPERLINK \l "_Toc4325" </w:instrText>
      </w:r>
      <w:r>
        <w:fldChar w:fldCharType="separate"/>
      </w:r>
      <w:r>
        <w:rPr>
          <w:rFonts w:hint="eastAsia"/>
        </w:rPr>
        <w:t>附件13：获取未中标通知书的授权</w:t>
      </w:r>
      <w:r>
        <w:tab/>
      </w:r>
      <w:r>
        <w:fldChar w:fldCharType="begin"/>
      </w:r>
      <w:r>
        <w:instrText xml:space="preserve"> PAGEREF _Toc4325 </w:instrText>
      </w:r>
      <w:r>
        <w:fldChar w:fldCharType="separate"/>
      </w:r>
      <w:r>
        <w:t>60</w:t>
      </w:r>
      <w:r>
        <w:fldChar w:fldCharType="end"/>
      </w:r>
      <w:r>
        <w:fldChar w:fldCharType="end"/>
      </w:r>
    </w:p>
    <w:p>
      <w:pPr>
        <w:pStyle w:val="65"/>
        <w:tabs>
          <w:tab w:val="right" w:leader="dot" w:pos="9070"/>
        </w:tabs>
        <w:ind w:firstLine="400"/>
      </w:pPr>
      <w:r>
        <w:fldChar w:fldCharType="begin"/>
      </w:r>
      <w:r>
        <w:instrText xml:space="preserve"> HYPERLINK \l "_Toc31113" </w:instrText>
      </w:r>
      <w:r>
        <w:fldChar w:fldCharType="separate"/>
      </w:r>
      <w:r>
        <w:rPr>
          <w:rFonts w:hint="eastAsia"/>
        </w:rPr>
        <w:t>附件14：投标人认为需要提供的其他材料</w:t>
      </w:r>
      <w:r>
        <w:tab/>
      </w:r>
      <w:r>
        <w:fldChar w:fldCharType="begin"/>
      </w:r>
      <w:r>
        <w:instrText xml:space="preserve"> PAGEREF _Toc31113 </w:instrText>
      </w:r>
      <w:r>
        <w:fldChar w:fldCharType="separate"/>
      </w:r>
      <w:r>
        <w:t>61</w:t>
      </w:r>
      <w:r>
        <w:fldChar w:fldCharType="end"/>
      </w:r>
      <w:r>
        <w:fldChar w:fldCharType="end"/>
      </w:r>
    </w:p>
    <w:p>
      <w:pPr>
        <w:pStyle w:val="65"/>
        <w:tabs>
          <w:tab w:val="right" w:leader="dot" w:pos="9070"/>
        </w:tabs>
        <w:ind w:firstLine="400"/>
      </w:pPr>
      <w:r>
        <w:fldChar w:fldCharType="begin"/>
      </w:r>
      <w:r>
        <w:instrText xml:space="preserve"> HYPERLINK \l "_Toc9471" </w:instrText>
      </w:r>
      <w:r>
        <w:fldChar w:fldCharType="separate"/>
      </w:r>
      <w:r>
        <w:rPr>
          <w:rFonts w:hint="eastAsia"/>
        </w:rPr>
        <w:t>附件15：服务方案</w:t>
      </w:r>
      <w:r>
        <w:tab/>
      </w:r>
      <w:r>
        <w:fldChar w:fldCharType="begin"/>
      </w:r>
      <w:r>
        <w:instrText xml:space="preserve"> PAGEREF _Toc9471 </w:instrText>
      </w:r>
      <w:r>
        <w:fldChar w:fldCharType="separate"/>
      </w:r>
      <w:r>
        <w:t>62</w:t>
      </w:r>
      <w:r>
        <w:fldChar w:fldCharType="end"/>
      </w:r>
      <w:r>
        <w:fldChar w:fldCharType="end"/>
      </w:r>
    </w:p>
    <w:p>
      <w:pPr>
        <w:pStyle w:val="65"/>
        <w:tabs>
          <w:tab w:val="right" w:leader="dot" w:pos="9070"/>
        </w:tabs>
        <w:ind w:firstLine="400"/>
      </w:pPr>
      <w:r>
        <w:fldChar w:fldCharType="begin"/>
      </w:r>
      <w:r>
        <w:instrText xml:space="preserve"> HYPERLINK \l "_Toc32681" </w:instrText>
      </w:r>
      <w:r>
        <w:fldChar w:fldCharType="separate"/>
      </w:r>
      <w:r>
        <w:rPr>
          <w:rFonts w:hint="eastAsia" w:ascii="仿宋" w:hAnsi="仿宋" w:eastAsia="仿宋" w:cs="仿宋"/>
          <w:szCs w:val="28"/>
        </w:rPr>
        <w:t>附件16：最终报价一览表</w:t>
      </w:r>
      <w:r>
        <w:tab/>
      </w:r>
      <w:r>
        <w:fldChar w:fldCharType="begin"/>
      </w:r>
      <w:r>
        <w:instrText xml:space="preserve"> PAGEREF _Toc32681 </w:instrText>
      </w:r>
      <w:r>
        <w:fldChar w:fldCharType="separate"/>
      </w:r>
      <w:r>
        <w:t>63</w:t>
      </w:r>
      <w:r>
        <w:fldChar w:fldCharType="end"/>
      </w:r>
      <w:r>
        <w:fldChar w:fldCharType="end"/>
      </w:r>
    </w:p>
    <w:p>
      <w:pPr>
        <w:pStyle w:val="65"/>
        <w:tabs>
          <w:tab w:val="right" w:leader="dot" w:pos="9070"/>
        </w:tabs>
        <w:ind w:firstLine="400"/>
      </w:pPr>
      <w:r>
        <w:fldChar w:fldCharType="begin"/>
      </w:r>
      <w:r>
        <w:instrText xml:space="preserve"> HYPERLINK \l "_Toc28920" </w:instrText>
      </w:r>
      <w:r>
        <w:fldChar w:fldCharType="separate"/>
      </w:r>
      <w:r>
        <w:rPr>
          <w:rFonts w:hint="eastAsia" w:ascii="仿宋" w:hAnsi="仿宋" w:eastAsia="仿宋" w:cs="仿宋"/>
          <w:szCs w:val="28"/>
        </w:rPr>
        <w:t>附件17：退保申请书</w:t>
      </w:r>
      <w:r>
        <w:tab/>
      </w:r>
      <w:r>
        <w:fldChar w:fldCharType="begin"/>
      </w:r>
      <w:r>
        <w:instrText xml:space="preserve"> PAGEREF _Toc28920 </w:instrText>
      </w:r>
      <w:r>
        <w:fldChar w:fldCharType="separate"/>
      </w:r>
      <w:r>
        <w:t>64</w:t>
      </w:r>
      <w:r>
        <w:fldChar w:fldCharType="end"/>
      </w:r>
      <w:r>
        <w:fldChar w:fldCharType="end"/>
      </w:r>
    </w:p>
    <w:p>
      <w:pPr>
        <w:pStyle w:val="52"/>
        <w:tabs>
          <w:tab w:val="right" w:leader="dot" w:pos="9070"/>
        </w:tabs>
        <w:ind w:firstLine="402"/>
      </w:pPr>
      <w:r>
        <w:fldChar w:fldCharType="begin"/>
      </w:r>
      <w:r>
        <w:instrText xml:space="preserve"> HYPERLINK \l "_Toc4049" </w:instrText>
      </w:r>
      <w:r>
        <w:fldChar w:fldCharType="separate"/>
      </w:r>
      <w:r>
        <w:rPr>
          <w:rFonts w:hint="eastAsia" w:ascii="仿宋" w:hAnsi="仿宋" w:eastAsia="仿宋" w:cs="仿宋"/>
        </w:rPr>
        <w:t>第六章 评审标准</w:t>
      </w:r>
      <w:r>
        <w:tab/>
      </w:r>
      <w:r>
        <w:fldChar w:fldCharType="begin"/>
      </w:r>
      <w:r>
        <w:instrText xml:space="preserve"> PAGEREF _Toc4049 </w:instrText>
      </w:r>
      <w:r>
        <w:fldChar w:fldCharType="separate"/>
      </w:r>
      <w:r>
        <w:t>65</w:t>
      </w:r>
      <w:r>
        <w:fldChar w:fldCharType="end"/>
      </w:r>
      <w:r>
        <w:fldChar w:fldCharType="end"/>
      </w:r>
    </w:p>
    <w:p>
      <w:pPr>
        <w:pStyle w:val="65"/>
        <w:tabs>
          <w:tab w:val="right" w:leader="dot" w:pos="9070"/>
        </w:tabs>
        <w:ind w:firstLine="400"/>
      </w:pPr>
      <w:r>
        <w:fldChar w:fldCharType="begin"/>
      </w:r>
      <w:r>
        <w:instrText xml:space="preserve"> HYPERLINK \l "_Toc14052" </w:instrText>
      </w:r>
      <w:r>
        <w:fldChar w:fldCharType="separate"/>
      </w:r>
      <w:r>
        <w:rPr>
          <w:rFonts w:hint="eastAsia" w:ascii="仿宋" w:hAnsi="仿宋" w:eastAsia="仿宋" w:cs="仿宋"/>
        </w:rPr>
        <w:t>初步审查表</w:t>
      </w:r>
      <w:r>
        <w:tab/>
      </w:r>
      <w:r>
        <w:fldChar w:fldCharType="begin"/>
      </w:r>
      <w:r>
        <w:instrText xml:space="preserve"> PAGEREF _Toc14052 </w:instrText>
      </w:r>
      <w:r>
        <w:fldChar w:fldCharType="separate"/>
      </w:r>
      <w:r>
        <w:t>65</w:t>
      </w:r>
      <w:r>
        <w:fldChar w:fldCharType="end"/>
      </w:r>
      <w:r>
        <w:fldChar w:fldCharType="end"/>
      </w:r>
    </w:p>
    <w:p>
      <w:pPr>
        <w:pStyle w:val="65"/>
        <w:tabs>
          <w:tab w:val="right" w:leader="dot" w:pos="9070"/>
        </w:tabs>
        <w:ind w:firstLine="400"/>
      </w:pPr>
      <w:r>
        <w:fldChar w:fldCharType="begin"/>
      </w:r>
      <w:r>
        <w:instrText xml:space="preserve"> HYPERLINK \l "_Toc25348" </w:instrText>
      </w:r>
      <w:r>
        <w:fldChar w:fldCharType="separate"/>
      </w:r>
      <w:r>
        <w:rPr>
          <w:rFonts w:hint="eastAsia" w:ascii="仿宋" w:hAnsi="仿宋" w:eastAsia="仿宋" w:cs="仿宋"/>
        </w:rPr>
        <w:t>综合评分表</w:t>
      </w:r>
      <w:r>
        <w:tab/>
      </w:r>
      <w:r>
        <w:fldChar w:fldCharType="begin"/>
      </w:r>
      <w:r>
        <w:instrText xml:space="preserve"> PAGEREF _Toc25348 </w:instrText>
      </w:r>
      <w:r>
        <w:fldChar w:fldCharType="separate"/>
      </w:r>
      <w:r>
        <w:t>66</w:t>
      </w:r>
      <w:r>
        <w:fldChar w:fldCharType="end"/>
      </w:r>
      <w:r>
        <w:fldChar w:fldCharType="end"/>
      </w:r>
    </w:p>
    <w:p>
      <w:pPr>
        <w:pStyle w:val="52"/>
        <w:tabs>
          <w:tab w:val="left" w:pos="1200"/>
          <w:tab w:val="right" w:leader="dot" w:pos="9060"/>
        </w:tabs>
        <w:ind w:firstLine="90" w:firstLineChars="45"/>
        <w:rPr>
          <w:rFonts w:ascii="仿宋" w:hAnsi="仿宋" w:eastAsia="仿宋" w:cs="仿宋"/>
          <w:szCs w:val="36"/>
        </w:rPr>
      </w:pPr>
      <w:r>
        <w:rPr>
          <w:rFonts w:hint="eastAsia" w:ascii="仿宋" w:hAnsi="仿宋" w:eastAsia="仿宋" w:cs="仿宋"/>
          <w:bCs w:val="0"/>
          <w:caps w:val="0"/>
          <w:szCs w:val="36"/>
        </w:rPr>
        <w:fldChar w:fldCharType="end"/>
      </w:r>
    </w:p>
    <w:p>
      <w:pPr>
        <w:tabs>
          <w:tab w:val="left" w:pos="2815"/>
        </w:tabs>
        <w:ind w:firstLine="560"/>
        <w:jc w:val="left"/>
        <w:rPr>
          <w:rFonts w:ascii="仿宋" w:hAnsi="仿宋" w:eastAsia="仿宋" w:cs="仿宋"/>
        </w:rPr>
        <w:sectPr>
          <w:footerReference r:id="rId9" w:type="default"/>
          <w:pgSz w:w="11906" w:h="16838"/>
          <w:pgMar w:top="1701" w:right="1418" w:bottom="1418" w:left="1418" w:header="851" w:footer="851" w:gutter="0"/>
          <w:pgNumType w:fmt="upperRoman" w:start="1"/>
          <w:cols w:space="425" w:num="1"/>
          <w:docGrid w:linePitch="312" w:charSpace="0"/>
        </w:sectPr>
      </w:pPr>
      <w:r>
        <w:rPr>
          <w:rFonts w:hint="eastAsia" w:ascii="仿宋" w:hAnsi="仿宋" w:eastAsia="仿宋" w:cs="仿宋"/>
          <w:szCs w:val="36"/>
        </w:rPr>
        <w:tab/>
      </w:r>
    </w:p>
    <w:p>
      <w:pPr>
        <w:pStyle w:val="3"/>
        <w:spacing w:before="120" w:after="240"/>
      </w:pPr>
      <w:bookmarkStart w:id="0" w:name="_Toc474854511"/>
      <w:bookmarkStart w:id="1" w:name="_Toc31957"/>
      <w:bookmarkStart w:id="2" w:name="_Toc337622690"/>
      <w:bookmarkStart w:id="3" w:name="_Toc341993788"/>
      <w:bookmarkStart w:id="4" w:name="_Toc341992630"/>
      <w:bookmarkStart w:id="5" w:name="_Toc337584644"/>
      <w:bookmarkStart w:id="6" w:name="_Ref352791871"/>
      <w:bookmarkStart w:id="7" w:name="_Toc341991044"/>
      <w:bookmarkStart w:id="8" w:name="_Toc403560410"/>
      <w:bookmarkStart w:id="9" w:name="_Toc342374716"/>
      <w:bookmarkStart w:id="10" w:name="_Toc366517151"/>
      <w:bookmarkStart w:id="11" w:name="_Toc337620800"/>
      <w:bookmarkStart w:id="12" w:name="_Toc342252863"/>
      <w:bookmarkStart w:id="13" w:name="_Toc342497332"/>
      <w:bookmarkStart w:id="14" w:name="_Toc337622251"/>
      <w:bookmarkStart w:id="15" w:name="_Toc337584877"/>
      <w:bookmarkStart w:id="16" w:name="_Toc337622590"/>
      <w:bookmarkStart w:id="17" w:name="_Toc365619242"/>
      <w:bookmarkStart w:id="18" w:name="_Toc337584958"/>
      <w:bookmarkStart w:id="19" w:name="_Toc373781378"/>
      <w:bookmarkStart w:id="20" w:name="_Toc342241487"/>
      <w:bookmarkStart w:id="21" w:name="_Toc403401434"/>
      <w:bookmarkStart w:id="22" w:name="_Toc341988484"/>
      <w:bookmarkStart w:id="23" w:name="_Toc341992710"/>
      <w:bookmarkStart w:id="24" w:name="_Toc337622278"/>
      <w:bookmarkStart w:id="25" w:name="_Toc337622983"/>
      <w:bookmarkStart w:id="26" w:name="_Toc337622372"/>
      <w:bookmarkStart w:id="27" w:name="_Toc337622790"/>
      <w:bookmarkStart w:id="28" w:name="_Toc337620692"/>
      <w:bookmarkStart w:id="29" w:name="_Toc342558384"/>
      <w:bookmarkStart w:id="30" w:name="_Toc341993114"/>
      <w:bookmarkStart w:id="31" w:name="_Toc337622640"/>
      <w:bookmarkStart w:id="32" w:name="_Toc337620620"/>
      <w:r>
        <w:rPr>
          <w:rFonts w:hint="eastAsia"/>
        </w:rPr>
        <w:t>磋商邀请函</w:t>
      </w:r>
      <w:bookmarkEnd w:id="0"/>
      <w:bookmarkEnd w:id="1"/>
    </w:p>
    <w:p>
      <w:pPr>
        <w:ind w:firstLine="560"/>
        <w:rPr>
          <w:rFonts w:ascii="仿宋" w:hAnsi="仿宋" w:eastAsia="仿宋" w:cs="仿宋"/>
          <w:b/>
          <w:bCs/>
          <w:u w:val="single"/>
        </w:rPr>
      </w:pPr>
      <w:bookmarkStart w:id="33" w:name="OLE_LINK3"/>
      <w:r>
        <w:rPr>
          <w:rFonts w:hint="eastAsia" w:ascii="仿宋" w:hAnsi="仿宋" w:eastAsia="仿宋" w:cs="仿宋"/>
          <w:u w:val="single"/>
        </w:rPr>
        <w:t>海南琪硕招投标有限公司</w:t>
      </w:r>
      <w:r>
        <w:rPr>
          <w:rFonts w:hint="eastAsia" w:ascii="仿宋" w:hAnsi="仿宋" w:eastAsia="仿宋" w:cs="仿宋"/>
        </w:rPr>
        <w:t>受</w:t>
      </w:r>
      <w:r>
        <w:rPr>
          <w:rFonts w:hint="eastAsia" w:ascii="仿宋" w:hAnsi="仿宋" w:eastAsia="仿宋" w:cs="仿宋"/>
          <w:u w:val="single"/>
        </w:rPr>
        <w:t>海南省图书馆</w:t>
      </w:r>
      <w:r>
        <w:rPr>
          <w:rFonts w:hint="eastAsia" w:ascii="仿宋" w:hAnsi="仿宋" w:eastAsia="仿宋" w:cs="仿宋"/>
        </w:rPr>
        <w:t>的委托，对</w:t>
      </w:r>
      <w:r>
        <w:rPr>
          <w:rFonts w:hint="eastAsia" w:ascii="仿宋" w:hAnsi="仿宋" w:eastAsia="仿宋" w:cs="仿宋"/>
          <w:bCs/>
          <w:u w:val="single"/>
        </w:rPr>
        <w:t>海南省图书馆配置硬件设备采购项目A包：《视听阅览室电子资源展示设备采购》</w:t>
      </w:r>
      <w:r>
        <w:rPr>
          <w:rFonts w:hint="eastAsia" w:ascii="仿宋" w:hAnsi="仿宋" w:eastAsia="仿宋" w:cs="仿宋"/>
        </w:rPr>
        <w:t>采用</w:t>
      </w:r>
      <w:r>
        <w:rPr>
          <w:rFonts w:hint="eastAsia" w:ascii="仿宋" w:hAnsi="仿宋" w:eastAsia="仿宋" w:cs="仿宋"/>
          <w:u w:val="single"/>
        </w:rPr>
        <w:t>竞争性磋商</w:t>
      </w:r>
      <w:r>
        <w:rPr>
          <w:rFonts w:hint="eastAsia" w:ascii="仿宋" w:hAnsi="仿宋" w:eastAsia="仿宋" w:cs="仿宋"/>
        </w:rPr>
        <w:t>方式进行采购，欢迎符合条件的供应商前来报名参加磋商。</w:t>
      </w:r>
    </w:p>
    <w:p>
      <w:pPr>
        <w:pStyle w:val="173"/>
        <w:rPr>
          <w:rFonts w:ascii="仿宋" w:hAnsi="仿宋" w:eastAsia="仿宋" w:cs="仿宋"/>
        </w:rPr>
      </w:pPr>
      <w:bookmarkStart w:id="34" w:name="_Toc7447"/>
      <w:r>
        <w:rPr>
          <w:rFonts w:hint="eastAsia" w:ascii="宋体" w:hAnsi="宋体" w:cs="宋体"/>
          <w:bCs/>
          <w:szCs w:val="28"/>
          <w:lang w:val="zh-CN"/>
        </w:rPr>
        <w:t>项目概况</w:t>
      </w:r>
      <w:bookmarkEnd w:id="34"/>
    </w:p>
    <w:p>
      <w:pPr>
        <w:ind w:firstLine="560"/>
        <w:rPr>
          <w:rFonts w:ascii="仿宋" w:hAnsi="仿宋" w:eastAsia="仿宋" w:cs="仿宋"/>
        </w:rPr>
      </w:pPr>
      <w:bookmarkStart w:id="35" w:name="_Toc403987197"/>
      <w:bookmarkStart w:id="36" w:name="_Toc474854514"/>
      <w:r>
        <w:rPr>
          <w:rFonts w:hint="eastAsia"/>
        </w:rPr>
        <w:t>1、项目</w:t>
      </w:r>
      <w:r>
        <w:rPr>
          <w:rFonts w:hint="eastAsia" w:ascii="仿宋" w:hAnsi="仿宋" w:eastAsia="仿宋" w:cs="仿宋"/>
        </w:rPr>
        <w:t>名称：海南省图书馆配置硬件设备采购项目A包：《</w:t>
      </w:r>
      <w:r>
        <w:rPr>
          <w:rFonts w:hint="eastAsia" w:ascii="仿宋" w:hAnsi="仿宋" w:eastAsia="仿宋" w:cs="仿宋"/>
          <w:bCs/>
        </w:rPr>
        <w:t>视听阅览室电子资源展示设备采购</w:t>
      </w:r>
      <w:r>
        <w:rPr>
          <w:rFonts w:hint="eastAsia" w:ascii="仿宋" w:hAnsi="仿宋" w:eastAsia="仿宋" w:cs="仿宋"/>
        </w:rPr>
        <w:t>》。</w:t>
      </w:r>
    </w:p>
    <w:p>
      <w:pPr>
        <w:ind w:firstLine="560"/>
        <w:rPr>
          <w:rFonts w:ascii="仿宋" w:hAnsi="仿宋" w:eastAsia="仿宋" w:cs="仿宋"/>
        </w:rPr>
      </w:pPr>
      <w:r>
        <w:rPr>
          <w:rFonts w:hint="eastAsia" w:ascii="仿宋" w:hAnsi="仿宋" w:eastAsia="仿宋" w:cs="仿宋"/>
        </w:rPr>
        <w:t>2、项目编号：QSZB-2019-03。</w:t>
      </w:r>
    </w:p>
    <w:p>
      <w:pPr>
        <w:ind w:firstLine="560"/>
        <w:rPr>
          <w:rFonts w:ascii="仿宋" w:hAnsi="仿宋" w:eastAsia="仿宋" w:cs="仿宋"/>
        </w:rPr>
      </w:pPr>
      <w:r>
        <w:rPr>
          <w:rFonts w:hint="eastAsia" w:ascii="仿宋" w:hAnsi="仿宋" w:eastAsia="仿宋" w:cs="仿宋"/>
        </w:rPr>
        <w:t>3、项目预算：人民币620000.00元，</w:t>
      </w:r>
      <w:r>
        <w:rPr>
          <w:rFonts w:hint="eastAsia"/>
        </w:rPr>
        <w:t>资金来源为财政资金。（投标报价不得超过本预算价，超过按废标处理）</w:t>
      </w:r>
    </w:p>
    <w:p>
      <w:pPr>
        <w:ind w:firstLine="560"/>
        <w:rPr>
          <w:rFonts w:ascii="仿宋" w:hAnsi="仿宋" w:eastAsia="仿宋" w:cs="仿宋"/>
          <w:color w:val="FF0000"/>
          <w:lang w:val="zh-CN"/>
        </w:rPr>
      </w:pPr>
      <w:r>
        <w:rPr>
          <w:rFonts w:hint="eastAsia" w:ascii="仿宋" w:hAnsi="仿宋" w:eastAsia="仿宋" w:cs="仿宋"/>
        </w:rPr>
        <w:t>4、</w:t>
      </w:r>
      <w:r>
        <w:rPr>
          <w:rFonts w:hint="eastAsia" w:ascii="仿宋" w:hAnsi="仿宋" w:eastAsia="仿宋" w:cs="仿宋"/>
          <w:lang w:val="zh-CN"/>
        </w:rPr>
        <w:t>交货期限：合同签订之日起3个月内供货且安装调试完毕，供货安装至采购人指定地点。</w:t>
      </w:r>
    </w:p>
    <w:p>
      <w:pPr>
        <w:ind w:firstLine="560"/>
        <w:rPr>
          <w:rFonts w:ascii="仿宋" w:hAnsi="仿宋" w:eastAsia="仿宋" w:cs="仿宋"/>
        </w:rPr>
      </w:pPr>
      <w:r>
        <w:rPr>
          <w:rFonts w:hint="eastAsia" w:ascii="仿宋" w:hAnsi="仿宋" w:eastAsia="仿宋" w:cs="仿宋"/>
        </w:rPr>
        <w:t>5、数量：一项。</w:t>
      </w:r>
    </w:p>
    <w:p>
      <w:pPr>
        <w:ind w:firstLine="560"/>
        <w:rPr>
          <w:rFonts w:ascii="仿宋" w:hAnsi="仿宋" w:eastAsia="仿宋" w:cs="仿宋"/>
        </w:rPr>
      </w:pPr>
      <w:r>
        <w:rPr>
          <w:rFonts w:hint="eastAsia" w:ascii="仿宋" w:hAnsi="仿宋" w:eastAsia="仿宋" w:cs="仿宋"/>
        </w:rPr>
        <w:t>6、</w:t>
      </w:r>
      <w:r>
        <w:rPr>
          <w:rFonts w:hint="eastAsia" w:ascii="仿宋" w:hAnsi="仿宋" w:eastAsia="仿宋" w:cs="仿宋"/>
          <w:lang w:val="zh-CN"/>
        </w:rPr>
        <w:t>简要技术要求或采购性质：对</w:t>
      </w:r>
      <w:r>
        <w:rPr>
          <w:rFonts w:hint="eastAsia" w:ascii="仿宋" w:hAnsi="仿宋" w:eastAsia="仿宋" w:cs="仿宋"/>
          <w:u w:val="single"/>
          <w:lang w:val="zh-CN"/>
        </w:rPr>
        <w:t>海南省图书馆</w:t>
      </w:r>
      <w:r>
        <w:rPr>
          <w:rFonts w:hint="eastAsia" w:ascii="仿宋" w:hAnsi="仿宋" w:eastAsia="仿宋" w:cs="仿宋"/>
          <w:lang w:val="zh-CN"/>
        </w:rPr>
        <w:t>的</w:t>
      </w:r>
      <w:r>
        <w:rPr>
          <w:rFonts w:hint="eastAsia" w:ascii="仿宋" w:hAnsi="仿宋" w:eastAsia="仿宋" w:cs="仿宋"/>
          <w:u w:val="single"/>
          <w:lang w:val="zh-CN"/>
        </w:rPr>
        <w:t>海南省图书馆配置硬件设备采购项目A包：《</w:t>
      </w:r>
      <w:r>
        <w:rPr>
          <w:rFonts w:hint="eastAsia" w:ascii="仿宋" w:hAnsi="仿宋" w:eastAsia="仿宋" w:cs="仿宋"/>
          <w:bCs/>
          <w:u w:val="single"/>
        </w:rPr>
        <w:t>视听阅览室电子资源展示设备采购</w:t>
      </w:r>
      <w:r>
        <w:rPr>
          <w:rFonts w:hint="eastAsia" w:ascii="仿宋" w:hAnsi="仿宋" w:eastAsia="仿宋" w:cs="仿宋"/>
          <w:u w:val="single"/>
          <w:lang w:val="zh-CN"/>
        </w:rPr>
        <w:t>》</w:t>
      </w:r>
      <w:r>
        <w:rPr>
          <w:rFonts w:hint="eastAsia" w:ascii="仿宋" w:hAnsi="仿宋" w:eastAsia="仿宋" w:cs="仿宋"/>
        </w:rPr>
        <w:t>进行采购</w:t>
      </w:r>
      <w:r>
        <w:rPr>
          <w:rFonts w:hint="eastAsia" w:ascii="仿宋" w:hAnsi="仿宋" w:eastAsia="仿宋" w:cs="仿宋"/>
          <w:lang w:val="zh-CN"/>
        </w:rPr>
        <w:t>。</w:t>
      </w:r>
    </w:p>
    <w:p>
      <w:pPr>
        <w:pStyle w:val="179"/>
        <w:ind w:firstLine="560"/>
        <w:rPr>
          <w:rFonts w:ascii="仿宋" w:hAnsi="仿宋" w:cs="仿宋"/>
          <w:kern w:val="2"/>
          <w:szCs w:val="22"/>
        </w:rPr>
      </w:pPr>
      <w:r>
        <w:rPr>
          <w:rFonts w:hint="eastAsia" w:ascii="仿宋" w:hAnsi="仿宋" w:cs="仿宋"/>
          <w:kern w:val="2"/>
          <w:szCs w:val="22"/>
        </w:rPr>
        <w:t>7、招标范围：</w:t>
      </w:r>
      <w:r>
        <w:rPr>
          <w:rFonts w:hint="eastAsia" w:ascii="仿宋" w:hAnsi="仿宋" w:cs="仿宋"/>
          <w:lang w:val="zh-CN"/>
        </w:rPr>
        <w:t>海南省图书馆配置硬件设备采购项目A包：《</w:t>
      </w:r>
      <w:r>
        <w:rPr>
          <w:rFonts w:hint="eastAsia" w:ascii="仿宋" w:hAnsi="仿宋" w:cs="仿宋"/>
          <w:bCs/>
        </w:rPr>
        <w:t>视听阅览室电子资源展示设备采购</w:t>
      </w:r>
      <w:r>
        <w:rPr>
          <w:rFonts w:hint="eastAsia" w:ascii="仿宋" w:hAnsi="仿宋" w:cs="仿宋"/>
          <w:lang w:val="zh-CN"/>
        </w:rPr>
        <w:t>》</w:t>
      </w:r>
      <w:r>
        <w:rPr>
          <w:rFonts w:hint="eastAsia" w:ascii="仿宋" w:hAnsi="仿宋" w:cs="仿宋"/>
          <w:kern w:val="2"/>
          <w:szCs w:val="22"/>
          <w:lang w:val="zh-CN"/>
        </w:rPr>
        <w:t>。</w:t>
      </w:r>
    </w:p>
    <w:p>
      <w:pPr>
        <w:pStyle w:val="173"/>
        <w:rPr>
          <w:rFonts w:ascii="仿宋" w:hAnsi="仿宋" w:eastAsia="仿宋" w:cs="仿宋"/>
        </w:rPr>
      </w:pPr>
      <w:bookmarkStart w:id="37" w:name="_Toc4381"/>
      <w:r>
        <w:rPr>
          <w:rFonts w:hint="eastAsia" w:ascii="仿宋" w:hAnsi="仿宋" w:eastAsia="仿宋" w:cs="仿宋"/>
        </w:rPr>
        <w:t>投标人资格</w:t>
      </w:r>
      <w:bookmarkEnd w:id="35"/>
      <w:r>
        <w:rPr>
          <w:rFonts w:hint="eastAsia" w:ascii="仿宋" w:hAnsi="仿宋" w:eastAsia="仿宋" w:cs="仿宋"/>
        </w:rPr>
        <w:t>条件</w:t>
      </w:r>
      <w:bookmarkEnd w:id="36"/>
      <w:bookmarkEnd w:id="37"/>
    </w:p>
    <w:bookmarkEnd w:id="33"/>
    <w:p>
      <w:pPr>
        <w:pStyle w:val="179"/>
        <w:ind w:firstLine="560"/>
        <w:rPr>
          <w:rFonts w:ascii="仿宋" w:hAnsi="仿宋" w:cs="仿宋"/>
          <w:bCs/>
          <w:kern w:val="2"/>
          <w:szCs w:val="28"/>
        </w:rPr>
      </w:pPr>
      <w:bookmarkStart w:id="38" w:name="_Toc413082121"/>
      <w:bookmarkStart w:id="39" w:name="_Toc433217720"/>
      <w:bookmarkStart w:id="40" w:name="_Toc474854515"/>
      <w:bookmarkStart w:id="41" w:name="_Toc513029202"/>
      <w:bookmarkStart w:id="42" w:name="_Toc120614213"/>
      <w:bookmarkStart w:id="43" w:name="_Toc20823274"/>
      <w:bookmarkStart w:id="44" w:name="_Toc16938518"/>
      <w:r>
        <w:rPr>
          <w:rFonts w:hint="eastAsia" w:ascii="仿宋" w:hAnsi="仿宋" w:cs="仿宋"/>
          <w:bCs/>
          <w:kern w:val="2"/>
          <w:szCs w:val="28"/>
        </w:rPr>
        <w:t>1、在中华人民共和国注册，具有独立承担民事责任能力的法人（需提供营业执照副本复印件、税务登记证复印件、组织机构代码证复印件，或者三证合一复印件加盖公章）；</w:t>
      </w:r>
    </w:p>
    <w:p>
      <w:pPr>
        <w:pStyle w:val="179"/>
        <w:ind w:firstLine="560"/>
        <w:rPr>
          <w:rFonts w:ascii="仿宋" w:hAnsi="仿宋" w:cs="仿宋"/>
          <w:bCs/>
          <w:kern w:val="2"/>
          <w:szCs w:val="28"/>
        </w:rPr>
      </w:pPr>
      <w:r>
        <w:rPr>
          <w:rFonts w:hint="eastAsia" w:ascii="仿宋" w:hAnsi="仿宋" w:cs="仿宋"/>
          <w:bCs/>
          <w:kern w:val="2"/>
          <w:szCs w:val="28"/>
        </w:rPr>
        <w:t>2、具有良好的商业信誉和健全的财务会计制度：提供</w:t>
      </w:r>
      <w:r>
        <w:rPr>
          <w:rFonts w:hint="eastAsia"/>
        </w:rPr>
        <w:t>2018年至今连续3个月</w:t>
      </w:r>
      <w:r>
        <w:rPr>
          <w:rFonts w:hint="eastAsia" w:ascii="仿宋" w:hAnsi="仿宋" w:cs="仿宋"/>
          <w:bCs/>
          <w:kern w:val="2"/>
          <w:szCs w:val="28"/>
        </w:rPr>
        <w:t>或任意一个季度的财务报表（资产负债表、利润表和现金流量表）复印件加盖单位公章；</w:t>
      </w:r>
    </w:p>
    <w:p>
      <w:pPr>
        <w:pStyle w:val="179"/>
        <w:ind w:firstLine="560"/>
        <w:rPr>
          <w:rFonts w:ascii="仿宋" w:hAnsi="仿宋" w:cs="仿宋"/>
          <w:kern w:val="2"/>
          <w:szCs w:val="22"/>
        </w:rPr>
      </w:pPr>
      <w:r>
        <w:rPr>
          <w:rFonts w:hint="eastAsia" w:ascii="仿宋" w:hAnsi="仿宋" w:cs="仿宋"/>
          <w:bCs/>
          <w:kern w:val="2"/>
          <w:szCs w:val="28"/>
        </w:rPr>
        <w:t>3、</w:t>
      </w:r>
      <w:r>
        <w:rPr>
          <w:rFonts w:hint="eastAsia" w:ascii="仿宋" w:hAnsi="仿宋" w:cs="仿宋"/>
          <w:kern w:val="2"/>
          <w:szCs w:val="22"/>
        </w:rPr>
        <w:t>具有依法缴纳税收的良好记录：提供本公司2018年至今连续三个月依法缴纳税收的完税证明材料（银行回执单或者税务局出具的完税证明）复印件加盖公章；</w:t>
      </w:r>
    </w:p>
    <w:p>
      <w:pPr>
        <w:pStyle w:val="179"/>
        <w:ind w:firstLine="560"/>
        <w:rPr>
          <w:rFonts w:ascii="仿宋" w:hAnsi="仿宋" w:cs="仿宋"/>
          <w:bCs/>
          <w:kern w:val="2"/>
          <w:szCs w:val="28"/>
        </w:rPr>
      </w:pPr>
      <w:r>
        <w:rPr>
          <w:rFonts w:hint="eastAsia" w:ascii="仿宋" w:hAnsi="仿宋" w:cs="仿宋"/>
          <w:bCs/>
          <w:kern w:val="2"/>
          <w:szCs w:val="28"/>
        </w:rPr>
        <w:t>4、具有依法缴纳社会保障资金的良好记录:提供本公司</w:t>
      </w:r>
      <w:r>
        <w:rPr>
          <w:rFonts w:hint="eastAsia" w:ascii="仿宋" w:hAnsi="仿宋" w:cs="仿宋"/>
          <w:kern w:val="2"/>
          <w:szCs w:val="22"/>
        </w:rPr>
        <w:t>2018年连续三个月</w:t>
      </w:r>
      <w:r>
        <w:rPr>
          <w:rFonts w:hint="eastAsia" w:ascii="仿宋" w:hAnsi="仿宋" w:cs="仿宋"/>
          <w:bCs/>
          <w:kern w:val="2"/>
          <w:szCs w:val="28"/>
        </w:rPr>
        <w:t>依法缴纳社会保障资金缴费证明资料复印件加盖公章；</w:t>
      </w:r>
    </w:p>
    <w:p>
      <w:pPr>
        <w:pStyle w:val="179"/>
        <w:ind w:firstLine="560"/>
        <w:rPr>
          <w:rFonts w:ascii="仿宋" w:hAnsi="仿宋" w:cs="仿宋"/>
          <w:bCs/>
          <w:kern w:val="2"/>
          <w:szCs w:val="28"/>
        </w:rPr>
      </w:pPr>
      <w:r>
        <w:rPr>
          <w:rFonts w:hint="eastAsia" w:ascii="仿宋" w:hAnsi="仿宋" w:cs="仿宋"/>
          <w:bCs/>
          <w:kern w:val="2"/>
          <w:szCs w:val="28"/>
        </w:rPr>
        <w:t>5、投标人在“信用中国”网站（www.creditchina.gov.cn）①首页截图，首页截图应含有公司查询结果基本信息及报告查看时间并加盖公章，截图时间节点须在发布公告之日起至投标截止时间前；②“信用服务”一栏中的未被列入失信被执行人的截图、未被列入重大税收违法案件当事人、未被列入政府采购严重违法失信名单的截图加盖公章；</w:t>
      </w:r>
    </w:p>
    <w:p>
      <w:pPr>
        <w:pStyle w:val="179"/>
        <w:ind w:firstLine="560"/>
        <w:rPr>
          <w:rFonts w:ascii="仿宋" w:hAnsi="仿宋" w:cs="仿宋"/>
          <w:bCs/>
          <w:kern w:val="2"/>
          <w:szCs w:val="28"/>
        </w:rPr>
      </w:pPr>
      <w:r>
        <w:rPr>
          <w:rFonts w:hint="eastAsia" w:ascii="仿宋" w:hAnsi="仿宋" w:cs="仿宋"/>
          <w:bCs/>
          <w:kern w:val="2"/>
          <w:szCs w:val="28"/>
        </w:rPr>
        <w:t>6、参加本项目政府采购活动前三年内（成立不足三年的从成立之日起算），在经营活动中没有重大违法记录（需提供加盖公章的声明书）；</w:t>
      </w:r>
    </w:p>
    <w:p>
      <w:pPr>
        <w:pStyle w:val="179"/>
        <w:ind w:firstLine="560"/>
        <w:rPr>
          <w:rFonts w:ascii="仿宋" w:hAnsi="仿宋" w:cs="仿宋"/>
          <w:bCs/>
          <w:kern w:val="2"/>
          <w:szCs w:val="28"/>
        </w:rPr>
      </w:pPr>
      <w:r>
        <w:rPr>
          <w:rFonts w:hint="eastAsia" w:ascii="仿宋" w:hAnsi="仿宋" w:cs="仿宋"/>
          <w:bCs/>
          <w:kern w:val="2"/>
          <w:szCs w:val="28"/>
        </w:rPr>
        <w:t>7、投标人具有履行合同所必需的设备和专业技术能力（需提供承诺书加盖公章）；</w:t>
      </w:r>
    </w:p>
    <w:p>
      <w:pPr>
        <w:pStyle w:val="179"/>
        <w:ind w:firstLine="560"/>
        <w:rPr>
          <w:rFonts w:ascii="仿宋" w:hAnsi="仿宋" w:cs="仿宋"/>
          <w:bCs/>
          <w:kern w:val="2"/>
          <w:szCs w:val="28"/>
        </w:rPr>
      </w:pPr>
      <w:r>
        <w:rPr>
          <w:rFonts w:hint="eastAsia" w:ascii="仿宋" w:hAnsi="仿宋" w:cs="仿宋"/>
          <w:bCs/>
          <w:kern w:val="2"/>
          <w:szCs w:val="28"/>
        </w:rPr>
        <w:t>8、投标人符合法律、行政法规规定的其他条件（需提供承诺书加盖公章）；</w:t>
      </w:r>
    </w:p>
    <w:p>
      <w:pPr>
        <w:pStyle w:val="179"/>
        <w:ind w:firstLine="560"/>
        <w:rPr>
          <w:rFonts w:ascii="仿宋" w:hAnsi="仿宋" w:cs="仿宋"/>
          <w:bCs/>
          <w:kern w:val="2"/>
          <w:szCs w:val="28"/>
        </w:rPr>
      </w:pPr>
      <w:r>
        <w:rPr>
          <w:rFonts w:hint="eastAsia" w:ascii="仿宋" w:hAnsi="仿宋" w:cs="仿宋"/>
          <w:bCs/>
          <w:kern w:val="2"/>
          <w:szCs w:val="28"/>
        </w:rPr>
        <w:t>9、投标人报名、购买本项目竞争性磋商文件并按时缴交保证金（提供银行转账回单和开户许可证复印件并加盖公章）；</w:t>
      </w:r>
    </w:p>
    <w:p>
      <w:pPr>
        <w:ind w:firstLine="560"/>
      </w:pPr>
      <w:r>
        <w:rPr>
          <w:rFonts w:hint="eastAsia" w:ascii="仿宋" w:hAnsi="仿宋" w:eastAsia="仿宋" w:cs="仿宋"/>
          <w:bCs/>
          <w:szCs w:val="28"/>
        </w:rPr>
        <w:t>10、本项目不接受联合体投标。</w:t>
      </w:r>
    </w:p>
    <w:p>
      <w:pPr>
        <w:pStyle w:val="173"/>
        <w:rPr>
          <w:rFonts w:ascii="仿宋" w:hAnsi="仿宋" w:eastAsia="仿宋" w:cs="仿宋"/>
        </w:rPr>
      </w:pPr>
      <w:bookmarkStart w:id="45" w:name="_Toc4186"/>
      <w:r>
        <w:rPr>
          <w:rFonts w:hint="eastAsia"/>
        </w:rPr>
        <w:t>磋商文件的获取</w:t>
      </w:r>
      <w:bookmarkEnd w:id="38"/>
      <w:bookmarkEnd w:id="39"/>
      <w:bookmarkEnd w:id="40"/>
      <w:bookmarkEnd w:id="45"/>
    </w:p>
    <w:p>
      <w:pPr>
        <w:pStyle w:val="174"/>
        <w:rPr>
          <w:rFonts w:ascii="仿宋" w:hAnsi="仿宋" w:eastAsia="仿宋" w:cs="仿宋"/>
          <w:color w:val="auto"/>
          <w:kern w:val="2"/>
          <w:szCs w:val="22"/>
        </w:rPr>
      </w:pPr>
      <w:r>
        <w:rPr>
          <w:rFonts w:hint="eastAsia" w:ascii="仿宋" w:hAnsi="仿宋" w:eastAsia="仿宋" w:cs="仿宋"/>
          <w:color w:val="auto"/>
          <w:kern w:val="2"/>
          <w:szCs w:val="22"/>
        </w:rPr>
        <w:t>获取磋商文件时须提供</w:t>
      </w:r>
    </w:p>
    <w:p>
      <w:pPr>
        <w:pStyle w:val="179"/>
        <w:ind w:firstLine="560"/>
        <w:rPr>
          <w:rFonts w:ascii="仿宋" w:hAnsi="仿宋" w:cs="仿宋"/>
        </w:rPr>
      </w:pPr>
      <w:r>
        <w:rPr>
          <w:rFonts w:hint="eastAsia" w:ascii="仿宋" w:hAnsi="仿宋" w:cs="仿宋"/>
        </w:rPr>
        <w:t>1、营业执照副本、组织机构代码证副本、税务登记证副本或三证合一证件；</w:t>
      </w:r>
      <w:r>
        <w:rPr>
          <w:rFonts w:hint="eastAsia" w:ascii="仿宋" w:hAnsi="仿宋" w:cs="仿宋"/>
          <w:kern w:val="2"/>
          <w:szCs w:val="22"/>
        </w:rPr>
        <w:t>（复印件加盖公章，原件备查）</w:t>
      </w:r>
    </w:p>
    <w:p>
      <w:pPr>
        <w:pStyle w:val="179"/>
        <w:ind w:firstLine="560"/>
        <w:rPr>
          <w:rFonts w:ascii="仿宋" w:hAnsi="仿宋" w:cs="仿宋"/>
          <w:kern w:val="2"/>
          <w:szCs w:val="22"/>
        </w:rPr>
      </w:pPr>
      <w:r>
        <w:rPr>
          <w:rFonts w:hint="eastAsia" w:ascii="仿宋" w:hAnsi="仿宋" w:cs="仿宋"/>
          <w:kern w:val="2"/>
          <w:szCs w:val="22"/>
        </w:rPr>
        <w:t>2、</w:t>
      </w:r>
      <w:r>
        <w:rPr>
          <w:rFonts w:hint="eastAsia" w:ascii="仿宋" w:hAnsi="仿宋" w:cs="仿宋"/>
          <w:lang w:val="en-GB"/>
        </w:rPr>
        <w:t>法人前来报名，需提供法人证明文件（含法人身份证复印件）加盖公章，身份证原件备查；法定代表人授权委托人报名，需提供授权委托书（含身份证复印件）加盖公章，身份证原件备查。</w:t>
      </w:r>
    </w:p>
    <w:p>
      <w:pPr>
        <w:pStyle w:val="174"/>
        <w:rPr>
          <w:rFonts w:ascii="仿宋" w:hAnsi="仿宋" w:eastAsia="仿宋" w:cs="仿宋"/>
          <w:color w:val="auto"/>
          <w:kern w:val="2"/>
          <w:szCs w:val="22"/>
        </w:rPr>
      </w:pPr>
      <w:r>
        <w:rPr>
          <w:rFonts w:hint="eastAsia" w:ascii="仿宋" w:hAnsi="仿宋" w:eastAsia="仿宋" w:cs="仿宋"/>
          <w:color w:val="auto"/>
          <w:kern w:val="2"/>
          <w:szCs w:val="22"/>
        </w:rPr>
        <w:t>发售标书时间：2019年</w:t>
      </w:r>
      <w:r>
        <w:rPr>
          <w:rFonts w:hint="eastAsia" w:ascii="仿宋" w:hAnsi="仿宋" w:eastAsia="仿宋" w:cs="仿宋"/>
          <w:color w:val="auto"/>
          <w:kern w:val="2"/>
          <w:szCs w:val="22"/>
          <w:lang w:val="en-US" w:eastAsia="zh-CN"/>
        </w:rPr>
        <w:t>7</w:t>
      </w:r>
      <w:r>
        <w:rPr>
          <w:rFonts w:hint="eastAsia" w:ascii="仿宋" w:hAnsi="仿宋" w:eastAsia="仿宋" w:cs="仿宋"/>
          <w:color w:val="auto"/>
          <w:kern w:val="2"/>
          <w:szCs w:val="22"/>
        </w:rPr>
        <w:t>月2</w:t>
      </w:r>
      <w:r>
        <w:rPr>
          <w:rFonts w:hint="eastAsia" w:ascii="仿宋" w:hAnsi="仿宋" w:eastAsia="仿宋" w:cs="仿宋"/>
          <w:color w:val="auto"/>
          <w:kern w:val="2"/>
          <w:szCs w:val="22"/>
          <w:lang w:val="en-US" w:eastAsia="zh-CN"/>
        </w:rPr>
        <w:t>9</w:t>
      </w:r>
      <w:r>
        <w:rPr>
          <w:rFonts w:hint="eastAsia" w:ascii="仿宋" w:hAnsi="仿宋" w:eastAsia="仿宋" w:cs="仿宋"/>
          <w:color w:val="auto"/>
          <w:kern w:val="2"/>
          <w:szCs w:val="22"/>
        </w:rPr>
        <w:t>日09:00:00—2019年</w:t>
      </w:r>
      <w:r>
        <w:rPr>
          <w:rFonts w:hint="eastAsia" w:ascii="仿宋" w:hAnsi="仿宋" w:eastAsia="仿宋" w:cs="仿宋"/>
          <w:color w:val="auto"/>
          <w:kern w:val="2"/>
          <w:szCs w:val="22"/>
          <w:lang w:val="en-US" w:eastAsia="zh-CN"/>
        </w:rPr>
        <w:t>8</w:t>
      </w:r>
      <w:r>
        <w:rPr>
          <w:rFonts w:hint="eastAsia" w:ascii="仿宋" w:hAnsi="仿宋" w:eastAsia="仿宋" w:cs="仿宋"/>
          <w:color w:val="auto"/>
          <w:kern w:val="2"/>
          <w:szCs w:val="22"/>
        </w:rPr>
        <w:t>月</w:t>
      </w:r>
      <w:r>
        <w:rPr>
          <w:rFonts w:hint="eastAsia" w:ascii="仿宋" w:hAnsi="仿宋" w:eastAsia="仿宋" w:cs="仿宋"/>
          <w:color w:val="auto"/>
          <w:kern w:val="2"/>
          <w:szCs w:val="22"/>
          <w:lang w:val="en-US" w:eastAsia="zh-CN"/>
        </w:rPr>
        <w:t>2</w:t>
      </w:r>
      <w:r>
        <w:rPr>
          <w:rFonts w:hint="eastAsia" w:ascii="仿宋" w:hAnsi="仿宋" w:eastAsia="仿宋" w:cs="仿宋"/>
          <w:color w:val="auto"/>
          <w:kern w:val="2"/>
          <w:szCs w:val="22"/>
        </w:rPr>
        <w:t>日17:00:00。</w:t>
      </w:r>
    </w:p>
    <w:p>
      <w:pPr>
        <w:pStyle w:val="174"/>
        <w:rPr>
          <w:rFonts w:ascii="仿宋" w:hAnsi="仿宋" w:eastAsia="仿宋" w:cs="仿宋"/>
          <w:color w:val="auto"/>
          <w:kern w:val="2"/>
          <w:szCs w:val="22"/>
        </w:rPr>
      </w:pPr>
      <w:r>
        <w:rPr>
          <w:rFonts w:hint="eastAsia" w:ascii="仿宋" w:hAnsi="仿宋" w:eastAsia="仿宋" w:cs="仿宋"/>
          <w:color w:val="auto"/>
          <w:kern w:val="2"/>
          <w:szCs w:val="22"/>
        </w:rPr>
        <w:t>发售标书地点：海口市美兰区海甸岛碧海大道9号金茂滨江温泉花园3号楼一单元101。</w:t>
      </w:r>
      <w:r>
        <w:rPr>
          <w:rFonts w:hint="eastAsia" w:ascii="仿宋" w:hAnsi="仿宋" w:eastAsia="仿宋" w:cs="仿宋"/>
          <w:b/>
          <w:bCs/>
          <w:color w:val="auto"/>
          <w:kern w:val="2"/>
          <w:szCs w:val="22"/>
        </w:rPr>
        <w:t>（发售标书地点如有改变将另行通知）</w:t>
      </w:r>
    </w:p>
    <w:p>
      <w:pPr>
        <w:pStyle w:val="174"/>
        <w:rPr>
          <w:rFonts w:ascii="仿宋" w:hAnsi="仿宋" w:eastAsia="仿宋" w:cs="仿宋"/>
          <w:color w:val="auto"/>
          <w:kern w:val="2"/>
          <w:szCs w:val="22"/>
          <w:shd w:val="clear" w:color="auto" w:fill="FFFF00"/>
        </w:rPr>
      </w:pPr>
      <w:r>
        <w:rPr>
          <w:rFonts w:hint="eastAsia" w:ascii="仿宋" w:hAnsi="仿宋" w:eastAsia="仿宋" w:cs="仿宋"/>
          <w:color w:val="auto"/>
          <w:kern w:val="2"/>
          <w:szCs w:val="22"/>
        </w:rPr>
        <w:t>标书售价金额：磋商文件每套售价400.00元。</w:t>
      </w:r>
    </w:p>
    <w:p>
      <w:pPr>
        <w:pStyle w:val="174"/>
        <w:rPr>
          <w:rFonts w:ascii="仿宋" w:hAnsi="仿宋" w:eastAsia="仿宋" w:cs="仿宋"/>
          <w:bCs/>
          <w:color w:val="auto"/>
          <w:kern w:val="2"/>
        </w:rPr>
      </w:pPr>
      <w:r>
        <w:rPr>
          <w:rFonts w:hint="eastAsia" w:ascii="仿宋" w:hAnsi="仿宋" w:eastAsia="仿宋" w:cs="仿宋"/>
          <w:bCs/>
          <w:color w:val="auto"/>
          <w:kern w:val="2"/>
        </w:rPr>
        <w:t>投标截止时间、开标时间及地点（北京时间）</w:t>
      </w:r>
    </w:p>
    <w:p>
      <w:pPr>
        <w:ind w:firstLine="560"/>
        <w:rPr>
          <w:color w:val="auto"/>
        </w:rPr>
      </w:pPr>
      <w:r>
        <w:rPr>
          <w:rFonts w:hint="eastAsia"/>
        </w:rPr>
        <w:t>1、投标文件递交截止时间（投标截止时间）：</w:t>
      </w:r>
      <w:r>
        <w:rPr>
          <w:rFonts w:hint="eastAsia"/>
          <w:color w:val="auto"/>
        </w:rPr>
        <w:t>2019年</w:t>
      </w:r>
      <w:r>
        <w:rPr>
          <w:rFonts w:hint="eastAsia"/>
          <w:color w:val="auto"/>
          <w:lang w:val="en-US" w:eastAsia="zh-CN"/>
        </w:rPr>
        <w:t>08</w:t>
      </w:r>
      <w:r>
        <w:rPr>
          <w:rFonts w:hint="eastAsia"/>
          <w:color w:val="auto"/>
        </w:rPr>
        <w:t>月</w:t>
      </w:r>
      <w:r>
        <w:rPr>
          <w:rFonts w:hint="eastAsia"/>
          <w:color w:val="auto"/>
          <w:lang w:val="en-US" w:eastAsia="zh-CN"/>
        </w:rPr>
        <w:t>08</w:t>
      </w:r>
      <w:r>
        <w:rPr>
          <w:rFonts w:hint="eastAsia"/>
          <w:color w:val="auto"/>
        </w:rPr>
        <w:t>日09:30:00（北京时间）。</w:t>
      </w:r>
    </w:p>
    <w:p>
      <w:pPr>
        <w:ind w:firstLine="560"/>
        <w:rPr>
          <w:color w:val="auto"/>
        </w:rPr>
      </w:pPr>
      <w:r>
        <w:rPr>
          <w:rFonts w:hint="eastAsia"/>
          <w:color w:val="auto"/>
        </w:rPr>
        <w:t>2、投标文件递交地址：</w:t>
      </w:r>
      <w:r>
        <w:rPr>
          <w:rFonts w:hint="eastAsia" w:ascii="仿宋" w:hAnsi="仿宋" w:eastAsia="仿宋" w:cs="仿宋"/>
          <w:bCs/>
          <w:color w:val="auto"/>
          <w:szCs w:val="21"/>
          <w:lang w:val="en-GB"/>
        </w:rPr>
        <w:t>海南省海口市海秀东路74号鸿泰大厦14层</w:t>
      </w:r>
      <w:r>
        <w:rPr>
          <w:rFonts w:hint="eastAsia" w:ascii="仿宋" w:hAnsi="仿宋" w:eastAsia="仿宋" w:cs="仿宋"/>
          <w:bCs/>
          <w:color w:val="auto"/>
          <w:szCs w:val="21"/>
        </w:rPr>
        <w:t>1号</w:t>
      </w:r>
      <w:r>
        <w:rPr>
          <w:rFonts w:hint="eastAsia" w:ascii="仿宋" w:hAnsi="仿宋" w:eastAsia="仿宋" w:cs="仿宋"/>
          <w:bCs/>
          <w:color w:val="auto"/>
          <w:szCs w:val="21"/>
          <w:lang w:val="en-GB"/>
        </w:rPr>
        <w:t>开标室</w:t>
      </w:r>
      <w:r>
        <w:rPr>
          <w:rFonts w:hint="eastAsia" w:ascii="仿宋" w:hAnsi="仿宋" w:eastAsia="仿宋" w:cs="仿宋"/>
          <w:bCs/>
          <w:color w:val="auto"/>
          <w:szCs w:val="21"/>
        </w:rPr>
        <w:t>。</w:t>
      </w:r>
    </w:p>
    <w:p>
      <w:pPr>
        <w:ind w:firstLine="560"/>
      </w:pPr>
      <w:r>
        <w:rPr>
          <w:rFonts w:hint="eastAsia"/>
          <w:color w:val="auto"/>
        </w:rPr>
        <w:t>3、开标时间：2019年</w:t>
      </w:r>
      <w:r>
        <w:rPr>
          <w:rFonts w:hint="eastAsia"/>
          <w:color w:val="auto"/>
          <w:lang w:val="en-US" w:eastAsia="zh-CN"/>
        </w:rPr>
        <w:t>08</w:t>
      </w:r>
      <w:r>
        <w:rPr>
          <w:rFonts w:hint="eastAsia"/>
          <w:color w:val="auto"/>
        </w:rPr>
        <w:t>月</w:t>
      </w:r>
      <w:r>
        <w:rPr>
          <w:rFonts w:hint="eastAsia"/>
          <w:color w:val="auto"/>
          <w:lang w:val="en-US" w:eastAsia="zh-CN"/>
        </w:rPr>
        <w:t>08</w:t>
      </w:r>
      <w:r>
        <w:rPr>
          <w:rFonts w:hint="eastAsia"/>
          <w:color w:val="auto"/>
        </w:rPr>
        <w:t>日09:30:00</w:t>
      </w:r>
      <w:r>
        <w:rPr>
          <w:rFonts w:hint="eastAsia"/>
        </w:rPr>
        <w:t>（北京时间）。</w:t>
      </w:r>
    </w:p>
    <w:p>
      <w:pPr>
        <w:ind w:firstLine="560"/>
      </w:pPr>
      <w:r>
        <w:rPr>
          <w:rFonts w:hint="eastAsia"/>
        </w:rPr>
        <w:t>4、开标地点：</w:t>
      </w:r>
      <w:r>
        <w:rPr>
          <w:rFonts w:hint="eastAsia" w:ascii="仿宋" w:hAnsi="仿宋" w:eastAsia="仿宋" w:cs="仿宋"/>
          <w:bCs/>
          <w:szCs w:val="21"/>
          <w:lang w:val="en-GB"/>
        </w:rPr>
        <w:t>海南省海口市海秀东路74号鸿泰大厦14层</w:t>
      </w:r>
      <w:r>
        <w:rPr>
          <w:rFonts w:hint="eastAsia" w:ascii="仿宋" w:hAnsi="仿宋" w:eastAsia="仿宋" w:cs="仿宋"/>
          <w:bCs/>
          <w:szCs w:val="21"/>
        </w:rPr>
        <w:t>1号</w:t>
      </w:r>
      <w:r>
        <w:rPr>
          <w:rFonts w:hint="eastAsia" w:ascii="仿宋" w:hAnsi="仿宋" w:eastAsia="仿宋" w:cs="仿宋"/>
          <w:bCs/>
          <w:szCs w:val="21"/>
          <w:lang w:val="en-GB"/>
        </w:rPr>
        <w:t>开标室</w:t>
      </w:r>
      <w:r>
        <w:rPr>
          <w:rFonts w:hint="eastAsia" w:ascii="仿宋" w:hAnsi="仿宋" w:eastAsia="仿宋" w:cs="仿宋"/>
          <w:bCs/>
          <w:szCs w:val="21"/>
        </w:rPr>
        <w:t>。</w:t>
      </w:r>
    </w:p>
    <w:p>
      <w:pPr>
        <w:tabs>
          <w:tab w:val="left" w:pos="360"/>
        </w:tabs>
        <w:ind w:firstLine="562"/>
        <w:rPr>
          <w:rFonts w:ascii="仿宋" w:hAnsi="仿宋" w:eastAsia="仿宋" w:cs="仿宋"/>
          <w:b/>
          <w:bCs/>
        </w:rPr>
      </w:pPr>
      <w:r>
        <w:rPr>
          <w:rFonts w:hint="eastAsia" w:ascii="仿宋" w:hAnsi="仿宋" w:eastAsia="仿宋" w:cs="仿宋"/>
          <w:b/>
          <w:bCs/>
        </w:rPr>
        <w:t>（投标文件递交截止时间及递交地点如有改变将另行通知）</w:t>
      </w:r>
    </w:p>
    <w:p>
      <w:pPr>
        <w:pStyle w:val="173"/>
        <w:rPr>
          <w:rFonts w:ascii="仿宋" w:hAnsi="仿宋" w:eastAsia="仿宋" w:cs="仿宋"/>
        </w:rPr>
      </w:pPr>
      <w:bookmarkStart w:id="46" w:name="_Toc13219"/>
      <w:r>
        <w:rPr>
          <w:rFonts w:hint="eastAsia" w:ascii="仿宋" w:hAnsi="仿宋" w:eastAsia="仿宋" w:cs="仿宋"/>
        </w:rPr>
        <w:t>磋商保证金</w:t>
      </w:r>
      <w:bookmarkEnd w:id="46"/>
    </w:p>
    <w:p>
      <w:pPr>
        <w:ind w:firstLine="560"/>
      </w:pPr>
      <w:r>
        <w:rPr>
          <w:rFonts w:hint="eastAsia"/>
        </w:rPr>
        <w:t>投标保证金的金额：人民币3000.00元；</w:t>
      </w:r>
      <w:r>
        <w:rPr>
          <w:rFonts w:hint="eastAsia"/>
          <w:color w:val="auto"/>
        </w:rPr>
        <w:t>保证金到账日期为投标</w:t>
      </w:r>
      <w:r>
        <w:rPr>
          <w:rFonts w:hint="eastAsia"/>
        </w:rPr>
        <w:t>截止时间前（北京时间）；保证金用途：</w:t>
      </w:r>
      <w:r>
        <w:rPr>
          <w:rFonts w:hint="eastAsia"/>
          <w:u w:val="single"/>
        </w:rPr>
        <w:t>海南省图书馆配置硬件设备采购项目A包：《</w:t>
      </w:r>
      <w:r>
        <w:rPr>
          <w:rFonts w:hint="eastAsia"/>
          <w:bCs/>
          <w:u w:val="single"/>
        </w:rPr>
        <w:t>视听阅览室电子资源展示设备采购</w:t>
      </w:r>
      <w:r>
        <w:rPr>
          <w:rFonts w:hint="eastAsia"/>
          <w:u w:val="single"/>
        </w:rPr>
        <w:t>》QSZB-2019-03磋商保证金</w:t>
      </w:r>
      <w:r>
        <w:rPr>
          <w:rFonts w:hint="eastAsia"/>
        </w:rPr>
        <w:t>；投标保证金的形式：基本户转账，不接受现金，支付到指定账户：</w:t>
      </w:r>
    </w:p>
    <w:p>
      <w:pPr>
        <w:widowControl/>
        <w:shd w:val="solid" w:color="FFFFFF" w:fill="938953" w:themeFill="background2" w:themeFillShade="7F"/>
        <w:autoSpaceDN w:val="0"/>
        <w:snapToGrid w:val="0"/>
        <w:ind w:firstLine="1038" w:firstLineChars="371"/>
        <w:jc w:val="left"/>
        <w:rPr>
          <w:rFonts w:ascii="仿宋" w:hAnsi="仿宋" w:eastAsia="仿宋" w:cs="仿宋"/>
        </w:rPr>
      </w:pPr>
      <w:r>
        <w:rPr>
          <w:rFonts w:hint="eastAsia" w:ascii="仿宋" w:hAnsi="仿宋" w:eastAsia="仿宋" w:cs="仿宋"/>
        </w:rPr>
        <w:t>户  名：海南琪硕招投标有限公司</w:t>
      </w:r>
    </w:p>
    <w:p>
      <w:pPr>
        <w:widowControl/>
        <w:shd w:val="solid" w:color="FFFFFF" w:fill="938953" w:themeFill="background2" w:themeFillShade="7F"/>
        <w:autoSpaceDN w:val="0"/>
        <w:snapToGrid w:val="0"/>
        <w:ind w:firstLine="1038" w:firstLineChars="371"/>
        <w:jc w:val="left"/>
        <w:rPr>
          <w:rFonts w:ascii="仿宋" w:hAnsi="仿宋" w:eastAsia="仿宋" w:cs="仿宋"/>
        </w:rPr>
      </w:pPr>
      <w:r>
        <w:rPr>
          <w:rFonts w:hint="eastAsia" w:ascii="仿宋" w:hAnsi="仿宋" w:eastAsia="仿宋" w:cs="仿宋"/>
        </w:rPr>
        <w:t>开户行：中国建设银行股份有限公司海口海甸五东路支行</w:t>
      </w:r>
    </w:p>
    <w:p>
      <w:pPr>
        <w:widowControl/>
        <w:shd w:val="solid" w:color="FFFFFF" w:fill="938953" w:themeFill="background2" w:themeFillShade="7F"/>
        <w:autoSpaceDN w:val="0"/>
        <w:snapToGrid w:val="0"/>
        <w:ind w:firstLine="1038" w:firstLineChars="371"/>
        <w:jc w:val="left"/>
        <w:rPr>
          <w:rFonts w:ascii="仿宋" w:hAnsi="仿宋" w:eastAsia="仿宋" w:cs="仿宋"/>
        </w:rPr>
      </w:pPr>
      <w:r>
        <w:rPr>
          <w:rFonts w:hint="eastAsia" w:ascii="仿宋" w:hAnsi="仿宋" w:eastAsia="仿宋" w:cs="仿宋"/>
        </w:rPr>
        <w:t>账  户：46050100743600000362</w:t>
      </w:r>
    </w:p>
    <w:p>
      <w:pPr>
        <w:pStyle w:val="173"/>
        <w:rPr>
          <w:rFonts w:ascii="仿宋" w:hAnsi="仿宋" w:eastAsia="仿宋" w:cs="仿宋"/>
          <w:u w:val="single"/>
        </w:rPr>
      </w:pPr>
      <w:bookmarkStart w:id="47" w:name="_Toc3578"/>
      <w:r>
        <w:rPr>
          <w:rFonts w:hint="eastAsia" w:ascii="仿宋" w:hAnsi="仿宋" w:eastAsia="仿宋" w:cs="仿宋"/>
        </w:rPr>
        <w:t>公告发布媒介：</w:t>
      </w:r>
      <w:r>
        <w:rPr>
          <w:rFonts w:hint="eastAsia" w:ascii="仿宋" w:hAnsi="仿宋" w:eastAsia="仿宋" w:cs="仿宋"/>
          <w:b w:val="0"/>
          <w:u w:val="single"/>
        </w:rPr>
        <w:t>中国海南政府采购网。</w:t>
      </w:r>
      <w:bookmarkEnd w:id="47"/>
    </w:p>
    <w:p>
      <w:pPr>
        <w:ind w:firstLine="560"/>
      </w:pPr>
      <w:r>
        <w:rPr>
          <w:rFonts w:hint="eastAsia" w:ascii="仿宋" w:hAnsi="仿宋" w:eastAsia="仿宋" w:cs="仿宋"/>
        </w:rPr>
        <w:br w:type="page"/>
      </w:r>
    </w:p>
    <w:p>
      <w:pPr>
        <w:pStyle w:val="173"/>
        <w:rPr>
          <w:rFonts w:ascii="仿宋" w:hAnsi="仿宋" w:eastAsia="仿宋" w:cs="仿宋"/>
        </w:rPr>
      </w:pPr>
      <w:bookmarkStart w:id="48" w:name="_Toc31956"/>
      <w:r>
        <w:rPr>
          <w:rFonts w:hint="eastAsia" w:ascii="仿宋" w:hAnsi="仿宋" w:eastAsia="仿宋" w:cs="仿宋"/>
          <w:lang w:val="zh-CN"/>
        </w:rPr>
        <w:t>采购单位及采购代理机构联系方式</w:t>
      </w:r>
      <w:bookmarkEnd w:id="48"/>
    </w:p>
    <w:tbl>
      <w:tblPr>
        <w:tblStyle w:val="79"/>
        <w:tblW w:w="8865" w:type="dxa"/>
        <w:tblInd w:w="2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1"/>
        <w:gridCol w:w="3149"/>
        <w:gridCol w:w="1126"/>
        <w:gridCol w:w="3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trPr>
        <w:tc>
          <w:tcPr>
            <w:tcW w:w="4650"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rStyle w:val="459"/>
                <w:rFonts w:ascii="仿宋" w:hAnsi="仿宋" w:eastAsia="仿宋" w:cs="仿宋"/>
                <w:sz w:val="24"/>
                <w:szCs w:val="24"/>
              </w:rPr>
            </w:pPr>
            <w:r>
              <w:rPr>
                <w:rStyle w:val="459"/>
                <w:rFonts w:hint="eastAsia" w:ascii="仿宋" w:hAnsi="仿宋" w:eastAsia="仿宋" w:cs="仿宋"/>
                <w:sz w:val="24"/>
                <w:szCs w:val="24"/>
              </w:rPr>
              <w:t>采购单位</w:t>
            </w:r>
          </w:p>
        </w:tc>
        <w:tc>
          <w:tcPr>
            <w:tcW w:w="4215"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rStyle w:val="459"/>
                <w:rFonts w:ascii="仿宋" w:hAnsi="仿宋" w:eastAsia="仿宋" w:cs="仿宋"/>
                <w:sz w:val="24"/>
                <w:szCs w:val="24"/>
              </w:rPr>
            </w:pPr>
            <w:r>
              <w:rPr>
                <w:rFonts w:hint="eastAsia" w:ascii="仿宋" w:hAnsi="仿宋" w:eastAsia="仿宋" w:cs="仿宋"/>
                <w:sz w:val="24"/>
                <w:szCs w:val="24"/>
              </w:rPr>
              <w:t>采购代理机构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01"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名称</w:t>
            </w:r>
          </w:p>
        </w:tc>
        <w:tc>
          <w:tcPr>
            <w:tcW w:w="314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海南省图书馆</w:t>
            </w:r>
          </w:p>
        </w:tc>
        <w:tc>
          <w:tcPr>
            <w:tcW w:w="1126"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名称</w:t>
            </w:r>
          </w:p>
        </w:tc>
        <w:tc>
          <w:tcPr>
            <w:tcW w:w="308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海南琪硕招投标有限公司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1501"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地址</w:t>
            </w:r>
          </w:p>
        </w:tc>
        <w:tc>
          <w:tcPr>
            <w:tcW w:w="314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lang w:val="zh-CN"/>
              </w:rPr>
              <w:t>海南省海口市琼山区国兴大道36号海南省图书馆</w:t>
            </w:r>
          </w:p>
        </w:tc>
        <w:tc>
          <w:tcPr>
            <w:tcW w:w="1126"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地址</w:t>
            </w:r>
          </w:p>
        </w:tc>
        <w:tc>
          <w:tcPr>
            <w:tcW w:w="308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海口市美兰区新埠岛西苑路25号海南之心二期-彼岸3#住宅楼二单元301房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1" w:hRule="atLeast"/>
        </w:trPr>
        <w:tc>
          <w:tcPr>
            <w:tcW w:w="1501"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联系人</w:t>
            </w:r>
          </w:p>
        </w:tc>
        <w:tc>
          <w:tcPr>
            <w:tcW w:w="314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lang w:val="zh-CN"/>
              </w:rPr>
            </w:pPr>
            <w:r>
              <w:rPr>
                <w:rStyle w:val="459"/>
                <w:rFonts w:hint="eastAsia" w:ascii="仿宋" w:hAnsi="仿宋" w:eastAsia="仿宋" w:cs="仿宋"/>
                <w:sz w:val="24"/>
                <w:szCs w:val="24"/>
                <w:lang w:val="zh-CN"/>
              </w:rPr>
              <w:t>李先生</w:t>
            </w:r>
          </w:p>
        </w:tc>
        <w:tc>
          <w:tcPr>
            <w:tcW w:w="1126"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联系人</w:t>
            </w:r>
          </w:p>
        </w:tc>
        <w:tc>
          <w:tcPr>
            <w:tcW w:w="308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黄工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01"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电话</w:t>
            </w:r>
          </w:p>
        </w:tc>
        <w:tc>
          <w:tcPr>
            <w:tcW w:w="314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lang w:val="zh-CN"/>
              </w:rPr>
            </w:pPr>
            <w:r>
              <w:rPr>
                <w:rStyle w:val="459"/>
                <w:rFonts w:hint="eastAsia" w:ascii="仿宋" w:hAnsi="仿宋" w:eastAsia="仿宋" w:cs="仿宋"/>
                <w:sz w:val="24"/>
                <w:szCs w:val="24"/>
              </w:rPr>
              <w:t>0898-65220566</w:t>
            </w:r>
          </w:p>
        </w:tc>
        <w:tc>
          <w:tcPr>
            <w:tcW w:w="1126"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电话</w:t>
            </w:r>
          </w:p>
        </w:tc>
        <w:tc>
          <w:tcPr>
            <w:tcW w:w="308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13976348860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01"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邮箱</w:t>
            </w:r>
          </w:p>
        </w:tc>
        <w:tc>
          <w:tcPr>
            <w:tcW w:w="314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p>
        </w:tc>
        <w:tc>
          <w:tcPr>
            <w:tcW w:w="1126"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r>
              <w:rPr>
                <w:rStyle w:val="459"/>
                <w:rFonts w:hint="eastAsia" w:ascii="仿宋" w:hAnsi="仿宋" w:eastAsia="仿宋" w:cs="仿宋"/>
                <w:sz w:val="24"/>
                <w:szCs w:val="24"/>
              </w:rPr>
              <w:t>邮箱</w:t>
            </w:r>
          </w:p>
        </w:tc>
        <w:tc>
          <w:tcPr>
            <w:tcW w:w="3089" w:type="dxa"/>
            <w:tcBorders>
              <w:top w:val="single" w:color="auto" w:sz="4" w:space="0"/>
              <w:left w:val="single" w:color="auto" w:sz="4" w:space="0"/>
              <w:bottom w:val="single" w:color="auto" w:sz="4" w:space="0"/>
              <w:right w:val="single" w:color="auto" w:sz="4" w:space="0"/>
            </w:tcBorders>
          </w:tcPr>
          <w:p>
            <w:pPr>
              <w:ind w:firstLine="0" w:firstLineChars="0"/>
              <w:jc w:val="left"/>
              <w:rPr>
                <w:rStyle w:val="459"/>
                <w:rFonts w:ascii="仿宋" w:hAnsi="仿宋" w:eastAsia="仿宋" w:cs="仿宋"/>
                <w:sz w:val="24"/>
                <w:szCs w:val="24"/>
              </w:rPr>
            </w:pPr>
          </w:p>
        </w:tc>
      </w:tr>
    </w:tbl>
    <w:p>
      <w:pPr>
        <w:pStyle w:val="172"/>
        <w:spacing w:line="360" w:lineRule="auto"/>
        <w:rPr>
          <w:rFonts w:ascii="仿宋" w:hAnsi="仿宋" w:eastAsia="仿宋" w:cs="仿宋"/>
          <w:bCs/>
        </w:rPr>
      </w:pPr>
      <w:bookmarkStart w:id="49" w:name="_Toc474854518"/>
      <w:bookmarkStart w:id="50" w:name="_Toc5971"/>
      <w:r>
        <w:rPr>
          <w:rFonts w:hint="eastAsia" w:ascii="仿宋" w:hAnsi="仿宋" w:eastAsia="仿宋" w:cs="仿宋"/>
        </w:rPr>
        <w:t>第二章 投标人须知</w:t>
      </w:r>
      <w:bookmarkEnd w:id="41"/>
      <w:bookmarkEnd w:id="42"/>
      <w:bookmarkEnd w:id="43"/>
      <w:bookmarkEnd w:id="44"/>
      <w:bookmarkEnd w:id="49"/>
      <w:bookmarkEnd w:id="50"/>
    </w:p>
    <w:p>
      <w:pPr>
        <w:pStyle w:val="173"/>
        <w:rPr>
          <w:rFonts w:ascii="仿宋" w:hAnsi="仿宋" w:eastAsia="仿宋" w:cs="仿宋"/>
        </w:rPr>
      </w:pPr>
      <w:bookmarkStart w:id="51" w:name="_Toc16938519"/>
      <w:bookmarkStart w:id="52" w:name="_Toc120614214"/>
      <w:bookmarkStart w:id="53" w:name="_Toc20823275"/>
      <w:bookmarkStart w:id="54" w:name="_Toc403987205"/>
      <w:bookmarkStart w:id="55" w:name="_Toc12442"/>
      <w:bookmarkStart w:id="56" w:name="_Toc513029203"/>
      <w:bookmarkStart w:id="57" w:name="_Toc474854519"/>
      <w:r>
        <w:rPr>
          <w:rFonts w:hint="eastAsia" w:ascii="仿宋" w:hAnsi="仿宋" w:eastAsia="仿宋" w:cs="仿宋"/>
        </w:rPr>
        <w:t>总则</w:t>
      </w:r>
      <w:bookmarkEnd w:id="51"/>
      <w:bookmarkEnd w:id="52"/>
      <w:bookmarkEnd w:id="53"/>
      <w:bookmarkEnd w:id="54"/>
      <w:bookmarkEnd w:id="55"/>
      <w:bookmarkEnd w:id="56"/>
      <w:bookmarkEnd w:id="57"/>
    </w:p>
    <w:p>
      <w:pPr>
        <w:pStyle w:val="174"/>
        <w:rPr>
          <w:rFonts w:ascii="仿宋" w:hAnsi="仿宋" w:eastAsia="仿宋" w:cs="仿宋"/>
          <w:color w:val="auto"/>
        </w:rPr>
      </w:pPr>
      <w:bookmarkStart w:id="58" w:name="_Hlt16619475"/>
      <w:bookmarkEnd w:id="58"/>
      <w:bookmarkStart w:id="59" w:name="_Toc20823276"/>
      <w:bookmarkStart w:id="60" w:name="_Toc16938520"/>
      <w:bookmarkStart w:id="61" w:name="_Toc513029204"/>
      <w:r>
        <w:rPr>
          <w:rFonts w:hint="eastAsia" w:ascii="仿宋" w:hAnsi="仿宋" w:eastAsia="仿宋" w:cs="仿宋"/>
          <w:color w:val="auto"/>
        </w:rPr>
        <w:t>采购方式</w:t>
      </w:r>
      <w:bookmarkEnd w:id="59"/>
      <w:bookmarkEnd w:id="60"/>
      <w:bookmarkEnd w:id="61"/>
      <w:r>
        <w:rPr>
          <w:rFonts w:hint="eastAsia" w:ascii="仿宋" w:hAnsi="仿宋" w:eastAsia="仿宋" w:cs="仿宋"/>
          <w:color w:val="auto"/>
        </w:rPr>
        <w:t>、定义及相应职责</w:t>
      </w:r>
    </w:p>
    <w:p>
      <w:pPr>
        <w:pStyle w:val="179"/>
        <w:ind w:firstLine="560"/>
        <w:rPr>
          <w:rFonts w:ascii="仿宋" w:hAnsi="仿宋" w:cs="仿宋"/>
        </w:rPr>
      </w:pPr>
      <w:r>
        <w:rPr>
          <w:rFonts w:hint="eastAsia" w:ascii="仿宋" w:hAnsi="仿宋" w:cs="仿宋"/>
        </w:rPr>
        <w:t>本次采购采用</w:t>
      </w:r>
      <w:r>
        <w:rPr>
          <w:rFonts w:hint="eastAsia" w:ascii="仿宋" w:hAnsi="仿宋" w:cs="仿宋"/>
          <w:u w:val="single"/>
        </w:rPr>
        <w:t>竞争性磋商</w:t>
      </w:r>
      <w:r>
        <w:rPr>
          <w:rFonts w:hint="eastAsia" w:ascii="仿宋" w:hAnsi="仿宋" w:cs="仿宋"/>
        </w:rPr>
        <w:t>方式（以下简称磋商），本竞争性磋商文件仅适用于竞争性磋商公告中所述项目。</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1.“采购人”系指依法进行政府采购的国家机关、事业单位、团体组织。本次招标的采购人是</w:t>
      </w:r>
      <w:r>
        <w:rPr>
          <w:rFonts w:hint="eastAsia" w:ascii="仿宋" w:hAnsi="仿宋" w:eastAsia="仿宋" w:cs="仿宋"/>
          <w:kern w:val="0"/>
          <w:szCs w:val="20"/>
          <w:u w:val="single"/>
        </w:rPr>
        <w:t>海南省图书馆</w:t>
      </w:r>
      <w:r>
        <w:rPr>
          <w:rFonts w:hint="eastAsia" w:ascii="仿宋" w:hAnsi="仿宋" w:eastAsia="仿宋" w:cs="仿宋"/>
          <w:kern w:val="0"/>
          <w:szCs w:val="20"/>
        </w:rPr>
        <w:t>。</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2.“采购代理机构”系指根据采购人的委托依法办理招标事宜的采购机构。本次招标的采购代理机构是</w:t>
      </w:r>
      <w:r>
        <w:rPr>
          <w:rFonts w:hint="eastAsia" w:ascii="仿宋" w:hAnsi="仿宋" w:eastAsia="仿宋" w:cs="仿宋"/>
          <w:kern w:val="0"/>
          <w:szCs w:val="20"/>
          <w:u w:val="single"/>
        </w:rPr>
        <w:t>海南琪硕招投标有限公司</w:t>
      </w:r>
      <w:r>
        <w:rPr>
          <w:rFonts w:hint="eastAsia" w:ascii="仿宋" w:hAnsi="仿宋" w:eastAsia="仿宋" w:cs="仿宋"/>
          <w:kern w:val="0"/>
          <w:szCs w:val="20"/>
        </w:rPr>
        <w:t>。</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3.“招标采购单位”系指“采购人”和“采购代理机构”的统称。</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4.“投标人”系指购买了招标文件拟参加投标和向采购人提供货物及相应服务的供应商。对招标文件错、漏之处提出澄清、说明要求或质疑；按要求缴纳磋商保证金；按要求编制投标文件；派投标代表投标（递交投标文件），参加开标活动，对评审小组就投标文件提出的问题进行澄清；“投标代表”系指在投标过程中代表投标单位处理投标事宜的人员，包括投标单位法定代表人或负责人及取得授权的投标单位人员；配合相关职能部门就招标采购项目的质疑、投诉和举报的处理工作；与采购人签订采购合同，按照合同规定向采购人提供技术服务；政府采购法律法规所规定的其他职责。</w:t>
      </w:r>
    </w:p>
    <w:p>
      <w:pPr>
        <w:pStyle w:val="174"/>
        <w:rPr>
          <w:rFonts w:ascii="仿宋" w:hAnsi="仿宋" w:eastAsia="仿宋" w:cs="仿宋"/>
          <w:color w:val="auto"/>
        </w:rPr>
      </w:pPr>
      <w:bookmarkStart w:id="62" w:name="_Toc16938521"/>
      <w:bookmarkStart w:id="63" w:name="_Toc20823277"/>
      <w:bookmarkStart w:id="64" w:name="_Toc513029205"/>
      <w:r>
        <w:rPr>
          <w:rFonts w:hint="eastAsia" w:ascii="仿宋" w:hAnsi="仿宋" w:eastAsia="仿宋" w:cs="仿宋"/>
          <w:b/>
          <w:bCs/>
          <w:color w:val="auto"/>
        </w:rPr>
        <w:t>合格的</w:t>
      </w:r>
      <w:bookmarkEnd w:id="62"/>
      <w:bookmarkEnd w:id="63"/>
      <w:bookmarkEnd w:id="64"/>
      <w:r>
        <w:rPr>
          <w:rFonts w:hint="eastAsia" w:ascii="仿宋" w:hAnsi="仿宋" w:eastAsia="仿宋" w:cs="仿宋"/>
          <w:b/>
          <w:bCs/>
          <w:color w:val="auto"/>
        </w:rPr>
        <w:t>投标人</w:t>
      </w:r>
    </w:p>
    <w:p>
      <w:pPr>
        <w:pStyle w:val="179"/>
        <w:numPr>
          <w:ilvl w:val="0"/>
          <w:numId w:val="17"/>
        </w:numPr>
        <w:ind w:firstLineChars="0"/>
        <w:rPr>
          <w:rFonts w:ascii="仿宋" w:hAnsi="仿宋" w:cs="仿宋"/>
        </w:rPr>
      </w:pPr>
      <w:r>
        <w:rPr>
          <w:rFonts w:hint="eastAsia" w:ascii="仿宋" w:hAnsi="仿宋" w:cs="仿宋"/>
        </w:rPr>
        <w:t>满足竞争性磋商第一章磋商邀请函中“投标人的资格条件”的规定。</w:t>
      </w:r>
    </w:p>
    <w:p>
      <w:pPr>
        <w:pStyle w:val="179"/>
        <w:numPr>
          <w:ilvl w:val="0"/>
          <w:numId w:val="17"/>
        </w:numPr>
        <w:ind w:firstLineChars="0"/>
        <w:rPr>
          <w:rFonts w:ascii="仿宋" w:hAnsi="仿宋" w:cs="仿宋"/>
          <w:lang w:val="en-GB"/>
        </w:rPr>
      </w:pPr>
      <w:r>
        <w:rPr>
          <w:rFonts w:hint="eastAsia" w:ascii="仿宋" w:hAnsi="仿宋" w:cs="仿宋"/>
          <w:lang w:val="en-GB"/>
        </w:rPr>
        <w:t>符合磋商文件规定的资质要求，有能力提供满足磋商要求的相关货物及服务的法人实体。</w:t>
      </w:r>
    </w:p>
    <w:p>
      <w:pPr>
        <w:pStyle w:val="179"/>
        <w:numPr>
          <w:ilvl w:val="0"/>
          <w:numId w:val="17"/>
        </w:numPr>
        <w:ind w:firstLineChars="0"/>
        <w:rPr>
          <w:rFonts w:ascii="仿宋" w:hAnsi="仿宋" w:cs="仿宋"/>
          <w:lang w:val="en-GB"/>
        </w:rPr>
      </w:pPr>
      <w:r>
        <w:rPr>
          <w:rFonts w:hint="eastAsia" w:ascii="仿宋" w:hAnsi="仿宋" w:cs="仿宋"/>
          <w:lang w:val="en-GB"/>
        </w:rPr>
        <w:t>符合磋商文件第一章磋商邀请函中“投标人的资格条件”规定的资质要求，有能力提供满足磋商要求的相关货物及服务的法人实体。</w:t>
      </w:r>
    </w:p>
    <w:p>
      <w:pPr>
        <w:pStyle w:val="179"/>
        <w:numPr>
          <w:ilvl w:val="0"/>
          <w:numId w:val="17"/>
        </w:numPr>
        <w:ind w:firstLineChars="0"/>
        <w:rPr>
          <w:rFonts w:ascii="仿宋" w:hAnsi="仿宋" w:cs="仿宋"/>
        </w:rPr>
      </w:pPr>
      <w:r>
        <w:rPr>
          <w:rFonts w:hint="eastAsia" w:ascii="仿宋" w:hAnsi="仿宋" w:cs="仿宋"/>
          <w:lang w:val="en-GB"/>
        </w:rPr>
        <w:t>“成交供应商”系指经磋商小组按照磋商文件确定的评审标准和方法，对响应文件进行评审，推荐合格的成交候选人，采购人根据磋商小组提出的书面评审报告和推荐的成交候选人确定成交供应商。</w:t>
      </w:r>
    </w:p>
    <w:p>
      <w:pPr>
        <w:pStyle w:val="174"/>
        <w:rPr>
          <w:rFonts w:ascii="仿宋" w:hAnsi="仿宋" w:eastAsia="仿宋" w:cs="仿宋"/>
          <w:b/>
          <w:bCs/>
          <w:color w:val="auto"/>
        </w:rPr>
      </w:pPr>
      <w:bookmarkStart w:id="65" w:name="_Toc16938522"/>
      <w:bookmarkStart w:id="66" w:name="_Toc513029206"/>
      <w:bookmarkStart w:id="67" w:name="_Toc20823278"/>
      <w:r>
        <w:rPr>
          <w:rFonts w:hint="eastAsia" w:ascii="仿宋" w:hAnsi="仿宋" w:eastAsia="仿宋" w:cs="仿宋"/>
          <w:b/>
          <w:bCs/>
          <w:color w:val="auto"/>
        </w:rPr>
        <w:t>适用法律</w:t>
      </w:r>
      <w:bookmarkEnd w:id="65"/>
      <w:bookmarkEnd w:id="66"/>
      <w:bookmarkEnd w:id="67"/>
    </w:p>
    <w:p>
      <w:pPr>
        <w:pStyle w:val="179"/>
        <w:ind w:firstLine="560"/>
        <w:rPr>
          <w:rFonts w:ascii="仿宋" w:hAnsi="仿宋" w:cs="仿宋"/>
        </w:rPr>
      </w:pPr>
      <w:r>
        <w:rPr>
          <w:rFonts w:hint="eastAsia" w:ascii="仿宋" w:hAnsi="仿宋" w:cs="仿宋"/>
        </w:rPr>
        <w:t>本次</w:t>
      </w:r>
      <w:r>
        <w:rPr>
          <w:rFonts w:hint="eastAsia" w:ascii="仿宋" w:hAnsi="仿宋" w:cs="仿宋"/>
          <w:u w:val="single"/>
        </w:rPr>
        <w:t>竞争性磋商文件</w:t>
      </w:r>
      <w:r>
        <w:rPr>
          <w:rFonts w:hint="eastAsia" w:ascii="仿宋" w:hAnsi="仿宋" w:cs="仿宋"/>
        </w:rPr>
        <w:t>及由此产生的合同受中华人民共和国有关的法律法规制约和保护。</w:t>
      </w:r>
    </w:p>
    <w:p>
      <w:pPr>
        <w:pStyle w:val="174"/>
        <w:rPr>
          <w:rFonts w:ascii="仿宋" w:hAnsi="仿宋" w:eastAsia="仿宋" w:cs="仿宋"/>
          <w:b/>
          <w:bCs/>
          <w:color w:val="auto"/>
        </w:rPr>
      </w:pPr>
      <w:bookmarkStart w:id="68" w:name="_Toc20823279"/>
      <w:bookmarkStart w:id="69" w:name="_Toc16938523"/>
      <w:bookmarkStart w:id="70" w:name="_Toc513029207"/>
      <w:bookmarkStart w:id="71" w:name="_Toc462564067"/>
      <w:r>
        <w:rPr>
          <w:rFonts w:hint="eastAsia" w:ascii="仿宋" w:hAnsi="仿宋" w:eastAsia="仿宋" w:cs="仿宋"/>
          <w:b/>
          <w:bCs/>
          <w:color w:val="auto"/>
        </w:rPr>
        <w:t>磋商费用</w:t>
      </w:r>
      <w:bookmarkEnd w:id="68"/>
      <w:bookmarkEnd w:id="69"/>
      <w:bookmarkEnd w:id="70"/>
      <w:bookmarkEnd w:id="71"/>
    </w:p>
    <w:p>
      <w:pPr>
        <w:widowControl/>
        <w:tabs>
          <w:tab w:val="left" w:pos="1755"/>
        </w:tabs>
        <w:ind w:firstLine="560"/>
        <w:jc w:val="left"/>
        <w:rPr>
          <w:rFonts w:ascii="仿宋" w:hAnsi="仿宋" w:eastAsia="仿宋" w:cs="仿宋"/>
          <w:kern w:val="0"/>
          <w:szCs w:val="20"/>
        </w:rPr>
      </w:pPr>
      <w:r>
        <w:rPr>
          <w:rFonts w:hint="eastAsia" w:ascii="仿宋" w:hAnsi="仿宋" w:eastAsia="仿宋" w:cs="仿宋"/>
          <w:kern w:val="0"/>
          <w:szCs w:val="20"/>
        </w:rPr>
        <w:t>1.投标人应自行承担所有与参加磋商有关的费用，无论磋商过程中的做法和结果如何，采购人在任何情况下均无义务和责任承担这些费用。</w:t>
      </w:r>
    </w:p>
    <w:p>
      <w:pPr>
        <w:pStyle w:val="179"/>
        <w:ind w:left="560" w:firstLine="0" w:firstLineChars="0"/>
        <w:rPr>
          <w:rFonts w:ascii="仿宋" w:hAnsi="仿宋" w:cs="仿宋"/>
        </w:rPr>
      </w:pPr>
      <w:r>
        <w:rPr>
          <w:rFonts w:hint="eastAsia" w:ascii="仿宋" w:hAnsi="仿宋" w:cs="仿宋"/>
        </w:rPr>
        <w:t>2.本次竞争性磋商采购人不收取文件工本费与成交服务费。</w:t>
      </w:r>
    </w:p>
    <w:p>
      <w:pPr>
        <w:widowControl/>
        <w:tabs>
          <w:tab w:val="left" w:pos="1755"/>
        </w:tabs>
        <w:ind w:firstLine="560"/>
        <w:jc w:val="left"/>
        <w:rPr>
          <w:rFonts w:ascii="仿宋" w:hAnsi="仿宋" w:eastAsia="仿宋" w:cs="仿宋"/>
          <w:kern w:val="0"/>
          <w:szCs w:val="20"/>
        </w:rPr>
      </w:pPr>
      <w:r>
        <w:rPr>
          <w:rFonts w:hint="eastAsia" w:ascii="仿宋" w:hAnsi="仿宋" w:eastAsia="仿宋" w:cs="仿宋"/>
          <w:kern w:val="0"/>
          <w:szCs w:val="20"/>
        </w:rPr>
        <w:t>3.根据【财政部87号令】第二十四条招标文件售价应当按照弥补制作、邮寄成本的原则确定。本项目购买标书费用按照竞争性磋商文件第一章磋商邀请函规定代理机构向供应商收取购买标书费用，标书费用一次性支付，售后一概不退还。（除项目终止招标外）</w:t>
      </w:r>
    </w:p>
    <w:p>
      <w:pPr>
        <w:widowControl/>
        <w:tabs>
          <w:tab w:val="left" w:pos="1755"/>
        </w:tabs>
        <w:ind w:firstLine="560"/>
        <w:jc w:val="left"/>
        <w:rPr>
          <w:rFonts w:ascii="仿宋" w:hAnsi="仿宋" w:eastAsia="仿宋" w:cs="仿宋"/>
          <w:kern w:val="0"/>
          <w:szCs w:val="20"/>
        </w:rPr>
      </w:pPr>
      <w:r>
        <w:rPr>
          <w:rFonts w:hint="eastAsia" w:ascii="仿宋" w:hAnsi="仿宋" w:eastAsia="仿宋" w:cs="仿宋"/>
          <w:kern w:val="0"/>
          <w:szCs w:val="20"/>
        </w:rPr>
        <w:t>4.采购代理机构</w:t>
      </w:r>
      <w:r>
        <w:rPr>
          <w:rFonts w:hint="eastAsia" w:ascii="仿宋" w:hAnsi="仿宋" w:eastAsia="仿宋" w:cs="仿宋"/>
          <w:kern w:val="0"/>
          <w:szCs w:val="20"/>
          <w:lang w:val="zh-CN"/>
        </w:rPr>
        <w:t>参照国家计委计价格[2002]1980号文件规定的费率</w:t>
      </w:r>
      <w:r>
        <w:rPr>
          <w:rFonts w:hint="eastAsia" w:ascii="仿宋" w:hAnsi="仿宋" w:eastAsia="仿宋" w:cs="仿宋"/>
          <w:kern w:val="0"/>
          <w:szCs w:val="20"/>
        </w:rPr>
        <w:t>向</w:t>
      </w:r>
      <w:r>
        <w:rPr>
          <w:rFonts w:hint="eastAsia" w:ascii="仿宋" w:hAnsi="仿宋" w:eastAsia="仿宋" w:cs="仿宋"/>
          <w:b/>
          <w:bCs/>
          <w:kern w:val="0"/>
          <w:szCs w:val="20"/>
          <w:u w:val="single"/>
        </w:rPr>
        <w:t>成交供应商</w:t>
      </w:r>
      <w:r>
        <w:rPr>
          <w:rFonts w:hint="eastAsia" w:ascii="仿宋" w:hAnsi="仿宋" w:eastAsia="仿宋" w:cs="仿宋"/>
          <w:kern w:val="0"/>
          <w:szCs w:val="20"/>
        </w:rPr>
        <w:t>收取代理服务费。支付时间：</w:t>
      </w:r>
      <w:r>
        <w:rPr>
          <w:rFonts w:hint="eastAsia" w:ascii="仿宋" w:hAnsi="仿宋" w:eastAsia="仿宋" w:cs="仿宋"/>
          <w:b/>
          <w:bCs/>
          <w:kern w:val="0"/>
          <w:szCs w:val="20"/>
          <w:u w:val="single"/>
        </w:rPr>
        <w:t>在签发成交通知书的同时一次性支付全部招标代理服务费</w:t>
      </w:r>
      <w:r>
        <w:rPr>
          <w:rFonts w:hint="eastAsia" w:ascii="仿宋" w:hAnsi="仿宋" w:eastAsia="仿宋" w:cs="仿宋"/>
          <w:kern w:val="0"/>
          <w:szCs w:val="20"/>
        </w:rPr>
        <w:t>；代理费：</w:t>
      </w:r>
      <w:r>
        <w:rPr>
          <w:rFonts w:hint="eastAsia" w:ascii="仿宋" w:hAnsi="仿宋" w:eastAsia="仿宋" w:cs="仿宋"/>
          <w:szCs w:val="28"/>
        </w:rPr>
        <w:t>620000.00</w:t>
      </w:r>
      <w:r>
        <w:rPr>
          <w:rFonts w:ascii="仿宋" w:hAnsi="仿宋" w:eastAsia="仿宋" w:cs="仿宋"/>
          <w:szCs w:val="28"/>
        </w:rPr>
        <w:t>×</w:t>
      </w:r>
      <w:r>
        <w:rPr>
          <w:rFonts w:hint="eastAsia" w:ascii="仿宋" w:hAnsi="仿宋" w:eastAsia="仿宋" w:cs="仿宋"/>
          <w:szCs w:val="28"/>
        </w:rPr>
        <w:t>1.5%=9300.00元。</w:t>
      </w:r>
      <w:r>
        <w:rPr>
          <w:rFonts w:hint="eastAsia" w:ascii="仿宋" w:hAnsi="仿宋" w:eastAsia="仿宋" w:cs="仿宋"/>
          <w:kern w:val="0"/>
          <w:szCs w:val="20"/>
        </w:rPr>
        <w:t>支付方式：成交供应商将采购代理费提交至招标代理公司的账户，否则采购代理机构可以认为成交供应商存在失信行为，为了确保项目的正常实施，代理机构将成交供应商本次存在的失信行为报给采购人，采购人决定是否需要对其所有投标资料进行复审，同时暂缓发放中标通知书。</w:t>
      </w:r>
    </w:p>
    <w:p>
      <w:pPr>
        <w:widowControl/>
        <w:tabs>
          <w:tab w:val="left" w:pos="1755"/>
        </w:tabs>
        <w:ind w:firstLine="1120" w:firstLineChars="400"/>
        <w:jc w:val="left"/>
        <w:rPr>
          <w:rFonts w:ascii="仿宋" w:hAnsi="仿宋" w:eastAsia="仿宋" w:cs="仿宋"/>
          <w:kern w:val="0"/>
          <w:szCs w:val="20"/>
        </w:rPr>
      </w:pPr>
      <w:r>
        <w:rPr>
          <w:rFonts w:hint="eastAsia" w:ascii="仿宋" w:hAnsi="仿宋" w:eastAsia="仿宋" w:cs="仿宋"/>
          <w:kern w:val="0"/>
          <w:szCs w:val="20"/>
        </w:rPr>
        <w:t>海南琪硕招投标有限公司银行账号</w:t>
      </w:r>
    </w:p>
    <w:p>
      <w:pPr>
        <w:widowControl/>
        <w:tabs>
          <w:tab w:val="left" w:pos="1755"/>
        </w:tabs>
        <w:ind w:firstLine="1120" w:firstLineChars="400"/>
        <w:jc w:val="left"/>
        <w:rPr>
          <w:rFonts w:ascii="仿宋" w:hAnsi="仿宋" w:eastAsia="仿宋" w:cs="仿宋"/>
          <w:kern w:val="0"/>
          <w:szCs w:val="20"/>
        </w:rPr>
      </w:pPr>
      <w:bookmarkStart w:id="72" w:name="_Toc498871463"/>
      <w:r>
        <w:rPr>
          <w:rFonts w:hint="eastAsia" w:ascii="仿宋" w:hAnsi="仿宋" w:eastAsia="仿宋" w:cs="仿宋"/>
          <w:kern w:val="0"/>
          <w:szCs w:val="20"/>
        </w:rPr>
        <w:t>账  户：</w:t>
      </w:r>
      <w:bookmarkEnd w:id="72"/>
      <w:r>
        <w:rPr>
          <w:rFonts w:hint="eastAsia" w:ascii="仿宋" w:hAnsi="仿宋" w:eastAsia="仿宋" w:cs="仿宋"/>
          <w:kern w:val="0"/>
          <w:szCs w:val="20"/>
        </w:rPr>
        <w:t>海南琪硕招投标有限公司</w:t>
      </w:r>
    </w:p>
    <w:p>
      <w:pPr>
        <w:widowControl/>
        <w:tabs>
          <w:tab w:val="left" w:pos="1755"/>
        </w:tabs>
        <w:ind w:firstLine="1120" w:firstLineChars="400"/>
        <w:jc w:val="left"/>
        <w:rPr>
          <w:rFonts w:ascii="仿宋" w:hAnsi="仿宋" w:eastAsia="仿宋" w:cs="仿宋"/>
          <w:kern w:val="0"/>
          <w:szCs w:val="20"/>
        </w:rPr>
      </w:pPr>
      <w:bookmarkStart w:id="73" w:name="_Toc498871464"/>
      <w:r>
        <w:rPr>
          <w:rFonts w:hint="eastAsia" w:ascii="仿宋" w:hAnsi="仿宋" w:eastAsia="仿宋" w:cs="仿宋"/>
          <w:kern w:val="0"/>
          <w:szCs w:val="20"/>
        </w:rPr>
        <w:t>账  号：</w:t>
      </w:r>
      <w:bookmarkEnd w:id="73"/>
      <w:r>
        <w:rPr>
          <w:rFonts w:hint="eastAsia" w:ascii="仿宋" w:hAnsi="仿宋" w:eastAsia="仿宋" w:cs="仿宋"/>
          <w:kern w:val="0"/>
          <w:szCs w:val="20"/>
        </w:rPr>
        <w:t>46050100743600000362</w:t>
      </w:r>
    </w:p>
    <w:p>
      <w:pPr>
        <w:widowControl/>
        <w:tabs>
          <w:tab w:val="left" w:pos="1755"/>
        </w:tabs>
        <w:ind w:firstLine="1120" w:firstLineChars="400"/>
        <w:jc w:val="left"/>
        <w:rPr>
          <w:rFonts w:ascii="仿宋" w:hAnsi="仿宋" w:eastAsia="仿宋" w:cs="仿宋"/>
          <w:kern w:val="0"/>
          <w:szCs w:val="20"/>
        </w:rPr>
      </w:pPr>
      <w:bookmarkStart w:id="74" w:name="_Toc498871465"/>
      <w:r>
        <w:rPr>
          <w:rFonts w:hint="eastAsia" w:ascii="仿宋" w:hAnsi="仿宋" w:eastAsia="仿宋" w:cs="仿宋"/>
          <w:kern w:val="0"/>
          <w:szCs w:val="20"/>
        </w:rPr>
        <w:t>开户行：</w:t>
      </w:r>
      <w:bookmarkEnd w:id="74"/>
      <w:r>
        <w:rPr>
          <w:rFonts w:hint="eastAsia" w:ascii="仿宋" w:hAnsi="仿宋" w:eastAsia="仿宋" w:cs="仿宋"/>
          <w:kern w:val="0"/>
          <w:szCs w:val="20"/>
        </w:rPr>
        <w:t>中国建设银行股份有限公司海口海甸五东路支行</w:t>
      </w:r>
    </w:p>
    <w:p>
      <w:pPr>
        <w:widowControl/>
        <w:tabs>
          <w:tab w:val="left" w:pos="1755"/>
        </w:tabs>
        <w:ind w:firstLine="1120" w:firstLineChars="400"/>
        <w:jc w:val="left"/>
        <w:rPr>
          <w:rFonts w:ascii="仿宋" w:hAnsi="仿宋" w:eastAsia="仿宋" w:cs="仿宋"/>
          <w:kern w:val="0"/>
          <w:szCs w:val="20"/>
        </w:rPr>
      </w:pPr>
      <w:r>
        <w:rPr>
          <w:rFonts w:hint="eastAsia" w:ascii="仿宋" w:hAnsi="仿宋" w:eastAsia="仿宋" w:cs="仿宋"/>
          <w:kern w:val="0"/>
          <w:szCs w:val="20"/>
        </w:rPr>
        <w:t>备注：本公司只出具增值税普通发票，如需开具增值税专用发票的，产生的税费由成交供应商自行承担。</w:t>
      </w:r>
    </w:p>
    <w:p>
      <w:pPr>
        <w:pStyle w:val="174"/>
        <w:rPr>
          <w:rFonts w:ascii="仿宋" w:hAnsi="仿宋" w:eastAsia="仿宋" w:cs="仿宋"/>
          <w:color w:val="auto"/>
        </w:rPr>
      </w:pPr>
      <w:r>
        <w:rPr>
          <w:rFonts w:hint="eastAsia" w:ascii="仿宋" w:hAnsi="仿宋" w:eastAsia="仿宋" w:cs="仿宋"/>
          <w:color w:val="auto"/>
        </w:rPr>
        <w:t>竞争性磋商文件的约束力</w:t>
      </w:r>
    </w:p>
    <w:p>
      <w:pPr>
        <w:pStyle w:val="179"/>
        <w:ind w:firstLine="560"/>
        <w:rPr>
          <w:rFonts w:ascii="仿宋" w:hAnsi="仿宋" w:cs="仿宋"/>
        </w:rPr>
      </w:pPr>
      <w:r>
        <w:rPr>
          <w:rFonts w:hint="eastAsia" w:ascii="仿宋" w:hAnsi="仿宋" w:cs="仿宋"/>
        </w:rPr>
        <w:t>投标人一旦购买了本竞争性磋商文件并决定参加磋商，即被认为接受了本竞争性磋商文件的规定和约束，并且视为自竞争性磋商公告期限届满之日起已经知道或应当知道自身权益是否受到了损害。</w:t>
      </w:r>
    </w:p>
    <w:p>
      <w:pPr>
        <w:pStyle w:val="174"/>
        <w:rPr>
          <w:rFonts w:ascii="仿宋" w:hAnsi="仿宋" w:eastAsia="仿宋" w:cs="仿宋"/>
          <w:color w:val="auto"/>
        </w:rPr>
      </w:pPr>
      <w:r>
        <w:rPr>
          <w:rFonts w:hint="eastAsia" w:ascii="仿宋" w:hAnsi="仿宋" w:eastAsia="仿宋" w:cs="仿宋"/>
          <w:color w:val="auto"/>
        </w:rPr>
        <w:t>投标有效期</w:t>
      </w:r>
    </w:p>
    <w:p>
      <w:pPr>
        <w:pStyle w:val="7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kern w:val="0"/>
          <w:sz w:val="28"/>
          <w:szCs w:val="20"/>
          <w:lang w:val="en-US" w:eastAsia="zh-CN" w:bidi="ar-SA"/>
        </w:rPr>
      </w:pPr>
      <w:r>
        <w:rPr>
          <w:rFonts w:hint="eastAsia" w:ascii="仿宋" w:hAnsi="仿宋" w:cs="仿宋"/>
        </w:rPr>
        <w:t>1</w:t>
      </w:r>
      <w:r>
        <w:rPr>
          <w:rFonts w:hint="eastAsia" w:ascii="仿宋" w:hAnsi="仿宋" w:eastAsia="仿宋" w:cs="仿宋"/>
          <w:kern w:val="0"/>
          <w:sz w:val="28"/>
          <w:szCs w:val="20"/>
          <w:lang w:val="en-US" w:eastAsia="zh-CN" w:bidi="ar-SA"/>
        </w:rPr>
        <w:t>. 投标有效期为从开标截止之日起计算的六十天，有效期短于此规定的投标文件将被视为无效。</w:t>
      </w:r>
    </w:p>
    <w:p>
      <w:pPr>
        <w:pStyle w:val="7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仿宋" w:hAnsi="仿宋" w:eastAsia="仿宋" w:cs="仿宋"/>
          <w:kern w:val="0"/>
          <w:sz w:val="28"/>
          <w:szCs w:val="20"/>
          <w:lang w:val="en-US" w:eastAsia="zh-CN" w:bidi="ar-SA"/>
        </w:rPr>
      </w:pPr>
      <w:r>
        <w:rPr>
          <w:rFonts w:hint="default" w:ascii="仿宋" w:hAnsi="仿宋" w:eastAsia="仿宋" w:cs="仿宋"/>
          <w:kern w:val="0"/>
          <w:sz w:val="28"/>
          <w:szCs w:val="20"/>
          <w:lang w:val="en-US" w:eastAsia="zh-CN" w:bidi="ar-SA"/>
        </w:rPr>
        <w:t>投标有效期是指为保证</w:t>
      </w:r>
      <w:r>
        <w:rPr>
          <w:rFonts w:hint="default" w:ascii="仿宋" w:hAnsi="仿宋" w:eastAsia="仿宋" w:cs="仿宋"/>
          <w:kern w:val="0"/>
          <w:sz w:val="28"/>
          <w:szCs w:val="20"/>
          <w:lang w:val="en-US" w:eastAsia="zh-CN" w:bidi="ar-SA"/>
        </w:rPr>
        <w:fldChar w:fldCharType="begin"/>
      </w:r>
      <w:r>
        <w:rPr>
          <w:rFonts w:hint="default" w:ascii="仿宋" w:hAnsi="仿宋" w:eastAsia="仿宋" w:cs="仿宋"/>
          <w:kern w:val="0"/>
          <w:sz w:val="28"/>
          <w:szCs w:val="20"/>
          <w:lang w:val="en-US" w:eastAsia="zh-CN" w:bidi="ar-SA"/>
        </w:rPr>
        <w:instrText xml:space="preserve"> HYPERLINK "https://baike.sogou.com/lemma/ShowInnerLink.htm?lemmaId=8069295&amp;ss_c=ssc.citiao.link" \t "https://baike.sogou.com/_blank" </w:instrText>
      </w:r>
      <w:r>
        <w:rPr>
          <w:rFonts w:hint="default" w:ascii="仿宋" w:hAnsi="仿宋" w:eastAsia="仿宋" w:cs="仿宋"/>
          <w:kern w:val="0"/>
          <w:sz w:val="28"/>
          <w:szCs w:val="20"/>
          <w:lang w:val="en-US" w:eastAsia="zh-CN" w:bidi="ar-SA"/>
        </w:rPr>
        <w:fldChar w:fldCharType="separate"/>
      </w:r>
      <w:r>
        <w:rPr>
          <w:rFonts w:hint="default" w:ascii="仿宋" w:hAnsi="仿宋" w:eastAsia="仿宋" w:cs="仿宋"/>
          <w:kern w:val="0"/>
          <w:sz w:val="28"/>
          <w:szCs w:val="20"/>
          <w:lang w:val="en-US" w:eastAsia="zh-CN" w:bidi="ar-SA"/>
        </w:rPr>
        <w:t>招标人</w:t>
      </w:r>
      <w:r>
        <w:rPr>
          <w:rFonts w:hint="default" w:ascii="仿宋" w:hAnsi="仿宋" w:eastAsia="仿宋" w:cs="仿宋"/>
          <w:kern w:val="0"/>
          <w:sz w:val="28"/>
          <w:szCs w:val="20"/>
          <w:lang w:val="en-US" w:eastAsia="zh-CN" w:bidi="ar-SA"/>
        </w:rPr>
        <w:fldChar w:fldCharType="end"/>
      </w:r>
      <w:r>
        <w:rPr>
          <w:rFonts w:hint="default" w:ascii="仿宋" w:hAnsi="仿宋" w:eastAsia="仿宋" w:cs="仿宋"/>
          <w:kern w:val="0"/>
          <w:sz w:val="28"/>
          <w:szCs w:val="20"/>
          <w:lang w:val="en-US" w:eastAsia="zh-CN" w:bidi="ar-SA"/>
        </w:rPr>
        <w:t>有足够的时间在开标后完成评标、定标、合同签订等工作而要求</w:t>
      </w:r>
      <w:r>
        <w:rPr>
          <w:rFonts w:hint="default" w:ascii="仿宋" w:hAnsi="仿宋" w:eastAsia="仿宋" w:cs="仿宋"/>
          <w:kern w:val="0"/>
          <w:sz w:val="28"/>
          <w:szCs w:val="20"/>
          <w:lang w:val="en-US" w:eastAsia="zh-CN" w:bidi="ar-SA"/>
        </w:rPr>
        <w:fldChar w:fldCharType="begin"/>
      </w:r>
      <w:r>
        <w:rPr>
          <w:rFonts w:hint="default" w:ascii="仿宋" w:hAnsi="仿宋" w:eastAsia="仿宋" w:cs="仿宋"/>
          <w:kern w:val="0"/>
          <w:sz w:val="28"/>
          <w:szCs w:val="20"/>
          <w:lang w:val="en-US" w:eastAsia="zh-CN" w:bidi="ar-SA"/>
        </w:rPr>
        <w:instrText xml:space="preserve"> HYPERLINK "https://baike.sogou.com/lemma/ShowInnerLink.htm?lemmaId=455171&amp;ss_c=ssc.citiao.link" \t "https://baike.sogou.com/_blank" </w:instrText>
      </w:r>
      <w:r>
        <w:rPr>
          <w:rFonts w:hint="default" w:ascii="仿宋" w:hAnsi="仿宋" w:eastAsia="仿宋" w:cs="仿宋"/>
          <w:kern w:val="0"/>
          <w:sz w:val="28"/>
          <w:szCs w:val="20"/>
          <w:lang w:val="en-US" w:eastAsia="zh-CN" w:bidi="ar-SA"/>
        </w:rPr>
        <w:fldChar w:fldCharType="separate"/>
      </w:r>
      <w:r>
        <w:rPr>
          <w:rFonts w:hint="default" w:ascii="仿宋" w:hAnsi="仿宋" w:eastAsia="仿宋" w:cs="仿宋"/>
          <w:kern w:val="0"/>
          <w:sz w:val="28"/>
          <w:szCs w:val="20"/>
          <w:lang w:val="en-US" w:eastAsia="zh-CN" w:bidi="ar-SA"/>
        </w:rPr>
        <w:t>投标人</w:t>
      </w:r>
      <w:r>
        <w:rPr>
          <w:rFonts w:hint="default" w:ascii="仿宋" w:hAnsi="仿宋" w:eastAsia="仿宋" w:cs="仿宋"/>
          <w:kern w:val="0"/>
          <w:sz w:val="28"/>
          <w:szCs w:val="20"/>
          <w:lang w:val="en-US" w:eastAsia="zh-CN" w:bidi="ar-SA"/>
        </w:rPr>
        <w:fldChar w:fldCharType="end"/>
      </w:r>
      <w:r>
        <w:rPr>
          <w:rFonts w:hint="default" w:ascii="仿宋" w:hAnsi="仿宋" w:eastAsia="仿宋" w:cs="仿宋"/>
          <w:kern w:val="0"/>
          <w:sz w:val="28"/>
          <w:szCs w:val="20"/>
          <w:lang w:val="en-US" w:eastAsia="zh-CN" w:bidi="ar-SA"/>
        </w:rPr>
        <w:t>提交的投标文件在一定时间内保持有效的期限。按照《</w:t>
      </w:r>
      <w:r>
        <w:rPr>
          <w:rFonts w:hint="default" w:ascii="仿宋" w:hAnsi="仿宋" w:eastAsia="仿宋" w:cs="仿宋"/>
          <w:kern w:val="0"/>
          <w:sz w:val="28"/>
          <w:szCs w:val="20"/>
          <w:lang w:val="en-US" w:eastAsia="zh-CN" w:bidi="ar-SA"/>
        </w:rPr>
        <w:fldChar w:fldCharType="begin"/>
      </w:r>
      <w:r>
        <w:rPr>
          <w:rFonts w:hint="default" w:ascii="仿宋" w:hAnsi="仿宋" w:eastAsia="仿宋" w:cs="仿宋"/>
          <w:kern w:val="0"/>
          <w:sz w:val="28"/>
          <w:szCs w:val="20"/>
          <w:lang w:val="en-US" w:eastAsia="zh-CN" w:bidi="ar-SA"/>
        </w:rPr>
        <w:instrText xml:space="preserve"> HYPERLINK "https://baike.sogou.com/lemma/ShowInnerLink.htm?lemmaId=139925&amp;ss_c=ssc.citiao.link" \t "https://baike.sogou.com/_blank" </w:instrText>
      </w:r>
      <w:r>
        <w:rPr>
          <w:rFonts w:hint="default" w:ascii="仿宋" w:hAnsi="仿宋" w:eastAsia="仿宋" w:cs="仿宋"/>
          <w:kern w:val="0"/>
          <w:sz w:val="28"/>
          <w:szCs w:val="20"/>
          <w:lang w:val="en-US" w:eastAsia="zh-CN" w:bidi="ar-SA"/>
        </w:rPr>
        <w:fldChar w:fldCharType="separate"/>
      </w:r>
      <w:r>
        <w:rPr>
          <w:rFonts w:hint="default" w:ascii="仿宋" w:hAnsi="仿宋" w:eastAsia="仿宋" w:cs="仿宋"/>
          <w:kern w:val="0"/>
          <w:sz w:val="28"/>
          <w:szCs w:val="20"/>
          <w:lang w:val="en-US" w:eastAsia="zh-CN" w:bidi="ar-SA"/>
        </w:rPr>
        <w:t>合同法</w:t>
      </w:r>
      <w:r>
        <w:rPr>
          <w:rFonts w:hint="default" w:ascii="仿宋" w:hAnsi="仿宋" w:eastAsia="仿宋" w:cs="仿宋"/>
          <w:kern w:val="0"/>
          <w:sz w:val="28"/>
          <w:szCs w:val="20"/>
          <w:lang w:val="en-US" w:eastAsia="zh-CN" w:bidi="ar-SA"/>
        </w:rPr>
        <w:fldChar w:fldCharType="end"/>
      </w:r>
      <w:r>
        <w:rPr>
          <w:rFonts w:hint="default" w:ascii="仿宋" w:hAnsi="仿宋" w:eastAsia="仿宋" w:cs="仿宋"/>
          <w:kern w:val="0"/>
          <w:sz w:val="28"/>
          <w:szCs w:val="20"/>
          <w:lang w:val="en-US" w:eastAsia="zh-CN" w:bidi="ar-SA"/>
        </w:rPr>
        <w:t>》的有关规定，作为要约人的投标人提交的投标文件属于要约。要约通过开标生效后，投标人就不能再行撤回。一旦作为</w:t>
      </w:r>
      <w:r>
        <w:rPr>
          <w:rFonts w:hint="default" w:ascii="仿宋" w:hAnsi="仿宋" w:eastAsia="仿宋" w:cs="仿宋"/>
          <w:kern w:val="0"/>
          <w:sz w:val="28"/>
          <w:szCs w:val="20"/>
          <w:lang w:val="en-US" w:eastAsia="zh-CN" w:bidi="ar-SA"/>
        </w:rPr>
        <w:fldChar w:fldCharType="begin"/>
      </w:r>
      <w:r>
        <w:rPr>
          <w:rFonts w:hint="default" w:ascii="仿宋" w:hAnsi="仿宋" w:eastAsia="仿宋" w:cs="仿宋"/>
          <w:kern w:val="0"/>
          <w:sz w:val="28"/>
          <w:szCs w:val="20"/>
          <w:lang w:val="en-US" w:eastAsia="zh-CN" w:bidi="ar-SA"/>
        </w:rPr>
        <w:instrText xml:space="preserve"> HYPERLINK "https://baike.sogou.com/lemma/ShowInnerLink.htm?lemmaId=76652957&amp;ss_c=ssc.citiao.link" \t "https://baike.sogou.com/_blank" </w:instrText>
      </w:r>
      <w:r>
        <w:rPr>
          <w:rFonts w:hint="default" w:ascii="仿宋" w:hAnsi="仿宋" w:eastAsia="仿宋" w:cs="仿宋"/>
          <w:kern w:val="0"/>
          <w:sz w:val="28"/>
          <w:szCs w:val="20"/>
          <w:lang w:val="en-US" w:eastAsia="zh-CN" w:bidi="ar-SA"/>
        </w:rPr>
        <w:fldChar w:fldCharType="separate"/>
      </w:r>
      <w:r>
        <w:rPr>
          <w:rFonts w:hint="default" w:ascii="仿宋" w:hAnsi="仿宋" w:eastAsia="仿宋" w:cs="仿宋"/>
          <w:kern w:val="0"/>
          <w:sz w:val="28"/>
          <w:szCs w:val="20"/>
          <w:lang w:val="en-US" w:eastAsia="zh-CN" w:bidi="ar-SA"/>
        </w:rPr>
        <w:t>受要约人</w:t>
      </w:r>
      <w:r>
        <w:rPr>
          <w:rFonts w:hint="default" w:ascii="仿宋" w:hAnsi="仿宋" w:eastAsia="仿宋" w:cs="仿宋"/>
          <w:kern w:val="0"/>
          <w:sz w:val="28"/>
          <w:szCs w:val="20"/>
          <w:lang w:val="en-US" w:eastAsia="zh-CN" w:bidi="ar-SA"/>
        </w:rPr>
        <w:fldChar w:fldCharType="end"/>
      </w:r>
      <w:r>
        <w:rPr>
          <w:rFonts w:hint="default" w:ascii="仿宋" w:hAnsi="仿宋" w:eastAsia="仿宋" w:cs="仿宋"/>
          <w:kern w:val="0"/>
          <w:sz w:val="28"/>
          <w:szCs w:val="20"/>
          <w:lang w:val="en-US" w:eastAsia="zh-CN" w:bidi="ar-SA"/>
        </w:rPr>
        <w:t>的招标人作出承诺，并送达要约人，合同即告成立，要约人不得拒绝。在投标有效期截止前，投标人必须对自己提交的投标文件承担相应法律责任。</w:t>
      </w:r>
    </w:p>
    <w:p>
      <w:pPr>
        <w:pStyle w:val="179"/>
        <w:spacing w:line="360" w:lineRule="auto"/>
        <w:ind w:firstLine="560"/>
        <w:rPr>
          <w:rFonts w:hint="eastAsia" w:ascii="仿宋" w:hAnsi="仿宋" w:eastAsia="仿宋" w:cs="仿宋"/>
          <w:kern w:val="0"/>
          <w:sz w:val="28"/>
          <w:szCs w:val="20"/>
          <w:lang w:val="en-US" w:eastAsia="zh-CN" w:bidi="ar-SA"/>
        </w:rPr>
      </w:pPr>
      <w:r>
        <w:rPr>
          <w:rFonts w:hint="eastAsia" w:ascii="仿宋" w:hAnsi="仿宋" w:eastAsia="仿宋" w:cs="仿宋"/>
          <w:kern w:val="0"/>
          <w:sz w:val="28"/>
          <w:szCs w:val="20"/>
          <w:lang w:val="en-US" w:eastAsia="zh-CN" w:bidi="ar-SA"/>
        </w:rPr>
        <w:t>2. 在特殊情况下，招标人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pStyle w:val="173"/>
        <w:rPr>
          <w:rFonts w:ascii="仿宋" w:hAnsi="仿宋" w:eastAsia="仿宋" w:cs="仿宋"/>
        </w:rPr>
      </w:pPr>
      <w:bookmarkStart w:id="75" w:name="_Toc120614215"/>
      <w:bookmarkStart w:id="76" w:name="_Toc16938525"/>
      <w:bookmarkStart w:id="77" w:name="_Toc403987206"/>
      <w:bookmarkStart w:id="78" w:name="_Toc20823281"/>
      <w:bookmarkStart w:id="79" w:name="_Toc474854520"/>
      <w:bookmarkStart w:id="80" w:name="_Toc4266"/>
      <w:bookmarkStart w:id="81" w:name="_Toc513029209"/>
      <w:r>
        <w:rPr>
          <w:rFonts w:hint="eastAsia" w:ascii="仿宋" w:hAnsi="仿宋" w:eastAsia="仿宋" w:cs="仿宋"/>
        </w:rPr>
        <w:t>竞争性磋商文件</w:t>
      </w:r>
      <w:bookmarkEnd w:id="75"/>
      <w:bookmarkEnd w:id="76"/>
      <w:bookmarkEnd w:id="77"/>
      <w:bookmarkEnd w:id="78"/>
      <w:bookmarkEnd w:id="79"/>
      <w:bookmarkEnd w:id="80"/>
      <w:bookmarkEnd w:id="81"/>
    </w:p>
    <w:p>
      <w:pPr>
        <w:pStyle w:val="174"/>
        <w:rPr>
          <w:rFonts w:ascii="仿宋" w:hAnsi="仿宋" w:eastAsia="仿宋" w:cs="仿宋"/>
          <w:color w:val="auto"/>
        </w:rPr>
      </w:pPr>
      <w:bookmarkStart w:id="82" w:name="_Toc513029210"/>
      <w:bookmarkStart w:id="83" w:name="_Toc16938526"/>
      <w:bookmarkStart w:id="84" w:name="_Toc20823282"/>
      <w:r>
        <w:rPr>
          <w:rFonts w:hint="eastAsia" w:ascii="仿宋" w:hAnsi="仿宋" w:eastAsia="仿宋" w:cs="仿宋"/>
          <w:color w:val="auto"/>
        </w:rPr>
        <w:t>竞争性磋商文件构成</w:t>
      </w:r>
      <w:bookmarkEnd w:id="82"/>
      <w:bookmarkEnd w:id="83"/>
      <w:bookmarkEnd w:id="84"/>
    </w:p>
    <w:p>
      <w:pPr>
        <w:pStyle w:val="179"/>
        <w:ind w:firstLine="560"/>
        <w:rPr>
          <w:rFonts w:ascii="仿宋" w:hAnsi="仿宋" w:cs="仿宋"/>
        </w:rPr>
      </w:pPr>
      <w:r>
        <w:rPr>
          <w:rFonts w:hint="eastAsia" w:ascii="仿宋" w:hAnsi="仿宋" w:cs="仿宋"/>
        </w:rPr>
        <w:t>竞争性磋商文件有以下部分组成：</w:t>
      </w:r>
    </w:p>
    <w:p>
      <w:pPr>
        <w:pStyle w:val="179"/>
        <w:numPr>
          <w:ilvl w:val="0"/>
          <w:numId w:val="18"/>
        </w:numPr>
        <w:ind w:firstLineChars="0"/>
        <w:rPr>
          <w:rFonts w:ascii="仿宋" w:hAnsi="仿宋" w:cs="仿宋"/>
        </w:rPr>
      </w:pPr>
      <w:r>
        <w:rPr>
          <w:rFonts w:hint="eastAsia" w:ascii="仿宋" w:hAnsi="仿宋" w:cs="仿宋"/>
        </w:rPr>
        <w:t>磋商邀请函</w:t>
      </w:r>
    </w:p>
    <w:p>
      <w:pPr>
        <w:pStyle w:val="179"/>
        <w:numPr>
          <w:ilvl w:val="0"/>
          <w:numId w:val="18"/>
        </w:numPr>
        <w:ind w:firstLineChars="0"/>
        <w:rPr>
          <w:rFonts w:ascii="仿宋" w:hAnsi="仿宋" w:cs="仿宋"/>
        </w:rPr>
      </w:pPr>
      <w:r>
        <w:rPr>
          <w:rFonts w:hint="eastAsia" w:ascii="仿宋" w:hAnsi="仿宋" w:cs="仿宋"/>
        </w:rPr>
        <w:t>投标人须知</w:t>
      </w:r>
    </w:p>
    <w:p>
      <w:pPr>
        <w:pStyle w:val="179"/>
        <w:numPr>
          <w:ilvl w:val="0"/>
          <w:numId w:val="18"/>
        </w:numPr>
        <w:ind w:firstLineChars="0"/>
        <w:rPr>
          <w:rFonts w:ascii="仿宋" w:hAnsi="仿宋" w:cs="仿宋"/>
        </w:rPr>
      </w:pPr>
      <w:r>
        <w:rPr>
          <w:rFonts w:hint="eastAsia" w:ascii="仿宋" w:hAnsi="仿宋" w:cs="仿宋"/>
        </w:rPr>
        <w:t>合同条款及格式</w:t>
      </w:r>
    </w:p>
    <w:p>
      <w:pPr>
        <w:pStyle w:val="179"/>
        <w:numPr>
          <w:ilvl w:val="0"/>
          <w:numId w:val="18"/>
        </w:numPr>
        <w:ind w:firstLineChars="0"/>
        <w:rPr>
          <w:rFonts w:ascii="仿宋" w:hAnsi="仿宋" w:cs="仿宋"/>
        </w:rPr>
      </w:pPr>
      <w:r>
        <w:rPr>
          <w:rFonts w:hint="eastAsia" w:ascii="仿宋" w:hAnsi="仿宋" w:cs="仿宋"/>
        </w:rPr>
        <w:t>采购需求</w:t>
      </w:r>
    </w:p>
    <w:p>
      <w:pPr>
        <w:pStyle w:val="179"/>
        <w:numPr>
          <w:ilvl w:val="0"/>
          <w:numId w:val="18"/>
        </w:numPr>
        <w:ind w:firstLineChars="0"/>
        <w:rPr>
          <w:rFonts w:ascii="仿宋" w:hAnsi="仿宋" w:cs="仿宋"/>
        </w:rPr>
      </w:pPr>
      <w:r>
        <w:rPr>
          <w:rFonts w:hint="eastAsia" w:ascii="仿宋" w:hAnsi="仿宋" w:cs="仿宋"/>
        </w:rPr>
        <w:t>响应文件内容和格式</w:t>
      </w:r>
    </w:p>
    <w:p>
      <w:pPr>
        <w:pStyle w:val="179"/>
        <w:numPr>
          <w:ilvl w:val="0"/>
          <w:numId w:val="18"/>
        </w:numPr>
        <w:ind w:firstLineChars="0"/>
        <w:rPr>
          <w:rFonts w:ascii="仿宋" w:hAnsi="仿宋" w:cs="仿宋"/>
        </w:rPr>
      </w:pPr>
      <w:r>
        <w:rPr>
          <w:rFonts w:hint="eastAsia" w:ascii="仿宋" w:hAnsi="仿宋" w:cs="仿宋"/>
        </w:rPr>
        <w:t>评审标准</w:t>
      </w:r>
    </w:p>
    <w:p>
      <w:pPr>
        <w:pStyle w:val="174"/>
        <w:rPr>
          <w:rFonts w:ascii="仿宋" w:hAnsi="仿宋" w:eastAsia="仿宋" w:cs="仿宋"/>
          <w:color w:val="auto"/>
        </w:rPr>
      </w:pPr>
      <w:bookmarkStart w:id="85" w:name="_Toc513029211"/>
      <w:bookmarkStart w:id="86" w:name="_Toc462564070"/>
      <w:bookmarkStart w:id="87" w:name="_Toc16938527"/>
      <w:bookmarkStart w:id="88" w:name="_Toc20823283"/>
      <w:r>
        <w:rPr>
          <w:rFonts w:hint="eastAsia" w:ascii="仿宋" w:hAnsi="仿宋" w:eastAsia="仿宋" w:cs="仿宋"/>
          <w:color w:val="auto"/>
        </w:rPr>
        <w:t>竞争性磋商文件的澄清</w:t>
      </w:r>
      <w:bookmarkEnd w:id="85"/>
      <w:bookmarkEnd w:id="86"/>
      <w:bookmarkEnd w:id="87"/>
      <w:bookmarkEnd w:id="88"/>
      <w:r>
        <w:rPr>
          <w:rFonts w:hint="eastAsia" w:ascii="仿宋" w:hAnsi="仿宋" w:eastAsia="仿宋" w:cs="仿宋"/>
          <w:color w:val="auto"/>
        </w:rPr>
        <w:t>及修改</w:t>
      </w:r>
    </w:p>
    <w:p>
      <w:pPr>
        <w:pStyle w:val="179"/>
        <w:ind w:firstLine="560"/>
        <w:rPr>
          <w:rFonts w:ascii="仿宋" w:hAnsi="仿宋" w:cs="仿宋"/>
        </w:rPr>
      </w:pPr>
      <w:r>
        <w:rPr>
          <w:rFonts w:hint="eastAsia" w:ascii="仿宋" w:hAnsi="仿宋" w:cs="仿宋"/>
        </w:rPr>
        <w:t>1.任何要求对竞争性磋商文件进行澄清的投标人，均应在提交首次响应文件截止时间五日前按竞争性磋商公告中的通讯地址，以书面形式通知采购人。提交首次响应文件截止之日前，采购人可以对已发出的磋商文件进行必要的澄清或者修改，澄清或者修改的内容作为磋商文件的组成部分。澄清或者修改的内容可能影响响应文件编制的，采购人将在提交首次响应文件截止时间至少5日前，在网上发布书面更正公告形式通知所有获取磋商文件的投标人。不足5日的，采购人应当顺延提交首次响应文件截止时间。</w:t>
      </w:r>
    </w:p>
    <w:p>
      <w:pPr>
        <w:pStyle w:val="179"/>
        <w:ind w:firstLine="560"/>
        <w:rPr>
          <w:rFonts w:ascii="仿宋" w:hAnsi="仿宋" w:cs="仿宋"/>
        </w:rPr>
      </w:pPr>
      <w:r>
        <w:rPr>
          <w:rFonts w:hint="eastAsia" w:ascii="仿宋" w:hAnsi="仿宋" w:cs="仿宋"/>
        </w:rPr>
        <w:t>2.竞争性磋商文件的修改是竞争性磋商文件的组成部分，招标代理机构将以书面或网上公告的形式通知所有购买本竞争性磋商文件的人潜在投标人，并对潜在投标人具有约束力。潜在投标人在收到上述通知后，应立即以书面形式向招标代理机构和采购人确认。</w:t>
      </w:r>
    </w:p>
    <w:p>
      <w:pPr>
        <w:pStyle w:val="179"/>
        <w:ind w:firstLine="560"/>
        <w:rPr>
          <w:rFonts w:ascii="仿宋" w:hAnsi="仿宋" w:cs="仿宋"/>
        </w:rPr>
      </w:pPr>
      <w:r>
        <w:rPr>
          <w:rFonts w:hint="eastAsia" w:ascii="仿宋" w:hAnsi="仿宋" w:cs="仿宋"/>
        </w:rPr>
        <w:t>3.为使投标人准备投标时有充分的时间对竞争性磋商文件修改部分进行研究，招标代理机构和采购人可适当推迟投标截止时间。</w:t>
      </w:r>
    </w:p>
    <w:p>
      <w:pPr>
        <w:pStyle w:val="179"/>
        <w:ind w:firstLine="560"/>
        <w:rPr>
          <w:rFonts w:ascii="仿宋" w:hAnsi="仿宋" w:cs="仿宋"/>
        </w:rPr>
      </w:pPr>
      <w:r>
        <w:rPr>
          <w:rFonts w:hint="eastAsia" w:ascii="仿宋" w:hAnsi="仿宋" w:cs="仿宋"/>
        </w:rPr>
        <w:t>4.本竞争性磋商文件的解释权属于招标代理机构和采购人。</w:t>
      </w:r>
    </w:p>
    <w:p>
      <w:pPr>
        <w:pStyle w:val="174"/>
        <w:rPr>
          <w:rFonts w:ascii="仿宋" w:hAnsi="仿宋" w:eastAsia="仿宋" w:cs="仿宋"/>
          <w:color w:val="auto"/>
        </w:rPr>
      </w:pPr>
      <w:r>
        <w:rPr>
          <w:rFonts w:hint="eastAsia" w:ascii="仿宋" w:hAnsi="仿宋" w:eastAsia="仿宋" w:cs="仿宋"/>
          <w:color w:val="auto"/>
        </w:rPr>
        <w:t>采购人可以视采购项目的具体情况，组织投标人进行现场考察或召开磋商前答疑会，但不单独或分别组织只有一个投标人参加的现场考察和答疑会。</w:t>
      </w:r>
    </w:p>
    <w:p>
      <w:pPr>
        <w:pStyle w:val="173"/>
        <w:rPr>
          <w:rFonts w:ascii="仿宋" w:hAnsi="仿宋" w:eastAsia="仿宋" w:cs="仿宋"/>
        </w:rPr>
      </w:pPr>
      <w:bookmarkStart w:id="89" w:name="_Toc31294"/>
      <w:bookmarkStart w:id="90" w:name="_Toc403987207"/>
      <w:bookmarkStart w:id="91" w:name="_Toc16938529"/>
      <w:bookmarkStart w:id="92" w:name="_Toc20823285"/>
      <w:bookmarkStart w:id="93" w:name="_Toc474854521"/>
      <w:bookmarkStart w:id="94" w:name="_Toc462564072"/>
      <w:bookmarkStart w:id="95" w:name="_Toc120614216"/>
      <w:bookmarkStart w:id="96" w:name="_Toc513029213"/>
      <w:r>
        <w:rPr>
          <w:rFonts w:hint="eastAsia" w:ascii="仿宋" w:hAnsi="仿宋" w:eastAsia="仿宋" w:cs="仿宋"/>
        </w:rPr>
        <w:t>响应文件的递交及编制</w:t>
      </w:r>
      <w:bookmarkEnd w:id="89"/>
      <w:bookmarkEnd w:id="90"/>
      <w:bookmarkEnd w:id="91"/>
      <w:bookmarkEnd w:id="92"/>
      <w:bookmarkEnd w:id="93"/>
      <w:bookmarkEnd w:id="94"/>
      <w:bookmarkEnd w:id="95"/>
      <w:bookmarkEnd w:id="96"/>
    </w:p>
    <w:p>
      <w:pPr>
        <w:pStyle w:val="174"/>
        <w:rPr>
          <w:rFonts w:ascii="仿宋" w:hAnsi="仿宋" w:eastAsia="仿宋" w:cs="仿宋"/>
          <w:color w:val="auto"/>
        </w:rPr>
      </w:pPr>
      <w:r>
        <w:rPr>
          <w:rFonts w:hint="eastAsia" w:ascii="仿宋" w:hAnsi="仿宋" w:eastAsia="仿宋" w:cs="仿宋"/>
          <w:color w:val="auto"/>
        </w:rPr>
        <w:t>投标人应当在磋商文件要求的截止时间前，将响应文件密封送达指定地点。在截止时间后送达的响应文件为无效文件，采购人将拒收。投标人在提交响应文件截止时间前，可以对所提交的响应文件进行补充、修改或者撤回，并书面通知采购人。补充、修改的内容作为响应文件的组成部分。补充、修改的内容与响应文件不一致的，以补充、修改的内容为准。</w:t>
      </w:r>
    </w:p>
    <w:p>
      <w:pPr>
        <w:pStyle w:val="174"/>
        <w:rPr>
          <w:rFonts w:ascii="仿宋" w:hAnsi="仿宋" w:eastAsia="仿宋" w:cs="仿宋"/>
          <w:color w:val="auto"/>
        </w:rPr>
      </w:pPr>
      <w:r>
        <w:rPr>
          <w:rFonts w:hint="eastAsia" w:ascii="仿宋" w:hAnsi="仿宋" w:eastAsia="仿宋" w:cs="仿宋"/>
          <w:color w:val="auto"/>
        </w:rPr>
        <w:t>投标人应当按照磋商文件的要求编制响应文件，并</w:t>
      </w:r>
      <w:bookmarkStart w:id="97" w:name="我"/>
      <w:bookmarkEnd w:id="97"/>
      <w:r>
        <w:rPr>
          <w:rFonts w:hint="eastAsia" w:ascii="仿宋" w:hAnsi="仿宋" w:eastAsia="仿宋" w:cs="仿宋"/>
          <w:color w:val="auto"/>
        </w:rPr>
        <w:t>对其提交的响应文件的真实性、合法性承担法律责任。</w:t>
      </w:r>
    </w:p>
    <w:p>
      <w:pPr>
        <w:pStyle w:val="174"/>
        <w:rPr>
          <w:rFonts w:ascii="仿宋" w:hAnsi="仿宋" w:eastAsia="仿宋" w:cs="仿宋"/>
          <w:color w:val="auto"/>
        </w:rPr>
      </w:pPr>
      <w:bookmarkStart w:id="98" w:name="_Toc513029214"/>
      <w:bookmarkStart w:id="99" w:name="_Toc462564073"/>
      <w:bookmarkStart w:id="100" w:name="_Toc20823286"/>
      <w:bookmarkStart w:id="101" w:name="_Toc16938530"/>
      <w:r>
        <w:rPr>
          <w:rFonts w:hint="eastAsia" w:ascii="仿宋" w:hAnsi="仿宋" w:eastAsia="仿宋" w:cs="仿宋"/>
          <w:color w:val="auto"/>
        </w:rPr>
        <w:t>响应文件的语言及度量衡单位</w:t>
      </w:r>
      <w:bookmarkEnd w:id="98"/>
      <w:bookmarkEnd w:id="99"/>
      <w:bookmarkEnd w:id="100"/>
      <w:bookmarkEnd w:id="101"/>
    </w:p>
    <w:p>
      <w:pPr>
        <w:pStyle w:val="179"/>
        <w:numPr>
          <w:ilvl w:val="0"/>
          <w:numId w:val="19"/>
        </w:numPr>
        <w:ind w:firstLineChars="0"/>
        <w:rPr>
          <w:rFonts w:ascii="仿宋" w:hAnsi="仿宋" w:cs="仿宋"/>
        </w:rPr>
      </w:pPr>
      <w:r>
        <w:rPr>
          <w:rFonts w:hint="eastAsia" w:ascii="仿宋" w:hAnsi="仿宋" w:cs="仿宋"/>
        </w:rPr>
        <w:t>投标人提交的响应文件以及投标人与采购人就有关磋商的所有来往通知、函件和文件均应使用</w:t>
      </w:r>
      <w:r>
        <w:rPr>
          <w:rFonts w:hint="eastAsia" w:ascii="仿宋" w:hAnsi="仿宋" w:cs="仿宋"/>
          <w:bCs/>
        </w:rPr>
        <w:t>简体中文</w:t>
      </w:r>
      <w:r>
        <w:rPr>
          <w:rFonts w:hint="eastAsia" w:ascii="仿宋" w:hAnsi="仿宋" w:cs="仿宋"/>
        </w:rPr>
        <w:t>。</w:t>
      </w:r>
    </w:p>
    <w:p>
      <w:pPr>
        <w:pStyle w:val="179"/>
        <w:numPr>
          <w:ilvl w:val="0"/>
          <w:numId w:val="19"/>
        </w:numPr>
        <w:ind w:firstLineChars="0"/>
        <w:rPr>
          <w:rFonts w:ascii="仿宋" w:hAnsi="仿宋" w:cs="仿宋"/>
        </w:rPr>
      </w:pPr>
      <w:r>
        <w:rPr>
          <w:rFonts w:hint="eastAsia" w:ascii="仿宋" w:hAnsi="仿宋" w:cs="仿宋"/>
        </w:rPr>
        <w:t>除技术性能另有规定外，响应文件所使用的度量衡单位，均须采用国家法定计量单位。</w:t>
      </w:r>
    </w:p>
    <w:p>
      <w:pPr>
        <w:pStyle w:val="174"/>
        <w:rPr>
          <w:rFonts w:ascii="仿宋" w:hAnsi="仿宋" w:eastAsia="仿宋" w:cs="仿宋"/>
          <w:color w:val="auto"/>
        </w:rPr>
      </w:pPr>
      <w:bookmarkStart w:id="102" w:name="_Toc513029215"/>
      <w:bookmarkStart w:id="103" w:name="_Toc16938531"/>
      <w:bookmarkStart w:id="104" w:name="_Toc462564074"/>
      <w:bookmarkStart w:id="105" w:name="_Toc20823287"/>
      <w:r>
        <w:rPr>
          <w:rFonts w:hint="eastAsia" w:ascii="仿宋" w:hAnsi="仿宋" w:eastAsia="仿宋" w:cs="仿宋"/>
          <w:color w:val="auto"/>
        </w:rPr>
        <w:t>响应文件构成</w:t>
      </w:r>
      <w:bookmarkEnd w:id="102"/>
      <w:bookmarkEnd w:id="103"/>
      <w:bookmarkEnd w:id="104"/>
      <w:bookmarkEnd w:id="105"/>
    </w:p>
    <w:p>
      <w:pPr>
        <w:pStyle w:val="179"/>
        <w:numPr>
          <w:ilvl w:val="0"/>
          <w:numId w:val="20"/>
        </w:numPr>
        <w:ind w:firstLineChars="0"/>
        <w:rPr>
          <w:rFonts w:ascii="仿宋" w:hAnsi="仿宋" w:cs="仿宋"/>
        </w:rPr>
      </w:pPr>
      <w:r>
        <w:rPr>
          <w:rFonts w:hint="eastAsia" w:ascii="仿宋" w:hAnsi="仿宋" w:cs="仿宋"/>
        </w:rPr>
        <w:t>投标人应该按照磋商文件的要求编写响应文件。</w:t>
      </w:r>
    </w:p>
    <w:p>
      <w:pPr>
        <w:pStyle w:val="179"/>
        <w:numPr>
          <w:ilvl w:val="0"/>
          <w:numId w:val="20"/>
        </w:numPr>
        <w:ind w:firstLineChars="0"/>
        <w:rPr>
          <w:rFonts w:ascii="仿宋" w:hAnsi="仿宋" w:cs="仿宋"/>
        </w:rPr>
      </w:pPr>
      <w:r>
        <w:rPr>
          <w:rFonts w:hint="eastAsia" w:ascii="仿宋" w:hAnsi="仿宋" w:cs="仿宋"/>
        </w:rPr>
        <w:t>投标人应将响应文件按顺序</w:t>
      </w:r>
      <w:r>
        <w:rPr>
          <w:rFonts w:hint="eastAsia" w:ascii="仿宋" w:hAnsi="仿宋" w:cs="仿宋"/>
          <w:b/>
          <w:szCs w:val="24"/>
          <w:u w:val="single"/>
        </w:rPr>
        <w:t>胶装成册</w:t>
      </w:r>
      <w:r>
        <w:rPr>
          <w:rFonts w:hint="eastAsia" w:ascii="仿宋" w:hAnsi="仿宋" w:cs="仿宋"/>
        </w:rPr>
        <w:t>，并编制响应文件</w:t>
      </w:r>
      <w:r>
        <w:rPr>
          <w:rFonts w:hint="eastAsia" w:ascii="仿宋" w:hAnsi="仿宋" w:cs="仿宋"/>
          <w:b/>
          <w:bCs/>
        </w:rPr>
        <w:t>资料目录</w:t>
      </w:r>
      <w:r>
        <w:rPr>
          <w:rFonts w:hint="eastAsia" w:ascii="仿宋" w:hAnsi="仿宋" w:cs="仿宋"/>
        </w:rPr>
        <w:t>。</w:t>
      </w:r>
    </w:p>
    <w:p>
      <w:pPr>
        <w:pStyle w:val="174"/>
        <w:rPr>
          <w:rFonts w:ascii="仿宋" w:hAnsi="仿宋" w:eastAsia="仿宋" w:cs="仿宋"/>
          <w:color w:val="auto"/>
        </w:rPr>
      </w:pPr>
      <w:bookmarkStart w:id="106" w:name="_Hlt26670360"/>
      <w:bookmarkEnd w:id="106"/>
      <w:bookmarkStart w:id="107" w:name="_Hlt26668975"/>
      <w:bookmarkEnd w:id="107"/>
      <w:bookmarkStart w:id="108" w:name="_Hlt26954838"/>
      <w:bookmarkEnd w:id="108"/>
      <w:bookmarkStart w:id="109" w:name="_Toc513029219"/>
      <w:bookmarkStart w:id="110" w:name="_Toc49090509"/>
      <w:bookmarkStart w:id="111" w:name="_Toc14577357"/>
      <w:bookmarkStart w:id="112" w:name="_Toc49090507"/>
      <w:bookmarkStart w:id="113" w:name="_Toc14577354"/>
      <w:bookmarkStart w:id="114" w:name="_Toc513029216"/>
      <w:r>
        <w:rPr>
          <w:rFonts w:hint="eastAsia" w:ascii="仿宋" w:hAnsi="仿宋" w:eastAsia="仿宋" w:cs="仿宋"/>
          <w:color w:val="auto"/>
        </w:rPr>
        <w:t>证明投标人资格及符合竞争性磋商文件规定的文件</w:t>
      </w:r>
      <w:bookmarkEnd w:id="109"/>
      <w:bookmarkEnd w:id="110"/>
      <w:bookmarkEnd w:id="111"/>
    </w:p>
    <w:p>
      <w:pPr>
        <w:pStyle w:val="179"/>
        <w:numPr>
          <w:ilvl w:val="0"/>
          <w:numId w:val="21"/>
        </w:numPr>
        <w:ind w:firstLineChars="0"/>
        <w:rPr>
          <w:rFonts w:ascii="仿宋" w:hAnsi="仿宋" w:cs="仿宋"/>
        </w:rPr>
      </w:pPr>
      <w:bookmarkStart w:id="115" w:name="_Hlt26668999"/>
      <w:bookmarkEnd w:id="115"/>
      <w:r>
        <w:rPr>
          <w:rFonts w:hint="eastAsia" w:ascii="仿宋" w:hAnsi="仿宋" w:cs="仿宋"/>
        </w:rPr>
        <w:t>投标人应按要求提交资格证明文件及符合竞争性磋商文件规定的文件。</w:t>
      </w:r>
    </w:p>
    <w:p>
      <w:pPr>
        <w:pStyle w:val="179"/>
        <w:numPr>
          <w:ilvl w:val="0"/>
          <w:numId w:val="21"/>
        </w:numPr>
        <w:ind w:firstLineChars="0"/>
        <w:rPr>
          <w:rFonts w:ascii="仿宋" w:hAnsi="仿宋" w:cs="仿宋"/>
        </w:rPr>
      </w:pPr>
      <w:r>
        <w:rPr>
          <w:rFonts w:hint="eastAsia" w:ascii="仿宋" w:hAnsi="仿宋" w:cs="仿宋"/>
        </w:rPr>
        <w:t>投标人除必须具有履行合同所需提供的货物以及服务的能力外，还必须具备相应的财务、技术方面的能力。</w:t>
      </w:r>
    </w:p>
    <w:bookmarkEnd w:id="112"/>
    <w:bookmarkEnd w:id="113"/>
    <w:bookmarkEnd w:id="114"/>
    <w:p>
      <w:pPr>
        <w:pStyle w:val="174"/>
        <w:rPr>
          <w:rFonts w:ascii="仿宋" w:hAnsi="仿宋" w:eastAsia="仿宋" w:cs="仿宋"/>
          <w:bCs/>
          <w:color w:val="auto"/>
        </w:rPr>
      </w:pPr>
      <w:r>
        <w:rPr>
          <w:rFonts w:hint="eastAsia" w:ascii="仿宋" w:hAnsi="仿宋" w:eastAsia="仿宋" w:cs="仿宋"/>
          <w:color w:val="auto"/>
        </w:rPr>
        <w:t>投标人应按照竞争性磋商文件规定格式填报报价一览表。每项费用只允许有一个报价，任何有选择的报价将不予接受。</w:t>
      </w:r>
    </w:p>
    <w:p>
      <w:pPr>
        <w:pStyle w:val="174"/>
        <w:rPr>
          <w:rFonts w:ascii="仿宋" w:hAnsi="仿宋" w:eastAsia="仿宋" w:cs="仿宋"/>
          <w:color w:val="auto"/>
        </w:rPr>
      </w:pPr>
      <w:r>
        <w:rPr>
          <w:rFonts w:hint="eastAsia" w:ascii="仿宋" w:hAnsi="仿宋" w:eastAsia="仿宋" w:cs="仿宋"/>
          <w:color w:val="auto"/>
        </w:rPr>
        <w:t>其它费用处理</w:t>
      </w:r>
    </w:p>
    <w:p>
      <w:pPr>
        <w:pStyle w:val="179"/>
        <w:ind w:firstLine="560"/>
        <w:rPr>
          <w:rFonts w:ascii="仿宋" w:hAnsi="仿宋" w:cs="仿宋"/>
        </w:rPr>
      </w:pPr>
      <w:r>
        <w:rPr>
          <w:rFonts w:hint="eastAsia" w:ascii="仿宋" w:hAnsi="仿宋" w:cs="仿宋"/>
        </w:rPr>
        <w:t>竞争性磋商文件未列明，而投标人认为必需的费用也需列入报价。</w:t>
      </w:r>
    </w:p>
    <w:p>
      <w:pPr>
        <w:pStyle w:val="174"/>
        <w:rPr>
          <w:rFonts w:ascii="仿宋" w:hAnsi="仿宋" w:eastAsia="仿宋" w:cs="仿宋"/>
          <w:color w:val="auto"/>
        </w:rPr>
      </w:pPr>
      <w:r>
        <w:rPr>
          <w:rFonts w:hint="eastAsia" w:ascii="仿宋" w:hAnsi="仿宋" w:eastAsia="仿宋" w:cs="仿宋"/>
          <w:color w:val="auto"/>
        </w:rPr>
        <w:t>响应文件货币</w:t>
      </w:r>
    </w:p>
    <w:p>
      <w:pPr>
        <w:pStyle w:val="179"/>
        <w:ind w:firstLine="560"/>
        <w:rPr>
          <w:rFonts w:ascii="仿宋" w:hAnsi="仿宋" w:cs="仿宋"/>
        </w:rPr>
      </w:pPr>
      <w:r>
        <w:rPr>
          <w:rFonts w:hint="eastAsia" w:ascii="仿宋" w:hAnsi="仿宋" w:cs="仿宋"/>
        </w:rPr>
        <w:t>响应文件中的货物单价和总价无特殊规定的采用人民币报价，以元为单位标注。竞争性磋商文件中另有规定的按规定执行。</w:t>
      </w:r>
    </w:p>
    <w:p>
      <w:pPr>
        <w:pStyle w:val="174"/>
        <w:rPr>
          <w:rFonts w:ascii="仿宋" w:hAnsi="仿宋" w:eastAsia="仿宋" w:cs="仿宋"/>
          <w:color w:val="auto"/>
        </w:rPr>
      </w:pPr>
      <w:bookmarkStart w:id="116" w:name="_Hlt26670482"/>
      <w:bookmarkEnd w:id="116"/>
      <w:bookmarkStart w:id="117" w:name="_Hlt26954731"/>
      <w:bookmarkEnd w:id="117"/>
      <w:bookmarkStart w:id="118" w:name="_Hlt26954848"/>
      <w:bookmarkEnd w:id="118"/>
      <w:bookmarkStart w:id="119" w:name="_Hlt26670486"/>
      <w:bookmarkEnd w:id="119"/>
      <w:bookmarkStart w:id="120" w:name="_Hlt26954846"/>
      <w:bookmarkEnd w:id="120"/>
      <w:bookmarkStart w:id="121" w:name="_Toc49090510"/>
      <w:bookmarkStart w:id="122" w:name="_Toc14577359"/>
      <w:r>
        <w:rPr>
          <w:rFonts w:hint="eastAsia" w:ascii="仿宋" w:hAnsi="仿宋" w:eastAsia="仿宋" w:cs="仿宋"/>
          <w:color w:val="auto"/>
        </w:rPr>
        <w:t>参加竞争性磋商函</w:t>
      </w:r>
    </w:p>
    <w:p>
      <w:pPr>
        <w:pStyle w:val="179"/>
        <w:numPr>
          <w:ilvl w:val="0"/>
          <w:numId w:val="22"/>
        </w:numPr>
        <w:ind w:firstLineChars="0"/>
        <w:rPr>
          <w:rFonts w:ascii="仿宋" w:hAnsi="仿宋" w:cs="仿宋"/>
        </w:rPr>
      </w:pPr>
      <w:r>
        <w:rPr>
          <w:rFonts w:hint="eastAsia" w:ascii="仿宋" w:hAnsi="仿宋" w:cs="仿宋"/>
        </w:rPr>
        <w:t>投标人应按照竞争性磋商文件中提供的格式完整、正确填写</w:t>
      </w:r>
      <w:r>
        <w:rPr>
          <w:rFonts w:hint="eastAsia" w:ascii="仿宋" w:hAnsi="仿宋" w:cs="仿宋"/>
          <w:b/>
          <w:bCs/>
          <w:u w:val="single"/>
        </w:rPr>
        <w:t>竞争性磋商函</w:t>
      </w:r>
      <w:r>
        <w:rPr>
          <w:rFonts w:hint="eastAsia" w:ascii="仿宋" w:hAnsi="仿宋" w:cs="仿宋"/>
        </w:rPr>
        <w:t>。</w:t>
      </w:r>
    </w:p>
    <w:p>
      <w:pPr>
        <w:pStyle w:val="174"/>
        <w:rPr>
          <w:rFonts w:ascii="仿宋" w:hAnsi="仿宋" w:eastAsia="仿宋" w:cs="仿宋"/>
          <w:color w:val="auto"/>
        </w:rPr>
      </w:pPr>
      <w:r>
        <w:rPr>
          <w:rFonts w:hint="eastAsia" w:ascii="仿宋" w:hAnsi="仿宋" w:eastAsia="仿宋" w:cs="仿宋"/>
          <w:color w:val="auto"/>
        </w:rPr>
        <w:t>磋商保证金</w:t>
      </w:r>
      <w:bookmarkEnd w:id="121"/>
      <w:bookmarkEnd w:id="122"/>
    </w:p>
    <w:p>
      <w:pPr>
        <w:pStyle w:val="179"/>
        <w:ind w:firstLine="560"/>
        <w:rPr>
          <w:rFonts w:ascii="仿宋" w:hAnsi="仿宋" w:cs="仿宋"/>
        </w:rPr>
      </w:pPr>
      <w:bookmarkStart w:id="123" w:name="_Hlt26954850"/>
      <w:bookmarkEnd w:id="123"/>
      <w:bookmarkStart w:id="124" w:name="_Hlt26954734"/>
      <w:bookmarkEnd w:id="124"/>
      <w:bookmarkStart w:id="125" w:name="_Hlt26670489"/>
      <w:bookmarkEnd w:id="125"/>
      <w:bookmarkStart w:id="126" w:name="_Toc14577360"/>
      <w:bookmarkStart w:id="127" w:name="_Toc49090511"/>
      <w:r>
        <w:rPr>
          <w:rFonts w:hint="eastAsia" w:ascii="仿宋" w:hAnsi="仿宋" w:cs="仿宋"/>
        </w:rPr>
        <w:t>1.投标人提交的磋商保证金必须在磋商文件规定提交截止时间前提交，并作为其磋商响应的组成部分，否则将被视为非实质性响应而予以拒绝。</w:t>
      </w:r>
    </w:p>
    <w:p>
      <w:pPr>
        <w:pStyle w:val="179"/>
        <w:ind w:firstLine="560"/>
        <w:rPr>
          <w:rFonts w:ascii="仿宋" w:hAnsi="仿宋" w:cs="仿宋"/>
        </w:rPr>
      </w:pPr>
      <w:r>
        <w:rPr>
          <w:rFonts w:hint="eastAsia" w:ascii="仿宋" w:hAnsi="仿宋" w:cs="仿宋"/>
        </w:rPr>
        <w:t>2.磋商保证金是为了保护采购人免遭因投标人的行为而蒙受的损失，采购人在因投标人的行为遭受损失时，采购人可根据第1.9.10第4条的规定没收投标人的磋商保证金。</w:t>
      </w:r>
    </w:p>
    <w:p>
      <w:pPr>
        <w:pStyle w:val="179"/>
        <w:ind w:firstLine="560"/>
        <w:rPr>
          <w:rFonts w:ascii="仿宋" w:hAnsi="仿宋" w:cs="仿宋"/>
        </w:rPr>
      </w:pPr>
      <w:r>
        <w:rPr>
          <w:rFonts w:hint="eastAsia" w:ascii="仿宋" w:hAnsi="仿宋" w:cs="仿宋"/>
        </w:rPr>
        <w:t>3.成交人的磋商保证金在与采购人签订供货合同后5个工作日内无息退还）。</w:t>
      </w:r>
    </w:p>
    <w:p>
      <w:pPr>
        <w:pStyle w:val="179"/>
        <w:ind w:firstLine="560"/>
        <w:rPr>
          <w:rFonts w:ascii="仿宋" w:hAnsi="仿宋" w:cs="仿宋"/>
        </w:rPr>
      </w:pPr>
      <w:r>
        <w:rPr>
          <w:rFonts w:hint="eastAsia" w:ascii="仿宋" w:hAnsi="仿宋" w:cs="仿宋"/>
        </w:rPr>
        <w:t>4.未成交投标人的磋商保证金将在成交通知书发出后5个工作日内无息退还。</w:t>
      </w:r>
    </w:p>
    <w:p>
      <w:pPr>
        <w:pStyle w:val="179"/>
        <w:ind w:firstLine="560"/>
        <w:rPr>
          <w:rFonts w:ascii="仿宋" w:hAnsi="仿宋" w:cs="仿宋"/>
          <w:szCs w:val="24"/>
        </w:rPr>
      </w:pPr>
      <w:r>
        <w:rPr>
          <w:rFonts w:hint="eastAsia" w:ascii="仿宋" w:hAnsi="仿宋" w:cs="仿宋"/>
          <w:szCs w:val="24"/>
        </w:rPr>
        <w:t xml:space="preserve">有下列情形之一的，磋商保证金不予退还： </w:t>
      </w:r>
    </w:p>
    <w:p>
      <w:pPr>
        <w:pStyle w:val="442"/>
        <w:numPr>
          <w:ilvl w:val="0"/>
          <w:numId w:val="23"/>
        </w:numPr>
        <w:ind w:firstLineChars="0"/>
        <w:rPr>
          <w:rFonts w:ascii="仿宋" w:hAnsi="仿宋" w:cs="仿宋"/>
        </w:rPr>
      </w:pPr>
      <w:r>
        <w:rPr>
          <w:rFonts w:hint="eastAsia" w:ascii="仿宋" w:hAnsi="仿宋" w:cs="仿宋"/>
        </w:rPr>
        <w:t>投标人在提交响应文件截止时间后撤回响应文件的；</w:t>
      </w:r>
    </w:p>
    <w:p>
      <w:pPr>
        <w:pStyle w:val="442"/>
        <w:numPr>
          <w:ilvl w:val="0"/>
          <w:numId w:val="23"/>
        </w:numPr>
        <w:ind w:firstLineChars="0"/>
        <w:rPr>
          <w:rFonts w:ascii="仿宋" w:hAnsi="仿宋" w:cs="仿宋"/>
        </w:rPr>
      </w:pPr>
      <w:r>
        <w:rPr>
          <w:rFonts w:hint="eastAsia" w:ascii="仿宋" w:hAnsi="仿宋" w:cs="仿宋"/>
          <w:szCs w:val="24"/>
        </w:rPr>
        <w:t>投标人在响应文件中提供虚假材料的；</w:t>
      </w:r>
    </w:p>
    <w:p>
      <w:pPr>
        <w:pStyle w:val="442"/>
        <w:numPr>
          <w:ilvl w:val="0"/>
          <w:numId w:val="23"/>
        </w:numPr>
        <w:ind w:firstLineChars="0"/>
        <w:rPr>
          <w:rFonts w:ascii="仿宋" w:hAnsi="仿宋" w:cs="仿宋"/>
        </w:rPr>
      </w:pPr>
      <w:r>
        <w:rPr>
          <w:rFonts w:hint="eastAsia" w:ascii="仿宋" w:hAnsi="仿宋" w:cs="仿宋"/>
          <w:szCs w:val="24"/>
        </w:rPr>
        <w:t>除因不可抗力或磋商文件认可的情形以外，成交投标人不与采购人签订合同的，或者</w:t>
      </w:r>
      <w:r>
        <w:rPr>
          <w:rFonts w:hint="eastAsia" w:ascii="仿宋" w:hAnsi="仿宋" w:cs="仿宋"/>
        </w:rPr>
        <w:t>不按本章规定签订合同的</w:t>
      </w:r>
      <w:r>
        <w:rPr>
          <w:rFonts w:hint="eastAsia" w:ascii="仿宋" w:hAnsi="仿宋" w:cs="仿宋"/>
          <w:szCs w:val="24"/>
        </w:rPr>
        <w:t>；</w:t>
      </w:r>
    </w:p>
    <w:p>
      <w:pPr>
        <w:pStyle w:val="442"/>
        <w:numPr>
          <w:ilvl w:val="0"/>
          <w:numId w:val="23"/>
        </w:numPr>
        <w:ind w:firstLineChars="0"/>
        <w:rPr>
          <w:rFonts w:ascii="仿宋" w:hAnsi="仿宋" w:cs="仿宋"/>
        </w:rPr>
      </w:pPr>
      <w:r>
        <w:rPr>
          <w:rFonts w:hint="eastAsia" w:ascii="仿宋" w:hAnsi="仿宋" w:cs="仿宋"/>
        </w:rPr>
        <w:t>投标人与采购人、其他投标人或者采购代理机构恶意串通的；</w:t>
      </w:r>
    </w:p>
    <w:p>
      <w:pPr>
        <w:pStyle w:val="442"/>
        <w:numPr>
          <w:ilvl w:val="0"/>
          <w:numId w:val="23"/>
        </w:numPr>
        <w:ind w:firstLineChars="0"/>
        <w:rPr>
          <w:rFonts w:ascii="仿宋" w:hAnsi="仿宋" w:cs="仿宋"/>
        </w:rPr>
      </w:pPr>
      <w:r>
        <w:rPr>
          <w:rFonts w:hint="eastAsia" w:ascii="仿宋" w:hAnsi="仿宋" w:cs="仿宋"/>
        </w:rPr>
        <w:t>供应商提供虚假材料谋取成交、成交的；</w:t>
      </w:r>
    </w:p>
    <w:p>
      <w:pPr>
        <w:pStyle w:val="442"/>
        <w:numPr>
          <w:ilvl w:val="0"/>
          <w:numId w:val="23"/>
        </w:numPr>
        <w:ind w:firstLineChars="0"/>
        <w:rPr>
          <w:rFonts w:ascii="仿宋" w:hAnsi="仿宋" w:cs="仿宋"/>
        </w:rPr>
      </w:pPr>
      <w:r>
        <w:rPr>
          <w:rFonts w:hint="eastAsia" w:ascii="仿宋" w:hAnsi="仿宋" w:cs="仿宋"/>
        </w:rPr>
        <w:t>向采购人、采购代理机构、磋商小组成员行贿或者提供其他不正当利益的。</w:t>
      </w:r>
    </w:p>
    <w:p>
      <w:pPr>
        <w:pStyle w:val="442"/>
        <w:numPr>
          <w:ilvl w:val="0"/>
          <w:numId w:val="23"/>
        </w:numPr>
        <w:ind w:firstLineChars="0"/>
        <w:rPr>
          <w:rFonts w:ascii="仿宋" w:hAnsi="仿宋" w:cs="仿宋"/>
        </w:rPr>
      </w:pPr>
      <w:r>
        <w:rPr>
          <w:rFonts w:hint="eastAsia" w:ascii="仿宋" w:hAnsi="仿宋" w:cs="仿宋"/>
        </w:rPr>
        <w:t>采取不正当手段诋毁、排挤其他投标人的；</w:t>
      </w:r>
    </w:p>
    <w:p>
      <w:pPr>
        <w:pStyle w:val="442"/>
        <w:numPr>
          <w:ilvl w:val="0"/>
          <w:numId w:val="23"/>
        </w:numPr>
        <w:ind w:firstLineChars="0"/>
        <w:rPr>
          <w:rFonts w:ascii="仿宋" w:hAnsi="仿宋" w:cs="仿宋"/>
        </w:rPr>
      </w:pPr>
      <w:r>
        <w:rPr>
          <w:rFonts w:hint="eastAsia" w:ascii="仿宋" w:hAnsi="仿宋" w:cs="仿宋"/>
        </w:rPr>
        <w:t>逾期未支付招标代理服务费的。（代理费由成交供应商支付）</w:t>
      </w:r>
    </w:p>
    <w:p>
      <w:pPr>
        <w:pStyle w:val="442"/>
        <w:numPr>
          <w:ilvl w:val="0"/>
          <w:numId w:val="23"/>
        </w:numPr>
        <w:ind w:firstLineChars="0"/>
        <w:rPr>
          <w:rFonts w:ascii="仿宋" w:hAnsi="仿宋" w:cs="仿宋"/>
        </w:rPr>
      </w:pPr>
      <w:r>
        <w:rPr>
          <w:rFonts w:hint="eastAsia" w:ascii="仿宋" w:hAnsi="仿宋" w:cs="仿宋"/>
        </w:rPr>
        <w:t>磋商文件规定的其他情形。</w:t>
      </w:r>
    </w:p>
    <w:bookmarkEnd w:id="126"/>
    <w:bookmarkEnd w:id="127"/>
    <w:p>
      <w:pPr>
        <w:pStyle w:val="174"/>
        <w:rPr>
          <w:rFonts w:ascii="仿宋" w:hAnsi="仿宋" w:eastAsia="仿宋" w:cs="仿宋"/>
          <w:color w:val="auto"/>
        </w:rPr>
      </w:pPr>
      <w:bookmarkStart w:id="128" w:name="_Hlt26954852"/>
      <w:bookmarkEnd w:id="128"/>
      <w:bookmarkStart w:id="129" w:name="_Hlt26954739"/>
      <w:bookmarkEnd w:id="129"/>
      <w:bookmarkStart w:id="130" w:name="_Toc49090512"/>
      <w:bookmarkStart w:id="131" w:name="_Toc14577361"/>
      <w:r>
        <w:rPr>
          <w:rFonts w:hint="eastAsia" w:ascii="仿宋" w:hAnsi="仿宋" w:eastAsia="仿宋" w:cs="仿宋"/>
          <w:color w:val="auto"/>
        </w:rPr>
        <w:t>响应文件份数和签署</w:t>
      </w:r>
      <w:bookmarkEnd w:id="130"/>
      <w:bookmarkEnd w:id="131"/>
    </w:p>
    <w:p>
      <w:pPr>
        <w:ind w:firstLine="560"/>
      </w:pPr>
      <w:r>
        <w:rPr>
          <w:rFonts w:hint="eastAsia"/>
        </w:rPr>
        <w:t>1.</w:t>
      </w:r>
      <w:r>
        <w:rPr>
          <w:rFonts w:hint="eastAsia"/>
          <w:b/>
          <w:bCs/>
        </w:rPr>
        <w:t>磋商文件一式叁份，胶装成册。其中正本壹份，副本贰份（磋商文件封面需注明正副本）</w:t>
      </w:r>
    </w:p>
    <w:p>
      <w:pPr>
        <w:ind w:firstLine="560"/>
      </w:pPr>
      <w:r>
        <w:rPr>
          <w:rFonts w:hint="eastAsia"/>
        </w:rPr>
        <w:t>2.响应文件的正本和所有的副本均需打印或复印，正本由投标人法定代表人或其授权代表在标书相应处签字。授权代表须将“法人代表授权书”附在正本响应文件中。</w:t>
      </w:r>
    </w:p>
    <w:p>
      <w:pPr>
        <w:ind w:firstLine="560"/>
      </w:pPr>
      <w:r>
        <w:rPr>
          <w:rFonts w:hint="eastAsia"/>
        </w:rPr>
        <w:t>3.除投标人对错处做必要修改外，响应文件不得行间插字、涂改或增删。如有修改错漏处，必须由响应文件签署人签字或盖章。</w:t>
      </w:r>
    </w:p>
    <w:p>
      <w:pPr>
        <w:pStyle w:val="173"/>
        <w:rPr>
          <w:rFonts w:ascii="仿宋" w:hAnsi="仿宋" w:eastAsia="仿宋" w:cs="仿宋"/>
        </w:rPr>
      </w:pPr>
      <w:bookmarkStart w:id="132" w:name="_Toc474854522"/>
      <w:bookmarkStart w:id="133" w:name="_Toc14315"/>
      <w:bookmarkStart w:id="134" w:name="_Toc513029224"/>
      <w:bookmarkStart w:id="135" w:name="_Toc16938540"/>
      <w:bookmarkStart w:id="136" w:name="_Toc20823296"/>
      <w:bookmarkStart w:id="137" w:name="_Toc120614217"/>
      <w:bookmarkStart w:id="138" w:name="_Toc403987208"/>
      <w:r>
        <w:rPr>
          <w:rFonts w:hint="eastAsia" w:ascii="仿宋" w:hAnsi="仿宋" w:eastAsia="仿宋" w:cs="仿宋"/>
        </w:rPr>
        <w:t>响应文件的递交</w:t>
      </w:r>
      <w:bookmarkEnd w:id="132"/>
      <w:bookmarkEnd w:id="133"/>
      <w:bookmarkEnd w:id="134"/>
      <w:bookmarkEnd w:id="135"/>
      <w:bookmarkEnd w:id="136"/>
      <w:bookmarkEnd w:id="137"/>
      <w:bookmarkEnd w:id="138"/>
    </w:p>
    <w:p>
      <w:pPr>
        <w:pStyle w:val="174"/>
        <w:rPr>
          <w:rFonts w:ascii="仿宋" w:hAnsi="仿宋" w:eastAsia="仿宋" w:cs="仿宋"/>
          <w:color w:val="auto"/>
        </w:rPr>
      </w:pPr>
      <w:bookmarkStart w:id="139" w:name="_Toc20823297"/>
      <w:bookmarkStart w:id="140" w:name="_Toc16938541"/>
      <w:bookmarkStart w:id="141" w:name="_Toc513029225"/>
      <w:bookmarkStart w:id="142" w:name="_Toc462564084"/>
      <w:r>
        <w:rPr>
          <w:rFonts w:hint="eastAsia" w:ascii="仿宋" w:hAnsi="仿宋" w:eastAsia="仿宋" w:cs="仿宋"/>
          <w:color w:val="auto"/>
        </w:rPr>
        <w:t>响应文件的密封和标记</w:t>
      </w:r>
      <w:bookmarkEnd w:id="139"/>
      <w:bookmarkEnd w:id="140"/>
      <w:bookmarkEnd w:id="141"/>
      <w:bookmarkEnd w:id="142"/>
    </w:p>
    <w:p>
      <w:pPr>
        <w:ind w:firstLine="560"/>
      </w:pPr>
      <w:r>
        <w:rPr>
          <w:rFonts w:hint="eastAsia"/>
        </w:rPr>
        <w:t>1.投标人应将响应文件正本和所有副本密封，并加盖投标人公章。不论投标人成交与否，响应文件均不退回。</w:t>
      </w:r>
    </w:p>
    <w:p>
      <w:pPr>
        <w:pStyle w:val="179"/>
        <w:ind w:left="560" w:firstLine="0" w:firstLineChars="0"/>
        <w:rPr>
          <w:rFonts w:ascii="仿宋" w:hAnsi="仿宋" w:cs="仿宋"/>
        </w:rPr>
      </w:pPr>
      <w:r>
        <w:rPr>
          <w:rFonts w:hint="eastAsia" w:ascii="仿宋" w:hAnsi="仿宋" w:cs="仿宋"/>
        </w:rPr>
        <w:t>2.密封的响应文件应：</w:t>
      </w:r>
    </w:p>
    <w:p>
      <w:pPr>
        <w:pStyle w:val="179"/>
        <w:numPr>
          <w:ilvl w:val="0"/>
          <w:numId w:val="24"/>
        </w:numPr>
        <w:ind w:firstLineChars="0"/>
        <w:rPr>
          <w:rFonts w:ascii="仿宋" w:hAnsi="仿宋" w:cs="仿宋"/>
        </w:rPr>
      </w:pPr>
      <w:r>
        <w:rPr>
          <w:rFonts w:hint="eastAsia" w:ascii="仿宋" w:hAnsi="仿宋" w:cs="仿宋"/>
        </w:rPr>
        <w:t>注明投标人名称，如因标注不清而产生的后果由投标人自负。按竞争性磋商公告中注明的地址送达；</w:t>
      </w:r>
    </w:p>
    <w:p>
      <w:pPr>
        <w:pStyle w:val="179"/>
        <w:numPr>
          <w:ilvl w:val="0"/>
          <w:numId w:val="24"/>
        </w:numPr>
        <w:ind w:firstLineChars="0"/>
        <w:rPr>
          <w:rFonts w:ascii="仿宋_GB2312" w:hAnsi="Calibri" w:eastAsia="仿宋_GB2312" w:cs="Times New Roman"/>
          <w:kern w:val="2"/>
          <w:szCs w:val="22"/>
        </w:rPr>
      </w:pPr>
      <w:r>
        <w:rPr>
          <w:rFonts w:hint="eastAsia" w:ascii="仿宋" w:hAnsi="仿宋" w:cs="仿宋"/>
        </w:rPr>
        <w:t>注明磋商项目名称、项目编号及“</w:t>
      </w:r>
      <w:r>
        <w:rPr>
          <w:rFonts w:hint="eastAsia" w:ascii="仿宋" w:hAnsi="仿宋" w:cs="仿宋"/>
          <w:u w:val="single"/>
        </w:rPr>
        <w:t>请勿在   年  月  日  （</w:t>
      </w:r>
      <w:r>
        <w:rPr>
          <w:rFonts w:hint="eastAsia" w:ascii="仿宋" w:hAnsi="仿宋" w:cs="仿宋"/>
        </w:rPr>
        <w:t>响</w:t>
      </w:r>
      <w:r>
        <w:rPr>
          <w:rFonts w:hint="eastAsia" w:ascii="仿宋_GB2312" w:hAnsi="Calibri" w:eastAsia="仿宋_GB2312" w:cs="Times New Roman"/>
          <w:kern w:val="2"/>
          <w:szCs w:val="22"/>
        </w:rPr>
        <w:t>应文件提交截止时间）之前启封”的字样。</w:t>
      </w:r>
    </w:p>
    <w:p>
      <w:pPr>
        <w:ind w:firstLine="560"/>
      </w:pPr>
      <w:r>
        <w:rPr>
          <w:rFonts w:hint="eastAsia"/>
        </w:rPr>
        <w:t>3.如果响应文件被宣布为“迟到”响应文件时，应原封退回。</w:t>
      </w:r>
    </w:p>
    <w:p>
      <w:pPr>
        <w:ind w:firstLine="560"/>
      </w:pPr>
      <w:r>
        <w:rPr>
          <w:rFonts w:hint="eastAsia"/>
        </w:rPr>
        <w:t>4.未按要求密封和加写标记，采购人对误投或过早启封概不负责。对由此造成提前开封的响应文件，采购人将予以拒绝，作无效响应处理。</w:t>
      </w:r>
    </w:p>
    <w:p>
      <w:pPr>
        <w:ind w:firstLine="560"/>
      </w:pPr>
      <w:r>
        <w:rPr>
          <w:rFonts w:hint="eastAsia"/>
        </w:rPr>
        <w:t>5.投标人须由法定代表人或其授权的本单位员工作为委托代理人参加磋商，随时准备对磋商小组的询问予以解答。并于开标前和递交响应文件时提供身份证原件及由法定代表人签署授权书的原件（须单独提供，并明确授权范围），该代理人在委托书上应标明有效联系方式，该联系方式在磋商有效期内始终保持有效。</w:t>
      </w:r>
    </w:p>
    <w:p>
      <w:pPr>
        <w:pStyle w:val="174"/>
        <w:rPr>
          <w:rFonts w:ascii="仿宋" w:hAnsi="仿宋" w:eastAsia="仿宋" w:cs="仿宋"/>
          <w:color w:val="auto"/>
        </w:rPr>
      </w:pPr>
      <w:bookmarkStart w:id="143" w:name="_Toc20823298"/>
      <w:bookmarkStart w:id="144" w:name="_Toc16938542"/>
      <w:bookmarkStart w:id="145" w:name="_Toc513029226"/>
      <w:r>
        <w:rPr>
          <w:rFonts w:hint="eastAsia" w:ascii="仿宋" w:hAnsi="仿宋" w:eastAsia="仿宋" w:cs="仿宋"/>
          <w:color w:val="auto"/>
        </w:rPr>
        <w:t>响应文件提交截止</w:t>
      </w:r>
      <w:bookmarkEnd w:id="143"/>
      <w:bookmarkEnd w:id="144"/>
      <w:bookmarkEnd w:id="145"/>
      <w:r>
        <w:rPr>
          <w:rFonts w:hint="eastAsia" w:ascii="仿宋" w:hAnsi="仿宋" w:eastAsia="仿宋" w:cs="仿宋"/>
          <w:color w:val="auto"/>
        </w:rPr>
        <w:t>时间</w:t>
      </w:r>
    </w:p>
    <w:p>
      <w:pPr>
        <w:pStyle w:val="179"/>
        <w:numPr>
          <w:ilvl w:val="0"/>
          <w:numId w:val="25"/>
        </w:numPr>
        <w:ind w:firstLineChars="0"/>
        <w:rPr>
          <w:rFonts w:ascii="仿宋" w:hAnsi="仿宋" w:cs="仿宋"/>
        </w:rPr>
      </w:pPr>
      <w:r>
        <w:rPr>
          <w:rFonts w:hint="eastAsia" w:ascii="仿宋" w:hAnsi="仿宋" w:cs="仿宋"/>
        </w:rPr>
        <w:t>采购人收到响应文件的时间不得迟于竞争性磋商公告中规定的截止时间。</w:t>
      </w:r>
    </w:p>
    <w:p>
      <w:pPr>
        <w:pStyle w:val="179"/>
        <w:numPr>
          <w:ilvl w:val="0"/>
          <w:numId w:val="25"/>
        </w:numPr>
        <w:ind w:firstLineChars="0"/>
        <w:rPr>
          <w:rFonts w:ascii="仿宋" w:hAnsi="仿宋" w:cs="仿宋"/>
        </w:rPr>
      </w:pPr>
      <w:r>
        <w:rPr>
          <w:rFonts w:hint="eastAsia" w:ascii="仿宋" w:hAnsi="仿宋" w:cs="仿宋"/>
        </w:rPr>
        <w:t>采购人可以按照规定，通过修改竞争性磋商文件有权酌情延长响应文件提交截止时间，在此情况下，投标人的所有权利和义务以及投标人受制的截止日期均应以延长后新的截止日期为准。</w:t>
      </w:r>
    </w:p>
    <w:p>
      <w:pPr>
        <w:pStyle w:val="174"/>
        <w:rPr>
          <w:rFonts w:ascii="仿宋" w:hAnsi="仿宋" w:eastAsia="仿宋" w:cs="仿宋"/>
          <w:color w:val="auto"/>
        </w:rPr>
      </w:pPr>
      <w:bookmarkStart w:id="146" w:name="_Toc20823299"/>
      <w:bookmarkStart w:id="147" w:name="_Toc16938543"/>
      <w:bookmarkStart w:id="148" w:name="_Toc513029227"/>
      <w:bookmarkStart w:id="149" w:name="_Toc2200"/>
      <w:bookmarkStart w:id="150" w:name="_Toc474854523"/>
      <w:r>
        <w:rPr>
          <w:rFonts w:hint="eastAsia" w:ascii="仿宋" w:hAnsi="仿宋" w:eastAsia="仿宋" w:cs="仿宋"/>
          <w:color w:val="auto"/>
        </w:rPr>
        <w:t>迟交的响应文件</w:t>
      </w:r>
      <w:bookmarkEnd w:id="146"/>
      <w:bookmarkEnd w:id="147"/>
      <w:bookmarkEnd w:id="148"/>
    </w:p>
    <w:p>
      <w:pPr>
        <w:pStyle w:val="179"/>
        <w:ind w:firstLine="1120" w:firstLineChars="400"/>
        <w:rPr>
          <w:rFonts w:ascii="仿宋" w:hAnsi="仿宋" w:cs="仿宋"/>
          <w:bCs/>
        </w:rPr>
      </w:pPr>
      <w:r>
        <w:rPr>
          <w:rFonts w:hint="eastAsia" w:ascii="仿宋" w:hAnsi="仿宋" w:cs="仿宋"/>
          <w:bCs/>
        </w:rPr>
        <w:t>采购人将拒绝并原封退回在其规定的响应文件提交截止时间后收到的任何响应文件。</w:t>
      </w:r>
    </w:p>
    <w:p>
      <w:pPr>
        <w:pStyle w:val="173"/>
        <w:rPr>
          <w:rFonts w:ascii="仿宋" w:hAnsi="仿宋" w:eastAsia="仿宋" w:cs="仿宋"/>
        </w:rPr>
      </w:pPr>
      <w:r>
        <w:rPr>
          <w:rFonts w:hint="eastAsia" w:ascii="仿宋" w:hAnsi="仿宋" w:eastAsia="仿宋" w:cs="仿宋"/>
        </w:rPr>
        <w:t>磋商与评审</w:t>
      </w:r>
      <w:bookmarkEnd w:id="149"/>
      <w:bookmarkEnd w:id="150"/>
    </w:p>
    <w:p>
      <w:pPr>
        <w:pStyle w:val="174"/>
        <w:rPr>
          <w:rFonts w:ascii="仿宋" w:hAnsi="仿宋" w:eastAsia="仿宋" w:cs="仿宋"/>
          <w:color w:val="auto"/>
        </w:rPr>
      </w:pPr>
      <w:r>
        <w:rPr>
          <w:rFonts w:hint="eastAsia" w:ascii="仿宋" w:hAnsi="仿宋" w:eastAsia="仿宋" w:cs="仿宋"/>
          <w:color w:val="auto"/>
        </w:rPr>
        <w:t>磋商仪式</w:t>
      </w:r>
    </w:p>
    <w:p>
      <w:pPr>
        <w:pStyle w:val="179"/>
        <w:numPr>
          <w:ilvl w:val="0"/>
          <w:numId w:val="26"/>
        </w:numPr>
        <w:ind w:firstLineChars="0"/>
        <w:rPr>
          <w:rFonts w:ascii="仿宋" w:hAnsi="仿宋" w:cs="仿宋"/>
        </w:rPr>
      </w:pPr>
      <w:r>
        <w:rPr>
          <w:rFonts w:hint="eastAsia" w:ascii="仿宋" w:hAnsi="仿宋" w:cs="仿宋"/>
          <w:bCs/>
        </w:rPr>
        <w:t>采购人将在竞争性磋商公告中规定的时间和地点组织磋商</w:t>
      </w:r>
      <w:r>
        <w:rPr>
          <w:rFonts w:hint="eastAsia" w:ascii="仿宋" w:hAnsi="仿宋" w:cs="仿宋"/>
        </w:rPr>
        <w:t>。投标人应委派携带有效证件（法人授权书、法人或授权人身份证原件）的代表准时参加，参加磋商的代表需签名以证明其出席。</w:t>
      </w:r>
    </w:p>
    <w:p>
      <w:pPr>
        <w:pStyle w:val="179"/>
        <w:numPr>
          <w:ilvl w:val="0"/>
          <w:numId w:val="26"/>
        </w:numPr>
        <w:ind w:firstLineChars="0"/>
        <w:rPr>
          <w:rFonts w:ascii="仿宋" w:hAnsi="仿宋" w:cs="仿宋"/>
        </w:rPr>
      </w:pPr>
      <w:r>
        <w:rPr>
          <w:rFonts w:hint="eastAsia" w:ascii="仿宋" w:hAnsi="仿宋" w:cs="仿宋"/>
        </w:rPr>
        <w:t>磋商仪式由采购人或代理机构主持，竞争性磋商领导小组成员、采购人代表、监督代表、投标人代表以及有关工作人员参加。</w:t>
      </w:r>
    </w:p>
    <w:p>
      <w:pPr>
        <w:pStyle w:val="179"/>
        <w:numPr>
          <w:ilvl w:val="0"/>
          <w:numId w:val="26"/>
        </w:numPr>
        <w:ind w:firstLineChars="0"/>
        <w:rPr>
          <w:rFonts w:ascii="仿宋" w:hAnsi="仿宋" w:cs="仿宋"/>
        </w:rPr>
      </w:pPr>
      <w:r>
        <w:rPr>
          <w:rFonts w:hint="eastAsia" w:ascii="仿宋" w:hAnsi="仿宋" w:cs="仿宋"/>
        </w:rPr>
        <w:t>磋商时请纪检监督人员或公证人员或投标人代表查验响应文件密封情况，至响应文件开启时间后由磋商小组开启响应文件。</w:t>
      </w:r>
    </w:p>
    <w:p>
      <w:pPr>
        <w:pStyle w:val="174"/>
        <w:rPr>
          <w:rFonts w:ascii="仿宋" w:hAnsi="仿宋" w:eastAsia="仿宋" w:cs="仿宋"/>
          <w:color w:val="auto"/>
        </w:rPr>
      </w:pPr>
      <w:bookmarkStart w:id="151" w:name="_Toc16938547"/>
      <w:bookmarkStart w:id="152" w:name="_Toc513029231"/>
      <w:bookmarkStart w:id="153" w:name="_Toc20823303"/>
      <w:r>
        <w:rPr>
          <w:rFonts w:hint="eastAsia" w:ascii="仿宋" w:hAnsi="仿宋" w:eastAsia="仿宋" w:cs="仿宋"/>
          <w:color w:val="auto"/>
        </w:rPr>
        <w:t>磋商小组</w:t>
      </w:r>
    </w:p>
    <w:p>
      <w:pPr>
        <w:pStyle w:val="179"/>
        <w:numPr>
          <w:ilvl w:val="0"/>
          <w:numId w:val="27"/>
        </w:numPr>
        <w:ind w:firstLineChars="0"/>
        <w:rPr>
          <w:rFonts w:ascii="仿宋" w:hAnsi="仿宋" w:cs="仿宋"/>
        </w:rPr>
      </w:pPr>
      <w:r>
        <w:rPr>
          <w:rFonts w:hint="eastAsia" w:ascii="仿宋" w:hAnsi="仿宋" w:cs="仿宋"/>
        </w:rPr>
        <w:t>磋商仪式结束后，采购人将立即组织磋商小组进行磋商。</w:t>
      </w:r>
    </w:p>
    <w:p>
      <w:pPr>
        <w:pStyle w:val="179"/>
        <w:numPr>
          <w:ilvl w:val="0"/>
          <w:numId w:val="27"/>
        </w:numPr>
        <w:ind w:firstLineChars="0"/>
        <w:rPr>
          <w:rFonts w:ascii="仿宋" w:hAnsi="仿宋" w:cs="仿宋"/>
        </w:rPr>
      </w:pPr>
      <w:r>
        <w:rPr>
          <w:rFonts w:hint="eastAsia" w:ascii="仿宋" w:hAnsi="仿宋" w:cs="仿宋"/>
        </w:rPr>
        <w:t>磋商小组将按规定由</w:t>
      </w:r>
      <w:r>
        <w:rPr>
          <w:rFonts w:hint="eastAsia" w:ascii="仿宋" w:hAnsi="仿宋" w:cs="仿宋"/>
          <w:b/>
          <w:bCs/>
          <w:u w:val="single"/>
        </w:rPr>
        <w:t>海南省公共资源交易服务中心政府采购专家库中</w:t>
      </w:r>
      <w:r>
        <w:rPr>
          <w:rFonts w:hint="eastAsia" w:ascii="仿宋" w:hAnsi="仿宋" w:cs="仿宋"/>
        </w:rPr>
        <w:t>随机抽取相关</w:t>
      </w:r>
      <w:r>
        <w:rPr>
          <w:rFonts w:hint="eastAsia" w:ascii="仿宋" w:hAnsi="仿宋" w:cs="仿宋"/>
          <w:b/>
          <w:bCs/>
          <w:u w:val="single"/>
        </w:rPr>
        <w:t>专家2名</w:t>
      </w:r>
      <w:r>
        <w:rPr>
          <w:rFonts w:hint="eastAsia" w:ascii="仿宋" w:hAnsi="仿宋" w:cs="仿宋"/>
        </w:rPr>
        <w:t>，与</w:t>
      </w:r>
      <w:r>
        <w:rPr>
          <w:rFonts w:hint="eastAsia" w:ascii="仿宋" w:hAnsi="仿宋" w:cs="仿宋"/>
          <w:b/>
          <w:bCs/>
          <w:u w:val="single"/>
        </w:rPr>
        <w:t>采购人代表1名</w:t>
      </w:r>
      <w:r>
        <w:rPr>
          <w:rFonts w:hint="eastAsia" w:ascii="仿宋" w:hAnsi="仿宋" w:cs="仿宋"/>
        </w:rPr>
        <w:t>组成磋商小组。</w:t>
      </w:r>
    </w:p>
    <w:p>
      <w:pPr>
        <w:pStyle w:val="174"/>
        <w:rPr>
          <w:rFonts w:ascii="仿宋" w:hAnsi="仿宋" w:eastAsia="仿宋" w:cs="仿宋"/>
          <w:color w:val="auto"/>
        </w:rPr>
      </w:pPr>
      <w:r>
        <w:rPr>
          <w:rFonts w:hint="eastAsia" w:ascii="仿宋" w:hAnsi="仿宋" w:eastAsia="仿宋" w:cs="仿宋"/>
          <w:color w:val="auto"/>
        </w:rPr>
        <w:t>磋商工作纪律及保密</w:t>
      </w:r>
      <w:bookmarkEnd w:id="151"/>
      <w:bookmarkEnd w:id="152"/>
      <w:bookmarkEnd w:id="153"/>
    </w:p>
    <w:p>
      <w:pPr>
        <w:pStyle w:val="179"/>
        <w:numPr>
          <w:ilvl w:val="0"/>
          <w:numId w:val="28"/>
        </w:numPr>
        <w:ind w:firstLineChars="0"/>
        <w:rPr>
          <w:rFonts w:ascii="仿宋" w:hAnsi="仿宋" w:cs="仿宋"/>
        </w:rPr>
      </w:pPr>
      <w:r>
        <w:rPr>
          <w:rFonts w:hint="eastAsia" w:ascii="仿宋" w:hAnsi="仿宋" w:cs="仿宋"/>
        </w:rPr>
        <w:t>评审专家应当遵守评审工作纪律，不得泄露评审情况和评审中获悉的商业秘密。</w:t>
      </w:r>
    </w:p>
    <w:p>
      <w:pPr>
        <w:pStyle w:val="174"/>
        <w:rPr>
          <w:rFonts w:ascii="仿宋" w:hAnsi="仿宋" w:eastAsia="仿宋" w:cs="仿宋"/>
          <w:color w:val="auto"/>
        </w:rPr>
      </w:pPr>
      <w:r>
        <w:rPr>
          <w:rFonts w:hint="eastAsia" w:ascii="仿宋" w:hAnsi="仿宋" w:eastAsia="仿宋" w:cs="仿宋"/>
          <w:color w:val="auto"/>
        </w:rPr>
        <w:t>磋商小组工作原则</w:t>
      </w:r>
    </w:p>
    <w:p>
      <w:pPr>
        <w:pStyle w:val="174"/>
        <w:rPr>
          <w:rFonts w:ascii="仿宋" w:hAnsi="仿宋" w:eastAsia="仿宋" w:cs="仿宋"/>
          <w:color w:val="auto"/>
        </w:rPr>
      </w:pPr>
      <w:r>
        <w:rPr>
          <w:rFonts w:hint="eastAsia" w:ascii="仿宋" w:hAnsi="仿宋" w:eastAsia="仿宋" w:cs="仿宋"/>
          <w:color w:val="auto"/>
        </w:rPr>
        <w:t>磋商小组成员应当按照客观、公正、审慎的原则，根据磋商文件规定的评审程序、评审方法和评审标准进行独立评审。未实质性响应磋商文件的响应文件按无效响应处理，磋商小组应当告知提交响应文件的投标人。磋商文件内容违反国家有关强制性规定的，磋商小组应当停止评审并向采购人或者采购代理机构说明情况。</w:t>
      </w:r>
    </w:p>
    <w:p>
      <w:pPr>
        <w:pStyle w:val="174"/>
        <w:rPr>
          <w:rFonts w:ascii="仿宋" w:hAnsi="仿宋" w:eastAsia="仿宋" w:cs="仿宋"/>
          <w:color w:val="auto"/>
        </w:rPr>
      </w:pPr>
      <w:r>
        <w:rPr>
          <w:rFonts w:hint="eastAsia" w:ascii="仿宋" w:hAnsi="仿宋" w:eastAsia="仿宋" w:cs="仿宋"/>
          <w:color w:val="auto"/>
        </w:rPr>
        <w:t>响应文件审查</w:t>
      </w:r>
    </w:p>
    <w:p>
      <w:pPr>
        <w:pStyle w:val="174"/>
        <w:rPr>
          <w:rFonts w:ascii="仿宋" w:hAnsi="仿宋" w:eastAsia="仿宋" w:cs="仿宋"/>
          <w:color w:val="auto"/>
        </w:rPr>
      </w:pPr>
      <w:r>
        <w:rPr>
          <w:rFonts w:hint="eastAsia" w:ascii="仿宋" w:hAnsi="仿宋" w:eastAsia="仿宋" w:cs="仿宋"/>
          <w:color w:val="auto"/>
        </w:rPr>
        <w:t>磋商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pStyle w:val="174"/>
        <w:rPr>
          <w:rFonts w:ascii="仿宋" w:hAnsi="仿宋" w:eastAsia="仿宋" w:cs="仿宋"/>
          <w:color w:val="auto"/>
        </w:rPr>
      </w:pPr>
      <w:bookmarkStart w:id="154" w:name="_Toc20823304"/>
      <w:bookmarkStart w:id="155" w:name="_Toc16938548"/>
      <w:bookmarkStart w:id="156" w:name="_Toc513029232"/>
      <w:r>
        <w:rPr>
          <w:rFonts w:hint="eastAsia" w:ascii="仿宋" w:hAnsi="仿宋" w:eastAsia="仿宋" w:cs="仿宋"/>
          <w:color w:val="auto"/>
        </w:rPr>
        <w:t>投标人澄清</w:t>
      </w:r>
      <w:bookmarkEnd w:id="154"/>
      <w:bookmarkEnd w:id="155"/>
      <w:bookmarkEnd w:id="156"/>
    </w:p>
    <w:p>
      <w:pPr>
        <w:pStyle w:val="174"/>
        <w:rPr>
          <w:rFonts w:ascii="仿宋" w:hAnsi="仿宋" w:eastAsia="仿宋" w:cs="仿宋"/>
          <w:color w:val="auto"/>
        </w:rPr>
      </w:pPr>
      <w:bookmarkStart w:id="157" w:name="_Toc16938549"/>
      <w:bookmarkStart w:id="158" w:name="_Toc513029233"/>
      <w:bookmarkStart w:id="159" w:name="_Toc20823305"/>
      <w:r>
        <w:rPr>
          <w:rFonts w:hint="eastAsia" w:ascii="仿宋" w:hAnsi="仿宋" w:eastAsia="仿宋" w:cs="仿宋"/>
          <w:color w:val="auto"/>
        </w:rPr>
        <w:t>磋商小组要求投标人澄清、说明或者更正响应文件将以书面形式作出。投标人的澄清、说明或者更正应当由法定代表人或其授权代表签字或者加盖公章。</w:t>
      </w:r>
    </w:p>
    <w:bookmarkEnd w:id="157"/>
    <w:bookmarkEnd w:id="158"/>
    <w:bookmarkEnd w:id="159"/>
    <w:p>
      <w:pPr>
        <w:pStyle w:val="174"/>
        <w:rPr>
          <w:rFonts w:ascii="仿宋" w:hAnsi="仿宋" w:eastAsia="仿宋" w:cs="仿宋"/>
          <w:color w:val="auto"/>
        </w:rPr>
      </w:pPr>
      <w:r>
        <w:rPr>
          <w:rFonts w:hint="eastAsia" w:ascii="仿宋" w:hAnsi="仿宋" w:eastAsia="仿宋" w:cs="仿宋"/>
          <w:color w:val="auto"/>
        </w:rPr>
        <w:t>磋商程序、最后报价、综合评分</w:t>
      </w:r>
    </w:p>
    <w:p>
      <w:pPr>
        <w:pStyle w:val="174"/>
        <w:rPr>
          <w:rFonts w:ascii="仿宋" w:hAnsi="仿宋" w:eastAsia="仿宋" w:cs="仿宋"/>
          <w:color w:val="auto"/>
        </w:rPr>
      </w:pPr>
      <w:r>
        <w:rPr>
          <w:rFonts w:hint="eastAsia" w:ascii="仿宋" w:hAnsi="仿宋" w:eastAsia="仿宋" w:cs="仿宋"/>
          <w:color w:val="auto"/>
        </w:rPr>
        <w:t>磋商小组所有成员应当集中与单一投标人分别进行磋商，并给予所有参加磋商的投标人平等的磋商机会。</w:t>
      </w:r>
    </w:p>
    <w:p>
      <w:pPr>
        <w:ind w:firstLine="560"/>
        <w:rPr>
          <w:rFonts w:ascii="仿宋" w:hAnsi="仿宋" w:eastAsia="仿宋" w:cs="仿宋"/>
        </w:rPr>
      </w:pPr>
      <w:r>
        <w:rPr>
          <w:rFonts w:hint="eastAsia" w:ascii="仿宋" w:hAnsi="仿宋" w:eastAsia="仿宋" w:cs="仿宋"/>
        </w:rPr>
        <w:t>1.响应文件通过资格性和符合性检查的供应商，将通过投标签到顺序决定磋商次序分别单独进行磋商。在磋商过程中，磋商的内容分为两部分，其中：第一部分：磋商小组就招标文件采购需求中服务要求是否完善和投标方案是否完全响应进行评议磋商；（如有实质性变动的内容，须经采购人代表确认；对磋商文件作出的实质性变动是磋商文件的有效组成部分，磋商小组应当及时以书面形式同时通知所有参加磋商的供应商。投标人应当按照磋商文件的变动情况和磋商小组的要求重新提交响应文件，并由其法定代表人或授权代表签字或者加盖公章。）第二部分：磋商小组就报价进行磋商并做出最终报价。磋商文件中的其他内容不得变动。</w:t>
      </w:r>
    </w:p>
    <w:p>
      <w:pPr>
        <w:ind w:firstLine="560"/>
        <w:rPr>
          <w:rFonts w:ascii="仿宋" w:hAnsi="仿宋" w:eastAsia="仿宋" w:cs="仿宋"/>
        </w:rPr>
      </w:pPr>
      <w:r>
        <w:rPr>
          <w:rFonts w:hint="eastAsia" w:ascii="仿宋" w:hAnsi="仿宋" w:eastAsia="仿宋" w:cs="仿宋"/>
        </w:rPr>
        <w:t>2.已提交响应文件的投标人，在提交最后报价之前，可以根据磋商情况退出磋商。采购人将退还退出磋商的投标人的磋商保证金。</w:t>
      </w:r>
    </w:p>
    <w:p>
      <w:pPr>
        <w:ind w:firstLine="560"/>
        <w:rPr>
          <w:rFonts w:ascii="仿宋" w:hAnsi="仿宋" w:eastAsia="仿宋" w:cs="仿宋"/>
        </w:rPr>
      </w:pPr>
      <w:r>
        <w:rPr>
          <w:rFonts w:hint="eastAsia" w:ascii="仿宋" w:hAnsi="仿宋" w:eastAsia="仿宋" w:cs="仿宋"/>
        </w:rPr>
        <w:t>3.经磋商确定最终采购需求和提交最后报价的投标人后，由磋商小组采用综合评分法对提交最后报价的投标人的响应文件和最后报价进行综合评分。综合评分法，是指响应文件满足磋商文件全部实质性要求且按评审因素的量化指标评审得分最高的投标人为成交候选投标人的评审方法。</w:t>
      </w:r>
    </w:p>
    <w:p>
      <w:pPr>
        <w:ind w:firstLine="560"/>
        <w:rPr>
          <w:rFonts w:ascii="仿宋" w:hAnsi="仿宋" w:eastAsia="仿宋" w:cs="仿宋"/>
        </w:rPr>
      </w:pPr>
      <w:r>
        <w:rPr>
          <w:rFonts w:hint="eastAsia" w:ascii="仿宋" w:hAnsi="仿宋" w:eastAsia="仿宋" w:cs="仿宋"/>
        </w:rPr>
        <w:t>4.评审时，磋商小组各成员独立对每个有效响应的文件进行评价、打分，然后汇总每个投标人每项评分因素的得分。</w:t>
      </w:r>
    </w:p>
    <w:p>
      <w:pPr>
        <w:ind w:firstLine="560"/>
        <w:rPr>
          <w:rFonts w:ascii="仿宋" w:hAnsi="仿宋" w:eastAsia="仿宋" w:cs="仿宋"/>
        </w:rPr>
      </w:pPr>
      <w:r>
        <w:rPr>
          <w:rFonts w:hint="eastAsia" w:ascii="仿宋" w:hAnsi="仿宋" w:eastAsia="仿宋" w:cs="仿宋"/>
        </w:rPr>
        <w:t>5.磋商小组应当根据综合评分情况，按照评审得分由高到低顺序推荐3名成交候选投标人，并编写评审报告。评审得分相同的，按照最后报价由低到高的顺序推荐。评审得分且最后报价相同的，按照技术指标优劣顺序推荐。</w:t>
      </w:r>
    </w:p>
    <w:p>
      <w:pPr>
        <w:ind w:firstLine="560"/>
        <w:rPr>
          <w:rFonts w:ascii="仿宋" w:hAnsi="仿宋" w:eastAsia="仿宋" w:cs="仿宋"/>
        </w:rPr>
      </w:pPr>
      <w:bookmarkStart w:id="160" w:name="_Toc474854524"/>
      <w:bookmarkStart w:id="161" w:name="_Toc474417482"/>
      <w:bookmarkStart w:id="162" w:name="_Toc474247633"/>
      <w:r>
        <w:rPr>
          <w:rFonts w:hint="eastAsia" w:ascii="仿宋" w:hAnsi="仿宋" w:eastAsia="仿宋" w:cs="仿宋"/>
        </w:rPr>
        <w:t>6.评标因素及分值分配</w:t>
      </w:r>
      <w:bookmarkEnd w:id="160"/>
      <w:bookmarkEnd w:id="161"/>
      <w:bookmarkEnd w:id="162"/>
    </w:p>
    <w:tbl>
      <w:tblPr>
        <w:tblStyle w:val="78"/>
        <w:tblW w:w="93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74"/>
        <w:gridCol w:w="2034"/>
        <w:gridCol w:w="2916"/>
        <w:gridCol w:w="26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16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仿宋" w:hAnsi="仿宋" w:eastAsia="仿宋" w:cs="仿宋"/>
              </w:rPr>
            </w:pPr>
            <w:r>
              <w:rPr>
                <w:rFonts w:hint="eastAsia" w:ascii="仿宋" w:hAnsi="仿宋" w:eastAsia="仿宋" w:cs="仿宋"/>
              </w:rPr>
              <w:t>评分项目</w:t>
            </w:r>
          </w:p>
        </w:tc>
        <w:tc>
          <w:tcPr>
            <w:tcW w:w="203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仿宋" w:hAnsi="仿宋" w:eastAsia="仿宋" w:cs="仿宋"/>
              </w:rPr>
            </w:pPr>
            <w:r>
              <w:rPr>
                <w:rFonts w:hint="eastAsia" w:ascii="仿宋" w:hAnsi="仿宋" w:eastAsia="仿宋" w:cs="仿宋"/>
              </w:rPr>
              <w:t>投标报价</w:t>
            </w:r>
          </w:p>
        </w:tc>
        <w:tc>
          <w:tcPr>
            <w:tcW w:w="2916"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仿宋" w:hAnsi="仿宋" w:eastAsia="仿宋" w:cs="仿宋"/>
              </w:rPr>
            </w:pPr>
            <w:r>
              <w:rPr>
                <w:rFonts w:hint="eastAsia" w:ascii="仿宋" w:hAnsi="仿宋" w:eastAsia="仿宋" w:cs="仿宋"/>
              </w:rPr>
              <w:t>技术服务评分</w:t>
            </w:r>
          </w:p>
        </w:tc>
        <w:tc>
          <w:tcPr>
            <w:tcW w:w="2696"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仿宋" w:hAnsi="仿宋" w:eastAsia="仿宋" w:cs="仿宋"/>
              </w:rPr>
            </w:pPr>
            <w:r>
              <w:rPr>
                <w:rFonts w:hint="eastAsia" w:ascii="仿宋" w:hAnsi="仿宋" w:eastAsia="仿宋" w:cs="仿宋"/>
              </w:rPr>
              <w:t>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9" w:hRule="atLeast"/>
          <w:jc w:val="center"/>
        </w:trPr>
        <w:tc>
          <w:tcPr>
            <w:tcW w:w="167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仿宋" w:hAnsi="仿宋" w:eastAsia="仿宋" w:cs="仿宋"/>
              </w:rPr>
            </w:pPr>
            <w:r>
              <w:rPr>
                <w:rFonts w:hint="eastAsia" w:ascii="仿宋" w:hAnsi="仿宋" w:eastAsia="仿宋" w:cs="仿宋"/>
              </w:rPr>
              <w:t>权重</w:t>
            </w:r>
          </w:p>
        </w:tc>
        <w:tc>
          <w:tcPr>
            <w:tcW w:w="2034"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ascii="仿宋" w:hAnsi="仿宋" w:eastAsia="仿宋" w:cs="仿宋"/>
              </w:rPr>
            </w:pPr>
            <w:r>
              <w:rPr>
                <w:rFonts w:hint="eastAsia" w:ascii="仿宋" w:hAnsi="仿宋" w:eastAsia="仿宋" w:cs="仿宋"/>
              </w:rPr>
              <w:t>30</w:t>
            </w:r>
          </w:p>
        </w:tc>
        <w:tc>
          <w:tcPr>
            <w:tcW w:w="2916"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default" w:ascii="仿宋" w:hAnsi="仿宋" w:eastAsia="仿宋" w:cs="仿宋"/>
                <w:lang w:val="en-US" w:eastAsia="zh-CN"/>
              </w:rPr>
            </w:pPr>
            <w:r>
              <w:rPr>
                <w:rFonts w:hint="eastAsia" w:ascii="仿宋" w:hAnsi="仿宋" w:eastAsia="仿宋" w:cs="仿宋"/>
                <w:lang w:val="en-US" w:eastAsia="zh-CN"/>
              </w:rPr>
              <w:t>56</w:t>
            </w:r>
          </w:p>
        </w:tc>
        <w:tc>
          <w:tcPr>
            <w:tcW w:w="2696" w:type="dxa"/>
            <w:tcBorders>
              <w:top w:val="single" w:color="auto" w:sz="6" w:space="0"/>
              <w:left w:val="single" w:color="auto" w:sz="6" w:space="0"/>
              <w:bottom w:val="single" w:color="auto" w:sz="6" w:space="0"/>
              <w:right w:val="single" w:color="auto" w:sz="6" w:space="0"/>
            </w:tcBorders>
            <w:vAlign w:val="center"/>
          </w:tcPr>
          <w:p>
            <w:pPr>
              <w:ind w:firstLine="0" w:firstLineChars="0"/>
              <w:jc w:val="center"/>
              <w:rPr>
                <w:rFonts w:hint="default" w:ascii="仿宋" w:hAnsi="仿宋" w:eastAsia="仿宋" w:cs="仿宋"/>
                <w:lang w:val="en-US" w:eastAsia="zh-CN"/>
              </w:rPr>
            </w:pPr>
            <w:r>
              <w:rPr>
                <w:rFonts w:hint="eastAsia" w:ascii="仿宋" w:hAnsi="仿宋" w:eastAsia="仿宋" w:cs="仿宋"/>
                <w:lang w:val="en-US" w:eastAsia="zh-CN"/>
              </w:rPr>
              <w:t>14</w:t>
            </w:r>
          </w:p>
        </w:tc>
      </w:tr>
    </w:tbl>
    <w:p>
      <w:pPr>
        <w:adjustRightInd w:val="0"/>
        <w:spacing w:line="240" w:lineRule="auto"/>
        <w:ind w:firstLine="0" w:firstLineChars="0"/>
        <w:textAlignment w:val="baseline"/>
        <w:rPr>
          <w:rFonts w:ascii="仿宋" w:hAnsi="仿宋" w:eastAsia="仿宋" w:cs="仿宋"/>
          <w:szCs w:val="20"/>
        </w:rPr>
      </w:pPr>
    </w:p>
    <w:p>
      <w:pPr>
        <w:pStyle w:val="174"/>
        <w:rPr>
          <w:rFonts w:ascii="仿宋" w:hAnsi="仿宋" w:eastAsia="仿宋" w:cs="仿宋"/>
          <w:color w:val="auto"/>
        </w:rPr>
      </w:pPr>
      <w:r>
        <w:rPr>
          <w:rFonts w:hint="eastAsia" w:ascii="仿宋" w:hAnsi="仿宋" w:eastAsia="仿宋" w:cs="仿宋"/>
          <w:color w:val="auto"/>
        </w:rPr>
        <w:t xml:space="preserve"> 响应无效和终止磋商活动条款</w:t>
      </w:r>
    </w:p>
    <w:p>
      <w:pPr>
        <w:pStyle w:val="179"/>
        <w:numPr>
          <w:ilvl w:val="0"/>
          <w:numId w:val="29"/>
        </w:numPr>
        <w:ind w:firstLineChars="0"/>
        <w:rPr>
          <w:rFonts w:ascii="仿宋" w:hAnsi="仿宋" w:cs="仿宋"/>
        </w:rPr>
      </w:pPr>
      <w:bookmarkStart w:id="163" w:name="_Toc513029235"/>
      <w:bookmarkStart w:id="164" w:name="_Toc20823307"/>
      <w:bookmarkStart w:id="165" w:name="_Toc16938551"/>
      <w:r>
        <w:rPr>
          <w:rFonts w:hint="eastAsia" w:ascii="仿宋" w:hAnsi="仿宋" w:cs="仿宋"/>
        </w:rPr>
        <w:t>响应无效条款</w:t>
      </w:r>
    </w:p>
    <w:p>
      <w:pPr>
        <w:pStyle w:val="442"/>
        <w:ind w:firstLine="560" w:firstLineChars="200"/>
        <w:rPr>
          <w:rFonts w:ascii="仿宋" w:hAnsi="仿宋" w:cs="仿宋"/>
        </w:rPr>
      </w:pPr>
      <w:r>
        <w:rPr>
          <w:rFonts w:hint="eastAsia" w:ascii="仿宋" w:hAnsi="仿宋" w:cs="仿宋"/>
        </w:rPr>
        <w:t>1、未按要求交纳磋商保证金的；</w:t>
      </w:r>
    </w:p>
    <w:p>
      <w:pPr>
        <w:pStyle w:val="442"/>
        <w:ind w:firstLine="560" w:firstLineChars="200"/>
        <w:rPr>
          <w:rFonts w:ascii="仿宋" w:hAnsi="仿宋" w:cs="仿宋"/>
        </w:rPr>
      </w:pPr>
      <w:r>
        <w:rPr>
          <w:rFonts w:hint="eastAsia" w:ascii="仿宋" w:hAnsi="仿宋" w:cs="仿宋"/>
        </w:rPr>
        <w:t>2、未按照竞争性磋商文件规定要求密封、签署、盖章的；</w:t>
      </w:r>
    </w:p>
    <w:p>
      <w:pPr>
        <w:pStyle w:val="442"/>
        <w:ind w:firstLine="560" w:firstLineChars="200"/>
        <w:rPr>
          <w:rFonts w:ascii="仿宋" w:hAnsi="仿宋" w:cs="仿宋"/>
        </w:rPr>
      </w:pPr>
      <w:r>
        <w:rPr>
          <w:rFonts w:hint="eastAsia" w:ascii="仿宋" w:hAnsi="仿宋" w:cs="仿宋"/>
        </w:rPr>
        <w:t>3、投标人不具备竞争性磋商文件中规定资格条件的；</w:t>
      </w:r>
    </w:p>
    <w:p>
      <w:pPr>
        <w:pStyle w:val="442"/>
        <w:ind w:firstLine="560" w:firstLineChars="200"/>
        <w:rPr>
          <w:rFonts w:ascii="仿宋" w:hAnsi="仿宋" w:cs="仿宋"/>
        </w:rPr>
      </w:pPr>
      <w:r>
        <w:rPr>
          <w:rFonts w:hint="eastAsia" w:ascii="仿宋" w:hAnsi="仿宋" w:cs="仿宋"/>
        </w:rPr>
        <w:t>4、不符合法律、法规和竞争性磋商文件中规定的其他实质性要求的其他法律、法规及本竞争性磋商文件规定的属响应无效的情形。</w:t>
      </w:r>
    </w:p>
    <w:p>
      <w:pPr>
        <w:pStyle w:val="179"/>
        <w:numPr>
          <w:ilvl w:val="0"/>
          <w:numId w:val="29"/>
        </w:numPr>
        <w:ind w:firstLineChars="0"/>
        <w:rPr>
          <w:rFonts w:ascii="仿宋" w:hAnsi="仿宋" w:cs="仿宋"/>
        </w:rPr>
      </w:pPr>
      <w:r>
        <w:rPr>
          <w:rFonts w:hint="eastAsia" w:ascii="仿宋" w:hAnsi="仿宋" w:cs="仿宋"/>
        </w:rPr>
        <w:t>终止竞争性磋商采购活动的条款</w:t>
      </w:r>
    </w:p>
    <w:p>
      <w:pPr>
        <w:ind w:firstLine="560"/>
        <w:rPr>
          <w:rFonts w:ascii="仿宋" w:hAnsi="仿宋" w:eastAsia="仿宋" w:cs="仿宋"/>
          <w:szCs w:val="20"/>
        </w:rPr>
      </w:pPr>
      <w:r>
        <w:rPr>
          <w:rFonts w:hint="eastAsia" w:ascii="仿宋" w:hAnsi="仿宋" w:eastAsia="仿宋" w:cs="仿宋"/>
          <w:szCs w:val="20"/>
        </w:rPr>
        <w:t>出现下列情形之一的，采购人将终止竞争性磋商采购活动，发布项目终止公告并说明原因，重新开展采购活动：</w:t>
      </w:r>
    </w:p>
    <w:p>
      <w:pPr>
        <w:pStyle w:val="442"/>
        <w:ind w:firstLine="560" w:firstLineChars="200"/>
        <w:rPr>
          <w:rFonts w:ascii="仿宋" w:hAnsi="仿宋" w:cs="仿宋"/>
        </w:rPr>
      </w:pPr>
      <w:r>
        <w:rPr>
          <w:rFonts w:hint="eastAsia" w:ascii="仿宋" w:hAnsi="仿宋" w:cs="仿宋"/>
        </w:rPr>
        <w:t>1、因情况变化，不再符合规定的竞争性磋商采购方式适用情形的；</w:t>
      </w:r>
    </w:p>
    <w:p>
      <w:pPr>
        <w:pStyle w:val="442"/>
        <w:ind w:firstLine="560" w:firstLineChars="200"/>
        <w:rPr>
          <w:rFonts w:ascii="仿宋" w:hAnsi="仿宋" w:cs="仿宋"/>
        </w:rPr>
      </w:pPr>
      <w:r>
        <w:rPr>
          <w:rFonts w:hint="eastAsia" w:ascii="仿宋" w:hAnsi="仿宋" w:cs="仿宋"/>
        </w:rPr>
        <w:t>2、出现影响采购公正的违法、违规行为的；</w:t>
      </w:r>
    </w:p>
    <w:p>
      <w:pPr>
        <w:pStyle w:val="442"/>
        <w:ind w:firstLine="560" w:firstLineChars="200"/>
        <w:rPr>
          <w:rFonts w:ascii="仿宋" w:hAnsi="仿宋" w:cs="仿宋"/>
        </w:rPr>
      </w:pPr>
      <w:r>
        <w:rPr>
          <w:rFonts w:hint="eastAsia" w:ascii="仿宋" w:hAnsi="仿宋" w:cs="仿宋"/>
        </w:rPr>
        <w:t>3、在采购过程中符合要求的投标人或者报价未超过项目预算的投标人不足3家的。</w:t>
      </w:r>
    </w:p>
    <w:p>
      <w:pPr>
        <w:pStyle w:val="174"/>
        <w:rPr>
          <w:rFonts w:ascii="仿宋" w:hAnsi="仿宋" w:eastAsia="仿宋" w:cs="仿宋"/>
          <w:color w:val="auto"/>
        </w:rPr>
      </w:pPr>
      <w:r>
        <w:rPr>
          <w:rFonts w:hint="eastAsia" w:ascii="仿宋" w:hAnsi="仿宋" w:eastAsia="仿宋" w:cs="仿宋"/>
          <w:color w:val="auto"/>
        </w:rPr>
        <w:t xml:space="preserve"> 定标</w:t>
      </w:r>
    </w:p>
    <w:p>
      <w:pPr>
        <w:ind w:firstLine="560"/>
      </w:pPr>
      <w:r>
        <w:rPr>
          <w:rFonts w:hint="eastAsia"/>
        </w:rPr>
        <w:t>1.评标委员会依据对各投标文件的评审结果，提出书面评标报告，并根据竞争性磋商文件的规定，按综合得分由高至低的顺序向采购人推荐最高的前三名为成交候选投标人，排名第一的为成交候选投标人，排名靠后的前二名为备选成交候选投标人。</w:t>
      </w:r>
    </w:p>
    <w:p>
      <w:pPr>
        <w:ind w:firstLine="560"/>
      </w:pPr>
      <w:r>
        <w:rPr>
          <w:rFonts w:hint="eastAsia"/>
        </w:rPr>
        <w:t>2.成交候选投标人因特殊原因放弃成交或因不可抗力提出不能履行合同，才可依评标排名次序的备选成交候选投标人依次递补为成交人。</w:t>
      </w:r>
    </w:p>
    <w:p>
      <w:pPr>
        <w:ind w:firstLine="560"/>
      </w:pPr>
      <w:r>
        <w:rPr>
          <w:rFonts w:hint="eastAsia"/>
        </w:rPr>
        <w:t>3.凡是属于审查、澄清、评价和比较投标的有关资料以及授标意向等，评标委员会及有关工作人员自始至终均不得向投标人或其它无关的人员透露。</w:t>
      </w:r>
    </w:p>
    <w:p>
      <w:pPr>
        <w:ind w:firstLine="560"/>
      </w:pPr>
      <w:r>
        <w:rPr>
          <w:rFonts w:hint="eastAsia"/>
        </w:rPr>
        <w:t>4.在评标期间，投标人企图影响采购人、招标代理机构和评标委员会而获得评标信息的任何活动，都将导致其投标被拒绝，并承担相应的法律责任。</w:t>
      </w:r>
    </w:p>
    <w:bookmarkEnd w:id="163"/>
    <w:bookmarkEnd w:id="164"/>
    <w:bookmarkEnd w:id="165"/>
    <w:p>
      <w:pPr>
        <w:pStyle w:val="173"/>
        <w:rPr>
          <w:rFonts w:ascii="仿宋" w:hAnsi="仿宋" w:eastAsia="仿宋" w:cs="仿宋"/>
        </w:rPr>
      </w:pPr>
      <w:bookmarkStart w:id="166" w:name="_Toc20134"/>
      <w:bookmarkStart w:id="167" w:name="_Toc474854525"/>
      <w:r>
        <w:rPr>
          <w:rFonts w:hint="eastAsia" w:ascii="仿宋" w:hAnsi="仿宋" w:eastAsia="仿宋" w:cs="仿宋"/>
        </w:rPr>
        <w:t>确定成交、询问及质疑</w:t>
      </w:r>
      <w:bookmarkEnd w:id="166"/>
      <w:bookmarkEnd w:id="167"/>
    </w:p>
    <w:p>
      <w:pPr>
        <w:pStyle w:val="174"/>
        <w:rPr>
          <w:rFonts w:ascii="仿宋" w:hAnsi="仿宋" w:eastAsia="仿宋" w:cs="仿宋"/>
          <w:color w:val="auto"/>
        </w:rPr>
      </w:pPr>
      <w:bookmarkStart w:id="168" w:name="_Toc16938554"/>
      <w:bookmarkStart w:id="169" w:name="_Toc20823310"/>
      <w:r>
        <w:rPr>
          <w:rFonts w:hint="eastAsia" w:ascii="仿宋" w:hAnsi="仿宋" w:eastAsia="仿宋" w:cs="仿宋"/>
          <w:color w:val="auto"/>
        </w:rPr>
        <w:t>确定</w:t>
      </w:r>
      <w:bookmarkEnd w:id="168"/>
      <w:bookmarkEnd w:id="169"/>
      <w:r>
        <w:rPr>
          <w:rFonts w:hint="eastAsia" w:ascii="仿宋" w:hAnsi="仿宋" w:eastAsia="仿宋" w:cs="仿宋"/>
          <w:color w:val="auto"/>
        </w:rPr>
        <w:t>成交投标人</w:t>
      </w:r>
    </w:p>
    <w:p>
      <w:pPr>
        <w:pStyle w:val="179"/>
        <w:ind w:left="560" w:firstLine="0" w:firstLineChars="0"/>
        <w:rPr>
          <w:rFonts w:ascii="仿宋" w:hAnsi="仿宋" w:cs="仿宋"/>
          <w:szCs w:val="21"/>
        </w:rPr>
      </w:pPr>
      <w:r>
        <w:rPr>
          <w:rFonts w:hint="eastAsia" w:ascii="仿宋" w:hAnsi="仿宋" w:cs="仿宋"/>
          <w:szCs w:val="21"/>
        </w:rPr>
        <w:t>1.采购人在收到评审报告后5个工作日内，从评审报告提出的成交候选投标人中，按照排序由高到低的原则确定成交投标人。</w:t>
      </w:r>
    </w:p>
    <w:p>
      <w:pPr>
        <w:pStyle w:val="179"/>
        <w:ind w:left="560" w:firstLine="0" w:firstLineChars="0"/>
        <w:rPr>
          <w:rFonts w:ascii="仿宋" w:hAnsi="仿宋" w:cs="仿宋"/>
        </w:rPr>
      </w:pPr>
      <w:r>
        <w:rPr>
          <w:rFonts w:hint="eastAsia" w:ascii="仿宋" w:hAnsi="仿宋" w:cs="仿宋"/>
          <w:szCs w:val="24"/>
        </w:rPr>
        <w:t>2.采购人在成交投标人确定后2个工作日内招标代理机构在</w:t>
      </w:r>
      <w:r>
        <w:rPr>
          <w:rFonts w:hint="eastAsia" w:ascii="仿宋" w:hAnsi="仿宋" w:cs="仿宋"/>
          <w:b/>
          <w:bCs/>
          <w:szCs w:val="24"/>
          <w:u w:val="single"/>
        </w:rPr>
        <w:t>中国海南政府采购网</w:t>
      </w:r>
      <w:r>
        <w:rPr>
          <w:rFonts w:hint="eastAsia" w:ascii="仿宋" w:hAnsi="仿宋" w:cs="仿宋"/>
          <w:szCs w:val="24"/>
        </w:rPr>
        <w:t>公告成交结果。</w:t>
      </w:r>
    </w:p>
    <w:p>
      <w:pPr>
        <w:pStyle w:val="174"/>
        <w:rPr>
          <w:rFonts w:ascii="仿宋" w:hAnsi="仿宋" w:eastAsia="仿宋" w:cs="仿宋"/>
          <w:color w:val="auto"/>
        </w:rPr>
      </w:pPr>
      <w:bookmarkStart w:id="170" w:name="_Toc200451960"/>
      <w:r>
        <w:rPr>
          <w:rFonts w:hint="eastAsia" w:ascii="仿宋" w:hAnsi="仿宋" w:eastAsia="仿宋" w:cs="仿宋"/>
          <w:color w:val="auto"/>
        </w:rPr>
        <w:t>质疑</w:t>
      </w:r>
      <w:bookmarkEnd w:id="170"/>
      <w:r>
        <w:rPr>
          <w:rFonts w:hint="eastAsia" w:ascii="仿宋" w:hAnsi="仿宋" w:eastAsia="仿宋" w:cs="仿宋"/>
          <w:color w:val="auto"/>
        </w:rPr>
        <w:t>、投诉处理</w:t>
      </w:r>
    </w:p>
    <w:p>
      <w:pPr>
        <w:pStyle w:val="72"/>
        <w:shd w:val="clear" w:color="auto" w:fill="FFFFFF"/>
        <w:spacing w:beforeAutospacing="0" w:afterAutospacing="0" w:line="360" w:lineRule="auto"/>
        <w:ind w:left="560" w:hanging="560" w:hangingChars="200"/>
        <w:rPr>
          <w:rFonts w:ascii="仿宋" w:hAnsi="仿宋" w:eastAsia="仿宋" w:cs="仿宋"/>
          <w:sz w:val="28"/>
        </w:rPr>
      </w:pPr>
      <w:bookmarkStart w:id="171" w:name="_Toc403987211"/>
      <w:bookmarkStart w:id="172" w:name="_Toc120614220"/>
      <w:bookmarkStart w:id="173" w:name="_Toc474854526"/>
      <w:bookmarkStart w:id="174" w:name="_Toc16938552"/>
      <w:bookmarkStart w:id="175" w:name="_Toc513029236"/>
      <w:bookmarkStart w:id="176" w:name="_Toc20823308"/>
      <w:r>
        <w:rPr>
          <w:rFonts w:hint="eastAsia" w:ascii="仿宋_GB2312" w:hAnsi="Calibri" w:eastAsia="仿宋_GB2312" w:cs="Times New Roman"/>
          <w:kern w:val="2"/>
          <w:sz w:val="28"/>
          <w:szCs w:val="22"/>
        </w:rPr>
        <w:t xml:space="preserve">  1、质疑、投诉的接收和处理严格按照《中华人民共和国财政部令第94号--政府采购质疑和投诉办法》《中华人共和国政府采购法》《中华人共和国政府采购法实施条例》《政府采购质疑和投诉办法》《财政部关于加强政府采购供应商投诉受理审查工作的通知》的规定办理， 供应商对政府采购活动事项有疑问的，可以向采购人或采购代理机构提出询问，询问联系方式详见第一章公告内容，采购人或采购代理机构应当及时作出答复，但答复的内容不得涉及商业秘密。供应商在收到答复不满或规定时间内没有收到答复的，在规定期满后15个工作日内可以向同级财政提起投诉。</w:t>
      </w:r>
    </w:p>
    <w:p>
      <w:pPr>
        <w:pStyle w:val="173"/>
        <w:rPr>
          <w:rFonts w:ascii="仿宋" w:hAnsi="仿宋" w:eastAsia="仿宋" w:cs="仿宋"/>
        </w:rPr>
      </w:pPr>
      <w:bookmarkStart w:id="177" w:name="_Toc5291"/>
      <w:r>
        <w:rPr>
          <w:rFonts w:hint="eastAsia" w:ascii="仿宋" w:hAnsi="仿宋" w:eastAsia="仿宋" w:cs="仿宋"/>
        </w:rPr>
        <w:t>授予合同</w:t>
      </w:r>
      <w:bookmarkEnd w:id="171"/>
      <w:bookmarkEnd w:id="172"/>
      <w:bookmarkEnd w:id="173"/>
      <w:bookmarkEnd w:id="177"/>
    </w:p>
    <w:bookmarkEnd w:id="174"/>
    <w:bookmarkEnd w:id="175"/>
    <w:bookmarkEnd w:id="176"/>
    <w:p>
      <w:pPr>
        <w:pStyle w:val="174"/>
        <w:rPr>
          <w:rFonts w:ascii="仿宋" w:hAnsi="仿宋" w:eastAsia="仿宋" w:cs="仿宋"/>
          <w:color w:val="auto"/>
        </w:rPr>
      </w:pPr>
      <w:bookmarkStart w:id="178" w:name="_Toc513029237"/>
      <w:bookmarkStart w:id="179" w:name="_Toc20823309"/>
      <w:bookmarkStart w:id="180" w:name="_Toc16938553"/>
      <w:r>
        <w:rPr>
          <w:rFonts w:hint="eastAsia" w:ascii="仿宋" w:hAnsi="仿宋" w:eastAsia="仿宋" w:cs="仿宋"/>
          <w:color w:val="auto"/>
        </w:rPr>
        <w:t>签订合同</w:t>
      </w:r>
    </w:p>
    <w:p>
      <w:pPr>
        <w:pStyle w:val="179"/>
        <w:numPr>
          <w:ilvl w:val="0"/>
          <w:numId w:val="30"/>
        </w:numPr>
        <w:ind w:firstLineChars="0"/>
        <w:rPr>
          <w:rFonts w:ascii="仿宋" w:hAnsi="仿宋" w:cs="仿宋"/>
        </w:rPr>
      </w:pPr>
      <w:r>
        <w:rPr>
          <w:rFonts w:hint="eastAsia" w:ascii="仿宋" w:hAnsi="仿宋" w:cs="仿宋"/>
        </w:rPr>
        <w:t>采购人与成交投标人应当在成交通知书发出之日起30日内，按照磋商文件确定的合同文本以及采购标的、规格型号、采购金额、采购数量、技术和服务要求等事项签订采购合同。</w:t>
      </w:r>
    </w:p>
    <w:p>
      <w:pPr>
        <w:pStyle w:val="179"/>
        <w:numPr>
          <w:ilvl w:val="0"/>
          <w:numId w:val="30"/>
        </w:numPr>
        <w:ind w:firstLineChars="0"/>
        <w:rPr>
          <w:rFonts w:ascii="仿宋" w:hAnsi="仿宋" w:cs="仿宋"/>
        </w:rPr>
      </w:pPr>
      <w:r>
        <w:rPr>
          <w:rFonts w:hint="eastAsia" w:ascii="仿宋" w:hAnsi="仿宋" w:cs="仿宋"/>
        </w:rPr>
        <w:t>采购人不得向成交投标人提出超出磋商文件以外的任何要求作为签订合同的条件，不得与成交投标人订立背离磋商文件确定的合同文本以及采购标的、规格型号、采购金额、采购数量、技术和服务要求等实质性内容的协议。</w:t>
      </w:r>
    </w:p>
    <w:p>
      <w:pPr>
        <w:pStyle w:val="179"/>
        <w:numPr>
          <w:ilvl w:val="0"/>
          <w:numId w:val="30"/>
        </w:numPr>
        <w:ind w:firstLineChars="0"/>
        <w:rPr>
          <w:rFonts w:ascii="仿宋" w:hAnsi="仿宋" w:cs="仿宋"/>
        </w:rPr>
      </w:pPr>
      <w:r>
        <w:rPr>
          <w:rFonts w:hint="eastAsia" w:ascii="仿宋" w:hAnsi="仿宋" w:cs="仿宋"/>
        </w:rPr>
        <w:t>成交投标人拒绝签订采购合同的，采购人可以按照从评审报告提出的成交候选投标人中，按照排序由高到低的原则重新确定其他投标人作为成交投标人并签订采购合同，也可以重新开展采购活动。拒绝签订采购合同的成交投标人不得参加对该项目重新开展的采购活动。</w:t>
      </w:r>
    </w:p>
    <w:p>
      <w:pPr>
        <w:pStyle w:val="179"/>
        <w:numPr>
          <w:ilvl w:val="0"/>
          <w:numId w:val="30"/>
        </w:numPr>
        <w:ind w:firstLineChars="0"/>
        <w:rPr>
          <w:rFonts w:ascii="仿宋" w:hAnsi="仿宋" w:cs="仿宋"/>
        </w:rPr>
      </w:pPr>
      <w:r>
        <w:rPr>
          <w:rFonts w:hint="eastAsia" w:ascii="仿宋" w:hAnsi="仿宋" w:cs="仿宋"/>
        </w:rPr>
        <w:t>竞争性磋商文件、成交投标人的响应文件及竞争性磋商过程中有关澄清、承诺文件均应作为合同附件。</w:t>
      </w:r>
    </w:p>
    <w:p>
      <w:pPr>
        <w:pStyle w:val="179"/>
        <w:numPr>
          <w:ilvl w:val="0"/>
          <w:numId w:val="30"/>
        </w:numPr>
        <w:ind w:firstLineChars="0"/>
        <w:rPr>
          <w:rFonts w:ascii="仿宋" w:hAnsi="仿宋" w:cs="仿宋"/>
        </w:rPr>
      </w:pPr>
      <w:r>
        <w:rPr>
          <w:rFonts w:hint="eastAsia" w:ascii="仿宋" w:hAnsi="仿宋" w:cs="仿宋"/>
        </w:rPr>
        <w:t>签订合同后，成交投标人不得将货物及其他相关服务进行转包。未经采购人同意，成交投标人也不得采用分包的形式履行合同，否则采购人有权终止合同，成交投标人的履约保证金将不予退还。转包或分包造成采购人损失的，成交投标人应承担相应赔偿责任。</w:t>
      </w:r>
    </w:p>
    <w:p>
      <w:pPr>
        <w:pStyle w:val="174"/>
        <w:rPr>
          <w:rFonts w:ascii="仿宋" w:hAnsi="仿宋" w:eastAsia="仿宋" w:cs="仿宋"/>
          <w:color w:val="auto"/>
        </w:rPr>
      </w:pPr>
      <w:r>
        <w:rPr>
          <w:rFonts w:hint="eastAsia" w:ascii="仿宋" w:hAnsi="仿宋" w:eastAsia="仿宋" w:cs="仿宋"/>
          <w:color w:val="auto"/>
        </w:rPr>
        <w:t>货物和服务的追加、减少和添购</w:t>
      </w:r>
    </w:p>
    <w:p>
      <w:pPr>
        <w:tabs>
          <w:tab w:val="left" w:pos="7665"/>
        </w:tabs>
        <w:ind w:firstLine="560"/>
        <w:rPr>
          <w:rFonts w:ascii="仿宋" w:hAnsi="仿宋" w:eastAsia="仿宋" w:cs="仿宋"/>
          <w:szCs w:val="28"/>
        </w:rPr>
      </w:pPr>
      <w:r>
        <w:rPr>
          <w:rFonts w:hint="eastAsia" w:ascii="仿宋" w:hAnsi="仿宋" w:eastAsia="仿宋" w:cs="仿宋"/>
          <w:szCs w:val="28"/>
        </w:rPr>
        <w:t>1.采购结束后，采购人若由于各种客观原因，必须对采购项目所牵涉的货物和服务进行适当的减少时，在双方协商一致的前提下，可以按照竞争性磋商采购时的价格水平做相应的调减，并据此签订补充合同。</w:t>
      </w:r>
    </w:p>
    <w:p>
      <w:pPr>
        <w:tabs>
          <w:tab w:val="left" w:pos="7665"/>
        </w:tabs>
        <w:ind w:firstLine="560"/>
        <w:rPr>
          <w:rFonts w:ascii="仿宋" w:hAnsi="仿宋" w:eastAsia="仿宋" w:cs="仿宋"/>
          <w:szCs w:val="28"/>
        </w:rPr>
      </w:pPr>
      <w:r>
        <w:rPr>
          <w:rFonts w:hint="eastAsia" w:ascii="仿宋" w:hAnsi="仿宋" w:eastAsia="仿宋" w:cs="仿宋"/>
          <w:szCs w:val="28"/>
        </w:rPr>
        <w:t>2.项目结束后，采购人若由于各种客观原因，必须对采购项目所牵涉的货物和服务进行适当的添购时，由于须保证原有采购项目一致性或者服务配套的要求，可以继续从成交人处按照成交单价进行添购但金额不超过原合同金额的10%，且所牵涉的货物和服务的价格水平不得超过本次竞争性磋商的水平且低于当时的社会平均价。货物和服务的添购，应在本次采购合同的基础上，另行签订货物和服务的添购合同。</w:t>
      </w:r>
    </w:p>
    <w:p>
      <w:pPr>
        <w:pStyle w:val="173"/>
        <w:rPr>
          <w:rFonts w:ascii="仿宋" w:hAnsi="仿宋" w:eastAsia="仿宋" w:cs="仿宋"/>
          <w:szCs w:val="28"/>
        </w:rPr>
      </w:pPr>
      <w:bookmarkStart w:id="181" w:name="_Toc30910"/>
      <w:r>
        <w:rPr>
          <w:rFonts w:hint="eastAsia" w:ascii="仿宋" w:hAnsi="仿宋" w:eastAsia="仿宋" w:cs="仿宋"/>
        </w:rPr>
        <w:t>验收</w:t>
      </w:r>
      <w:bookmarkEnd w:id="181"/>
    </w:p>
    <w:p>
      <w:pPr>
        <w:tabs>
          <w:tab w:val="left" w:pos="7665"/>
        </w:tabs>
        <w:ind w:firstLine="560"/>
        <w:rPr>
          <w:rFonts w:ascii="仿宋" w:hAnsi="仿宋" w:eastAsia="仿宋" w:cs="仿宋"/>
          <w:kern w:val="0"/>
          <w:szCs w:val="20"/>
        </w:rPr>
      </w:pPr>
      <w:r>
        <w:rPr>
          <w:rFonts w:hint="eastAsia" w:ascii="仿宋" w:hAnsi="仿宋" w:eastAsia="仿宋" w:cs="仿宋"/>
          <w:szCs w:val="28"/>
        </w:rPr>
        <w:t>成交供应商与采购人应严格按照《财政部关于进一步加强政府采购需求和履约验收管理的指导意见》进行验收。</w:t>
      </w:r>
    </w:p>
    <w:p>
      <w:pPr>
        <w:pStyle w:val="173"/>
        <w:rPr>
          <w:rFonts w:ascii="仿宋" w:hAnsi="仿宋" w:eastAsia="仿宋" w:cs="仿宋"/>
          <w:szCs w:val="28"/>
        </w:rPr>
      </w:pPr>
      <w:bookmarkStart w:id="182" w:name="_Toc28179"/>
      <w:r>
        <w:rPr>
          <w:rFonts w:hint="eastAsia" w:ascii="仿宋" w:hAnsi="仿宋" w:eastAsia="仿宋" w:cs="仿宋"/>
          <w:szCs w:val="28"/>
        </w:rPr>
        <w:t>政府采购优惠政策</w:t>
      </w:r>
      <w:bookmarkEnd w:id="182"/>
    </w:p>
    <w:p>
      <w:pPr>
        <w:pStyle w:val="174"/>
        <w:rPr>
          <w:rFonts w:ascii="仿宋" w:hAnsi="仿宋" w:eastAsia="仿宋" w:cs="仿宋"/>
          <w:color w:val="auto"/>
        </w:rPr>
      </w:pPr>
      <w:r>
        <w:rPr>
          <w:rFonts w:hint="eastAsia" w:ascii="仿宋" w:hAnsi="仿宋" w:eastAsia="仿宋" w:cs="仿宋"/>
          <w:color w:val="auto"/>
        </w:rPr>
        <w:t>本次招标优先选购中华人民共和国财政部公布的《节能环保产品目录》的标的物。</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1.强制采购节能产品、信息安全产品，优先采购环境标志产品。节能产品是指列入财政部、国家发展和改革委员会制定的《节能产品政府采购清单》，且经过认定的节能产品；信息安全产品是指列入国家质检总局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2.投标产品属于政府强制采购节能产品的，投标人应当选择《节能产品政府采购清单》中的产品投标，并提供有效的节能产品认证证书复印件。</w:t>
      </w:r>
    </w:p>
    <w:p>
      <w:pPr>
        <w:pStyle w:val="174"/>
        <w:rPr>
          <w:rFonts w:ascii="仿宋" w:hAnsi="仿宋" w:eastAsia="仿宋" w:cs="仿宋"/>
          <w:color w:val="auto"/>
        </w:rPr>
      </w:pPr>
      <w:r>
        <w:rPr>
          <w:rFonts w:hint="eastAsia" w:ascii="仿宋" w:hAnsi="仿宋" w:eastAsia="仿宋" w:cs="仿宋"/>
          <w:color w:val="auto"/>
        </w:rPr>
        <w:t>投标产品属于信息安全产品的，投标人应当选择经国家认证的信息安全产品参与报价，并提供由中国信息安全认证中心按国家标准颁发的有效认证证书复印件。</w:t>
      </w:r>
    </w:p>
    <w:p>
      <w:pPr>
        <w:pStyle w:val="174"/>
        <w:rPr>
          <w:rFonts w:ascii="仿宋" w:hAnsi="仿宋" w:eastAsia="仿宋" w:cs="仿宋"/>
          <w:color w:val="auto"/>
        </w:rPr>
      </w:pPr>
      <w:r>
        <w:rPr>
          <w:rFonts w:hint="eastAsia" w:ascii="仿宋" w:hAnsi="仿宋" w:eastAsia="仿宋" w:cs="仿宋"/>
          <w:color w:val="auto"/>
        </w:rPr>
        <w:t>投标产品属于政府强制采购节能产品的，供应商应当选择《节能产品政府采购清单》中的产品响应，并提供有效的节能产品认证证书复印件。</w:t>
      </w:r>
    </w:p>
    <w:p>
      <w:pPr>
        <w:pStyle w:val="174"/>
        <w:rPr>
          <w:rFonts w:ascii="仿宋" w:hAnsi="仿宋" w:eastAsia="仿宋" w:cs="仿宋"/>
          <w:color w:val="auto"/>
        </w:rPr>
      </w:pPr>
      <w:r>
        <w:rPr>
          <w:rFonts w:hint="eastAsia" w:ascii="仿宋" w:hAnsi="仿宋" w:eastAsia="仿宋" w:cs="仿宋"/>
          <w:color w:val="auto"/>
        </w:rPr>
        <w:t>招标文件中提供的参考产品品牌或型号，是采购人根据项目所要实现的功能根据市场情况列出的品牌或型号，并不是限制条件。</w:t>
      </w:r>
    </w:p>
    <w:p>
      <w:pPr>
        <w:pStyle w:val="174"/>
        <w:rPr>
          <w:rFonts w:ascii="仿宋" w:hAnsi="仿宋" w:eastAsia="仿宋" w:cs="仿宋"/>
          <w:color w:val="auto"/>
        </w:rPr>
      </w:pPr>
      <w:r>
        <w:rPr>
          <w:rFonts w:hint="eastAsia" w:ascii="仿宋" w:hAnsi="仿宋" w:eastAsia="仿宋" w:cs="仿宋"/>
          <w:color w:val="auto"/>
        </w:rPr>
        <w:t>中小企业政策</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根据《政府采购促进中小企业发展暂行办法》（财库[2011]181号）的规定，</w:t>
      </w:r>
      <w:r>
        <w:rPr>
          <w:rFonts w:hint="eastAsia" w:ascii="仿宋" w:hAnsi="仿宋" w:eastAsia="仿宋" w:cs="仿宋"/>
          <w:b/>
          <w:bCs/>
          <w:kern w:val="0"/>
          <w:szCs w:val="20"/>
          <w:u w:val="single"/>
        </w:rPr>
        <w:t>对小型和微型企业产品的价格给予6%的价格扣除</w:t>
      </w:r>
      <w:r>
        <w:rPr>
          <w:rFonts w:hint="eastAsia" w:ascii="仿宋" w:hAnsi="仿宋" w:eastAsia="仿宋" w:cs="仿宋"/>
          <w:kern w:val="0"/>
          <w:szCs w:val="20"/>
        </w:rPr>
        <w:t>，用扣除后的价格参与评标。</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参加政府采购活动的中小企业（监狱企业）提供《中小企业（监狱企业）声明函》原件以及省级以上监狱管理局、戒毒管理局出具的属于监狱企业的证明文件，未提供的，视为放弃享受小微企业价格扣除优惠政策。</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大中型企业和其他自然人、法人或者其他组织与小型、微型企业组成联合体共同参加非专门面向中小企业的政府采购活动的，联合体投标协议中约定，</w:t>
      </w:r>
      <w:r>
        <w:rPr>
          <w:rFonts w:hint="eastAsia" w:ascii="仿宋" w:hAnsi="仿宋" w:eastAsia="仿宋" w:cs="仿宋"/>
          <w:b/>
          <w:bCs/>
          <w:kern w:val="0"/>
          <w:szCs w:val="20"/>
          <w:u w:val="single"/>
        </w:rPr>
        <w:t>小型、微型企业的协议合同金额占到联合体投标协议合同总金额30%以上的，可给予联合体2%的价格扣除</w:t>
      </w:r>
      <w:r>
        <w:rPr>
          <w:rFonts w:hint="eastAsia" w:ascii="仿宋" w:hAnsi="仿宋" w:eastAsia="仿宋" w:cs="仿宋"/>
          <w:kern w:val="0"/>
          <w:szCs w:val="20"/>
        </w:rPr>
        <w:t xml:space="preserve">。 </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联合体各方均为小型、微型企业的，联合体视同为小型、微型企业享受规定的扶持政策。组成联合体的大中型企业和其他自然人、法人或者其他组织，与小型、微型企业之间不得存在投资关系。</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参加政府采购活动的残疾人福利性单位应当提供《残疾人福利性单位声明函》原件，未提供的，视为放弃享受小微企业价格扣除优惠政策。</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根据《司法部关于政府采购支持监狱企业发展有关问题的通知》（财库[2014]68号）的规定，在政府采购活动中，监狱企业视同小型、微型企业。（提供由省级以上监狱管理局、戒毒管理局（含新疆生产建设兵团）出具的属于监狱企业的证明文件）。</w:t>
      </w:r>
    </w:p>
    <w:p>
      <w:pPr>
        <w:tabs>
          <w:tab w:val="left" w:pos="7665"/>
        </w:tabs>
        <w:ind w:firstLine="560"/>
        <w:rPr>
          <w:rFonts w:ascii="仿宋" w:hAnsi="仿宋" w:eastAsia="仿宋" w:cs="仿宋"/>
          <w:szCs w:val="28"/>
        </w:rPr>
      </w:pPr>
      <w:r>
        <w:rPr>
          <w:rFonts w:hint="eastAsia" w:ascii="仿宋" w:hAnsi="仿宋" w:eastAsia="仿宋" w:cs="仿宋"/>
          <w:kern w:val="0"/>
          <w:szCs w:val="20"/>
        </w:rPr>
        <w:t>国家规定的优先、强制采购范围。本项目采购需求中涉及国家规定的强制采购范围内产品，均应按照国家相关要求进行审核。不管招标文件是否要求，供应商必须提供相关证明材料；若未提供，供应商自行承担由此带来的后果，其投标文件作无效响应处理。优先采购范围内的产品按招标文件约定执行。</w:t>
      </w:r>
    </w:p>
    <w:p>
      <w:pPr>
        <w:pStyle w:val="173"/>
        <w:rPr>
          <w:rFonts w:ascii="仿宋" w:hAnsi="仿宋" w:eastAsia="仿宋" w:cs="仿宋"/>
          <w:szCs w:val="28"/>
        </w:rPr>
      </w:pPr>
      <w:bookmarkStart w:id="183" w:name="_Toc7576"/>
      <w:r>
        <w:rPr>
          <w:rFonts w:hint="eastAsia" w:ascii="仿宋" w:hAnsi="仿宋" w:eastAsia="仿宋" w:cs="仿宋"/>
          <w:szCs w:val="28"/>
        </w:rPr>
        <w:t>充分、公平竞争保障措施</w:t>
      </w:r>
      <w:bookmarkEnd w:id="183"/>
    </w:p>
    <w:p>
      <w:pPr>
        <w:pStyle w:val="174"/>
        <w:rPr>
          <w:rFonts w:ascii="仿宋" w:hAnsi="仿宋" w:eastAsia="仿宋" w:cs="仿宋"/>
          <w:color w:val="auto"/>
        </w:rPr>
      </w:pPr>
      <w:r>
        <w:rPr>
          <w:rFonts w:hint="eastAsia" w:ascii="仿宋" w:hAnsi="仿宋" w:eastAsia="仿宋" w:cs="仿宋"/>
          <w:color w:val="auto"/>
        </w:rPr>
        <w:t>提供相同品牌产品处理。</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（1）非单一产品采购项目中，采购人根据采购项目技术构成、产品价格比重等合理确定核心产品。多家投标人提供的任一核心产品品牌相同的，视为提供相同品牌产品。</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（2）采用最低评标价法的采购项目。</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提供相同品牌产品的不同投标人参加同一合同项下投标的，以其中通过资格审查、符合性审查且报价最低的参加评标；报价相同的，由采购人采取随机抽取方式确定一个参加评标的投标人，其他投标无效。</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（3）采用综合评分法的采购项目。</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pPr>
        <w:pStyle w:val="174"/>
        <w:rPr>
          <w:rFonts w:ascii="仿宋" w:hAnsi="仿宋" w:eastAsia="仿宋" w:cs="仿宋"/>
          <w:color w:val="auto"/>
        </w:rPr>
      </w:pPr>
      <w:r>
        <w:rPr>
          <w:rFonts w:hint="eastAsia" w:ascii="仿宋" w:hAnsi="仿宋" w:eastAsia="仿宋" w:cs="仿宋"/>
          <w:color w:val="auto"/>
        </w:rPr>
        <w:t>利害关系供应商处理。</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tabs>
          <w:tab w:val="left" w:pos="7665"/>
        </w:tabs>
        <w:ind w:firstLine="560"/>
        <w:rPr>
          <w:rFonts w:ascii="仿宋" w:hAnsi="仿宋" w:eastAsia="仿宋" w:cs="仿宋"/>
          <w:sz w:val="24"/>
          <w:szCs w:val="24"/>
        </w:rPr>
      </w:pPr>
      <w:r>
        <w:rPr>
          <w:rFonts w:hint="eastAsia" w:ascii="仿宋" w:hAnsi="仿宋" w:eastAsia="仿宋" w:cs="仿宋"/>
          <w:kern w:val="0"/>
          <w:szCs w:val="20"/>
        </w:rPr>
        <w:t>根据《中华人民共和国招标投标法实施条例》第三十四条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w:t>
      </w:r>
    </w:p>
    <w:p>
      <w:pPr>
        <w:pStyle w:val="174"/>
        <w:rPr>
          <w:rFonts w:ascii="仿宋" w:hAnsi="仿宋" w:eastAsia="仿宋" w:cs="仿宋"/>
          <w:color w:val="auto"/>
        </w:rPr>
      </w:pPr>
      <w:r>
        <w:rPr>
          <w:rFonts w:hint="eastAsia" w:ascii="仿宋" w:hAnsi="仿宋" w:eastAsia="仿宋" w:cs="仿宋"/>
          <w:color w:val="auto"/>
        </w:rPr>
        <w:t>前期参与供应商处理。</w:t>
      </w:r>
    </w:p>
    <w:p>
      <w:pPr>
        <w:tabs>
          <w:tab w:val="left" w:pos="7665"/>
        </w:tabs>
        <w:ind w:firstLine="560"/>
        <w:rPr>
          <w:rFonts w:ascii="仿宋" w:hAnsi="仿宋" w:eastAsia="仿宋" w:cs="仿宋"/>
          <w:kern w:val="0"/>
          <w:szCs w:val="20"/>
        </w:rPr>
      </w:pPr>
      <w:r>
        <w:rPr>
          <w:rFonts w:hint="eastAsia" w:ascii="仿宋" w:hAnsi="仿宋" w:eastAsia="仿宋" w:cs="仿宋"/>
          <w:kern w:val="0"/>
          <w:szCs w:val="20"/>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174"/>
        <w:rPr>
          <w:rFonts w:ascii="仿宋" w:hAnsi="仿宋" w:eastAsia="仿宋" w:cs="仿宋"/>
          <w:color w:val="auto"/>
        </w:rPr>
      </w:pPr>
      <w:r>
        <w:rPr>
          <w:rFonts w:hint="eastAsia" w:ascii="仿宋" w:hAnsi="仿宋" w:eastAsia="仿宋" w:cs="仿宋"/>
          <w:color w:val="auto"/>
        </w:rPr>
        <w:t>利害关系代理人处理。</w:t>
      </w:r>
    </w:p>
    <w:p>
      <w:pPr>
        <w:ind w:firstLine="560"/>
      </w:pPr>
      <w:r>
        <w:rPr>
          <w:rFonts w:hint="eastAsia" w:ascii="仿宋" w:hAnsi="仿宋" w:eastAsia="仿宋" w:cs="仿宋"/>
          <w:kern w:val="0"/>
          <w:szCs w:val="20"/>
        </w:rPr>
        <w:t>2家以上的供应商不得在同一合同项下的采购项目中，同时委托同一个自然人、同一家庭的人员、同一单位的人员作为其代理人，否则，其投标文件作为无效处理。</w:t>
      </w:r>
    </w:p>
    <w:p>
      <w:pPr>
        <w:pStyle w:val="174"/>
        <w:rPr>
          <w:rFonts w:ascii="仿宋" w:hAnsi="仿宋" w:eastAsia="仿宋" w:cs="仿宋"/>
          <w:color w:val="auto"/>
        </w:rPr>
      </w:pPr>
      <w:r>
        <w:rPr>
          <w:rFonts w:hint="eastAsia" w:ascii="仿宋" w:hAnsi="仿宋" w:eastAsia="仿宋" w:cs="仿宋"/>
          <w:color w:val="auto"/>
        </w:rPr>
        <w:t>未中标通知书的发放</w:t>
      </w:r>
    </w:p>
    <w:p>
      <w:pPr>
        <w:pStyle w:val="67"/>
        <w:spacing w:line="360" w:lineRule="auto"/>
        <w:ind w:firstLine="560" w:firstLineChars="200"/>
        <w:rPr>
          <w:rFonts w:ascii="仿宋" w:hAnsi="仿宋" w:cs="仿宋"/>
          <w:szCs w:val="20"/>
        </w:rPr>
      </w:pPr>
      <w:r>
        <w:rPr>
          <w:rFonts w:hint="eastAsia" w:ascii="仿宋" w:hAnsi="仿宋" w:cs="仿宋"/>
          <w:szCs w:val="20"/>
        </w:rPr>
        <w:t>根据财政部87号令第六十九条规定：在公告中标结果的同时，采购人或者采购代理机构应当向中标人发出中标通知书；对未通过资格审查的投标人，应当告知其未通过的原因；采用综合评分法评审的，还应当告知未中标人本人的评审得分与排序。本通知书通过代理机构企业邮箱发送至未中标单位在标书中注明的指定邮箱，投标单位在标书中注明的指定邮箱地址为有效的法律文书送达邮箱地址，以邮箱形式送达视为有效的法律送达。变更邮箱地址需以书面形式告知代理机构，否则未中标单位需承担相应后果。邮箱发送后第3日视为送达，包括且不限于因未中标单位原因致使邮箱不正确或者无法送达的。声明投标人未按招标文件约定的时间和方式获取告知信息的，视为自动放弃并自行承担后果。发放时间为发布中标公示/成交公告的同一时间。接收人员为投标人获取告知信息的特定人员，为投标人的法定代表人或投标授权代表。声明投标人未按招标文件约定的时间和方式获取告知信息的，视为自动放弃并自行承担后果。</w:t>
      </w:r>
    </w:p>
    <w:bookmarkEnd w:id="178"/>
    <w:bookmarkEnd w:id="179"/>
    <w:bookmarkEnd w:id="180"/>
    <w:p>
      <w:pPr>
        <w:pStyle w:val="172"/>
        <w:rPr>
          <w:rFonts w:ascii="仿宋" w:hAnsi="仿宋" w:eastAsia="仿宋" w:cs="仿宋"/>
        </w:rPr>
      </w:pPr>
      <w:bookmarkStart w:id="184" w:name="_Toc17394"/>
      <w:bookmarkStart w:id="185" w:name="_Toc474854527"/>
      <w:bookmarkStart w:id="186" w:name="_Toc16938558"/>
      <w:bookmarkStart w:id="187" w:name="_Toc20823314"/>
      <w:bookmarkStart w:id="188" w:name="_Toc120614221"/>
      <w:bookmarkStart w:id="189" w:name="_Toc513029242"/>
      <w:bookmarkStart w:id="190" w:name="_Toc479757207"/>
      <w:r>
        <w:rPr>
          <w:rFonts w:hint="eastAsia" w:ascii="仿宋" w:hAnsi="仿宋" w:eastAsia="仿宋" w:cs="仿宋"/>
        </w:rPr>
        <w:t>第三章 合同条款及格式</w:t>
      </w:r>
      <w:bookmarkEnd w:id="184"/>
      <w:bookmarkEnd w:id="185"/>
    </w:p>
    <w:bookmarkEnd w:id="186"/>
    <w:bookmarkEnd w:id="187"/>
    <w:bookmarkEnd w:id="188"/>
    <w:bookmarkEnd w:id="189"/>
    <w:bookmarkEnd w:id="190"/>
    <w:p>
      <w:pPr>
        <w:ind w:firstLine="562"/>
        <w:jc w:val="center"/>
        <w:rPr>
          <w:rFonts w:ascii="仿宋" w:hAnsi="仿宋" w:eastAsia="仿宋" w:cs="仿宋"/>
          <w:b/>
          <w:bCs/>
          <w:szCs w:val="28"/>
        </w:rPr>
      </w:pPr>
      <w:bookmarkStart w:id="191" w:name="_Hlt16619369"/>
      <w:bookmarkEnd w:id="191"/>
      <w:bookmarkStart w:id="192" w:name="_Toc120614244"/>
      <w:bookmarkStart w:id="193" w:name="_Toc16938590"/>
      <w:bookmarkStart w:id="194" w:name="_Toc20823346"/>
      <w:bookmarkStart w:id="195" w:name="_Toc474854528"/>
      <w:bookmarkStart w:id="196" w:name="_Toc479757211"/>
      <w:bookmarkStart w:id="197" w:name="_Toc462564139"/>
      <w:r>
        <w:rPr>
          <w:rFonts w:hint="eastAsia" w:ascii="仿宋" w:hAnsi="仿宋" w:eastAsia="仿宋" w:cs="仿宋"/>
          <w:b/>
          <w:bCs/>
          <w:szCs w:val="28"/>
        </w:rPr>
        <w:t>合同通用条款</w:t>
      </w:r>
    </w:p>
    <w:p>
      <w:pPr>
        <w:numPr>
          <w:ilvl w:val="0"/>
          <w:numId w:val="31"/>
        </w:numPr>
        <w:ind w:firstLine="560"/>
        <w:rPr>
          <w:rFonts w:ascii="仿宋" w:hAnsi="仿宋" w:eastAsia="仿宋" w:cs="仿宋"/>
          <w:szCs w:val="28"/>
        </w:rPr>
      </w:pPr>
      <w:r>
        <w:rPr>
          <w:rFonts w:hint="eastAsia" w:ascii="仿宋" w:hAnsi="仿宋" w:eastAsia="仿宋" w:cs="仿宋"/>
          <w:szCs w:val="28"/>
        </w:rPr>
        <w:t>定义</w:t>
      </w:r>
    </w:p>
    <w:p>
      <w:pPr>
        <w:ind w:firstLine="0" w:firstLineChars="0"/>
        <w:rPr>
          <w:rFonts w:ascii="仿宋" w:hAnsi="仿宋" w:eastAsia="仿宋" w:cs="仿宋"/>
          <w:szCs w:val="28"/>
        </w:rPr>
      </w:pPr>
      <w:r>
        <w:rPr>
          <w:rFonts w:hint="eastAsia" w:ascii="仿宋" w:hAnsi="仿宋" w:eastAsia="仿宋" w:cs="仿宋"/>
          <w:szCs w:val="28"/>
        </w:rPr>
        <w:t>本合同下列术语应解释为：</w:t>
      </w:r>
    </w:p>
    <w:p>
      <w:pPr>
        <w:ind w:firstLine="0" w:firstLineChars="0"/>
        <w:rPr>
          <w:rFonts w:ascii="仿宋" w:hAnsi="仿宋" w:eastAsia="仿宋" w:cs="仿宋"/>
          <w:szCs w:val="28"/>
        </w:rPr>
      </w:pPr>
      <w:r>
        <w:rPr>
          <w:rFonts w:hint="eastAsia" w:ascii="仿宋" w:hAnsi="仿宋" w:eastAsia="仿宋" w:cs="仿宋"/>
          <w:szCs w:val="28"/>
        </w:rPr>
        <w:t>（l）“合同”系指甲方和乙方（以下简称合同双方）签署的、合同格式中列明的合同双方所 达成的协议，包括所有的附件、附录和构成合同的所有文件。</w:t>
      </w:r>
    </w:p>
    <w:p>
      <w:pPr>
        <w:ind w:firstLine="0" w:firstLineChars="0"/>
        <w:rPr>
          <w:rFonts w:ascii="仿宋" w:hAnsi="仿宋" w:eastAsia="仿宋" w:cs="仿宋"/>
          <w:szCs w:val="28"/>
        </w:rPr>
      </w:pPr>
      <w:r>
        <w:rPr>
          <w:rFonts w:hint="eastAsia" w:ascii="仿宋" w:hAnsi="仿宋" w:eastAsia="仿宋" w:cs="仿宋"/>
          <w:szCs w:val="28"/>
        </w:rPr>
        <w:t>（2）“合同价”系指根据合同规定，乙方在完全履行合同义务后甲方应付给乙方的价格。</w:t>
      </w:r>
    </w:p>
    <w:p>
      <w:pPr>
        <w:ind w:firstLine="0" w:firstLineChars="0"/>
        <w:rPr>
          <w:rFonts w:ascii="仿宋" w:hAnsi="仿宋" w:eastAsia="仿宋" w:cs="仿宋"/>
          <w:szCs w:val="28"/>
        </w:rPr>
      </w:pPr>
      <w:r>
        <w:rPr>
          <w:rFonts w:hint="eastAsia" w:ascii="仿宋" w:hAnsi="仿宋" w:eastAsia="仿宋" w:cs="仿宋"/>
          <w:szCs w:val="28"/>
        </w:rPr>
        <w:t>（3）“货物（含软件及相关服务）”系指乙方按合同要求，须向甲方提供的一切设备、 机械、仪器、备件、工具、技术及手册等有关资料。"工程"系指按合同要求进行施工。</w:t>
      </w:r>
    </w:p>
    <w:p>
      <w:pPr>
        <w:ind w:firstLine="0" w:firstLineChars="0"/>
        <w:rPr>
          <w:rFonts w:ascii="仿宋" w:hAnsi="仿宋" w:eastAsia="仿宋" w:cs="仿宋"/>
          <w:szCs w:val="28"/>
        </w:rPr>
      </w:pPr>
      <w:r>
        <w:rPr>
          <w:rFonts w:hint="eastAsia" w:ascii="仿宋" w:hAnsi="仿宋" w:eastAsia="仿宋" w:cs="仿宋"/>
          <w:szCs w:val="28"/>
        </w:rPr>
        <w:t>（4）“服务”系指根据合同规定乙方承担与供货有关的所有辅助服务，如运输、保险以 及其它的服务，如安装、调试、提供技术援助、培训及其他类似的义务。</w:t>
      </w:r>
    </w:p>
    <w:p>
      <w:pPr>
        <w:ind w:firstLine="0" w:firstLineChars="0"/>
        <w:rPr>
          <w:rFonts w:ascii="仿宋" w:hAnsi="仿宋" w:eastAsia="仿宋" w:cs="仿宋"/>
          <w:szCs w:val="28"/>
        </w:rPr>
      </w:pPr>
      <w:r>
        <w:rPr>
          <w:rFonts w:hint="eastAsia" w:ascii="仿宋" w:hAnsi="仿宋" w:eastAsia="仿宋" w:cs="仿宋"/>
          <w:szCs w:val="28"/>
        </w:rPr>
        <w:t>（5）“甲方”系指购买货物（含软件及相关服务）的单位。</w:t>
      </w:r>
    </w:p>
    <w:p>
      <w:pPr>
        <w:ind w:firstLine="0" w:firstLineChars="0"/>
        <w:rPr>
          <w:rFonts w:ascii="仿宋" w:hAnsi="仿宋" w:eastAsia="仿宋" w:cs="仿宋"/>
          <w:szCs w:val="28"/>
        </w:rPr>
      </w:pPr>
      <w:r>
        <w:rPr>
          <w:rFonts w:hint="eastAsia" w:ascii="仿宋" w:hAnsi="仿宋" w:eastAsia="仿宋" w:cs="仿宋"/>
          <w:szCs w:val="28"/>
        </w:rPr>
        <w:t>（6）“乙方”系指根据合同规定提供货物（含软件及相关服务）和服务的制造商或代理 商。</w:t>
      </w:r>
    </w:p>
    <w:p>
      <w:pPr>
        <w:ind w:firstLine="0" w:firstLineChars="0"/>
        <w:rPr>
          <w:rFonts w:ascii="仿宋" w:hAnsi="仿宋" w:eastAsia="仿宋" w:cs="仿宋"/>
          <w:szCs w:val="28"/>
        </w:rPr>
      </w:pPr>
      <w:r>
        <w:rPr>
          <w:rFonts w:hint="eastAsia" w:ascii="仿宋" w:hAnsi="仿宋" w:eastAsia="仿宋" w:cs="仿宋"/>
          <w:szCs w:val="28"/>
        </w:rPr>
        <w:t>（7）“现场”系指将要进行货物（含软件及相关服务）安装和调试的地点。</w:t>
      </w:r>
    </w:p>
    <w:p>
      <w:pPr>
        <w:ind w:firstLine="0" w:firstLineChars="0"/>
        <w:rPr>
          <w:rFonts w:ascii="仿宋" w:hAnsi="仿宋" w:eastAsia="仿宋" w:cs="仿宋"/>
          <w:szCs w:val="28"/>
        </w:rPr>
      </w:pPr>
      <w:r>
        <w:rPr>
          <w:rFonts w:hint="eastAsia" w:ascii="仿宋" w:hAnsi="仿宋" w:eastAsia="仿宋" w:cs="仿宋"/>
          <w:szCs w:val="28"/>
        </w:rPr>
        <w:t>2．技术规范</w:t>
      </w:r>
    </w:p>
    <w:p>
      <w:pPr>
        <w:ind w:firstLine="560"/>
        <w:rPr>
          <w:rFonts w:ascii="仿宋" w:hAnsi="仿宋" w:eastAsia="仿宋" w:cs="仿宋"/>
          <w:szCs w:val="28"/>
        </w:rPr>
      </w:pPr>
      <w:r>
        <w:rPr>
          <w:rFonts w:hint="eastAsia" w:ascii="仿宋" w:hAnsi="仿宋" w:eastAsia="仿宋" w:cs="仿宋"/>
          <w:szCs w:val="28"/>
        </w:rPr>
        <w:t>提交货物（含软件及相关服务）的技术规范应与招标文件的技术规范和技术规范附件（如果 有的话）及其响应文件的规格响应表（如果被甲方接受的话）相一致。若技术规范中无相应 说明，则以国家有关部门最新颁布的相应标准及规范为准。</w:t>
      </w:r>
    </w:p>
    <w:p>
      <w:pPr>
        <w:numPr>
          <w:ilvl w:val="0"/>
          <w:numId w:val="31"/>
        </w:numPr>
        <w:ind w:firstLine="0" w:firstLineChars="0"/>
        <w:rPr>
          <w:rFonts w:ascii="仿宋" w:hAnsi="仿宋" w:eastAsia="仿宋" w:cs="仿宋"/>
          <w:szCs w:val="28"/>
        </w:rPr>
      </w:pPr>
      <w:r>
        <w:rPr>
          <w:rFonts w:hint="eastAsia" w:ascii="仿宋" w:hAnsi="仿宋" w:eastAsia="仿宋" w:cs="仿宋"/>
          <w:szCs w:val="28"/>
        </w:rPr>
        <w:t>专利权</w:t>
      </w:r>
    </w:p>
    <w:p>
      <w:pPr>
        <w:ind w:firstLine="560"/>
        <w:rPr>
          <w:rFonts w:ascii="仿宋" w:hAnsi="仿宋" w:eastAsia="仿宋" w:cs="仿宋"/>
          <w:szCs w:val="28"/>
        </w:rPr>
      </w:pPr>
      <w:r>
        <w:rPr>
          <w:rFonts w:hint="eastAsia" w:ascii="仿宋" w:hAnsi="仿宋" w:eastAsia="仿宋" w:cs="仿宋"/>
          <w:szCs w:val="28"/>
        </w:rPr>
        <w:t>乙方须保障甲方在使用该货物（含软件及相关服务）或其任何一部分时不受到第三方关于侵 犯专利权、商标权、版权、专有技术等权利的指控。如果任何第三方提出侵权指控，乙方须 与第三方交涉并承担可能发生的一切损失和费用。</w:t>
      </w:r>
    </w:p>
    <w:p>
      <w:pPr>
        <w:ind w:firstLine="0" w:firstLineChars="0"/>
        <w:rPr>
          <w:rFonts w:ascii="仿宋" w:hAnsi="仿宋" w:eastAsia="仿宋" w:cs="仿宋"/>
          <w:szCs w:val="28"/>
        </w:rPr>
      </w:pPr>
      <w:r>
        <w:rPr>
          <w:rFonts w:hint="eastAsia" w:ascii="仿宋" w:hAnsi="仿宋" w:eastAsia="仿宋" w:cs="仿宋"/>
          <w:szCs w:val="28"/>
        </w:rPr>
        <w:t>4．包装要求</w:t>
      </w:r>
    </w:p>
    <w:p>
      <w:pPr>
        <w:ind w:firstLine="280" w:firstLineChars="100"/>
        <w:rPr>
          <w:rFonts w:ascii="仿宋" w:hAnsi="仿宋" w:eastAsia="仿宋" w:cs="仿宋"/>
          <w:szCs w:val="28"/>
        </w:rPr>
      </w:pPr>
      <w:r>
        <w:rPr>
          <w:rFonts w:hint="eastAsia" w:ascii="仿宋" w:hAnsi="仿宋" w:eastAsia="仿宋" w:cs="仿宋"/>
          <w:szCs w:val="28"/>
        </w:rPr>
        <w:t>4.l除合同另有规定外，乙方提供的全部货物（含软件及相关服务），均应采用相应的标准保 护措施进行包装，使包装适应于远距离运输、防潮、防震、防锈和防粗暴装卸，确保货物（含 软件及相关服务）安全无损运抵现场。由于包装不善所引起的货物（含软件及相关服务）锈 蚀、损坏和损失均由乙方承担。</w:t>
      </w:r>
    </w:p>
    <w:p>
      <w:pPr>
        <w:ind w:firstLine="280" w:firstLineChars="100"/>
        <w:rPr>
          <w:rFonts w:ascii="仿宋" w:hAnsi="仿宋" w:eastAsia="仿宋" w:cs="仿宋"/>
          <w:szCs w:val="28"/>
        </w:rPr>
      </w:pPr>
      <w:r>
        <w:rPr>
          <w:rFonts w:hint="eastAsia" w:ascii="仿宋" w:hAnsi="仿宋" w:eastAsia="仿宋" w:cs="仿宋"/>
          <w:szCs w:val="28"/>
        </w:rPr>
        <w:t>4.2每件包装箱内应附一份详细装箱单和质量合格证。</w:t>
      </w:r>
    </w:p>
    <w:p>
      <w:pPr>
        <w:ind w:firstLine="0" w:firstLineChars="0"/>
        <w:rPr>
          <w:rFonts w:ascii="仿宋" w:hAnsi="仿宋" w:eastAsia="仿宋" w:cs="仿宋"/>
          <w:szCs w:val="28"/>
        </w:rPr>
      </w:pPr>
      <w:r>
        <w:rPr>
          <w:rFonts w:hint="eastAsia" w:ascii="仿宋" w:hAnsi="仿宋" w:eastAsia="仿宋" w:cs="仿宋"/>
          <w:szCs w:val="28"/>
        </w:rPr>
        <w:t>5．装运标志</w:t>
      </w:r>
    </w:p>
    <w:p>
      <w:pPr>
        <w:ind w:firstLine="280" w:firstLineChars="100"/>
        <w:rPr>
          <w:rFonts w:ascii="仿宋" w:hAnsi="仿宋" w:eastAsia="仿宋" w:cs="仿宋"/>
          <w:szCs w:val="28"/>
        </w:rPr>
      </w:pPr>
      <w:r>
        <w:rPr>
          <w:rFonts w:hint="eastAsia" w:ascii="仿宋" w:hAnsi="仿宋" w:eastAsia="仿宋" w:cs="仿宋"/>
          <w:szCs w:val="28"/>
        </w:rPr>
        <w:t>5.1乙方应在每一包装箱邻接的四侧用不褪色的油漆以醒目的中文字样做出下列标记：</w:t>
      </w:r>
    </w:p>
    <w:p>
      <w:pPr>
        <w:ind w:firstLine="0" w:firstLineChars="0"/>
        <w:rPr>
          <w:rFonts w:ascii="仿宋" w:hAnsi="仿宋" w:eastAsia="仿宋" w:cs="仿宋"/>
          <w:szCs w:val="28"/>
        </w:rPr>
      </w:pPr>
      <w:r>
        <w:rPr>
          <w:rFonts w:hint="eastAsia" w:ascii="仿宋" w:hAnsi="仿宋" w:eastAsia="仿宋" w:cs="仿宋"/>
          <w:szCs w:val="28"/>
        </w:rPr>
        <w:t>（l）收货人；</w:t>
      </w:r>
    </w:p>
    <w:p>
      <w:pPr>
        <w:ind w:firstLine="0" w:firstLineChars="0"/>
        <w:rPr>
          <w:rFonts w:ascii="仿宋" w:hAnsi="仿宋" w:eastAsia="仿宋" w:cs="仿宋"/>
          <w:szCs w:val="28"/>
        </w:rPr>
      </w:pPr>
      <w:r>
        <w:rPr>
          <w:rFonts w:hint="eastAsia" w:ascii="仿宋" w:hAnsi="仿宋" w:eastAsia="仿宋" w:cs="仿宋"/>
          <w:szCs w:val="28"/>
        </w:rPr>
        <w:t>（2）合同号；</w:t>
      </w:r>
    </w:p>
    <w:p>
      <w:pPr>
        <w:ind w:firstLine="0" w:firstLineChars="0"/>
        <w:rPr>
          <w:rFonts w:ascii="仿宋" w:hAnsi="仿宋" w:eastAsia="仿宋" w:cs="仿宋"/>
          <w:szCs w:val="28"/>
        </w:rPr>
      </w:pPr>
      <w:r>
        <w:rPr>
          <w:rFonts w:hint="eastAsia" w:ascii="仿宋" w:hAnsi="仿宋" w:eastAsia="仿宋" w:cs="仿宋"/>
          <w:szCs w:val="28"/>
        </w:rPr>
        <w:t>（3）装运标志；</w:t>
      </w:r>
    </w:p>
    <w:p>
      <w:pPr>
        <w:ind w:firstLine="0" w:firstLineChars="0"/>
        <w:rPr>
          <w:rFonts w:ascii="仿宋" w:hAnsi="仿宋" w:eastAsia="仿宋" w:cs="仿宋"/>
          <w:szCs w:val="28"/>
        </w:rPr>
      </w:pPr>
      <w:r>
        <w:rPr>
          <w:rFonts w:hint="eastAsia" w:ascii="仿宋" w:hAnsi="仿宋" w:eastAsia="仿宋" w:cs="仿宋"/>
          <w:szCs w:val="28"/>
        </w:rPr>
        <w:t>（4）收货人代号；</w:t>
      </w:r>
    </w:p>
    <w:p>
      <w:pPr>
        <w:ind w:firstLine="0" w:firstLineChars="0"/>
        <w:rPr>
          <w:rFonts w:ascii="仿宋" w:hAnsi="仿宋" w:eastAsia="仿宋" w:cs="仿宋"/>
          <w:szCs w:val="28"/>
        </w:rPr>
      </w:pPr>
      <w:r>
        <w:rPr>
          <w:rFonts w:hint="eastAsia" w:ascii="仿宋" w:hAnsi="仿宋" w:eastAsia="仿宋" w:cs="仿宋"/>
          <w:szCs w:val="28"/>
        </w:rPr>
        <w:t>（5）目的地；</w:t>
      </w:r>
    </w:p>
    <w:p>
      <w:pPr>
        <w:ind w:firstLine="0" w:firstLineChars="0"/>
        <w:rPr>
          <w:rFonts w:ascii="仿宋" w:hAnsi="仿宋" w:eastAsia="仿宋" w:cs="仿宋"/>
          <w:szCs w:val="28"/>
        </w:rPr>
      </w:pPr>
      <w:r>
        <w:rPr>
          <w:rFonts w:hint="eastAsia" w:ascii="仿宋" w:hAnsi="仿宋" w:eastAsia="仿宋" w:cs="仿宋"/>
          <w:szCs w:val="28"/>
        </w:rPr>
        <w:t>（6）货物（含软件及相关服务）名称、品目号和箱号；</w:t>
      </w:r>
    </w:p>
    <w:p>
      <w:pPr>
        <w:ind w:firstLine="0" w:firstLineChars="0"/>
        <w:rPr>
          <w:rFonts w:ascii="仿宋" w:hAnsi="仿宋" w:eastAsia="仿宋" w:cs="仿宋"/>
          <w:szCs w:val="28"/>
        </w:rPr>
      </w:pPr>
      <w:r>
        <w:rPr>
          <w:rFonts w:hint="eastAsia" w:ascii="仿宋" w:hAnsi="仿宋" w:eastAsia="仿宋" w:cs="仿宋"/>
          <w:szCs w:val="28"/>
        </w:rPr>
        <w:t>（7）毛重／净重；</w:t>
      </w:r>
    </w:p>
    <w:p>
      <w:pPr>
        <w:ind w:firstLine="0" w:firstLineChars="0"/>
        <w:rPr>
          <w:rFonts w:ascii="仿宋" w:hAnsi="仿宋" w:eastAsia="仿宋" w:cs="仿宋"/>
          <w:szCs w:val="28"/>
        </w:rPr>
      </w:pPr>
      <w:r>
        <w:rPr>
          <w:rFonts w:hint="eastAsia" w:ascii="仿宋" w:hAnsi="仿宋" w:eastAsia="仿宋" w:cs="仿宋"/>
          <w:szCs w:val="28"/>
        </w:rPr>
        <w:t>（8）尺寸（长X宽X高，以厘米计）；</w:t>
      </w:r>
    </w:p>
    <w:p>
      <w:pPr>
        <w:ind w:firstLine="280" w:firstLineChars="100"/>
        <w:rPr>
          <w:rFonts w:ascii="仿宋" w:hAnsi="仿宋" w:eastAsia="仿宋" w:cs="仿宋"/>
          <w:szCs w:val="28"/>
        </w:rPr>
      </w:pPr>
      <w:r>
        <w:rPr>
          <w:rFonts w:hint="eastAsia" w:ascii="仿宋" w:hAnsi="仿宋" w:eastAsia="仿宋" w:cs="仿宋"/>
          <w:szCs w:val="28"/>
        </w:rPr>
        <w:t>5.2 如果货物（含软件及相关服务）单件重量在两吨或两吨以上，乙方应在每件包装箱的两 侧用中文和适当的运输标志标明“重心”和“吊装点”，以便装卸和搬运。根据货物（含软 件及相关服务）的特点和运输的不同要求，乙方应在包装箱上清楚地标有‘小心轻放”、“勿倒置”、“防潮”等字样和其他适当的标记。</w:t>
      </w:r>
    </w:p>
    <w:p>
      <w:pPr>
        <w:ind w:firstLine="280" w:firstLineChars="100"/>
        <w:rPr>
          <w:rFonts w:ascii="仿宋" w:hAnsi="仿宋" w:eastAsia="仿宋" w:cs="仿宋"/>
          <w:szCs w:val="28"/>
        </w:rPr>
      </w:pPr>
      <w:r>
        <w:rPr>
          <w:rFonts w:hint="eastAsia" w:ascii="仿宋" w:hAnsi="仿宋" w:eastAsia="仿宋" w:cs="仿宋"/>
          <w:szCs w:val="28"/>
        </w:rPr>
        <w:t>5.3 因缺少装运标志或者装运标志不明确导致货物在运输、装卸过程中产生的损失，乙方 应承担相应的过错责任。</w:t>
      </w:r>
    </w:p>
    <w:p>
      <w:pPr>
        <w:numPr>
          <w:ilvl w:val="0"/>
          <w:numId w:val="32"/>
        </w:numPr>
        <w:ind w:firstLine="560"/>
        <w:rPr>
          <w:rFonts w:ascii="仿宋" w:hAnsi="仿宋" w:eastAsia="仿宋" w:cs="仿宋"/>
          <w:szCs w:val="28"/>
        </w:rPr>
      </w:pPr>
      <w:r>
        <w:rPr>
          <w:rFonts w:hint="eastAsia" w:ascii="仿宋" w:hAnsi="仿宋" w:eastAsia="仿宋" w:cs="仿宋"/>
          <w:szCs w:val="28"/>
        </w:rPr>
        <w:t xml:space="preserve">交货方式 </w:t>
      </w:r>
    </w:p>
    <w:p>
      <w:pPr>
        <w:ind w:firstLine="280" w:firstLineChars="100"/>
        <w:rPr>
          <w:rFonts w:ascii="仿宋" w:hAnsi="仿宋" w:eastAsia="仿宋" w:cs="仿宋"/>
          <w:szCs w:val="28"/>
        </w:rPr>
      </w:pPr>
      <w:r>
        <w:rPr>
          <w:rFonts w:hint="eastAsia" w:ascii="仿宋" w:hAnsi="仿宋" w:eastAsia="仿宋" w:cs="仿宋"/>
          <w:szCs w:val="28"/>
        </w:rPr>
        <w:t>6.l 交货方式一般为下列其中一种，具体在合同专用条款中规定。</w:t>
      </w:r>
    </w:p>
    <w:p>
      <w:pPr>
        <w:ind w:firstLine="280" w:firstLineChars="100"/>
        <w:rPr>
          <w:rFonts w:ascii="仿宋" w:hAnsi="仿宋" w:eastAsia="仿宋" w:cs="仿宋"/>
          <w:szCs w:val="28"/>
        </w:rPr>
      </w:pPr>
      <w:r>
        <w:rPr>
          <w:rFonts w:hint="eastAsia" w:ascii="仿宋" w:hAnsi="仿宋" w:eastAsia="仿宋" w:cs="仿宋"/>
          <w:szCs w:val="28"/>
        </w:rPr>
        <w:t>6.1.l 现场交货：乙方负责办理运输和保险，将货物（含软件及相关服务）运抵现场。有关 运输和保险的一切费用由乙方承担。所有货物（含软件及相关服务）运抵现扬的日期为交货日期。</w:t>
      </w:r>
    </w:p>
    <w:p>
      <w:pPr>
        <w:ind w:firstLine="280" w:firstLineChars="100"/>
        <w:rPr>
          <w:rFonts w:ascii="仿宋" w:hAnsi="仿宋" w:eastAsia="仿宋" w:cs="仿宋"/>
          <w:szCs w:val="28"/>
        </w:rPr>
      </w:pPr>
      <w:r>
        <w:rPr>
          <w:rFonts w:hint="eastAsia" w:ascii="仿宋" w:hAnsi="仿宋" w:eastAsia="仿宋" w:cs="仿宋"/>
          <w:szCs w:val="28"/>
        </w:rPr>
        <w:t>6.1.2 工厂交货：由乙方负责办理运输和保险事宜。运输费和保险费由甲方承担。运输部门 出具收据的日期为交货日期。</w:t>
      </w:r>
    </w:p>
    <w:p>
      <w:pPr>
        <w:ind w:firstLine="280" w:firstLineChars="100"/>
        <w:rPr>
          <w:rFonts w:ascii="仿宋" w:hAnsi="仿宋" w:eastAsia="仿宋" w:cs="仿宋"/>
          <w:szCs w:val="28"/>
        </w:rPr>
      </w:pPr>
      <w:r>
        <w:rPr>
          <w:rFonts w:hint="eastAsia" w:ascii="仿宋" w:hAnsi="仿宋" w:eastAsia="仿宋" w:cs="仿宋"/>
          <w:szCs w:val="28"/>
        </w:rPr>
        <w:t xml:space="preserve">6.1.3 甲方自提货物（含软件及相关服务）：由甲方在合同规定地点自行办理提货。提单日期为交货日期。 </w:t>
      </w:r>
    </w:p>
    <w:p>
      <w:pPr>
        <w:ind w:firstLine="280" w:firstLineChars="100"/>
        <w:rPr>
          <w:rFonts w:ascii="仿宋" w:hAnsi="仿宋" w:eastAsia="仿宋" w:cs="仿宋"/>
          <w:szCs w:val="28"/>
        </w:rPr>
      </w:pPr>
      <w:r>
        <w:rPr>
          <w:rFonts w:hint="eastAsia" w:ascii="仿宋" w:hAnsi="仿宋" w:eastAsia="仿宋" w:cs="仿宋"/>
          <w:szCs w:val="28"/>
        </w:rPr>
        <w:t>6.2 乙方应在合同规定的交货期前30天以电报、传真或电传形式将合同号、货物（含软件 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ind w:firstLine="280" w:firstLineChars="100"/>
        <w:rPr>
          <w:rFonts w:ascii="仿宋" w:hAnsi="仿宋" w:eastAsia="仿宋" w:cs="仿宋"/>
          <w:szCs w:val="28"/>
        </w:rPr>
      </w:pPr>
      <w:r>
        <w:rPr>
          <w:rFonts w:hint="eastAsia" w:ascii="仿宋" w:hAnsi="仿宋" w:eastAsia="仿宋" w:cs="仿宋"/>
          <w:szCs w:val="28"/>
        </w:rPr>
        <w:t xml:space="preserve">6.3在现场交货和工厂交货条件下，乙方装运的货物（含软件及相关服务）不应超过合同规定的数量或重量。否则，乙方应对超运部分的数量或重量而引起的一切后果负责。 </w:t>
      </w:r>
    </w:p>
    <w:p>
      <w:pPr>
        <w:numPr>
          <w:ilvl w:val="0"/>
          <w:numId w:val="32"/>
        </w:numPr>
        <w:ind w:firstLine="0" w:firstLineChars="0"/>
        <w:rPr>
          <w:rFonts w:ascii="仿宋" w:hAnsi="仿宋" w:eastAsia="仿宋" w:cs="仿宋"/>
          <w:szCs w:val="28"/>
        </w:rPr>
      </w:pPr>
      <w:r>
        <w:rPr>
          <w:rFonts w:hint="eastAsia" w:ascii="仿宋" w:hAnsi="仿宋" w:eastAsia="仿宋" w:cs="仿宋"/>
          <w:szCs w:val="28"/>
        </w:rPr>
        <w:t>装运通知</w:t>
      </w:r>
    </w:p>
    <w:p>
      <w:pPr>
        <w:ind w:firstLine="560"/>
        <w:rPr>
          <w:rFonts w:ascii="仿宋" w:hAnsi="仿宋" w:eastAsia="仿宋" w:cs="仿宋"/>
          <w:szCs w:val="28"/>
        </w:rPr>
      </w:pPr>
      <w:r>
        <w:rPr>
          <w:rFonts w:hint="eastAsia" w:ascii="仿宋" w:hAnsi="仿宋" w:eastAsia="仿宋" w:cs="仿宋"/>
          <w:szCs w:val="28"/>
        </w:rPr>
        <w:t>现场交货或工厂交货条件下的货物（含软件及相关服务），在乙方已通知甲方货物（含软件及相关服务）已备妥待运输后24小时之内，乙方应将合同号、货名、数量、毛重、总体积（立方米）、发票金额、运输工具名称及启运日期，以电报、传真或电传通知甲方。如因乙方延误将上述内容用电报、传真或电传通知甲方，由此引起的一切损失应由乙方负担。</w:t>
      </w:r>
    </w:p>
    <w:p>
      <w:pPr>
        <w:numPr>
          <w:ilvl w:val="0"/>
          <w:numId w:val="32"/>
        </w:numPr>
        <w:ind w:firstLine="0" w:firstLineChars="0"/>
        <w:rPr>
          <w:rFonts w:ascii="仿宋" w:hAnsi="仿宋" w:eastAsia="仿宋" w:cs="仿宋"/>
          <w:szCs w:val="28"/>
        </w:rPr>
      </w:pPr>
      <w:r>
        <w:rPr>
          <w:rFonts w:hint="eastAsia" w:ascii="仿宋" w:hAnsi="仿宋" w:eastAsia="仿宋" w:cs="仿宋"/>
          <w:szCs w:val="28"/>
        </w:rPr>
        <w:t>保险</w:t>
      </w:r>
    </w:p>
    <w:p>
      <w:pPr>
        <w:ind w:firstLine="560"/>
        <w:rPr>
          <w:rFonts w:ascii="仿宋" w:hAnsi="仿宋" w:eastAsia="仿宋" w:cs="仿宋"/>
          <w:szCs w:val="28"/>
        </w:rPr>
      </w:pPr>
      <w:r>
        <w:rPr>
          <w:rFonts w:hint="eastAsia" w:ascii="仿宋" w:hAnsi="仿宋" w:eastAsia="仿宋" w:cs="仿宋"/>
          <w:szCs w:val="28"/>
        </w:rPr>
        <w:t>如果货物（含软件及相关服务）是按现场交货方式报价的，由乙方办理货物（含软件及相关服务）运抵现场这一段的保险，保险以人民币按照发票金额的 110％投保“一切险”，保险 范围包括乙方承诺装运的货物（含软件及相关服务）；如果货物（含软件及相关服务）是按 工厂交货或甲方自提货物（含软件及相关服务）方式报价的，其保险由甲方办理。</w:t>
      </w:r>
    </w:p>
    <w:p>
      <w:pPr>
        <w:numPr>
          <w:ilvl w:val="0"/>
          <w:numId w:val="32"/>
        </w:numPr>
        <w:ind w:firstLine="0" w:firstLineChars="0"/>
        <w:rPr>
          <w:rFonts w:ascii="仿宋" w:hAnsi="仿宋" w:eastAsia="仿宋" w:cs="仿宋"/>
          <w:szCs w:val="28"/>
        </w:rPr>
      </w:pPr>
      <w:r>
        <w:rPr>
          <w:rFonts w:hint="eastAsia" w:ascii="仿宋" w:hAnsi="仿宋" w:eastAsia="仿宋" w:cs="仿宋"/>
          <w:szCs w:val="28"/>
        </w:rPr>
        <w:t>付款方式</w:t>
      </w:r>
    </w:p>
    <w:p>
      <w:pPr>
        <w:ind w:firstLine="560"/>
        <w:rPr>
          <w:rFonts w:ascii="仿宋" w:hAnsi="仿宋" w:eastAsia="仿宋" w:cs="仿宋"/>
          <w:szCs w:val="28"/>
        </w:rPr>
      </w:pPr>
      <w:r>
        <w:rPr>
          <w:rFonts w:hint="eastAsia" w:ascii="仿宋" w:hAnsi="仿宋" w:eastAsia="仿宋" w:cs="仿宋"/>
          <w:szCs w:val="28"/>
        </w:rPr>
        <w:t>付款方式见合同专用条款。</w:t>
      </w:r>
    </w:p>
    <w:p>
      <w:pPr>
        <w:numPr>
          <w:ilvl w:val="0"/>
          <w:numId w:val="32"/>
        </w:numPr>
        <w:ind w:firstLine="0" w:firstLineChars="0"/>
        <w:rPr>
          <w:rFonts w:ascii="仿宋" w:hAnsi="仿宋" w:eastAsia="仿宋" w:cs="仿宋"/>
          <w:szCs w:val="28"/>
        </w:rPr>
      </w:pPr>
      <w:r>
        <w:rPr>
          <w:rFonts w:hint="eastAsia" w:ascii="仿宋" w:hAnsi="仿宋" w:eastAsia="仿宋" w:cs="仿宋"/>
          <w:szCs w:val="28"/>
        </w:rPr>
        <w:t>技术资料</w:t>
      </w:r>
    </w:p>
    <w:p>
      <w:pPr>
        <w:ind w:firstLine="560"/>
        <w:rPr>
          <w:rFonts w:ascii="仿宋" w:hAnsi="仿宋" w:eastAsia="仿宋" w:cs="仿宋"/>
          <w:szCs w:val="28"/>
        </w:rPr>
      </w:pPr>
      <w:r>
        <w:rPr>
          <w:rFonts w:hint="eastAsia" w:ascii="仿宋" w:hAnsi="仿宋" w:eastAsia="仿宋" w:cs="仿宋"/>
          <w:szCs w:val="28"/>
        </w:rPr>
        <w:t>合同项下技术资料（除合同专用条款规定外）将以下列方式交付：</w:t>
      </w:r>
    </w:p>
    <w:p>
      <w:pPr>
        <w:ind w:firstLine="560"/>
        <w:rPr>
          <w:rFonts w:ascii="仿宋" w:hAnsi="仿宋" w:eastAsia="仿宋" w:cs="仿宋"/>
          <w:szCs w:val="28"/>
        </w:rPr>
      </w:pPr>
      <w:r>
        <w:rPr>
          <w:rFonts w:hint="eastAsia" w:ascii="仿宋" w:hAnsi="仿宋" w:eastAsia="仿宋" w:cs="仿宋"/>
          <w:szCs w:val="28"/>
        </w:rPr>
        <w:t>10.1合同生效后60天之内，乙方应将每台设备和仪器的中文技术资料一套，如目录索引、图纸、操作手册、使用指南、维修指南和服务手册等交给甲方。</w:t>
      </w:r>
    </w:p>
    <w:p>
      <w:pPr>
        <w:ind w:firstLine="560"/>
        <w:rPr>
          <w:rFonts w:ascii="仿宋" w:hAnsi="仿宋" w:eastAsia="仿宋" w:cs="仿宋"/>
          <w:szCs w:val="28"/>
        </w:rPr>
      </w:pPr>
      <w:r>
        <w:rPr>
          <w:rFonts w:hint="eastAsia" w:ascii="仿宋" w:hAnsi="仿宋" w:eastAsia="仿宋" w:cs="仿宋"/>
          <w:szCs w:val="28"/>
        </w:rPr>
        <w:t>10.2 另外一套完整的上述资料应包装好随每批货物（含软件及相关服务）一起发运。</w:t>
      </w:r>
    </w:p>
    <w:p>
      <w:pPr>
        <w:ind w:firstLine="560"/>
        <w:rPr>
          <w:rFonts w:ascii="仿宋" w:hAnsi="仿宋" w:eastAsia="仿宋" w:cs="仿宋"/>
          <w:szCs w:val="28"/>
        </w:rPr>
      </w:pPr>
      <w:r>
        <w:rPr>
          <w:rFonts w:hint="eastAsia" w:ascii="仿宋" w:hAnsi="仿宋" w:eastAsia="仿宋" w:cs="仿宋"/>
          <w:szCs w:val="28"/>
        </w:rPr>
        <w:t>10.3 如果甲方确认乙方提供的技术资料不完整或在运输过程中丢失，乙方将在收到甲方通 知后 3 天内将这些资料免费交给甲方。</w:t>
      </w:r>
    </w:p>
    <w:p>
      <w:pPr>
        <w:ind w:firstLine="0" w:firstLineChars="0"/>
        <w:rPr>
          <w:rFonts w:ascii="仿宋" w:hAnsi="仿宋" w:eastAsia="仿宋" w:cs="仿宋"/>
          <w:szCs w:val="28"/>
        </w:rPr>
      </w:pPr>
      <w:r>
        <w:rPr>
          <w:rFonts w:hint="eastAsia" w:ascii="仿宋" w:hAnsi="仿宋" w:eastAsia="仿宋" w:cs="仿宋"/>
          <w:szCs w:val="28"/>
        </w:rPr>
        <w:t xml:space="preserve">11．质量保证 </w:t>
      </w:r>
    </w:p>
    <w:p>
      <w:pPr>
        <w:ind w:firstLine="560"/>
        <w:rPr>
          <w:rFonts w:ascii="仿宋" w:hAnsi="仿宋" w:eastAsia="仿宋" w:cs="仿宋"/>
          <w:szCs w:val="28"/>
        </w:rPr>
      </w:pPr>
      <w:r>
        <w:rPr>
          <w:rFonts w:hint="eastAsia" w:ascii="仿宋" w:hAnsi="仿宋" w:eastAsia="仿宋" w:cs="仿宋"/>
          <w:szCs w:val="28"/>
        </w:rPr>
        <w:t>11.l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 的任何不足或故障负责。</w:t>
      </w:r>
    </w:p>
    <w:p>
      <w:pPr>
        <w:ind w:firstLine="560"/>
        <w:rPr>
          <w:rFonts w:ascii="仿宋" w:hAnsi="仿宋" w:eastAsia="仿宋" w:cs="仿宋"/>
          <w:szCs w:val="28"/>
        </w:rPr>
      </w:pPr>
      <w:r>
        <w:rPr>
          <w:rFonts w:hint="eastAsia" w:ascii="仿宋" w:hAnsi="仿宋" w:eastAsia="仿宋" w:cs="仿宋"/>
          <w:szCs w:val="28"/>
        </w:rPr>
        <w:t xml:space="preserve">11.2 根据甲方按检验标准自己检验的结果或当地商检部门检验结果，或者在质量保证期内， 如果货物（含软件及相关服务）的数量、质量或规格与合同不符，或证实货物（含软件及相 关服务）是有缺陷的，包括潜在缺陷或使用不符合要求的材料等，甲方应在一个月内以书面形式通知乙方，提出索赔。 </w:t>
      </w:r>
    </w:p>
    <w:p>
      <w:pPr>
        <w:ind w:firstLine="560"/>
        <w:rPr>
          <w:rFonts w:ascii="仿宋" w:hAnsi="仿宋" w:eastAsia="仿宋" w:cs="仿宋"/>
          <w:szCs w:val="28"/>
        </w:rPr>
      </w:pPr>
      <w:r>
        <w:rPr>
          <w:rFonts w:hint="eastAsia" w:ascii="仿宋" w:hAnsi="仿宋" w:eastAsia="仿宋" w:cs="仿宋"/>
          <w:szCs w:val="28"/>
        </w:rPr>
        <w:t xml:space="preserve">11.3 乙方在收到通知后三十天内应免费维修或更换有缺陷的货物（含软件及相关服务）或 部件。 </w:t>
      </w:r>
    </w:p>
    <w:p>
      <w:pPr>
        <w:ind w:firstLine="560"/>
        <w:rPr>
          <w:rFonts w:ascii="仿宋" w:hAnsi="仿宋" w:eastAsia="仿宋" w:cs="仿宋"/>
          <w:szCs w:val="28"/>
        </w:rPr>
      </w:pPr>
      <w:r>
        <w:rPr>
          <w:rFonts w:hint="eastAsia" w:ascii="仿宋" w:hAnsi="仿宋" w:eastAsia="仿宋" w:cs="仿宋"/>
          <w:szCs w:val="28"/>
        </w:rPr>
        <w:t xml:space="preserve">11.4 如果乙方在收到通知后三十天内没有弥补缺陷，甲方可采取必要的补救措施，但风险 和费用将由乙方承担。 </w:t>
      </w:r>
    </w:p>
    <w:p>
      <w:pPr>
        <w:ind w:firstLine="560"/>
        <w:rPr>
          <w:rFonts w:ascii="仿宋" w:hAnsi="仿宋" w:eastAsia="仿宋" w:cs="仿宋"/>
          <w:szCs w:val="28"/>
        </w:rPr>
      </w:pPr>
      <w:r>
        <w:rPr>
          <w:rFonts w:hint="eastAsia" w:ascii="仿宋" w:hAnsi="仿宋" w:eastAsia="仿宋" w:cs="仿宋"/>
          <w:szCs w:val="28"/>
        </w:rPr>
        <w:t>11.5 除合同专用条款规定外，合同项下货物（含软件及相关服务）的质量保证期为自货物 （含软件及相关服务）通过最终验收起12个月。</w:t>
      </w:r>
    </w:p>
    <w:p>
      <w:pPr>
        <w:ind w:firstLine="560"/>
        <w:rPr>
          <w:rFonts w:ascii="仿宋" w:hAnsi="仿宋" w:eastAsia="仿宋" w:cs="仿宋"/>
          <w:szCs w:val="28"/>
        </w:rPr>
      </w:pPr>
      <w:r>
        <w:rPr>
          <w:rFonts w:hint="eastAsia" w:ascii="仿宋" w:hAnsi="仿宋" w:eastAsia="仿宋" w:cs="仿宋"/>
          <w:szCs w:val="28"/>
        </w:rPr>
        <w:t xml:space="preserve">12.检验及安装 </w:t>
      </w:r>
    </w:p>
    <w:p>
      <w:pPr>
        <w:ind w:firstLine="560"/>
        <w:rPr>
          <w:rFonts w:ascii="仿宋" w:hAnsi="仿宋" w:eastAsia="仿宋" w:cs="仿宋"/>
          <w:szCs w:val="28"/>
        </w:rPr>
      </w:pPr>
      <w:r>
        <w:rPr>
          <w:rFonts w:hint="eastAsia" w:ascii="仿宋" w:hAnsi="仿宋" w:eastAsia="仿宋" w:cs="仿宋"/>
          <w:szCs w:val="28"/>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pPr>
        <w:ind w:firstLine="560"/>
        <w:rPr>
          <w:rFonts w:ascii="仿宋" w:hAnsi="仿宋" w:eastAsia="仿宋" w:cs="仿宋"/>
          <w:szCs w:val="28"/>
        </w:rPr>
      </w:pPr>
      <w:r>
        <w:rPr>
          <w:rFonts w:hint="eastAsia" w:ascii="仿宋" w:hAnsi="仿宋" w:eastAsia="仿宋" w:cs="仿宋"/>
          <w:szCs w:val="28"/>
        </w:rPr>
        <w:t>12.2 货物（含软件及相关服务）运抵现场后，甲方将对货物（含软件及相关服务）的质量、 规格、数量和重量进行检验，并出具检验证书。如发现货物（含软件及相关服务）的规格或 数量或两者都与合同不符，甲方有权在货物（含软件及相关服务）运抵现场后90天内，根据甲方按检验标准自己检验的结果或当地商检部门出具的检验证书向乙方提出索赔，除责任 由保险公司或运输部门承担的之外。</w:t>
      </w:r>
    </w:p>
    <w:p>
      <w:pPr>
        <w:ind w:firstLine="560"/>
        <w:rPr>
          <w:rFonts w:ascii="仿宋" w:hAnsi="仿宋" w:eastAsia="仿宋" w:cs="仿宋"/>
          <w:szCs w:val="28"/>
        </w:rPr>
      </w:pPr>
      <w:r>
        <w:rPr>
          <w:rFonts w:hint="eastAsia" w:ascii="仿宋" w:hAnsi="仿宋" w:eastAsia="仿宋" w:cs="仿宋"/>
          <w:szCs w:val="28"/>
        </w:rPr>
        <w:t xml:space="preserve">12.3 如果货物（含软件及相关服务）的质量和规格与合同不符，或在第11条规定的质量保证期内证实货物（含软件及相关服务）是有缺陷的，包括潜在的缺陷或使用不符合要求的材 料，甲方将有权向乙方提出索赔。 </w:t>
      </w:r>
    </w:p>
    <w:p>
      <w:pPr>
        <w:ind w:firstLine="560"/>
        <w:rPr>
          <w:rFonts w:ascii="仿宋" w:hAnsi="仿宋" w:eastAsia="仿宋" w:cs="仿宋"/>
          <w:szCs w:val="28"/>
        </w:rPr>
      </w:pPr>
      <w:r>
        <w:rPr>
          <w:rFonts w:hint="eastAsia" w:ascii="仿宋" w:hAnsi="仿宋" w:eastAsia="仿宋" w:cs="仿宋"/>
          <w:szCs w:val="28"/>
        </w:rPr>
        <w:t>12.4 甲方有权提出在货物（含软件及相关服务）制造过程中派人到制造厂进行监造，乙方 有义务为甲方监造人员提供方便。</w:t>
      </w:r>
    </w:p>
    <w:p>
      <w:pPr>
        <w:ind w:firstLine="560"/>
        <w:rPr>
          <w:rFonts w:ascii="仿宋" w:hAnsi="仿宋" w:eastAsia="仿宋" w:cs="仿宋"/>
          <w:szCs w:val="28"/>
        </w:rPr>
      </w:pPr>
      <w:r>
        <w:rPr>
          <w:rFonts w:hint="eastAsia" w:ascii="仿宋" w:hAnsi="仿宋" w:eastAsia="仿宋" w:cs="仿宋"/>
          <w:szCs w:val="28"/>
        </w:rPr>
        <w:t>12.5 制造厂对所供货物（含软件及相关服务）进行机械运转试验和性能试验时，必须提前 通知甲方。</w:t>
      </w:r>
    </w:p>
    <w:p>
      <w:pPr>
        <w:ind w:firstLine="560"/>
        <w:rPr>
          <w:rFonts w:ascii="仿宋" w:hAnsi="仿宋" w:eastAsia="仿宋" w:cs="仿宋"/>
          <w:szCs w:val="28"/>
        </w:rPr>
      </w:pPr>
      <w:r>
        <w:rPr>
          <w:rFonts w:hint="eastAsia" w:ascii="仿宋" w:hAnsi="仿宋" w:eastAsia="仿宋" w:cs="仿宋"/>
          <w:szCs w:val="28"/>
        </w:rPr>
        <w:t>12.6 货物（含软件及相关服务）的安装按招标文件要求进行。 13．索赔</w:t>
      </w:r>
    </w:p>
    <w:p>
      <w:pPr>
        <w:ind w:firstLine="560"/>
        <w:rPr>
          <w:rFonts w:ascii="仿宋" w:hAnsi="仿宋" w:eastAsia="仿宋" w:cs="仿宋"/>
          <w:szCs w:val="28"/>
        </w:rPr>
      </w:pPr>
      <w:r>
        <w:rPr>
          <w:rFonts w:hint="eastAsia" w:ascii="仿宋" w:hAnsi="仿宋" w:eastAsia="仿宋" w:cs="仿宋"/>
          <w:szCs w:val="28"/>
        </w:rPr>
        <w:t>13.1 除责任应由保险公司或运输部门承担的之外，甲方有权根据甲方按检验标准自己检验 的结果或当地商检部门出具的商检证书向乙方提出索赔。</w:t>
      </w:r>
    </w:p>
    <w:p>
      <w:pPr>
        <w:ind w:firstLine="560"/>
        <w:rPr>
          <w:rFonts w:ascii="仿宋" w:hAnsi="仿宋" w:eastAsia="仿宋" w:cs="仿宋"/>
          <w:szCs w:val="28"/>
        </w:rPr>
      </w:pPr>
      <w:r>
        <w:rPr>
          <w:rFonts w:hint="eastAsia" w:ascii="仿宋" w:hAnsi="仿宋" w:eastAsia="仿宋" w:cs="仿宋"/>
          <w:szCs w:val="28"/>
        </w:rPr>
        <w:t>13.2 在第11条和第12条规定的检验期和质量保证期内，如果乙方对甲方提出的索赔和差异负有责任，乙方应按照甲方同意的下列一种或多种方式解决索赔事宜：（1）乙方同意退货，并按合同规定的同种货币将货款退还给甲方，并承担由此发生的一切损失和费用，包括利息、银行手续费、运费、保险费、检验费、仓储费、装卸费以及为保护 退回货物（含软件及相关服务）所需的其它必要费用。（2）根据货物（含软件及相关服务）的低劣程度、损坏程度以及甲方遭受损失的数额，经 买卖双方商定降低货物（含软件及相关服务）的价格。 3）用符合规格、质量和性能要求的新零件、部件或货物（含软件及相关服务）来更换有 缺陷的部分或修补缺陷部分，乙方应承担一切费用和风险并负担甲方所发生的一切直接费用。同时，乙方应按合同第11条规定，相应延长修补或被更换部件或货物（含软件及相关 服务）的质量保证期。</w:t>
      </w:r>
    </w:p>
    <w:p>
      <w:pPr>
        <w:ind w:firstLine="560"/>
        <w:rPr>
          <w:rFonts w:ascii="仿宋" w:hAnsi="仿宋" w:eastAsia="仿宋" w:cs="仿宋"/>
          <w:szCs w:val="28"/>
        </w:rPr>
      </w:pPr>
      <w:r>
        <w:rPr>
          <w:rFonts w:hint="eastAsia" w:ascii="仿宋" w:hAnsi="仿宋" w:eastAsia="仿宋" w:cs="仿宋"/>
          <w:szCs w:val="28"/>
        </w:rPr>
        <w:t xml:space="preserve">13.3 如果在甲方发出索赔通知后30天内，乙方未能答复，上述索赔应视为已被乙方接受。若乙方未能在甲方提出索赔通知后30天内或甲方同意的更长时间内，按照第13．2条规定 的任何一种方法解决索赔事宜，甲方将从已付款中扣回索赔金颔。如果这些金额不足以补偿索赔金额，甲方有权向乙方提出不足部分的补偿。 </w:t>
      </w:r>
    </w:p>
    <w:p>
      <w:pPr>
        <w:ind w:firstLine="560"/>
        <w:rPr>
          <w:rFonts w:ascii="仿宋" w:hAnsi="仿宋" w:eastAsia="仿宋" w:cs="仿宋"/>
          <w:szCs w:val="28"/>
        </w:rPr>
      </w:pPr>
      <w:r>
        <w:rPr>
          <w:rFonts w:hint="eastAsia" w:ascii="仿宋" w:hAnsi="仿宋" w:eastAsia="仿宋" w:cs="仿宋"/>
          <w:szCs w:val="28"/>
        </w:rPr>
        <w:t xml:space="preserve">14．拖延交货 </w:t>
      </w:r>
    </w:p>
    <w:p>
      <w:pPr>
        <w:ind w:firstLine="560"/>
        <w:rPr>
          <w:rFonts w:ascii="仿宋" w:hAnsi="仿宋" w:eastAsia="仿宋" w:cs="仿宋"/>
          <w:szCs w:val="28"/>
        </w:rPr>
      </w:pPr>
      <w:r>
        <w:rPr>
          <w:rFonts w:hint="eastAsia" w:ascii="仿宋" w:hAnsi="仿宋" w:eastAsia="仿宋" w:cs="仿宋"/>
          <w:szCs w:val="28"/>
        </w:rPr>
        <w:t xml:space="preserve">14.l 乙方应按照合同专用条款中规定的交货期交货和提供服务。 </w:t>
      </w:r>
    </w:p>
    <w:p>
      <w:pPr>
        <w:ind w:firstLine="560"/>
        <w:rPr>
          <w:rFonts w:ascii="仿宋" w:hAnsi="仿宋" w:eastAsia="仿宋" w:cs="仿宋"/>
          <w:szCs w:val="28"/>
        </w:rPr>
      </w:pPr>
      <w:r>
        <w:rPr>
          <w:rFonts w:hint="eastAsia" w:ascii="仿宋" w:hAnsi="仿宋" w:eastAsia="仿宋" w:cs="仿宋"/>
          <w:szCs w:val="28"/>
        </w:rPr>
        <w:t>14.2 如果乙方无合法理由拖延交货，将受到以下制裁：没收履约保证金，加收违约损失赔 偿和／或终止合同。</w:t>
      </w:r>
    </w:p>
    <w:p>
      <w:pPr>
        <w:ind w:firstLine="560"/>
        <w:rPr>
          <w:rFonts w:ascii="仿宋" w:hAnsi="仿宋" w:eastAsia="仿宋" w:cs="仿宋"/>
          <w:szCs w:val="28"/>
        </w:rPr>
      </w:pPr>
      <w:r>
        <w:rPr>
          <w:rFonts w:hint="eastAsia" w:ascii="仿宋" w:hAnsi="仿宋" w:eastAsia="仿宋" w:cs="仿宋"/>
          <w:szCs w:val="28"/>
        </w:rPr>
        <w:t xml:space="preserve">14.3 在履行合同过程中，如果乙方遇到不能按时交货和提供服务的情况，应及时以书面形 式将不能按时交货的理由、延误时间通知甲方。甲方在收到乙方通知后，应进行分析，可通过修改合同，酌情延长交货时间。 </w:t>
      </w:r>
    </w:p>
    <w:p>
      <w:pPr>
        <w:ind w:firstLine="560"/>
        <w:rPr>
          <w:rFonts w:ascii="仿宋" w:hAnsi="仿宋" w:eastAsia="仿宋" w:cs="仿宋"/>
          <w:szCs w:val="28"/>
        </w:rPr>
      </w:pPr>
      <w:r>
        <w:rPr>
          <w:rFonts w:hint="eastAsia" w:ascii="仿宋" w:hAnsi="仿宋" w:eastAsia="仿宋" w:cs="仿宋"/>
          <w:szCs w:val="28"/>
        </w:rPr>
        <w:t>15．违约赔偿</w:t>
      </w:r>
    </w:p>
    <w:p>
      <w:pPr>
        <w:ind w:firstLine="560"/>
        <w:rPr>
          <w:rFonts w:ascii="仿宋" w:hAnsi="仿宋" w:eastAsia="仿宋" w:cs="仿宋"/>
          <w:szCs w:val="28"/>
        </w:rPr>
      </w:pPr>
      <w:r>
        <w:rPr>
          <w:rFonts w:hint="eastAsia" w:ascii="仿宋" w:hAnsi="仿宋" w:eastAsia="仿宋" w:cs="仿宋"/>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 16．不可抗力</w:t>
      </w:r>
    </w:p>
    <w:p>
      <w:pPr>
        <w:ind w:firstLine="560"/>
        <w:rPr>
          <w:rFonts w:ascii="仿宋" w:hAnsi="仿宋" w:eastAsia="仿宋" w:cs="仿宋"/>
          <w:szCs w:val="28"/>
        </w:rPr>
      </w:pPr>
      <w:r>
        <w:rPr>
          <w:rFonts w:hint="eastAsia" w:ascii="仿宋" w:hAnsi="仿宋" w:eastAsia="仿宋" w:cs="仿宋"/>
          <w:szCs w:val="28"/>
        </w:rPr>
        <w:t>16.1 如果双方中任何一方由于战争、严重火灾、水灾、台风和地震以及其它经双方同意属于不可抗力的事故，致使合同履行受阻时，履行合同的期限应予以延长，延长的期限应相当于事故所影响的时间。</w:t>
      </w:r>
    </w:p>
    <w:p>
      <w:pPr>
        <w:ind w:firstLine="560"/>
        <w:rPr>
          <w:rFonts w:ascii="仿宋" w:hAnsi="仿宋" w:eastAsia="仿宋" w:cs="仿宋"/>
          <w:szCs w:val="28"/>
        </w:rPr>
      </w:pPr>
      <w:r>
        <w:rPr>
          <w:rFonts w:hint="eastAsia" w:ascii="仿宋" w:hAnsi="仿宋" w:eastAsia="仿宋" w:cs="仿宋"/>
          <w:szCs w:val="28"/>
        </w:rPr>
        <w:t xml:space="preserve">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 的协议。 </w:t>
      </w:r>
    </w:p>
    <w:p>
      <w:pPr>
        <w:ind w:firstLine="0" w:firstLineChars="0"/>
        <w:rPr>
          <w:rFonts w:ascii="仿宋" w:hAnsi="仿宋" w:eastAsia="仿宋" w:cs="仿宋"/>
          <w:szCs w:val="28"/>
        </w:rPr>
      </w:pPr>
      <w:r>
        <w:rPr>
          <w:rFonts w:hint="eastAsia" w:ascii="仿宋" w:hAnsi="仿宋" w:eastAsia="仿宋" w:cs="仿宋"/>
          <w:szCs w:val="28"/>
        </w:rPr>
        <w:t xml:space="preserve">17．税费 </w:t>
      </w:r>
    </w:p>
    <w:p>
      <w:pPr>
        <w:ind w:firstLine="560"/>
        <w:rPr>
          <w:rFonts w:ascii="仿宋" w:hAnsi="仿宋" w:eastAsia="仿宋" w:cs="仿宋"/>
          <w:szCs w:val="28"/>
        </w:rPr>
      </w:pPr>
      <w:r>
        <w:rPr>
          <w:rFonts w:hint="eastAsia" w:ascii="仿宋" w:hAnsi="仿宋" w:eastAsia="仿宋" w:cs="仿宋"/>
          <w:szCs w:val="28"/>
        </w:rPr>
        <w:t>17.l 中国政府根据现行税法对甲方征收的与本合同有关的一切税费均由甲方承担。</w:t>
      </w:r>
    </w:p>
    <w:p>
      <w:pPr>
        <w:ind w:firstLine="560"/>
        <w:rPr>
          <w:rFonts w:ascii="仿宋" w:hAnsi="仿宋" w:eastAsia="仿宋" w:cs="仿宋"/>
          <w:szCs w:val="28"/>
        </w:rPr>
      </w:pPr>
      <w:r>
        <w:rPr>
          <w:rFonts w:hint="eastAsia" w:ascii="仿宋" w:hAnsi="仿宋" w:eastAsia="仿宋" w:cs="仿宋"/>
          <w:szCs w:val="28"/>
        </w:rPr>
        <w:t>17.2 中国政府根据现行税法对乙方征收的与本合同有关的一切税费均由乙方承担。</w:t>
      </w:r>
    </w:p>
    <w:p>
      <w:pPr>
        <w:ind w:firstLine="560"/>
        <w:rPr>
          <w:rFonts w:ascii="仿宋" w:hAnsi="仿宋" w:eastAsia="仿宋" w:cs="仿宋"/>
          <w:szCs w:val="28"/>
        </w:rPr>
      </w:pPr>
      <w:r>
        <w:rPr>
          <w:rFonts w:hint="eastAsia" w:ascii="仿宋" w:hAnsi="仿宋" w:eastAsia="仿宋" w:cs="仿宋"/>
          <w:szCs w:val="28"/>
        </w:rPr>
        <w:t xml:space="preserve">17.3 在中国境外发生的与执行本合同有关的一切税费均由乙方承担。 </w:t>
      </w:r>
    </w:p>
    <w:p>
      <w:pPr>
        <w:ind w:firstLine="0" w:firstLineChars="0"/>
        <w:rPr>
          <w:rFonts w:ascii="仿宋" w:hAnsi="仿宋" w:eastAsia="仿宋" w:cs="仿宋"/>
          <w:szCs w:val="28"/>
        </w:rPr>
      </w:pPr>
      <w:r>
        <w:rPr>
          <w:rFonts w:hint="eastAsia" w:ascii="仿宋" w:hAnsi="仿宋" w:eastAsia="仿宋" w:cs="仿宋"/>
          <w:szCs w:val="28"/>
        </w:rPr>
        <w:t xml:space="preserve">18．仲裁 </w:t>
      </w:r>
    </w:p>
    <w:p>
      <w:pPr>
        <w:ind w:firstLine="560"/>
        <w:rPr>
          <w:rFonts w:ascii="仿宋" w:hAnsi="仿宋" w:eastAsia="仿宋" w:cs="仿宋"/>
          <w:szCs w:val="28"/>
        </w:rPr>
      </w:pPr>
      <w:r>
        <w:rPr>
          <w:rFonts w:hint="eastAsia" w:ascii="仿宋" w:hAnsi="仿宋" w:eastAsia="仿宋" w:cs="仿宋"/>
          <w:szCs w:val="28"/>
        </w:rPr>
        <w:t>18.l 买卖双方应通过友好协商，解决在执行本合同中所发生的或与本合同有关的一切争端，如果协商仍得不到解决，任何一方均可按“中华人民共和国合同法”规定提交调解和仲裁。</w:t>
      </w:r>
    </w:p>
    <w:p>
      <w:pPr>
        <w:ind w:firstLine="560"/>
        <w:rPr>
          <w:rFonts w:ascii="仿宋" w:hAnsi="仿宋" w:eastAsia="仿宋" w:cs="仿宋"/>
          <w:szCs w:val="28"/>
        </w:rPr>
      </w:pPr>
      <w:r>
        <w:rPr>
          <w:rFonts w:hint="eastAsia" w:ascii="仿宋" w:hAnsi="仿宋" w:eastAsia="仿宋" w:cs="仿宋"/>
          <w:szCs w:val="28"/>
        </w:rPr>
        <w:t>18.2 仲裁裁决应为终局裁决，对双方均具有约束力。</w:t>
      </w:r>
    </w:p>
    <w:p>
      <w:pPr>
        <w:ind w:firstLine="560"/>
        <w:rPr>
          <w:rFonts w:ascii="仿宋" w:hAnsi="仿宋" w:eastAsia="仿宋" w:cs="仿宋"/>
          <w:szCs w:val="28"/>
        </w:rPr>
      </w:pPr>
      <w:r>
        <w:rPr>
          <w:rFonts w:hint="eastAsia" w:ascii="仿宋" w:hAnsi="仿宋" w:eastAsia="仿宋" w:cs="仿宋"/>
          <w:szCs w:val="28"/>
        </w:rPr>
        <w:t>18.3 仲裁费除仲裁机构另有裁决外应由败诉方负担。</w:t>
      </w:r>
    </w:p>
    <w:p>
      <w:pPr>
        <w:ind w:firstLine="560"/>
        <w:rPr>
          <w:rFonts w:ascii="仿宋" w:hAnsi="仿宋" w:eastAsia="仿宋" w:cs="仿宋"/>
          <w:szCs w:val="28"/>
        </w:rPr>
      </w:pPr>
      <w:r>
        <w:rPr>
          <w:rFonts w:hint="eastAsia" w:ascii="仿宋" w:hAnsi="仿宋" w:eastAsia="仿宋" w:cs="仿宋"/>
          <w:szCs w:val="28"/>
        </w:rPr>
        <w:t>18.4 在仲裁期间，除正在进行仲裁的部分外，合同其它部分继续执行。</w:t>
      </w:r>
    </w:p>
    <w:p>
      <w:pPr>
        <w:ind w:firstLine="0" w:firstLineChars="0"/>
        <w:rPr>
          <w:rFonts w:ascii="仿宋" w:hAnsi="仿宋" w:eastAsia="仿宋" w:cs="仿宋"/>
          <w:szCs w:val="28"/>
        </w:rPr>
      </w:pPr>
      <w:r>
        <w:rPr>
          <w:rFonts w:hint="eastAsia" w:ascii="仿宋" w:hAnsi="仿宋" w:eastAsia="仿宋" w:cs="仿宋"/>
          <w:szCs w:val="28"/>
        </w:rPr>
        <w:t>19．违约终止合同</w:t>
      </w:r>
    </w:p>
    <w:p>
      <w:pPr>
        <w:ind w:firstLine="560"/>
        <w:rPr>
          <w:rFonts w:ascii="仿宋" w:hAnsi="仿宋" w:eastAsia="仿宋" w:cs="仿宋"/>
          <w:szCs w:val="28"/>
        </w:rPr>
      </w:pPr>
      <w:r>
        <w:rPr>
          <w:rFonts w:hint="eastAsia" w:ascii="仿宋" w:hAnsi="仿宋" w:eastAsia="仿宋" w:cs="仿宋"/>
          <w:szCs w:val="28"/>
        </w:rPr>
        <w:t xml:space="preserve">19.l 乙方有下列违约情况之一，并在收到甲方违约通知后的合理时间内，或经甲方书面认可延长的时间内未能纠正其过失，甲方可向乙方发出书面通知，终止部分或全部合同。在这种情况下，并不影响甲方向乙方提出索赔。 </w:t>
      </w:r>
    </w:p>
    <w:p>
      <w:pPr>
        <w:ind w:firstLine="0" w:firstLineChars="0"/>
        <w:rPr>
          <w:rFonts w:ascii="仿宋" w:hAnsi="仿宋" w:eastAsia="仿宋" w:cs="仿宋"/>
          <w:szCs w:val="28"/>
        </w:rPr>
      </w:pPr>
      <w:r>
        <w:rPr>
          <w:rFonts w:hint="eastAsia" w:ascii="仿宋" w:hAnsi="仿宋" w:eastAsia="仿宋" w:cs="仿宋"/>
          <w:szCs w:val="28"/>
        </w:rPr>
        <w:t>（l）如果乙方未能在合同规定的期限或甲方同意延期的限期内提供全部或部分货物（含软 件及相关服务）；（2）如果乙方未能履行合同规定的其它义务。</w:t>
      </w:r>
    </w:p>
    <w:p>
      <w:pPr>
        <w:ind w:firstLine="560"/>
        <w:rPr>
          <w:rFonts w:ascii="仿宋" w:hAnsi="仿宋" w:eastAsia="仿宋" w:cs="仿宋"/>
          <w:szCs w:val="28"/>
        </w:rPr>
      </w:pPr>
      <w:r>
        <w:rPr>
          <w:rFonts w:hint="eastAsia" w:ascii="仿宋" w:hAnsi="仿宋" w:eastAsia="仿宋" w:cs="仿宋"/>
          <w:szCs w:val="28"/>
        </w:rPr>
        <w:t>19.2 在甲方根据第20.1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ind w:firstLine="0" w:firstLineChars="0"/>
        <w:rPr>
          <w:rFonts w:ascii="仿宋" w:hAnsi="仿宋" w:eastAsia="仿宋" w:cs="仿宋"/>
          <w:szCs w:val="28"/>
        </w:rPr>
      </w:pPr>
      <w:r>
        <w:rPr>
          <w:rFonts w:hint="eastAsia" w:ascii="仿宋" w:hAnsi="仿宋" w:eastAsia="仿宋" w:cs="仿宋"/>
          <w:szCs w:val="28"/>
        </w:rPr>
        <w:t>20．破产终止合同</w:t>
      </w:r>
    </w:p>
    <w:p>
      <w:pPr>
        <w:ind w:firstLine="0" w:firstLineChars="0"/>
        <w:rPr>
          <w:rFonts w:ascii="仿宋" w:hAnsi="仿宋" w:eastAsia="仿宋" w:cs="仿宋"/>
          <w:szCs w:val="28"/>
        </w:rPr>
      </w:pPr>
      <w:r>
        <w:rPr>
          <w:rFonts w:hint="eastAsia" w:ascii="仿宋" w:hAnsi="仿宋" w:eastAsia="仿宋" w:cs="仿宋"/>
          <w:szCs w:val="28"/>
        </w:rPr>
        <w:t>如果乙方破产或无清偿能力，甲方可在任何时候以书面通知乙方终止合同，该终止合同以不 损害或影响甲方已经采取或将采取补救措施的权利。</w:t>
      </w:r>
    </w:p>
    <w:p>
      <w:pPr>
        <w:numPr>
          <w:ilvl w:val="0"/>
          <w:numId w:val="33"/>
        </w:numPr>
        <w:ind w:firstLine="560"/>
        <w:rPr>
          <w:rFonts w:ascii="仿宋" w:hAnsi="仿宋" w:eastAsia="仿宋" w:cs="仿宋"/>
          <w:szCs w:val="28"/>
        </w:rPr>
      </w:pPr>
      <w:r>
        <w:rPr>
          <w:rFonts w:hint="eastAsia" w:ascii="仿宋" w:hAnsi="仿宋" w:eastAsia="仿宋" w:cs="仿宋"/>
          <w:szCs w:val="28"/>
        </w:rPr>
        <w:t>转让与分包</w:t>
      </w:r>
    </w:p>
    <w:p>
      <w:pPr>
        <w:ind w:firstLine="560"/>
        <w:rPr>
          <w:rFonts w:ascii="仿宋" w:hAnsi="仿宋" w:eastAsia="仿宋" w:cs="仿宋"/>
          <w:szCs w:val="28"/>
        </w:rPr>
      </w:pPr>
      <w:r>
        <w:rPr>
          <w:rFonts w:hint="eastAsia" w:ascii="仿宋" w:hAnsi="仿宋" w:eastAsia="仿宋" w:cs="仿宋"/>
          <w:szCs w:val="28"/>
        </w:rPr>
        <w:t>21.l 未经甲方事先书面同意，乙方不得部分转让或全部转让其应履行的合同义务。</w:t>
      </w:r>
    </w:p>
    <w:p>
      <w:pPr>
        <w:ind w:firstLine="560"/>
        <w:rPr>
          <w:rFonts w:ascii="仿宋" w:hAnsi="仿宋" w:eastAsia="仿宋" w:cs="仿宋"/>
          <w:szCs w:val="28"/>
        </w:rPr>
      </w:pPr>
      <w:r>
        <w:rPr>
          <w:rFonts w:hint="eastAsia" w:ascii="仿宋" w:hAnsi="仿宋" w:eastAsia="仿宋" w:cs="仿宋"/>
          <w:szCs w:val="28"/>
        </w:rPr>
        <w:t>21.2 对投标中没有明确分包的合同，乙方应书面通知甲方本合同中将分包的全部分包合同，在原响应文件中或后来发出的分包通知均不能解除乙方履行本合同的义务。</w:t>
      </w:r>
    </w:p>
    <w:p>
      <w:pPr>
        <w:ind w:firstLine="0" w:firstLineChars="0"/>
        <w:rPr>
          <w:rFonts w:ascii="仿宋" w:hAnsi="仿宋" w:eastAsia="仿宋" w:cs="仿宋"/>
          <w:szCs w:val="28"/>
        </w:rPr>
      </w:pPr>
      <w:r>
        <w:rPr>
          <w:rFonts w:hint="eastAsia" w:ascii="仿宋" w:hAnsi="仿宋" w:eastAsia="仿宋" w:cs="仿宋"/>
          <w:szCs w:val="28"/>
        </w:rPr>
        <w:t xml:space="preserve">22．适用法律 </w:t>
      </w:r>
    </w:p>
    <w:p>
      <w:pPr>
        <w:ind w:firstLine="560"/>
        <w:rPr>
          <w:rFonts w:ascii="仿宋" w:hAnsi="仿宋" w:eastAsia="仿宋" w:cs="仿宋"/>
          <w:szCs w:val="28"/>
        </w:rPr>
      </w:pPr>
      <w:r>
        <w:rPr>
          <w:rFonts w:hint="eastAsia" w:ascii="仿宋" w:hAnsi="仿宋" w:eastAsia="仿宋" w:cs="仿宋"/>
          <w:szCs w:val="28"/>
        </w:rPr>
        <w:t>本合同应按中华人民共和国的法律进行解释。</w:t>
      </w:r>
    </w:p>
    <w:p>
      <w:pPr>
        <w:ind w:firstLine="0" w:firstLineChars="0"/>
        <w:rPr>
          <w:rFonts w:ascii="仿宋" w:hAnsi="仿宋" w:eastAsia="仿宋" w:cs="仿宋"/>
          <w:szCs w:val="28"/>
        </w:rPr>
      </w:pPr>
      <w:r>
        <w:rPr>
          <w:rFonts w:hint="eastAsia" w:ascii="仿宋" w:hAnsi="仿宋" w:eastAsia="仿宋" w:cs="仿宋"/>
          <w:szCs w:val="28"/>
        </w:rPr>
        <w:t xml:space="preserve">23．合同生效及其它 </w:t>
      </w:r>
    </w:p>
    <w:p>
      <w:pPr>
        <w:ind w:firstLine="560"/>
        <w:rPr>
          <w:rFonts w:ascii="仿宋" w:hAnsi="仿宋" w:eastAsia="仿宋" w:cs="仿宋"/>
          <w:szCs w:val="28"/>
        </w:rPr>
      </w:pPr>
      <w:r>
        <w:rPr>
          <w:rFonts w:hint="eastAsia" w:ascii="仿宋" w:hAnsi="仿宋" w:eastAsia="仿宋" w:cs="仿宋"/>
          <w:szCs w:val="28"/>
        </w:rPr>
        <w:t xml:space="preserve">23.1 合同在双方签字盖章后生效。 </w:t>
      </w:r>
    </w:p>
    <w:p>
      <w:pPr>
        <w:ind w:firstLine="560"/>
        <w:rPr>
          <w:rFonts w:ascii="仿宋" w:hAnsi="仿宋" w:eastAsia="仿宋" w:cs="仿宋"/>
          <w:szCs w:val="28"/>
        </w:rPr>
      </w:pPr>
      <w:r>
        <w:rPr>
          <w:rFonts w:hint="eastAsia" w:ascii="仿宋" w:hAnsi="仿宋" w:eastAsia="仿宋" w:cs="仿宋"/>
          <w:szCs w:val="28"/>
        </w:rPr>
        <w:t xml:space="preserve">23.2 如需修改或补充合同内容，经协商，双方应签署书面修改或补充协议并经招标人鉴证，该协议将作为本合同的一个组成部分。24. 合同适用 </w:t>
      </w:r>
    </w:p>
    <w:p>
      <w:pPr>
        <w:ind w:firstLine="560"/>
        <w:rPr>
          <w:rFonts w:ascii="仿宋" w:hAnsi="仿宋" w:eastAsia="仿宋" w:cs="仿宋"/>
          <w:szCs w:val="28"/>
        </w:rPr>
      </w:pPr>
      <w:r>
        <w:rPr>
          <w:rFonts w:hint="eastAsia" w:ascii="仿宋" w:hAnsi="仿宋" w:eastAsia="仿宋" w:cs="仿宋"/>
          <w:szCs w:val="28"/>
        </w:rPr>
        <w:t>本合同通用条款适用货物和服务类采购项目，工程类项目的合同通用条款按建设部门颁发的 有关标准通用合同执行。</w:t>
      </w:r>
    </w:p>
    <w:p>
      <w:pPr>
        <w:ind w:firstLine="562"/>
        <w:jc w:val="center"/>
        <w:rPr>
          <w:rFonts w:ascii="仿宋" w:hAnsi="仿宋" w:eastAsia="仿宋" w:cs="仿宋"/>
          <w:b/>
          <w:bCs/>
          <w:szCs w:val="28"/>
        </w:rPr>
      </w:pPr>
    </w:p>
    <w:p>
      <w:pPr>
        <w:ind w:firstLine="562"/>
        <w:jc w:val="center"/>
        <w:rPr>
          <w:rFonts w:ascii="仿宋" w:hAnsi="仿宋" w:eastAsia="仿宋" w:cs="仿宋"/>
          <w:b/>
          <w:bCs/>
          <w:szCs w:val="28"/>
        </w:rPr>
      </w:pPr>
      <w:r>
        <w:rPr>
          <w:rFonts w:hint="eastAsia" w:ascii="仿宋" w:hAnsi="仿宋" w:eastAsia="仿宋" w:cs="仿宋"/>
          <w:b/>
          <w:bCs/>
          <w:szCs w:val="28"/>
        </w:rPr>
        <w:t>合同专用条款部分</w:t>
      </w:r>
    </w:p>
    <w:p>
      <w:pPr>
        <w:ind w:firstLine="560"/>
        <w:rPr>
          <w:rFonts w:ascii="仿宋" w:hAnsi="仿宋" w:eastAsia="仿宋" w:cs="仿宋"/>
          <w:szCs w:val="28"/>
          <w:u w:val="single"/>
        </w:rPr>
      </w:pPr>
      <w:r>
        <w:rPr>
          <w:rFonts w:hint="eastAsia" w:ascii="仿宋" w:hAnsi="仿宋" w:eastAsia="仿宋" w:cs="仿宋"/>
          <w:szCs w:val="28"/>
        </w:rPr>
        <w:t>甲方:</w:t>
      </w:r>
    </w:p>
    <w:p>
      <w:pPr>
        <w:ind w:firstLine="560"/>
        <w:rPr>
          <w:rFonts w:ascii="仿宋" w:hAnsi="仿宋" w:eastAsia="仿宋" w:cs="仿宋"/>
          <w:szCs w:val="28"/>
        </w:rPr>
      </w:pPr>
      <w:r>
        <w:rPr>
          <w:rFonts w:hint="eastAsia" w:ascii="仿宋" w:hAnsi="仿宋" w:eastAsia="仿宋" w:cs="仿宋"/>
          <w:szCs w:val="28"/>
        </w:rPr>
        <w:t>乙方:</w:t>
      </w:r>
    </w:p>
    <w:p>
      <w:pPr>
        <w:ind w:firstLine="560"/>
        <w:rPr>
          <w:rFonts w:ascii="仿宋" w:hAnsi="仿宋" w:eastAsia="仿宋" w:cs="仿宋"/>
          <w:szCs w:val="28"/>
        </w:rPr>
      </w:pPr>
      <w:r>
        <w:rPr>
          <w:rFonts w:hint="eastAsia" w:ascii="仿宋" w:hAnsi="仿宋" w:eastAsia="仿宋" w:cs="仿宋"/>
          <w:szCs w:val="28"/>
        </w:rPr>
        <w:t>甲乙双方根据2019年月日（采购编号：QSZB-2019-03）竞争性磋商采购结果及磋商文件的要求,经协商一致,达成如下货物购买合同:</w:t>
      </w:r>
    </w:p>
    <w:p>
      <w:pPr>
        <w:ind w:firstLine="562"/>
        <w:rPr>
          <w:rFonts w:ascii="仿宋" w:hAnsi="仿宋" w:eastAsia="仿宋" w:cs="仿宋"/>
          <w:b/>
          <w:bCs/>
          <w:szCs w:val="28"/>
        </w:rPr>
      </w:pPr>
      <w:r>
        <w:rPr>
          <w:rFonts w:hint="eastAsia" w:ascii="仿宋" w:hAnsi="仿宋" w:eastAsia="仿宋" w:cs="仿宋"/>
          <w:b/>
          <w:bCs/>
          <w:szCs w:val="28"/>
          <w:lang w:val="zh-CN"/>
        </w:rPr>
        <w:t>一、项目名称：</w:t>
      </w:r>
    </w:p>
    <w:p>
      <w:pPr>
        <w:ind w:firstLine="562"/>
        <w:rPr>
          <w:rFonts w:ascii="仿宋" w:hAnsi="仿宋" w:eastAsia="仿宋" w:cs="仿宋"/>
          <w:b/>
          <w:bCs/>
          <w:szCs w:val="28"/>
          <w:lang w:val="zh-CN"/>
        </w:rPr>
      </w:pPr>
      <w:r>
        <w:rPr>
          <w:rFonts w:hint="eastAsia" w:ascii="仿宋" w:hAnsi="仿宋" w:eastAsia="仿宋" w:cs="仿宋"/>
          <w:b/>
          <w:bCs/>
          <w:szCs w:val="28"/>
          <w:lang w:val="zh-CN"/>
        </w:rPr>
        <w:t>二、项目地址：</w:t>
      </w:r>
    </w:p>
    <w:p>
      <w:pPr>
        <w:ind w:firstLine="562"/>
        <w:rPr>
          <w:rFonts w:ascii="仿宋" w:hAnsi="仿宋" w:eastAsia="仿宋" w:cs="仿宋"/>
          <w:b/>
          <w:bCs/>
          <w:szCs w:val="28"/>
          <w:lang w:val="zh-CN"/>
        </w:rPr>
      </w:pPr>
      <w:r>
        <w:rPr>
          <w:rFonts w:hint="eastAsia" w:ascii="仿宋" w:hAnsi="仿宋" w:eastAsia="仿宋" w:cs="仿宋"/>
          <w:b/>
          <w:bCs/>
          <w:szCs w:val="28"/>
          <w:lang w:val="zh-CN"/>
        </w:rPr>
        <w:t>三、项目预算：</w:t>
      </w:r>
    </w:p>
    <w:p>
      <w:pPr>
        <w:ind w:firstLine="562"/>
        <w:rPr>
          <w:rFonts w:ascii="仿宋" w:hAnsi="仿宋" w:eastAsia="仿宋" w:cs="仿宋"/>
          <w:b/>
          <w:bCs/>
          <w:szCs w:val="28"/>
          <w:lang w:val="zh-CN"/>
        </w:rPr>
      </w:pPr>
      <w:r>
        <w:rPr>
          <w:rFonts w:hint="eastAsia" w:ascii="仿宋" w:hAnsi="仿宋" w:eastAsia="仿宋" w:cs="仿宋"/>
          <w:b/>
          <w:bCs/>
          <w:szCs w:val="28"/>
          <w:lang w:val="zh-CN"/>
        </w:rPr>
        <w:t>四、服务内容：</w:t>
      </w:r>
    </w:p>
    <w:p>
      <w:pPr>
        <w:ind w:firstLine="562"/>
        <w:rPr>
          <w:rFonts w:ascii="仿宋" w:hAnsi="仿宋" w:eastAsia="仿宋" w:cs="仿宋"/>
          <w:b/>
          <w:bCs/>
          <w:szCs w:val="28"/>
          <w:lang w:val="zh-CN"/>
        </w:rPr>
      </w:pPr>
      <w:r>
        <w:rPr>
          <w:rFonts w:hint="eastAsia" w:ascii="仿宋" w:hAnsi="仿宋" w:eastAsia="仿宋" w:cs="仿宋"/>
          <w:b/>
          <w:bCs/>
          <w:szCs w:val="28"/>
          <w:lang w:val="zh-CN"/>
        </w:rPr>
        <w:t>五、交货地址：</w:t>
      </w:r>
    </w:p>
    <w:p>
      <w:pPr>
        <w:ind w:firstLine="562"/>
        <w:rPr>
          <w:rFonts w:ascii="仿宋" w:hAnsi="仿宋" w:eastAsia="仿宋" w:cs="仿宋"/>
          <w:szCs w:val="28"/>
        </w:rPr>
      </w:pPr>
      <w:r>
        <w:rPr>
          <w:rFonts w:hint="eastAsia" w:ascii="仿宋" w:hAnsi="仿宋" w:eastAsia="仿宋" w:cs="仿宋"/>
          <w:b/>
          <w:bCs/>
          <w:szCs w:val="28"/>
          <w:lang w:val="zh-CN"/>
        </w:rPr>
        <w:t>六、付款：</w:t>
      </w:r>
      <w:r>
        <w:rPr>
          <w:rFonts w:hint="eastAsia" w:ascii="仿宋" w:hAnsi="仿宋" w:eastAsia="仿宋" w:cs="仿宋"/>
          <w:szCs w:val="28"/>
        </w:rPr>
        <w:t>见采购需求书</w:t>
      </w:r>
    </w:p>
    <w:p>
      <w:pPr>
        <w:ind w:left="745" w:leftChars="266" w:firstLine="0" w:firstLineChars="0"/>
        <w:rPr>
          <w:rFonts w:ascii="仿宋" w:hAnsi="仿宋" w:eastAsia="仿宋" w:cs="仿宋"/>
          <w:szCs w:val="28"/>
        </w:rPr>
      </w:pPr>
      <w:r>
        <w:rPr>
          <w:rFonts w:hint="eastAsia" w:ascii="仿宋" w:hAnsi="仿宋" w:eastAsia="仿宋" w:cs="仿宋"/>
          <w:b/>
          <w:bCs/>
          <w:szCs w:val="28"/>
        </w:rPr>
        <w:t>七、合同纠纷处理：</w:t>
      </w:r>
      <w:r>
        <w:rPr>
          <w:rFonts w:hint="eastAsia" w:ascii="仿宋" w:hAnsi="仿宋" w:eastAsia="仿宋" w:cs="仿宋"/>
          <w:szCs w:val="28"/>
        </w:rPr>
        <w:t>本合同执行过程中发生纠纷，作如下处理： 1、由甲乙双方协商处理。</w:t>
      </w:r>
    </w:p>
    <w:p>
      <w:pPr>
        <w:ind w:left="745" w:leftChars="266" w:firstLine="0" w:firstLineChars="0"/>
        <w:rPr>
          <w:rFonts w:ascii="仿宋" w:hAnsi="仿宋" w:eastAsia="仿宋" w:cs="仿宋"/>
          <w:szCs w:val="28"/>
        </w:rPr>
      </w:pPr>
      <w:r>
        <w:rPr>
          <w:rFonts w:hint="eastAsia" w:ascii="仿宋" w:hAnsi="仿宋" w:eastAsia="仿宋" w:cs="仿宋"/>
          <w:szCs w:val="28"/>
        </w:rPr>
        <w:t>2、申请仲裁，仲裁机构为海南省经济仲裁委员会。</w:t>
      </w:r>
    </w:p>
    <w:p>
      <w:pPr>
        <w:ind w:left="745" w:leftChars="266" w:firstLine="0" w:firstLineChars="0"/>
        <w:rPr>
          <w:rFonts w:ascii="仿宋" w:hAnsi="仿宋" w:eastAsia="仿宋" w:cs="仿宋"/>
          <w:szCs w:val="28"/>
        </w:rPr>
      </w:pPr>
      <w:r>
        <w:rPr>
          <w:rFonts w:hint="eastAsia" w:ascii="仿宋" w:hAnsi="仿宋" w:eastAsia="仿宋" w:cs="仿宋"/>
          <w:szCs w:val="28"/>
        </w:rPr>
        <w:t>3、提起诉讼，诉讼地点为采购人所在地。</w:t>
      </w:r>
    </w:p>
    <w:p>
      <w:pPr>
        <w:ind w:left="745" w:leftChars="266" w:firstLine="0" w:firstLineChars="0"/>
        <w:rPr>
          <w:rFonts w:ascii="仿宋" w:hAnsi="仿宋" w:eastAsia="仿宋" w:cs="仿宋"/>
          <w:szCs w:val="28"/>
        </w:rPr>
      </w:pPr>
      <w:r>
        <w:rPr>
          <w:rFonts w:hint="eastAsia" w:ascii="仿宋" w:hAnsi="仿宋" w:eastAsia="仿宋" w:cs="仿宋"/>
          <w:b/>
          <w:bCs/>
          <w:szCs w:val="28"/>
          <w:lang w:val="zh-CN"/>
        </w:rPr>
        <w:t>八、合同鉴证：</w:t>
      </w:r>
      <w:r>
        <w:rPr>
          <w:rFonts w:hint="eastAsia" w:ascii="仿宋" w:hAnsi="仿宋" w:eastAsia="仿宋" w:cs="仿宋"/>
          <w:szCs w:val="28"/>
        </w:rPr>
        <w:t>采购代理机构应当在本合同上签章，以证明本合同条款与询价文件、响应文件的相关要求相符并且未对采购货物和技术参数进行实质性修改。</w:t>
      </w:r>
    </w:p>
    <w:p>
      <w:pPr>
        <w:ind w:left="745" w:leftChars="266" w:firstLine="0" w:firstLineChars="0"/>
        <w:rPr>
          <w:rFonts w:ascii="仿宋" w:hAnsi="仿宋" w:eastAsia="仿宋" w:cs="仿宋"/>
          <w:b/>
          <w:bCs/>
          <w:szCs w:val="28"/>
        </w:rPr>
      </w:pPr>
      <w:r>
        <w:rPr>
          <w:rFonts w:hint="eastAsia" w:ascii="仿宋" w:hAnsi="仿宋" w:eastAsia="仿宋" w:cs="仿宋"/>
          <w:b/>
          <w:bCs/>
          <w:szCs w:val="28"/>
        </w:rPr>
        <w:t>九、组成本合同的文件包括：</w:t>
      </w:r>
    </w:p>
    <w:p>
      <w:pPr>
        <w:ind w:left="745" w:leftChars="266" w:firstLine="0" w:firstLineChars="0"/>
        <w:rPr>
          <w:rFonts w:ascii="仿宋" w:hAnsi="仿宋" w:eastAsia="仿宋" w:cs="仿宋"/>
          <w:szCs w:val="28"/>
        </w:rPr>
      </w:pPr>
      <w:r>
        <w:rPr>
          <w:rFonts w:hint="eastAsia" w:ascii="仿宋" w:hAnsi="仿宋" w:eastAsia="仿宋" w:cs="仿宋"/>
          <w:szCs w:val="28"/>
        </w:rPr>
        <w:t>（一）合同通用条款和专用条款；</w:t>
      </w:r>
    </w:p>
    <w:p>
      <w:pPr>
        <w:ind w:left="745" w:leftChars="266" w:firstLine="0" w:firstLineChars="0"/>
        <w:rPr>
          <w:rFonts w:ascii="仿宋" w:hAnsi="仿宋" w:eastAsia="仿宋" w:cs="仿宋"/>
          <w:szCs w:val="28"/>
        </w:rPr>
      </w:pPr>
      <w:r>
        <w:rPr>
          <w:rFonts w:hint="eastAsia" w:ascii="仿宋" w:hAnsi="仿宋" w:eastAsia="仿宋" w:cs="仿宋"/>
          <w:szCs w:val="28"/>
        </w:rPr>
        <w:t>（二）乙方的报价一览表；</w:t>
      </w:r>
    </w:p>
    <w:p>
      <w:pPr>
        <w:ind w:left="745" w:leftChars="266" w:firstLine="0" w:firstLineChars="0"/>
        <w:rPr>
          <w:rFonts w:ascii="仿宋" w:hAnsi="仿宋" w:eastAsia="仿宋" w:cs="仿宋"/>
          <w:szCs w:val="28"/>
        </w:rPr>
      </w:pPr>
      <w:r>
        <w:rPr>
          <w:rFonts w:hint="eastAsia" w:ascii="仿宋" w:hAnsi="仿宋" w:eastAsia="仿宋" w:cs="仿宋"/>
          <w:szCs w:val="28"/>
        </w:rPr>
        <w:t>（三）成交通知书；</w:t>
      </w:r>
    </w:p>
    <w:p>
      <w:pPr>
        <w:ind w:left="745" w:leftChars="266" w:firstLine="0" w:firstLineChars="0"/>
        <w:rPr>
          <w:rFonts w:ascii="仿宋" w:hAnsi="仿宋" w:eastAsia="仿宋" w:cs="仿宋"/>
          <w:szCs w:val="28"/>
        </w:rPr>
      </w:pPr>
      <w:r>
        <w:rPr>
          <w:rFonts w:hint="eastAsia" w:ascii="仿宋" w:hAnsi="仿宋" w:eastAsia="仿宋" w:cs="仿宋"/>
          <w:szCs w:val="28"/>
        </w:rPr>
        <w:t>（四）甲乙双方商定的其他必要文件。上述合同文件内容互为补充，如有不明确，由甲方负责解释。</w:t>
      </w:r>
    </w:p>
    <w:p>
      <w:pPr>
        <w:ind w:left="745" w:leftChars="266" w:firstLine="0" w:firstLineChars="0"/>
        <w:rPr>
          <w:rFonts w:ascii="仿宋" w:hAnsi="仿宋" w:eastAsia="仿宋" w:cs="仿宋"/>
          <w:b/>
          <w:bCs/>
          <w:szCs w:val="28"/>
        </w:rPr>
      </w:pPr>
      <w:r>
        <w:rPr>
          <w:rFonts w:hint="eastAsia" w:ascii="仿宋" w:hAnsi="仿宋" w:eastAsia="仿宋" w:cs="仿宋"/>
          <w:b/>
          <w:bCs/>
          <w:szCs w:val="28"/>
        </w:rPr>
        <w:t>十、合同备案</w:t>
      </w:r>
    </w:p>
    <w:p>
      <w:pPr>
        <w:ind w:left="745" w:leftChars="266" w:firstLine="560"/>
        <w:rPr>
          <w:rFonts w:ascii="仿宋" w:hAnsi="仿宋" w:eastAsia="仿宋" w:cs="仿宋"/>
          <w:kern w:val="0"/>
          <w:szCs w:val="20"/>
        </w:rPr>
      </w:pPr>
      <w:r>
        <w:rPr>
          <w:rFonts w:hint="eastAsia" w:ascii="仿宋" w:hAnsi="仿宋" w:eastAsia="仿宋" w:cs="仿宋"/>
          <w:szCs w:val="28"/>
        </w:rPr>
        <w:t>本合同一式四份，中文书写。甲方、乙方、招标人各执一份，另外一份由招标人报政府采购管理部门备案。</w:t>
      </w:r>
    </w:p>
    <w:p>
      <w:pPr>
        <w:spacing w:line="600" w:lineRule="exact"/>
        <w:ind w:firstLine="560"/>
        <w:rPr>
          <w:rFonts w:ascii="仿宋" w:hAnsi="仿宋" w:eastAsia="仿宋" w:cs="仿宋"/>
          <w:kern w:val="0"/>
          <w:szCs w:val="20"/>
        </w:rPr>
      </w:pPr>
    </w:p>
    <w:p>
      <w:pPr>
        <w:spacing w:line="600" w:lineRule="exact"/>
        <w:ind w:firstLine="560"/>
        <w:rPr>
          <w:rFonts w:ascii="仿宋" w:hAnsi="仿宋" w:eastAsia="仿宋" w:cs="仿宋"/>
          <w:kern w:val="0"/>
          <w:szCs w:val="20"/>
        </w:rPr>
      </w:pPr>
      <w:r>
        <w:rPr>
          <w:rFonts w:hint="eastAsia" w:ascii="仿宋" w:hAnsi="仿宋" w:eastAsia="仿宋" w:cs="仿宋"/>
          <w:kern w:val="0"/>
          <w:szCs w:val="20"/>
        </w:rPr>
        <w:t>甲方：                          乙方：</w:t>
      </w:r>
    </w:p>
    <w:p>
      <w:pPr>
        <w:spacing w:line="600" w:lineRule="exact"/>
        <w:ind w:firstLine="560"/>
        <w:rPr>
          <w:rFonts w:ascii="仿宋" w:hAnsi="仿宋" w:eastAsia="仿宋" w:cs="仿宋"/>
          <w:kern w:val="0"/>
          <w:szCs w:val="20"/>
        </w:rPr>
      </w:pPr>
      <w:r>
        <w:rPr>
          <w:rFonts w:hint="eastAsia" w:ascii="仿宋" w:hAnsi="仿宋" w:eastAsia="仿宋" w:cs="仿宋"/>
          <w:kern w:val="0"/>
          <w:szCs w:val="20"/>
        </w:rPr>
        <w:t>委托代理人:                     委托代理人:</w:t>
      </w:r>
    </w:p>
    <w:p>
      <w:pPr>
        <w:spacing w:line="600" w:lineRule="exact"/>
        <w:ind w:firstLine="560"/>
        <w:rPr>
          <w:rFonts w:ascii="仿宋" w:hAnsi="仿宋" w:eastAsia="仿宋" w:cs="仿宋"/>
          <w:kern w:val="0"/>
          <w:szCs w:val="20"/>
        </w:rPr>
      </w:pPr>
      <w:r>
        <w:rPr>
          <w:rFonts w:hint="eastAsia" w:ascii="仿宋" w:hAnsi="仿宋" w:eastAsia="仿宋" w:cs="仿宋"/>
          <w:kern w:val="0"/>
          <w:szCs w:val="20"/>
        </w:rPr>
        <w:t>签订日期：    年    月    日    签订日期：    年    月    日</w:t>
      </w:r>
    </w:p>
    <w:p>
      <w:pPr>
        <w:spacing w:line="600" w:lineRule="exact"/>
        <w:ind w:firstLine="560"/>
        <w:rPr>
          <w:rFonts w:ascii="仿宋" w:hAnsi="仿宋" w:eastAsia="仿宋" w:cs="仿宋"/>
          <w:kern w:val="0"/>
          <w:szCs w:val="20"/>
        </w:rPr>
      </w:pPr>
    </w:p>
    <w:p>
      <w:pPr>
        <w:spacing w:line="600" w:lineRule="exact"/>
        <w:ind w:firstLine="562"/>
        <w:rPr>
          <w:rFonts w:ascii="仿宋" w:hAnsi="仿宋" w:eastAsia="仿宋" w:cs="仿宋"/>
          <w:b/>
          <w:bCs/>
          <w:kern w:val="0"/>
          <w:szCs w:val="20"/>
        </w:rPr>
      </w:pPr>
      <w:r>
        <w:rPr>
          <w:rFonts w:hint="eastAsia" w:ascii="仿宋" w:hAnsi="仿宋" w:eastAsia="仿宋" w:cs="仿宋"/>
          <w:b/>
          <w:bCs/>
          <w:kern w:val="0"/>
          <w:szCs w:val="20"/>
        </w:rPr>
        <w:t>代理机构声明：本合同经</w:t>
      </w:r>
      <w:r>
        <w:rPr>
          <w:rFonts w:hint="eastAsia" w:ascii="仿宋" w:hAnsi="仿宋" w:eastAsia="仿宋" w:cs="仿宋"/>
          <w:b/>
          <w:bCs/>
          <w:kern w:val="0"/>
          <w:szCs w:val="20"/>
          <w:u w:val="single"/>
        </w:rPr>
        <w:t>海南琪硕招投标有限公司</w:t>
      </w:r>
      <w:r>
        <w:rPr>
          <w:rFonts w:hint="eastAsia" w:ascii="仿宋" w:hAnsi="仿宋" w:eastAsia="仿宋" w:cs="仿宋"/>
          <w:b/>
          <w:bCs/>
          <w:kern w:val="0"/>
          <w:szCs w:val="20"/>
        </w:rPr>
        <w:t>依法定程序采购，合同主要条款内容与磋商文件的内容一致。</w:t>
      </w:r>
    </w:p>
    <w:p>
      <w:pPr>
        <w:spacing w:line="600" w:lineRule="exact"/>
        <w:ind w:firstLine="562"/>
        <w:rPr>
          <w:rFonts w:ascii="仿宋" w:hAnsi="仿宋" w:eastAsia="仿宋" w:cs="仿宋"/>
          <w:b/>
          <w:bCs/>
          <w:kern w:val="0"/>
          <w:szCs w:val="20"/>
        </w:rPr>
      </w:pPr>
      <w:r>
        <w:rPr>
          <w:rFonts w:hint="eastAsia" w:ascii="仿宋" w:hAnsi="仿宋" w:eastAsia="仿宋" w:cs="仿宋"/>
          <w:b/>
          <w:bCs/>
          <w:kern w:val="0"/>
          <w:szCs w:val="20"/>
        </w:rPr>
        <w:t>代理机构：</w:t>
      </w:r>
      <w:r>
        <w:rPr>
          <w:rFonts w:hint="eastAsia" w:ascii="仿宋" w:hAnsi="仿宋" w:eastAsia="仿宋" w:cs="仿宋"/>
          <w:b/>
          <w:bCs/>
          <w:kern w:val="0"/>
          <w:szCs w:val="20"/>
          <w:u w:val="single"/>
        </w:rPr>
        <w:t>海南琪硕招投标有限公司</w:t>
      </w:r>
    </w:p>
    <w:p>
      <w:pPr>
        <w:spacing w:line="600" w:lineRule="exact"/>
        <w:ind w:firstLine="562"/>
        <w:rPr>
          <w:rFonts w:ascii="仿宋" w:hAnsi="仿宋" w:eastAsia="仿宋" w:cs="仿宋"/>
          <w:b/>
          <w:bCs/>
          <w:kern w:val="0"/>
          <w:szCs w:val="20"/>
        </w:rPr>
      </w:pPr>
      <w:r>
        <w:rPr>
          <w:rFonts w:hint="eastAsia" w:ascii="仿宋" w:hAnsi="仿宋" w:eastAsia="仿宋" w:cs="仿宋"/>
          <w:b/>
          <w:bCs/>
          <w:kern w:val="0"/>
          <w:szCs w:val="20"/>
        </w:rPr>
        <w:t>地址：</w:t>
      </w:r>
      <w:r>
        <w:rPr>
          <w:rFonts w:hint="eastAsia" w:ascii="仿宋" w:hAnsi="仿宋" w:eastAsia="仿宋" w:cs="仿宋"/>
          <w:b/>
          <w:bCs/>
          <w:kern w:val="0"/>
          <w:szCs w:val="20"/>
          <w:u w:val="single"/>
        </w:rPr>
        <w:t>海口市美兰区新埠岛西苑路25号海南之心二期-彼岸3#住宅楼二单元301房</w:t>
      </w:r>
    </w:p>
    <w:p>
      <w:pPr>
        <w:spacing w:line="600" w:lineRule="exact"/>
        <w:ind w:firstLine="562"/>
        <w:rPr>
          <w:rFonts w:ascii="仿宋" w:hAnsi="仿宋" w:eastAsia="仿宋" w:cs="仿宋"/>
          <w:b/>
          <w:bCs/>
          <w:kern w:val="0"/>
          <w:szCs w:val="20"/>
        </w:rPr>
      </w:pPr>
      <w:r>
        <w:rPr>
          <w:rFonts w:hint="eastAsia" w:ascii="仿宋" w:hAnsi="仿宋" w:eastAsia="仿宋" w:cs="仿宋"/>
          <w:b/>
          <w:bCs/>
          <w:kern w:val="0"/>
          <w:szCs w:val="20"/>
        </w:rPr>
        <w:t>法定（授权人）代表人:</w:t>
      </w:r>
    </w:p>
    <w:p>
      <w:pPr>
        <w:spacing w:line="600" w:lineRule="exact"/>
        <w:ind w:firstLine="562"/>
        <w:rPr>
          <w:rFonts w:ascii="仿宋" w:hAnsi="仿宋" w:eastAsia="仿宋" w:cs="仿宋"/>
          <w:b/>
          <w:bCs/>
          <w:kern w:val="0"/>
          <w:szCs w:val="20"/>
        </w:rPr>
      </w:pPr>
      <w:r>
        <w:rPr>
          <w:rFonts w:hint="eastAsia" w:ascii="仿宋" w:hAnsi="仿宋" w:eastAsia="仿宋" w:cs="仿宋"/>
          <w:b/>
          <w:bCs/>
          <w:kern w:val="0"/>
          <w:szCs w:val="20"/>
        </w:rPr>
        <w:t>签订日期：    年    月    日</w:t>
      </w:r>
    </w:p>
    <w:p>
      <w:pPr>
        <w:pStyle w:val="67"/>
        <w:rPr>
          <w:rFonts w:ascii="仿宋" w:hAnsi="仿宋" w:cs="仿宋"/>
          <w:szCs w:val="20"/>
        </w:rPr>
      </w:pPr>
    </w:p>
    <w:p>
      <w:pPr>
        <w:ind w:firstLine="560"/>
        <w:rPr>
          <w:rFonts w:ascii="仿宋" w:hAnsi="仿宋" w:eastAsia="仿宋" w:cs="仿宋"/>
        </w:rPr>
      </w:pPr>
      <w:r>
        <w:rPr>
          <w:rFonts w:hint="eastAsia" w:ascii="仿宋" w:hAnsi="仿宋" w:eastAsia="仿宋" w:cs="仿宋"/>
        </w:rPr>
        <w:br w:type="page"/>
      </w:r>
    </w:p>
    <w:p>
      <w:pPr>
        <w:pStyle w:val="172"/>
        <w:rPr>
          <w:rFonts w:ascii="仿宋" w:hAnsi="仿宋" w:eastAsia="仿宋" w:cs="仿宋"/>
        </w:rPr>
      </w:pPr>
      <w:bookmarkStart w:id="198" w:name="_Toc18389"/>
      <w:r>
        <w:rPr>
          <w:rFonts w:hint="eastAsia" w:ascii="仿宋" w:hAnsi="仿宋" w:eastAsia="仿宋" w:cs="仿宋"/>
        </w:rPr>
        <w:t xml:space="preserve">第四章 </w:t>
      </w:r>
      <w:bookmarkEnd w:id="192"/>
      <w:bookmarkEnd w:id="193"/>
      <w:bookmarkEnd w:id="194"/>
      <w:bookmarkEnd w:id="195"/>
      <w:bookmarkStart w:id="199" w:name="_Toc474854529"/>
      <w:bookmarkStart w:id="200" w:name="_Toc26554093"/>
      <w:bookmarkStart w:id="201" w:name="_Toc49090575"/>
      <w:bookmarkStart w:id="202" w:name="_Toc120614281"/>
      <w:r>
        <w:rPr>
          <w:rFonts w:hint="eastAsia" w:ascii="仿宋" w:hAnsi="仿宋" w:eastAsia="仿宋" w:cs="仿宋"/>
          <w:lang w:val="zh-CN"/>
        </w:rPr>
        <w:t>采购需求</w:t>
      </w:r>
      <w:bookmarkEnd w:id="198"/>
    </w:p>
    <w:p>
      <w:pPr>
        <w:ind w:firstLine="560"/>
        <w:rPr>
          <w:rFonts w:ascii="仿宋" w:hAnsi="仿宋" w:eastAsia="仿宋" w:cs="仿宋"/>
          <w:szCs w:val="28"/>
        </w:rPr>
      </w:pPr>
      <w:r>
        <w:rPr>
          <w:rFonts w:hint="eastAsia" w:ascii="仿宋" w:hAnsi="仿宋" w:eastAsia="仿宋" w:cs="仿宋"/>
          <w:szCs w:val="28"/>
          <w:u w:val="single"/>
          <w:lang w:val="zh-CN"/>
        </w:rPr>
        <w:t>海南省图书馆配置硬件设备采购项目A包：《</w:t>
      </w:r>
      <w:r>
        <w:rPr>
          <w:rFonts w:hint="eastAsia" w:ascii="仿宋" w:hAnsi="仿宋" w:eastAsia="仿宋" w:cs="仿宋"/>
          <w:bCs/>
          <w:szCs w:val="28"/>
          <w:u w:val="single"/>
        </w:rPr>
        <w:t>视听阅览室电子资源展示设备采购</w:t>
      </w:r>
      <w:r>
        <w:rPr>
          <w:rFonts w:hint="eastAsia" w:ascii="仿宋" w:hAnsi="仿宋" w:eastAsia="仿宋" w:cs="仿宋"/>
          <w:szCs w:val="28"/>
          <w:u w:val="single"/>
          <w:lang w:val="zh-CN"/>
        </w:rPr>
        <w:t>》</w:t>
      </w:r>
      <w:r>
        <w:rPr>
          <w:rFonts w:hint="eastAsia" w:ascii="仿宋" w:hAnsi="仿宋" w:eastAsia="仿宋" w:cs="仿宋"/>
          <w:szCs w:val="28"/>
        </w:rPr>
        <w:t>采购采用</w:t>
      </w:r>
      <w:r>
        <w:rPr>
          <w:rFonts w:hint="eastAsia" w:ascii="仿宋" w:hAnsi="仿宋" w:eastAsia="仿宋" w:cs="仿宋"/>
          <w:szCs w:val="28"/>
          <w:u w:val="single"/>
        </w:rPr>
        <w:t>竞争性磋商</w:t>
      </w:r>
      <w:r>
        <w:rPr>
          <w:rFonts w:hint="eastAsia" w:ascii="仿宋" w:hAnsi="仿宋" w:eastAsia="仿宋" w:cs="仿宋"/>
          <w:szCs w:val="28"/>
        </w:rPr>
        <w:t>方式，评审方法采用</w:t>
      </w:r>
      <w:r>
        <w:rPr>
          <w:rFonts w:hint="eastAsia" w:ascii="仿宋" w:hAnsi="仿宋" w:eastAsia="仿宋" w:cs="仿宋"/>
          <w:szCs w:val="28"/>
          <w:u w:val="single"/>
        </w:rPr>
        <w:t>综合评分法</w:t>
      </w:r>
      <w:r>
        <w:rPr>
          <w:rFonts w:hint="eastAsia" w:ascii="仿宋" w:hAnsi="仿宋" w:eastAsia="仿宋" w:cs="仿宋"/>
          <w:szCs w:val="28"/>
        </w:rPr>
        <w:t>，项目落实</w:t>
      </w:r>
      <w:r>
        <w:rPr>
          <w:rFonts w:hint="eastAsia" w:ascii="仿宋" w:hAnsi="仿宋" w:eastAsia="仿宋" w:cs="仿宋"/>
          <w:szCs w:val="28"/>
          <w:u w:val="single"/>
        </w:rPr>
        <w:t>政府采购优惠政策</w:t>
      </w:r>
      <w:r>
        <w:rPr>
          <w:rFonts w:hint="eastAsia" w:ascii="仿宋" w:hAnsi="仿宋" w:eastAsia="仿宋" w:cs="仿宋"/>
          <w:szCs w:val="28"/>
        </w:rPr>
        <w:t>。</w:t>
      </w:r>
    </w:p>
    <w:p>
      <w:pPr>
        <w:pStyle w:val="3"/>
        <w:numPr>
          <w:ilvl w:val="0"/>
          <w:numId w:val="0"/>
        </w:numPr>
        <w:spacing w:before="120" w:after="240"/>
        <w:ind w:left="420"/>
        <w:jc w:val="both"/>
        <w:rPr>
          <w:rFonts w:ascii="仿宋" w:hAnsi="仿宋" w:eastAsia="仿宋" w:cs="仿宋"/>
          <w:sz w:val="28"/>
          <w:szCs w:val="28"/>
        </w:rPr>
      </w:pPr>
      <w:bookmarkStart w:id="203" w:name="_Toc22084"/>
      <w:r>
        <w:rPr>
          <w:rFonts w:hint="eastAsia" w:ascii="仿宋" w:hAnsi="仿宋" w:eastAsia="仿宋" w:cs="仿宋"/>
          <w:sz w:val="28"/>
          <w:szCs w:val="28"/>
        </w:rPr>
        <w:t>1、项目概况</w:t>
      </w:r>
      <w:bookmarkEnd w:id="203"/>
    </w:p>
    <w:p>
      <w:pPr>
        <w:ind w:firstLine="560"/>
        <w:rPr>
          <w:rFonts w:eastAsia="仿宋"/>
        </w:rPr>
      </w:pPr>
      <w:r>
        <w:rPr>
          <w:rFonts w:hint="eastAsia" w:ascii="仿宋" w:hAnsi="仿宋" w:eastAsia="仿宋" w:cs="仿宋"/>
          <w:szCs w:val="28"/>
          <w:lang w:val="zh-CN"/>
        </w:rPr>
        <w:t>项目名称：</w:t>
      </w:r>
      <w:r>
        <w:rPr>
          <w:rFonts w:hint="eastAsia" w:ascii="仿宋" w:hAnsi="仿宋" w:eastAsia="仿宋" w:cs="仿宋"/>
          <w:szCs w:val="28"/>
          <w:u w:val="single"/>
          <w:lang w:val="zh-CN"/>
        </w:rPr>
        <w:t>海南省图书馆配置硬件设备采购项目A包：《视听阅览室电子资源展示设备采购》</w:t>
      </w:r>
      <w:r>
        <w:rPr>
          <w:rFonts w:hint="eastAsia" w:ascii="仿宋" w:hAnsi="仿宋" w:eastAsia="仿宋" w:cs="仿宋"/>
          <w:szCs w:val="28"/>
          <w:lang w:val="zh-CN"/>
        </w:rPr>
        <w:t>。</w:t>
      </w:r>
    </w:p>
    <w:p>
      <w:pPr>
        <w:ind w:firstLine="560"/>
        <w:rPr>
          <w:rFonts w:ascii="仿宋" w:hAnsi="仿宋" w:eastAsia="仿宋" w:cs="仿宋"/>
          <w:szCs w:val="28"/>
          <w:lang w:val="zh-CN"/>
        </w:rPr>
      </w:pPr>
      <w:r>
        <w:rPr>
          <w:rFonts w:hint="eastAsia" w:ascii="仿宋" w:hAnsi="仿宋" w:eastAsia="仿宋" w:cs="仿宋"/>
          <w:szCs w:val="28"/>
          <w:lang w:val="zh-CN"/>
        </w:rPr>
        <w:t>项目地址：海南省海口市琼山区国兴大道36号海南省图书馆。</w:t>
      </w:r>
    </w:p>
    <w:p>
      <w:pPr>
        <w:ind w:firstLine="560"/>
        <w:rPr>
          <w:rFonts w:ascii="仿宋" w:hAnsi="仿宋" w:eastAsia="仿宋" w:cs="仿宋"/>
          <w:szCs w:val="28"/>
        </w:rPr>
      </w:pPr>
      <w:r>
        <w:rPr>
          <w:rFonts w:hint="eastAsia" w:ascii="仿宋" w:hAnsi="仿宋" w:eastAsia="仿宋" w:cs="仿宋"/>
          <w:szCs w:val="28"/>
          <w:lang w:val="zh-CN"/>
        </w:rPr>
        <w:t>项目预算</w:t>
      </w:r>
      <w:r>
        <w:rPr>
          <w:rFonts w:hint="eastAsia" w:ascii="仿宋" w:hAnsi="仿宋" w:eastAsia="仿宋" w:cs="仿宋"/>
          <w:szCs w:val="28"/>
        </w:rPr>
        <w:t>:人民币620000.00元，资金来源为</w:t>
      </w:r>
      <w:r>
        <w:rPr>
          <w:rFonts w:hint="eastAsia" w:ascii="仿宋" w:hAnsi="仿宋" w:eastAsia="仿宋" w:cs="仿宋"/>
          <w:szCs w:val="28"/>
          <w:u w:val="single"/>
        </w:rPr>
        <w:t>财政资金</w:t>
      </w:r>
      <w:r>
        <w:rPr>
          <w:rFonts w:hint="eastAsia" w:ascii="仿宋" w:hAnsi="仿宋" w:eastAsia="仿宋" w:cs="仿宋"/>
          <w:szCs w:val="28"/>
        </w:rPr>
        <w:t>。</w:t>
      </w:r>
    </w:p>
    <w:p>
      <w:pPr>
        <w:ind w:firstLine="560"/>
        <w:rPr>
          <w:rFonts w:ascii="仿宋" w:hAnsi="仿宋" w:eastAsia="仿宋" w:cs="仿宋"/>
          <w:szCs w:val="28"/>
        </w:rPr>
      </w:pPr>
      <w:r>
        <w:rPr>
          <w:rFonts w:hint="eastAsia" w:ascii="仿宋" w:hAnsi="仿宋" w:eastAsia="仿宋" w:cs="仿宋"/>
          <w:szCs w:val="28"/>
        </w:rPr>
        <w:t>服务内容：</w:t>
      </w:r>
      <w:r>
        <w:rPr>
          <w:rFonts w:hint="eastAsia" w:ascii="仿宋" w:hAnsi="仿宋" w:eastAsia="仿宋" w:cs="仿宋"/>
          <w:szCs w:val="28"/>
          <w:u w:val="single"/>
          <w:lang w:val="zh-CN"/>
        </w:rPr>
        <w:t>海南省图书馆配置硬件设备采购项目A包：《视听阅览室电子资源展示设备采购》</w:t>
      </w:r>
      <w:r>
        <w:rPr>
          <w:rFonts w:hint="eastAsia" w:ascii="仿宋" w:hAnsi="仿宋" w:eastAsia="仿宋" w:cs="仿宋"/>
          <w:szCs w:val="28"/>
          <w:lang w:val="zh-CN"/>
        </w:rPr>
        <w:t>。</w:t>
      </w:r>
    </w:p>
    <w:p>
      <w:pPr>
        <w:ind w:firstLine="560"/>
        <w:rPr>
          <w:rFonts w:ascii="仿宋" w:hAnsi="仿宋" w:eastAsia="仿宋" w:cs="仿宋"/>
          <w:szCs w:val="28"/>
        </w:rPr>
      </w:pPr>
      <w:r>
        <w:rPr>
          <w:rFonts w:hint="eastAsia" w:ascii="仿宋" w:hAnsi="仿宋" w:eastAsia="仿宋" w:cs="仿宋"/>
          <w:lang w:val="zh-CN"/>
        </w:rPr>
        <w:t>交货期限：合同签订之日起3个月内供货且安装调试完毕，供货安装至采购人指定地点</w:t>
      </w:r>
    </w:p>
    <w:p>
      <w:pPr>
        <w:autoSpaceDE w:val="0"/>
        <w:autoSpaceDN w:val="0"/>
        <w:adjustRightInd w:val="0"/>
        <w:ind w:firstLine="560"/>
        <w:rPr>
          <w:rFonts w:ascii="仿宋" w:hAnsi="仿宋" w:eastAsia="仿宋" w:cs="仿宋"/>
          <w:szCs w:val="28"/>
        </w:rPr>
      </w:pPr>
      <w:r>
        <w:rPr>
          <w:rFonts w:hint="eastAsia" w:ascii="仿宋" w:hAnsi="仿宋" w:eastAsia="仿宋" w:cs="仿宋"/>
        </w:rPr>
        <w:t>交货</w:t>
      </w:r>
      <w:r>
        <w:rPr>
          <w:rFonts w:hint="eastAsia" w:ascii="仿宋" w:hAnsi="仿宋" w:eastAsia="仿宋" w:cs="仿宋"/>
          <w:szCs w:val="28"/>
        </w:rPr>
        <w:t>地址：</w:t>
      </w:r>
      <w:r>
        <w:rPr>
          <w:rFonts w:hint="eastAsia" w:ascii="仿宋" w:hAnsi="仿宋" w:eastAsia="仿宋" w:cs="仿宋"/>
          <w:szCs w:val="28"/>
          <w:u w:val="single"/>
          <w:lang w:val="zh-CN"/>
        </w:rPr>
        <w:t>海南省海口市琼山区国兴大道36号海南省图书馆</w:t>
      </w:r>
      <w:r>
        <w:rPr>
          <w:rFonts w:hint="eastAsia" w:ascii="仿宋" w:hAnsi="仿宋" w:eastAsia="仿宋" w:cs="仿宋"/>
          <w:szCs w:val="28"/>
        </w:rPr>
        <w:t>。</w:t>
      </w:r>
    </w:p>
    <w:tbl>
      <w:tblPr>
        <w:tblStyle w:val="78"/>
        <w:tblpPr w:leftFromText="180" w:rightFromText="180" w:vertAnchor="text" w:horzAnchor="page" w:tblpX="1864" w:tblpY="754"/>
        <w:tblOverlap w:val="never"/>
        <w:tblW w:w="9229" w:type="dxa"/>
        <w:tblInd w:w="0" w:type="dxa"/>
        <w:tblLayout w:type="fixed"/>
        <w:tblCellMar>
          <w:top w:w="15" w:type="dxa"/>
          <w:left w:w="15" w:type="dxa"/>
          <w:bottom w:w="15" w:type="dxa"/>
          <w:right w:w="15" w:type="dxa"/>
        </w:tblCellMar>
      </w:tblPr>
      <w:tblGrid>
        <w:gridCol w:w="732"/>
        <w:gridCol w:w="3327"/>
        <w:gridCol w:w="990"/>
        <w:gridCol w:w="2133"/>
        <w:gridCol w:w="2047"/>
      </w:tblGrid>
      <w:tr>
        <w:tblPrEx>
          <w:tblLayout w:type="fixed"/>
          <w:tblCellMar>
            <w:top w:w="15" w:type="dxa"/>
            <w:left w:w="15" w:type="dxa"/>
            <w:bottom w:w="15" w:type="dxa"/>
            <w:right w:w="15" w:type="dxa"/>
          </w:tblCellMar>
        </w:tblPrEx>
        <w:trPr>
          <w:trHeight w:val="504" w:hRule="atLeast"/>
        </w:trPr>
        <w:tc>
          <w:tcPr>
            <w:tcW w:w="4059"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482"/>
              <w:jc w:val="center"/>
              <w:textAlignment w:val="center"/>
              <w:rPr>
                <w:rFonts w:ascii="仿宋" w:hAnsi="仿宋" w:eastAsia="仿宋" w:cs="仿宋"/>
                <w:b/>
                <w:sz w:val="24"/>
                <w:szCs w:val="24"/>
              </w:rPr>
            </w:pPr>
            <w:r>
              <w:rPr>
                <w:rFonts w:hint="eastAsia" w:ascii="仿宋" w:hAnsi="仿宋" w:eastAsia="仿宋" w:cs="仿宋"/>
                <w:b/>
                <w:kern w:val="0"/>
                <w:sz w:val="24"/>
                <w:szCs w:val="24"/>
              </w:rPr>
              <w:t>项目内容</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b/>
                <w:sz w:val="24"/>
                <w:szCs w:val="24"/>
              </w:rPr>
            </w:pPr>
            <w:r>
              <w:rPr>
                <w:rFonts w:hint="eastAsia" w:ascii="仿宋" w:hAnsi="仿宋" w:eastAsia="仿宋" w:cs="仿宋"/>
                <w:b/>
                <w:kern w:val="0"/>
                <w:sz w:val="24"/>
                <w:szCs w:val="24"/>
              </w:rPr>
              <w:t>数量</w:t>
            </w: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b/>
                <w:sz w:val="24"/>
                <w:szCs w:val="24"/>
              </w:rPr>
            </w:pPr>
            <w:r>
              <w:rPr>
                <w:rFonts w:hint="eastAsia" w:ascii="仿宋" w:hAnsi="仿宋" w:eastAsia="仿宋" w:cs="仿宋"/>
                <w:b/>
                <w:kern w:val="0"/>
                <w:sz w:val="24"/>
                <w:szCs w:val="24"/>
              </w:rPr>
              <w:t>项目明细</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b/>
                <w:sz w:val="24"/>
                <w:szCs w:val="24"/>
              </w:rPr>
            </w:pPr>
            <w:r>
              <w:rPr>
                <w:rFonts w:hint="eastAsia" w:ascii="仿宋" w:hAnsi="仿宋" w:eastAsia="仿宋" w:cs="仿宋"/>
                <w:b/>
                <w:kern w:val="0"/>
                <w:sz w:val="24"/>
                <w:szCs w:val="24"/>
              </w:rPr>
              <w:t>预算（元）</w:t>
            </w:r>
          </w:p>
        </w:tc>
      </w:tr>
      <w:tr>
        <w:tblPrEx>
          <w:tblLayout w:type="fixed"/>
          <w:tblCellMar>
            <w:top w:w="15" w:type="dxa"/>
            <w:left w:w="15" w:type="dxa"/>
            <w:bottom w:w="15" w:type="dxa"/>
            <w:right w:w="15" w:type="dxa"/>
          </w:tblCellMar>
        </w:tblPrEx>
        <w:trPr>
          <w:trHeight w:val="1325"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项目名称</w:t>
            </w:r>
          </w:p>
        </w:tc>
        <w:tc>
          <w:tcPr>
            <w:tcW w:w="3327"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left"/>
              <w:textAlignment w:val="center"/>
              <w:rPr>
                <w:rFonts w:ascii="仿宋" w:hAnsi="仿宋" w:eastAsia="仿宋" w:cs="仿宋"/>
                <w:sz w:val="24"/>
                <w:szCs w:val="24"/>
              </w:rPr>
            </w:pPr>
            <w:r>
              <w:rPr>
                <w:rFonts w:hint="eastAsia" w:ascii="仿宋" w:hAnsi="仿宋" w:eastAsia="仿宋" w:cs="仿宋"/>
                <w:sz w:val="24"/>
                <w:szCs w:val="24"/>
                <w:lang w:val="zh-CN"/>
              </w:rPr>
              <w:t>海南省图书馆配置硬件设备采购项目A包：《视听阅览室电子资源展示设备采购》</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1批</w:t>
            </w:r>
          </w:p>
        </w:tc>
        <w:tc>
          <w:tcPr>
            <w:tcW w:w="2133"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sz w:val="24"/>
                <w:szCs w:val="24"/>
              </w:rPr>
            </w:pPr>
            <w:r>
              <w:rPr>
                <w:rFonts w:hint="eastAsia" w:ascii="仿宋" w:hAnsi="仿宋" w:eastAsia="仿宋" w:cs="仿宋"/>
                <w:kern w:val="0"/>
                <w:sz w:val="24"/>
                <w:szCs w:val="24"/>
              </w:rPr>
              <w:t>详见：</w:t>
            </w:r>
            <w:r>
              <w:rPr>
                <w:rFonts w:hint="eastAsia" w:ascii="仿宋" w:hAnsi="仿宋" w:eastAsia="仿宋" w:cs="仿宋"/>
                <w:color w:val="FF0000"/>
                <w:kern w:val="0"/>
                <w:sz w:val="24"/>
                <w:szCs w:val="24"/>
              </w:rPr>
              <w:t>设备</w:t>
            </w:r>
            <w:r>
              <w:rPr>
                <w:rFonts w:hint="eastAsia" w:ascii="仿宋" w:hAnsi="仿宋" w:eastAsia="仿宋" w:cs="仿宋"/>
                <w:kern w:val="0"/>
                <w:sz w:val="24"/>
                <w:szCs w:val="24"/>
              </w:rPr>
              <w:t>清单</w:t>
            </w:r>
          </w:p>
        </w:tc>
        <w:tc>
          <w:tcPr>
            <w:tcW w:w="204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仿宋" w:hAnsi="仿宋" w:eastAsia="仿宋" w:cs="仿宋"/>
                <w:sz w:val="24"/>
                <w:szCs w:val="24"/>
              </w:rPr>
            </w:pPr>
            <w:r>
              <w:rPr>
                <w:rFonts w:hint="eastAsia" w:ascii="仿宋" w:hAnsi="仿宋" w:eastAsia="仿宋" w:cs="仿宋"/>
                <w:sz w:val="24"/>
                <w:szCs w:val="24"/>
              </w:rPr>
              <w:t>620000.00</w:t>
            </w:r>
          </w:p>
        </w:tc>
      </w:tr>
      <w:tr>
        <w:tblPrEx>
          <w:tblLayout w:type="fixed"/>
          <w:tblCellMar>
            <w:top w:w="15" w:type="dxa"/>
            <w:left w:w="15" w:type="dxa"/>
            <w:bottom w:w="15" w:type="dxa"/>
            <w:right w:w="15" w:type="dxa"/>
          </w:tblCellMar>
        </w:tblPrEx>
        <w:trPr>
          <w:trHeight w:val="469"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kern w:val="0"/>
                <w:sz w:val="24"/>
                <w:szCs w:val="24"/>
              </w:rPr>
              <w:t>包号</w:t>
            </w:r>
          </w:p>
        </w:tc>
        <w:tc>
          <w:tcPr>
            <w:tcW w:w="8497"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480"/>
              <w:jc w:val="left"/>
              <w:textAlignment w:val="top"/>
              <w:rPr>
                <w:rFonts w:ascii="仿宋" w:hAnsi="仿宋" w:eastAsia="仿宋" w:cs="仿宋"/>
                <w:kern w:val="0"/>
                <w:sz w:val="24"/>
                <w:szCs w:val="24"/>
              </w:rPr>
            </w:pPr>
            <w:r>
              <w:rPr>
                <w:rFonts w:hint="eastAsia" w:ascii="仿宋" w:hAnsi="仿宋" w:eastAsia="仿宋" w:cs="仿宋"/>
                <w:sz w:val="24"/>
                <w:szCs w:val="24"/>
              </w:rPr>
              <w:t>A包：《视听阅览室电子资源展示设备采购》</w:t>
            </w:r>
          </w:p>
        </w:tc>
      </w:tr>
      <w:tr>
        <w:tblPrEx>
          <w:tblLayout w:type="fixed"/>
          <w:tblCellMar>
            <w:top w:w="15" w:type="dxa"/>
            <w:left w:w="15" w:type="dxa"/>
            <w:bottom w:w="15" w:type="dxa"/>
            <w:right w:w="15" w:type="dxa"/>
          </w:tblCellMar>
        </w:tblPrEx>
        <w:trPr>
          <w:trHeight w:val="90"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仿宋" w:hAnsi="仿宋" w:eastAsia="仿宋" w:cs="仿宋"/>
                <w:kern w:val="0"/>
                <w:sz w:val="24"/>
                <w:szCs w:val="24"/>
              </w:rPr>
            </w:pPr>
            <w:r>
              <w:rPr>
                <w:rFonts w:hint="eastAsia" w:ascii="仿宋" w:hAnsi="仿宋" w:eastAsia="仿宋" w:cs="仿宋"/>
                <w:color w:val="FF0000"/>
                <w:kern w:val="0"/>
                <w:sz w:val="24"/>
                <w:szCs w:val="24"/>
              </w:rPr>
              <w:t>交货期限</w:t>
            </w:r>
          </w:p>
        </w:tc>
        <w:tc>
          <w:tcPr>
            <w:tcW w:w="8497" w:type="dxa"/>
            <w:gridSpan w:val="4"/>
            <w:tcBorders>
              <w:top w:val="single" w:color="000000" w:sz="4" w:space="0"/>
              <w:left w:val="single" w:color="000000" w:sz="4" w:space="0"/>
              <w:bottom w:val="single" w:color="000000" w:sz="4" w:space="0"/>
              <w:right w:val="single" w:color="000000" w:sz="4" w:space="0"/>
            </w:tcBorders>
            <w:vAlign w:val="center"/>
          </w:tcPr>
          <w:p>
            <w:pPr>
              <w:widowControl/>
              <w:ind w:firstLine="480"/>
              <w:jc w:val="left"/>
              <w:textAlignment w:val="top"/>
              <w:rPr>
                <w:rFonts w:ascii="仿宋" w:hAnsi="仿宋" w:eastAsia="仿宋" w:cs="仿宋"/>
                <w:kern w:val="0"/>
                <w:sz w:val="24"/>
                <w:szCs w:val="24"/>
              </w:rPr>
            </w:pPr>
            <w:r>
              <w:rPr>
                <w:rFonts w:hint="eastAsia" w:ascii="仿宋" w:hAnsi="仿宋" w:eastAsia="仿宋" w:cs="仿宋"/>
                <w:sz w:val="24"/>
                <w:szCs w:val="24"/>
                <w:lang w:val="zh-CN"/>
              </w:rPr>
              <w:t>合同签订之日起3个月内供货且安装调试完毕，供货安装至采购人指定地点</w:t>
            </w:r>
          </w:p>
        </w:tc>
      </w:tr>
    </w:tbl>
    <w:p>
      <w:pPr>
        <w:autoSpaceDE w:val="0"/>
        <w:autoSpaceDN w:val="0"/>
        <w:adjustRightInd w:val="0"/>
        <w:ind w:firstLine="482"/>
        <w:rPr>
          <w:rFonts w:ascii="仿宋" w:hAnsi="仿宋" w:eastAsia="仿宋" w:cs="仿宋"/>
          <w:b/>
          <w:color w:val="FF0000"/>
          <w:sz w:val="24"/>
          <w:szCs w:val="24"/>
          <w:lang w:val="zh-CN"/>
        </w:rPr>
      </w:pPr>
      <w:r>
        <w:rPr>
          <w:rFonts w:hint="eastAsia" w:ascii="仿宋" w:hAnsi="仿宋" w:eastAsia="仿宋" w:cs="仿宋"/>
          <w:b/>
          <w:sz w:val="24"/>
          <w:szCs w:val="24"/>
          <w:lang w:val="zh-CN"/>
        </w:rPr>
        <w:t>(注：采购需求中“★”标注，意为强制要求，即必须满足或优于该要求。)</w:t>
      </w:r>
    </w:p>
    <w:p>
      <w:pPr>
        <w:pStyle w:val="3"/>
        <w:numPr>
          <w:ilvl w:val="0"/>
          <w:numId w:val="34"/>
        </w:numPr>
        <w:spacing w:before="120" w:after="240"/>
        <w:ind w:firstLine="281" w:firstLineChars="100"/>
        <w:jc w:val="both"/>
        <w:rPr>
          <w:rFonts w:ascii="仿宋" w:hAnsi="仿宋" w:eastAsia="仿宋" w:cs="仿宋"/>
          <w:sz w:val="28"/>
          <w:szCs w:val="28"/>
        </w:rPr>
      </w:pPr>
      <w:bookmarkStart w:id="204" w:name="_Toc8162"/>
      <w:r>
        <w:rPr>
          <w:rFonts w:hint="eastAsia" w:ascii="仿宋" w:hAnsi="仿宋" w:eastAsia="仿宋" w:cs="仿宋"/>
          <w:sz w:val="28"/>
          <w:szCs w:val="28"/>
        </w:rPr>
        <w:t>视听阅览室电子资源展示设备采购清单</w:t>
      </w:r>
      <w:bookmarkEnd w:id="204"/>
    </w:p>
    <w:tbl>
      <w:tblPr>
        <w:tblStyle w:val="78"/>
        <w:tblpPr w:leftFromText="180" w:rightFromText="180" w:vertAnchor="text" w:horzAnchor="page" w:tblpX="1663" w:tblpY="544"/>
        <w:tblOverlap w:val="never"/>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921"/>
        <w:gridCol w:w="916"/>
        <w:gridCol w:w="840"/>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838" w:type="dxa"/>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序号</w:t>
            </w:r>
          </w:p>
        </w:tc>
        <w:tc>
          <w:tcPr>
            <w:tcW w:w="2921"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设备名称</w:t>
            </w:r>
          </w:p>
        </w:tc>
        <w:tc>
          <w:tcPr>
            <w:tcW w:w="916"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数量</w:t>
            </w:r>
          </w:p>
        </w:tc>
        <w:tc>
          <w:tcPr>
            <w:tcW w:w="840" w:type="dxa"/>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单位</w:t>
            </w:r>
          </w:p>
        </w:tc>
        <w:tc>
          <w:tcPr>
            <w:tcW w:w="3244" w:type="dxa"/>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38"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1</w:t>
            </w:r>
          </w:p>
        </w:tc>
        <w:tc>
          <w:tcPr>
            <w:tcW w:w="2921"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电子资源展示系统</w:t>
            </w:r>
          </w:p>
        </w:tc>
        <w:tc>
          <w:tcPr>
            <w:tcW w:w="916"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ascii="仿宋" w:hAnsi="仿宋" w:eastAsia="仿宋" w:cs="仿宋"/>
                <w:kern w:val="0"/>
                <w:sz w:val="24"/>
                <w:szCs w:val="24"/>
              </w:rPr>
              <w:t>4</w:t>
            </w:r>
          </w:p>
        </w:tc>
        <w:tc>
          <w:tcPr>
            <w:tcW w:w="840"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套</w:t>
            </w:r>
          </w:p>
        </w:tc>
        <w:tc>
          <w:tcPr>
            <w:tcW w:w="3244" w:type="dxa"/>
          </w:tcPr>
          <w:p>
            <w:pPr>
              <w:widowControl/>
              <w:spacing w:line="240" w:lineRule="auto"/>
              <w:ind w:firstLine="0" w:firstLineChars="0"/>
              <w:jc w:val="left"/>
              <w:textAlignment w:val="top"/>
              <w:rPr>
                <w:rFonts w:ascii="仿宋" w:hAnsi="仿宋" w:eastAsia="仿宋" w:cs="仿宋"/>
                <w:kern w:val="0"/>
                <w:sz w:val="24"/>
                <w:szCs w:val="24"/>
              </w:rPr>
            </w:pPr>
            <w:r>
              <w:rPr>
                <w:rFonts w:hint="eastAsia" w:ascii="仿宋" w:hAnsi="仿宋" w:eastAsia="仿宋" w:cs="仿宋"/>
                <w:kern w:val="0"/>
                <w:sz w:val="24"/>
                <w:szCs w:val="24"/>
              </w:rPr>
              <w:t>每套含4台可拼接触摸屏，含5年质保及软件、资源更新，可根据现场场地横向或竖向安装，拼接屏数量可根据现场场地情况进行互相调节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838"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2</w:t>
            </w:r>
          </w:p>
        </w:tc>
        <w:tc>
          <w:tcPr>
            <w:tcW w:w="2921"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电子触摸屏</w:t>
            </w:r>
          </w:p>
        </w:tc>
        <w:tc>
          <w:tcPr>
            <w:tcW w:w="916"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3</w:t>
            </w:r>
          </w:p>
        </w:tc>
        <w:tc>
          <w:tcPr>
            <w:tcW w:w="840" w:type="dxa"/>
            <w:vAlign w:val="center"/>
          </w:tcPr>
          <w:p>
            <w:pPr>
              <w:widowControl/>
              <w:spacing w:line="240" w:lineRule="auto"/>
              <w:ind w:firstLine="0" w:firstLineChars="0"/>
              <w:jc w:val="center"/>
              <w:textAlignment w:val="top"/>
              <w:rPr>
                <w:rFonts w:ascii="仿宋" w:hAnsi="仿宋" w:eastAsia="仿宋" w:cs="仿宋"/>
                <w:kern w:val="0"/>
                <w:sz w:val="24"/>
                <w:szCs w:val="24"/>
              </w:rPr>
            </w:pPr>
            <w:r>
              <w:rPr>
                <w:rFonts w:hint="eastAsia" w:ascii="仿宋" w:hAnsi="仿宋" w:eastAsia="仿宋" w:cs="仿宋"/>
                <w:kern w:val="0"/>
                <w:sz w:val="24"/>
                <w:szCs w:val="24"/>
              </w:rPr>
              <w:t>台</w:t>
            </w:r>
          </w:p>
        </w:tc>
        <w:tc>
          <w:tcPr>
            <w:tcW w:w="3244" w:type="dxa"/>
          </w:tcPr>
          <w:p>
            <w:pPr>
              <w:widowControl/>
              <w:spacing w:line="240" w:lineRule="auto"/>
              <w:ind w:firstLine="0" w:firstLineChars="0"/>
              <w:jc w:val="left"/>
              <w:textAlignment w:val="top"/>
              <w:rPr>
                <w:rFonts w:ascii="仿宋" w:hAnsi="仿宋" w:eastAsia="仿宋" w:cs="仿宋"/>
                <w:kern w:val="0"/>
                <w:sz w:val="24"/>
                <w:szCs w:val="24"/>
              </w:rPr>
            </w:pPr>
            <w:r>
              <w:rPr>
                <w:rFonts w:hint="eastAsia" w:ascii="仿宋" w:hAnsi="仿宋" w:eastAsia="仿宋" w:cs="仿宋"/>
                <w:kern w:val="0"/>
                <w:sz w:val="24"/>
                <w:szCs w:val="24"/>
              </w:rPr>
              <w:t>含5年质保及软件、资源更新，单台触摸屏可根据实际需要拼接入电子资源展示系统中</w:t>
            </w:r>
          </w:p>
        </w:tc>
      </w:tr>
    </w:tbl>
    <w:p>
      <w:pPr>
        <w:widowControl/>
        <w:ind w:firstLine="562"/>
        <w:jc w:val="center"/>
        <w:textAlignment w:val="top"/>
        <w:rPr>
          <w:rFonts w:ascii="仿宋" w:hAnsi="仿宋" w:eastAsia="仿宋" w:cs="仿宋"/>
          <w:b/>
          <w:bCs/>
          <w:kern w:val="0"/>
          <w:szCs w:val="28"/>
        </w:rPr>
      </w:pPr>
      <w:r>
        <w:rPr>
          <w:rFonts w:hint="eastAsia" w:ascii="仿宋" w:hAnsi="仿宋" w:eastAsia="仿宋" w:cs="仿宋"/>
          <w:b/>
          <w:bCs/>
          <w:kern w:val="0"/>
          <w:szCs w:val="28"/>
        </w:rPr>
        <w:t>设备清单</w:t>
      </w:r>
    </w:p>
    <w:p>
      <w:pPr>
        <w:ind w:firstLine="281" w:firstLineChars="100"/>
        <w:rPr>
          <w:rFonts w:ascii="仿宋" w:hAnsi="仿宋" w:eastAsia="仿宋" w:cs="仿宋"/>
          <w:b/>
          <w:bCs/>
        </w:rPr>
      </w:pPr>
      <w:r>
        <w:rPr>
          <w:rFonts w:hint="eastAsia" w:ascii="仿宋" w:hAnsi="仿宋" w:eastAsia="仿宋" w:cs="仿宋"/>
          <w:b/>
          <w:bCs/>
        </w:rPr>
        <w:t>2.1、技术参数与要求</w:t>
      </w:r>
    </w:p>
    <w:p>
      <w:pPr>
        <w:ind w:firstLine="562"/>
        <w:rPr>
          <w:rFonts w:ascii="仿宋" w:hAnsi="仿宋" w:eastAsia="仿宋" w:cs="仿宋"/>
          <w:szCs w:val="28"/>
        </w:rPr>
      </w:pPr>
      <w:r>
        <w:rPr>
          <w:rFonts w:hint="eastAsia" w:ascii="仿宋" w:hAnsi="仿宋" w:eastAsia="仿宋" w:cs="仿宋"/>
          <w:b/>
          <w:szCs w:val="28"/>
        </w:rPr>
        <w:t>一、电子资源展示系统参数</w:t>
      </w:r>
    </w:p>
    <w:tbl>
      <w:tblPr>
        <w:tblStyle w:val="7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1.系统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sz w:val="24"/>
                <w:szCs w:val="24"/>
              </w:rPr>
            </w:pPr>
            <w:r>
              <w:rPr>
                <w:rFonts w:hint="eastAsia" w:ascii="仿宋" w:hAnsi="仿宋" w:eastAsia="仿宋" w:cs="仿宋"/>
                <w:color w:val="000000"/>
                <w:kern w:val="0"/>
                <w:sz w:val="24"/>
                <w:szCs w:val="24"/>
              </w:rPr>
              <w:t>1.1</w:t>
            </w:r>
            <w:r>
              <w:rPr>
                <w:rFonts w:hint="eastAsia" w:ascii="仿宋" w:hAnsi="仿宋" w:eastAsia="仿宋" w:cs="仿宋"/>
                <w:sz w:val="24"/>
                <w:szCs w:val="24"/>
              </w:rPr>
              <w:t>基于1080*5760分辨率拼接屏研发，软件运行环境为市场主流操作系统。实现终端平台展示、图书资源管理、借阅等功能模块。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sz w:val="24"/>
                <w:szCs w:val="24"/>
              </w:rPr>
            </w:pPr>
            <w:r>
              <w:rPr>
                <w:rFonts w:hint="eastAsia" w:ascii="仿宋" w:hAnsi="仿宋" w:eastAsia="仿宋" w:cs="仿宋"/>
                <w:color w:val="000000"/>
                <w:kern w:val="0"/>
                <w:sz w:val="24"/>
                <w:szCs w:val="24"/>
              </w:rPr>
              <w:t>1.2 必须具备手机客户端应用，手机</w:t>
            </w:r>
            <w:r>
              <w:rPr>
                <w:rFonts w:hint="eastAsia" w:ascii="仿宋" w:hAnsi="仿宋" w:eastAsia="仿宋" w:cs="仿宋"/>
                <w:sz w:val="24"/>
                <w:szCs w:val="24"/>
              </w:rPr>
              <w:t>客户端是电子书借阅机配套的手机端程序，且可与图书馆正在使用的移动图书馆客户端联机使用。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bookmarkStart w:id="205" w:name="OLE_LINK4"/>
            <w:bookmarkEnd w:id="205"/>
            <w:r>
              <w:rPr>
                <w:rFonts w:hint="eastAsia" w:ascii="仿宋" w:hAnsi="仿宋" w:eastAsia="仿宋" w:cs="仿宋"/>
                <w:sz w:val="24"/>
                <w:szCs w:val="24"/>
              </w:rPr>
              <w:t>通过配套的手机客户端可以直接扫描电子书借阅机上的图书二维码下载图书到手机等移动终端中阅读。手机客户端需同时支持ios、android系统。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1.4 </w:t>
            </w:r>
            <w:r>
              <w:rPr>
                <w:rFonts w:hint="eastAsia" w:ascii="仿宋" w:hAnsi="仿宋" w:eastAsia="仿宋" w:cs="仿宋"/>
                <w:sz w:val="24"/>
                <w:szCs w:val="24"/>
              </w:rPr>
              <w:t>(★)支持远程定时更新，支持一键更新，减少管理成本。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0"/>
              <w:jc w:val="left"/>
              <w:rPr>
                <w:rFonts w:ascii="仿宋" w:hAnsi="仿宋" w:eastAsia="仿宋" w:cs="仿宋"/>
                <w:color w:val="000000"/>
                <w:kern w:val="0"/>
                <w:sz w:val="24"/>
                <w:szCs w:val="24"/>
              </w:rPr>
            </w:pPr>
            <w:bookmarkStart w:id="206" w:name="RANGE!A4"/>
            <w:bookmarkEnd w:id="206"/>
            <w:r>
              <w:rPr>
                <w:rFonts w:hint="eastAsia" w:ascii="仿宋" w:hAnsi="仿宋" w:eastAsia="仿宋" w:cs="仿宋"/>
                <w:color w:val="000000"/>
                <w:kern w:val="0"/>
                <w:sz w:val="24"/>
                <w:szCs w:val="24"/>
              </w:rPr>
              <w:t xml:space="preserve">1.5 </w:t>
            </w:r>
            <w:r>
              <w:rPr>
                <w:rFonts w:hint="eastAsia" w:ascii="仿宋" w:hAnsi="仿宋" w:eastAsia="仿宋" w:cs="仿宋"/>
                <w:sz w:val="24"/>
                <w:szCs w:val="24"/>
              </w:rPr>
              <w:t>(★)通过微信等第三方扫描工具二维码扫描，可提供直接在线阅读原版文本全文，无需下载客户端，并能将图书分享至朋友圈等社交网络。也可根据读者喜好自行选择下载客户端阅读，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2.数字资源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2.1(★)提供不少于3000种正版授权的epub格式电子图书且与原版图书保持原貌一致，如相关图片、目录等，每月定时更新不少于150种热门电子图书。</w:t>
            </w:r>
          </w:p>
          <w:p>
            <w:pPr>
              <w:spacing w:line="240" w:lineRule="auto"/>
              <w:ind w:firstLine="480"/>
              <w:jc w:val="left"/>
              <w:rPr>
                <w:rFonts w:ascii="仿宋" w:hAnsi="仿宋" w:eastAsia="仿宋" w:cs="仿宋"/>
                <w:color w:val="FF0000"/>
                <w:sz w:val="24"/>
                <w:szCs w:val="24"/>
              </w:rPr>
            </w:pPr>
            <w:r>
              <w:rPr>
                <w:rFonts w:hint="eastAsia" w:ascii="仿宋" w:hAnsi="仿宋" w:eastAsia="仿宋" w:cs="仿宋"/>
                <w:color w:val="000000"/>
                <w:kern w:val="0"/>
                <w:sz w:val="24"/>
                <w:szCs w:val="24"/>
              </w:rPr>
              <w:t>2.2</w:t>
            </w:r>
            <w:r>
              <w:rPr>
                <w:rFonts w:hint="eastAsia" w:ascii="仿宋" w:hAnsi="仿宋" w:eastAsia="仿宋" w:cs="仿宋"/>
                <w:sz w:val="24"/>
                <w:szCs w:val="24"/>
              </w:rPr>
              <w:t>视频资源</w:t>
            </w:r>
          </w:p>
          <w:p>
            <w:pPr>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2.2.1视频全部自主拍摄制作，来源可靠</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具备专业的编导、摄像、后期制作、技术服务团队。节目内容合法授权，自主拍摄，自主制作；</w:t>
            </w:r>
          </w:p>
          <w:p>
            <w:pPr>
              <w:pStyle w:val="477"/>
              <w:spacing w:line="240" w:lineRule="auto"/>
              <w:ind w:firstLine="240" w:firstLineChars="100"/>
              <w:rPr>
                <w:rFonts w:ascii="仿宋" w:hAnsi="仿宋" w:eastAsia="仿宋" w:cs="仿宋"/>
                <w:kern w:val="0"/>
                <w:sz w:val="24"/>
                <w:szCs w:val="24"/>
              </w:rPr>
            </w:pPr>
            <w:r>
              <w:rPr>
                <w:rFonts w:hint="eastAsia" w:ascii="仿宋" w:hAnsi="仿宋" w:eastAsia="仿宋" w:cs="仿宋"/>
                <w:kern w:val="0"/>
                <w:sz w:val="24"/>
                <w:szCs w:val="24"/>
              </w:rPr>
              <w:t>拥有完备的数据保障体系和源文件备份、拷贝、应急恢复等流程。</w:t>
            </w:r>
          </w:p>
          <w:p>
            <w:pPr>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2.2.2版权清晰，著作权人直接授权</w:t>
            </w:r>
          </w:p>
          <w:p>
            <w:pPr>
              <w:pStyle w:val="477"/>
              <w:spacing w:line="240" w:lineRule="auto"/>
              <w:ind w:firstLine="240" w:firstLineChars="100"/>
              <w:rPr>
                <w:rFonts w:ascii="仿宋" w:hAnsi="仿宋" w:eastAsia="仿宋" w:cs="仿宋"/>
                <w:kern w:val="0"/>
                <w:sz w:val="24"/>
                <w:szCs w:val="24"/>
              </w:rPr>
            </w:pPr>
            <w:r>
              <w:rPr>
                <w:rFonts w:hint="eastAsia" w:ascii="仿宋" w:hAnsi="仿宋" w:eastAsia="仿宋" w:cs="仿宋"/>
                <w:kern w:val="0"/>
                <w:sz w:val="24"/>
                <w:szCs w:val="24"/>
              </w:rPr>
              <w:t>视频与主讲人直接授权；</w:t>
            </w:r>
          </w:p>
          <w:p>
            <w:pPr>
              <w:pStyle w:val="477"/>
              <w:spacing w:line="240" w:lineRule="auto"/>
              <w:ind w:firstLine="240" w:firstLineChars="100"/>
              <w:rPr>
                <w:rFonts w:ascii="仿宋" w:hAnsi="仿宋" w:eastAsia="仿宋" w:cs="仿宋"/>
                <w:kern w:val="0"/>
                <w:sz w:val="24"/>
                <w:szCs w:val="24"/>
              </w:rPr>
            </w:pPr>
            <w:r>
              <w:rPr>
                <w:rFonts w:hint="eastAsia" w:ascii="仿宋" w:hAnsi="仿宋" w:eastAsia="仿宋" w:cs="仿宋"/>
                <w:kern w:val="0"/>
                <w:sz w:val="24"/>
                <w:szCs w:val="24"/>
              </w:rPr>
              <w:t>授权文件可进行示范或者抽查。</w:t>
            </w:r>
          </w:p>
          <w:p>
            <w:pPr>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2.2.3具备资源特色，与其他平台及网络公开资源无大量重复（小于百分之一）</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未有购买第三方视频内容；</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所有节目均为自主录制及自身平台发布；</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未有盗用、转链网络公开资源；</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与网络第三方资源无有大量重复。</w:t>
            </w:r>
          </w:p>
          <w:p>
            <w:pPr>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2.2.4来源优质、精选讲座</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主讲老师或为来自全国重点高校或机构的知名教授、学者；或为著名艺术家、作家、主持人、医生等；</w:t>
            </w:r>
          </w:p>
          <w:p>
            <w:pPr>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2.2.5每日更新</w:t>
            </w:r>
          </w:p>
          <w:p>
            <w:pPr>
              <w:pStyle w:val="477"/>
              <w:spacing w:line="240" w:lineRule="auto"/>
              <w:ind w:firstLine="480"/>
              <w:rPr>
                <w:rFonts w:ascii="仿宋" w:hAnsi="仿宋" w:eastAsia="仿宋" w:cs="仿宋"/>
                <w:kern w:val="0"/>
                <w:sz w:val="24"/>
                <w:szCs w:val="24"/>
              </w:rPr>
            </w:pPr>
            <w:r>
              <w:rPr>
                <w:rFonts w:hint="eastAsia" w:ascii="仿宋" w:hAnsi="仿宋" w:eastAsia="仿宋" w:cs="仿宋"/>
                <w:kern w:val="0"/>
                <w:sz w:val="24"/>
                <w:szCs w:val="24"/>
              </w:rPr>
              <w:t>产品数据进行每日更新；</w:t>
            </w:r>
          </w:p>
          <w:p>
            <w:pPr>
              <w:pStyle w:val="477"/>
              <w:spacing w:line="240" w:lineRule="auto"/>
              <w:ind w:firstLine="480"/>
            </w:pPr>
            <w:r>
              <w:rPr>
                <w:rFonts w:hint="eastAsia" w:ascii="仿宋" w:hAnsi="仿宋" w:eastAsia="仿宋" w:cs="仿宋"/>
                <w:kern w:val="0"/>
                <w:sz w:val="24"/>
                <w:szCs w:val="24"/>
              </w:rPr>
              <w:t>精选名师，深度编辑，每日更新一场30分钟讲座，全年更新365场；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2.3(★)支持展示专题</w:t>
            </w:r>
            <w:r>
              <w:rPr>
                <w:rFonts w:hint="eastAsia" w:ascii="仿宋" w:hAnsi="仿宋" w:eastAsia="仿宋" w:cs="仿宋"/>
                <w:kern w:val="0"/>
                <w:sz w:val="24"/>
                <w:szCs w:val="24"/>
              </w:rPr>
              <w:t>展示</w:t>
            </w:r>
            <w:r>
              <w:rPr>
                <w:rFonts w:hint="eastAsia" w:ascii="仿宋" w:hAnsi="仿宋" w:eastAsia="仿宋" w:cs="仿宋"/>
                <w:kern w:val="0"/>
                <w:sz w:val="24"/>
                <w:szCs w:val="24"/>
                <w:lang w:val="de-DE"/>
              </w:rPr>
              <w:t>，支持图片、文字、视频、音频等资源混排。可以为馆内量身定做内容，满足图书馆个性化资源、宣传展示等需求。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2.4(★)支持提供专题特色库。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2.5(★)支持专题自建特色库。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2.6(★)图书、专题、视频均可以在线观看，提供扫码带走功能。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2.7(★)支持展示本馆自有版权图片资源。图片以瀑布流形式向下飘落。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2.8(★)图片支持点击放大查看，支持单、多张系列展示。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2.9(★)支持展示本馆自有版权视频资源。视频以瀑布流形式向下飘落。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2.10(★)视频支持单集、系列选集播放展示。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2.1</w:t>
            </w:r>
            <w:r>
              <w:rPr>
                <w:rFonts w:hint="eastAsia" w:ascii="仿宋" w:hAnsi="仿宋" w:eastAsia="仿宋" w:cs="仿宋"/>
                <w:kern w:val="0"/>
                <w:sz w:val="24"/>
                <w:szCs w:val="24"/>
              </w:rPr>
              <w:t>1</w:t>
            </w:r>
            <w:r>
              <w:rPr>
                <w:rFonts w:hint="eastAsia" w:ascii="仿宋" w:hAnsi="仿宋" w:eastAsia="仿宋" w:cs="仿宋"/>
                <w:kern w:val="0"/>
                <w:sz w:val="24"/>
                <w:szCs w:val="24"/>
                <w:lang w:val="de-DE"/>
              </w:rPr>
              <w:t>(★)图书支持定制，根据客户的需求挑选图书。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color w:val="000000"/>
                <w:kern w:val="0"/>
                <w:sz w:val="24"/>
                <w:szCs w:val="24"/>
              </w:rPr>
            </w:pPr>
            <w:r>
              <w:rPr>
                <w:rFonts w:hint="eastAsia" w:ascii="仿宋" w:hAnsi="仿宋" w:eastAsia="仿宋" w:cs="仿宋"/>
                <w:b/>
                <w:color w:val="000000"/>
                <w:kern w:val="0"/>
                <w:sz w:val="24"/>
                <w:szCs w:val="24"/>
              </w:rPr>
              <w:t>3.功能概括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3.1每块拼接屏的资源内容随机排序。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3.2资源的展示方式为流动形式，资源封面由屏幕顶端向下飘落或者由左自右流动，动态流动，循环播放。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3.3支持资源单独、混合展示，资源可按资源类型分类展示。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3.4(★)支持智能切屏功能，实现图书、视频、专题资源快速切换展示。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3.5(★)支持展示多个资源分类展示，自定义分类名称等。如图书（“经典名著”、“历史人文”）。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3.6(★)一码两用，同时支持微信扫描和手机客户端扫描。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3.7(★)支持待机屏保功能，临时或固定展示宣传内容，比如活动预告、欢迎语等。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3.8待机屏保功能支持单、多张待机展示。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3.9支持资源大背景图更换、自定义展示。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3.10(★)每本图书均提供二维码下载功能。图书支持在拼接屏上直接点击阅读，也可以扫码下载阅读。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3.11(★)每个专题均提供扫码功能，可以在拼接屏上点击阅读，也可以扫码带走。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3.12(★)视频资源均提供扫码功能，可以在拼接屏上点击观看，也可以扫码带走。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3.13(★)支持断网离线扫码图书阅读，无网络时亦可正常展示流动，扫码带走。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0"/>
              <w:jc w:val="left"/>
              <w:rPr>
                <w:rFonts w:ascii="仿宋" w:hAnsi="仿宋" w:eastAsia="仿宋" w:cs="仿宋"/>
                <w:b/>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b/>
                <w:color w:val="000000"/>
                <w:kern w:val="0"/>
                <w:sz w:val="24"/>
                <w:szCs w:val="24"/>
              </w:rPr>
              <w:t>配套手机端服务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4.1配套的手机端应具备横屏阅读，夜间模式转换，文字大小调整等功能。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4.2手机客户端可保留相关阅读记录。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4.3(★)手机客户端提供适合智能手机阅读的EPUB格式热门图书。图书支持全文下载，并保存在手机中。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4.4 (★)手机客户端提供不少于2万集的适合智能手机使用的学术视频。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color w:val="000000"/>
                <w:kern w:val="0"/>
                <w:sz w:val="24"/>
                <w:szCs w:val="24"/>
              </w:rPr>
            </w:pPr>
            <w:r>
              <w:rPr>
                <w:rFonts w:hint="eastAsia" w:ascii="仿宋" w:hAnsi="仿宋" w:eastAsia="仿宋" w:cs="仿宋"/>
                <w:b/>
                <w:color w:val="000000"/>
                <w:kern w:val="0"/>
                <w:sz w:val="24"/>
                <w:szCs w:val="24"/>
              </w:rPr>
              <w:t>5.其他要求：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5.</w:t>
            </w:r>
            <w:r>
              <w:rPr>
                <w:rFonts w:hint="eastAsia" w:ascii="仿宋" w:hAnsi="仿宋" w:eastAsia="仿宋" w:cs="仿宋"/>
                <w:kern w:val="0"/>
                <w:sz w:val="24"/>
                <w:szCs w:val="24"/>
              </w:rPr>
              <w:t>1</w:t>
            </w:r>
            <w:r>
              <w:rPr>
                <w:rFonts w:hint="eastAsia" w:ascii="仿宋" w:hAnsi="仿宋" w:eastAsia="仿宋" w:cs="仿宋"/>
                <w:kern w:val="0"/>
                <w:sz w:val="24"/>
                <w:szCs w:val="24"/>
                <w:lang w:val="de-DE"/>
              </w:rPr>
              <w:t xml:space="preserve"> 提供IOS和android主流移动操作系统客户端，提供条码扫描、订阅等功能，设计要符合用户的操作习惯。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shd w:val="clear" w:color="auto" w:fill="auto"/>
            <w:vAlign w:val="bottom"/>
          </w:tcPr>
          <w:p>
            <w:pPr>
              <w:spacing w:line="240" w:lineRule="auto"/>
              <w:ind w:firstLine="480"/>
              <w:jc w:val="left"/>
              <w:rPr>
                <w:rFonts w:ascii="仿宋" w:hAnsi="仿宋" w:eastAsia="仿宋" w:cs="仿宋"/>
                <w:kern w:val="0"/>
                <w:sz w:val="24"/>
                <w:szCs w:val="24"/>
                <w:lang w:val="de-DE"/>
              </w:rPr>
            </w:pPr>
            <w:r>
              <w:rPr>
                <w:rFonts w:hint="eastAsia" w:ascii="仿宋" w:hAnsi="仿宋" w:eastAsia="仿宋" w:cs="仿宋"/>
                <w:kern w:val="0"/>
                <w:sz w:val="24"/>
                <w:szCs w:val="24"/>
                <w:lang w:val="de-DE"/>
              </w:rPr>
              <w:t>5.</w:t>
            </w:r>
            <w:r>
              <w:rPr>
                <w:rFonts w:hint="eastAsia" w:ascii="仿宋" w:hAnsi="仿宋" w:eastAsia="仿宋" w:cs="仿宋"/>
                <w:kern w:val="0"/>
                <w:sz w:val="24"/>
                <w:szCs w:val="24"/>
              </w:rPr>
              <w:t>2</w:t>
            </w:r>
            <w:r>
              <w:rPr>
                <w:rFonts w:hint="eastAsia" w:ascii="仿宋" w:hAnsi="仿宋" w:eastAsia="仿宋" w:cs="仿宋"/>
                <w:kern w:val="0"/>
                <w:sz w:val="24"/>
                <w:szCs w:val="24"/>
                <w:lang w:val="de-DE"/>
              </w:rPr>
              <w:t>系统具备良好的开放性，可以支持二次发。</w:t>
            </w:r>
          </w:p>
        </w:tc>
      </w:tr>
    </w:tbl>
    <w:p>
      <w:pPr>
        <w:ind w:firstLine="562"/>
      </w:pPr>
      <w:r>
        <w:rPr>
          <w:rFonts w:hint="eastAsia"/>
          <w:b/>
          <w:bCs/>
        </w:rPr>
        <w:t>二、</w:t>
      </w:r>
      <w:r>
        <w:rPr>
          <w:rFonts w:hint="eastAsia" w:ascii="仿宋" w:hAnsi="仿宋" w:eastAsia="仿宋" w:cs="仿宋"/>
          <w:b/>
          <w:szCs w:val="28"/>
        </w:rPr>
        <w:t>电子资源展示系统</w:t>
      </w:r>
      <w:r>
        <w:rPr>
          <w:rFonts w:hint="eastAsia"/>
          <w:b/>
          <w:bCs/>
        </w:rPr>
        <w:t>硬件参数：</w:t>
      </w:r>
    </w:p>
    <w:tbl>
      <w:tblPr>
        <w:tblStyle w:val="7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67"/>
        <w:gridCol w:w="1332"/>
        <w:gridCol w:w="1141"/>
        <w:gridCol w:w="4428"/>
        <w:gridCol w:w="916"/>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29" w:hRule="atLeast"/>
          <w:jc w:val="center"/>
        </w:trPr>
        <w:tc>
          <w:tcPr>
            <w:tcW w:w="767"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332"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1141"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型号</w:t>
            </w:r>
          </w:p>
        </w:tc>
        <w:tc>
          <w:tcPr>
            <w:tcW w:w="4428"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产品描述</w:t>
            </w:r>
          </w:p>
        </w:tc>
        <w:tc>
          <w:tcPr>
            <w:tcW w:w="916"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c>
          <w:tcPr>
            <w:tcW w:w="702"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50" w:hRule="atLeast"/>
          <w:jc w:val="center"/>
        </w:trPr>
        <w:tc>
          <w:tcPr>
            <w:tcW w:w="767"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c>
          <w:tcPr>
            <w:tcW w:w="1332"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液晶拼接屏</w:t>
            </w:r>
            <w:r>
              <w:rPr>
                <w:rFonts w:hint="eastAsia" w:ascii="仿宋" w:hAnsi="仿宋" w:eastAsia="仿宋" w:cs="仿宋"/>
                <w:kern w:val="0"/>
                <w:sz w:val="24"/>
                <w:szCs w:val="24"/>
              </w:rPr>
              <w:br w:type="textWrapping"/>
            </w:r>
            <w:r>
              <w:rPr>
                <w:rFonts w:hint="eastAsia" w:ascii="仿宋" w:hAnsi="仿宋" w:eastAsia="仿宋" w:cs="仿宋"/>
                <w:kern w:val="0"/>
                <w:sz w:val="24"/>
                <w:szCs w:val="24"/>
              </w:rPr>
              <w:t>&amp;拼接控制器</w:t>
            </w:r>
          </w:p>
        </w:tc>
        <w:tc>
          <w:tcPr>
            <w:tcW w:w="1141"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p>
        </w:tc>
        <w:tc>
          <w:tcPr>
            <w:tcW w:w="4428"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拼接屏通过</w:t>
            </w:r>
            <w:r>
              <w:rPr>
                <w:rFonts w:ascii="仿宋" w:hAnsi="仿宋" w:eastAsia="仿宋" w:cs="仿宋"/>
                <w:kern w:val="0"/>
                <w:sz w:val="24"/>
                <w:szCs w:val="24"/>
              </w:rPr>
              <w:t>3C强制性产品认证,可提供检测报告；</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面板尺寸：</w:t>
            </w:r>
            <w:r>
              <w:rPr>
                <w:rFonts w:ascii="仿宋" w:hAnsi="仿宋" w:eastAsia="仿宋" w:cs="仿宋"/>
                <w:kern w:val="0"/>
                <w:sz w:val="24"/>
                <w:szCs w:val="24"/>
              </w:rPr>
              <w:t xml:space="preserve">  55"  面板类型： a-Si TFT-LCD, 液晶模组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像素数量：</w:t>
            </w:r>
            <w:r>
              <w:rPr>
                <w:rFonts w:ascii="仿宋" w:hAnsi="仿宋" w:eastAsia="仿宋" w:cs="仿宋"/>
                <w:kern w:val="0"/>
                <w:sz w:val="24"/>
                <w:szCs w:val="24"/>
              </w:rPr>
              <w:t xml:space="preserve"> 1920(RGB)×1080   [FHD]  像素布局： RGB垂直条状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显示区域：</w:t>
            </w:r>
            <w:r>
              <w:rPr>
                <w:rFonts w:ascii="仿宋" w:hAnsi="仿宋" w:eastAsia="仿宋" w:cs="仿宋"/>
                <w:kern w:val="0"/>
                <w:sz w:val="24"/>
                <w:szCs w:val="24"/>
              </w:rPr>
              <w:t xml:space="preserve"> 1209.6(横)×680.4(竖) mm  外观尺寸： 1213.4(横)×684.2(竖) mm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可视尺寸：</w:t>
            </w:r>
            <w:r>
              <w:rPr>
                <w:rFonts w:ascii="仿宋" w:hAnsi="仿宋" w:eastAsia="仿宋" w:cs="仿宋"/>
                <w:kern w:val="0"/>
                <w:sz w:val="24"/>
                <w:szCs w:val="24"/>
              </w:rPr>
              <w:t xml:space="preserve"> 1209.8(横)×680.6(竖) mm  表面处理： 雾面 (Haze 44%)，Hard coating (3H)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面板亮度：</w:t>
            </w:r>
            <w:r>
              <w:rPr>
                <w:rFonts w:ascii="仿宋" w:hAnsi="仿宋" w:eastAsia="仿宋" w:cs="仿宋"/>
                <w:kern w:val="0"/>
                <w:sz w:val="24"/>
                <w:szCs w:val="24"/>
              </w:rPr>
              <w:t xml:space="preserve"> 500 cd/m² (Typ.)  对比度： 3000 : 1 (Typ.) [透射]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可视角度：</w:t>
            </w:r>
            <w:r>
              <w:rPr>
                <w:rFonts w:ascii="仿宋" w:hAnsi="仿宋" w:eastAsia="仿宋" w:cs="仿宋"/>
                <w:kern w:val="0"/>
                <w:sz w:val="24"/>
                <w:szCs w:val="24"/>
              </w:rPr>
              <w:t xml:space="preserve"> 89/89/89/89 (Min.)(CR≥10)   工作模式： SVA，常黑显示，透射式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显示颜色：</w:t>
            </w:r>
            <w:r>
              <w:rPr>
                <w:rFonts w:ascii="仿宋" w:hAnsi="仿宋" w:eastAsia="仿宋" w:cs="仿宋"/>
                <w:kern w:val="0"/>
                <w:sz w:val="24"/>
                <w:szCs w:val="24"/>
              </w:rPr>
              <w:t xml:space="preserve"> 16.7M , 72% [CIE1931]  反应时间： 8 (Typ.)(G to G) ms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工作频率：</w:t>
            </w:r>
            <w:r>
              <w:rPr>
                <w:rFonts w:ascii="仿宋" w:hAnsi="仿宋" w:eastAsia="仿宋" w:cs="仿宋"/>
                <w:kern w:val="0"/>
                <w:sz w:val="24"/>
                <w:szCs w:val="24"/>
              </w:rPr>
              <w:t xml:space="preserve"> 60Hz  灯管类型： WLED , 50K小时 , 含LED驱动器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工作环境</w:t>
            </w:r>
            <w:r>
              <w:rPr>
                <w:rFonts w:ascii="仿宋" w:hAnsi="仿宋" w:eastAsia="仿宋" w:cs="仿宋"/>
                <w:kern w:val="0"/>
                <w:sz w:val="24"/>
                <w:szCs w:val="24"/>
              </w:rPr>
              <w:t xml:space="preserve">: 工作温度: 0 ~ 50 °C ; 存储温度: -20 ~ 60 °C  存储温度: -20 ~ 65 °C    工作温度: 0 ~ 50 °C  </w:t>
            </w:r>
          </w:p>
        </w:tc>
        <w:tc>
          <w:tcPr>
            <w:tcW w:w="916" w:type="dxa"/>
            <w:vMerge w:val="restart"/>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702"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4台（拼接数量可根据场地实际情况进行调节）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767" w:type="dxa"/>
            <w:vMerge w:val="continue"/>
            <w:shd w:val="clear" w:color="auto" w:fill="auto"/>
            <w:vAlign w:val="center"/>
          </w:tcPr>
          <w:p>
            <w:pPr>
              <w:widowControl/>
              <w:spacing w:line="240" w:lineRule="auto"/>
              <w:ind w:firstLine="0" w:firstLineChars="0"/>
              <w:rPr>
                <w:rFonts w:ascii="仿宋" w:hAnsi="仿宋" w:eastAsia="仿宋" w:cs="仿宋"/>
                <w:kern w:val="0"/>
                <w:sz w:val="24"/>
                <w:szCs w:val="24"/>
              </w:rPr>
            </w:pPr>
          </w:p>
        </w:tc>
        <w:tc>
          <w:tcPr>
            <w:tcW w:w="1332"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c>
          <w:tcPr>
            <w:tcW w:w="1141"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c>
          <w:tcPr>
            <w:tcW w:w="4428"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c>
          <w:tcPr>
            <w:tcW w:w="916" w:type="dxa"/>
            <w:vMerge w:val="continue"/>
            <w:shd w:val="clear" w:color="auto" w:fill="auto"/>
            <w:vAlign w:val="center"/>
          </w:tcPr>
          <w:p>
            <w:pPr>
              <w:widowControl/>
              <w:spacing w:line="240" w:lineRule="auto"/>
              <w:ind w:firstLine="480"/>
              <w:jc w:val="center"/>
              <w:rPr>
                <w:rFonts w:ascii="仿宋" w:hAnsi="仿宋" w:eastAsia="仿宋" w:cs="仿宋"/>
                <w:kern w:val="0"/>
                <w:sz w:val="24"/>
                <w:szCs w:val="24"/>
              </w:rPr>
            </w:pPr>
          </w:p>
        </w:tc>
        <w:tc>
          <w:tcPr>
            <w:tcW w:w="702"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05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2</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多屏显卡</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p>
        </w:tc>
        <w:tc>
          <w:tcPr>
            <w:tcW w:w="4428" w:type="dxa"/>
            <w:shd w:val="clear" w:color="auto" w:fill="auto"/>
            <w:vAlign w:val="center"/>
          </w:tcPr>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显存容量</w:t>
            </w:r>
            <w:r>
              <w:rPr>
                <w:rFonts w:ascii="仿宋" w:hAnsi="仿宋" w:eastAsia="仿宋" w:cs="仿宋"/>
                <w:kern w:val="0"/>
                <w:sz w:val="24"/>
                <w:szCs w:val="24"/>
              </w:rPr>
              <w:t>:2G</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显存类型</w:t>
            </w:r>
            <w:r>
              <w:rPr>
                <w:rFonts w:ascii="仿宋" w:hAnsi="仿宋" w:eastAsia="仿宋" w:cs="仿宋"/>
                <w:kern w:val="0"/>
                <w:sz w:val="24"/>
                <w:szCs w:val="24"/>
              </w:rPr>
              <w:t>:GDDR5</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显存位宽</w:t>
            </w:r>
            <w:r>
              <w:rPr>
                <w:rFonts w:ascii="仿宋" w:hAnsi="仿宋" w:eastAsia="仿宋" w:cs="仿宋"/>
                <w:kern w:val="0"/>
                <w:sz w:val="24"/>
                <w:szCs w:val="24"/>
              </w:rPr>
              <w:t>:128-bit</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显存频率</w:t>
            </w:r>
            <w:r>
              <w:rPr>
                <w:rFonts w:ascii="仿宋" w:hAnsi="仿宋" w:eastAsia="仿宋" w:cs="仿宋"/>
                <w:kern w:val="0"/>
                <w:sz w:val="24"/>
                <w:szCs w:val="24"/>
              </w:rPr>
              <w:t>:其它</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规格</w:t>
            </w:r>
            <w:r>
              <w:rPr>
                <w:rFonts w:ascii="仿宋" w:hAnsi="仿宋" w:eastAsia="仿宋" w:cs="仿宋"/>
                <w:kern w:val="0"/>
                <w:sz w:val="24"/>
                <w:szCs w:val="24"/>
              </w:rPr>
              <w:t>:</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最大分辨率</w:t>
            </w:r>
            <w:r>
              <w:rPr>
                <w:rFonts w:ascii="仿宋" w:hAnsi="仿宋" w:eastAsia="仿宋" w:cs="仿宋"/>
                <w:kern w:val="0"/>
                <w:sz w:val="24"/>
                <w:szCs w:val="24"/>
              </w:rPr>
              <w:t>:5120x2880 @ 60Hz</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电源接口</w:t>
            </w:r>
            <w:r>
              <w:rPr>
                <w:rFonts w:ascii="仿宋" w:hAnsi="仿宋" w:eastAsia="仿宋" w:cs="仿宋"/>
                <w:kern w:val="0"/>
                <w:sz w:val="24"/>
                <w:szCs w:val="24"/>
              </w:rPr>
              <w:t>:无</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散热器类型</w:t>
            </w:r>
            <w:r>
              <w:rPr>
                <w:rFonts w:ascii="仿宋" w:hAnsi="仿宋" w:eastAsia="仿宋" w:cs="仿宋"/>
                <w:kern w:val="0"/>
                <w:sz w:val="24"/>
                <w:szCs w:val="24"/>
              </w:rPr>
              <w:t>:风冷</w:t>
            </w:r>
          </w:p>
          <w:p>
            <w:pPr>
              <w:widowControl/>
              <w:ind w:firstLine="0" w:firstLineChars="0"/>
              <w:jc w:val="left"/>
              <w:rPr>
                <w:rFonts w:ascii="仿宋" w:hAnsi="仿宋" w:eastAsia="仿宋" w:cs="仿宋"/>
                <w:kern w:val="0"/>
                <w:sz w:val="24"/>
                <w:szCs w:val="24"/>
              </w:rPr>
            </w:pPr>
            <w:r>
              <w:rPr>
                <w:rFonts w:ascii="仿宋" w:hAnsi="仿宋" w:eastAsia="仿宋" w:cs="仿宋"/>
                <w:kern w:val="0"/>
                <w:sz w:val="24"/>
                <w:szCs w:val="24"/>
              </w:rPr>
              <w:t>SLI:不支持</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特性尺寸长</w:t>
            </w:r>
            <w:r>
              <w:rPr>
                <w:rFonts w:ascii="仿宋" w:hAnsi="仿宋" w:eastAsia="仿宋" w:cs="仿宋"/>
                <w:kern w:val="0"/>
                <w:sz w:val="24"/>
                <w:szCs w:val="24"/>
              </w:rPr>
              <w:t>:14cm宽7cm</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功耗</w:t>
            </w:r>
            <w:r>
              <w:rPr>
                <w:rFonts w:ascii="仿宋" w:hAnsi="仿宋" w:eastAsia="仿宋" w:cs="仿宋"/>
                <w:kern w:val="0"/>
                <w:sz w:val="24"/>
                <w:szCs w:val="24"/>
              </w:rPr>
              <w:t>:40W</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接口类型</w:t>
            </w:r>
            <w:r>
              <w:rPr>
                <w:rFonts w:ascii="仿宋" w:hAnsi="仿宋" w:eastAsia="仿宋" w:cs="仿宋"/>
                <w:kern w:val="0"/>
                <w:sz w:val="24"/>
                <w:szCs w:val="24"/>
              </w:rPr>
              <w:t>:PCI-E 3.0</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54"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3</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触摸框</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触摸书写系统</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 xml:space="preserve">集成方式 无缝内置，嵌入式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触摸技术 红外多点触摸技术，标配</w:t>
            </w:r>
            <w:r>
              <w:rPr>
                <w:rFonts w:ascii="仿宋" w:hAnsi="仿宋" w:eastAsia="仿宋" w:cs="仿宋"/>
                <w:kern w:val="0"/>
                <w:sz w:val="24"/>
                <w:szCs w:val="24"/>
              </w:rPr>
              <w:t>10</w:t>
            </w:r>
            <w:r>
              <w:rPr>
                <w:rFonts w:hint="eastAsia" w:ascii="仿宋" w:hAnsi="仿宋" w:eastAsia="仿宋" w:cs="仿宋"/>
                <w:kern w:val="0"/>
                <w:sz w:val="24"/>
                <w:szCs w:val="24"/>
              </w:rPr>
              <w:t xml:space="preserve">点触摸控制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书写方式 手指、笔；或其它任何非透明物体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响应时间 5ms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定位精度 ±1.5mm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触摸分辨率 4096x4096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触摸有效识别 ≥2.5mm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计算机响应 系统自动识别 </w:t>
            </w:r>
            <w:r>
              <w:rPr>
                <w:rFonts w:hint="eastAsia" w:ascii="仿宋" w:hAnsi="仿宋" w:eastAsia="仿宋" w:cs="仿宋"/>
                <w:kern w:val="0"/>
                <w:sz w:val="24"/>
                <w:szCs w:val="24"/>
              </w:rPr>
              <w:br w:type="textWrapping"/>
            </w:r>
            <w:r>
              <w:rPr>
                <w:rFonts w:hint="eastAsia" w:ascii="仿宋" w:hAnsi="仿宋" w:eastAsia="仿宋" w:cs="仿宋"/>
                <w:kern w:val="0"/>
                <w:sz w:val="24"/>
                <w:szCs w:val="24"/>
              </w:rPr>
              <w:t>通信方式 全速USB2.0 六点触摸，触摸灵敏度高</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4</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壁挂支架</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铝型材支架，材质坚固、不易变形</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8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5</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线材</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工业级内屏蔽HDMI线材，99%无氧铜，外表尼龙层加铝箔麦拉层包裹。</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8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6</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拼接显示控制系统</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支持单屏、多屏信号调整；可灵活的将多个屏幕拼接组合；可调整屏幕亮度、对比度、颜色等；</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7</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配件辅料</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包含6孔插排、工业级电源线、R232控制线、USB转串口转接头等</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8</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控制主机</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机箱：支持</w:t>
            </w:r>
            <w:r>
              <w:rPr>
                <w:rFonts w:ascii="仿宋" w:hAnsi="仿宋" w:eastAsia="仿宋" w:cs="仿宋"/>
                <w:kern w:val="0"/>
                <w:sz w:val="24"/>
                <w:szCs w:val="24"/>
              </w:rPr>
              <w:t>ATX/M-ATX/ITX板</w:t>
            </w:r>
          </w:p>
          <w:p>
            <w:pPr>
              <w:widowControl/>
              <w:ind w:firstLine="0" w:firstLineChars="0"/>
              <w:jc w:val="left"/>
              <w:rPr>
                <w:rFonts w:ascii="仿宋" w:hAnsi="仿宋" w:eastAsia="仿宋" w:cs="仿宋"/>
                <w:kern w:val="0"/>
                <w:sz w:val="24"/>
                <w:szCs w:val="24"/>
              </w:rPr>
            </w:pPr>
            <w:r>
              <w:rPr>
                <w:rFonts w:ascii="仿宋" w:hAnsi="仿宋" w:eastAsia="仿宋" w:cs="仿宋"/>
                <w:kern w:val="0"/>
                <w:sz w:val="24"/>
                <w:szCs w:val="24"/>
              </w:rPr>
              <w:t>CPU:I7-7400及以上</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内存：</w:t>
            </w:r>
            <w:r>
              <w:rPr>
                <w:rFonts w:ascii="仿宋" w:hAnsi="仿宋" w:eastAsia="仿宋" w:cs="仿宋"/>
                <w:kern w:val="0"/>
                <w:sz w:val="24"/>
                <w:szCs w:val="24"/>
              </w:rPr>
              <w:t>DDR4-8G(刷新率2400及以上)</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主板</w:t>
            </w:r>
            <w:r>
              <w:rPr>
                <w:rFonts w:ascii="仿宋" w:hAnsi="仿宋" w:eastAsia="仿宋" w:cs="仿宋"/>
                <w:kern w:val="0"/>
                <w:sz w:val="24"/>
                <w:szCs w:val="24"/>
              </w:rPr>
              <w:t>:B250-M-ATX(支持M2硬盘)</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硬盘：</w:t>
            </w:r>
            <w:r>
              <w:rPr>
                <w:rFonts w:ascii="仿宋" w:hAnsi="仿宋" w:eastAsia="仿宋" w:cs="仿宋"/>
                <w:kern w:val="0"/>
                <w:sz w:val="24"/>
                <w:szCs w:val="24"/>
              </w:rPr>
              <w:t>M2高速固态硬盘(120G-128G)</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电源：</w:t>
            </w:r>
            <w:r>
              <w:rPr>
                <w:rFonts w:ascii="仿宋" w:hAnsi="仿宋" w:eastAsia="仿宋" w:cs="仿宋"/>
                <w:kern w:val="0"/>
                <w:sz w:val="24"/>
                <w:szCs w:val="24"/>
              </w:rPr>
              <w:t>400w及以上</w:t>
            </w:r>
            <w:r>
              <w:rPr>
                <w:rFonts w:hint="eastAsia" w:ascii="仿宋" w:hAnsi="仿宋" w:eastAsia="仿宋" w:cs="仿宋"/>
                <w:kern w:val="0"/>
                <w:sz w:val="24"/>
                <w:szCs w:val="24"/>
              </w:rPr>
              <w:t xml:space="preserve">  </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台</w:t>
            </w:r>
          </w:p>
        </w:tc>
        <w:tc>
          <w:tcPr>
            <w:tcW w:w="70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r>
    </w:tbl>
    <w:p>
      <w:pPr>
        <w:ind w:firstLine="560"/>
      </w:pPr>
      <w:r>
        <w:rPr>
          <w:rFonts w:hint="eastAsia" w:ascii="仿宋" w:hAnsi="仿宋" w:eastAsia="仿宋" w:cs="仿宋"/>
          <w:szCs w:val="28"/>
        </w:rPr>
        <w:br w:type="page"/>
      </w:r>
      <w:r>
        <w:t xml:space="preserve"> </w:t>
      </w:r>
    </w:p>
    <w:p>
      <w:pPr>
        <w:ind w:firstLine="440"/>
        <w:rPr>
          <w:rFonts w:ascii="微软雅黑" w:hAnsi="微软雅黑" w:eastAsia="微软雅黑"/>
          <w:b/>
          <w:sz w:val="22"/>
          <w:szCs w:val="32"/>
        </w:rPr>
      </w:pPr>
    </w:p>
    <w:p>
      <w:pPr>
        <w:ind w:firstLine="0" w:firstLineChars="0"/>
        <w:rPr>
          <w:rFonts w:ascii="仿宋" w:hAnsi="仿宋" w:eastAsia="仿宋" w:cs="仿宋"/>
          <w:b/>
          <w:szCs w:val="28"/>
        </w:rPr>
      </w:pPr>
      <w:r>
        <w:rPr>
          <w:rFonts w:hint="eastAsia" w:ascii="仿宋" w:hAnsi="仿宋" w:eastAsia="仿宋" w:cs="仿宋"/>
          <w:b/>
          <w:bCs/>
        </w:rPr>
        <w:t>三、电子触摸屏</w:t>
      </w:r>
      <w:r>
        <w:rPr>
          <w:rFonts w:hint="eastAsia" w:ascii="仿宋" w:hAnsi="仿宋" w:eastAsia="仿宋" w:cs="仿宋"/>
          <w:b/>
          <w:szCs w:val="28"/>
        </w:rPr>
        <w:t>参数</w:t>
      </w:r>
    </w:p>
    <w:tbl>
      <w:tblPr>
        <w:tblStyle w:val="7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color w:val="000000"/>
                <w:kern w:val="0"/>
                <w:sz w:val="24"/>
                <w:szCs w:val="24"/>
              </w:rPr>
            </w:pPr>
            <w:r>
              <w:rPr>
                <w:rFonts w:hint="eastAsia" w:ascii="仿宋" w:hAnsi="仿宋" w:eastAsia="仿宋" w:cs="仿宋"/>
                <w:b/>
                <w:color w:val="000000"/>
                <w:kern w:val="0"/>
                <w:sz w:val="24"/>
                <w:szCs w:val="24"/>
              </w:rPr>
              <w:t>1.功能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2.1(★)图书资源管理：支持图书定制，图书更新，推送不同的图书资源。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2.2(★)图书借阅：通过第三方扫描工具或配套的手机客户端，扫描图书二维码，即可阅读以及下载至只能终端。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2.3(★)图片展示：支持单张以及多张图片集展示。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2.4(★)音、视频资源观看：支持音频以及视频资源的展示以及播放。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2.5(★)文章资讯类资源展示：支持纯文本、图文类资源展示和查看。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2.6(★)个性化定制：首页设计风格、资源类型、展示形式、内容主题等可根据用户的需求，针对用户特点进行个性化定制。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2.7(★)风格系列：提供图书长廊、名人墙、书画长廊、时间轴等系列风格供用户选择。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2.8(★)资源整合：可按标准整合采购方已有文献资源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2.资源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2.1(★)</w:t>
            </w:r>
            <w:r>
              <w:rPr>
                <w:rFonts w:hint="eastAsia" w:ascii="仿宋" w:hAnsi="仿宋" w:eastAsia="仿宋" w:cs="仿宋"/>
                <w:color w:val="FF0000"/>
                <w:kern w:val="0"/>
                <w:sz w:val="24"/>
                <w:szCs w:val="24"/>
              </w:rPr>
              <w:t>内置不少于1000种</w:t>
            </w:r>
            <w:r>
              <w:rPr>
                <w:rFonts w:hint="eastAsia" w:ascii="仿宋" w:hAnsi="仿宋" w:eastAsia="仿宋" w:cs="仿宋"/>
                <w:kern w:val="0"/>
                <w:sz w:val="24"/>
                <w:szCs w:val="24"/>
              </w:rPr>
              <w:t>正版授权的epub格式电子图书且与原版图书保持原貌一致，如相关图片、目录等，每月定时更新不少于150种热门电子图书。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2.2(★)每本图书均提供二维码下载功能。图书支持在拼接屏上直接点击阅读，也可以扫码下载阅读。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2.3(★)图书支持定制，根据客户的需求挑选图书。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color w:val="000000"/>
                <w:kern w:val="0"/>
                <w:sz w:val="24"/>
                <w:szCs w:val="24"/>
              </w:rPr>
            </w:pPr>
            <w:r>
              <w:rPr>
                <w:rFonts w:hint="eastAsia" w:ascii="仿宋" w:hAnsi="仿宋" w:eastAsia="仿宋" w:cs="仿宋"/>
                <w:b/>
                <w:color w:val="000000"/>
                <w:kern w:val="0"/>
                <w:sz w:val="24"/>
                <w:szCs w:val="24"/>
              </w:rPr>
              <w:t>3.配套手机端服务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3.1配套的手机端应具备横屏阅读，夜间模式转换，文字大小调整等功能。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3.2手机客户端可保留相关阅读记录。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3.3(★)手机客户端提供适合智能手机阅读的EPUB格式热门图书。图书支持全文下载，并保存在手机中。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3.4 (★)手机客户端提供不少于2万集的适合智能手机使用的学术视频。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3.5(★)手机客户端提供有声读物资源，支持在线听书。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before="100" w:beforeAutospacing="1" w:after="100" w:afterAutospacing="1" w:line="240" w:lineRule="auto"/>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4.其他要求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4.1 提供IOS和android主流移动操作系统客户端，提供条码扫描、订阅等功能，设计要符合用户的操作习惯。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92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ind w:firstLine="559" w:firstLineChars="233"/>
              <w:rPr>
                <w:rFonts w:ascii="仿宋" w:hAnsi="仿宋" w:eastAsia="仿宋" w:cs="仿宋"/>
                <w:kern w:val="0"/>
                <w:sz w:val="24"/>
                <w:szCs w:val="24"/>
              </w:rPr>
            </w:pPr>
            <w:r>
              <w:rPr>
                <w:rFonts w:hint="eastAsia" w:ascii="仿宋" w:hAnsi="仿宋" w:eastAsia="仿宋" w:cs="仿宋"/>
                <w:kern w:val="0"/>
                <w:sz w:val="24"/>
                <w:szCs w:val="24"/>
              </w:rPr>
              <w:t>4.2系统具备良好的开放性，可以支持二次开发。</w:t>
            </w:r>
          </w:p>
        </w:tc>
      </w:tr>
    </w:tbl>
    <w:p>
      <w:pPr>
        <w:pStyle w:val="2"/>
        <w:ind w:firstLine="420"/>
      </w:pPr>
    </w:p>
    <w:p>
      <w:pPr>
        <w:ind w:firstLine="562"/>
      </w:pPr>
      <w:bookmarkStart w:id="207" w:name="_Toc23225"/>
      <w:r>
        <w:rPr>
          <w:rFonts w:hint="eastAsia"/>
          <w:b/>
          <w:bCs/>
        </w:rPr>
        <w:t>四、硬件参数（电子触摸屏）：</w:t>
      </w:r>
    </w:p>
    <w:tbl>
      <w:tblPr>
        <w:tblStyle w:val="78"/>
        <w:tblW w:w="85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767"/>
        <w:gridCol w:w="1332"/>
        <w:gridCol w:w="1141"/>
        <w:gridCol w:w="4428"/>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29" w:hRule="atLeast"/>
          <w:jc w:val="center"/>
        </w:trPr>
        <w:tc>
          <w:tcPr>
            <w:tcW w:w="767"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1332"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设备名称</w:t>
            </w:r>
          </w:p>
        </w:tc>
        <w:tc>
          <w:tcPr>
            <w:tcW w:w="1141"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型号</w:t>
            </w:r>
          </w:p>
        </w:tc>
        <w:tc>
          <w:tcPr>
            <w:tcW w:w="4428"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产品描述</w:t>
            </w:r>
          </w:p>
        </w:tc>
        <w:tc>
          <w:tcPr>
            <w:tcW w:w="916" w:type="dxa"/>
            <w:shd w:val="clear" w:color="auto" w:fill="auto"/>
            <w:vAlign w:val="center"/>
          </w:tcPr>
          <w:p>
            <w:pPr>
              <w:widowControl/>
              <w:spacing w:line="240" w:lineRule="auto"/>
              <w:ind w:firstLine="0" w:firstLineChars="0"/>
              <w:jc w:val="center"/>
              <w:rPr>
                <w:rFonts w:ascii="仿宋" w:hAnsi="仿宋" w:eastAsia="仿宋" w:cs="仿宋"/>
                <w:b/>
                <w:bCs/>
                <w:kern w:val="0"/>
                <w:sz w:val="24"/>
                <w:szCs w:val="24"/>
              </w:rPr>
            </w:pPr>
            <w:r>
              <w:rPr>
                <w:rFonts w:hint="eastAsia" w:ascii="仿宋" w:hAnsi="仿宋" w:eastAsia="仿宋" w:cs="仿宋"/>
                <w:b/>
                <w:bCs/>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50" w:hRule="atLeast"/>
          <w:jc w:val="center"/>
        </w:trPr>
        <w:tc>
          <w:tcPr>
            <w:tcW w:w="767"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1</w:t>
            </w:r>
          </w:p>
        </w:tc>
        <w:tc>
          <w:tcPr>
            <w:tcW w:w="1332"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液晶屏</w:t>
            </w:r>
            <w:r>
              <w:rPr>
                <w:rFonts w:hint="eastAsia" w:ascii="仿宋" w:hAnsi="仿宋" w:eastAsia="仿宋" w:cs="仿宋"/>
                <w:kern w:val="0"/>
                <w:sz w:val="24"/>
                <w:szCs w:val="24"/>
              </w:rPr>
              <w:br w:type="textWrapping"/>
            </w:r>
          </w:p>
        </w:tc>
        <w:tc>
          <w:tcPr>
            <w:tcW w:w="1141"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p>
        </w:tc>
        <w:tc>
          <w:tcPr>
            <w:tcW w:w="4428" w:type="dxa"/>
            <w:vMerge w:val="restart"/>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拼接屏通过</w:t>
            </w:r>
            <w:r>
              <w:rPr>
                <w:rFonts w:ascii="仿宋" w:hAnsi="仿宋" w:eastAsia="仿宋" w:cs="仿宋"/>
                <w:kern w:val="0"/>
                <w:sz w:val="24"/>
                <w:szCs w:val="24"/>
              </w:rPr>
              <w:t>3C强制性产品认证,可提供检测报告；</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面板尺寸：</w:t>
            </w:r>
            <w:r>
              <w:rPr>
                <w:rFonts w:ascii="仿宋" w:hAnsi="仿宋" w:eastAsia="仿宋" w:cs="仿宋"/>
                <w:kern w:val="0"/>
                <w:sz w:val="24"/>
                <w:szCs w:val="24"/>
              </w:rPr>
              <w:t xml:space="preserve">  55"  面板类型： a-Si TFT-LCD, 液晶模组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像素数量：</w:t>
            </w:r>
            <w:r>
              <w:rPr>
                <w:rFonts w:ascii="仿宋" w:hAnsi="仿宋" w:eastAsia="仿宋" w:cs="仿宋"/>
                <w:kern w:val="0"/>
                <w:sz w:val="24"/>
                <w:szCs w:val="24"/>
              </w:rPr>
              <w:t xml:space="preserve"> 1920(RGB)×1080   [FHD]  像素布局： RGB垂直条状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显示区域：</w:t>
            </w:r>
            <w:r>
              <w:rPr>
                <w:rFonts w:ascii="仿宋" w:hAnsi="仿宋" w:eastAsia="仿宋" w:cs="仿宋"/>
                <w:kern w:val="0"/>
                <w:sz w:val="24"/>
                <w:szCs w:val="24"/>
              </w:rPr>
              <w:t xml:space="preserve"> 1209.6(横)×680.4(竖) mm  外观尺寸： 1213.4(横)×684.2(竖) mm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可视尺寸：</w:t>
            </w:r>
            <w:r>
              <w:rPr>
                <w:rFonts w:ascii="仿宋" w:hAnsi="仿宋" w:eastAsia="仿宋" w:cs="仿宋"/>
                <w:kern w:val="0"/>
                <w:sz w:val="24"/>
                <w:szCs w:val="24"/>
              </w:rPr>
              <w:t xml:space="preserve"> 1209.8(横)×680.6(竖) mm  表面处理： 雾面 (Haze 44%)，Hard coating (3H)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面板亮度：</w:t>
            </w:r>
            <w:r>
              <w:rPr>
                <w:rFonts w:ascii="仿宋" w:hAnsi="仿宋" w:eastAsia="仿宋" w:cs="仿宋"/>
                <w:kern w:val="0"/>
                <w:sz w:val="24"/>
                <w:szCs w:val="24"/>
              </w:rPr>
              <w:t xml:space="preserve"> 500 cd/m² (Typ.)  对比度： 3000 : 1 (Typ.) [透射]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可视角度：</w:t>
            </w:r>
            <w:r>
              <w:rPr>
                <w:rFonts w:ascii="仿宋" w:hAnsi="仿宋" w:eastAsia="仿宋" w:cs="仿宋"/>
                <w:kern w:val="0"/>
                <w:sz w:val="24"/>
                <w:szCs w:val="24"/>
              </w:rPr>
              <w:t xml:space="preserve"> 89/89/89/89 (Min.)(CR≥10)   工作模式： SVA，常黑显示，透射式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显示颜色：</w:t>
            </w:r>
            <w:r>
              <w:rPr>
                <w:rFonts w:ascii="仿宋" w:hAnsi="仿宋" w:eastAsia="仿宋" w:cs="仿宋"/>
                <w:kern w:val="0"/>
                <w:sz w:val="24"/>
                <w:szCs w:val="24"/>
              </w:rPr>
              <w:t xml:space="preserve"> 16.7M , 72% [CIE1931]  反应时间： 8 (Typ.)(G to G) ms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工作频率：</w:t>
            </w:r>
            <w:r>
              <w:rPr>
                <w:rFonts w:ascii="仿宋" w:hAnsi="仿宋" w:eastAsia="仿宋" w:cs="仿宋"/>
                <w:kern w:val="0"/>
                <w:sz w:val="24"/>
                <w:szCs w:val="24"/>
              </w:rPr>
              <w:t xml:space="preserve"> 60Hz  灯管类型： WLED , 50K小时 , 含LED驱动器 </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工作环境</w:t>
            </w:r>
            <w:r>
              <w:rPr>
                <w:rFonts w:ascii="仿宋" w:hAnsi="仿宋" w:eastAsia="仿宋" w:cs="仿宋"/>
                <w:kern w:val="0"/>
                <w:sz w:val="24"/>
                <w:szCs w:val="24"/>
              </w:rPr>
              <w:t xml:space="preserve">: 工作温度: 0 ~ 50 °C ; 存储温度: -20 ~ 60 °C  存储温度: -20 ~ 65 °C    工作温度: 0 ~ 50 °C  </w:t>
            </w:r>
          </w:p>
        </w:tc>
        <w:tc>
          <w:tcPr>
            <w:tcW w:w="916" w:type="dxa"/>
            <w:vMerge w:val="restart"/>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780" w:hRule="atLeast"/>
          <w:jc w:val="center"/>
        </w:trPr>
        <w:tc>
          <w:tcPr>
            <w:tcW w:w="767" w:type="dxa"/>
            <w:vMerge w:val="continue"/>
            <w:shd w:val="clear" w:color="auto" w:fill="auto"/>
            <w:vAlign w:val="center"/>
          </w:tcPr>
          <w:p>
            <w:pPr>
              <w:widowControl/>
              <w:spacing w:line="240" w:lineRule="auto"/>
              <w:ind w:firstLine="0" w:firstLineChars="0"/>
              <w:rPr>
                <w:rFonts w:ascii="仿宋" w:hAnsi="仿宋" w:eastAsia="仿宋" w:cs="仿宋"/>
                <w:kern w:val="0"/>
                <w:sz w:val="24"/>
                <w:szCs w:val="24"/>
              </w:rPr>
            </w:pPr>
          </w:p>
        </w:tc>
        <w:tc>
          <w:tcPr>
            <w:tcW w:w="1332"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c>
          <w:tcPr>
            <w:tcW w:w="1141"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c>
          <w:tcPr>
            <w:tcW w:w="4428" w:type="dxa"/>
            <w:vMerge w:val="continue"/>
            <w:shd w:val="clear" w:color="auto" w:fill="auto"/>
            <w:vAlign w:val="center"/>
          </w:tcPr>
          <w:p>
            <w:pPr>
              <w:widowControl/>
              <w:spacing w:line="240" w:lineRule="auto"/>
              <w:ind w:firstLine="480"/>
              <w:jc w:val="left"/>
              <w:rPr>
                <w:rFonts w:ascii="仿宋" w:hAnsi="仿宋" w:eastAsia="仿宋" w:cs="仿宋"/>
                <w:kern w:val="0"/>
                <w:sz w:val="24"/>
                <w:szCs w:val="24"/>
              </w:rPr>
            </w:pPr>
          </w:p>
        </w:tc>
        <w:tc>
          <w:tcPr>
            <w:tcW w:w="916" w:type="dxa"/>
            <w:vMerge w:val="continue"/>
            <w:shd w:val="clear" w:color="auto" w:fill="auto"/>
            <w:vAlign w:val="center"/>
          </w:tcPr>
          <w:p>
            <w:pPr>
              <w:widowControl/>
              <w:spacing w:line="240" w:lineRule="auto"/>
              <w:ind w:firstLine="48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12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2</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壁挂支架</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铝型材支架，材质坚固、不易变形</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8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3</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线材</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工业级内屏蔽HDMI线材，99%无氧铜，外表尼龙层加铝箔麦拉层包裹。</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4</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配件辅料</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包含6孔插排、工业级电源线、R232控制线、USB转串口转接头等</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645" w:hRule="atLeast"/>
          <w:jc w:val="center"/>
        </w:trPr>
        <w:tc>
          <w:tcPr>
            <w:tcW w:w="767"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5</w:t>
            </w:r>
          </w:p>
        </w:tc>
        <w:tc>
          <w:tcPr>
            <w:tcW w:w="1332"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控制主机</w:t>
            </w:r>
          </w:p>
        </w:tc>
        <w:tc>
          <w:tcPr>
            <w:tcW w:w="1141" w:type="dxa"/>
            <w:shd w:val="clear" w:color="auto" w:fill="auto"/>
            <w:vAlign w:val="center"/>
          </w:tcPr>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定制</w:t>
            </w:r>
          </w:p>
        </w:tc>
        <w:tc>
          <w:tcPr>
            <w:tcW w:w="4428" w:type="dxa"/>
            <w:shd w:val="clear" w:color="auto" w:fill="auto"/>
            <w:vAlign w:val="center"/>
          </w:tcPr>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机箱：支持</w:t>
            </w:r>
            <w:r>
              <w:rPr>
                <w:rFonts w:ascii="仿宋" w:hAnsi="仿宋" w:eastAsia="仿宋" w:cs="仿宋"/>
                <w:kern w:val="0"/>
                <w:sz w:val="24"/>
                <w:szCs w:val="24"/>
              </w:rPr>
              <w:t>ATX/M-ATX/ITX板</w:t>
            </w:r>
          </w:p>
          <w:p>
            <w:pPr>
              <w:widowControl/>
              <w:ind w:firstLine="0" w:firstLineChars="0"/>
              <w:jc w:val="left"/>
              <w:rPr>
                <w:rFonts w:ascii="仿宋" w:hAnsi="仿宋" w:eastAsia="仿宋" w:cs="仿宋"/>
                <w:kern w:val="0"/>
                <w:sz w:val="24"/>
                <w:szCs w:val="24"/>
              </w:rPr>
            </w:pPr>
            <w:r>
              <w:rPr>
                <w:rFonts w:ascii="仿宋" w:hAnsi="仿宋" w:eastAsia="仿宋" w:cs="仿宋"/>
                <w:kern w:val="0"/>
                <w:sz w:val="24"/>
                <w:szCs w:val="24"/>
              </w:rPr>
              <w:t>CPU:I</w:t>
            </w:r>
            <w:r>
              <w:rPr>
                <w:rFonts w:hint="eastAsia" w:ascii="仿宋" w:hAnsi="仿宋" w:eastAsia="仿宋" w:cs="仿宋"/>
                <w:kern w:val="0"/>
                <w:sz w:val="24"/>
                <w:szCs w:val="24"/>
              </w:rPr>
              <w:t>5</w:t>
            </w:r>
            <w:r>
              <w:rPr>
                <w:rFonts w:ascii="仿宋" w:hAnsi="仿宋" w:eastAsia="仿宋" w:cs="仿宋"/>
                <w:kern w:val="0"/>
                <w:sz w:val="24"/>
                <w:szCs w:val="24"/>
              </w:rPr>
              <w:t>及以上</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内存：</w:t>
            </w:r>
            <w:r>
              <w:rPr>
                <w:rFonts w:ascii="仿宋" w:hAnsi="仿宋" w:eastAsia="仿宋" w:cs="仿宋"/>
                <w:kern w:val="0"/>
                <w:sz w:val="24"/>
                <w:szCs w:val="24"/>
              </w:rPr>
              <w:t>DDR4-8G(刷新率2400及以上)</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主板</w:t>
            </w:r>
            <w:r>
              <w:rPr>
                <w:rFonts w:ascii="仿宋" w:hAnsi="仿宋" w:eastAsia="仿宋" w:cs="仿宋"/>
                <w:kern w:val="0"/>
                <w:sz w:val="24"/>
                <w:szCs w:val="24"/>
              </w:rPr>
              <w:t>:B250-M-ATX(支持M2硬盘)</w:t>
            </w:r>
          </w:p>
          <w:p>
            <w:pPr>
              <w:widowControl/>
              <w:ind w:firstLine="0" w:firstLineChars="0"/>
              <w:jc w:val="left"/>
              <w:rPr>
                <w:rFonts w:ascii="仿宋" w:hAnsi="仿宋" w:eastAsia="仿宋" w:cs="仿宋"/>
                <w:kern w:val="0"/>
                <w:sz w:val="24"/>
                <w:szCs w:val="24"/>
              </w:rPr>
            </w:pPr>
            <w:r>
              <w:rPr>
                <w:rFonts w:hint="eastAsia" w:ascii="仿宋" w:hAnsi="仿宋" w:eastAsia="仿宋" w:cs="仿宋"/>
                <w:kern w:val="0"/>
                <w:sz w:val="24"/>
                <w:szCs w:val="24"/>
              </w:rPr>
              <w:t>硬盘：</w:t>
            </w:r>
            <w:r>
              <w:rPr>
                <w:rFonts w:ascii="仿宋" w:hAnsi="仿宋" w:eastAsia="仿宋" w:cs="仿宋"/>
                <w:kern w:val="0"/>
                <w:sz w:val="24"/>
                <w:szCs w:val="24"/>
              </w:rPr>
              <w:t>M2高速固态硬盘(120G-128G)</w:t>
            </w:r>
          </w:p>
          <w:p>
            <w:pPr>
              <w:widowControl/>
              <w:spacing w:line="240" w:lineRule="auto"/>
              <w:ind w:firstLine="0" w:firstLineChars="0"/>
              <w:rPr>
                <w:rFonts w:ascii="仿宋" w:hAnsi="仿宋" w:eastAsia="仿宋" w:cs="仿宋"/>
                <w:kern w:val="0"/>
                <w:sz w:val="24"/>
                <w:szCs w:val="24"/>
              </w:rPr>
            </w:pPr>
            <w:r>
              <w:rPr>
                <w:rFonts w:hint="eastAsia" w:ascii="仿宋" w:hAnsi="仿宋" w:eastAsia="仿宋" w:cs="仿宋"/>
                <w:kern w:val="0"/>
                <w:sz w:val="24"/>
                <w:szCs w:val="24"/>
              </w:rPr>
              <w:t>电源：</w:t>
            </w:r>
            <w:r>
              <w:rPr>
                <w:rFonts w:ascii="仿宋" w:hAnsi="仿宋" w:eastAsia="仿宋" w:cs="仿宋"/>
                <w:kern w:val="0"/>
                <w:sz w:val="24"/>
                <w:szCs w:val="24"/>
              </w:rPr>
              <w:t>400w及以上</w:t>
            </w:r>
            <w:r>
              <w:rPr>
                <w:rFonts w:hint="eastAsia" w:ascii="仿宋" w:hAnsi="仿宋" w:eastAsia="仿宋" w:cs="仿宋"/>
                <w:kern w:val="0"/>
                <w:sz w:val="24"/>
                <w:szCs w:val="24"/>
              </w:rPr>
              <w:t xml:space="preserve">  </w:t>
            </w:r>
          </w:p>
        </w:tc>
        <w:tc>
          <w:tcPr>
            <w:tcW w:w="916" w:type="dxa"/>
            <w:shd w:val="clear" w:color="auto" w:fill="auto"/>
            <w:vAlign w:val="center"/>
          </w:tcPr>
          <w:p>
            <w:pPr>
              <w:widowControl/>
              <w:spacing w:line="240" w:lineRule="auto"/>
              <w:ind w:firstLine="0" w:firstLineChars="0"/>
              <w:jc w:val="center"/>
              <w:rPr>
                <w:rFonts w:ascii="仿宋" w:hAnsi="仿宋" w:eastAsia="仿宋" w:cs="仿宋"/>
                <w:kern w:val="0"/>
                <w:sz w:val="24"/>
                <w:szCs w:val="24"/>
              </w:rPr>
            </w:pPr>
            <w:r>
              <w:rPr>
                <w:rFonts w:hint="eastAsia" w:ascii="仿宋" w:hAnsi="仿宋" w:eastAsia="仿宋" w:cs="仿宋"/>
                <w:kern w:val="0"/>
                <w:sz w:val="24"/>
                <w:szCs w:val="24"/>
              </w:rPr>
              <w:t>台</w:t>
            </w:r>
          </w:p>
        </w:tc>
      </w:tr>
    </w:tbl>
    <w:p>
      <w:pPr>
        <w:ind w:firstLine="440"/>
        <w:rPr>
          <w:rFonts w:ascii="微软雅黑" w:hAnsi="微软雅黑" w:eastAsia="微软雅黑"/>
          <w:b/>
          <w:sz w:val="22"/>
          <w:szCs w:val="32"/>
        </w:rPr>
      </w:pPr>
    </w:p>
    <w:p>
      <w:pPr>
        <w:bidi w:val="0"/>
      </w:pPr>
    </w:p>
    <w:p>
      <w:pPr>
        <w:pStyle w:val="3"/>
        <w:numPr>
          <w:ilvl w:val="0"/>
          <w:numId w:val="0"/>
        </w:numPr>
        <w:spacing w:before="120" w:after="240"/>
        <w:ind w:left="280" w:leftChars="100"/>
        <w:jc w:val="both"/>
        <w:rPr>
          <w:rFonts w:ascii="仿宋" w:hAnsi="仿宋" w:eastAsia="仿宋" w:cs="仿宋"/>
          <w:sz w:val="28"/>
          <w:szCs w:val="28"/>
        </w:rPr>
      </w:pPr>
      <w:r>
        <w:rPr>
          <w:rFonts w:hint="eastAsia" w:ascii="仿宋" w:hAnsi="仿宋" w:eastAsia="仿宋" w:cs="仿宋"/>
          <w:sz w:val="28"/>
          <w:szCs w:val="28"/>
        </w:rPr>
        <w:t>3、现场勘察、组织标前答疑会、分包、履约保证金及采购代理服务费支付要求</w:t>
      </w:r>
      <w:bookmarkEnd w:id="207"/>
    </w:p>
    <w:p>
      <w:pPr>
        <w:pStyle w:val="67"/>
        <w:spacing w:line="360" w:lineRule="auto"/>
        <w:ind w:firstLine="280" w:firstLineChars="100"/>
        <w:rPr>
          <w:rFonts w:ascii="仿宋" w:hAnsi="仿宋" w:cs="仿宋"/>
          <w:bCs/>
          <w:kern w:val="2"/>
          <w:szCs w:val="28"/>
        </w:rPr>
      </w:pPr>
      <w:r>
        <w:rPr>
          <w:rFonts w:hint="eastAsia" w:ascii="仿宋" w:hAnsi="仿宋" w:cs="仿宋"/>
          <w:bCs/>
          <w:kern w:val="2"/>
          <w:szCs w:val="28"/>
        </w:rPr>
        <w:t>本项目不组织标前答疑会、不允许分包、履约保证金不做要求、采购代理服务费由</w:t>
      </w:r>
      <w:r>
        <w:rPr>
          <w:rFonts w:hint="eastAsia" w:ascii="仿宋" w:hAnsi="仿宋" w:cs="仿宋"/>
          <w:bCs/>
          <w:color w:val="FF0000"/>
          <w:kern w:val="2"/>
          <w:szCs w:val="28"/>
          <w:u w:val="single"/>
        </w:rPr>
        <w:t>成交供应商</w:t>
      </w:r>
      <w:r>
        <w:rPr>
          <w:rFonts w:hint="eastAsia" w:ascii="仿宋" w:hAnsi="仿宋" w:cs="仿宋"/>
          <w:bCs/>
          <w:kern w:val="2"/>
          <w:szCs w:val="28"/>
        </w:rPr>
        <w:t>支付。</w:t>
      </w:r>
    </w:p>
    <w:p>
      <w:pPr>
        <w:pStyle w:val="67"/>
        <w:spacing w:line="360" w:lineRule="auto"/>
        <w:ind w:firstLine="280" w:firstLineChars="100"/>
        <w:rPr>
          <w:rFonts w:ascii="仿宋" w:hAnsi="仿宋" w:cs="仿宋"/>
          <w:bCs/>
          <w:kern w:val="2"/>
          <w:szCs w:val="28"/>
        </w:rPr>
      </w:pPr>
      <w:r>
        <w:rPr>
          <w:rFonts w:hint="eastAsia" w:ascii="仿宋" w:hAnsi="仿宋" w:cs="仿宋"/>
          <w:bCs/>
          <w:kern w:val="2"/>
          <w:szCs w:val="28"/>
        </w:rPr>
        <w:t>请投标人自行现场勘查，了解项目实施的所属位置，熟悉服务内容。</w:t>
      </w:r>
    </w:p>
    <w:p>
      <w:pPr>
        <w:pStyle w:val="3"/>
        <w:numPr>
          <w:ilvl w:val="0"/>
          <w:numId w:val="0"/>
        </w:numPr>
        <w:spacing w:before="120" w:after="240"/>
        <w:ind w:left="280" w:leftChars="100"/>
        <w:jc w:val="both"/>
        <w:rPr>
          <w:rFonts w:ascii="仿宋" w:hAnsi="仿宋" w:eastAsia="仿宋" w:cs="仿宋"/>
          <w:sz w:val="28"/>
          <w:szCs w:val="28"/>
        </w:rPr>
      </w:pPr>
      <w:bookmarkStart w:id="208" w:name="_Toc16341"/>
      <w:r>
        <w:rPr>
          <w:rFonts w:hint="eastAsia" w:ascii="仿宋" w:hAnsi="仿宋" w:eastAsia="仿宋" w:cs="仿宋"/>
          <w:sz w:val="28"/>
          <w:szCs w:val="28"/>
        </w:rPr>
        <w:t>4、货物质量标准考评</w:t>
      </w:r>
      <w:bookmarkEnd w:id="208"/>
    </w:p>
    <w:p>
      <w:pPr>
        <w:ind w:firstLine="560"/>
        <w:rPr>
          <w:rFonts w:ascii="仿宋" w:hAnsi="仿宋" w:eastAsia="仿宋" w:cs="仿宋"/>
        </w:rPr>
      </w:pPr>
      <w:r>
        <w:rPr>
          <w:rFonts w:hint="eastAsia" w:ascii="仿宋" w:hAnsi="仿宋" w:eastAsia="仿宋" w:cs="仿宋"/>
          <w:color w:val="4F81BD" w:themeColor="accent1"/>
        </w:rPr>
        <w:t>中标厂商中标通知书发出后7个工作日内</w:t>
      </w:r>
      <w:r>
        <w:rPr>
          <w:rFonts w:hint="eastAsia" w:ascii="仿宋" w:hAnsi="仿宋" w:eastAsia="仿宋" w:cs="仿宋"/>
        </w:rPr>
        <w:t>，必须提供相关货物的功能测试，对采购需求要求的各项技术参数逐条响应，测试合格后才能签定合同，否则作废标处理并追究法律责任。</w:t>
      </w:r>
    </w:p>
    <w:p>
      <w:pPr>
        <w:pStyle w:val="3"/>
        <w:numPr>
          <w:ilvl w:val="0"/>
          <w:numId w:val="0"/>
        </w:numPr>
        <w:spacing w:before="120" w:after="240"/>
        <w:ind w:left="280" w:leftChars="100"/>
        <w:jc w:val="both"/>
        <w:rPr>
          <w:rFonts w:ascii="仿宋" w:hAnsi="仿宋" w:eastAsia="仿宋" w:cs="仿宋"/>
          <w:sz w:val="28"/>
          <w:szCs w:val="28"/>
        </w:rPr>
      </w:pPr>
      <w:bookmarkStart w:id="209" w:name="_Toc31115"/>
      <w:r>
        <w:rPr>
          <w:rFonts w:hint="eastAsia" w:ascii="仿宋" w:hAnsi="仿宋" w:eastAsia="仿宋" w:cs="仿宋"/>
          <w:sz w:val="28"/>
          <w:szCs w:val="28"/>
        </w:rPr>
        <w:t>5、付款方式</w:t>
      </w:r>
      <w:bookmarkEnd w:id="209"/>
    </w:p>
    <w:p>
      <w:pPr>
        <w:ind w:firstLine="560"/>
        <w:rPr>
          <w:rFonts w:ascii="仿宋" w:hAnsi="仿宋" w:eastAsia="仿宋" w:cs="仿宋"/>
          <w:szCs w:val="28"/>
        </w:rPr>
      </w:pPr>
      <w:bookmarkStart w:id="210" w:name="_Toc21369"/>
      <w:r>
        <w:rPr>
          <w:rFonts w:hint="eastAsia" w:ascii="仿宋" w:hAnsi="仿宋" w:eastAsia="仿宋" w:cs="仿宋"/>
          <w:szCs w:val="28"/>
        </w:rPr>
        <w:t>合同生效后，采购人支付合同总额的30%的预付款；设备全部安装调试完毕后，经采购人确认，支付合同总额的65%；本项目经采购人整体验收合格交付使用后支付合同结算价的5%。</w:t>
      </w:r>
    </w:p>
    <w:p>
      <w:pPr>
        <w:pStyle w:val="3"/>
        <w:numPr>
          <w:ilvl w:val="0"/>
          <w:numId w:val="0"/>
        </w:numPr>
        <w:spacing w:before="120" w:after="240"/>
        <w:ind w:left="280" w:leftChars="100"/>
        <w:jc w:val="both"/>
        <w:rPr>
          <w:rFonts w:ascii="仿宋" w:hAnsi="仿宋" w:eastAsia="仿宋" w:cs="仿宋"/>
          <w:sz w:val="28"/>
          <w:szCs w:val="28"/>
        </w:rPr>
      </w:pPr>
      <w:r>
        <w:rPr>
          <w:rFonts w:hint="eastAsia" w:ascii="仿宋" w:hAnsi="仿宋" w:eastAsia="仿宋" w:cs="仿宋"/>
          <w:sz w:val="28"/>
          <w:szCs w:val="28"/>
        </w:rPr>
        <w:t>6、售后服务</w:t>
      </w:r>
      <w:bookmarkEnd w:id="210"/>
    </w:p>
    <w:p>
      <w:pPr>
        <w:ind w:firstLine="560"/>
        <w:rPr>
          <w:rFonts w:ascii="仿宋" w:hAnsi="仿宋" w:eastAsia="仿宋" w:cs="仿宋"/>
        </w:rPr>
      </w:pPr>
      <w:r>
        <w:rPr>
          <w:rFonts w:hint="eastAsia" w:ascii="仿宋" w:hAnsi="仿宋" w:eastAsia="仿宋" w:cs="仿宋"/>
        </w:rPr>
        <w:t>产品质保期为五年。</w:t>
      </w:r>
    </w:p>
    <w:p>
      <w:pPr>
        <w:pStyle w:val="3"/>
        <w:numPr>
          <w:ilvl w:val="0"/>
          <w:numId w:val="0"/>
        </w:numPr>
        <w:spacing w:before="120" w:after="240"/>
        <w:ind w:left="280" w:leftChars="100"/>
        <w:jc w:val="both"/>
        <w:rPr>
          <w:rFonts w:ascii="仿宋" w:hAnsi="仿宋" w:eastAsia="仿宋" w:cs="仿宋"/>
          <w:sz w:val="28"/>
          <w:szCs w:val="28"/>
        </w:rPr>
      </w:pPr>
      <w:bookmarkStart w:id="211" w:name="_Toc10736"/>
      <w:bookmarkStart w:id="212" w:name="_Toc20011"/>
      <w:r>
        <w:rPr>
          <w:rFonts w:hint="eastAsia" w:ascii="仿宋" w:hAnsi="仿宋" w:eastAsia="仿宋" w:cs="仿宋"/>
          <w:sz w:val="28"/>
          <w:szCs w:val="28"/>
        </w:rPr>
        <w:t>7、免费维护期</w:t>
      </w:r>
      <w:bookmarkEnd w:id="211"/>
      <w:bookmarkEnd w:id="212"/>
    </w:p>
    <w:p>
      <w:pPr>
        <w:ind w:firstLine="560"/>
        <w:rPr>
          <w:rFonts w:ascii="仿宋" w:hAnsi="仿宋" w:eastAsia="仿宋" w:cs="仿宋"/>
          <w:szCs w:val="28"/>
        </w:rPr>
      </w:pPr>
      <w:r>
        <w:rPr>
          <w:rFonts w:hint="eastAsia" w:ascii="仿宋" w:hAnsi="仿宋" w:eastAsia="仿宋" w:cs="仿宋"/>
          <w:color w:val="FF0000"/>
          <w:szCs w:val="28"/>
        </w:rPr>
        <w:t>项目验收合格之日起，所有产品及其附属品在质保期内提供升级维护服务</w:t>
      </w:r>
      <w:r>
        <w:rPr>
          <w:rFonts w:hint="eastAsia" w:ascii="仿宋" w:hAnsi="仿宋" w:eastAsia="仿宋" w:cs="仿宋"/>
        </w:rPr>
        <w:t>。</w:t>
      </w:r>
    </w:p>
    <w:p>
      <w:pPr>
        <w:pStyle w:val="3"/>
        <w:numPr>
          <w:ilvl w:val="0"/>
          <w:numId w:val="0"/>
        </w:numPr>
        <w:spacing w:before="120" w:after="240"/>
        <w:ind w:firstLine="281" w:firstLineChars="100"/>
        <w:jc w:val="both"/>
        <w:rPr>
          <w:rFonts w:ascii="仿宋" w:hAnsi="仿宋" w:eastAsia="仿宋" w:cs="仿宋"/>
          <w:sz w:val="28"/>
          <w:szCs w:val="28"/>
        </w:rPr>
      </w:pPr>
      <w:bookmarkStart w:id="213" w:name="_Toc19830"/>
      <w:r>
        <w:rPr>
          <w:rFonts w:hint="eastAsia" w:ascii="仿宋" w:hAnsi="仿宋" w:eastAsia="仿宋" w:cs="仿宋"/>
          <w:sz w:val="28"/>
          <w:szCs w:val="28"/>
        </w:rPr>
        <w:t>8、产品质量要求</w:t>
      </w:r>
      <w:bookmarkEnd w:id="213"/>
    </w:p>
    <w:p>
      <w:pPr>
        <w:ind w:firstLine="560"/>
      </w:pPr>
      <w:r>
        <w:rPr>
          <w:rFonts w:hint="eastAsia"/>
        </w:rPr>
        <w:t>投标人应对投标产品提供省级以上质量监督局检验的检验报告或产品合格证。</w:t>
      </w:r>
    </w:p>
    <w:p>
      <w:pPr>
        <w:pStyle w:val="3"/>
        <w:numPr>
          <w:ilvl w:val="0"/>
          <w:numId w:val="0"/>
        </w:numPr>
        <w:spacing w:before="120" w:after="240"/>
        <w:ind w:left="280" w:leftChars="100"/>
        <w:jc w:val="both"/>
        <w:rPr>
          <w:rFonts w:ascii="仿宋" w:hAnsi="仿宋" w:eastAsia="仿宋" w:cs="仿宋"/>
          <w:sz w:val="28"/>
          <w:szCs w:val="28"/>
        </w:rPr>
      </w:pPr>
      <w:bookmarkStart w:id="214" w:name="_Toc13071"/>
      <w:r>
        <w:rPr>
          <w:rFonts w:hint="eastAsia" w:ascii="仿宋" w:hAnsi="仿宋" w:eastAsia="仿宋" w:cs="仿宋"/>
          <w:sz w:val="28"/>
          <w:szCs w:val="28"/>
        </w:rPr>
        <w:t>9、投标人资格要求</w:t>
      </w:r>
      <w:bookmarkEnd w:id="214"/>
    </w:p>
    <w:p>
      <w:pPr>
        <w:pStyle w:val="179"/>
        <w:ind w:firstLine="560"/>
        <w:rPr>
          <w:rFonts w:ascii="仿宋" w:hAnsi="仿宋" w:cs="仿宋"/>
          <w:bCs/>
          <w:kern w:val="2"/>
          <w:szCs w:val="28"/>
        </w:rPr>
      </w:pPr>
      <w:r>
        <w:rPr>
          <w:rFonts w:hint="eastAsia" w:ascii="仿宋" w:hAnsi="仿宋" w:cs="仿宋"/>
          <w:bCs/>
          <w:kern w:val="2"/>
          <w:szCs w:val="28"/>
        </w:rPr>
        <w:t>一、在中华人民共和国注册，具有独立承担民事责任能力的法人（需提供营业执照副本复印件、税务登记证复印件、组织机构代码证复印件，或者三证合一复印件及资质证书复印件加盖公章）；</w:t>
      </w:r>
    </w:p>
    <w:p>
      <w:pPr>
        <w:pStyle w:val="179"/>
        <w:ind w:firstLine="560"/>
        <w:rPr>
          <w:rFonts w:ascii="仿宋" w:hAnsi="仿宋" w:cs="仿宋"/>
          <w:bCs/>
          <w:kern w:val="2"/>
          <w:szCs w:val="28"/>
        </w:rPr>
      </w:pPr>
      <w:r>
        <w:rPr>
          <w:rFonts w:hint="eastAsia" w:ascii="仿宋" w:hAnsi="仿宋" w:cs="仿宋"/>
          <w:bCs/>
          <w:kern w:val="2"/>
          <w:szCs w:val="28"/>
        </w:rPr>
        <w:t>二、具有良好的商业信誉和健全的财务会计制度：提供</w:t>
      </w:r>
      <w:r>
        <w:rPr>
          <w:rFonts w:hint="eastAsia"/>
        </w:rPr>
        <w:t>2018年至今连续3个月</w:t>
      </w:r>
      <w:r>
        <w:rPr>
          <w:rFonts w:hint="eastAsia" w:ascii="仿宋" w:hAnsi="仿宋" w:cs="仿宋"/>
          <w:bCs/>
          <w:kern w:val="2"/>
          <w:szCs w:val="28"/>
        </w:rPr>
        <w:t>或任意一个季度的财务报表（资产负债表、利润表和现金流量表）复印件加盖单位公章；</w:t>
      </w:r>
    </w:p>
    <w:p>
      <w:pPr>
        <w:pStyle w:val="179"/>
        <w:ind w:firstLine="560"/>
        <w:rPr>
          <w:rFonts w:ascii="仿宋" w:hAnsi="仿宋" w:cs="仿宋"/>
          <w:kern w:val="2"/>
          <w:szCs w:val="22"/>
        </w:rPr>
      </w:pPr>
      <w:r>
        <w:rPr>
          <w:rFonts w:hint="eastAsia" w:ascii="仿宋" w:hAnsi="仿宋" w:cs="仿宋"/>
          <w:bCs/>
          <w:kern w:val="2"/>
          <w:szCs w:val="28"/>
        </w:rPr>
        <w:t>三、</w:t>
      </w:r>
      <w:r>
        <w:rPr>
          <w:rFonts w:hint="eastAsia" w:ascii="仿宋" w:hAnsi="仿宋" w:cs="仿宋"/>
          <w:kern w:val="2"/>
          <w:szCs w:val="22"/>
        </w:rPr>
        <w:t>具有依法缴纳税收的良好记录：提供本公司2018年至今连续三个月依法缴纳税收的完税证明材料（银行回执单或者税务局出具的完税证明）复印件加盖公章；</w:t>
      </w:r>
    </w:p>
    <w:p>
      <w:pPr>
        <w:pStyle w:val="179"/>
        <w:ind w:firstLine="560"/>
        <w:rPr>
          <w:rFonts w:ascii="仿宋" w:hAnsi="仿宋" w:cs="仿宋"/>
          <w:bCs/>
          <w:kern w:val="2"/>
          <w:szCs w:val="28"/>
        </w:rPr>
      </w:pPr>
      <w:r>
        <w:rPr>
          <w:rFonts w:hint="eastAsia" w:ascii="仿宋" w:hAnsi="仿宋" w:cs="仿宋"/>
          <w:bCs/>
          <w:kern w:val="2"/>
          <w:szCs w:val="28"/>
        </w:rPr>
        <w:t>四、具有依法缴纳社会保障资金的良好记录:提供本公司</w:t>
      </w:r>
      <w:r>
        <w:rPr>
          <w:rFonts w:hint="eastAsia" w:ascii="仿宋" w:hAnsi="仿宋" w:cs="仿宋"/>
          <w:kern w:val="2"/>
          <w:szCs w:val="22"/>
        </w:rPr>
        <w:t>2018年至今连续三个月</w:t>
      </w:r>
      <w:r>
        <w:rPr>
          <w:rFonts w:hint="eastAsia" w:ascii="仿宋" w:hAnsi="仿宋" w:cs="仿宋"/>
          <w:bCs/>
          <w:kern w:val="2"/>
          <w:szCs w:val="28"/>
        </w:rPr>
        <w:t>依法缴纳社会保障资金缴费证明资料复印件加盖公章；</w:t>
      </w:r>
    </w:p>
    <w:p>
      <w:pPr>
        <w:pStyle w:val="179"/>
        <w:ind w:firstLine="560"/>
        <w:rPr>
          <w:rFonts w:ascii="仿宋" w:hAnsi="仿宋" w:cs="仿宋"/>
          <w:bCs/>
          <w:kern w:val="2"/>
          <w:szCs w:val="28"/>
        </w:rPr>
      </w:pPr>
      <w:r>
        <w:rPr>
          <w:rFonts w:hint="eastAsia" w:ascii="仿宋" w:hAnsi="仿宋" w:cs="仿宋"/>
          <w:bCs/>
          <w:kern w:val="2"/>
          <w:szCs w:val="28"/>
        </w:rPr>
        <w:t>五、投标人在“信用中国”网站（www.creditchina.gov.cn）①首页截图，首页截图应含有公司查询结果基本信息及报告查看时间并加盖公章，截图时间节点须在发布公告之日起至投标截止时间前；②“信用服务”一栏中的未被列入失信被执行人的截图、未被列入重大税收违法案件当事人、未被列入政府采购严重违法失信名单的截图加盖公章；</w:t>
      </w:r>
    </w:p>
    <w:p>
      <w:pPr>
        <w:pStyle w:val="179"/>
        <w:ind w:firstLine="560"/>
        <w:rPr>
          <w:rFonts w:ascii="仿宋" w:hAnsi="仿宋" w:cs="仿宋"/>
          <w:bCs/>
          <w:kern w:val="2"/>
          <w:szCs w:val="28"/>
        </w:rPr>
      </w:pPr>
      <w:r>
        <w:rPr>
          <w:rFonts w:hint="eastAsia" w:ascii="仿宋" w:hAnsi="仿宋" w:cs="仿宋"/>
          <w:bCs/>
          <w:kern w:val="2"/>
          <w:szCs w:val="28"/>
        </w:rPr>
        <w:t>六、参加本项目政府采购活动前三年内（成立不足三年的从成立之日起算），在经营活动中没有重大违法记录（需提供加盖公章的声明书）；</w:t>
      </w:r>
    </w:p>
    <w:p>
      <w:pPr>
        <w:pStyle w:val="179"/>
        <w:ind w:firstLine="560"/>
        <w:rPr>
          <w:rFonts w:ascii="仿宋" w:hAnsi="仿宋" w:cs="仿宋"/>
          <w:bCs/>
          <w:kern w:val="2"/>
          <w:szCs w:val="28"/>
        </w:rPr>
      </w:pPr>
      <w:r>
        <w:rPr>
          <w:rFonts w:hint="eastAsia" w:ascii="仿宋" w:hAnsi="仿宋" w:cs="仿宋"/>
          <w:bCs/>
          <w:kern w:val="2"/>
          <w:szCs w:val="28"/>
        </w:rPr>
        <w:t>七、投标人具有履行合同所必需的设备和专业技术能力（需提供承诺书加盖公章）；</w:t>
      </w:r>
    </w:p>
    <w:p>
      <w:pPr>
        <w:pStyle w:val="179"/>
        <w:ind w:firstLine="560"/>
        <w:rPr>
          <w:rFonts w:ascii="仿宋" w:hAnsi="仿宋" w:cs="仿宋"/>
          <w:bCs/>
          <w:kern w:val="2"/>
          <w:szCs w:val="28"/>
        </w:rPr>
      </w:pPr>
      <w:r>
        <w:rPr>
          <w:rFonts w:hint="eastAsia" w:ascii="仿宋" w:hAnsi="仿宋" w:cs="仿宋"/>
          <w:bCs/>
          <w:kern w:val="2"/>
          <w:szCs w:val="28"/>
        </w:rPr>
        <w:t>八、投标人符合法律、行政法规规定的其他条件（需提供承诺书加盖公章）；</w:t>
      </w:r>
    </w:p>
    <w:p>
      <w:pPr>
        <w:pStyle w:val="179"/>
        <w:ind w:firstLine="560"/>
        <w:rPr>
          <w:rFonts w:ascii="仿宋" w:hAnsi="仿宋" w:cs="仿宋"/>
          <w:bCs/>
          <w:kern w:val="2"/>
          <w:szCs w:val="28"/>
        </w:rPr>
      </w:pPr>
      <w:r>
        <w:rPr>
          <w:rFonts w:hint="eastAsia" w:ascii="仿宋" w:hAnsi="仿宋" w:cs="仿宋"/>
          <w:bCs/>
          <w:kern w:val="2"/>
          <w:szCs w:val="28"/>
        </w:rPr>
        <w:t>九、投标人报名、购买本项目竞争性磋商文件并按时缴交保证金（提供银行转账回单和开户许可证复印件并加盖公章）；</w:t>
      </w:r>
    </w:p>
    <w:p>
      <w:pPr>
        <w:pStyle w:val="179"/>
        <w:ind w:firstLine="560"/>
        <w:rPr>
          <w:rFonts w:ascii="仿宋" w:hAnsi="仿宋" w:cs="仿宋"/>
          <w:bCs/>
          <w:kern w:val="2"/>
          <w:szCs w:val="28"/>
        </w:rPr>
      </w:pPr>
      <w:r>
        <w:rPr>
          <w:rFonts w:hint="eastAsia" w:ascii="仿宋" w:hAnsi="仿宋" w:cs="仿宋"/>
          <w:bCs/>
          <w:szCs w:val="28"/>
        </w:rPr>
        <w:t>十、本项目不接受联合体投标。</w:t>
      </w:r>
    </w:p>
    <w:p>
      <w:pPr>
        <w:ind w:firstLine="1124" w:firstLineChars="400"/>
        <w:rPr>
          <w:rFonts w:ascii="宋体" w:hAnsi="宋体" w:eastAsia="仿宋" w:cs="宋体"/>
          <w:b/>
          <w:bCs/>
          <w:color w:val="FF0000"/>
          <w:sz w:val="21"/>
          <w:szCs w:val="21"/>
        </w:rPr>
      </w:pPr>
      <w:r>
        <w:rPr>
          <w:rFonts w:hint="eastAsia" w:ascii="仿宋" w:hAnsi="仿宋" w:eastAsia="仿宋" w:cs="仿宋"/>
          <w:b/>
          <w:bCs/>
          <w:szCs w:val="28"/>
        </w:rPr>
        <w:t>注：以上“2.1、6、7”技术和商务要求内容需在采购需求响应表中进行响应</w:t>
      </w:r>
      <w:r>
        <w:rPr>
          <w:rFonts w:hint="eastAsia" w:ascii="仿宋" w:hAnsi="仿宋" w:eastAsia="仿宋" w:cs="仿宋"/>
          <w:b/>
          <w:bCs/>
          <w:color w:val="FF0000"/>
          <w:szCs w:val="28"/>
        </w:rPr>
        <w:t>。</w:t>
      </w:r>
    </w:p>
    <w:p>
      <w:pPr>
        <w:ind w:firstLine="560"/>
        <w:rPr>
          <w:color w:val="FF0000"/>
        </w:rPr>
      </w:pPr>
    </w:p>
    <w:p>
      <w:pPr>
        <w:ind w:firstLine="560"/>
        <w:rPr>
          <w:color w:val="FF0000"/>
        </w:rPr>
      </w:pPr>
    </w:p>
    <w:p>
      <w:pPr>
        <w:pStyle w:val="172"/>
        <w:rPr>
          <w:rFonts w:ascii="仿宋" w:hAnsi="仿宋" w:eastAsia="仿宋" w:cs="仿宋"/>
        </w:rPr>
      </w:pPr>
      <w:bookmarkStart w:id="215" w:name="_Toc758"/>
      <w:r>
        <w:rPr>
          <w:rFonts w:hint="eastAsia" w:ascii="仿宋" w:hAnsi="仿宋" w:eastAsia="仿宋" w:cs="仿宋"/>
        </w:rPr>
        <w:t>第五章 响应文件内容和格式</w:t>
      </w:r>
      <w:bookmarkEnd w:id="199"/>
      <w:bookmarkEnd w:id="215"/>
    </w:p>
    <w:p>
      <w:pPr>
        <w:ind w:left="160" w:leftChars="57" w:firstLine="480"/>
        <w:rPr>
          <w:rFonts w:ascii="仿宋" w:hAnsi="仿宋" w:eastAsia="仿宋" w:cs="仿宋"/>
          <w:b/>
          <w:szCs w:val="28"/>
        </w:rPr>
      </w:pPr>
      <w:bookmarkStart w:id="216" w:name="OLE_LINK2"/>
      <w:bookmarkStart w:id="217" w:name="OLE_LINK1"/>
      <w:r>
        <w:rPr>
          <w:rFonts w:hint="eastAsia" w:ascii="仿宋" w:hAnsi="仿宋" w:eastAsia="仿宋" w:cs="仿宋"/>
          <w:sz w:val="24"/>
        </w:rPr>
        <w:t>请投标人按照以下文件要求的格式、内容制作响应文件，并按以下顺序编制目录及页码，否则可能将影响对响应文件的评价。</w:t>
      </w:r>
    </w:p>
    <w:p>
      <w:pPr>
        <w:widowControl/>
        <w:numPr>
          <w:ilvl w:val="0"/>
          <w:numId w:val="35"/>
        </w:numPr>
        <w:tabs>
          <w:tab w:val="left" w:pos="900"/>
        </w:tabs>
        <w:snapToGrid w:val="0"/>
        <w:ind w:firstLineChars="0"/>
        <w:jc w:val="left"/>
        <w:rPr>
          <w:rFonts w:ascii="仿宋" w:hAnsi="仿宋" w:eastAsia="仿宋" w:cs="仿宋"/>
          <w:color w:val="FF0000"/>
          <w:sz w:val="24"/>
        </w:rPr>
      </w:pPr>
      <w:r>
        <w:rPr>
          <w:rFonts w:hint="eastAsia" w:ascii="仿宋" w:hAnsi="仿宋" w:eastAsia="仿宋" w:cs="仿宋"/>
          <w:sz w:val="24"/>
        </w:rPr>
        <w:t>首次响应报价（附件1）</w:t>
      </w:r>
    </w:p>
    <w:p>
      <w:pPr>
        <w:widowControl/>
        <w:numPr>
          <w:ilvl w:val="0"/>
          <w:numId w:val="35"/>
        </w:numPr>
        <w:tabs>
          <w:tab w:val="left" w:pos="900"/>
        </w:tabs>
        <w:snapToGrid w:val="0"/>
        <w:ind w:firstLineChars="0"/>
        <w:jc w:val="left"/>
        <w:rPr>
          <w:rFonts w:ascii="仿宋" w:hAnsi="仿宋" w:eastAsia="仿宋" w:cs="仿宋"/>
          <w:sz w:val="24"/>
        </w:rPr>
      </w:pPr>
      <w:r>
        <w:rPr>
          <w:rFonts w:hint="eastAsia" w:ascii="仿宋" w:hAnsi="仿宋" w:eastAsia="仿宋" w:cs="仿宋"/>
          <w:sz w:val="24"/>
        </w:rPr>
        <w:t>竞争性磋商函（附件2）</w:t>
      </w:r>
    </w:p>
    <w:p>
      <w:pPr>
        <w:widowControl/>
        <w:numPr>
          <w:ilvl w:val="0"/>
          <w:numId w:val="35"/>
        </w:numPr>
        <w:tabs>
          <w:tab w:val="left" w:pos="900"/>
        </w:tabs>
        <w:snapToGrid w:val="0"/>
        <w:ind w:firstLineChars="0"/>
        <w:jc w:val="left"/>
        <w:rPr>
          <w:rFonts w:ascii="仿宋" w:hAnsi="仿宋" w:eastAsia="仿宋" w:cs="仿宋"/>
          <w:bCs/>
          <w:sz w:val="24"/>
          <w:szCs w:val="24"/>
        </w:rPr>
      </w:pPr>
      <w:r>
        <w:rPr>
          <w:rFonts w:hint="eastAsia" w:ascii="仿宋" w:hAnsi="仿宋" w:eastAsia="仿宋" w:cs="仿宋"/>
          <w:bCs/>
          <w:sz w:val="24"/>
          <w:szCs w:val="24"/>
        </w:rPr>
        <w:t>法定代表人证明书（附件3）</w:t>
      </w:r>
    </w:p>
    <w:p>
      <w:pPr>
        <w:widowControl/>
        <w:numPr>
          <w:ilvl w:val="0"/>
          <w:numId w:val="35"/>
        </w:numPr>
        <w:tabs>
          <w:tab w:val="left" w:pos="900"/>
        </w:tabs>
        <w:snapToGrid w:val="0"/>
        <w:ind w:firstLineChars="0"/>
        <w:jc w:val="left"/>
        <w:rPr>
          <w:rFonts w:ascii="仿宋" w:hAnsi="仿宋" w:eastAsia="仿宋" w:cs="仿宋"/>
          <w:bCs/>
          <w:sz w:val="24"/>
          <w:szCs w:val="24"/>
        </w:rPr>
      </w:pPr>
      <w:r>
        <w:rPr>
          <w:rFonts w:hint="eastAsia" w:ascii="仿宋" w:hAnsi="仿宋" w:eastAsia="仿宋" w:cs="仿宋"/>
          <w:bCs/>
          <w:sz w:val="24"/>
          <w:szCs w:val="24"/>
        </w:rPr>
        <w:t>授权委托书（附件4）</w:t>
      </w:r>
    </w:p>
    <w:p>
      <w:pPr>
        <w:widowControl/>
        <w:numPr>
          <w:ilvl w:val="0"/>
          <w:numId w:val="35"/>
        </w:numPr>
        <w:tabs>
          <w:tab w:val="left" w:pos="900"/>
        </w:tabs>
        <w:snapToGrid w:val="0"/>
        <w:ind w:firstLineChars="0"/>
        <w:jc w:val="left"/>
        <w:rPr>
          <w:rFonts w:ascii="仿宋" w:hAnsi="仿宋" w:eastAsia="仿宋" w:cs="仿宋"/>
          <w:bCs/>
          <w:sz w:val="24"/>
          <w:szCs w:val="24"/>
        </w:rPr>
      </w:pPr>
      <w:r>
        <w:rPr>
          <w:rFonts w:hint="eastAsia" w:ascii="仿宋" w:hAnsi="仿宋" w:eastAsia="仿宋" w:cs="仿宋"/>
          <w:bCs/>
          <w:sz w:val="24"/>
          <w:szCs w:val="24"/>
        </w:rPr>
        <w:t>投标人基本情况（附件5）</w:t>
      </w:r>
    </w:p>
    <w:p>
      <w:pPr>
        <w:widowControl/>
        <w:numPr>
          <w:ilvl w:val="0"/>
          <w:numId w:val="35"/>
        </w:numPr>
        <w:tabs>
          <w:tab w:val="left" w:pos="900"/>
        </w:tabs>
        <w:snapToGrid w:val="0"/>
        <w:ind w:firstLineChars="0"/>
        <w:jc w:val="left"/>
        <w:rPr>
          <w:rFonts w:ascii="仿宋" w:hAnsi="仿宋" w:eastAsia="仿宋" w:cs="仿宋"/>
          <w:sz w:val="24"/>
          <w:szCs w:val="24"/>
        </w:rPr>
      </w:pPr>
      <w:r>
        <w:rPr>
          <w:rFonts w:hint="eastAsia" w:ascii="仿宋" w:hAnsi="仿宋" w:eastAsia="仿宋" w:cs="仿宋"/>
          <w:bCs/>
          <w:sz w:val="24"/>
          <w:szCs w:val="24"/>
        </w:rPr>
        <w:t>拟投入本项目主要岗位人员一览表（</w:t>
      </w:r>
      <w:r>
        <w:rPr>
          <w:rFonts w:hint="eastAsia" w:ascii="仿宋" w:hAnsi="仿宋" w:eastAsia="仿宋" w:cs="仿宋"/>
          <w:sz w:val="24"/>
          <w:szCs w:val="24"/>
        </w:rPr>
        <w:t>附件</w:t>
      </w:r>
      <w:r>
        <w:rPr>
          <w:rFonts w:hint="eastAsia" w:ascii="仿宋" w:hAnsi="仿宋" w:eastAsia="仿宋" w:cs="仿宋"/>
          <w:bCs/>
          <w:sz w:val="24"/>
          <w:szCs w:val="24"/>
        </w:rPr>
        <w:t>6）</w:t>
      </w:r>
    </w:p>
    <w:p>
      <w:pPr>
        <w:widowControl/>
        <w:numPr>
          <w:ilvl w:val="0"/>
          <w:numId w:val="35"/>
        </w:numPr>
        <w:tabs>
          <w:tab w:val="left" w:pos="900"/>
        </w:tabs>
        <w:ind w:firstLineChars="0"/>
        <w:jc w:val="left"/>
        <w:rPr>
          <w:rFonts w:ascii="仿宋" w:hAnsi="仿宋" w:eastAsia="仿宋" w:cs="仿宋"/>
          <w:sz w:val="24"/>
          <w:szCs w:val="24"/>
        </w:rPr>
      </w:pPr>
      <w:r>
        <w:rPr>
          <w:rFonts w:hint="eastAsia" w:ascii="仿宋" w:hAnsi="仿宋" w:eastAsia="仿宋" w:cs="仿宋"/>
          <w:sz w:val="24"/>
          <w:szCs w:val="24"/>
        </w:rPr>
        <w:t>承诺书（附件7）</w:t>
      </w:r>
    </w:p>
    <w:p>
      <w:pPr>
        <w:numPr>
          <w:ilvl w:val="0"/>
          <w:numId w:val="35"/>
        </w:numPr>
        <w:ind w:firstLineChars="0"/>
        <w:jc w:val="left"/>
        <w:rPr>
          <w:rFonts w:ascii="仿宋" w:hAnsi="仿宋" w:eastAsia="仿宋" w:cs="仿宋"/>
          <w:sz w:val="24"/>
          <w:szCs w:val="24"/>
        </w:rPr>
      </w:pPr>
      <w:r>
        <w:rPr>
          <w:rFonts w:hint="eastAsia" w:ascii="仿宋" w:hAnsi="仿宋" w:eastAsia="仿宋" w:cs="仿宋"/>
          <w:sz w:val="24"/>
          <w:szCs w:val="24"/>
        </w:rPr>
        <w:t>非联合体投标声明（附件8）</w:t>
      </w:r>
    </w:p>
    <w:p>
      <w:pPr>
        <w:widowControl/>
        <w:numPr>
          <w:ilvl w:val="0"/>
          <w:numId w:val="35"/>
        </w:numPr>
        <w:tabs>
          <w:tab w:val="left" w:pos="900"/>
        </w:tabs>
        <w:snapToGrid w:val="0"/>
        <w:ind w:firstLineChars="0"/>
        <w:jc w:val="left"/>
        <w:rPr>
          <w:rFonts w:ascii="仿宋" w:hAnsi="仿宋" w:eastAsia="仿宋" w:cs="仿宋"/>
          <w:bCs/>
          <w:sz w:val="24"/>
          <w:szCs w:val="24"/>
        </w:rPr>
      </w:pPr>
      <w:r>
        <w:rPr>
          <w:rFonts w:hint="eastAsia" w:ascii="仿宋" w:hAnsi="仿宋" w:eastAsia="仿宋" w:cs="仿宋"/>
          <w:bCs/>
          <w:sz w:val="24"/>
          <w:szCs w:val="24"/>
        </w:rPr>
        <w:t>中小企业（监狱企业）</w:t>
      </w:r>
      <w:r>
        <w:rPr>
          <w:rFonts w:hint="eastAsia" w:ascii="仿宋" w:hAnsi="仿宋" w:eastAsia="仿宋" w:cs="仿宋"/>
          <w:sz w:val="24"/>
          <w:szCs w:val="24"/>
        </w:rPr>
        <w:t>（附件9）</w:t>
      </w:r>
    </w:p>
    <w:p>
      <w:pPr>
        <w:widowControl/>
        <w:numPr>
          <w:ilvl w:val="0"/>
          <w:numId w:val="35"/>
        </w:numPr>
        <w:tabs>
          <w:tab w:val="left" w:pos="900"/>
        </w:tabs>
        <w:snapToGrid w:val="0"/>
        <w:ind w:firstLineChars="0"/>
        <w:jc w:val="left"/>
        <w:rPr>
          <w:rFonts w:ascii="仿宋" w:hAnsi="仿宋" w:eastAsia="仿宋" w:cs="仿宋"/>
          <w:b/>
          <w:sz w:val="24"/>
          <w:shd w:val="clear" w:color="auto" w:fill="FFFFFF"/>
        </w:rPr>
      </w:pPr>
      <w:r>
        <w:rPr>
          <w:rFonts w:hint="eastAsia" w:ascii="仿宋" w:hAnsi="仿宋" w:eastAsia="仿宋" w:cs="仿宋"/>
          <w:bCs/>
          <w:sz w:val="24"/>
          <w:szCs w:val="24"/>
        </w:rPr>
        <w:t>残疾人福利性单位声明函（</w:t>
      </w:r>
      <w:r>
        <w:rPr>
          <w:rFonts w:hint="eastAsia" w:ascii="仿宋" w:hAnsi="仿宋" w:eastAsia="仿宋" w:cs="仿宋"/>
          <w:sz w:val="24"/>
          <w:szCs w:val="24"/>
        </w:rPr>
        <w:t>附件</w:t>
      </w:r>
      <w:r>
        <w:rPr>
          <w:rFonts w:hint="eastAsia" w:ascii="仿宋" w:hAnsi="仿宋" w:eastAsia="仿宋" w:cs="仿宋"/>
          <w:bCs/>
          <w:sz w:val="24"/>
          <w:szCs w:val="24"/>
        </w:rPr>
        <w:t>10）</w:t>
      </w:r>
    </w:p>
    <w:p>
      <w:pPr>
        <w:widowControl/>
        <w:numPr>
          <w:ilvl w:val="0"/>
          <w:numId w:val="35"/>
        </w:numPr>
        <w:tabs>
          <w:tab w:val="left" w:pos="900"/>
        </w:tabs>
        <w:snapToGrid w:val="0"/>
        <w:ind w:firstLineChars="0"/>
        <w:jc w:val="left"/>
        <w:rPr>
          <w:rFonts w:ascii="仿宋" w:hAnsi="仿宋" w:eastAsia="仿宋" w:cs="仿宋"/>
          <w:sz w:val="24"/>
          <w:shd w:val="clear" w:color="auto" w:fill="FFFFFF"/>
        </w:rPr>
      </w:pPr>
      <w:r>
        <w:rPr>
          <w:rFonts w:hint="eastAsia" w:ascii="仿宋" w:hAnsi="仿宋" w:eastAsia="仿宋" w:cs="仿宋"/>
          <w:bCs/>
          <w:sz w:val="24"/>
          <w:szCs w:val="24"/>
        </w:rPr>
        <w:t>采购需求（商务、技术）响应偏离说明表（</w:t>
      </w:r>
      <w:r>
        <w:rPr>
          <w:rFonts w:hint="eastAsia" w:ascii="仿宋" w:hAnsi="仿宋" w:eastAsia="仿宋" w:cs="仿宋"/>
          <w:sz w:val="24"/>
          <w:szCs w:val="24"/>
        </w:rPr>
        <w:t>附件</w:t>
      </w:r>
      <w:r>
        <w:rPr>
          <w:rFonts w:hint="eastAsia" w:ascii="仿宋" w:hAnsi="仿宋" w:eastAsia="仿宋" w:cs="仿宋"/>
          <w:bCs/>
          <w:sz w:val="24"/>
          <w:szCs w:val="24"/>
        </w:rPr>
        <w:t>11）</w:t>
      </w:r>
    </w:p>
    <w:p>
      <w:pPr>
        <w:widowControl/>
        <w:numPr>
          <w:ilvl w:val="0"/>
          <w:numId w:val="35"/>
        </w:numPr>
        <w:tabs>
          <w:tab w:val="left" w:pos="900"/>
        </w:tabs>
        <w:snapToGrid w:val="0"/>
        <w:ind w:firstLineChars="0"/>
        <w:jc w:val="left"/>
        <w:rPr>
          <w:rFonts w:ascii="仿宋" w:hAnsi="仿宋" w:eastAsia="仿宋" w:cs="仿宋"/>
          <w:sz w:val="24"/>
          <w:shd w:val="clear" w:color="auto" w:fill="FFFFFF"/>
        </w:rPr>
      </w:pPr>
      <w:r>
        <w:rPr>
          <w:rFonts w:hint="eastAsia" w:ascii="仿宋" w:hAnsi="仿宋" w:eastAsia="仿宋" w:cs="仿宋"/>
          <w:sz w:val="24"/>
          <w:shd w:val="clear" w:color="auto" w:fill="FFFFFF"/>
        </w:rPr>
        <w:t>获取未中标通知书的授权</w:t>
      </w:r>
      <w:r>
        <w:rPr>
          <w:rFonts w:hint="eastAsia" w:ascii="仿宋" w:hAnsi="仿宋" w:eastAsia="仿宋" w:cs="仿宋"/>
          <w:bCs/>
          <w:sz w:val="24"/>
          <w:szCs w:val="24"/>
        </w:rPr>
        <w:t>（</w:t>
      </w:r>
      <w:r>
        <w:rPr>
          <w:rFonts w:hint="eastAsia" w:ascii="仿宋" w:hAnsi="仿宋" w:eastAsia="仿宋" w:cs="仿宋"/>
          <w:sz w:val="24"/>
          <w:szCs w:val="24"/>
        </w:rPr>
        <w:t>附件</w:t>
      </w:r>
      <w:r>
        <w:rPr>
          <w:rFonts w:hint="eastAsia" w:ascii="仿宋" w:hAnsi="仿宋" w:eastAsia="仿宋" w:cs="仿宋"/>
          <w:bCs/>
          <w:sz w:val="24"/>
          <w:szCs w:val="24"/>
        </w:rPr>
        <w:t>12）</w:t>
      </w:r>
    </w:p>
    <w:p>
      <w:pPr>
        <w:widowControl/>
        <w:numPr>
          <w:ilvl w:val="0"/>
          <w:numId w:val="35"/>
        </w:numPr>
        <w:tabs>
          <w:tab w:val="left" w:pos="900"/>
        </w:tabs>
        <w:snapToGrid w:val="0"/>
        <w:ind w:firstLineChars="0"/>
        <w:jc w:val="left"/>
      </w:pPr>
      <w:r>
        <w:rPr>
          <w:rFonts w:hint="eastAsia" w:ascii="仿宋" w:hAnsi="仿宋" w:eastAsia="仿宋" w:cs="仿宋"/>
          <w:sz w:val="24"/>
        </w:rPr>
        <w:t>投标人认为需要提供的其他材料。</w:t>
      </w:r>
      <w:r>
        <w:rPr>
          <w:rFonts w:hint="eastAsia" w:ascii="仿宋" w:hAnsi="仿宋" w:eastAsia="仿宋" w:cs="仿宋"/>
          <w:sz w:val="24"/>
          <w:shd w:val="clear" w:color="auto" w:fill="FFFFFF"/>
        </w:rPr>
        <w:t>（格式自拟）</w:t>
      </w:r>
      <w:r>
        <w:rPr>
          <w:rFonts w:hint="eastAsia" w:ascii="仿宋" w:hAnsi="仿宋" w:eastAsia="仿宋" w:cs="仿宋"/>
          <w:bCs/>
          <w:sz w:val="24"/>
          <w:szCs w:val="24"/>
        </w:rPr>
        <w:t>（</w:t>
      </w:r>
      <w:r>
        <w:rPr>
          <w:rFonts w:hint="eastAsia" w:ascii="仿宋" w:hAnsi="仿宋" w:eastAsia="仿宋" w:cs="仿宋"/>
          <w:sz w:val="24"/>
          <w:szCs w:val="24"/>
        </w:rPr>
        <w:t>附件</w:t>
      </w:r>
      <w:r>
        <w:rPr>
          <w:rFonts w:hint="eastAsia" w:ascii="仿宋" w:hAnsi="仿宋" w:eastAsia="仿宋" w:cs="仿宋"/>
          <w:bCs/>
          <w:sz w:val="24"/>
          <w:szCs w:val="24"/>
        </w:rPr>
        <w:t>13）</w:t>
      </w:r>
    </w:p>
    <w:p>
      <w:pPr>
        <w:numPr>
          <w:ilvl w:val="0"/>
          <w:numId w:val="35"/>
        </w:numPr>
        <w:ind w:firstLineChars="0"/>
        <w:rPr>
          <w:rFonts w:ascii="仿宋" w:hAnsi="仿宋" w:eastAsia="仿宋" w:cs="仿宋"/>
          <w:sz w:val="24"/>
        </w:rPr>
      </w:pPr>
      <w:r>
        <w:rPr>
          <w:rFonts w:hint="eastAsia" w:ascii="仿宋" w:hAnsi="仿宋" w:eastAsia="仿宋" w:cs="仿宋"/>
          <w:sz w:val="24"/>
        </w:rPr>
        <w:t>服务方案；</w:t>
      </w:r>
      <w:r>
        <w:rPr>
          <w:rFonts w:hint="eastAsia" w:ascii="仿宋" w:hAnsi="仿宋" w:eastAsia="仿宋" w:cs="仿宋"/>
          <w:sz w:val="24"/>
          <w:shd w:val="clear" w:color="auto" w:fill="FFFFFF"/>
        </w:rPr>
        <w:t>（格式自拟）</w:t>
      </w:r>
      <w:r>
        <w:rPr>
          <w:rFonts w:hint="eastAsia" w:ascii="仿宋" w:hAnsi="仿宋" w:eastAsia="仿宋" w:cs="仿宋"/>
          <w:bCs/>
          <w:sz w:val="24"/>
          <w:szCs w:val="24"/>
        </w:rPr>
        <w:t>（</w:t>
      </w:r>
      <w:r>
        <w:rPr>
          <w:rFonts w:hint="eastAsia" w:ascii="仿宋" w:hAnsi="仿宋" w:eastAsia="仿宋" w:cs="仿宋"/>
          <w:sz w:val="24"/>
          <w:szCs w:val="24"/>
        </w:rPr>
        <w:t>附件</w:t>
      </w:r>
      <w:r>
        <w:rPr>
          <w:rFonts w:hint="eastAsia" w:ascii="仿宋" w:hAnsi="仿宋" w:eastAsia="仿宋" w:cs="仿宋"/>
          <w:bCs/>
          <w:sz w:val="24"/>
          <w:szCs w:val="24"/>
        </w:rPr>
        <w:t>14）</w:t>
      </w:r>
    </w:p>
    <w:p>
      <w:pPr>
        <w:widowControl/>
        <w:numPr>
          <w:ilvl w:val="0"/>
          <w:numId w:val="35"/>
        </w:numPr>
        <w:tabs>
          <w:tab w:val="left" w:pos="900"/>
        </w:tabs>
        <w:snapToGrid w:val="0"/>
        <w:ind w:firstLineChars="0"/>
        <w:jc w:val="left"/>
        <w:rPr>
          <w:rFonts w:ascii="仿宋" w:hAnsi="仿宋" w:eastAsia="仿宋" w:cs="仿宋"/>
          <w:bCs/>
          <w:sz w:val="24"/>
          <w:szCs w:val="24"/>
        </w:rPr>
      </w:pPr>
      <w:r>
        <w:rPr>
          <w:rFonts w:hint="eastAsia" w:ascii="仿宋" w:hAnsi="仿宋" w:eastAsia="仿宋" w:cs="仿宋"/>
          <w:bCs/>
          <w:sz w:val="24"/>
          <w:szCs w:val="24"/>
        </w:rPr>
        <w:t>最终报价一览表（</w:t>
      </w:r>
      <w:r>
        <w:rPr>
          <w:rFonts w:hint="eastAsia" w:ascii="仿宋" w:hAnsi="仿宋" w:eastAsia="仿宋" w:cs="仿宋"/>
          <w:sz w:val="24"/>
          <w:szCs w:val="24"/>
        </w:rPr>
        <w:t>附件</w:t>
      </w:r>
      <w:r>
        <w:rPr>
          <w:rFonts w:hint="eastAsia" w:ascii="仿宋" w:hAnsi="仿宋" w:eastAsia="仿宋" w:cs="仿宋"/>
          <w:bCs/>
          <w:sz w:val="24"/>
          <w:szCs w:val="24"/>
        </w:rPr>
        <w:t>15）</w:t>
      </w:r>
    </w:p>
    <w:p>
      <w:pPr>
        <w:widowControl/>
        <w:numPr>
          <w:ilvl w:val="0"/>
          <w:numId w:val="35"/>
        </w:numPr>
        <w:tabs>
          <w:tab w:val="left" w:pos="900"/>
        </w:tabs>
        <w:snapToGrid w:val="0"/>
        <w:ind w:firstLineChars="0"/>
        <w:jc w:val="left"/>
        <w:rPr>
          <w:rFonts w:ascii="仿宋" w:hAnsi="仿宋" w:eastAsia="仿宋" w:cs="仿宋"/>
          <w:bCs/>
          <w:sz w:val="24"/>
          <w:szCs w:val="24"/>
        </w:rPr>
      </w:pPr>
      <w:r>
        <w:rPr>
          <w:rFonts w:hint="eastAsia" w:ascii="仿宋" w:hAnsi="仿宋" w:eastAsia="仿宋" w:cs="仿宋"/>
          <w:bCs/>
          <w:sz w:val="24"/>
          <w:szCs w:val="24"/>
        </w:rPr>
        <w:t>退保申请书（</w:t>
      </w:r>
      <w:r>
        <w:rPr>
          <w:rFonts w:hint="eastAsia" w:ascii="仿宋" w:hAnsi="仿宋" w:eastAsia="仿宋" w:cs="仿宋"/>
          <w:sz w:val="24"/>
          <w:szCs w:val="24"/>
        </w:rPr>
        <w:t>附件16</w:t>
      </w:r>
      <w:r>
        <w:rPr>
          <w:rFonts w:hint="eastAsia" w:ascii="仿宋" w:hAnsi="仿宋" w:eastAsia="仿宋" w:cs="仿宋"/>
          <w:bCs/>
          <w:sz w:val="24"/>
          <w:szCs w:val="24"/>
        </w:rPr>
        <w:t>）</w:t>
      </w:r>
    </w:p>
    <w:p>
      <w:pPr>
        <w:snapToGrid w:val="0"/>
        <w:spacing w:line="400" w:lineRule="exact"/>
        <w:ind w:firstLine="560" w:firstLineChars="0"/>
        <w:rPr>
          <w:rFonts w:ascii="仿宋" w:hAnsi="仿宋" w:eastAsia="仿宋" w:cs="仿宋"/>
          <w:sz w:val="24"/>
          <w:szCs w:val="24"/>
        </w:rPr>
      </w:pPr>
    </w:p>
    <w:p>
      <w:pPr>
        <w:ind w:firstLine="482"/>
        <w:rPr>
          <w:rFonts w:ascii="仿宋" w:hAnsi="仿宋" w:eastAsia="仿宋" w:cs="仿宋"/>
          <w:b/>
          <w:sz w:val="24"/>
          <w:szCs w:val="24"/>
        </w:rPr>
      </w:pPr>
      <w:r>
        <w:rPr>
          <w:rFonts w:hint="eastAsia" w:ascii="仿宋" w:hAnsi="仿宋" w:eastAsia="仿宋" w:cs="仿宋"/>
          <w:b/>
          <w:sz w:val="24"/>
          <w:szCs w:val="24"/>
          <w:u w:val="single"/>
        </w:rPr>
        <w:t>※所提供的复印件须加盖供应商的公章</w:t>
      </w:r>
      <w:r>
        <w:rPr>
          <w:rFonts w:hint="eastAsia" w:ascii="仿宋" w:hAnsi="仿宋" w:eastAsia="仿宋" w:cs="仿宋"/>
          <w:b/>
          <w:sz w:val="24"/>
          <w:szCs w:val="24"/>
        </w:rPr>
        <w:t>。</w:t>
      </w:r>
    </w:p>
    <w:p>
      <w:pPr>
        <w:ind w:firstLine="0" w:firstLineChars="0"/>
        <w:rPr>
          <w:rFonts w:ascii="仿宋" w:hAnsi="仿宋" w:eastAsia="仿宋" w:cs="仿宋"/>
          <w:sz w:val="24"/>
        </w:rPr>
      </w:pPr>
      <w:r>
        <w:rPr>
          <w:rFonts w:hint="eastAsia" w:ascii="仿宋" w:hAnsi="仿宋" w:eastAsia="仿宋" w:cs="仿宋"/>
          <w:sz w:val="24"/>
          <w:szCs w:val="24"/>
        </w:rPr>
        <w:br w:type="page"/>
      </w:r>
    </w:p>
    <w:p>
      <w:pPr>
        <w:pStyle w:val="4"/>
        <w:spacing w:before="120"/>
        <w:rPr>
          <w:rFonts w:ascii="仿宋" w:hAnsi="仿宋" w:eastAsia="仿宋" w:cs="仿宋"/>
          <w:sz w:val="32"/>
        </w:rPr>
      </w:pPr>
      <w:bookmarkStart w:id="218" w:name="_Toc32159"/>
      <w:r>
        <w:rPr>
          <w:rFonts w:hint="eastAsia" w:ascii="仿宋" w:hAnsi="仿宋" w:eastAsia="仿宋" w:cs="仿宋"/>
        </w:rPr>
        <w:t>附件1：首次响应报价</w:t>
      </w:r>
      <w:bookmarkEnd w:id="218"/>
    </w:p>
    <w:p>
      <w:pPr>
        <w:ind w:firstLine="480"/>
        <w:rPr>
          <w:rFonts w:ascii="仿宋" w:hAnsi="仿宋" w:eastAsia="仿宋" w:cs="仿宋"/>
          <w:sz w:val="24"/>
          <w:szCs w:val="24"/>
        </w:rPr>
      </w:pPr>
    </w:p>
    <w:p>
      <w:pPr>
        <w:ind w:firstLine="480"/>
        <w:rPr>
          <w:rFonts w:ascii="仿宋" w:hAnsi="仿宋" w:eastAsia="仿宋" w:cs="仿宋"/>
          <w:sz w:val="24"/>
          <w:szCs w:val="24"/>
        </w:rPr>
      </w:pPr>
      <w:r>
        <w:rPr>
          <w:rFonts w:hint="eastAsia" w:ascii="仿宋" w:hAnsi="仿宋" w:eastAsia="仿宋" w:cs="仿宋"/>
          <w:sz w:val="24"/>
          <w:szCs w:val="24"/>
        </w:rPr>
        <w:t>基于</w:t>
      </w:r>
      <w:r>
        <w:rPr>
          <w:rFonts w:hint="eastAsia" w:ascii="仿宋" w:hAnsi="仿宋" w:eastAsia="仿宋" w:cs="仿宋"/>
          <w:bCs/>
          <w:sz w:val="24"/>
          <w:szCs w:val="24"/>
          <w:u w:val="single"/>
        </w:rPr>
        <w:t>（项目名称/项目编号）</w:t>
      </w:r>
      <w:r>
        <w:rPr>
          <w:rFonts w:hint="eastAsia" w:ascii="仿宋" w:hAnsi="仿宋" w:eastAsia="仿宋" w:cs="仿宋"/>
          <w:sz w:val="24"/>
          <w:szCs w:val="24"/>
        </w:rPr>
        <w:t>磋商文件的要求，我们首次响应报价如下：</w:t>
      </w:r>
    </w:p>
    <w:p>
      <w:pPr>
        <w:ind w:firstLine="562"/>
        <w:rPr>
          <w:rFonts w:ascii="仿宋" w:hAnsi="仿宋" w:eastAsia="仿宋" w:cs="仿宋"/>
          <w:b/>
        </w:rPr>
      </w:pPr>
    </w:p>
    <w:p>
      <w:pPr>
        <w:ind w:firstLine="562"/>
        <w:rPr>
          <w:rFonts w:ascii="仿宋" w:hAnsi="仿宋" w:eastAsia="仿宋" w:cs="仿宋"/>
          <w:b/>
        </w:rPr>
      </w:pPr>
      <w:r>
        <w:rPr>
          <w:rFonts w:hint="eastAsia" w:ascii="仿宋" w:hAnsi="仿宋" w:eastAsia="仿宋" w:cs="仿宋"/>
          <w:b/>
        </w:rPr>
        <w:t xml:space="preserve">报价合计：[大写]______________[小写]_________元 </w:t>
      </w:r>
    </w:p>
    <w:p>
      <w:pPr>
        <w:ind w:firstLine="562"/>
        <w:rPr>
          <w:rFonts w:ascii="仿宋" w:hAnsi="仿宋" w:eastAsia="仿宋" w:cs="仿宋"/>
          <w:b/>
        </w:rPr>
      </w:pPr>
      <w:r>
        <w:rPr>
          <w:rFonts w:hint="eastAsia" w:ascii="仿宋" w:hAnsi="仿宋" w:eastAsia="仿宋" w:cs="仿宋"/>
          <w:b/>
        </w:rPr>
        <w:t>交货期限：</w:t>
      </w:r>
    </w:p>
    <w:p>
      <w:pPr>
        <w:ind w:firstLine="480"/>
        <w:rPr>
          <w:rFonts w:ascii="仿宋" w:hAnsi="仿宋" w:eastAsia="仿宋" w:cs="仿宋"/>
          <w:sz w:val="24"/>
          <w:szCs w:val="24"/>
        </w:rPr>
      </w:pPr>
      <w:r>
        <w:rPr>
          <w:rFonts w:hint="eastAsia" w:ascii="仿宋" w:hAnsi="仿宋" w:eastAsia="仿宋" w:cs="仿宋"/>
          <w:bCs/>
          <w:sz w:val="24"/>
          <w:szCs w:val="24"/>
        </w:rPr>
        <w:t>注：1、</w:t>
      </w:r>
      <w:r>
        <w:rPr>
          <w:rFonts w:hint="eastAsia" w:ascii="仿宋" w:hAnsi="仿宋" w:eastAsia="仿宋" w:cs="仿宋"/>
          <w:sz w:val="24"/>
          <w:szCs w:val="24"/>
        </w:rPr>
        <w:t>报价</w:t>
      </w:r>
      <w:r>
        <w:rPr>
          <w:rFonts w:hint="eastAsia" w:ascii="仿宋" w:hAnsi="仿宋" w:eastAsia="仿宋" w:cs="仿宋"/>
          <w:kern w:val="0"/>
          <w:sz w:val="24"/>
          <w:szCs w:val="24"/>
        </w:rPr>
        <w:t>应包含服务、税费等所有费用</w:t>
      </w:r>
      <w:r>
        <w:rPr>
          <w:rFonts w:hint="eastAsia" w:ascii="仿宋" w:hAnsi="仿宋" w:eastAsia="仿宋" w:cs="仿宋"/>
          <w:sz w:val="24"/>
          <w:szCs w:val="24"/>
        </w:rPr>
        <w:t>报价；</w:t>
      </w:r>
    </w:p>
    <w:p>
      <w:pPr>
        <w:numPr>
          <w:ilvl w:val="0"/>
          <w:numId w:val="36"/>
        </w:numPr>
        <w:ind w:firstLine="960" w:firstLineChars="400"/>
        <w:rPr>
          <w:rFonts w:ascii="仿宋" w:hAnsi="仿宋" w:eastAsia="仿宋" w:cs="仿宋"/>
          <w:sz w:val="24"/>
          <w:szCs w:val="24"/>
        </w:rPr>
      </w:pPr>
      <w:r>
        <w:rPr>
          <w:rFonts w:hint="eastAsia" w:ascii="仿宋" w:hAnsi="仿宋" w:eastAsia="仿宋" w:cs="仿宋"/>
          <w:sz w:val="24"/>
          <w:szCs w:val="24"/>
        </w:rPr>
        <w:t>大写、小写不一致的以大写为准。</w:t>
      </w:r>
    </w:p>
    <w:p>
      <w:pPr>
        <w:ind w:firstLine="960" w:firstLineChars="400"/>
        <w:rPr>
          <w:rFonts w:ascii="仿宋" w:hAnsi="仿宋" w:eastAsia="仿宋" w:cs="仿宋"/>
          <w:bCs/>
          <w:sz w:val="24"/>
          <w:szCs w:val="24"/>
        </w:rPr>
      </w:pPr>
      <w:r>
        <w:rPr>
          <w:rFonts w:hint="eastAsia" w:ascii="仿宋" w:hAnsi="仿宋" w:eastAsia="仿宋" w:cs="仿宋"/>
          <w:bCs/>
          <w:sz w:val="24"/>
          <w:szCs w:val="24"/>
        </w:rPr>
        <w:t>3、投标报价汇总表应包括所有报价表列明的项目。</w:t>
      </w:r>
    </w:p>
    <w:p>
      <w:pPr>
        <w:ind w:firstLine="960" w:firstLineChars="400"/>
        <w:rPr>
          <w:rFonts w:ascii="仿宋" w:hAnsi="仿宋" w:eastAsia="仿宋" w:cs="仿宋"/>
          <w:bCs/>
          <w:sz w:val="24"/>
          <w:szCs w:val="24"/>
        </w:rPr>
      </w:pPr>
      <w:r>
        <w:rPr>
          <w:rFonts w:hint="eastAsia" w:ascii="仿宋" w:hAnsi="仿宋" w:eastAsia="仿宋" w:cs="仿宋"/>
          <w:bCs/>
          <w:sz w:val="24"/>
          <w:szCs w:val="24"/>
        </w:rPr>
        <w:t>4、报价以外的费用，招标人不予支付。</w:t>
      </w:r>
    </w:p>
    <w:p>
      <w:pPr>
        <w:ind w:firstLine="480"/>
        <w:rPr>
          <w:rFonts w:ascii="仿宋" w:hAnsi="仿宋" w:eastAsia="仿宋" w:cs="仿宋"/>
          <w:sz w:val="24"/>
          <w:szCs w:val="24"/>
        </w:rPr>
      </w:pPr>
    </w:p>
    <w:p>
      <w:pPr>
        <w:ind w:firstLine="480"/>
        <w:rPr>
          <w:rFonts w:ascii="仿宋" w:hAnsi="仿宋" w:eastAsia="仿宋" w:cs="仿宋"/>
          <w:sz w:val="24"/>
          <w:szCs w:val="24"/>
        </w:rPr>
      </w:pPr>
      <w:r>
        <w:rPr>
          <w:rFonts w:hint="eastAsia" w:ascii="仿宋" w:hAnsi="仿宋" w:eastAsia="仿宋" w:cs="仿宋"/>
          <w:sz w:val="24"/>
          <w:szCs w:val="24"/>
        </w:rPr>
        <w:t>供应商名称（盖章）：</w:t>
      </w:r>
    </w:p>
    <w:p>
      <w:pPr>
        <w:ind w:firstLine="480"/>
        <w:rPr>
          <w:rFonts w:ascii="仿宋" w:hAnsi="仿宋" w:eastAsia="仿宋" w:cs="仿宋"/>
          <w:sz w:val="24"/>
          <w:szCs w:val="24"/>
        </w:rPr>
      </w:pPr>
      <w:r>
        <w:rPr>
          <w:rFonts w:hint="eastAsia" w:ascii="仿宋" w:hAnsi="仿宋" w:eastAsia="仿宋" w:cs="仿宋"/>
          <w:sz w:val="24"/>
          <w:szCs w:val="24"/>
        </w:rPr>
        <w:t>授权代表签名：</w:t>
      </w:r>
    </w:p>
    <w:p>
      <w:pPr>
        <w:ind w:firstLine="480"/>
        <w:rPr>
          <w:rFonts w:ascii="仿宋" w:hAnsi="仿宋" w:eastAsia="仿宋" w:cs="仿宋"/>
          <w:sz w:val="24"/>
          <w:szCs w:val="24"/>
        </w:rPr>
      </w:pPr>
      <w:r>
        <w:rPr>
          <w:rFonts w:hint="eastAsia" w:ascii="仿宋" w:hAnsi="仿宋" w:eastAsia="仿宋" w:cs="仿宋"/>
          <w:sz w:val="24"/>
          <w:szCs w:val="24"/>
        </w:rPr>
        <w:t>职位（法定代表人或授权代表）：</w:t>
      </w:r>
    </w:p>
    <w:p>
      <w:pPr>
        <w:ind w:firstLine="480"/>
        <w:rPr>
          <w:rFonts w:ascii="仿宋" w:hAnsi="仿宋" w:eastAsia="仿宋" w:cs="仿宋"/>
          <w:sz w:val="24"/>
          <w:szCs w:val="24"/>
        </w:rPr>
      </w:pPr>
      <w:r>
        <w:rPr>
          <w:rFonts w:hint="eastAsia" w:ascii="仿宋" w:hAnsi="仿宋" w:eastAsia="仿宋" w:cs="仿宋"/>
          <w:sz w:val="24"/>
          <w:szCs w:val="24"/>
        </w:rPr>
        <w:t>日期：</w:t>
      </w:r>
    </w:p>
    <w:p>
      <w:pPr>
        <w:ind w:firstLine="0" w:firstLineChars="0"/>
      </w:pPr>
    </w:p>
    <w:p>
      <w:pPr>
        <w:ind w:firstLine="562"/>
        <w:rPr>
          <w:rFonts w:ascii="仿宋" w:hAnsi="仿宋" w:eastAsia="仿宋" w:cs="仿宋"/>
          <w:b/>
          <w:bCs/>
        </w:rPr>
      </w:pPr>
      <w:r>
        <w:rPr>
          <w:rFonts w:hint="eastAsia" w:ascii="仿宋" w:hAnsi="仿宋" w:eastAsia="仿宋" w:cs="仿宋"/>
          <w:b/>
          <w:bCs/>
        </w:rPr>
        <w:br w:type="page"/>
      </w:r>
    </w:p>
    <w:p>
      <w:pPr>
        <w:pStyle w:val="4"/>
        <w:spacing w:before="120"/>
        <w:ind w:left="0"/>
        <w:jc w:val="center"/>
      </w:pPr>
      <w:bookmarkStart w:id="219" w:name="_Toc18743"/>
      <w:r>
        <w:rPr>
          <w:rFonts w:hint="eastAsia"/>
        </w:rPr>
        <w:t>附件2：竞争性磋商函</w:t>
      </w:r>
      <w:bookmarkEnd w:id="219"/>
    </w:p>
    <w:p>
      <w:pPr>
        <w:spacing w:before="19"/>
        <w:ind w:firstLine="480"/>
        <w:rPr>
          <w:rFonts w:ascii="仿宋" w:hAnsi="仿宋" w:eastAsia="仿宋" w:cs="仿宋"/>
          <w:sz w:val="24"/>
        </w:rPr>
      </w:pPr>
      <w:r>
        <w:rPr>
          <w:rFonts w:hint="eastAsia" w:ascii="仿宋" w:hAnsi="仿宋" w:eastAsia="仿宋" w:cs="仿宋"/>
          <w:sz w:val="24"/>
        </w:rPr>
        <w:t>致：海南琪硕招投标有限公司</w:t>
      </w:r>
    </w:p>
    <w:p>
      <w:pPr>
        <w:ind w:firstLine="480"/>
        <w:rPr>
          <w:rFonts w:ascii="仿宋" w:hAnsi="仿宋" w:eastAsia="仿宋" w:cs="仿宋"/>
          <w:sz w:val="24"/>
        </w:rPr>
      </w:pPr>
      <w:r>
        <w:rPr>
          <w:rFonts w:hint="eastAsia" w:ascii="仿宋" w:hAnsi="仿宋" w:eastAsia="仿宋" w:cs="仿宋"/>
          <w:sz w:val="24"/>
        </w:rPr>
        <w:t>根据贵方的</w:t>
      </w:r>
      <w:r>
        <w:rPr>
          <w:rFonts w:hint="eastAsia" w:ascii="仿宋" w:hAnsi="仿宋" w:eastAsia="仿宋" w:cs="仿宋"/>
          <w:bCs/>
          <w:sz w:val="24"/>
          <w:szCs w:val="24"/>
          <w:u w:val="single"/>
        </w:rPr>
        <w:t>（项目名称）</w:t>
      </w:r>
      <w:r>
        <w:rPr>
          <w:rFonts w:hint="eastAsia" w:ascii="仿宋" w:hAnsi="仿宋" w:eastAsia="仿宋" w:cs="仿宋"/>
          <w:sz w:val="24"/>
          <w:szCs w:val="24"/>
        </w:rPr>
        <w:t>（项目编号为：）</w:t>
      </w:r>
      <w:r>
        <w:rPr>
          <w:rFonts w:hint="eastAsia" w:ascii="仿宋" w:hAnsi="仿宋" w:eastAsia="仿宋" w:cs="仿宋"/>
          <w:sz w:val="24"/>
        </w:rPr>
        <w:t>的竞争性磋商文件，正式授权下述签字人_______________(姓名和职务)代表我方______________（投标人的名称），全权处理本次项目磋商的有关事宜。</w:t>
      </w:r>
    </w:p>
    <w:p>
      <w:pPr>
        <w:ind w:firstLine="480"/>
        <w:rPr>
          <w:rFonts w:ascii="仿宋" w:hAnsi="仿宋" w:eastAsia="仿宋" w:cs="仿宋"/>
          <w:sz w:val="24"/>
        </w:rPr>
      </w:pPr>
      <w:r>
        <w:rPr>
          <w:rFonts w:hint="eastAsia" w:ascii="仿宋" w:hAnsi="仿宋" w:eastAsia="仿宋" w:cs="仿宋"/>
          <w:sz w:val="24"/>
        </w:rPr>
        <w:t>据此函，__________签字人兹宣布同意如下：</w:t>
      </w:r>
    </w:p>
    <w:p>
      <w:pPr>
        <w:ind w:firstLine="480"/>
        <w:rPr>
          <w:rFonts w:ascii="仿宋" w:hAnsi="仿宋" w:eastAsia="仿宋" w:cs="仿宋"/>
          <w:sz w:val="24"/>
        </w:rPr>
      </w:pPr>
      <w:r>
        <w:rPr>
          <w:rFonts w:hint="eastAsia" w:ascii="仿宋" w:hAnsi="仿宋" w:eastAsia="仿宋" w:cs="仿宋"/>
          <w:sz w:val="24"/>
        </w:rPr>
        <w:t>1.我司已收悉招标文件中“投标人须知”的各项规定。本投标文件的有效期为从投标截止日期起计算的60天，在此期间，本投标文件将始终对我方具有约束力。</w:t>
      </w:r>
    </w:p>
    <w:p>
      <w:pPr>
        <w:ind w:firstLine="480"/>
        <w:rPr>
          <w:rFonts w:ascii="仿宋" w:hAnsi="仿宋" w:eastAsia="仿宋" w:cs="仿宋"/>
          <w:sz w:val="24"/>
        </w:rPr>
      </w:pPr>
      <w:r>
        <w:rPr>
          <w:rFonts w:hint="eastAsia" w:ascii="仿宋" w:hAnsi="仿宋" w:eastAsia="仿宋" w:cs="仿宋"/>
          <w:sz w:val="24"/>
        </w:rPr>
        <w:t>2.按竞争性磋商文件规定的各项要求，向买方提供所需货物与服务。</w:t>
      </w:r>
    </w:p>
    <w:p>
      <w:pPr>
        <w:ind w:firstLine="480"/>
        <w:rPr>
          <w:rFonts w:ascii="仿宋" w:hAnsi="仿宋" w:eastAsia="仿宋" w:cs="仿宋"/>
          <w:sz w:val="24"/>
        </w:rPr>
      </w:pPr>
      <w:r>
        <w:rPr>
          <w:rFonts w:hint="eastAsia" w:ascii="仿宋" w:hAnsi="仿宋" w:eastAsia="仿宋" w:cs="仿宋"/>
          <w:sz w:val="24"/>
        </w:rPr>
        <w:t>3.我们完全理解贵方不一定将合同授予最低报价的投标人。</w:t>
      </w:r>
    </w:p>
    <w:p>
      <w:pPr>
        <w:ind w:firstLine="480"/>
        <w:rPr>
          <w:rFonts w:ascii="仿宋" w:hAnsi="仿宋" w:eastAsia="仿宋" w:cs="仿宋"/>
          <w:sz w:val="24"/>
        </w:rPr>
      </w:pPr>
      <w:r>
        <w:rPr>
          <w:rFonts w:hint="eastAsia" w:ascii="仿宋" w:hAnsi="仿宋" w:eastAsia="仿宋" w:cs="仿宋"/>
          <w:sz w:val="24"/>
        </w:rPr>
        <w:t>4.我们已详细审核全部竞争性磋商文件及其有效补充文件，我们知道必须放弃提出含糊不清或误解问题的权利。</w:t>
      </w:r>
    </w:p>
    <w:p>
      <w:pPr>
        <w:ind w:firstLine="480"/>
        <w:rPr>
          <w:rFonts w:ascii="仿宋" w:hAnsi="仿宋" w:eastAsia="仿宋" w:cs="仿宋"/>
          <w:sz w:val="24"/>
        </w:rPr>
      </w:pPr>
      <w:r>
        <w:rPr>
          <w:rFonts w:hint="eastAsia" w:ascii="仿宋" w:hAnsi="仿宋" w:eastAsia="仿宋" w:cs="仿宋"/>
          <w:sz w:val="24"/>
        </w:rPr>
        <w:t>5.我们同意从规定的响应文件开启时间起遵循本响应文件。</w:t>
      </w:r>
    </w:p>
    <w:p>
      <w:pPr>
        <w:ind w:firstLine="480"/>
        <w:rPr>
          <w:rFonts w:ascii="仿宋" w:hAnsi="仿宋" w:eastAsia="仿宋" w:cs="仿宋"/>
          <w:sz w:val="24"/>
        </w:rPr>
      </w:pPr>
      <w:r>
        <w:rPr>
          <w:rFonts w:hint="eastAsia" w:ascii="仿宋" w:hAnsi="仿宋" w:eastAsia="仿宋" w:cs="仿宋"/>
          <w:sz w:val="24"/>
        </w:rPr>
        <w:t>6.如果在确定成交后拒绝签订合同，我们的磋商保证金可被贵方没收。</w:t>
      </w:r>
    </w:p>
    <w:p>
      <w:pPr>
        <w:ind w:firstLine="480"/>
        <w:rPr>
          <w:rFonts w:ascii="仿宋" w:hAnsi="仿宋" w:eastAsia="仿宋" w:cs="仿宋"/>
          <w:sz w:val="24"/>
        </w:rPr>
      </w:pPr>
      <w:r>
        <w:rPr>
          <w:rFonts w:hint="eastAsia" w:ascii="仿宋" w:hAnsi="仿宋" w:eastAsia="仿宋" w:cs="仿宋"/>
          <w:sz w:val="24"/>
        </w:rPr>
        <w:t>7.同意向贵方提供贵方可能另外要求的与磋商有关的任何证据或资料，并保证我方已提供和将要提供的文件是真实的、准确的。</w:t>
      </w:r>
    </w:p>
    <w:p>
      <w:pPr>
        <w:ind w:firstLine="480"/>
        <w:rPr>
          <w:rFonts w:ascii="仿宋" w:hAnsi="仿宋" w:eastAsia="仿宋" w:cs="仿宋"/>
          <w:sz w:val="24"/>
        </w:rPr>
      </w:pPr>
      <w:r>
        <w:rPr>
          <w:rFonts w:hint="eastAsia" w:ascii="仿宋" w:hAnsi="仿宋" w:eastAsia="仿宋" w:cs="仿宋"/>
          <w:sz w:val="24"/>
        </w:rPr>
        <w:t>8.一旦我方被确认成交,我方将根据竞争性磋商文件的规定，严格履行合同的责任和义务,并保证在竞争性磋商文件规定的时间完成项目，交付买方验收、使用。</w:t>
      </w:r>
    </w:p>
    <w:p>
      <w:pPr>
        <w:ind w:firstLine="480"/>
        <w:rPr>
          <w:rFonts w:ascii="仿宋" w:hAnsi="仿宋" w:eastAsia="仿宋" w:cs="仿宋"/>
          <w:sz w:val="24"/>
        </w:rPr>
      </w:pPr>
      <w:r>
        <w:rPr>
          <w:rFonts w:hint="eastAsia" w:ascii="仿宋" w:hAnsi="仿宋" w:eastAsia="仿宋" w:cs="仿宋"/>
          <w:sz w:val="24"/>
        </w:rPr>
        <w:t>9.遵守竞争性磋商文件中要求的收费项目和标准。</w:t>
      </w:r>
    </w:p>
    <w:p>
      <w:pPr>
        <w:ind w:firstLine="480"/>
        <w:rPr>
          <w:rFonts w:ascii="仿宋" w:hAnsi="仿宋" w:eastAsia="仿宋" w:cs="仿宋"/>
          <w:sz w:val="24"/>
        </w:rPr>
      </w:pPr>
      <w:r>
        <w:rPr>
          <w:rFonts w:hint="eastAsia" w:ascii="仿宋" w:hAnsi="仿宋" w:eastAsia="仿宋" w:cs="仿宋"/>
          <w:sz w:val="24"/>
        </w:rPr>
        <w:t>10.与本磋商有关的正式通讯地址为：</w:t>
      </w:r>
    </w:p>
    <w:p>
      <w:pPr>
        <w:ind w:firstLine="480"/>
        <w:rPr>
          <w:rFonts w:ascii="仿宋" w:hAnsi="仿宋" w:eastAsia="仿宋" w:cs="仿宋"/>
          <w:sz w:val="24"/>
        </w:rPr>
      </w:pPr>
      <w:r>
        <w:rPr>
          <w:rFonts w:hint="eastAsia" w:ascii="仿宋" w:hAnsi="仿宋" w:eastAsia="仿宋" w:cs="仿宋"/>
          <w:sz w:val="24"/>
        </w:rPr>
        <w:t>地址：</w:t>
      </w:r>
    </w:p>
    <w:p>
      <w:pPr>
        <w:ind w:firstLine="480"/>
        <w:rPr>
          <w:rFonts w:ascii="仿宋" w:hAnsi="仿宋" w:eastAsia="仿宋" w:cs="仿宋"/>
          <w:sz w:val="24"/>
        </w:rPr>
      </w:pPr>
      <w:r>
        <w:rPr>
          <w:rFonts w:hint="eastAsia" w:ascii="仿宋" w:hAnsi="仿宋" w:eastAsia="仿宋" w:cs="仿宋"/>
          <w:sz w:val="24"/>
        </w:rPr>
        <w:t>邮编：</w:t>
      </w:r>
    </w:p>
    <w:p>
      <w:pPr>
        <w:ind w:firstLine="480"/>
        <w:rPr>
          <w:rFonts w:ascii="仿宋" w:hAnsi="仿宋" w:eastAsia="仿宋" w:cs="仿宋"/>
          <w:sz w:val="24"/>
        </w:rPr>
      </w:pPr>
      <w:r>
        <w:rPr>
          <w:rFonts w:hint="eastAsia" w:ascii="仿宋" w:hAnsi="仿宋" w:eastAsia="仿宋" w:cs="仿宋"/>
          <w:sz w:val="24"/>
        </w:rPr>
        <w:t>电话：</w:t>
      </w:r>
    </w:p>
    <w:p>
      <w:pPr>
        <w:ind w:firstLine="480"/>
        <w:rPr>
          <w:rFonts w:ascii="仿宋" w:hAnsi="仿宋" w:eastAsia="仿宋" w:cs="仿宋"/>
          <w:sz w:val="24"/>
        </w:rPr>
      </w:pPr>
      <w:r>
        <w:rPr>
          <w:rFonts w:hint="eastAsia" w:ascii="仿宋" w:hAnsi="仿宋" w:eastAsia="仿宋" w:cs="仿宋"/>
          <w:sz w:val="24"/>
        </w:rPr>
        <w:t>传真：</w:t>
      </w:r>
    </w:p>
    <w:p>
      <w:pPr>
        <w:ind w:firstLine="480"/>
        <w:rPr>
          <w:rFonts w:ascii="仿宋" w:hAnsi="仿宋" w:eastAsia="仿宋" w:cs="仿宋"/>
          <w:sz w:val="24"/>
        </w:rPr>
      </w:pPr>
      <w:r>
        <w:rPr>
          <w:rFonts w:hint="eastAsia" w:ascii="仿宋" w:hAnsi="仿宋" w:eastAsia="仿宋" w:cs="仿宋"/>
          <w:sz w:val="24"/>
        </w:rPr>
        <w:t>投标人开户行：</w:t>
      </w:r>
    </w:p>
    <w:p>
      <w:pPr>
        <w:ind w:firstLine="480"/>
        <w:rPr>
          <w:rFonts w:ascii="仿宋" w:hAnsi="仿宋" w:eastAsia="仿宋" w:cs="仿宋"/>
          <w:sz w:val="24"/>
        </w:rPr>
      </w:pPr>
      <w:r>
        <w:rPr>
          <w:rFonts w:hint="eastAsia" w:ascii="仿宋" w:hAnsi="仿宋" w:eastAsia="仿宋" w:cs="仿宋"/>
          <w:sz w:val="24"/>
        </w:rPr>
        <w:t xml:space="preserve">账户： </w:t>
      </w:r>
    </w:p>
    <w:p>
      <w:pPr>
        <w:ind w:firstLine="480"/>
        <w:rPr>
          <w:rFonts w:ascii="仿宋" w:hAnsi="仿宋" w:eastAsia="仿宋" w:cs="仿宋"/>
          <w:sz w:val="24"/>
        </w:rPr>
      </w:pPr>
      <w:r>
        <w:rPr>
          <w:rFonts w:hint="eastAsia" w:ascii="仿宋" w:hAnsi="仿宋" w:eastAsia="仿宋" w:cs="仿宋"/>
          <w:sz w:val="24"/>
        </w:rPr>
        <w:t xml:space="preserve">投标人授权代表姓名（签字）： </w:t>
      </w:r>
    </w:p>
    <w:p>
      <w:pPr>
        <w:ind w:firstLine="480"/>
        <w:rPr>
          <w:rFonts w:ascii="仿宋" w:hAnsi="仿宋" w:eastAsia="仿宋" w:cs="仿宋"/>
          <w:sz w:val="24"/>
        </w:rPr>
      </w:pPr>
      <w:r>
        <w:rPr>
          <w:rFonts w:hint="eastAsia" w:ascii="仿宋" w:hAnsi="仿宋" w:eastAsia="仿宋" w:cs="仿宋"/>
          <w:sz w:val="24"/>
        </w:rPr>
        <w:t xml:space="preserve">投标人名称（公章）： </w:t>
      </w:r>
    </w:p>
    <w:p>
      <w:pPr>
        <w:ind w:firstLine="480"/>
        <w:rPr>
          <w:rFonts w:ascii="仿宋" w:hAnsi="仿宋" w:eastAsia="仿宋" w:cs="仿宋"/>
          <w:sz w:val="24"/>
        </w:rPr>
      </w:pPr>
      <w:r>
        <w:rPr>
          <w:rFonts w:hint="eastAsia" w:ascii="仿宋" w:hAnsi="仿宋" w:eastAsia="仿宋" w:cs="仿宋"/>
          <w:sz w:val="24"/>
        </w:rPr>
        <w:t>日期：________年_月__日</w:t>
      </w:r>
    </w:p>
    <w:p>
      <w:pPr>
        <w:ind w:firstLine="643"/>
        <w:jc w:val="center"/>
        <w:rPr>
          <w:rFonts w:ascii="仿宋" w:hAnsi="仿宋" w:eastAsia="仿宋" w:cs="仿宋"/>
          <w:b/>
          <w:sz w:val="32"/>
          <w:szCs w:val="32"/>
        </w:rPr>
      </w:pPr>
    </w:p>
    <w:p>
      <w:pPr>
        <w:pStyle w:val="4"/>
        <w:spacing w:before="120"/>
      </w:pPr>
      <w:bookmarkStart w:id="220" w:name="_Toc933"/>
      <w:r>
        <w:rPr>
          <w:rFonts w:hint="eastAsia"/>
        </w:rPr>
        <w:t>附件3：法定代表人证明书</w:t>
      </w:r>
      <w:bookmarkEnd w:id="220"/>
    </w:p>
    <w:p>
      <w:pPr>
        <w:ind w:firstLine="480"/>
        <w:rPr>
          <w:rFonts w:ascii="仿宋" w:hAnsi="仿宋" w:eastAsia="仿宋" w:cs="仿宋"/>
          <w:sz w:val="24"/>
          <w:szCs w:val="24"/>
        </w:rPr>
      </w:pPr>
    </w:p>
    <w:p>
      <w:pPr>
        <w:ind w:firstLine="480"/>
        <w:rPr>
          <w:rFonts w:ascii="仿宋" w:hAnsi="仿宋" w:eastAsia="仿宋" w:cs="仿宋"/>
          <w:sz w:val="24"/>
          <w:szCs w:val="24"/>
        </w:rPr>
      </w:pPr>
      <w:r>
        <w:rPr>
          <w:rFonts w:hint="eastAsia" w:ascii="仿宋" w:hAnsi="仿宋" w:eastAsia="仿宋" w:cs="仿宋"/>
          <w:sz w:val="24"/>
          <w:szCs w:val="24"/>
        </w:rPr>
        <w:t>投标人名称：</w:t>
      </w:r>
    </w:p>
    <w:p>
      <w:pPr>
        <w:ind w:firstLine="480"/>
        <w:rPr>
          <w:rFonts w:ascii="仿宋" w:hAnsi="仿宋" w:eastAsia="仿宋" w:cs="仿宋"/>
          <w:sz w:val="24"/>
          <w:szCs w:val="24"/>
        </w:rPr>
      </w:pPr>
      <w:r>
        <w:rPr>
          <w:rFonts w:hint="eastAsia" w:ascii="仿宋" w:hAnsi="仿宋" w:eastAsia="仿宋" w:cs="仿宋"/>
          <w:sz w:val="24"/>
          <w:szCs w:val="24"/>
        </w:rPr>
        <w:t>单位性质：</w:t>
      </w:r>
    </w:p>
    <w:p>
      <w:pPr>
        <w:ind w:firstLine="480"/>
        <w:rPr>
          <w:rFonts w:ascii="仿宋" w:hAnsi="仿宋" w:eastAsia="仿宋" w:cs="仿宋"/>
          <w:sz w:val="24"/>
          <w:szCs w:val="24"/>
        </w:rPr>
      </w:pPr>
      <w:r>
        <w:rPr>
          <w:rFonts w:hint="eastAsia" w:ascii="仿宋" w:hAnsi="仿宋" w:eastAsia="仿宋" w:cs="仿宋"/>
          <w:sz w:val="24"/>
          <w:szCs w:val="24"/>
        </w:rPr>
        <w:t>地址：</w:t>
      </w:r>
    </w:p>
    <w:p>
      <w:pPr>
        <w:ind w:firstLine="480"/>
        <w:rPr>
          <w:rFonts w:ascii="仿宋" w:hAnsi="仿宋" w:eastAsia="仿宋" w:cs="仿宋"/>
          <w:sz w:val="24"/>
          <w:szCs w:val="24"/>
        </w:rPr>
      </w:pPr>
      <w:r>
        <w:rPr>
          <w:rFonts w:hint="eastAsia" w:ascii="仿宋" w:hAnsi="仿宋" w:eastAsia="仿宋" w:cs="仿宋"/>
          <w:sz w:val="24"/>
          <w:szCs w:val="24"/>
        </w:rPr>
        <w:t>成立时间：年月日</w:t>
      </w:r>
    </w:p>
    <w:p>
      <w:pPr>
        <w:ind w:firstLine="480"/>
        <w:rPr>
          <w:rFonts w:ascii="仿宋" w:hAnsi="仿宋" w:eastAsia="仿宋" w:cs="仿宋"/>
          <w:sz w:val="24"/>
          <w:szCs w:val="24"/>
        </w:rPr>
      </w:pPr>
      <w:r>
        <w:rPr>
          <w:rFonts w:hint="eastAsia" w:ascii="仿宋" w:hAnsi="仿宋" w:eastAsia="仿宋" w:cs="仿宋"/>
          <w:sz w:val="24"/>
          <w:szCs w:val="24"/>
        </w:rPr>
        <w:t>经营期限：</w:t>
      </w:r>
    </w:p>
    <w:p>
      <w:pPr>
        <w:ind w:firstLine="480"/>
        <w:rPr>
          <w:rFonts w:ascii="仿宋" w:hAnsi="仿宋" w:eastAsia="仿宋" w:cs="仿宋"/>
          <w:sz w:val="24"/>
          <w:szCs w:val="24"/>
        </w:rPr>
      </w:pPr>
      <w:r>
        <w:rPr>
          <w:rFonts w:hint="eastAsia" w:ascii="仿宋" w:hAnsi="仿宋" w:eastAsia="仿宋" w:cs="仿宋"/>
          <w:sz w:val="24"/>
          <w:szCs w:val="24"/>
        </w:rPr>
        <w:t>姓名：性别：年龄：职务：</w:t>
      </w:r>
    </w:p>
    <w:p>
      <w:pPr>
        <w:ind w:firstLine="480"/>
        <w:rPr>
          <w:rFonts w:ascii="仿宋" w:hAnsi="仿宋" w:eastAsia="仿宋" w:cs="仿宋"/>
          <w:sz w:val="24"/>
          <w:szCs w:val="24"/>
        </w:rPr>
      </w:pPr>
      <w:r>
        <w:rPr>
          <w:rFonts w:hint="eastAsia" w:ascii="仿宋" w:hAnsi="仿宋" w:eastAsia="仿宋" w:cs="仿宋"/>
          <w:sz w:val="24"/>
          <w:szCs w:val="24"/>
        </w:rPr>
        <w:t>系（投标人名称）的法定代表人。</w:t>
      </w:r>
    </w:p>
    <w:p>
      <w:pPr>
        <w:ind w:firstLine="960" w:firstLineChars="400"/>
        <w:rPr>
          <w:rFonts w:ascii="仿宋" w:hAnsi="仿宋" w:eastAsia="仿宋" w:cs="仿宋"/>
          <w:sz w:val="24"/>
          <w:szCs w:val="24"/>
        </w:rPr>
      </w:pPr>
      <w:r>
        <w:rPr>
          <w:rFonts w:hint="eastAsia" w:ascii="仿宋" w:hAnsi="仿宋" w:eastAsia="仿宋" w:cs="仿宋"/>
          <w:sz w:val="24"/>
          <w:szCs w:val="24"/>
        </w:rPr>
        <w:t>特此证明。</w:t>
      </w:r>
    </w:p>
    <w:p>
      <w:pPr>
        <w:ind w:firstLine="480"/>
        <w:rPr>
          <w:rFonts w:ascii="仿宋" w:hAnsi="仿宋" w:eastAsia="仿宋" w:cs="仿宋"/>
          <w:sz w:val="24"/>
          <w:szCs w:val="24"/>
        </w:rPr>
      </w:pPr>
    </w:p>
    <w:p>
      <w:pPr>
        <w:ind w:firstLine="480"/>
        <w:rPr>
          <w:rFonts w:ascii="仿宋" w:hAnsi="仿宋" w:eastAsia="仿宋" w:cs="仿宋"/>
          <w:sz w:val="24"/>
          <w:szCs w:val="24"/>
        </w:rPr>
      </w:pPr>
      <w:r>
        <w:rPr>
          <w:rFonts w:hint="eastAsia" w:ascii="仿宋" w:hAnsi="仿宋" w:eastAsia="仿宋" w:cs="仿宋"/>
          <w:sz w:val="24"/>
          <w:szCs w:val="24"/>
        </w:rPr>
        <w:t>附：法定代表人身份证复印件</w:t>
      </w:r>
    </w:p>
    <w:p>
      <w:pPr>
        <w:ind w:firstLine="480"/>
        <w:rPr>
          <w:rFonts w:ascii="仿宋" w:hAnsi="仿宋" w:eastAsia="仿宋" w:cs="仿宋"/>
          <w:sz w:val="24"/>
          <w:szCs w:val="24"/>
        </w:rPr>
      </w:pPr>
    </w:p>
    <w:p>
      <w:pPr>
        <w:ind w:firstLine="3360" w:firstLineChars="1400"/>
        <w:rPr>
          <w:rFonts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rPr>
        <w:t>（签字或盖章）：</w:t>
      </w:r>
    </w:p>
    <w:p>
      <w:pPr>
        <w:ind w:firstLine="3360" w:firstLineChars="1400"/>
        <w:rPr>
          <w:rFonts w:ascii="仿宋" w:hAnsi="仿宋" w:eastAsia="仿宋" w:cs="仿宋"/>
          <w:sz w:val="24"/>
          <w:szCs w:val="24"/>
        </w:rPr>
      </w:pPr>
    </w:p>
    <w:p>
      <w:pPr>
        <w:ind w:firstLine="3360" w:firstLineChars="1400"/>
        <w:rPr>
          <w:rFonts w:ascii="仿宋" w:hAnsi="仿宋" w:eastAsia="仿宋" w:cs="仿宋"/>
          <w:sz w:val="24"/>
          <w:szCs w:val="24"/>
        </w:rPr>
      </w:pPr>
      <w:r>
        <w:rPr>
          <w:rFonts w:hint="eastAsia" w:ascii="仿宋" w:hAnsi="仿宋" w:eastAsia="仿宋" w:cs="仿宋"/>
          <w:sz w:val="24"/>
          <w:szCs w:val="24"/>
        </w:rPr>
        <w:t>投标人：（盖单位章）</w:t>
      </w:r>
    </w:p>
    <w:p>
      <w:pPr>
        <w:ind w:firstLine="5160" w:firstLineChars="2150"/>
        <w:rPr>
          <w:rFonts w:ascii="仿宋" w:hAnsi="仿宋" w:eastAsia="仿宋" w:cs="仿宋"/>
          <w:sz w:val="24"/>
          <w:szCs w:val="24"/>
          <w:u w:val="single"/>
        </w:rPr>
      </w:pPr>
    </w:p>
    <w:p>
      <w:pPr>
        <w:snapToGrid w:val="0"/>
        <w:ind w:right="720" w:firstLine="480"/>
        <w:jc w:val="right"/>
        <w:rPr>
          <w:rFonts w:ascii="仿宋" w:hAnsi="仿宋" w:eastAsia="仿宋" w:cs="仿宋"/>
          <w:b/>
          <w:sz w:val="32"/>
        </w:rPr>
      </w:pPr>
      <w:r>
        <w:rPr>
          <w:rFonts w:hint="eastAsia" w:ascii="仿宋" w:hAnsi="仿宋" w:eastAsia="仿宋" w:cs="仿宋"/>
          <w:sz w:val="24"/>
          <w:szCs w:val="24"/>
        </w:rPr>
        <w:t>年月日</w:t>
      </w:r>
    </w:p>
    <w:p>
      <w:pPr>
        <w:ind w:firstLine="643"/>
        <w:rPr>
          <w:rFonts w:ascii="仿宋" w:hAnsi="仿宋" w:eastAsia="仿宋" w:cs="仿宋"/>
          <w:b/>
          <w:sz w:val="32"/>
          <w:szCs w:val="32"/>
        </w:rPr>
      </w:pPr>
    </w:p>
    <w:p>
      <w:pPr>
        <w:ind w:firstLine="643"/>
        <w:rPr>
          <w:rFonts w:ascii="仿宋" w:hAnsi="仿宋" w:eastAsia="仿宋" w:cs="仿宋"/>
          <w:b/>
          <w:sz w:val="32"/>
          <w:szCs w:val="32"/>
        </w:rPr>
      </w:pPr>
    </w:p>
    <w:p>
      <w:pPr>
        <w:ind w:firstLine="643"/>
        <w:rPr>
          <w:rFonts w:ascii="仿宋" w:hAnsi="仿宋" w:eastAsia="仿宋" w:cs="仿宋"/>
          <w:b/>
          <w:sz w:val="32"/>
          <w:szCs w:val="32"/>
        </w:rPr>
      </w:pPr>
    </w:p>
    <w:p>
      <w:pPr>
        <w:ind w:firstLine="643"/>
        <w:rPr>
          <w:rFonts w:ascii="仿宋" w:hAnsi="仿宋" w:eastAsia="仿宋" w:cs="仿宋"/>
          <w:b/>
          <w:sz w:val="32"/>
          <w:szCs w:val="32"/>
        </w:rPr>
      </w:pPr>
    </w:p>
    <w:p>
      <w:pPr>
        <w:ind w:firstLine="560"/>
      </w:pPr>
      <w:r>
        <w:rPr>
          <w:rFonts w:hint="eastAsia"/>
        </w:rPr>
        <w:br w:type="page"/>
      </w:r>
    </w:p>
    <w:p>
      <w:pPr>
        <w:pStyle w:val="4"/>
        <w:spacing w:before="120"/>
      </w:pPr>
      <w:bookmarkStart w:id="221" w:name="_Toc19690"/>
      <w:r>
        <w:rPr>
          <w:rFonts w:hint="eastAsia"/>
        </w:rPr>
        <w:t>附件4：授权委托书</w:t>
      </w:r>
      <w:bookmarkEnd w:id="221"/>
    </w:p>
    <w:p>
      <w:pPr>
        <w:ind w:firstLine="480"/>
        <w:rPr>
          <w:rFonts w:ascii="仿宋" w:hAnsi="仿宋" w:eastAsia="仿宋" w:cs="仿宋"/>
          <w:sz w:val="24"/>
          <w:szCs w:val="24"/>
        </w:rPr>
      </w:pPr>
      <w:r>
        <w:rPr>
          <w:rFonts w:hint="eastAsia" w:ascii="仿宋" w:hAnsi="仿宋" w:eastAsia="仿宋" w:cs="仿宋"/>
          <w:sz w:val="24"/>
          <w:szCs w:val="24"/>
        </w:rPr>
        <w:t>致：海南琪硕招投标有限公司</w:t>
      </w:r>
    </w:p>
    <w:p>
      <w:pPr>
        <w:ind w:firstLine="480"/>
        <w:rPr>
          <w:rFonts w:ascii="仿宋" w:hAnsi="仿宋" w:eastAsia="仿宋" w:cs="仿宋"/>
          <w:sz w:val="24"/>
          <w:szCs w:val="24"/>
        </w:rPr>
      </w:pPr>
      <w:r>
        <w:rPr>
          <w:rFonts w:hint="eastAsia" w:ascii="仿宋" w:hAnsi="仿宋" w:eastAsia="仿宋" w:cs="仿宋"/>
          <w:sz w:val="24"/>
          <w:szCs w:val="24"/>
        </w:rPr>
        <w:t>本授权书声明：</w:t>
      </w:r>
    </w:p>
    <w:p>
      <w:pPr>
        <w:ind w:firstLine="480"/>
        <w:rPr>
          <w:rFonts w:ascii="仿宋" w:hAnsi="仿宋" w:eastAsia="仿宋" w:cs="仿宋"/>
          <w:sz w:val="24"/>
          <w:szCs w:val="24"/>
          <w:u w:val="single"/>
        </w:rPr>
      </w:pPr>
      <w:r>
        <w:rPr>
          <w:rFonts w:hint="eastAsia" w:ascii="仿宋" w:hAnsi="仿宋" w:eastAsia="仿宋" w:cs="仿宋"/>
          <w:sz w:val="24"/>
          <w:szCs w:val="24"/>
        </w:rPr>
        <w:t>委托人：</w:t>
      </w:r>
    </w:p>
    <w:p>
      <w:pPr>
        <w:ind w:firstLine="480"/>
        <w:rPr>
          <w:rFonts w:ascii="仿宋" w:hAnsi="仿宋" w:eastAsia="仿宋" w:cs="仿宋"/>
          <w:sz w:val="24"/>
          <w:szCs w:val="24"/>
        </w:rPr>
      </w:pPr>
      <w:r>
        <w:rPr>
          <w:rFonts w:hint="eastAsia" w:ascii="仿宋" w:hAnsi="仿宋" w:eastAsia="仿宋" w:cs="仿宋"/>
          <w:sz w:val="24"/>
          <w:szCs w:val="24"/>
        </w:rPr>
        <w:t>地  址：法定代表人：</w:t>
      </w:r>
    </w:p>
    <w:p>
      <w:pPr>
        <w:ind w:firstLine="480"/>
        <w:rPr>
          <w:rFonts w:ascii="仿宋" w:hAnsi="仿宋" w:eastAsia="仿宋" w:cs="仿宋"/>
          <w:sz w:val="24"/>
          <w:szCs w:val="24"/>
        </w:rPr>
      </w:pPr>
      <w:r>
        <w:rPr>
          <w:rFonts w:hint="eastAsia" w:ascii="仿宋" w:hAnsi="仿宋" w:eastAsia="仿宋" w:cs="仿宋"/>
          <w:sz w:val="24"/>
          <w:szCs w:val="24"/>
        </w:rPr>
        <w:t>受托人：姓名性别</w:t>
      </w:r>
      <w:r>
        <w:rPr>
          <w:rFonts w:hint="eastAsia" w:ascii="仿宋" w:hAnsi="仿宋" w:eastAsia="仿宋" w:cs="仿宋"/>
          <w:sz w:val="24"/>
          <w:szCs w:val="24"/>
          <w:u w:val="single"/>
        </w:rPr>
        <w:t xml:space="preserve">：     </w:t>
      </w:r>
      <w:r>
        <w:rPr>
          <w:rFonts w:hint="eastAsia" w:ascii="仿宋" w:hAnsi="仿宋" w:eastAsia="仿宋" w:cs="仿宋"/>
          <w:sz w:val="24"/>
          <w:szCs w:val="24"/>
        </w:rPr>
        <w:t>出生日期：年月日</w:t>
      </w:r>
    </w:p>
    <w:p>
      <w:pPr>
        <w:ind w:firstLine="480"/>
        <w:rPr>
          <w:rFonts w:ascii="仿宋" w:hAnsi="仿宋" w:eastAsia="仿宋" w:cs="仿宋"/>
          <w:sz w:val="24"/>
          <w:szCs w:val="24"/>
        </w:rPr>
      </w:pPr>
      <w:r>
        <w:rPr>
          <w:rFonts w:hint="eastAsia" w:ascii="仿宋" w:hAnsi="仿宋" w:eastAsia="仿宋" w:cs="仿宋"/>
          <w:sz w:val="24"/>
          <w:szCs w:val="24"/>
        </w:rPr>
        <w:t>所在单位：职务：</w:t>
      </w:r>
    </w:p>
    <w:p>
      <w:pPr>
        <w:ind w:firstLine="480"/>
        <w:rPr>
          <w:rFonts w:ascii="仿宋" w:hAnsi="仿宋" w:eastAsia="仿宋" w:cs="仿宋"/>
          <w:sz w:val="24"/>
          <w:szCs w:val="24"/>
        </w:rPr>
      </w:pPr>
      <w:r>
        <w:rPr>
          <w:rFonts w:hint="eastAsia" w:ascii="仿宋" w:hAnsi="仿宋" w:eastAsia="仿宋" w:cs="仿宋"/>
          <w:sz w:val="24"/>
          <w:szCs w:val="24"/>
        </w:rPr>
        <w:t>身 份 证： 联系方式:</w:t>
      </w:r>
    </w:p>
    <w:p>
      <w:pPr>
        <w:ind w:firstLine="480"/>
        <w:rPr>
          <w:rFonts w:ascii="仿宋" w:hAnsi="仿宋" w:eastAsia="仿宋" w:cs="仿宋"/>
          <w:sz w:val="24"/>
          <w:szCs w:val="24"/>
        </w:rPr>
      </w:pPr>
      <w:r>
        <w:rPr>
          <w:rFonts w:hint="eastAsia" w:ascii="仿宋" w:hAnsi="仿宋" w:eastAsia="仿宋" w:cs="仿宋"/>
          <w:sz w:val="24"/>
          <w:szCs w:val="24"/>
        </w:rPr>
        <w:t>兹委托受托人代表我方参加</w:t>
      </w:r>
      <w:r>
        <w:rPr>
          <w:rFonts w:hint="eastAsia" w:ascii="仿宋" w:hAnsi="仿宋" w:eastAsia="仿宋" w:cs="仿宋"/>
          <w:sz w:val="24"/>
          <w:szCs w:val="24"/>
          <w:u w:val="single"/>
        </w:rPr>
        <w:t xml:space="preserve">海南琪硕招投标有限公司 </w:t>
      </w:r>
      <w:r>
        <w:rPr>
          <w:rFonts w:hint="eastAsia" w:ascii="仿宋" w:hAnsi="仿宋" w:eastAsia="仿宋" w:cs="仿宋"/>
          <w:sz w:val="24"/>
          <w:szCs w:val="24"/>
        </w:rPr>
        <w:t>组织的</w:t>
      </w:r>
      <w:r>
        <w:rPr>
          <w:rFonts w:hint="eastAsia" w:ascii="仿宋" w:hAnsi="仿宋" w:eastAsia="仿宋" w:cs="仿宋"/>
          <w:bCs/>
          <w:sz w:val="24"/>
          <w:szCs w:val="24"/>
          <w:u w:val="single"/>
        </w:rPr>
        <w:t>（项目名称）</w:t>
      </w:r>
      <w:r>
        <w:rPr>
          <w:rFonts w:hint="eastAsia" w:ascii="仿宋" w:hAnsi="仿宋" w:eastAsia="仿宋" w:cs="仿宋"/>
          <w:sz w:val="24"/>
          <w:szCs w:val="24"/>
        </w:rPr>
        <w:t>（项目编号为：）的政府采购活动，并授权其全权办理以下事宜：</w:t>
      </w:r>
    </w:p>
    <w:p>
      <w:pPr>
        <w:ind w:firstLine="480"/>
        <w:rPr>
          <w:rFonts w:ascii="仿宋" w:hAnsi="仿宋" w:eastAsia="仿宋" w:cs="仿宋"/>
          <w:sz w:val="24"/>
          <w:szCs w:val="24"/>
        </w:rPr>
      </w:pPr>
      <w:r>
        <w:rPr>
          <w:rFonts w:hint="eastAsia" w:ascii="仿宋" w:hAnsi="仿宋" w:eastAsia="仿宋" w:cs="仿宋"/>
          <w:sz w:val="24"/>
          <w:szCs w:val="24"/>
        </w:rPr>
        <w:t>1、参加报价活动；</w:t>
      </w:r>
    </w:p>
    <w:p>
      <w:pPr>
        <w:ind w:firstLine="480"/>
        <w:rPr>
          <w:rFonts w:ascii="仿宋" w:hAnsi="仿宋" w:eastAsia="仿宋" w:cs="仿宋"/>
          <w:sz w:val="24"/>
          <w:szCs w:val="24"/>
        </w:rPr>
      </w:pPr>
      <w:r>
        <w:rPr>
          <w:rFonts w:hint="eastAsia" w:ascii="仿宋" w:hAnsi="仿宋" w:eastAsia="仿宋" w:cs="仿宋"/>
          <w:sz w:val="24"/>
          <w:szCs w:val="24"/>
        </w:rPr>
        <w:t>2、出席磋商会议；</w:t>
      </w:r>
    </w:p>
    <w:p>
      <w:pPr>
        <w:ind w:firstLine="480"/>
        <w:rPr>
          <w:rFonts w:ascii="仿宋" w:hAnsi="仿宋" w:eastAsia="仿宋" w:cs="仿宋"/>
          <w:sz w:val="24"/>
          <w:szCs w:val="24"/>
        </w:rPr>
      </w:pPr>
      <w:r>
        <w:rPr>
          <w:rFonts w:hint="eastAsia" w:ascii="仿宋" w:hAnsi="仿宋" w:eastAsia="仿宋" w:cs="仿宋"/>
          <w:sz w:val="24"/>
          <w:szCs w:val="24"/>
        </w:rPr>
        <w:t>3、签订与成交事宜有关的合同；</w:t>
      </w:r>
    </w:p>
    <w:p>
      <w:pPr>
        <w:ind w:firstLine="480"/>
        <w:rPr>
          <w:rFonts w:ascii="仿宋" w:hAnsi="仿宋" w:eastAsia="仿宋" w:cs="仿宋"/>
          <w:sz w:val="24"/>
          <w:szCs w:val="24"/>
        </w:rPr>
      </w:pPr>
      <w:r>
        <w:rPr>
          <w:rFonts w:hint="eastAsia" w:ascii="仿宋" w:hAnsi="仿宋" w:eastAsia="仿宋" w:cs="仿宋"/>
          <w:sz w:val="24"/>
          <w:szCs w:val="24"/>
        </w:rPr>
        <w:t>4、负责合同的履行、服务以及在合同履行过程中有关事宜的洽谈和处理。</w:t>
      </w:r>
    </w:p>
    <w:p>
      <w:pPr>
        <w:ind w:firstLine="480"/>
        <w:rPr>
          <w:rFonts w:ascii="仿宋" w:hAnsi="仿宋" w:eastAsia="仿宋" w:cs="仿宋"/>
          <w:sz w:val="24"/>
          <w:szCs w:val="24"/>
        </w:rPr>
      </w:pPr>
      <w:r>
        <w:rPr>
          <w:rFonts w:hint="eastAsia" w:ascii="仿宋" w:hAnsi="仿宋" w:eastAsia="仿宋" w:cs="仿宋"/>
          <w:sz w:val="24"/>
          <w:szCs w:val="24"/>
        </w:rPr>
        <w:t>受托人在办理上述事宜过程中以其自己的名义所签署的所有文件我方均予以承认。受托人无转委托权。</w:t>
      </w:r>
    </w:p>
    <w:p>
      <w:pPr>
        <w:ind w:firstLine="480"/>
        <w:rPr>
          <w:rFonts w:ascii="仿宋" w:hAnsi="仿宋" w:eastAsia="仿宋" w:cs="仿宋"/>
          <w:sz w:val="24"/>
          <w:szCs w:val="24"/>
        </w:rPr>
      </w:pPr>
      <w:r>
        <w:rPr>
          <w:rFonts w:hint="eastAsia" w:ascii="仿宋" w:hAnsi="仿宋" w:eastAsia="仿宋" w:cs="仿宋"/>
          <w:sz w:val="24"/>
          <w:szCs w:val="24"/>
        </w:rPr>
        <w:t>委托期限：至上述事宜处理完毕止。</w:t>
      </w:r>
    </w:p>
    <w:p>
      <w:pPr>
        <w:ind w:firstLine="4320" w:firstLineChars="1800"/>
        <w:rPr>
          <w:rFonts w:ascii="仿宋" w:hAnsi="仿宋" w:eastAsia="仿宋" w:cs="仿宋"/>
          <w:sz w:val="24"/>
          <w:szCs w:val="24"/>
        </w:rPr>
      </w:pPr>
      <w:r>
        <w:rPr>
          <w:rFonts w:hint="eastAsia" w:ascii="仿宋" w:hAnsi="仿宋" w:eastAsia="仿宋" w:cs="仿宋"/>
          <w:sz w:val="24"/>
          <w:szCs w:val="24"/>
        </w:rPr>
        <w:t xml:space="preserve">委托单位（公章）：          </w:t>
      </w:r>
    </w:p>
    <w:p>
      <w:pPr>
        <w:ind w:firstLine="480"/>
        <w:rPr>
          <w:rFonts w:ascii="仿宋" w:hAnsi="仿宋" w:eastAsia="仿宋" w:cs="仿宋"/>
          <w:sz w:val="24"/>
          <w:szCs w:val="24"/>
        </w:rPr>
      </w:pPr>
      <w:r>
        <w:rPr>
          <w:rFonts w:hint="eastAsia" w:ascii="仿宋" w:hAnsi="仿宋" w:eastAsia="仿宋" w:cs="仿宋"/>
          <w:sz w:val="24"/>
          <w:szCs w:val="24"/>
        </w:rPr>
        <w:t xml:space="preserve">                                法定代表人（签字或盖章）：        </w:t>
      </w:r>
    </w:p>
    <w:p>
      <w:pPr>
        <w:ind w:firstLine="480"/>
        <w:rPr>
          <w:rFonts w:ascii="仿宋" w:hAnsi="仿宋" w:eastAsia="仿宋" w:cs="仿宋"/>
          <w:sz w:val="24"/>
          <w:szCs w:val="24"/>
        </w:rPr>
      </w:pPr>
      <w:r>
        <w:rPr>
          <w:rFonts w:hint="eastAsia" w:ascii="仿宋" w:hAnsi="仿宋" w:eastAsia="仿宋" w:cs="仿宋"/>
          <w:sz w:val="24"/>
          <w:szCs w:val="24"/>
        </w:rPr>
        <w:t xml:space="preserve">                                受托人：  （签名）          </w:t>
      </w:r>
    </w:p>
    <w:p>
      <w:pPr>
        <w:ind w:firstLine="4200" w:firstLineChars="1750"/>
        <w:rPr>
          <w:rFonts w:ascii="仿宋" w:hAnsi="仿宋" w:eastAsia="仿宋" w:cs="仿宋"/>
          <w:sz w:val="24"/>
          <w:szCs w:val="24"/>
        </w:rPr>
      </w:pPr>
      <w:r>
        <w:rPr>
          <w:rFonts w:hint="eastAsia" w:ascii="仿宋" w:hAnsi="仿宋" w:eastAsia="仿宋" w:cs="仿宋"/>
          <w:sz w:val="24"/>
          <w:szCs w:val="24"/>
        </w:rPr>
        <w:t xml:space="preserve">         年     月     日</w:t>
      </w:r>
    </w:p>
    <w:p>
      <w:pPr>
        <w:pStyle w:val="4"/>
        <w:spacing w:before="120"/>
        <w:rPr>
          <w:rFonts w:ascii="仿宋" w:hAnsi="仿宋" w:eastAsia="仿宋" w:cs="仿宋"/>
          <w:szCs w:val="28"/>
        </w:rPr>
      </w:pPr>
      <w:r>
        <w:rPr>
          <w:rFonts w:hint="eastAsia" w:ascii="仿宋" w:hAnsi="仿宋" w:eastAsia="仿宋" w:cs="仿宋"/>
        </w:rPr>
        <w:br w:type="page"/>
      </w:r>
      <w:bookmarkStart w:id="222" w:name="_Toc22242"/>
      <w:r>
        <w:rPr>
          <w:rFonts w:hint="eastAsia" w:ascii="仿宋" w:hAnsi="仿宋" w:eastAsia="仿宋" w:cs="仿宋"/>
          <w:szCs w:val="28"/>
        </w:rPr>
        <w:t>附件5：投标人基本情况</w:t>
      </w:r>
      <w:bookmarkEnd w:id="222"/>
    </w:p>
    <w:p>
      <w:pPr>
        <w:spacing w:line="460" w:lineRule="exact"/>
        <w:ind w:firstLine="480"/>
        <w:rPr>
          <w:rFonts w:ascii="仿宋" w:hAnsi="仿宋" w:eastAsia="仿宋" w:cs="仿宋"/>
          <w:sz w:val="24"/>
        </w:rPr>
      </w:pPr>
    </w:p>
    <w:tbl>
      <w:tblPr>
        <w:tblStyle w:val="78"/>
        <w:tblW w:w="875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1332"/>
        <w:gridCol w:w="397"/>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57" w:hRule="atLeast"/>
          <w:jc w:val="center"/>
        </w:trPr>
        <w:tc>
          <w:tcPr>
            <w:tcW w:w="1503"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投标人名称</w:t>
            </w:r>
          </w:p>
        </w:tc>
        <w:tc>
          <w:tcPr>
            <w:tcW w:w="7255" w:type="dxa"/>
            <w:gridSpan w:val="7"/>
            <w:vAlign w:val="center"/>
          </w:tcPr>
          <w:p>
            <w:pPr>
              <w:autoSpaceDE w:val="0"/>
              <w:autoSpaceDN w:val="0"/>
              <w:adjustRightInd w:val="0"/>
              <w:spacing w:line="400" w:lineRule="exact"/>
              <w:ind w:firstLine="480"/>
              <w:jc w:val="center"/>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1503"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联系方式</w:t>
            </w:r>
          </w:p>
        </w:tc>
        <w:tc>
          <w:tcPr>
            <w:tcW w:w="972"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联系人</w:t>
            </w:r>
          </w:p>
        </w:tc>
        <w:tc>
          <w:tcPr>
            <w:tcW w:w="2461" w:type="dxa"/>
            <w:gridSpan w:val="2"/>
            <w:vAlign w:val="center"/>
          </w:tcPr>
          <w:p>
            <w:pPr>
              <w:autoSpaceDE w:val="0"/>
              <w:autoSpaceDN w:val="0"/>
              <w:adjustRightInd w:val="0"/>
              <w:spacing w:line="400" w:lineRule="exact"/>
              <w:ind w:firstLine="480"/>
              <w:jc w:val="center"/>
              <w:rPr>
                <w:rFonts w:ascii="仿宋" w:hAnsi="仿宋" w:eastAsia="仿宋" w:cs="仿宋"/>
                <w:sz w:val="24"/>
              </w:rPr>
            </w:pPr>
          </w:p>
        </w:tc>
        <w:tc>
          <w:tcPr>
            <w:tcW w:w="1332" w:type="dxa"/>
            <w:vAlign w:val="center"/>
          </w:tcPr>
          <w:p>
            <w:pPr>
              <w:autoSpaceDE w:val="0"/>
              <w:autoSpaceDN w:val="0"/>
              <w:adjustRightInd w:val="0"/>
              <w:spacing w:line="400" w:lineRule="exact"/>
              <w:ind w:firstLine="0" w:firstLineChars="0"/>
              <w:jc w:val="center"/>
              <w:rPr>
                <w:rFonts w:ascii="仿宋" w:hAnsi="仿宋" w:eastAsia="仿宋" w:cs="仿宋"/>
                <w:sz w:val="24"/>
              </w:rPr>
            </w:pPr>
            <w:r>
              <w:rPr>
                <w:rFonts w:hint="eastAsia" w:ascii="仿宋" w:hAnsi="仿宋" w:eastAsia="仿宋" w:cs="仿宋"/>
                <w:sz w:val="24"/>
              </w:rPr>
              <w:t>电话</w:t>
            </w:r>
          </w:p>
        </w:tc>
        <w:tc>
          <w:tcPr>
            <w:tcW w:w="2490" w:type="dxa"/>
            <w:gridSpan w:val="3"/>
            <w:vAlign w:val="center"/>
          </w:tcPr>
          <w:p>
            <w:pPr>
              <w:autoSpaceDE w:val="0"/>
              <w:autoSpaceDN w:val="0"/>
              <w:adjustRightInd w:val="0"/>
              <w:spacing w:line="400" w:lineRule="exact"/>
              <w:ind w:firstLine="480"/>
              <w:jc w:val="center"/>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1503"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法定代表人</w:t>
            </w:r>
          </w:p>
        </w:tc>
        <w:tc>
          <w:tcPr>
            <w:tcW w:w="972" w:type="dxa"/>
            <w:vAlign w:val="center"/>
          </w:tcPr>
          <w:p>
            <w:pPr>
              <w:autoSpaceDE w:val="0"/>
              <w:autoSpaceDN w:val="0"/>
              <w:adjustRightInd w:val="0"/>
              <w:spacing w:line="400" w:lineRule="exact"/>
              <w:ind w:firstLine="0" w:firstLineChars="0"/>
              <w:jc w:val="center"/>
              <w:rPr>
                <w:rFonts w:ascii="仿宋" w:hAnsi="仿宋" w:eastAsia="仿宋" w:cs="仿宋"/>
                <w:sz w:val="24"/>
              </w:rPr>
            </w:pPr>
            <w:r>
              <w:rPr>
                <w:rFonts w:hint="eastAsia" w:ascii="仿宋" w:hAnsi="仿宋" w:eastAsia="仿宋" w:cs="仿宋"/>
                <w:sz w:val="24"/>
              </w:rPr>
              <w:t>姓名</w:t>
            </w:r>
          </w:p>
        </w:tc>
        <w:tc>
          <w:tcPr>
            <w:tcW w:w="1206" w:type="dxa"/>
            <w:vAlign w:val="center"/>
          </w:tcPr>
          <w:p>
            <w:pPr>
              <w:autoSpaceDE w:val="0"/>
              <w:autoSpaceDN w:val="0"/>
              <w:adjustRightInd w:val="0"/>
              <w:spacing w:line="400" w:lineRule="exact"/>
              <w:ind w:firstLine="480"/>
              <w:jc w:val="center"/>
              <w:rPr>
                <w:rFonts w:ascii="仿宋" w:hAnsi="仿宋" w:eastAsia="仿宋" w:cs="仿宋"/>
                <w:sz w:val="24"/>
              </w:rPr>
            </w:pPr>
          </w:p>
        </w:tc>
        <w:tc>
          <w:tcPr>
            <w:tcW w:w="1255"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技术职称</w:t>
            </w:r>
          </w:p>
        </w:tc>
        <w:tc>
          <w:tcPr>
            <w:tcW w:w="1332" w:type="dxa"/>
            <w:vAlign w:val="center"/>
          </w:tcPr>
          <w:p>
            <w:pPr>
              <w:autoSpaceDE w:val="0"/>
              <w:autoSpaceDN w:val="0"/>
              <w:adjustRightInd w:val="0"/>
              <w:spacing w:line="400" w:lineRule="exact"/>
              <w:ind w:firstLine="480"/>
              <w:jc w:val="center"/>
              <w:rPr>
                <w:rFonts w:ascii="仿宋" w:hAnsi="仿宋" w:eastAsia="仿宋" w:cs="仿宋"/>
                <w:sz w:val="24"/>
              </w:rPr>
            </w:pPr>
          </w:p>
        </w:tc>
        <w:tc>
          <w:tcPr>
            <w:tcW w:w="1414" w:type="dxa"/>
            <w:gridSpan w:val="2"/>
            <w:vAlign w:val="center"/>
          </w:tcPr>
          <w:p>
            <w:pPr>
              <w:autoSpaceDE w:val="0"/>
              <w:autoSpaceDN w:val="0"/>
              <w:adjustRightInd w:val="0"/>
              <w:spacing w:line="400" w:lineRule="exact"/>
              <w:ind w:firstLine="0" w:firstLineChars="0"/>
              <w:jc w:val="center"/>
              <w:rPr>
                <w:rFonts w:ascii="仿宋" w:hAnsi="仿宋" w:eastAsia="仿宋" w:cs="仿宋"/>
                <w:sz w:val="24"/>
              </w:rPr>
            </w:pPr>
            <w:r>
              <w:rPr>
                <w:rFonts w:hint="eastAsia" w:ascii="仿宋" w:hAnsi="仿宋" w:eastAsia="仿宋" w:cs="仿宋"/>
                <w:sz w:val="24"/>
              </w:rPr>
              <w:t>电话</w:t>
            </w:r>
          </w:p>
        </w:tc>
        <w:tc>
          <w:tcPr>
            <w:tcW w:w="1076" w:type="dxa"/>
            <w:vAlign w:val="center"/>
          </w:tcPr>
          <w:p>
            <w:pPr>
              <w:autoSpaceDE w:val="0"/>
              <w:autoSpaceDN w:val="0"/>
              <w:adjustRightInd w:val="0"/>
              <w:spacing w:line="400" w:lineRule="exact"/>
              <w:ind w:firstLine="482"/>
              <w:jc w:val="center"/>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1503"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成立时间</w:t>
            </w:r>
          </w:p>
        </w:tc>
        <w:tc>
          <w:tcPr>
            <w:tcW w:w="2178" w:type="dxa"/>
            <w:gridSpan w:val="2"/>
            <w:vAlign w:val="center"/>
          </w:tcPr>
          <w:p>
            <w:pPr>
              <w:autoSpaceDE w:val="0"/>
              <w:autoSpaceDN w:val="0"/>
              <w:adjustRightInd w:val="0"/>
              <w:spacing w:line="400" w:lineRule="exact"/>
              <w:ind w:firstLine="480"/>
              <w:jc w:val="center"/>
              <w:rPr>
                <w:rFonts w:ascii="仿宋" w:hAnsi="仿宋" w:eastAsia="仿宋" w:cs="仿宋"/>
                <w:sz w:val="24"/>
              </w:rPr>
            </w:pPr>
          </w:p>
        </w:tc>
        <w:tc>
          <w:tcPr>
            <w:tcW w:w="5077" w:type="dxa"/>
            <w:gridSpan w:val="5"/>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701" w:hRule="atLeast"/>
          <w:jc w:val="center"/>
        </w:trPr>
        <w:tc>
          <w:tcPr>
            <w:tcW w:w="1503"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营业执照号</w:t>
            </w:r>
          </w:p>
        </w:tc>
        <w:tc>
          <w:tcPr>
            <w:tcW w:w="2178" w:type="dxa"/>
            <w:gridSpan w:val="2"/>
            <w:vAlign w:val="center"/>
          </w:tcPr>
          <w:p>
            <w:pPr>
              <w:autoSpaceDE w:val="0"/>
              <w:autoSpaceDN w:val="0"/>
              <w:adjustRightInd w:val="0"/>
              <w:spacing w:line="400" w:lineRule="exact"/>
              <w:ind w:firstLine="480"/>
              <w:jc w:val="center"/>
              <w:rPr>
                <w:rFonts w:ascii="仿宋" w:hAnsi="仿宋" w:eastAsia="仿宋" w:cs="仿宋"/>
                <w:sz w:val="24"/>
              </w:rPr>
            </w:pPr>
          </w:p>
        </w:tc>
        <w:tc>
          <w:tcPr>
            <w:tcW w:w="1255" w:type="dxa"/>
            <w:vMerge w:val="restart"/>
            <w:vAlign w:val="center"/>
          </w:tcPr>
          <w:p>
            <w:pPr>
              <w:autoSpaceDE w:val="0"/>
              <w:autoSpaceDN w:val="0"/>
              <w:adjustRightInd w:val="0"/>
              <w:spacing w:line="400" w:lineRule="exact"/>
              <w:ind w:firstLine="480"/>
              <w:jc w:val="center"/>
              <w:rPr>
                <w:rFonts w:ascii="仿宋" w:hAnsi="仿宋" w:eastAsia="仿宋" w:cs="仿宋"/>
                <w:sz w:val="24"/>
              </w:rPr>
            </w:pPr>
          </w:p>
        </w:tc>
        <w:tc>
          <w:tcPr>
            <w:tcW w:w="1729" w:type="dxa"/>
            <w:gridSpan w:val="2"/>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高级职称人员</w:t>
            </w:r>
          </w:p>
        </w:tc>
        <w:tc>
          <w:tcPr>
            <w:tcW w:w="2093" w:type="dxa"/>
            <w:gridSpan w:val="2"/>
            <w:vAlign w:val="center"/>
          </w:tcPr>
          <w:p>
            <w:pPr>
              <w:autoSpaceDE w:val="0"/>
              <w:autoSpaceDN w:val="0"/>
              <w:adjustRightInd w:val="0"/>
              <w:spacing w:line="400" w:lineRule="exact"/>
              <w:ind w:firstLine="482"/>
              <w:jc w:val="center"/>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1503" w:type="dxa"/>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注册资金</w:t>
            </w:r>
          </w:p>
        </w:tc>
        <w:tc>
          <w:tcPr>
            <w:tcW w:w="2178" w:type="dxa"/>
            <w:gridSpan w:val="2"/>
            <w:vAlign w:val="center"/>
          </w:tcPr>
          <w:p>
            <w:pPr>
              <w:autoSpaceDE w:val="0"/>
              <w:autoSpaceDN w:val="0"/>
              <w:adjustRightInd w:val="0"/>
              <w:spacing w:line="400" w:lineRule="exact"/>
              <w:ind w:firstLine="480"/>
              <w:jc w:val="center"/>
              <w:rPr>
                <w:rFonts w:ascii="仿宋" w:hAnsi="仿宋" w:eastAsia="仿宋" w:cs="仿宋"/>
                <w:sz w:val="24"/>
              </w:rPr>
            </w:pPr>
          </w:p>
        </w:tc>
        <w:tc>
          <w:tcPr>
            <w:tcW w:w="1255" w:type="dxa"/>
            <w:vMerge w:val="continue"/>
            <w:vAlign w:val="center"/>
          </w:tcPr>
          <w:p>
            <w:pPr>
              <w:autoSpaceDE w:val="0"/>
              <w:autoSpaceDN w:val="0"/>
              <w:adjustRightInd w:val="0"/>
              <w:spacing w:line="400" w:lineRule="exact"/>
              <w:ind w:firstLine="480"/>
              <w:jc w:val="center"/>
              <w:rPr>
                <w:rFonts w:ascii="仿宋" w:hAnsi="仿宋" w:eastAsia="仿宋" w:cs="仿宋"/>
                <w:sz w:val="24"/>
              </w:rPr>
            </w:pPr>
          </w:p>
        </w:tc>
        <w:tc>
          <w:tcPr>
            <w:tcW w:w="1729" w:type="dxa"/>
            <w:gridSpan w:val="2"/>
            <w:vAlign w:val="center"/>
          </w:tcPr>
          <w:p>
            <w:pPr>
              <w:autoSpaceDE w:val="0"/>
              <w:autoSpaceDN w:val="0"/>
              <w:adjustRightInd w:val="0"/>
              <w:spacing w:line="400" w:lineRule="exact"/>
              <w:ind w:firstLine="0" w:firstLineChars="0"/>
              <w:rPr>
                <w:rFonts w:ascii="仿宋" w:hAnsi="仿宋" w:eastAsia="仿宋" w:cs="仿宋"/>
                <w:sz w:val="24"/>
              </w:rPr>
            </w:pPr>
            <w:r>
              <w:rPr>
                <w:rFonts w:hint="eastAsia" w:ascii="仿宋" w:hAnsi="仿宋" w:eastAsia="仿宋" w:cs="仿宋"/>
                <w:sz w:val="24"/>
              </w:rPr>
              <w:t>中级职称人员</w:t>
            </w:r>
          </w:p>
        </w:tc>
        <w:tc>
          <w:tcPr>
            <w:tcW w:w="2093" w:type="dxa"/>
            <w:gridSpan w:val="2"/>
            <w:vAlign w:val="center"/>
          </w:tcPr>
          <w:p>
            <w:pPr>
              <w:autoSpaceDE w:val="0"/>
              <w:autoSpaceDN w:val="0"/>
              <w:adjustRightInd w:val="0"/>
              <w:spacing w:line="400" w:lineRule="exact"/>
              <w:ind w:firstLine="482"/>
              <w:jc w:val="center"/>
              <w:rPr>
                <w:rFonts w:ascii="仿宋" w:hAnsi="仿宋" w:eastAsia="仿宋" w:cs="仿宋"/>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94" w:hRule="atLeast"/>
          <w:jc w:val="center"/>
        </w:trPr>
        <w:tc>
          <w:tcPr>
            <w:tcW w:w="1503" w:type="dxa"/>
            <w:vAlign w:val="center"/>
          </w:tcPr>
          <w:p>
            <w:pPr>
              <w:autoSpaceDE w:val="0"/>
              <w:autoSpaceDN w:val="0"/>
              <w:adjustRightInd w:val="0"/>
              <w:spacing w:line="400" w:lineRule="exact"/>
              <w:ind w:firstLine="0" w:firstLineChars="0"/>
              <w:jc w:val="center"/>
              <w:rPr>
                <w:rFonts w:ascii="仿宋" w:hAnsi="仿宋" w:eastAsia="仿宋" w:cs="仿宋"/>
                <w:sz w:val="24"/>
              </w:rPr>
            </w:pPr>
            <w:r>
              <w:rPr>
                <w:rFonts w:hint="eastAsia" w:ascii="仿宋" w:hAnsi="仿宋" w:eastAsia="仿宋" w:cs="仿宋"/>
                <w:sz w:val="24"/>
              </w:rPr>
              <w:t>基本户账号</w:t>
            </w:r>
          </w:p>
        </w:tc>
        <w:tc>
          <w:tcPr>
            <w:tcW w:w="7255" w:type="dxa"/>
            <w:gridSpan w:val="7"/>
          </w:tcPr>
          <w:p>
            <w:pPr>
              <w:autoSpaceDE w:val="0"/>
              <w:autoSpaceDN w:val="0"/>
              <w:adjustRightInd w:val="0"/>
              <w:spacing w:line="400" w:lineRule="exact"/>
              <w:ind w:firstLine="480"/>
              <w:rPr>
                <w:rFonts w:ascii="仿宋" w:hAnsi="仿宋" w:eastAsia="仿宋" w:cs="仿宋"/>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03" w:type="dxa"/>
            <w:vAlign w:val="center"/>
          </w:tcPr>
          <w:p>
            <w:pPr>
              <w:autoSpaceDE w:val="0"/>
              <w:autoSpaceDN w:val="0"/>
              <w:adjustRightInd w:val="0"/>
              <w:spacing w:line="400" w:lineRule="exact"/>
              <w:ind w:firstLine="0" w:firstLineChars="0"/>
              <w:jc w:val="center"/>
              <w:rPr>
                <w:rFonts w:ascii="仿宋" w:hAnsi="仿宋" w:eastAsia="仿宋" w:cs="仿宋"/>
                <w:sz w:val="24"/>
              </w:rPr>
            </w:pPr>
            <w:r>
              <w:rPr>
                <w:rFonts w:hint="eastAsia" w:ascii="仿宋" w:hAnsi="仿宋" w:eastAsia="仿宋" w:cs="仿宋"/>
                <w:sz w:val="24"/>
              </w:rPr>
              <w:t>备注</w:t>
            </w:r>
          </w:p>
        </w:tc>
        <w:tc>
          <w:tcPr>
            <w:tcW w:w="7255" w:type="dxa"/>
            <w:gridSpan w:val="7"/>
          </w:tcPr>
          <w:p>
            <w:pPr>
              <w:autoSpaceDE w:val="0"/>
              <w:autoSpaceDN w:val="0"/>
              <w:adjustRightInd w:val="0"/>
              <w:spacing w:line="400" w:lineRule="exact"/>
              <w:ind w:firstLine="480"/>
              <w:rPr>
                <w:rFonts w:ascii="仿宋" w:hAnsi="仿宋" w:eastAsia="仿宋" w:cs="仿宋"/>
                <w:sz w:val="24"/>
              </w:rPr>
            </w:pPr>
          </w:p>
        </w:tc>
      </w:tr>
    </w:tbl>
    <w:p>
      <w:pPr>
        <w:spacing w:line="460" w:lineRule="exact"/>
        <w:ind w:firstLine="480"/>
        <w:rPr>
          <w:rFonts w:ascii="仿宋" w:hAnsi="仿宋" w:eastAsia="仿宋" w:cs="仿宋"/>
          <w:sz w:val="24"/>
        </w:rPr>
      </w:pPr>
    </w:p>
    <w:p>
      <w:pPr>
        <w:ind w:firstLine="480"/>
        <w:rPr>
          <w:rFonts w:ascii="仿宋" w:hAnsi="仿宋" w:eastAsia="仿宋" w:cs="仿宋"/>
          <w:sz w:val="24"/>
        </w:rPr>
      </w:pPr>
      <w:r>
        <w:rPr>
          <w:rFonts w:hint="eastAsia" w:ascii="仿宋" w:hAnsi="仿宋" w:eastAsia="仿宋" w:cs="仿宋"/>
          <w:sz w:val="24"/>
        </w:rPr>
        <w:t>投标人名称（盖章）：</w:t>
      </w:r>
    </w:p>
    <w:p>
      <w:pPr>
        <w:ind w:firstLine="480"/>
        <w:rPr>
          <w:rFonts w:ascii="仿宋" w:hAnsi="仿宋" w:eastAsia="仿宋" w:cs="仿宋"/>
          <w:sz w:val="24"/>
        </w:rPr>
      </w:pPr>
      <w:r>
        <w:rPr>
          <w:rFonts w:hint="eastAsia" w:ascii="仿宋" w:hAnsi="仿宋" w:eastAsia="仿宋" w:cs="仿宋"/>
          <w:sz w:val="24"/>
        </w:rPr>
        <w:t>法定代表人或授权代理人（签字或盖章）：</w:t>
      </w:r>
    </w:p>
    <w:p>
      <w:pPr>
        <w:ind w:firstLine="480"/>
        <w:rPr>
          <w:rFonts w:ascii="仿宋" w:hAnsi="仿宋" w:eastAsia="仿宋" w:cs="仿宋"/>
          <w:sz w:val="24"/>
        </w:rPr>
      </w:pPr>
      <w:r>
        <w:rPr>
          <w:rFonts w:hint="eastAsia" w:ascii="仿宋" w:hAnsi="仿宋" w:eastAsia="仿宋" w:cs="仿宋"/>
          <w:sz w:val="24"/>
        </w:rPr>
        <w:t>投标日期：</w:t>
      </w:r>
    </w:p>
    <w:p>
      <w:pPr>
        <w:ind w:firstLine="560"/>
        <w:rPr>
          <w:rFonts w:ascii="仿宋" w:hAnsi="仿宋" w:eastAsia="仿宋" w:cs="仿宋"/>
        </w:rPr>
      </w:pPr>
    </w:p>
    <w:p>
      <w:pPr>
        <w:ind w:firstLine="560"/>
        <w:rPr>
          <w:rFonts w:ascii="仿宋" w:hAnsi="仿宋" w:eastAsia="仿宋" w:cs="仿宋"/>
        </w:rPr>
      </w:pPr>
    </w:p>
    <w:p>
      <w:pPr>
        <w:ind w:firstLine="560"/>
        <w:rPr>
          <w:rFonts w:ascii="仿宋" w:hAnsi="仿宋" w:eastAsia="仿宋" w:cs="仿宋"/>
        </w:rPr>
      </w:pPr>
    </w:p>
    <w:p>
      <w:pPr>
        <w:ind w:firstLine="560"/>
        <w:rPr>
          <w:rFonts w:ascii="仿宋" w:hAnsi="仿宋" w:eastAsia="仿宋" w:cs="仿宋"/>
        </w:rPr>
      </w:pPr>
    </w:p>
    <w:p>
      <w:pPr>
        <w:ind w:firstLine="560"/>
        <w:rPr>
          <w:rFonts w:ascii="仿宋" w:hAnsi="仿宋" w:eastAsia="仿宋" w:cs="仿宋"/>
        </w:rPr>
      </w:pPr>
    </w:p>
    <w:p>
      <w:pPr>
        <w:ind w:firstLine="560"/>
        <w:rPr>
          <w:rFonts w:ascii="仿宋" w:hAnsi="仿宋" w:eastAsia="仿宋" w:cs="仿宋"/>
        </w:rPr>
      </w:pPr>
    </w:p>
    <w:p>
      <w:pPr>
        <w:ind w:firstLine="560"/>
        <w:rPr>
          <w:rFonts w:ascii="仿宋" w:hAnsi="仿宋" w:eastAsia="仿宋" w:cs="仿宋"/>
        </w:rPr>
        <w:sectPr>
          <w:footerReference r:id="rId10" w:type="default"/>
          <w:footnotePr>
            <w:numFmt w:val="decimalEnclosedCircleChinese"/>
          </w:footnotePr>
          <w:pgSz w:w="11906" w:h="16838"/>
          <w:pgMar w:top="1418" w:right="1418" w:bottom="1418" w:left="1418" w:header="567" w:footer="567" w:gutter="0"/>
          <w:cols w:space="425" w:num="1"/>
          <w:docGrid w:linePitch="312" w:charSpace="0"/>
        </w:sectPr>
      </w:pPr>
    </w:p>
    <w:p>
      <w:pPr>
        <w:pStyle w:val="4"/>
        <w:spacing w:before="120"/>
      </w:pPr>
      <w:bookmarkStart w:id="223" w:name="_Toc22865"/>
      <w:r>
        <w:rPr>
          <w:rFonts w:hint="eastAsia"/>
        </w:rPr>
        <w:t>附件6：类似项目业绩一览表</w:t>
      </w:r>
      <w:bookmarkEnd w:id="223"/>
    </w:p>
    <w:p>
      <w:pPr>
        <w:spacing w:line="400" w:lineRule="exact"/>
        <w:ind w:firstLine="480"/>
        <w:rPr>
          <w:rFonts w:ascii="仿宋" w:hAnsi="仿宋" w:eastAsia="仿宋" w:cs="仿宋"/>
          <w:sz w:val="24"/>
        </w:rPr>
      </w:pPr>
    </w:p>
    <w:tbl>
      <w:tblPr>
        <w:tblStyle w:val="78"/>
        <w:tblW w:w="889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225"/>
        <w:gridCol w:w="1440"/>
        <w:gridCol w:w="1612"/>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0" w:firstLineChars="0"/>
              <w:rPr>
                <w:rFonts w:ascii="仿宋" w:hAnsi="仿宋" w:eastAsia="仿宋" w:cs="仿宋"/>
                <w:b/>
                <w:sz w:val="24"/>
              </w:rPr>
            </w:pPr>
            <w:r>
              <w:rPr>
                <w:rFonts w:hint="eastAsia" w:ascii="仿宋" w:hAnsi="仿宋" w:eastAsia="仿宋" w:cs="仿宋"/>
                <w:b/>
                <w:sz w:val="24"/>
              </w:rPr>
              <w:t>年份</w:t>
            </w:r>
          </w:p>
        </w:tc>
        <w:tc>
          <w:tcPr>
            <w:tcW w:w="1440" w:type="dxa"/>
            <w:vAlign w:val="center"/>
          </w:tcPr>
          <w:p>
            <w:pPr>
              <w:spacing w:line="400" w:lineRule="exact"/>
              <w:ind w:firstLine="0" w:firstLineChars="0"/>
              <w:rPr>
                <w:rFonts w:ascii="仿宋" w:hAnsi="仿宋" w:eastAsia="仿宋" w:cs="仿宋"/>
                <w:b/>
                <w:sz w:val="24"/>
              </w:rPr>
            </w:pPr>
            <w:r>
              <w:rPr>
                <w:rFonts w:hint="eastAsia" w:ascii="仿宋" w:hAnsi="仿宋" w:eastAsia="仿宋" w:cs="仿宋"/>
                <w:b/>
                <w:sz w:val="24"/>
              </w:rPr>
              <w:t>用户名称</w:t>
            </w:r>
          </w:p>
        </w:tc>
        <w:tc>
          <w:tcPr>
            <w:tcW w:w="1320" w:type="dxa"/>
            <w:vAlign w:val="center"/>
          </w:tcPr>
          <w:p>
            <w:pPr>
              <w:spacing w:line="400" w:lineRule="exact"/>
              <w:ind w:firstLine="0" w:firstLineChars="0"/>
              <w:rPr>
                <w:rFonts w:ascii="仿宋" w:hAnsi="仿宋" w:eastAsia="仿宋" w:cs="仿宋"/>
                <w:b/>
                <w:sz w:val="24"/>
              </w:rPr>
            </w:pPr>
            <w:r>
              <w:rPr>
                <w:rFonts w:hint="eastAsia" w:ascii="仿宋" w:hAnsi="仿宋" w:eastAsia="仿宋" w:cs="仿宋"/>
                <w:b/>
                <w:sz w:val="24"/>
              </w:rPr>
              <w:t>项目名称</w:t>
            </w:r>
          </w:p>
        </w:tc>
        <w:tc>
          <w:tcPr>
            <w:tcW w:w="1225" w:type="dxa"/>
            <w:vAlign w:val="center"/>
          </w:tcPr>
          <w:p>
            <w:pPr>
              <w:spacing w:line="400" w:lineRule="exact"/>
              <w:ind w:firstLine="0" w:firstLineChars="0"/>
              <w:rPr>
                <w:rFonts w:ascii="仿宋" w:hAnsi="仿宋" w:eastAsia="仿宋" w:cs="仿宋"/>
                <w:b/>
                <w:sz w:val="24"/>
              </w:rPr>
            </w:pPr>
            <w:r>
              <w:rPr>
                <w:rFonts w:hint="eastAsia" w:ascii="仿宋" w:hAnsi="仿宋" w:eastAsia="仿宋" w:cs="仿宋"/>
                <w:b/>
                <w:sz w:val="24"/>
              </w:rPr>
              <w:t>服务时间</w:t>
            </w:r>
          </w:p>
        </w:tc>
        <w:tc>
          <w:tcPr>
            <w:tcW w:w="1440" w:type="dxa"/>
            <w:vAlign w:val="center"/>
          </w:tcPr>
          <w:p>
            <w:pPr>
              <w:spacing w:line="400" w:lineRule="exact"/>
              <w:ind w:firstLine="120" w:firstLineChars="50"/>
              <w:jc w:val="center"/>
              <w:rPr>
                <w:rFonts w:ascii="仿宋" w:hAnsi="仿宋" w:eastAsia="仿宋" w:cs="仿宋"/>
                <w:b/>
                <w:sz w:val="24"/>
              </w:rPr>
            </w:pPr>
            <w:r>
              <w:rPr>
                <w:rFonts w:hint="eastAsia" w:ascii="仿宋" w:hAnsi="仿宋" w:eastAsia="仿宋" w:cs="仿宋"/>
                <w:b/>
                <w:sz w:val="24"/>
              </w:rPr>
              <w:t>合同金额</w:t>
            </w:r>
          </w:p>
        </w:tc>
        <w:tc>
          <w:tcPr>
            <w:tcW w:w="1612" w:type="dxa"/>
            <w:tcBorders>
              <w:right w:val="single" w:color="auto" w:sz="4" w:space="0"/>
            </w:tcBorders>
            <w:vAlign w:val="center"/>
          </w:tcPr>
          <w:p>
            <w:pPr>
              <w:spacing w:line="400" w:lineRule="exact"/>
              <w:ind w:firstLine="0" w:firstLineChars="0"/>
              <w:jc w:val="center"/>
              <w:rPr>
                <w:rFonts w:ascii="仿宋" w:hAnsi="仿宋" w:eastAsia="仿宋" w:cs="仿宋"/>
                <w:b/>
                <w:sz w:val="24"/>
              </w:rPr>
            </w:pPr>
            <w:r>
              <w:rPr>
                <w:rFonts w:hint="eastAsia" w:ascii="仿宋" w:hAnsi="仿宋" w:eastAsia="仿宋" w:cs="仿宋"/>
                <w:b/>
                <w:sz w:val="24"/>
              </w:rPr>
              <w:t>项目质量</w:t>
            </w:r>
          </w:p>
        </w:tc>
        <w:tc>
          <w:tcPr>
            <w:tcW w:w="1134" w:type="dxa"/>
            <w:tcBorders>
              <w:left w:val="single" w:color="auto" w:sz="4" w:space="0"/>
            </w:tcBorders>
            <w:vAlign w:val="center"/>
          </w:tcPr>
          <w:p>
            <w:pPr>
              <w:spacing w:line="400" w:lineRule="exact"/>
              <w:ind w:firstLine="0" w:firstLineChars="0"/>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480"/>
              <w:jc w:val="center"/>
              <w:rPr>
                <w:rFonts w:ascii="仿宋" w:hAnsi="仿宋" w:eastAsia="仿宋" w:cs="仿宋"/>
                <w:sz w:val="24"/>
              </w:rPr>
            </w:pPr>
          </w:p>
        </w:tc>
        <w:tc>
          <w:tcPr>
            <w:tcW w:w="1440" w:type="dxa"/>
            <w:vAlign w:val="center"/>
          </w:tcPr>
          <w:p>
            <w:pPr>
              <w:spacing w:line="400" w:lineRule="exact"/>
              <w:ind w:firstLine="480"/>
              <w:jc w:val="center"/>
              <w:rPr>
                <w:rFonts w:ascii="仿宋" w:hAnsi="仿宋" w:eastAsia="仿宋" w:cs="仿宋"/>
                <w:sz w:val="24"/>
              </w:rPr>
            </w:pPr>
          </w:p>
        </w:tc>
        <w:tc>
          <w:tcPr>
            <w:tcW w:w="1320" w:type="dxa"/>
            <w:vAlign w:val="center"/>
          </w:tcPr>
          <w:p>
            <w:pPr>
              <w:spacing w:line="400" w:lineRule="exact"/>
              <w:ind w:firstLine="480"/>
              <w:jc w:val="center"/>
              <w:rPr>
                <w:rFonts w:ascii="仿宋" w:hAnsi="仿宋" w:eastAsia="仿宋" w:cs="仿宋"/>
                <w:sz w:val="24"/>
              </w:rPr>
            </w:pPr>
          </w:p>
        </w:tc>
        <w:tc>
          <w:tcPr>
            <w:tcW w:w="1225" w:type="dxa"/>
            <w:vAlign w:val="center"/>
          </w:tcPr>
          <w:p>
            <w:pPr>
              <w:spacing w:line="400" w:lineRule="exact"/>
              <w:ind w:firstLine="480"/>
              <w:jc w:val="center"/>
              <w:rPr>
                <w:rFonts w:ascii="仿宋" w:hAnsi="仿宋" w:eastAsia="仿宋" w:cs="仿宋"/>
                <w:sz w:val="24"/>
              </w:rPr>
            </w:pPr>
          </w:p>
        </w:tc>
        <w:tc>
          <w:tcPr>
            <w:tcW w:w="1440" w:type="dxa"/>
            <w:vAlign w:val="center"/>
          </w:tcPr>
          <w:p>
            <w:pPr>
              <w:spacing w:line="400" w:lineRule="exact"/>
              <w:ind w:firstLine="480"/>
              <w:jc w:val="center"/>
              <w:rPr>
                <w:rFonts w:ascii="仿宋" w:hAnsi="仿宋" w:eastAsia="仿宋" w:cs="仿宋"/>
                <w:sz w:val="24"/>
              </w:rPr>
            </w:pPr>
          </w:p>
        </w:tc>
        <w:tc>
          <w:tcPr>
            <w:tcW w:w="1612" w:type="dxa"/>
            <w:tcBorders>
              <w:right w:val="single" w:color="auto" w:sz="4" w:space="0"/>
            </w:tcBorders>
            <w:vAlign w:val="center"/>
          </w:tcPr>
          <w:p>
            <w:pPr>
              <w:spacing w:line="400" w:lineRule="exact"/>
              <w:ind w:firstLine="480"/>
              <w:jc w:val="center"/>
              <w:rPr>
                <w:rFonts w:ascii="仿宋" w:hAnsi="仿宋" w:eastAsia="仿宋" w:cs="仿宋"/>
                <w:sz w:val="24"/>
              </w:rPr>
            </w:pPr>
          </w:p>
        </w:tc>
        <w:tc>
          <w:tcPr>
            <w:tcW w:w="1134" w:type="dxa"/>
            <w:tcBorders>
              <w:left w:val="single" w:color="auto" w:sz="4" w:space="0"/>
            </w:tcBorders>
            <w:vAlign w:val="center"/>
          </w:tcPr>
          <w:p>
            <w:pPr>
              <w:spacing w:line="40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480"/>
              <w:jc w:val="center"/>
              <w:rPr>
                <w:rFonts w:ascii="仿宋" w:hAnsi="仿宋" w:eastAsia="仿宋" w:cs="仿宋"/>
                <w:sz w:val="24"/>
              </w:rPr>
            </w:pPr>
          </w:p>
        </w:tc>
        <w:tc>
          <w:tcPr>
            <w:tcW w:w="1440" w:type="dxa"/>
            <w:vAlign w:val="center"/>
          </w:tcPr>
          <w:p>
            <w:pPr>
              <w:spacing w:line="400" w:lineRule="exact"/>
              <w:ind w:firstLine="480"/>
              <w:jc w:val="center"/>
              <w:rPr>
                <w:rFonts w:ascii="仿宋" w:hAnsi="仿宋" w:eastAsia="仿宋" w:cs="仿宋"/>
                <w:sz w:val="24"/>
              </w:rPr>
            </w:pPr>
          </w:p>
        </w:tc>
        <w:tc>
          <w:tcPr>
            <w:tcW w:w="1320" w:type="dxa"/>
            <w:vAlign w:val="center"/>
          </w:tcPr>
          <w:p>
            <w:pPr>
              <w:spacing w:line="400" w:lineRule="exact"/>
              <w:ind w:firstLine="480"/>
              <w:jc w:val="center"/>
              <w:rPr>
                <w:rFonts w:ascii="仿宋" w:hAnsi="仿宋" w:eastAsia="仿宋" w:cs="仿宋"/>
                <w:sz w:val="24"/>
              </w:rPr>
            </w:pPr>
          </w:p>
        </w:tc>
        <w:tc>
          <w:tcPr>
            <w:tcW w:w="1225" w:type="dxa"/>
            <w:vAlign w:val="center"/>
          </w:tcPr>
          <w:p>
            <w:pPr>
              <w:spacing w:line="400" w:lineRule="exact"/>
              <w:ind w:firstLine="480"/>
              <w:jc w:val="center"/>
              <w:rPr>
                <w:rFonts w:ascii="仿宋" w:hAnsi="仿宋" w:eastAsia="仿宋" w:cs="仿宋"/>
                <w:sz w:val="24"/>
              </w:rPr>
            </w:pPr>
          </w:p>
        </w:tc>
        <w:tc>
          <w:tcPr>
            <w:tcW w:w="1440" w:type="dxa"/>
            <w:vAlign w:val="center"/>
          </w:tcPr>
          <w:p>
            <w:pPr>
              <w:spacing w:line="400" w:lineRule="exact"/>
              <w:ind w:firstLine="480"/>
              <w:jc w:val="center"/>
              <w:rPr>
                <w:rFonts w:ascii="仿宋" w:hAnsi="仿宋" w:eastAsia="仿宋" w:cs="仿宋"/>
                <w:sz w:val="24"/>
              </w:rPr>
            </w:pPr>
          </w:p>
        </w:tc>
        <w:tc>
          <w:tcPr>
            <w:tcW w:w="1612" w:type="dxa"/>
            <w:tcBorders>
              <w:right w:val="single" w:color="auto" w:sz="4" w:space="0"/>
            </w:tcBorders>
            <w:vAlign w:val="center"/>
          </w:tcPr>
          <w:p>
            <w:pPr>
              <w:spacing w:line="400" w:lineRule="exact"/>
              <w:ind w:firstLine="480"/>
              <w:jc w:val="center"/>
              <w:rPr>
                <w:rFonts w:ascii="仿宋" w:hAnsi="仿宋" w:eastAsia="仿宋" w:cs="仿宋"/>
                <w:sz w:val="24"/>
              </w:rPr>
            </w:pPr>
          </w:p>
        </w:tc>
        <w:tc>
          <w:tcPr>
            <w:tcW w:w="1134" w:type="dxa"/>
            <w:tcBorders>
              <w:left w:val="single" w:color="auto" w:sz="4" w:space="0"/>
            </w:tcBorders>
            <w:vAlign w:val="center"/>
          </w:tcPr>
          <w:p>
            <w:pPr>
              <w:spacing w:line="400" w:lineRule="exact"/>
              <w:ind w:firstLine="48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Ex>
        <w:trPr>
          <w:cantSplit/>
          <w:trHeight w:val="906" w:hRule="atLeast"/>
          <w:jc w:val="center"/>
        </w:trPr>
        <w:tc>
          <w:tcPr>
            <w:tcW w:w="720" w:type="dxa"/>
            <w:vAlign w:val="center"/>
          </w:tcPr>
          <w:p>
            <w:pPr>
              <w:spacing w:line="400" w:lineRule="exact"/>
              <w:ind w:firstLine="480"/>
              <w:jc w:val="center"/>
              <w:rPr>
                <w:rFonts w:ascii="仿宋" w:hAnsi="仿宋" w:eastAsia="仿宋" w:cs="仿宋"/>
                <w:sz w:val="24"/>
              </w:rPr>
            </w:pPr>
          </w:p>
        </w:tc>
        <w:tc>
          <w:tcPr>
            <w:tcW w:w="1440" w:type="dxa"/>
            <w:vAlign w:val="center"/>
          </w:tcPr>
          <w:p>
            <w:pPr>
              <w:spacing w:line="400" w:lineRule="exact"/>
              <w:ind w:firstLine="480"/>
              <w:jc w:val="center"/>
              <w:rPr>
                <w:rFonts w:ascii="仿宋" w:hAnsi="仿宋" w:eastAsia="仿宋" w:cs="仿宋"/>
                <w:sz w:val="24"/>
              </w:rPr>
            </w:pPr>
          </w:p>
        </w:tc>
        <w:tc>
          <w:tcPr>
            <w:tcW w:w="1320" w:type="dxa"/>
            <w:vAlign w:val="center"/>
          </w:tcPr>
          <w:p>
            <w:pPr>
              <w:spacing w:line="400" w:lineRule="exact"/>
              <w:ind w:firstLine="480"/>
              <w:jc w:val="center"/>
              <w:rPr>
                <w:rFonts w:ascii="仿宋" w:hAnsi="仿宋" w:eastAsia="仿宋" w:cs="仿宋"/>
                <w:sz w:val="24"/>
              </w:rPr>
            </w:pPr>
          </w:p>
        </w:tc>
        <w:tc>
          <w:tcPr>
            <w:tcW w:w="1225" w:type="dxa"/>
            <w:vAlign w:val="center"/>
          </w:tcPr>
          <w:p>
            <w:pPr>
              <w:spacing w:line="400" w:lineRule="exact"/>
              <w:ind w:firstLine="480"/>
              <w:jc w:val="center"/>
              <w:rPr>
                <w:rFonts w:ascii="仿宋" w:hAnsi="仿宋" w:eastAsia="仿宋" w:cs="仿宋"/>
                <w:sz w:val="24"/>
              </w:rPr>
            </w:pPr>
          </w:p>
        </w:tc>
        <w:tc>
          <w:tcPr>
            <w:tcW w:w="1440" w:type="dxa"/>
            <w:vAlign w:val="center"/>
          </w:tcPr>
          <w:p>
            <w:pPr>
              <w:spacing w:line="400" w:lineRule="exact"/>
              <w:ind w:firstLine="480"/>
              <w:jc w:val="center"/>
              <w:rPr>
                <w:rFonts w:ascii="仿宋" w:hAnsi="仿宋" w:eastAsia="仿宋" w:cs="仿宋"/>
                <w:sz w:val="24"/>
              </w:rPr>
            </w:pPr>
          </w:p>
        </w:tc>
        <w:tc>
          <w:tcPr>
            <w:tcW w:w="1612" w:type="dxa"/>
            <w:tcBorders>
              <w:right w:val="single" w:color="auto" w:sz="4" w:space="0"/>
            </w:tcBorders>
            <w:vAlign w:val="center"/>
          </w:tcPr>
          <w:p>
            <w:pPr>
              <w:spacing w:line="400" w:lineRule="exact"/>
              <w:ind w:firstLine="480"/>
              <w:jc w:val="center"/>
              <w:rPr>
                <w:rFonts w:ascii="仿宋" w:hAnsi="仿宋" w:eastAsia="仿宋" w:cs="仿宋"/>
                <w:sz w:val="24"/>
              </w:rPr>
            </w:pPr>
          </w:p>
        </w:tc>
        <w:tc>
          <w:tcPr>
            <w:tcW w:w="1134" w:type="dxa"/>
            <w:tcBorders>
              <w:left w:val="single" w:color="auto" w:sz="4" w:space="0"/>
            </w:tcBorders>
            <w:vAlign w:val="center"/>
          </w:tcPr>
          <w:p>
            <w:pPr>
              <w:spacing w:line="400" w:lineRule="exact"/>
              <w:ind w:firstLine="480"/>
              <w:jc w:val="center"/>
              <w:rPr>
                <w:rFonts w:ascii="仿宋" w:hAnsi="仿宋" w:eastAsia="仿宋" w:cs="仿宋"/>
                <w:sz w:val="24"/>
              </w:rPr>
            </w:pPr>
          </w:p>
        </w:tc>
      </w:tr>
    </w:tbl>
    <w:p>
      <w:pPr>
        <w:tabs>
          <w:tab w:val="left" w:pos="555"/>
          <w:tab w:val="left" w:pos="2214"/>
          <w:tab w:val="left" w:pos="3774"/>
          <w:tab w:val="left" w:pos="4854"/>
          <w:tab w:val="left" w:pos="5934"/>
          <w:tab w:val="left" w:pos="7014"/>
          <w:tab w:val="left" w:pos="8214"/>
          <w:tab w:val="left" w:pos="10134"/>
          <w:tab w:val="left" w:pos="11124"/>
        </w:tabs>
        <w:spacing w:line="480" w:lineRule="auto"/>
        <w:ind w:firstLine="480"/>
        <w:rPr>
          <w:rFonts w:ascii="仿宋" w:hAnsi="仿宋" w:eastAsia="仿宋" w:cs="仿宋"/>
          <w:sz w:val="24"/>
        </w:rPr>
      </w:pPr>
      <w:r>
        <w:rPr>
          <w:rFonts w:hint="eastAsia" w:ascii="仿宋" w:hAnsi="仿宋" w:eastAsia="仿宋" w:cs="仿宋"/>
          <w:sz w:val="24"/>
        </w:rPr>
        <w:t>注：投标人以上业绩需提供有关书面证明材料。“合同金额”需提供合同复印件；</w:t>
      </w:r>
    </w:p>
    <w:p>
      <w:pPr>
        <w:adjustRightInd w:val="0"/>
        <w:spacing w:line="480" w:lineRule="auto"/>
        <w:ind w:firstLine="480"/>
        <w:rPr>
          <w:rFonts w:ascii="仿宋" w:hAnsi="仿宋" w:eastAsia="仿宋" w:cs="仿宋"/>
          <w:sz w:val="24"/>
        </w:rPr>
      </w:pPr>
    </w:p>
    <w:p>
      <w:pPr>
        <w:adjustRightInd w:val="0"/>
        <w:spacing w:line="480" w:lineRule="auto"/>
        <w:ind w:firstLine="480"/>
        <w:rPr>
          <w:rFonts w:ascii="仿宋" w:hAnsi="仿宋" w:eastAsia="仿宋" w:cs="仿宋"/>
          <w:sz w:val="24"/>
        </w:rPr>
      </w:pPr>
      <w:r>
        <w:rPr>
          <w:rFonts w:hint="eastAsia" w:ascii="仿宋" w:hAnsi="仿宋" w:eastAsia="仿宋" w:cs="仿宋"/>
          <w:sz w:val="24"/>
        </w:rPr>
        <w:t>投标人名称：         （盖章）</w:t>
      </w:r>
    </w:p>
    <w:p>
      <w:pPr>
        <w:adjustRightInd w:val="0"/>
        <w:spacing w:line="480" w:lineRule="auto"/>
        <w:ind w:firstLine="480"/>
        <w:rPr>
          <w:rFonts w:ascii="仿宋" w:hAnsi="仿宋" w:eastAsia="仿宋" w:cs="仿宋"/>
          <w:bCs/>
          <w:sz w:val="24"/>
        </w:rPr>
      </w:pPr>
      <w:r>
        <w:rPr>
          <w:rFonts w:hint="eastAsia" w:ascii="仿宋" w:hAnsi="仿宋" w:eastAsia="仿宋" w:cs="仿宋"/>
          <w:sz w:val="24"/>
        </w:rPr>
        <w:t>法定代表人或授权代表（签字）</w:t>
      </w:r>
      <w:r>
        <w:rPr>
          <w:rFonts w:hint="eastAsia" w:ascii="仿宋" w:hAnsi="仿宋" w:eastAsia="仿宋" w:cs="仿宋"/>
          <w:bCs/>
          <w:sz w:val="24"/>
        </w:rPr>
        <w:t>：</w:t>
      </w:r>
    </w:p>
    <w:p>
      <w:pPr>
        <w:spacing w:line="480" w:lineRule="auto"/>
        <w:ind w:firstLine="480"/>
        <w:rPr>
          <w:rFonts w:ascii="仿宋" w:hAnsi="仿宋" w:eastAsia="仿宋" w:cs="仿宋"/>
          <w:bCs/>
          <w:sz w:val="24"/>
        </w:rPr>
      </w:pPr>
      <w:r>
        <w:rPr>
          <w:rFonts w:hint="eastAsia" w:ascii="仿宋" w:hAnsi="仿宋" w:eastAsia="仿宋" w:cs="仿宋"/>
          <w:bCs/>
          <w:sz w:val="24"/>
        </w:rPr>
        <w:t>投标日期:</w:t>
      </w: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562"/>
        <w:jc w:val="center"/>
        <w:rPr>
          <w:rFonts w:ascii="仿宋" w:hAnsi="仿宋" w:eastAsia="仿宋" w:cs="仿宋"/>
          <w:b/>
          <w:szCs w:val="28"/>
        </w:rPr>
      </w:pPr>
    </w:p>
    <w:p>
      <w:pPr>
        <w:ind w:firstLine="0" w:firstLineChars="0"/>
        <w:rPr>
          <w:rFonts w:ascii="仿宋" w:hAnsi="仿宋" w:eastAsia="仿宋" w:cs="仿宋"/>
          <w:b/>
          <w:szCs w:val="28"/>
        </w:rPr>
      </w:pPr>
    </w:p>
    <w:p>
      <w:pPr>
        <w:ind w:firstLine="562"/>
        <w:jc w:val="center"/>
        <w:rPr>
          <w:rFonts w:ascii="仿宋" w:hAnsi="仿宋" w:eastAsia="仿宋" w:cs="仿宋"/>
          <w:b/>
          <w:szCs w:val="28"/>
        </w:rPr>
        <w:sectPr>
          <w:footnotePr>
            <w:numFmt w:val="decimalEnclosedCircleChinese"/>
          </w:footnotePr>
          <w:pgSz w:w="11906" w:h="16838"/>
          <w:pgMar w:top="1418" w:right="1418" w:bottom="1418" w:left="1418" w:header="567" w:footer="567" w:gutter="0"/>
          <w:cols w:space="425" w:num="1"/>
          <w:docGrid w:linePitch="312" w:charSpace="0"/>
        </w:sectPr>
      </w:pPr>
    </w:p>
    <w:p>
      <w:pPr>
        <w:pStyle w:val="4"/>
        <w:spacing w:before="120"/>
        <w:ind w:left="0"/>
        <w:jc w:val="center"/>
      </w:pPr>
      <w:bookmarkStart w:id="224" w:name="_Toc15347"/>
      <w:bookmarkStart w:id="255" w:name="_GoBack"/>
      <w:bookmarkEnd w:id="255"/>
      <w:r>
        <w:rPr>
          <w:rFonts w:hint="eastAsia"/>
        </w:rPr>
        <w:t>附件7：拟投入本项目主要岗位人员一览表</w:t>
      </w:r>
      <w:bookmarkEnd w:id="224"/>
    </w:p>
    <w:tbl>
      <w:tblPr>
        <w:tblStyle w:val="78"/>
        <w:tblW w:w="812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004"/>
        <w:gridCol w:w="697"/>
        <w:gridCol w:w="709"/>
        <w:gridCol w:w="709"/>
        <w:gridCol w:w="776"/>
        <w:gridCol w:w="776"/>
        <w:gridCol w:w="776"/>
        <w:gridCol w:w="1077"/>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r>
              <w:rPr>
                <w:rFonts w:hint="eastAsia" w:ascii="仿宋" w:hAnsi="仿宋" w:eastAsia="仿宋" w:cs="仿宋"/>
                <w:sz w:val="24"/>
              </w:rPr>
              <w:t>序号</w:t>
            </w:r>
          </w:p>
        </w:tc>
        <w:tc>
          <w:tcPr>
            <w:tcW w:w="1004" w:type="dxa"/>
            <w:vAlign w:val="center"/>
          </w:tcPr>
          <w:p>
            <w:pPr>
              <w:ind w:firstLine="0" w:firstLineChars="0"/>
              <w:jc w:val="center"/>
              <w:rPr>
                <w:rFonts w:ascii="仿宋" w:hAnsi="仿宋" w:eastAsia="仿宋" w:cs="仿宋"/>
                <w:sz w:val="24"/>
              </w:rPr>
            </w:pPr>
            <w:r>
              <w:rPr>
                <w:rFonts w:hint="eastAsia" w:ascii="仿宋" w:hAnsi="仿宋" w:eastAsia="仿宋" w:cs="仿宋"/>
                <w:sz w:val="24"/>
              </w:rPr>
              <w:t>本项目职务</w:t>
            </w:r>
          </w:p>
        </w:tc>
        <w:tc>
          <w:tcPr>
            <w:tcW w:w="697" w:type="dxa"/>
            <w:vAlign w:val="center"/>
          </w:tcPr>
          <w:p>
            <w:pPr>
              <w:ind w:firstLine="0" w:firstLineChars="0"/>
              <w:jc w:val="center"/>
              <w:rPr>
                <w:rFonts w:ascii="仿宋" w:hAnsi="仿宋" w:eastAsia="仿宋" w:cs="仿宋"/>
                <w:sz w:val="24"/>
              </w:rPr>
            </w:pPr>
            <w:r>
              <w:rPr>
                <w:rFonts w:hint="eastAsia" w:ascii="仿宋" w:hAnsi="仿宋" w:eastAsia="仿宋" w:cs="仿宋"/>
                <w:sz w:val="24"/>
              </w:rPr>
              <w:t>姓名</w:t>
            </w:r>
          </w:p>
        </w:tc>
        <w:tc>
          <w:tcPr>
            <w:tcW w:w="709" w:type="dxa"/>
            <w:vAlign w:val="center"/>
          </w:tcPr>
          <w:p>
            <w:pPr>
              <w:ind w:firstLine="0" w:firstLineChars="0"/>
              <w:jc w:val="center"/>
              <w:rPr>
                <w:rFonts w:ascii="仿宋" w:hAnsi="仿宋" w:eastAsia="仿宋" w:cs="仿宋"/>
                <w:sz w:val="24"/>
              </w:rPr>
            </w:pPr>
            <w:r>
              <w:rPr>
                <w:rFonts w:hint="eastAsia" w:ascii="仿宋" w:hAnsi="仿宋" w:eastAsia="仿宋" w:cs="仿宋"/>
                <w:sz w:val="24"/>
              </w:rPr>
              <w:t>性别</w:t>
            </w:r>
          </w:p>
        </w:tc>
        <w:tc>
          <w:tcPr>
            <w:tcW w:w="709" w:type="dxa"/>
            <w:vAlign w:val="center"/>
          </w:tcPr>
          <w:p>
            <w:pPr>
              <w:ind w:firstLine="0" w:firstLineChars="0"/>
              <w:jc w:val="center"/>
              <w:rPr>
                <w:rFonts w:ascii="仿宋" w:hAnsi="仿宋" w:eastAsia="仿宋" w:cs="仿宋"/>
                <w:sz w:val="24"/>
              </w:rPr>
            </w:pPr>
            <w:r>
              <w:rPr>
                <w:rFonts w:hint="eastAsia" w:ascii="仿宋" w:hAnsi="仿宋" w:eastAsia="仿宋" w:cs="仿宋"/>
                <w:sz w:val="24"/>
              </w:rPr>
              <w:t>年龄</w:t>
            </w:r>
          </w:p>
        </w:tc>
        <w:tc>
          <w:tcPr>
            <w:tcW w:w="776" w:type="dxa"/>
            <w:vAlign w:val="center"/>
          </w:tcPr>
          <w:p>
            <w:pPr>
              <w:ind w:firstLine="0" w:firstLineChars="0"/>
              <w:jc w:val="center"/>
              <w:rPr>
                <w:rFonts w:ascii="仿宋" w:hAnsi="仿宋" w:eastAsia="仿宋" w:cs="仿宋"/>
                <w:sz w:val="24"/>
              </w:rPr>
            </w:pPr>
            <w:r>
              <w:rPr>
                <w:rFonts w:hint="eastAsia" w:ascii="仿宋" w:hAnsi="仿宋" w:eastAsia="仿宋" w:cs="仿宋"/>
                <w:sz w:val="24"/>
              </w:rPr>
              <w:t>技术职称</w:t>
            </w:r>
          </w:p>
        </w:tc>
        <w:tc>
          <w:tcPr>
            <w:tcW w:w="776" w:type="dxa"/>
            <w:vAlign w:val="center"/>
          </w:tcPr>
          <w:p>
            <w:pPr>
              <w:ind w:firstLine="0" w:firstLineChars="0"/>
              <w:jc w:val="center"/>
              <w:rPr>
                <w:rFonts w:ascii="仿宋" w:hAnsi="仿宋" w:eastAsia="仿宋" w:cs="仿宋"/>
                <w:sz w:val="24"/>
              </w:rPr>
            </w:pPr>
            <w:r>
              <w:rPr>
                <w:rFonts w:hint="eastAsia" w:ascii="仿宋" w:hAnsi="仿宋" w:eastAsia="仿宋" w:cs="仿宋"/>
                <w:sz w:val="24"/>
              </w:rPr>
              <w:t>专业</w:t>
            </w:r>
          </w:p>
        </w:tc>
        <w:tc>
          <w:tcPr>
            <w:tcW w:w="776" w:type="dxa"/>
            <w:vAlign w:val="center"/>
          </w:tcPr>
          <w:p>
            <w:pPr>
              <w:ind w:firstLine="0" w:firstLineChars="0"/>
              <w:jc w:val="center"/>
              <w:rPr>
                <w:rFonts w:ascii="仿宋" w:hAnsi="仿宋" w:eastAsia="仿宋" w:cs="仿宋"/>
                <w:sz w:val="24"/>
              </w:rPr>
            </w:pPr>
            <w:r>
              <w:rPr>
                <w:rFonts w:hint="eastAsia" w:ascii="仿宋" w:hAnsi="仿宋" w:eastAsia="仿宋" w:cs="仿宋"/>
                <w:sz w:val="24"/>
              </w:rPr>
              <w:t>注册证号</w:t>
            </w:r>
          </w:p>
        </w:tc>
        <w:tc>
          <w:tcPr>
            <w:tcW w:w="1077" w:type="dxa"/>
            <w:vAlign w:val="center"/>
          </w:tcPr>
          <w:p>
            <w:pPr>
              <w:ind w:firstLine="0" w:firstLineChars="0"/>
              <w:jc w:val="center"/>
              <w:rPr>
                <w:rFonts w:ascii="仿宋" w:hAnsi="仿宋" w:eastAsia="仿宋" w:cs="仿宋"/>
                <w:sz w:val="24"/>
              </w:rPr>
            </w:pPr>
            <w:r>
              <w:rPr>
                <w:rFonts w:hint="eastAsia" w:ascii="仿宋" w:hAnsi="仿宋" w:eastAsia="仿宋" w:cs="仿宋"/>
                <w:sz w:val="24"/>
              </w:rPr>
              <w:t>任务及工作</w:t>
            </w:r>
          </w:p>
        </w:tc>
        <w:tc>
          <w:tcPr>
            <w:tcW w:w="788" w:type="dxa"/>
            <w:vAlign w:val="center"/>
          </w:tcPr>
          <w:p>
            <w:pPr>
              <w:ind w:firstLine="0" w:firstLineChars="0"/>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tc>
        <w:tc>
          <w:tcPr>
            <w:tcW w:w="788" w:type="dxa"/>
            <w:vAlign w:val="center"/>
          </w:tcPr>
          <w:p>
            <w:pPr>
              <w:ind w:firstLine="0" w:firstLineChars="0"/>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vAlign w:val="center"/>
          </w:tcPr>
          <w:p>
            <w:pPr>
              <w:ind w:firstLine="0" w:firstLineChars="0"/>
              <w:jc w:val="center"/>
              <w:rPr>
                <w:rFonts w:ascii="仿宋" w:hAnsi="仿宋" w:eastAsia="仿宋" w:cs="仿宋"/>
                <w:sz w:val="24"/>
              </w:rPr>
            </w:pPr>
          </w:p>
        </w:tc>
        <w:tc>
          <w:tcPr>
            <w:tcW w:w="1004" w:type="dxa"/>
            <w:vAlign w:val="center"/>
          </w:tcPr>
          <w:p>
            <w:pPr>
              <w:ind w:firstLine="0" w:firstLineChars="0"/>
              <w:jc w:val="center"/>
              <w:rPr>
                <w:rFonts w:ascii="仿宋" w:hAnsi="仿宋" w:eastAsia="仿宋" w:cs="仿宋"/>
                <w:sz w:val="24"/>
              </w:rPr>
            </w:pPr>
          </w:p>
        </w:tc>
        <w:tc>
          <w:tcPr>
            <w:tcW w:w="697"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09"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776" w:type="dxa"/>
            <w:vAlign w:val="center"/>
          </w:tcPr>
          <w:p>
            <w:pPr>
              <w:ind w:firstLine="0" w:firstLineChars="0"/>
              <w:jc w:val="center"/>
              <w:rPr>
                <w:rFonts w:ascii="仿宋" w:hAnsi="仿宋" w:eastAsia="仿宋" w:cs="仿宋"/>
                <w:sz w:val="24"/>
              </w:rPr>
            </w:pPr>
          </w:p>
        </w:tc>
        <w:tc>
          <w:tcPr>
            <w:tcW w:w="1077" w:type="dxa"/>
            <w:vAlign w:val="center"/>
          </w:tcPr>
          <w:p>
            <w:pPr>
              <w:ind w:firstLine="0" w:firstLineChars="0"/>
              <w:jc w:val="center"/>
              <w:rPr>
                <w:rFonts w:ascii="仿宋" w:hAnsi="仿宋" w:eastAsia="仿宋" w:cs="仿宋"/>
                <w:sz w:val="24"/>
              </w:rPr>
            </w:pPr>
          </w:p>
          <w:p>
            <w:pPr>
              <w:ind w:firstLine="560"/>
            </w:pPr>
          </w:p>
        </w:tc>
        <w:tc>
          <w:tcPr>
            <w:tcW w:w="788" w:type="dxa"/>
            <w:vAlign w:val="center"/>
          </w:tcPr>
          <w:p>
            <w:pPr>
              <w:ind w:firstLine="0" w:firstLineChars="0"/>
              <w:jc w:val="center"/>
              <w:rPr>
                <w:rFonts w:ascii="仿宋" w:hAnsi="仿宋" w:eastAsia="仿宋" w:cs="仿宋"/>
                <w:sz w:val="24"/>
              </w:rPr>
            </w:pPr>
          </w:p>
        </w:tc>
      </w:tr>
    </w:tbl>
    <w:p>
      <w:pPr>
        <w:ind w:firstLine="480"/>
        <w:jc w:val="left"/>
        <w:rPr>
          <w:rFonts w:ascii="仿宋" w:hAnsi="仿宋" w:eastAsia="仿宋" w:cs="仿宋"/>
          <w:sz w:val="24"/>
        </w:rPr>
      </w:pPr>
      <w:r>
        <w:rPr>
          <w:rFonts w:hint="eastAsia" w:ascii="仿宋" w:hAnsi="仿宋" w:eastAsia="仿宋" w:cs="仿宋"/>
          <w:color w:val="FF0000"/>
          <w:sz w:val="24"/>
        </w:rPr>
        <w:t>（需要提供技术负责人、安装人员、售后服务等人员证书证明资料加盖公章）</w:t>
      </w:r>
    </w:p>
    <w:p>
      <w:pPr>
        <w:ind w:firstLine="480"/>
        <w:jc w:val="left"/>
        <w:rPr>
          <w:rFonts w:ascii="仿宋" w:hAnsi="仿宋" w:eastAsia="仿宋" w:cs="仿宋"/>
          <w:sz w:val="24"/>
        </w:rPr>
      </w:pPr>
      <w:r>
        <w:rPr>
          <w:rFonts w:hint="eastAsia" w:ascii="仿宋" w:hAnsi="仿宋" w:eastAsia="仿宋" w:cs="仿宋"/>
          <w:sz w:val="24"/>
        </w:rPr>
        <w:t>投标人名称（盖章）：</w:t>
      </w:r>
    </w:p>
    <w:p>
      <w:pPr>
        <w:ind w:firstLine="480"/>
        <w:jc w:val="left"/>
        <w:rPr>
          <w:rFonts w:ascii="仿宋" w:hAnsi="仿宋" w:eastAsia="仿宋" w:cs="仿宋"/>
          <w:sz w:val="24"/>
        </w:rPr>
      </w:pPr>
      <w:r>
        <w:rPr>
          <w:rFonts w:hint="eastAsia" w:ascii="仿宋" w:hAnsi="仿宋" w:eastAsia="仿宋" w:cs="仿宋"/>
          <w:sz w:val="24"/>
        </w:rPr>
        <w:t>法定代表人或授权代理人（签字或盖章）：</w:t>
      </w:r>
    </w:p>
    <w:p>
      <w:pPr>
        <w:ind w:firstLine="480"/>
        <w:jc w:val="left"/>
        <w:rPr>
          <w:rFonts w:ascii="仿宋" w:hAnsi="仿宋" w:eastAsia="仿宋" w:cs="仿宋"/>
          <w:sz w:val="24"/>
        </w:rPr>
      </w:pPr>
      <w:r>
        <w:rPr>
          <w:rFonts w:hint="eastAsia" w:ascii="仿宋" w:hAnsi="仿宋" w:eastAsia="仿宋" w:cs="仿宋"/>
          <w:sz w:val="24"/>
        </w:rPr>
        <w:t>日期：</w:t>
      </w:r>
    </w:p>
    <w:p>
      <w:pPr>
        <w:ind w:firstLine="560"/>
        <w:rPr>
          <w:rFonts w:ascii="仿宋" w:hAnsi="仿宋" w:eastAsia="仿宋" w:cs="仿宋"/>
        </w:rPr>
      </w:pPr>
    </w:p>
    <w:p>
      <w:pPr>
        <w:pStyle w:val="4"/>
        <w:spacing w:before="120"/>
        <w:sectPr>
          <w:footnotePr>
            <w:numFmt w:val="decimalEnclosedCircleChinese"/>
          </w:footnotePr>
          <w:pgSz w:w="11906" w:h="16838"/>
          <w:pgMar w:top="1418" w:right="1418" w:bottom="1418" w:left="1418" w:header="567" w:footer="567" w:gutter="0"/>
          <w:cols w:space="425" w:num="1"/>
          <w:docGrid w:linePitch="312" w:charSpace="0"/>
        </w:sectPr>
      </w:pPr>
    </w:p>
    <w:p>
      <w:pPr>
        <w:pStyle w:val="4"/>
        <w:spacing w:before="156"/>
      </w:pPr>
      <w:bookmarkStart w:id="225" w:name="_Toc13682"/>
      <w:r>
        <w:rPr>
          <w:rFonts w:hint="eastAsia"/>
        </w:rPr>
        <w:t>附件8：承诺书</w:t>
      </w:r>
      <w:bookmarkEnd w:id="225"/>
    </w:p>
    <w:p>
      <w:pPr>
        <w:ind w:firstLine="562"/>
        <w:jc w:val="center"/>
        <w:rPr>
          <w:b/>
          <w:bCs/>
          <w:szCs w:val="21"/>
        </w:rPr>
      </w:pPr>
      <w:r>
        <w:rPr>
          <w:rFonts w:hint="eastAsia"/>
          <w:b/>
          <w:bCs/>
          <w:szCs w:val="21"/>
        </w:rPr>
        <w:t>承诺书</w:t>
      </w:r>
    </w:p>
    <w:p>
      <w:pPr>
        <w:ind w:firstLine="0" w:firstLineChars="0"/>
        <w:rPr>
          <w:rFonts w:ascii="Times New Roman"/>
          <w:bCs/>
          <w:sz w:val="24"/>
          <w:szCs w:val="24"/>
        </w:rPr>
      </w:pPr>
      <w:r>
        <w:rPr>
          <w:rFonts w:hint="eastAsia" w:ascii="Times New Roman"/>
          <w:bCs/>
          <w:sz w:val="24"/>
          <w:szCs w:val="24"/>
          <w:u w:val="single"/>
        </w:rPr>
        <w:t>海南琪硕招投标有限公司</w:t>
      </w:r>
      <w:r>
        <w:rPr>
          <w:rFonts w:hint="eastAsia" w:ascii="Times New Roman"/>
          <w:bCs/>
          <w:sz w:val="24"/>
          <w:szCs w:val="24"/>
        </w:rPr>
        <w:t>：</w:t>
      </w:r>
    </w:p>
    <w:p>
      <w:pPr>
        <w:ind w:firstLine="480"/>
        <w:rPr>
          <w:rFonts w:ascii="Times New Roman"/>
          <w:bCs/>
          <w:sz w:val="24"/>
          <w:szCs w:val="24"/>
        </w:rPr>
      </w:pPr>
      <w:r>
        <w:rPr>
          <w:rFonts w:hint="eastAsia" w:ascii="Times New Roman"/>
          <w:bCs/>
          <w:sz w:val="24"/>
          <w:szCs w:val="24"/>
        </w:rPr>
        <w:t>我单位作为本次采购项目投标人，根据招标文件要求，具备本项目规定的条件，现承诺如下：</w:t>
      </w:r>
    </w:p>
    <w:p>
      <w:pPr>
        <w:ind w:firstLine="480"/>
        <w:rPr>
          <w:rFonts w:ascii="Times New Roman"/>
          <w:bCs/>
          <w:sz w:val="24"/>
          <w:szCs w:val="24"/>
        </w:rPr>
      </w:pPr>
      <w:r>
        <w:rPr>
          <w:rFonts w:hint="eastAsia" w:ascii="Times New Roman"/>
          <w:bCs/>
          <w:sz w:val="24"/>
          <w:szCs w:val="24"/>
        </w:rPr>
        <w:t>（一）具有独立承担民事责任的能力；</w:t>
      </w:r>
    </w:p>
    <w:p>
      <w:pPr>
        <w:ind w:firstLine="480"/>
        <w:rPr>
          <w:rFonts w:ascii="Times New Roman"/>
          <w:bCs/>
          <w:sz w:val="24"/>
          <w:szCs w:val="24"/>
        </w:rPr>
      </w:pPr>
      <w:r>
        <w:rPr>
          <w:rFonts w:hint="eastAsia" w:ascii="Times New Roman"/>
          <w:bCs/>
          <w:sz w:val="24"/>
          <w:szCs w:val="24"/>
        </w:rPr>
        <w:t>（二）具有良好的商业信誉和健全的财务会计制度；</w:t>
      </w:r>
    </w:p>
    <w:p>
      <w:pPr>
        <w:ind w:firstLine="480"/>
        <w:rPr>
          <w:rFonts w:ascii="Times New Roman"/>
          <w:bCs/>
          <w:sz w:val="24"/>
          <w:szCs w:val="24"/>
        </w:rPr>
      </w:pPr>
      <w:r>
        <w:rPr>
          <w:rFonts w:hint="eastAsia" w:ascii="Times New Roman"/>
          <w:bCs/>
          <w:sz w:val="24"/>
          <w:szCs w:val="24"/>
        </w:rPr>
        <w:t>（三）具有履行合同所必需的设备和专业技术能力；</w:t>
      </w:r>
    </w:p>
    <w:p>
      <w:pPr>
        <w:ind w:firstLine="480"/>
        <w:rPr>
          <w:rFonts w:ascii="Times New Roman"/>
          <w:bCs/>
          <w:sz w:val="24"/>
          <w:szCs w:val="24"/>
        </w:rPr>
      </w:pPr>
      <w:r>
        <w:rPr>
          <w:rFonts w:hint="eastAsia" w:ascii="Times New Roman"/>
          <w:bCs/>
          <w:sz w:val="24"/>
          <w:szCs w:val="24"/>
        </w:rPr>
        <w:t>（四）有依法缴纳税收和社会保障资金的良好记录；</w:t>
      </w:r>
    </w:p>
    <w:p>
      <w:pPr>
        <w:ind w:firstLine="480"/>
        <w:rPr>
          <w:rFonts w:ascii="Times New Roman"/>
          <w:bCs/>
          <w:sz w:val="24"/>
          <w:szCs w:val="24"/>
        </w:rPr>
      </w:pPr>
      <w:r>
        <w:rPr>
          <w:rFonts w:hint="eastAsia" w:ascii="Times New Roman"/>
          <w:bCs/>
          <w:sz w:val="24"/>
          <w:szCs w:val="24"/>
        </w:rPr>
        <w:t>（五）参加政府采购活动前三年内，在经营活动中没有重大违法记录；</w:t>
      </w:r>
    </w:p>
    <w:p>
      <w:pPr>
        <w:ind w:firstLine="480"/>
        <w:rPr>
          <w:rFonts w:ascii="Times New Roman" w:eastAsia="仿宋"/>
          <w:bCs/>
          <w:sz w:val="24"/>
          <w:szCs w:val="24"/>
        </w:rPr>
      </w:pPr>
      <w:r>
        <w:rPr>
          <w:rFonts w:hint="eastAsia" w:ascii="Times New Roman"/>
          <w:bCs/>
          <w:sz w:val="24"/>
          <w:szCs w:val="24"/>
        </w:rPr>
        <w:t>（六）法律、行政法规规定的其他条件</w:t>
      </w:r>
      <w:r>
        <w:rPr>
          <w:rFonts w:hint="eastAsia"/>
          <w:bCs/>
          <w:sz w:val="24"/>
          <w:szCs w:val="24"/>
        </w:rPr>
        <w:t>；</w:t>
      </w:r>
    </w:p>
    <w:p>
      <w:pPr>
        <w:ind w:firstLine="480"/>
        <w:rPr>
          <w:rFonts w:ascii="Times New Roman"/>
          <w:bCs/>
          <w:sz w:val="24"/>
          <w:szCs w:val="24"/>
        </w:rPr>
      </w:pPr>
      <w:r>
        <w:rPr>
          <w:rFonts w:hint="eastAsia" w:ascii="Times New Roman"/>
          <w:bCs/>
          <w:sz w:val="24"/>
          <w:szCs w:val="24"/>
        </w:rPr>
        <w:t>（七）本采购项目规定的其他条件。</w:t>
      </w:r>
    </w:p>
    <w:p>
      <w:pPr>
        <w:ind w:firstLine="480"/>
        <w:rPr>
          <w:rFonts w:ascii="Times New Roman"/>
          <w:bCs/>
          <w:sz w:val="24"/>
          <w:szCs w:val="24"/>
        </w:rPr>
      </w:pPr>
      <w:r>
        <w:rPr>
          <w:rFonts w:hint="eastAsia" w:ascii="Times New Roman"/>
          <w:bCs/>
          <w:sz w:val="24"/>
          <w:szCs w:val="24"/>
        </w:rPr>
        <w:t>本单位对上述承诺的内容事项真实性负责。如经查实上述承诺的内容事项存在虚假，我单位愿意接受以提供虚假材料谋取中标追究法律责任。</w:t>
      </w:r>
    </w:p>
    <w:p>
      <w:pPr>
        <w:snapToGrid w:val="0"/>
        <w:ind w:firstLine="4320" w:firstLineChars="1800"/>
        <w:rPr>
          <w:rFonts w:ascii="Times New Roman"/>
          <w:bCs/>
          <w:sz w:val="24"/>
          <w:szCs w:val="24"/>
        </w:rPr>
      </w:pPr>
    </w:p>
    <w:p>
      <w:pPr>
        <w:snapToGrid w:val="0"/>
        <w:ind w:firstLine="4320" w:firstLineChars="1800"/>
        <w:rPr>
          <w:rFonts w:ascii="仿宋" w:hAnsi="仿宋" w:eastAsia="仿宋" w:cs="仿宋"/>
          <w:sz w:val="24"/>
          <w:szCs w:val="24"/>
          <w:u w:val="single"/>
        </w:rPr>
      </w:pPr>
      <w:r>
        <w:rPr>
          <w:rFonts w:hint="eastAsia" w:ascii="Times New Roman"/>
          <w:bCs/>
          <w:sz w:val="24"/>
          <w:szCs w:val="24"/>
        </w:rPr>
        <w:t>投标人</w:t>
      </w:r>
      <w:r>
        <w:rPr>
          <w:rFonts w:ascii="Times New Roman"/>
          <w:sz w:val="24"/>
          <w:szCs w:val="20"/>
        </w:rPr>
        <w:t>名称：</w:t>
      </w:r>
      <w:r>
        <w:rPr>
          <w:rFonts w:hint="eastAsia" w:ascii="仿宋" w:hAnsi="仿宋" w:eastAsia="仿宋" w:cs="仿宋"/>
          <w:sz w:val="24"/>
          <w:szCs w:val="24"/>
          <w:u w:val="single"/>
        </w:rPr>
        <w:t xml:space="preserve"> （公章）          </w:t>
      </w:r>
    </w:p>
    <w:p>
      <w:pPr>
        <w:snapToGrid w:val="0"/>
        <w:ind w:firstLine="480"/>
        <w:rPr>
          <w:rFonts w:ascii="仿宋" w:hAnsi="仿宋" w:eastAsia="仿宋" w:cs="仿宋"/>
          <w:sz w:val="24"/>
          <w:szCs w:val="24"/>
        </w:rPr>
      </w:pPr>
    </w:p>
    <w:p>
      <w:pPr>
        <w:snapToGrid w:val="0"/>
        <w:ind w:firstLine="480"/>
        <w:jc w:val="center"/>
        <w:rPr>
          <w:rFonts w:ascii="仿宋" w:hAnsi="仿宋" w:eastAsia="仿宋" w:cs="仿宋"/>
          <w:sz w:val="24"/>
          <w:szCs w:val="24"/>
          <w:u w:val="single"/>
        </w:rPr>
      </w:pPr>
      <w:r>
        <w:rPr>
          <w:rFonts w:hint="eastAsia" w:ascii="仿宋" w:hAnsi="仿宋" w:eastAsia="仿宋" w:cs="仿宋"/>
          <w:sz w:val="24"/>
          <w:szCs w:val="24"/>
        </w:rPr>
        <w:t xml:space="preserve">法定代表人或法定授权代表人 </w:t>
      </w:r>
      <w:r>
        <w:rPr>
          <w:rFonts w:ascii="Times New Roman"/>
          <w:sz w:val="24"/>
          <w:szCs w:val="20"/>
        </w:rPr>
        <w:t>：</w:t>
      </w:r>
      <w:r>
        <w:rPr>
          <w:rFonts w:hint="eastAsia" w:ascii="仿宋" w:hAnsi="仿宋" w:eastAsia="仿宋" w:cs="仿宋"/>
          <w:sz w:val="24"/>
          <w:szCs w:val="24"/>
          <w:u w:val="single"/>
        </w:rPr>
        <w:t xml:space="preserve"> （签名）          </w:t>
      </w:r>
    </w:p>
    <w:p>
      <w:pPr>
        <w:ind w:firstLine="480"/>
        <w:jc w:val="right"/>
        <w:rPr>
          <w:rFonts w:ascii="仿宋" w:hAnsi="仿宋" w:eastAsia="仿宋" w:cs="仿宋"/>
          <w:sz w:val="24"/>
          <w:szCs w:val="24"/>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sz w:val="24"/>
          <w:szCs w:val="24"/>
        </w:rPr>
        <w:t>年月日</w:t>
      </w:r>
    </w:p>
    <w:p>
      <w:pPr>
        <w:ind w:firstLine="560"/>
      </w:pPr>
    </w:p>
    <w:p>
      <w:pPr>
        <w:pStyle w:val="4"/>
        <w:spacing w:before="120"/>
      </w:pPr>
      <w:bookmarkStart w:id="226" w:name="_Toc1841"/>
      <w:r>
        <w:rPr>
          <w:rFonts w:hint="eastAsia"/>
        </w:rPr>
        <w:t>附件9：非联合体投标声明</w:t>
      </w:r>
      <w:bookmarkEnd w:id="226"/>
    </w:p>
    <w:p>
      <w:pPr>
        <w:ind w:firstLine="643"/>
        <w:jc w:val="center"/>
        <w:rPr>
          <w:b/>
          <w:bCs/>
          <w:sz w:val="32"/>
        </w:rPr>
      </w:pPr>
    </w:p>
    <w:p>
      <w:pPr>
        <w:ind w:firstLine="643"/>
        <w:jc w:val="center"/>
        <w:rPr>
          <w:b/>
          <w:bCs/>
          <w:sz w:val="32"/>
        </w:rPr>
      </w:pPr>
      <w:r>
        <w:rPr>
          <w:rFonts w:hint="eastAsia"/>
          <w:b/>
          <w:bCs/>
          <w:sz w:val="32"/>
        </w:rPr>
        <w:t>非联合体投标声明</w:t>
      </w:r>
    </w:p>
    <w:p>
      <w:pPr>
        <w:ind w:firstLine="0" w:firstLineChars="0"/>
        <w:rPr>
          <w:rFonts w:ascii="Times New Roman"/>
          <w:bCs/>
          <w:sz w:val="24"/>
          <w:szCs w:val="24"/>
        </w:rPr>
      </w:pPr>
      <w:r>
        <w:rPr>
          <w:rFonts w:hint="eastAsia" w:ascii="Times New Roman"/>
          <w:bCs/>
          <w:sz w:val="24"/>
          <w:szCs w:val="24"/>
          <w:u w:val="single"/>
        </w:rPr>
        <w:t>海南琪硕招投标有限公司</w:t>
      </w:r>
      <w:r>
        <w:rPr>
          <w:rFonts w:hint="eastAsia" w:ascii="Times New Roman"/>
          <w:bCs/>
          <w:sz w:val="24"/>
          <w:szCs w:val="24"/>
        </w:rPr>
        <w:t>：</w:t>
      </w:r>
    </w:p>
    <w:p>
      <w:pPr>
        <w:ind w:firstLine="480"/>
        <w:rPr>
          <w:rFonts w:ascii="Times New Roman"/>
          <w:bCs/>
          <w:sz w:val="24"/>
          <w:szCs w:val="24"/>
        </w:rPr>
      </w:pPr>
      <w:r>
        <w:rPr>
          <w:rFonts w:hint="eastAsia" w:ascii="Times New Roman"/>
          <w:bCs/>
          <w:sz w:val="24"/>
          <w:szCs w:val="24"/>
        </w:rPr>
        <w:t>我单位作为本次采购项目投标人，</w:t>
      </w:r>
      <w:r>
        <w:rPr>
          <w:rFonts w:hint="eastAsia"/>
          <w:bCs/>
          <w:sz w:val="24"/>
          <w:szCs w:val="24"/>
        </w:rPr>
        <w:t>不属于联合体投标。</w:t>
      </w:r>
    </w:p>
    <w:p>
      <w:pPr>
        <w:ind w:firstLine="480"/>
        <w:rPr>
          <w:rFonts w:ascii="Times New Roman"/>
          <w:bCs/>
          <w:sz w:val="24"/>
          <w:szCs w:val="24"/>
        </w:rPr>
      </w:pPr>
      <w:r>
        <w:rPr>
          <w:rFonts w:hint="eastAsia" w:ascii="Times New Roman"/>
          <w:bCs/>
          <w:sz w:val="24"/>
          <w:szCs w:val="24"/>
        </w:rPr>
        <w:t>本单位对上述承诺的内容事项真实性负责。如经查实上述承诺的内容事项存在虚假，我单位愿意接受以提供虚假材料谋取中标追究法律责任。</w:t>
      </w:r>
    </w:p>
    <w:p>
      <w:pPr>
        <w:snapToGrid w:val="0"/>
        <w:ind w:firstLine="4320" w:firstLineChars="1800"/>
        <w:rPr>
          <w:rFonts w:ascii="Times New Roman"/>
          <w:bCs/>
          <w:sz w:val="24"/>
          <w:szCs w:val="24"/>
        </w:rPr>
      </w:pPr>
    </w:p>
    <w:p>
      <w:pPr>
        <w:snapToGrid w:val="0"/>
        <w:ind w:firstLine="4320" w:firstLineChars="1800"/>
        <w:jc w:val="right"/>
        <w:rPr>
          <w:rFonts w:ascii="仿宋" w:hAnsi="仿宋" w:eastAsia="仿宋" w:cs="仿宋"/>
          <w:sz w:val="24"/>
          <w:szCs w:val="24"/>
          <w:u w:val="single"/>
        </w:rPr>
      </w:pPr>
      <w:r>
        <w:rPr>
          <w:rFonts w:hint="eastAsia" w:ascii="Times New Roman"/>
          <w:bCs/>
          <w:sz w:val="24"/>
          <w:szCs w:val="24"/>
        </w:rPr>
        <w:t>投标人</w:t>
      </w:r>
      <w:r>
        <w:rPr>
          <w:rFonts w:ascii="Times New Roman"/>
          <w:sz w:val="24"/>
          <w:szCs w:val="20"/>
        </w:rPr>
        <w:t>名称：</w:t>
      </w:r>
      <w:r>
        <w:rPr>
          <w:rFonts w:hint="eastAsia" w:ascii="仿宋" w:hAnsi="仿宋" w:eastAsia="仿宋" w:cs="仿宋"/>
          <w:sz w:val="24"/>
          <w:szCs w:val="24"/>
          <w:u w:val="single"/>
        </w:rPr>
        <w:t xml:space="preserve">         （公章）          </w:t>
      </w:r>
    </w:p>
    <w:p>
      <w:pPr>
        <w:snapToGrid w:val="0"/>
        <w:ind w:firstLine="4320" w:firstLineChars="1800"/>
        <w:rPr>
          <w:rFonts w:ascii="仿宋" w:hAnsi="仿宋" w:eastAsia="仿宋" w:cs="仿宋"/>
          <w:sz w:val="24"/>
          <w:szCs w:val="24"/>
        </w:rPr>
      </w:pPr>
    </w:p>
    <w:p>
      <w:pPr>
        <w:snapToGrid w:val="0"/>
        <w:ind w:firstLine="480"/>
        <w:jc w:val="center"/>
        <w:rPr>
          <w:rFonts w:ascii="仿宋" w:hAnsi="仿宋" w:eastAsia="仿宋" w:cs="仿宋"/>
          <w:sz w:val="24"/>
          <w:szCs w:val="24"/>
          <w:u w:val="single"/>
        </w:rPr>
      </w:pPr>
      <w:r>
        <w:rPr>
          <w:rFonts w:hint="eastAsia" w:ascii="仿宋" w:hAnsi="仿宋" w:eastAsia="仿宋" w:cs="仿宋"/>
          <w:sz w:val="24"/>
          <w:szCs w:val="24"/>
        </w:rPr>
        <w:t xml:space="preserve">法定代表人或法定授权代表人 </w:t>
      </w:r>
      <w:r>
        <w:rPr>
          <w:rFonts w:ascii="Times New Roman"/>
          <w:sz w:val="24"/>
          <w:szCs w:val="20"/>
        </w:rPr>
        <w:t>：</w:t>
      </w:r>
      <w:r>
        <w:rPr>
          <w:rFonts w:hint="eastAsia" w:ascii="仿宋" w:hAnsi="仿宋" w:eastAsia="仿宋" w:cs="仿宋"/>
          <w:sz w:val="24"/>
          <w:szCs w:val="24"/>
          <w:u w:val="single"/>
        </w:rPr>
        <w:t xml:space="preserve"> （签名）     </w:t>
      </w:r>
    </w:p>
    <w:p>
      <w:pPr>
        <w:ind w:firstLine="960" w:firstLineChars="400"/>
        <w:jc w:val="right"/>
        <w:rPr>
          <w:rFonts w:ascii="仿宋" w:hAnsi="仿宋" w:cs="仿宋"/>
          <w:sz w:val="24"/>
          <w:szCs w:val="24"/>
          <w:u w:val="single"/>
        </w:rPr>
      </w:pPr>
    </w:p>
    <w:p>
      <w:pPr>
        <w:ind w:firstLine="960" w:firstLineChars="400"/>
        <w:jc w:val="right"/>
        <w:rPr>
          <w:rFonts w:hAnsi="宋体"/>
          <w:sz w:val="24"/>
        </w:rPr>
      </w:pPr>
      <w:r>
        <w:rPr>
          <w:rFonts w:hint="eastAsia" w:ascii="仿宋" w:hAnsi="仿宋" w:eastAsia="仿宋" w:cs="仿宋"/>
          <w:sz w:val="24"/>
          <w:szCs w:val="24"/>
        </w:rPr>
        <w:t>年月日</w:t>
      </w:r>
    </w:p>
    <w:p>
      <w:pPr>
        <w:spacing w:line="500" w:lineRule="exact"/>
        <w:ind w:firstLine="480"/>
        <w:rPr>
          <w:rFonts w:ascii="Times New Roman" w:hAnsi="宋体"/>
          <w:sz w:val="24"/>
          <w:szCs w:val="24"/>
        </w:rPr>
      </w:pPr>
    </w:p>
    <w:p>
      <w:pPr>
        <w:pStyle w:val="50"/>
        <w:ind w:firstLine="360"/>
        <w:sectPr>
          <w:footnotePr>
            <w:numFmt w:val="decimalEnclosedCircleChinese"/>
          </w:footnotePr>
          <w:pgSz w:w="11906" w:h="16838"/>
          <w:pgMar w:top="1418" w:right="1418" w:bottom="1418" w:left="1418" w:header="567" w:footer="567" w:gutter="0"/>
          <w:cols w:space="425" w:num="1"/>
          <w:docGrid w:linePitch="312" w:charSpace="0"/>
        </w:sectPr>
      </w:pPr>
    </w:p>
    <w:p>
      <w:pPr>
        <w:pStyle w:val="4"/>
        <w:tabs>
          <w:tab w:val="left" w:pos="720"/>
        </w:tabs>
        <w:spacing w:before="156"/>
        <w:ind w:left="0"/>
        <w:jc w:val="center"/>
        <w:rPr>
          <w:rFonts w:ascii="仿宋" w:hAnsi="仿宋" w:eastAsia="仿宋" w:cs="仿宋"/>
          <w:bCs w:val="0"/>
          <w:szCs w:val="28"/>
        </w:rPr>
      </w:pPr>
      <w:bookmarkStart w:id="227" w:name="_Toc4850"/>
      <w:bookmarkStart w:id="228" w:name="_Toc5197"/>
      <w:bookmarkStart w:id="229" w:name="_Toc12265"/>
      <w:r>
        <w:rPr>
          <w:rFonts w:hint="eastAsia" w:ascii="仿宋" w:hAnsi="仿宋" w:eastAsia="仿宋" w:cs="仿宋"/>
          <w:bCs w:val="0"/>
          <w:szCs w:val="28"/>
        </w:rPr>
        <w:t>附件10：中小企业（监狱企业）声明函</w:t>
      </w:r>
      <w:bookmarkEnd w:id="227"/>
      <w:bookmarkEnd w:id="228"/>
      <w:bookmarkEnd w:id="229"/>
    </w:p>
    <w:p>
      <w:pPr>
        <w:ind w:firstLine="480"/>
        <w:jc w:val="left"/>
        <w:rPr>
          <w:rFonts w:ascii="仿宋" w:hAnsi="仿宋" w:eastAsia="仿宋" w:cs="仿宋"/>
          <w:sz w:val="24"/>
        </w:rPr>
      </w:pPr>
    </w:p>
    <w:p>
      <w:pPr>
        <w:ind w:firstLine="480"/>
        <w:jc w:val="left"/>
        <w:rPr>
          <w:rFonts w:ascii="仿宋" w:hAnsi="仿宋" w:eastAsia="仿宋" w:cs="仿宋"/>
          <w:sz w:val="24"/>
        </w:rPr>
      </w:pPr>
      <w:r>
        <w:rPr>
          <w:rFonts w:hint="eastAsia" w:ascii="仿宋" w:hAnsi="仿宋" w:eastAsia="仿宋" w:cs="仿宋"/>
          <w:sz w:val="24"/>
        </w:rPr>
        <w:t>本公司郑重声明，根据《政府采购促进中小企业发展暂行办法》（财库〔2011〕181号）或《政府采购支持监狱企业发展有关问题的通知》（财库〔2014〕68号）的规定，本公司为______（请填写：中型、小型、微型或监狱）企业。即本公司同时满足以下条件：</w:t>
      </w:r>
      <w:r>
        <w:rPr>
          <w:rFonts w:hint="eastAsia" w:ascii="仿宋" w:hAnsi="仿宋" w:eastAsia="仿宋" w:cs="仿宋"/>
          <w:sz w:val="24"/>
        </w:rPr>
        <w:br w:type="textWrapping"/>
      </w:r>
      <w:r>
        <w:rPr>
          <w:rFonts w:hint="eastAsia" w:ascii="仿宋" w:hAnsi="仿宋" w:eastAsia="仿宋" w:cs="仿宋"/>
          <w:sz w:val="24"/>
        </w:rPr>
        <w:t>　　1.根据《工业和信息化部、国家统计局、国家发展和改革委员会、财政部关于印发中小企业划型标准规定的通知》（工信部联企业〔2011〕300号）或《政府采购支持监狱企业发展有关问题的通知》（财库〔2014〕68号）规定的划分标准，本公司为______（请填写：中型、小型、微型或监狱）企业。</w:t>
      </w:r>
      <w:r>
        <w:rPr>
          <w:rFonts w:hint="eastAsia" w:ascii="仿宋" w:hAnsi="仿宋" w:eastAsia="仿宋" w:cs="仿宋"/>
          <w:sz w:val="24"/>
        </w:rPr>
        <w:br w:type="textWrapping"/>
      </w:r>
      <w:r>
        <w:rPr>
          <w:rFonts w:hint="eastAsia" w:ascii="仿宋" w:hAnsi="仿宋" w:eastAsia="仿宋" w:cs="仿宋"/>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ascii="仿宋" w:hAnsi="仿宋" w:eastAsia="仿宋" w:cs="仿宋"/>
          <w:sz w:val="24"/>
        </w:rPr>
        <w:br w:type="textWrapping"/>
      </w:r>
      <w:r>
        <w:rPr>
          <w:rFonts w:hint="eastAsia" w:ascii="仿宋" w:hAnsi="仿宋" w:eastAsia="仿宋" w:cs="仿宋"/>
          <w:sz w:val="24"/>
        </w:rPr>
        <w:t>　　本公司对上述声明的真实性负责。如有虚假，将依法承担相应责任。</w:t>
      </w:r>
    </w:p>
    <w:p>
      <w:pPr>
        <w:ind w:firstLine="480"/>
        <w:rPr>
          <w:rFonts w:ascii="仿宋" w:hAnsi="仿宋" w:eastAsia="仿宋" w:cs="仿宋"/>
          <w:sz w:val="24"/>
        </w:rPr>
      </w:pPr>
    </w:p>
    <w:p>
      <w:pPr>
        <w:ind w:firstLine="4578" w:firstLineChars="1900"/>
        <w:jc w:val="left"/>
        <w:rPr>
          <w:rFonts w:ascii="仿宋" w:hAnsi="仿宋" w:eastAsia="仿宋" w:cs="仿宋"/>
          <w:b/>
          <w:bCs/>
          <w:sz w:val="24"/>
        </w:rPr>
      </w:pPr>
      <w:r>
        <w:rPr>
          <w:rFonts w:hint="eastAsia" w:ascii="仿宋" w:hAnsi="仿宋" w:eastAsia="仿宋" w:cs="仿宋"/>
          <w:b/>
          <w:bCs/>
          <w:sz w:val="24"/>
        </w:rPr>
        <w:t>企业名称（盖章）：</w:t>
      </w:r>
    </w:p>
    <w:p>
      <w:pPr>
        <w:ind w:firstLine="5783" w:firstLineChars="2400"/>
        <w:jc w:val="left"/>
        <w:rPr>
          <w:rFonts w:ascii="仿宋" w:hAnsi="仿宋" w:eastAsia="仿宋" w:cs="仿宋"/>
          <w:sz w:val="24"/>
        </w:rPr>
      </w:pPr>
      <w:r>
        <w:rPr>
          <w:rFonts w:hint="eastAsia" w:ascii="仿宋" w:hAnsi="仿宋" w:eastAsia="仿宋" w:cs="仿宋"/>
          <w:b/>
          <w:bCs/>
          <w:sz w:val="24"/>
        </w:rPr>
        <w:t>日   期：</w:t>
      </w:r>
      <w:bookmarkStart w:id="230" w:name="_Toc387147344"/>
      <w:bookmarkStart w:id="231" w:name="_Toc387658050"/>
      <w:bookmarkStart w:id="232" w:name="_Toc419811733"/>
      <w:bookmarkStart w:id="233" w:name="_Toc413748654"/>
      <w:bookmarkStart w:id="234" w:name="_Toc417911732"/>
    </w:p>
    <w:p>
      <w:pPr>
        <w:spacing w:line="440" w:lineRule="exact"/>
        <w:ind w:firstLine="440"/>
        <w:rPr>
          <w:rFonts w:ascii="仿宋" w:hAnsi="仿宋" w:eastAsia="仿宋" w:cs="仿宋"/>
          <w:bCs/>
          <w:sz w:val="22"/>
        </w:rPr>
      </w:pPr>
      <w:r>
        <w:rPr>
          <w:rFonts w:hint="eastAsia" w:ascii="仿宋" w:hAnsi="仿宋" w:eastAsia="仿宋" w:cs="仿宋"/>
          <w:bCs/>
          <w:sz w:val="22"/>
        </w:rPr>
        <w:t>注：</w:t>
      </w:r>
    </w:p>
    <w:p>
      <w:pPr>
        <w:spacing w:line="440" w:lineRule="exact"/>
        <w:ind w:firstLine="440"/>
        <w:rPr>
          <w:rFonts w:ascii="仿宋" w:hAnsi="仿宋" w:eastAsia="仿宋" w:cs="仿宋"/>
          <w:bCs/>
          <w:sz w:val="22"/>
        </w:rPr>
      </w:pPr>
      <w:r>
        <w:rPr>
          <w:rFonts w:hint="eastAsia" w:ascii="仿宋" w:hAnsi="仿宋" w:eastAsia="仿宋" w:cs="仿宋"/>
          <w:bCs/>
          <w:sz w:val="22"/>
        </w:rPr>
        <w:t>1、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230"/>
      <w:bookmarkEnd w:id="231"/>
      <w:bookmarkEnd w:id="232"/>
      <w:bookmarkEnd w:id="233"/>
      <w:bookmarkEnd w:id="234"/>
    </w:p>
    <w:p>
      <w:pPr>
        <w:spacing w:line="440" w:lineRule="exact"/>
        <w:ind w:firstLine="440"/>
        <w:rPr>
          <w:rFonts w:ascii="仿宋" w:hAnsi="仿宋" w:eastAsia="仿宋" w:cs="仿宋"/>
          <w:bCs/>
          <w:sz w:val="22"/>
        </w:rPr>
      </w:pPr>
      <w:r>
        <w:rPr>
          <w:rFonts w:hint="eastAsia" w:ascii="仿宋" w:hAnsi="仿宋" w:eastAsia="仿宋" w:cs="仿宋"/>
          <w:bCs/>
          <w:sz w:val="22"/>
        </w:rPr>
        <w:t>2、在政府采购活动中，监狱企业视同小型、微型企业，享受预留份额、评审中价格扣除等政府采购促进中小企业发展的政府采购政策。（监狱企业参加政府采购活动时，</w:t>
      </w:r>
      <w:r>
        <w:rPr>
          <w:rFonts w:hint="eastAsia" w:ascii="仿宋" w:hAnsi="仿宋" w:eastAsia="仿宋" w:cs="仿宋"/>
          <w:bCs/>
          <w:sz w:val="22"/>
          <w:u w:val="single"/>
        </w:rPr>
        <w:t>还应当提供由省级以上监狱管理局、戒毒管理局出具的属于监狱企业的证明文件。</w:t>
      </w:r>
      <w:r>
        <w:rPr>
          <w:rFonts w:hint="eastAsia" w:ascii="仿宋" w:hAnsi="仿宋" w:eastAsia="仿宋" w:cs="仿宋"/>
          <w:bCs/>
          <w:sz w:val="22"/>
        </w:rPr>
        <w:t>）</w:t>
      </w:r>
    </w:p>
    <w:p>
      <w:pPr>
        <w:spacing w:line="440" w:lineRule="exact"/>
        <w:ind w:firstLine="440"/>
        <w:rPr>
          <w:rFonts w:ascii="仿宋" w:hAnsi="仿宋" w:eastAsia="仿宋" w:cs="仿宋"/>
          <w:bCs/>
          <w:sz w:val="22"/>
        </w:rPr>
      </w:pPr>
      <w:r>
        <w:rPr>
          <w:rFonts w:hint="eastAsia" w:ascii="仿宋" w:hAnsi="仿宋" w:eastAsia="仿宋" w:cs="仿宋"/>
          <w:bCs/>
          <w:sz w:val="22"/>
        </w:rPr>
        <w:t>3、投标人为非企业单位的，可不提供此声明。</w:t>
      </w:r>
    </w:p>
    <w:p>
      <w:pPr>
        <w:ind w:firstLine="560"/>
      </w:pPr>
      <w:bookmarkStart w:id="235" w:name="_Toc11145"/>
      <w:bookmarkStart w:id="236" w:name="OLE_LINK13"/>
      <w:bookmarkStart w:id="237" w:name="_Toc31587"/>
      <w:bookmarkStart w:id="238" w:name="OLE_LINK14"/>
    </w:p>
    <w:p>
      <w:pPr>
        <w:ind w:firstLine="562"/>
        <w:rPr>
          <w:rFonts w:ascii="仿宋" w:hAnsi="仿宋" w:eastAsia="仿宋" w:cs="仿宋"/>
          <w:b/>
          <w:szCs w:val="28"/>
        </w:rPr>
      </w:pPr>
      <w:r>
        <w:rPr>
          <w:rFonts w:hint="eastAsia" w:ascii="仿宋" w:hAnsi="仿宋" w:eastAsia="仿宋" w:cs="仿宋"/>
          <w:b/>
          <w:szCs w:val="28"/>
        </w:rPr>
        <w:br w:type="page"/>
      </w:r>
    </w:p>
    <w:bookmarkEnd w:id="235"/>
    <w:bookmarkEnd w:id="236"/>
    <w:bookmarkEnd w:id="237"/>
    <w:bookmarkEnd w:id="238"/>
    <w:p>
      <w:pPr>
        <w:pStyle w:val="4"/>
        <w:tabs>
          <w:tab w:val="left" w:pos="720"/>
        </w:tabs>
        <w:spacing w:before="156"/>
        <w:ind w:left="0"/>
        <w:jc w:val="center"/>
        <w:rPr>
          <w:rFonts w:ascii="仿宋" w:hAnsi="仿宋" w:eastAsia="仿宋" w:cs="仿宋"/>
          <w:bCs w:val="0"/>
          <w:szCs w:val="28"/>
        </w:rPr>
      </w:pPr>
      <w:bookmarkStart w:id="239" w:name="_Toc4565"/>
      <w:r>
        <w:rPr>
          <w:rFonts w:hint="eastAsia" w:ascii="仿宋" w:hAnsi="仿宋" w:eastAsia="仿宋" w:cs="仿宋"/>
          <w:bCs w:val="0"/>
          <w:szCs w:val="28"/>
        </w:rPr>
        <w:t>附件11：残疾人福利性单位声明函</w:t>
      </w:r>
      <w:bookmarkEnd w:id="239"/>
    </w:p>
    <w:p>
      <w:pPr>
        <w:spacing w:line="588" w:lineRule="exact"/>
        <w:ind w:firstLine="504"/>
        <w:rPr>
          <w:rFonts w:ascii="仿宋" w:hAnsi="仿宋" w:eastAsia="仿宋" w:cs="仿宋"/>
          <w:spacing w:val="6"/>
          <w:sz w:val="24"/>
        </w:rPr>
      </w:pPr>
      <w:r>
        <w:rPr>
          <w:rFonts w:hint="eastAsia" w:ascii="仿宋" w:hAnsi="仿宋" w:eastAsia="仿宋" w:cs="仿宋"/>
          <w:spacing w:val="6"/>
          <w:sz w:val="24"/>
        </w:rPr>
        <w:t>本单位郑重声明，根据《财政部、民政部、中国残疾人联合会关于促进残疾人就业政府采购政策的通知》（财库</w:t>
      </w:r>
      <w:r>
        <w:rPr>
          <w:rFonts w:hint="eastAsia" w:ascii="仿宋" w:hAnsi="仿宋" w:eastAsia="仿宋" w:cs="仿宋"/>
          <w:sz w:val="24"/>
        </w:rPr>
        <w:t>〔2017〕 141</w:t>
      </w:r>
      <w:r>
        <w:rPr>
          <w:rFonts w:hint="eastAsia" w:ascii="仿宋" w:hAnsi="仿宋" w:eastAsia="仿宋" w:cs="仿宋"/>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rPr>
          <w:rFonts w:ascii="仿宋" w:hAnsi="仿宋" w:eastAsia="仿宋" w:cs="仿宋"/>
          <w:spacing w:val="6"/>
          <w:sz w:val="24"/>
        </w:rPr>
      </w:pPr>
      <w:r>
        <w:rPr>
          <w:rFonts w:hint="eastAsia" w:ascii="仿宋" w:hAnsi="仿宋" w:eastAsia="仿宋" w:cs="仿宋"/>
          <w:spacing w:val="6"/>
          <w:sz w:val="24"/>
        </w:rPr>
        <w:t>本单位对上述声明的真实性负责。如有虚假，将依法承担相应责任。</w:t>
      </w:r>
    </w:p>
    <w:p>
      <w:pPr>
        <w:spacing w:line="588" w:lineRule="exact"/>
        <w:ind w:firstLine="504"/>
        <w:rPr>
          <w:rFonts w:ascii="仿宋" w:hAnsi="仿宋" w:eastAsia="仿宋" w:cs="仿宋"/>
          <w:spacing w:val="6"/>
          <w:sz w:val="24"/>
        </w:rPr>
      </w:pPr>
    </w:p>
    <w:p>
      <w:pPr>
        <w:spacing w:line="588" w:lineRule="exact"/>
        <w:ind w:firstLine="504"/>
        <w:rPr>
          <w:rFonts w:ascii="仿宋" w:hAnsi="仿宋" w:eastAsia="仿宋" w:cs="仿宋"/>
          <w:spacing w:val="6"/>
          <w:sz w:val="24"/>
        </w:rPr>
      </w:pPr>
    </w:p>
    <w:p>
      <w:pPr>
        <w:tabs>
          <w:tab w:val="left" w:pos="4860"/>
        </w:tabs>
        <w:spacing w:line="588" w:lineRule="exact"/>
        <w:ind w:right="1560" w:firstLine="3794" w:firstLineChars="1500"/>
        <w:rPr>
          <w:rFonts w:ascii="仿宋" w:hAnsi="仿宋" w:eastAsia="仿宋" w:cs="仿宋"/>
          <w:b/>
          <w:bCs/>
          <w:spacing w:val="6"/>
          <w:sz w:val="24"/>
        </w:rPr>
      </w:pPr>
      <w:r>
        <w:rPr>
          <w:rFonts w:hint="eastAsia" w:ascii="仿宋" w:hAnsi="仿宋" w:eastAsia="仿宋" w:cs="仿宋"/>
          <w:b/>
          <w:bCs/>
          <w:spacing w:val="6"/>
          <w:sz w:val="24"/>
        </w:rPr>
        <w:t>单位名称（盖章）：</w:t>
      </w:r>
    </w:p>
    <w:p>
      <w:pPr>
        <w:ind w:firstLine="506"/>
        <w:rPr>
          <w:rFonts w:ascii="仿宋" w:hAnsi="仿宋" w:eastAsia="仿宋" w:cs="仿宋"/>
          <w:b/>
          <w:bCs/>
          <w:spacing w:val="6"/>
          <w:sz w:val="24"/>
        </w:rPr>
      </w:pPr>
    </w:p>
    <w:p>
      <w:pPr>
        <w:ind w:firstLine="5059" w:firstLineChars="2000"/>
        <w:rPr>
          <w:rFonts w:ascii="仿宋" w:hAnsi="仿宋" w:eastAsia="仿宋" w:cs="仿宋"/>
          <w:b/>
          <w:bCs/>
          <w:spacing w:val="6"/>
          <w:sz w:val="24"/>
        </w:rPr>
      </w:pPr>
      <w:r>
        <w:rPr>
          <w:rFonts w:hint="eastAsia" w:ascii="仿宋" w:hAnsi="仿宋" w:eastAsia="仿宋" w:cs="仿宋"/>
          <w:b/>
          <w:bCs/>
          <w:spacing w:val="6"/>
          <w:sz w:val="24"/>
        </w:rPr>
        <w:t>日  期：</w:t>
      </w:r>
    </w:p>
    <w:p>
      <w:pPr>
        <w:ind w:firstLine="480"/>
        <w:rPr>
          <w:rFonts w:ascii="仿宋" w:hAnsi="仿宋" w:eastAsia="仿宋" w:cs="仿宋"/>
          <w:sz w:val="24"/>
        </w:rPr>
      </w:pPr>
    </w:p>
    <w:p>
      <w:pPr>
        <w:ind w:firstLine="480"/>
        <w:rPr>
          <w:rFonts w:ascii="仿宋" w:hAnsi="仿宋" w:eastAsia="仿宋" w:cs="仿宋"/>
          <w:sz w:val="24"/>
        </w:rPr>
      </w:pPr>
    </w:p>
    <w:p>
      <w:pPr>
        <w:spacing w:line="440" w:lineRule="exact"/>
        <w:ind w:firstLine="440"/>
        <w:rPr>
          <w:rFonts w:ascii="仿宋" w:hAnsi="仿宋" w:eastAsia="仿宋" w:cs="仿宋"/>
          <w:bCs/>
          <w:sz w:val="22"/>
        </w:rPr>
      </w:pPr>
      <w:r>
        <w:rPr>
          <w:rFonts w:hint="eastAsia" w:ascii="仿宋" w:hAnsi="仿宋" w:eastAsia="仿宋" w:cs="仿宋"/>
          <w:bCs/>
          <w:sz w:val="22"/>
        </w:rPr>
        <w:t>注：</w:t>
      </w:r>
    </w:p>
    <w:p>
      <w:pPr>
        <w:spacing w:line="440" w:lineRule="exact"/>
        <w:ind w:firstLine="440"/>
        <w:rPr>
          <w:rFonts w:ascii="仿宋" w:hAnsi="仿宋" w:eastAsia="仿宋" w:cs="仿宋"/>
          <w:bCs/>
          <w:sz w:val="22"/>
        </w:rPr>
      </w:pPr>
      <w:r>
        <w:rPr>
          <w:rFonts w:hint="eastAsia" w:ascii="仿宋" w:hAnsi="仿宋" w:eastAsia="仿宋" w:cs="仿宋"/>
          <w:bCs/>
          <w:sz w:val="22"/>
        </w:rPr>
        <w:t>1、残疾人福利性单位视同小型、微型企业，享受预留份额、评审中价格扣除等促进中小企业发展的政府采购政策。残疾人福利性单位属于小型、微型企业的，不重复享受政策。</w:t>
      </w:r>
    </w:p>
    <w:p>
      <w:pPr>
        <w:spacing w:line="440" w:lineRule="exact"/>
        <w:ind w:firstLine="440"/>
        <w:rPr>
          <w:rFonts w:ascii="仿宋" w:hAnsi="仿宋" w:eastAsia="仿宋" w:cs="仿宋"/>
          <w:bCs/>
          <w:sz w:val="22"/>
        </w:rPr>
      </w:pPr>
      <w:r>
        <w:rPr>
          <w:rFonts w:hint="eastAsia" w:ascii="仿宋" w:hAnsi="仿宋" w:eastAsia="仿宋" w:cs="仿宋"/>
          <w:bCs/>
          <w:sz w:val="22"/>
        </w:rPr>
        <w:t>2、投标人为非残疾人福利性单位的，可不提供此声明。</w:t>
      </w:r>
    </w:p>
    <w:p>
      <w:pPr>
        <w:pStyle w:val="67"/>
        <w:spacing w:line="360" w:lineRule="auto"/>
      </w:pPr>
      <w:r>
        <w:rPr>
          <w:rFonts w:hint="eastAsia" w:ascii="仿宋" w:hAnsi="仿宋" w:cs="仿宋"/>
          <w:bCs/>
          <w:kern w:val="2"/>
          <w:sz w:val="22"/>
          <w:szCs w:val="22"/>
        </w:rPr>
        <w:t xml:space="preserve"> 3、前款所称残疾人是指法定劳动年龄内，持有《中华人民共和国残疾人证》或者《中华人民共和国残疾军人证（1至8级）》的自然人，包括具有劳动条件和劳动意愿的精神残疾人。</w:t>
      </w:r>
    </w:p>
    <w:p>
      <w:pPr>
        <w:spacing w:line="440" w:lineRule="exact"/>
        <w:ind w:firstLine="440"/>
        <w:rPr>
          <w:rFonts w:ascii="仿宋" w:hAnsi="仿宋" w:eastAsia="仿宋" w:cs="仿宋"/>
          <w:bCs/>
          <w:sz w:val="22"/>
        </w:rPr>
      </w:pPr>
    </w:p>
    <w:p>
      <w:pPr>
        <w:ind w:firstLine="562"/>
        <w:rPr>
          <w:rFonts w:ascii="仿宋" w:hAnsi="仿宋" w:eastAsia="仿宋" w:cs="仿宋"/>
          <w:b/>
          <w:szCs w:val="28"/>
        </w:rPr>
      </w:pPr>
      <w:r>
        <w:rPr>
          <w:rFonts w:hint="eastAsia" w:ascii="仿宋" w:hAnsi="仿宋" w:eastAsia="仿宋" w:cs="仿宋"/>
          <w:b/>
          <w:szCs w:val="28"/>
        </w:rPr>
        <w:br w:type="page"/>
      </w:r>
    </w:p>
    <w:p>
      <w:pPr>
        <w:pStyle w:val="4"/>
        <w:tabs>
          <w:tab w:val="left" w:pos="720"/>
        </w:tabs>
        <w:spacing w:before="156"/>
        <w:ind w:left="0"/>
        <w:jc w:val="center"/>
        <w:rPr>
          <w:rFonts w:ascii="仿宋" w:hAnsi="仿宋" w:eastAsia="仿宋" w:cs="仿宋"/>
          <w:bCs w:val="0"/>
          <w:szCs w:val="28"/>
        </w:rPr>
      </w:pPr>
      <w:bookmarkStart w:id="240" w:name="_Toc30220"/>
      <w:r>
        <w:rPr>
          <w:rFonts w:hint="eastAsia" w:ascii="仿宋" w:hAnsi="仿宋" w:eastAsia="仿宋" w:cs="仿宋"/>
          <w:bCs w:val="0"/>
          <w:szCs w:val="28"/>
        </w:rPr>
        <w:t>附件12：商务、技术响应偏离说明表</w:t>
      </w:r>
      <w:bookmarkEnd w:id="240"/>
    </w:p>
    <w:p>
      <w:pPr>
        <w:ind w:firstLine="560"/>
      </w:pPr>
    </w:p>
    <w:tbl>
      <w:tblPr>
        <w:tblStyle w:val="78"/>
        <w:tblW w:w="8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79"/>
        <w:gridCol w:w="2250"/>
        <w:gridCol w:w="202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序号</w:t>
            </w:r>
          </w:p>
        </w:tc>
        <w:tc>
          <w:tcPr>
            <w:tcW w:w="2479"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原商务要求条款描述</w:t>
            </w:r>
          </w:p>
        </w:tc>
        <w:tc>
          <w:tcPr>
            <w:tcW w:w="2250"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投标人商务要求条款描述</w:t>
            </w:r>
          </w:p>
        </w:tc>
        <w:tc>
          <w:tcPr>
            <w:tcW w:w="2025"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偏离情况说明（＋/-/=）</w:t>
            </w:r>
          </w:p>
        </w:tc>
        <w:tc>
          <w:tcPr>
            <w:tcW w:w="705"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1</w:t>
            </w:r>
          </w:p>
        </w:tc>
        <w:tc>
          <w:tcPr>
            <w:tcW w:w="2479" w:type="dxa"/>
          </w:tcPr>
          <w:p>
            <w:pPr>
              <w:ind w:firstLine="0" w:firstLineChars="0"/>
              <w:jc w:val="center"/>
              <w:rPr>
                <w:rFonts w:ascii="仿宋" w:hAnsi="仿宋" w:eastAsia="仿宋" w:cs="仿宋"/>
                <w:sz w:val="24"/>
                <w:szCs w:val="24"/>
                <w:lang w:val="en-GB"/>
              </w:rPr>
            </w:pPr>
          </w:p>
        </w:tc>
        <w:tc>
          <w:tcPr>
            <w:tcW w:w="2250" w:type="dxa"/>
          </w:tcPr>
          <w:p>
            <w:pPr>
              <w:ind w:firstLine="0" w:firstLineChars="0"/>
              <w:jc w:val="center"/>
              <w:rPr>
                <w:rFonts w:ascii="仿宋" w:hAnsi="仿宋" w:eastAsia="仿宋" w:cs="仿宋"/>
                <w:sz w:val="24"/>
                <w:szCs w:val="24"/>
                <w:lang w:val="en-GB"/>
              </w:rPr>
            </w:pPr>
          </w:p>
        </w:tc>
        <w:tc>
          <w:tcPr>
            <w:tcW w:w="2025" w:type="dxa"/>
          </w:tcPr>
          <w:p>
            <w:pPr>
              <w:ind w:firstLine="0" w:firstLineChars="0"/>
              <w:jc w:val="center"/>
              <w:rPr>
                <w:rFonts w:ascii="仿宋" w:hAnsi="仿宋" w:eastAsia="仿宋" w:cs="仿宋"/>
                <w:sz w:val="24"/>
                <w:szCs w:val="24"/>
                <w:lang w:val="en-GB"/>
              </w:rPr>
            </w:pPr>
          </w:p>
        </w:tc>
        <w:tc>
          <w:tcPr>
            <w:tcW w:w="705" w:type="dxa"/>
          </w:tcPr>
          <w:p>
            <w:pPr>
              <w:ind w:firstLine="0" w:firstLineChars="0"/>
              <w:jc w:val="center"/>
              <w:rPr>
                <w:rFonts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2</w:t>
            </w:r>
          </w:p>
        </w:tc>
        <w:tc>
          <w:tcPr>
            <w:tcW w:w="2479" w:type="dxa"/>
          </w:tcPr>
          <w:p>
            <w:pPr>
              <w:ind w:firstLine="0" w:firstLineChars="0"/>
              <w:jc w:val="center"/>
              <w:rPr>
                <w:rFonts w:ascii="仿宋" w:hAnsi="仿宋" w:eastAsia="仿宋" w:cs="仿宋"/>
                <w:sz w:val="24"/>
                <w:szCs w:val="24"/>
                <w:lang w:val="en-GB"/>
              </w:rPr>
            </w:pPr>
          </w:p>
        </w:tc>
        <w:tc>
          <w:tcPr>
            <w:tcW w:w="2250" w:type="dxa"/>
          </w:tcPr>
          <w:p>
            <w:pPr>
              <w:ind w:firstLine="0" w:firstLineChars="0"/>
              <w:jc w:val="center"/>
              <w:rPr>
                <w:rFonts w:ascii="仿宋" w:hAnsi="仿宋" w:eastAsia="仿宋" w:cs="仿宋"/>
                <w:sz w:val="24"/>
                <w:szCs w:val="24"/>
                <w:lang w:val="en-GB"/>
              </w:rPr>
            </w:pPr>
          </w:p>
        </w:tc>
        <w:tc>
          <w:tcPr>
            <w:tcW w:w="2025" w:type="dxa"/>
          </w:tcPr>
          <w:p>
            <w:pPr>
              <w:ind w:firstLine="0" w:firstLineChars="0"/>
              <w:jc w:val="center"/>
              <w:rPr>
                <w:rFonts w:ascii="仿宋" w:hAnsi="仿宋" w:eastAsia="仿宋" w:cs="仿宋"/>
                <w:sz w:val="24"/>
                <w:szCs w:val="24"/>
                <w:lang w:val="en-GB"/>
              </w:rPr>
            </w:pPr>
          </w:p>
        </w:tc>
        <w:tc>
          <w:tcPr>
            <w:tcW w:w="705" w:type="dxa"/>
          </w:tcPr>
          <w:p>
            <w:pPr>
              <w:ind w:firstLine="0" w:firstLineChars="0"/>
              <w:jc w:val="center"/>
              <w:rPr>
                <w:rFonts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3</w:t>
            </w:r>
          </w:p>
        </w:tc>
        <w:tc>
          <w:tcPr>
            <w:tcW w:w="2479" w:type="dxa"/>
          </w:tcPr>
          <w:p>
            <w:pPr>
              <w:ind w:firstLine="0" w:firstLineChars="0"/>
              <w:jc w:val="center"/>
              <w:rPr>
                <w:rFonts w:ascii="仿宋" w:hAnsi="仿宋" w:eastAsia="仿宋" w:cs="仿宋"/>
                <w:sz w:val="24"/>
                <w:szCs w:val="24"/>
                <w:lang w:val="en-GB"/>
              </w:rPr>
            </w:pPr>
          </w:p>
        </w:tc>
        <w:tc>
          <w:tcPr>
            <w:tcW w:w="2250" w:type="dxa"/>
          </w:tcPr>
          <w:p>
            <w:pPr>
              <w:ind w:firstLine="0" w:firstLineChars="0"/>
              <w:jc w:val="center"/>
              <w:rPr>
                <w:rFonts w:ascii="仿宋" w:hAnsi="仿宋" w:eastAsia="仿宋" w:cs="仿宋"/>
                <w:sz w:val="24"/>
                <w:szCs w:val="24"/>
                <w:lang w:val="en-GB"/>
              </w:rPr>
            </w:pPr>
          </w:p>
        </w:tc>
        <w:tc>
          <w:tcPr>
            <w:tcW w:w="2025" w:type="dxa"/>
          </w:tcPr>
          <w:p>
            <w:pPr>
              <w:ind w:firstLine="0" w:firstLineChars="0"/>
              <w:jc w:val="center"/>
              <w:rPr>
                <w:rFonts w:ascii="仿宋" w:hAnsi="仿宋" w:eastAsia="仿宋" w:cs="仿宋"/>
                <w:sz w:val="24"/>
                <w:szCs w:val="24"/>
                <w:lang w:val="en-GB"/>
              </w:rPr>
            </w:pPr>
          </w:p>
        </w:tc>
        <w:tc>
          <w:tcPr>
            <w:tcW w:w="705" w:type="dxa"/>
          </w:tcPr>
          <w:p>
            <w:pPr>
              <w:ind w:firstLine="0" w:firstLineChars="0"/>
              <w:jc w:val="center"/>
              <w:rPr>
                <w:rFonts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4</w:t>
            </w:r>
          </w:p>
        </w:tc>
        <w:tc>
          <w:tcPr>
            <w:tcW w:w="2479" w:type="dxa"/>
          </w:tcPr>
          <w:p>
            <w:pPr>
              <w:ind w:firstLine="0" w:firstLineChars="0"/>
              <w:jc w:val="center"/>
              <w:rPr>
                <w:rFonts w:ascii="仿宋" w:hAnsi="仿宋" w:eastAsia="仿宋" w:cs="仿宋"/>
                <w:sz w:val="24"/>
                <w:szCs w:val="24"/>
                <w:lang w:val="en-GB"/>
              </w:rPr>
            </w:pPr>
          </w:p>
        </w:tc>
        <w:tc>
          <w:tcPr>
            <w:tcW w:w="2250" w:type="dxa"/>
          </w:tcPr>
          <w:p>
            <w:pPr>
              <w:ind w:firstLine="0" w:firstLineChars="0"/>
              <w:jc w:val="center"/>
              <w:rPr>
                <w:rFonts w:ascii="仿宋" w:hAnsi="仿宋" w:eastAsia="仿宋" w:cs="仿宋"/>
                <w:sz w:val="24"/>
                <w:szCs w:val="24"/>
                <w:lang w:val="en-GB"/>
              </w:rPr>
            </w:pPr>
          </w:p>
        </w:tc>
        <w:tc>
          <w:tcPr>
            <w:tcW w:w="2025" w:type="dxa"/>
          </w:tcPr>
          <w:p>
            <w:pPr>
              <w:ind w:firstLine="0" w:firstLineChars="0"/>
              <w:jc w:val="center"/>
              <w:rPr>
                <w:rFonts w:ascii="仿宋" w:hAnsi="仿宋" w:eastAsia="仿宋" w:cs="仿宋"/>
                <w:sz w:val="24"/>
                <w:szCs w:val="24"/>
                <w:lang w:val="en-GB"/>
              </w:rPr>
            </w:pPr>
          </w:p>
        </w:tc>
        <w:tc>
          <w:tcPr>
            <w:tcW w:w="705" w:type="dxa"/>
          </w:tcPr>
          <w:p>
            <w:pPr>
              <w:ind w:firstLine="0" w:firstLineChars="0"/>
              <w:jc w:val="center"/>
              <w:rPr>
                <w:rFonts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5</w:t>
            </w:r>
          </w:p>
        </w:tc>
        <w:tc>
          <w:tcPr>
            <w:tcW w:w="2479" w:type="dxa"/>
          </w:tcPr>
          <w:p>
            <w:pPr>
              <w:ind w:firstLine="0" w:firstLineChars="0"/>
              <w:jc w:val="center"/>
              <w:rPr>
                <w:rFonts w:ascii="仿宋" w:hAnsi="仿宋" w:eastAsia="仿宋" w:cs="仿宋"/>
                <w:sz w:val="24"/>
                <w:szCs w:val="24"/>
                <w:lang w:val="en-GB"/>
              </w:rPr>
            </w:pPr>
          </w:p>
        </w:tc>
        <w:tc>
          <w:tcPr>
            <w:tcW w:w="2250" w:type="dxa"/>
          </w:tcPr>
          <w:p>
            <w:pPr>
              <w:ind w:firstLine="0" w:firstLineChars="0"/>
              <w:jc w:val="center"/>
              <w:rPr>
                <w:rFonts w:ascii="仿宋" w:hAnsi="仿宋" w:eastAsia="仿宋" w:cs="仿宋"/>
                <w:sz w:val="24"/>
                <w:szCs w:val="24"/>
                <w:lang w:val="en-GB"/>
              </w:rPr>
            </w:pPr>
          </w:p>
        </w:tc>
        <w:tc>
          <w:tcPr>
            <w:tcW w:w="2025" w:type="dxa"/>
          </w:tcPr>
          <w:p>
            <w:pPr>
              <w:ind w:firstLine="0" w:firstLineChars="0"/>
              <w:jc w:val="center"/>
              <w:rPr>
                <w:rFonts w:ascii="仿宋" w:hAnsi="仿宋" w:eastAsia="仿宋" w:cs="仿宋"/>
                <w:sz w:val="24"/>
                <w:szCs w:val="24"/>
                <w:lang w:val="en-GB"/>
              </w:rPr>
            </w:pPr>
          </w:p>
        </w:tc>
        <w:tc>
          <w:tcPr>
            <w:tcW w:w="705" w:type="dxa"/>
          </w:tcPr>
          <w:p>
            <w:pPr>
              <w:ind w:firstLine="0" w:firstLineChars="0"/>
              <w:jc w:val="center"/>
              <w:rPr>
                <w:rFonts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6</w:t>
            </w:r>
          </w:p>
        </w:tc>
        <w:tc>
          <w:tcPr>
            <w:tcW w:w="2479" w:type="dxa"/>
          </w:tcPr>
          <w:p>
            <w:pPr>
              <w:ind w:firstLine="0" w:firstLineChars="0"/>
              <w:jc w:val="center"/>
              <w:rPr>
                <w:rFonts w:ascii="仿宋" w:hAnsi="仿宋" w:eastAsia="仿宋" w:cs="仿宋"/>
                <w:sz w:val="24"/>
                <w:szCs w:val="24"/>
                <w:lang w:val="en-GB"/>
              </w:rPr>
            </w:pPr>
          </w:p>
        </w:tc>
        <w:tc>
          <w:tcPr>
            <w:tcW w:w="2250" w:type="dxa"/>
          </w:tcPr>
          <w:p>
            <w:pPr>
              <w:ind w:firstLine="0" w:firstLineChars="0"/>
              <w:jc w:val="center"/>
              <w:rPr>
                <w:rFonts w:ascii="仿宋" w:hAnsi="仿宋" w:eastAsia="仿宋" w:cs="仿宋"/>
                <w:sz w:val="24"/>
                <w:szCs w:val="24"/>
                <w:lang w:val="en-GB"/>
              </w:rPr>
            </w:pPr>
          </w:p>
        </w:tc>
        <w:tc>
          <w:tcPr>
            <w:tcW w:w="2025" w:type="dxa"/>
          </w:tcPr>
          <w:p>
            <w:pPr>
              <w:ind w:firstLine="0" w:firstLineChars="0"/>
              <w:jc w:val="center"/>
              <w:rPr>
                <w:rFonts w:ascii="仿宋" w:hAnsi="仿宋" w:eastAsia="仿宋" w:cs="仿宋"/>
                <w:sz w:val="24"/>
                <w:szCs w:val="24"/>
                <w:lang w:val="en-GB"/>
              </w:rPr>
            </w:pPr>
          </w:p>
        </w:tc>
        <w:tc>
          <w:tcPr>
            <w:tcW w:w="705" w:type="dxa"/>
          </w:tcPr>
          <w:p>
            <w:pPr>
              <w:ind w:firstLine="0" w:firstLineChars="0"/>
              <w:jc w:val="center"/>
              <w:rPr>
                <w:rFonts w:ascii="仿宋" w:hAnsi="仿宋" w:eastAsia="仿宋" w:cs="仿宋"/>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w:t>
            </w:r>
          </w:p>
        </w:tc>
        <w:tc>
          <w:tcPr>
            <w:tcW w:w="2479" w:type="dxa"/>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w:t>
            </w:r>
          </w:p>
        </w:tc>
        <w:tc>
          <w:tcPr>
            <w:tcW w:w="2250" w:type="dxa"/>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w:t>
            </w:r>
          </w:p>
        </w:tc>
        <w:tc>
          <w:tcPr>
            <w:tcW w:w="2025" w:type="dxa"/>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w:t>
            </w:r>
          </w:p>
        </w:tc>
        <w:tc>
          <w:tcPr>
            <w:tcW w:w="705" w:type="dxa"/>
          </w:tcPr>
          <w:p>
            <w:pPr>
              <w:ind w:firstLine="0" w:firstLineChars="0"/>
              <w:jc w:val="center"/>
              <w:rPr>
                <w:rFonts w:ascii="仿宋" w:hAnsi="仿宋" w:eastAsia="仿宋" w:cs="仿宋"/>
                <w:sz w:val="24"/>
                <w:szCs w:val="24"/>
                <w:lang w:val="en-GB"/>
              </w:rPr>
            </w:pPr>
            <w:r>
              <w:rPr>
                <w:rFonts w:hint="eastAsia" w:ascii="仿宋" w:hAnsi="仿宋" w:eastAsia="仿宋" w:cs="仿宋"/>
                <w:sz w:val="24"/>
                <w:szCs w:val="24"/>
                <w:lang w:val="en-GB"/>
              </w:rPr>
              <w:t>...</w:t>
            </w:r>
          </w:p>
        </w:tc>
      </w:tr>
    </w:tbl>
    <w:p>
      <w:pPr>
        <w:ind w:firstLine="480"/>
        <w:rPr>
          <w:rFonts w:ascii="仿宋" w:hAnsi="仿宋" w:eastAsia="仿宋" w:cs="仿宋"/>
          <w:sz w:val="24"/>
          <w:szCs w:val="24"/>
          <w:lang w:val="en-GB"/>
        </w:rPr>
      </w:pPr>
    </w:p>
    <w:p>
      <w:pPr>
        <w:ind w:firstLine="480"/>
        <w:rPr>
          <w:rFonts w:ascii="仿宋" w:hAnsi="仿宋" w:eastAsia="仿宋" w:cs="仿宋"/>
          <w:sz w:val="24"/>
          <w:szCs w:val="24"/>
          <w:lang w:val="en-GB"/>
        </w:rPr>
      </w:pPr>
      <w:r>
        <w:rPr>
          <w:rFonts w:hint="eastAsia" w:ascii="仿宋" w:hAnsi="仿宋" w:eastAsia="仿宋" w:cs="仿宋"/>
          <w:sz w:val="24"/>
          <w:szCs w:val="24"/>
          <w:lang w:val="en-GB"/>
        </w:rPr>
        <w:t>对采购需求书中“</w:t>
      </w:r>
      <w:r>
        <w:rPr>
          <w:rFonts w:hint="eastAsia" w:ascii="仿宋" w:hAnsi="仿宋" w:eastAsia="仿宋" w:cs="仿宋"/>
          <w:sz w:val="24"/>
          <w:szCs w:val="24"/>
        </w:rPr>
        <w:t>2.1、6、7</w:t>
      </w:r>
      <w:r>
        <w:rPr>
          <w:rFonts w:hint="eastAsia" w:ascii="仿宋" w:hAnsi="仿宋" w:eastAsia="仿宋" w:cs="仿宋"/>
          <w:sz w:val="24"/>
          <w:szCs w:val="24"/>
          <w:lang w:val="en-GB"/>
        </w:rPr>
        <w:t>”部分进行逐条响应</w:t>
      </w:r>
    </w:p>
    <w:p>
      <w:pPr>
        <w:ind w:firstLine="480"/>
        <w:rPr>
          <w:rFonts w:ascii="仿宋" w:hAnsi="仿宋" w:eastAsia="仿宋" w:cs="仿宋"/>
          <w:sz w:val="24"/>
          <w:szCs w:val="24"/>
          <w:lang w:val="en-GB"/>
        </w:rPr>
      </w:pPr>
      <w:r>
        <w:rPr>
          <w:rFonts w:hint="eastAsia" w:ascii="仿宋" w:hAnsi="仿宋" w:eastAsia="仿宋" w:cs="仿宋"/>
          <w:sz w:val="24"/>
          <w:szCs w:val="24"/>
          <w:lang w:val="en-GB"/>
        </w:rPr>
        <w:t>注：是否偏离用符号“+、=、-”分别表示正偏离、完全响应、负偏离，必须逐次对应响应。</w:t>
      </w:r>
    </w:p>
    <w:p>
      <w:pPr>
        <w:ind w:firstLine="480"/>
        <w:rPr>
          <w:rFonts w:ascii="仿宋" w:hAnsi="仿宋" w:eastAsia="仿宋" w:cs="仿宋"/>
          <w:sz w:val="24"/>
          <w:szCs w:val="24"/>
          <w:lang w:val="en-GB"/>
        </w:rPr>
      </w:pPr>
      <w:r>
        <w:rPr>
          <w:rFonts w:hint="eastAsia" w:ascii="仿宋" w:hAnsi="仿宋" w:eastAsia="仿宋" w:cs="仿宋"/>
          <w:sz w:val="24"/>
          <w:szCs w:val="24"/>
          <w:lang w:val="en-GB"/>
        </w:rPr>
        <w:t>供应商名称：     （公章）</w:t>
      </w:r>
    </w:p>
    <w:p>
      <w:pPr>
        <w:ind w:firstLine="480"/>
        <w:rPr>
          <w:rFonts w:ascii="仿宋" w:hAnsi="仿宋" w:eastAsia="仿宋" w:cs="仿宋"/>
          <w:sz w:val="24"/>
          <w:szCs w:val="24"/>
          <w:lang w:val="en-GB"/>
        </w:rPr>
      </w:pPr>
    </w:p>
    <w:p>
      <w:pPr>
        <w:ind w:firstLine="480"/>
        <w:rPr>
          <w:rFonts w:ascii="仿宋" w:hAnsi="仿宋" w:eastAsia="仿宋" w:cs="仿宋"/>
          <w:sz w:val="24"/>
          <w:szCs w:val="24"/>
          <w:lang w:val="en-GB"/>
        </w:rPr>
      </w:pPr>
      <w:r>
        <w:rPr>
          <w:rFonts w:hint="eastAsia" w:ascii="仿宋" w:hAnsi="仿宋" w:eastAsia="仿宋" w:cs="仿宋"/>
          <w:sz w:val="24"/>
          <w:szCs w:val="24"/>
          <w:lang w:val="en-GB"/>
        </w:rPr>
        <w:t>法定代表人或被授权人：         （亲笔签名）</w:t>
      </w:r>
    </w:p>
    <w:p>
      <w:pPr>
        <w:ind w:firstLine="480"/>
        <w:rPr>
          <w:rFonts w:ascii="仿宋" w:hAnsi="仿宋" w:eastAsia="仿宋" w:cs="仿宋"/>
          <w:sz w:val="24"/>
          <w:szCs w:val="24"/>
          <w:lang w:val="en-GB"/>
        </w:rPr>
      </w:pPr>
    </w:p>
    <w:p>
      <w:pPr>
        <w:ind w:firstLine="480"/>
        <w:rPr>
          <w:rFonts w:ascii="宋体" w:hAnsi="宋体" w:cs="宋体"/>
          <w:bCs/>
          <w:sz w:val="24"/>
          <w:lang w:val="en-GB"/>
        </w:rPr>
      </w:pPr>
      <w:r>
        <w:rPr>
          <w:rFonts w:hint="eastAsia" w:ascii="仿宋" w:hAnsi="仿宋" w:eastAsia="仿宋" w:cs="仿宋"/>
          <w:sz w:val="24"/>
          <w:szCs w:val="24"/>
          <w:lang w:val="en-GB"/>
        </w:rPr>
        <w:t>日期：</w:t>
      </w:r>
    </w:p>
    <w:p>
      <w:pPr>
        <w:pStyle w:val="38"/>
        <w:ind w:firstLine="420"/>
        <w:rPr>
          <w:rFonts w:ascii="仿宋" w:hAnsi="仿宋" w:cs="仿宋"/>
          <w:sz w:val="24"/>
          <w:szCs w:val="24"/>
        </w:rPr>
      </w:pPr>
    </w:p>
    <w:p>
      <w:pPr>
        <w:pStyle w:val="38"/>
        <w:ind w:firstLine="420"/>
        <w:rPr>
          <w:rFonts w:ascii="仿宋" w:hAnsi="仿宋" w:cs="仿宋"/>
          <w:sz w:val="24"/>
          <w:szCs w:val="24"/>
        </w:rPr>
      </w:pPr>
      <w:r>
        <w:rPr>
          <w:rFonts w:hint="eastAsia" w:ascii="仿宋" w:hAnsi="仿宋" w:cs="仿宋"/>
          <w:sz w:val="24"/>
          <w:szCs w:val="24"/>
        </w:rPr>
        <w:br w:type="page"/>
      </w:r>
    </w:p>
    <w:p>
      <w:pPr>
        <w:pStyle w:val="4"/>
        <w:spacing w:before="156"/>
        <w:ind w:left="0" w:firstLine="1968" w:firstLineChars="700"/>
      </w:pPr>
      <w:bookmarkStart w:id="241" w:name="_Toc4325"/>
      <w:r>
        <w:rPr>
          <w:rFonts w:hint="eastAsia"/>
        </w:rPr>
        <w:t>附件13：获取未中标通知书的授权</w:t>
      </w:r>
      <w:bookmarkEnd w:id="241"/>
    </w:p>
    <w:p>
      <w:pPr>
        <w:ind w:firstLine="512"/>
        <w:rPr>
          <w:rFonts w:ascii="仿宋" w:hAnsi="仿宋" w:eastAsia="仿宋" w:cs="仿宋"/>
          <w:spacing w:val="8"/>
          <w:sz w:val="24"/>
          <w:szCs w:val="24"/>
          <w:shd w:val="clear" w:color="auto" w:fill="FFFFFF"/>
        </w:rPr>
      </w:pPr>
      <w:r>
        <w:rPr>
          <w:rFonts w:hint="eastAsia" w:ascii="仿宋" w:hAnsi="仿宋" w:eastAsia="仿宋" w:cs="仿宋"/>
          <w:spacing w:val="8"/>
          <w:sz w:val="24"/>
          <w:szCs w:val="24"/>
          <w:shd w:val="clear" w:color="auto" w:fill="FFFFFF"/>
        </w:rPr>
        <w:t>本授权声明</w:t>
      </w:r>
      <w:r>
        <w:rPr>
          <w:rFonts w:hint="eastAsia" w:ascii="仿宋" w:hAnsi="仿宋" w:eastAsia="仿宋" w:cs="仿宋"/>
          <w:spacing w:val="8"/>
          <w:sz w:val="24"/>
          <w:szCs w:val="24"/>
          <w:u w:val="single"/>
          <w:shd w:val="clear" w:color="auto" w:fill="FFFFFF"/>
        </w:rPr>
        <w:t xml:space="preserve">：                     </w:t>
      </w:r>
      <w:r>
        <w:rPr>
          <w:rFonts w:hint="eastAsia" w:ascii="仿宋" w:hAnsi="仿宋" w:eastAsia="仿宋" w:cs="仿宋"/>
          <w:spacing w:val="8"/>
          <w:sz w:val="24"/>
          <w:szCs w:val="24"/>
          <w:shd w:val="clear" w:color="auto" w:fill="FFFFFF"/>
        </w:rPr>
        <w:t>（供应商名称）（法定代表人姓名、职务）授权（被授权人姓名、职务）为我方 “（项目名称）”（项目编号：）的获取告知《未中标通知书》信息的特定人员代表。同时指定获取告知《未中标通知书》信息邮箱地址为，邮箱地址为有效的法律文书送达邮箱地址.</w:t>
      </w:r>
    </w:p>
    <w:p>
      <w:pPr>
        <w:pStyle w:val="72"/>
        <w:shd w:val="clear" w:color="auto" w:fill="FFFFFF"/>
        <w:spacing w:before="0" w:beforeAutospacing="0" w:after="0" w:afterAutospacing="0" w:line="360" w:lineRule="auto"/>
        <w:ind w:firstLine="512" w:firstLineChars="200"/>
        <w:jc w:val="both"/>
        <w:rPr>
          <w:rFonts w:ascii="仿宋" w:hAnsi="仿宋" w:eastAsia="仿宋" w:cs="仿宋"/>
          <w:spacing w:val="8"/>
        </w:rPr>
      </w:pPr>
      <w:r>
        <w:rPr>
          <w:rFonts w:hint="eastAsia" w:ascii="仿宋" w:hAnsi="仿宋" w:eastAsia="仿宋" w:cs="仿宋"/>
          <w:spacing w:val="8"/>
          <w:shd w:val="clear" w:color="auto" w:fill="FFFFFF"/>
        </w:rPr>
        <w:t>声明投标人未按招标文件约定的时间和方式获取告知信息的，视为自动放弃并自行承担后果。</w:t>
      </w:r>
    </w:p>
    <w:p>
      <w:pPr>
        <w:spacing w:line="588" w:lineRule="exact"/>
        <w:ind w:firstLine="504"/>
        <w:rPr>
          <w:rFonts w:ascii="仿宋" w:hAnsi="仿宋" w:eastAsia="仿宋" w:cs="仿宋"/>
          <w:spacing w:val="6"/>
          <w:sz w:val="24"/>
          <w:szCs w:val="24"/>
        </w:rPr>
      </w:pPr>
    </w:p>
    <w:p>
      <w:pPr>
        <w:spacing w:line="588" w:lineRule="exact"/>
        <w:ind w:firstLine="504"/>
        <w:rPr>
          <w:rFonts w:ascii="仿宋" w:hAnsi="仿宋" w:eastAsia="仿宋" w:cs="仿宋"/>
          <w:spacing w:val="6"/>
          <w:sz w:val="24"/>
          <w:szCs w:val="24"/>
        </w:rPr>
      </w:pPr>
    </w:p>
    <w:p>
      <w:pPr>
        <w:tabs>
          <w:tab w:val="left" w:pos="4860"/>
        </w:tabs>
        <w:spacing w:line="588" w:lineRule="exact"/>
        <w:ind w:right="1560" w:firstLine="4806" w:firstLineChars="1900"/>
        <w:rPr>
          <w:rFonts w:ascii="仿宋" w:hAnsi="仿宋" w:eastAsia="仿宋" w:cs="仿宋"/>
          <w:b/>
          <w:bCs/>
          <w:spacing w:val="6"/>
          <w:sz w:val="24"/>
          <w:szCs w:val="24"/>
        </w:rPr>
      </w:pPr>
      <w:r>
        <w:rPr>
          <w:rFonts w:hint="eastAsia" w:ascii="仿宋" w:hAnsi="仿宋" w:eastAsia="仿宋" w:cs="仿宋"/>
          <w:b/>
          <w:bCs/>
          <w:spacing w:val="6"/>
          <w:sz w:val="24"/>
          <w:szCs w:val="24"/>
        </w:rPr>
        <w:t>单位名称（盖章）：</w:t>
      </w:r>
    </w:p>
    <w:p>
      <w:pPr>
        <w:ind w:firstLine="506"/>
        <w:rPr>
          <w:rFonts w:ascii="仿宋" w:hAnsi="仿宋" w:eastAsia="仿宋" w:cs="仿宋"/>
          <w:b/>
          <w:bCs/>
          <w:spacing w:val="6"/>
          <w:sz w:val="24"/>
          <w:szCs w:val="24"/>
        </w:rPr>
      </w:pPr>
    </w:p>
    <w:p>
      <w:pPr>
        <w:ind w:firstLine="5818" w:firstLineChars="2300"/>
        <w:rPr>
          <w:rFonts w:ascii="仿宋" w:hAnsi="仿宋" w:eastAsia="仿宋" w:cs="仿宋"/>
          <w:b/>
          <w:bCs/>
          <w:spacing w:val="6"/>
          <w:sz w:val="24"/>
          <w:szCs w:val="24"/>
        </w:rPr>
      </w:pPr>
      <w:r>
        <w:rPr>
          <w:rFonts w:hint="eastAsia" w:ascii="仿宋" w:hAnsi="仿宋" w:eastAsia="仿宋" w:cs="仿宋"/>
          <w:b/>
          <w:bCs/>
          <w:spacing w:val="6"/>
          <w:sz w:val="24"/>
          <w:szCs w:val="24"/>
        </w:rPr>
        <w:t>日  期：</w:t>
      </w:r>
    </w:p>
    <w:p>
      <w:pPr>
        <w:ind w:firstLine="506"/>
        <w:rPr>
          <w:rFonts w:ascii="仿宋" w:hAnsi="仿宋" w:eastAsia="仿宋" w:cs="仿宋"/>
          <w:b/>
          <w:bCs/>
          <w:spacing w:val="6"/>
          <w:sz w:val="24"/>
          <w:szCs w:val="24"/>
        </w:rPr>
      </w:pPr>
      <w:r>
        <w:rPr>
          <w:rFonts w:hint="eastAsia" w:ascii="仿宋" w:hAnsi="仿宋" w:eastAsia="仿宋" w:cs="仿宋"/>
          <w:b/>
          <w:bCs/>
          <w:spacing w:val="6"/>
          <w:sz w:val="24"/>
          <w:szCs w:val="24"/>
        </w:rPr>
        <w:br w:type="page"/>
      </w:r>
    </w:p>
    <w:p>
      <w:pPr>
        <w:pStyle w:val="4"/>
        <w:spacing w:before="156"/>
        <w:ind w:left="0" w:firstLine="1968" w:firstLineChars="700"/>
      </w:pPr>
      <w:bookmarkStart w:id="242" w:name="_Toc31113"/>
      <w:r>
        <w:rPr>
          <w:rFonts w:hint="eastAsia"/>
        </w:rPr>
        <w:t>附件14：投标人认为需要提供的其他材料</w:t>
      </w:r>
      <w:bookmarkEnd w:id="242"/>
    </w:p>
    <w:p>
      <w:pPr>
        <w:ind w:firstLine="560"/>
        <w:jc w:val="center"/>
      </w:pPr>
      <w:r>
        <w:rPr>
          <w:rFonts w:hint="eastAsia"/>
        </w:rPr>
        <w:t>（格式自拟）</w:t>
      </w:r>
    </w:p>
    <w:p>
      <w:pPr>
        <w:pStyle w:val="67"/>
      </w:pPr>
    </w:p>
    <w:p>
      <w:pPr>
        <w:ind w:firstLine="560"/>
        <w:jc w:val="center"/>
      </w:pPr>
    </w:p>
    <w:p>
      <w:pPr>
        <w:pStyle w:val="38"/>
        <w:ind w:firstLine="420"/>
        <w:jc w:val="center"/>
        <w:rPr>
          <w:rFonts w:ascii="仿宋" w:hAnsi="仿宋" w:cs="仿宋"/>
          <w:b/>
          <w:kern w:val="2"/>
          <w:sz w:val="28"/>
          <w:szCs w:val="28"/>
        </w:rPr>
      </w:pPr>
      <w:r>
        <w:rPr>
          <w:rFonts w:hint="eastAsia" w:ascii="仿宋" w:hAnsi="仿宋" w:cs="仿宋"/>
          <w:b/>
          <w:kern w:val="2"/>
          <w:sz w:val="28"/>
          <w:szCs w:val="28"/>
        </w:rPr>
        <w:br w:type="page"/>
      </w:r>
    </w:p>
    <w:p>
      <w:pPr>
        <w:pStyle w:val="4"/>
        <w:spacing w:before="156"/>
        <w:ind w:left="0" w:firstLine="2530" w:firstLineChars="900"/>
      </w:pPr>
      <w:bookmarkStart w:id="243" w:name="_Toc9471"/>
      <w:r>
        <w:rPr>
          <w:rFonts w:hint="eastAsia"/>
        </w:rPr>
        <w:t>附件15：服务方案</w:t>
      </w:r>
      <w:bookmarkEnd w:id="243"/>
    </w:p>
    <w:p>
      <w:pPr>
        <w:ind w:firstLine="2800" w:firstLineChars="1000"/>
      </w:pPr>
      <w:r>
        <w:rPr>
          <w:rFonts w:hint="eastAsia"/>
        </w:rPr>
        <w:t>（格式自拟）</w:t>
      </w:r>
    </w:p>
    <w:p>
      <w:pPr>
        <w:ind w:firstLine="0" w:firstLineChars="0"/>
        <w:jc w:val="left"/>
        <w:rPr>
          <w:rFonts w:ascii="仿宋" w:hAnsi="仿宋" w:eastAsia="仿宋" w:cs="仿宋"/>
          <w:sz w:val="24"/>
          <w:szCs w:val="24"/>
        </w:rPr>
      </w:pPr>
      <w:r>
        <w:rPr>
          <w:rFonts w:hint="eastAsia" w:ascii="仿宋" w:hAnsi="仿宋" w:eastAsia="仿宋" w:cs="仿宋"/>
          <w:sz w:val="24"/>
          <w:szCs w:val="24"/>
        </w:rPr>
        <w:t>服务方案必须包括但不限于以下内容：</w:t>
      </w:r>
    </w:p>
    <w:p>
      <w:pPr>
        <w:numPr>
          <w:ilvl w:val="0"/>
          <w:numId w:val="37"/>
        </w:numPr>
        <w:ind w:firstLineChars="0"/>
        <w:jc w:val="left"/>
        <w:rPr>
          <w:rFonts w:ascii="仿宋" w:hAnsi="仿宋" w:eastAsia="仿宋" w:cs="仿宋"/>
          <w:sz w:val="24"/>
          <w:szCs w:val="24"/>
        </w:rPr>
      </w:pPr>
      <w:r>
        <w:rPr>
          <w:rFonts w:hint="eastAsia" w:ascii="仿宋" w:hAnsi="仿宋" w:eastAsia="仿宋" w:cs="仿宋"/>
          <w:sz w:val="24"/>
          <w:szCs w:val="24"/>
        </w:rPr>
        <w:t>供货方案</w:t>
      </w:r>
    </w:p>
    <w:p>
      <w:pPr>
        <w:numPr>
          <w:ilvl w:val="0"/>
          <w:numId w:val="37"/>
        </w:numPr>
        <w:ind w:firstLineChars="0"/>
        <w:jc w:val="left"/>
        <w:rPr>
          <w:sz w:val="24"/>
          <w:szCs w:val="24"/>
        </w:rPr>
      </w:pPr>
      <w:r>
        <w:rPr>
          <w:rFonts w:hint="eastAsia" w:ascii="仿宋" w:hAnsi="仿宋" w:eastAsia="仿宋" w:cs="仿宋"/>
          <w:sz w:val="24"/>
          <w:szCs w:val="24"/>
        </w:rPr>
        <w:t>售后服务</w:t>
      </w:r>
    </w:p>
    <w:p>
      <w:pPr>
        <w:pStyle w:val="38"/>
        <w:rPr>
          <w:rFonts w:ascii="仿宋" w:hAnsi="仿宋" w:cs="仿宋"/>
          <w:b/>
          <w:kern w:val="2"/>
          <w:sz w:val="24"/>
          <w:szCs w:val="24"/>
        </w:rPr>
      </w:pPr>
      <w:r>
        <w:rPr>
          <w:rFonts w:hint="eastAsia" w:ascii="仿宋" w:hAnsi="仿宋" w:cs="仿宋"/>
          <w:b/>
          <w:kern w:val="2"/>
          <w:sz w:val="24"/>
          <w:szCs w:val="24"/>
        </w:rPr>
        <w:t>（可参考评标标准的要求）</w:t>
      </w:r>
    </w:p>
    <w:p>
      <w:pPr>
        <w:pStyle w:val="38"/>
        <w:rPr>
          <w:rFonts w:ascii="仿宋" w:hAnsi="仿宋" w:cs="仿宋"/>
          <w:b/>
          <w:kern w:val="2"/>
          <w:sz w:val="28"/>
          <w:szCs w:val="28"/>
        </w:rPr>
      </w:pPr>
      <w:r>
        <w:rPr>
          <w:rFonts w:hint="eastAsia" w:ascii="仿宋" w:hAnsi="仿宋" w:cs="仿宋"/>
          <w:b/>
          <w:kern w:val="2"/>
          <w:sz w:val="28"/>
          <w:szCs w:val="28"/>
        </w:rPr>
        <w:br w:type="page"/>
      </w:r>
    </w:p>
    <w:p>
      <w:pPr>
        <w:pStyle w:val="4"/>
        <w:tabs>
          <w:tab w:val="left" w:pos="720"/>
        </w:tabs>
        <w:spacing w:before="156"/>
        <w:ind w:left="0"/>
        <w:jc w:val="center"/>
        <w:rPr>
          <w:rFonts w:ascii="仿宋" w:hAnsi="仿宋" w:eastAsia="仿宋" w:cs="仿宋"/>
          <w:bCs w:val="0"/>
          <w:szCs w:val="28"/>
        </w:rPr>
      </w:pPr>
      <w:bookmarkStart w:id="244" w:name="_Toc32681"/>
      <w:r>
        <w:rPr>
          <w:rFonts w:hint="eastAsia" w:ascii="仿宋" w:hAnsi="仿宋" w:eastAsia="仿宋" w:cs="仿宋"/>
          <w:bCs w:val="0"/>
          <w:szCs w:val="28"/>
        </w:rPr>
        <w:t>附件16：最终报价一览表</w:t>
      </w:r>
      <w:bookmarkEnd w:id="244"/>
    </w:p>
    <w:p>
      <w:pPr>
        <w:ind w:firstLine="560"/>
        <w:jc w:val="center"/>
      </w:pPr>
      <w:r>
        <w:rPr>
          <w:rFonts w:hint="eastAsia"/>
        </w:rPr>
        <w:t>（不置于响应文件中，由磋商代表随身携带）</w:t>
      </w:r>
    </w:p>
    <w:p>
      <w:pPr>
        <w:ind w:firstLine="0" w:firstLineChars="0"/>
        <w:jc w:val="left"/>
        <w:rPr>
          <w:rFonts w:ascii="仿宋" w:hAnsi="仿宋" w:eastAsia="仿宋" w:cs="仿宋"/>
          <w:szCs w:val="21"/>
        </w:rPr>
      </w:pPr>
      <w:r>
        <w:rPr>
          <w:rFonts w:hint="eastAsia" w:ascii="仿宋" w:hAnsi="仿宋" w:eastAsia="仿宋" w:cs="仿宋"/>
          <w:szCs w:val="21"/>
        </w:rPr>
        <w:t xml:space="preserve">项目名称：                               项目编号：                        </w:t>
      </w:r>
    </w:p>
    <w:tbl>
      <w:tblPr>
        <w:tblStyle w:val="78"/>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1390"/>
        <w:gridCol w:w="5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3" w:hRule="atLeast"/>
          <w:jc w:val="center"/>
        </w:trPr>
        <w:tc>
          <w:tcPr>
            <w:tcW w:w="2348" w:type="dxa"/>
            <w:vMerge w:val="restart"/>
            <w:tcBorders>
              <w:top w:val="single" w:color="auto" w:sz="4" w:space="0"/>
              <w:left w:val="single" w:color="auto" w:sz="4" w:space="0"/>
              <w:bottom w:val="single" w:color="auto" w:sz="4" w:space="0"/>
              <w:right w:val="single" w:color="auto" w:sz="4" w:space="0"/>
            </w:tcBorders>
            <w:vAlign w:val="center"/>
          </w:tcPr>
          <w:p>
            <w:pPr>
              <w:pStyle w:val="478"/>
              <w:spacing w:line="460" w:lineRule="atLeast"/>
              <w:rPr>
                <w:rFonts w:hint="default" w:ascii="仿宋" w:hAnsi="仿宋" w:eastAsia="仿宋" w:cs="仿宋"/>
                <w:szCs w:val="21"/>
              </w:rPr>
            </w:pPr>
            <w:r>
              <w:rPr>
                <w:rFonts w:ascii="仿宋" w:hAnsi="仿宋" w:eastAsia="仿宋" w:cs="仿宋"/>
                <w:szCs w:val="21"/>
              </w:rPr>
              <w:t>投标总价</w:t>
            </w:r>
          </w:p>
          <w:p>
            <w:pPr>
              <w:pStyle w:val="478"/>
              <w:spacing w:line="460" w:lineRule="atLeast"/>
              <w:rPr>
                <w:rFonts w:hint="default" w:ascii="仿宋" w:hAnsi="仿宋" w:eastAsia="仿宋" w:cs="仿宋"/>
                <w:szCs w:val="21"/>
              </w:rPr>
            </w:pPr>
            <w:r>
              <w:rPr>
                <w:rFonts w:ascii="仿宋" w:hAnsi="仿宋" w:eastAsia="仿宋" w:cs="仿宋"/>
                <w:szCs w:val="21"/>
              </w:rPr>
              <w:t>（人民币/元）</w:t>
            </w:r>
          </w:p>
        </w:tc>
        <w:tc>
          <w:tcPr>
            <w:tcW w:w="1390"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rPr>
                <w:rFonts w:hint="default" w:ascii="仿宋" w:hAnsi="仿宋" w:eastAsia="仿宋" w:cs="仿宋"/>
                <w:szCs w:val="21"/>
              </w:rPr>
            </w:pPr>
            <w:r>
              <w:rPr>
                <w:rFonts w:ascii="仿宋" w:hAnsi="仿宋" w:eastAsia="仿宋" w:cs="仿宋"/>
                <w:szCs w:val="21"/>
              </w:rPr>
              <w:t>大写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jc w:val="center"/>
              <w:rPr>
                <w:rFonts w:hint="default"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3" w:hRule="atLeast"/>
          <w:jc w:val="center"/>
        </w:trPr>
        <w:tc>
          <w:tcPr>
            <w:tcW w:w="2348" w:type="dxa"/>
            <w:vMerge w:val="continue"/>
            <w:tcBorders>
              <w:top w:val="single" w:color="auto" w:sz="4" w:space="0"/>
              <w:left w:val="single" w:color="auto" w:sz="4" w:space="0"/>
              <w:bottom w:val="single" w:color="auto" w:sz="4" w:space="0"/>
              <w:right w:val="single" w:color="auto" w:sz="4" w:space="0"/>
            </w:tcBorders>
            <w:vAlign w:val="center"/>
          </w:tcPr>
          <w:p>
            <w:pPr>
              <w:pStyle w:val="478"/>
              <w:spacing w:line="460" w:lineRule="atLeast"/>
              <w:jc w:val="center"/>
              <w:rPr>
                <w:rFonts w:hint="default" w:ascii="仿宋" w:hAnsi="仿宋" w:eastAsia="仿宋" w:cs="仿宋"/>
                <w:szCs w:val="21"/>
              </w:rPr>
            </w:pPr>
          </w:p>
        </w:tc>
        <w:tc>
          <w:tcPr>
            <w:tcW w:w="1390"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rPr>
                <w:rFonts w:hint="default" w:ascii="仿宋" w:hAnsi="仿宋" w:eastAsia="仿宋" w:cs="仿宋"/>
                <w:szCs w:val="21"/>
              </w:rPr>
            </w:pPr>
            <w:r>
              <w:rPr>
                <w:rFonts w:ascii="仿宋" w:hAnsi="仿宋" w:eastAsia="仿宋" w:cs="仿宋"/>
                <w:szCs w:val="21"/>
              </w:rPr>
              <w:t>小写</w:t>
            </w:r>
          </w:p>
        </w:tc>
        <w:tc>
          <w:tcPr>
            <w:tcW w:w="5642"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jc w:val="center"/>
              <w:rPr>
                <w:rFonts w:hint="default"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rPr>
                <w:rFonts w:hint="default" w:ascii="仿宋" w:hAnsi="仿宋" w:eastAsia="仿宋" w:cs="仿宋"/>
                <w:szCs w:val="21"/>
              </w:rPr>
            </w:pPr>
            <w:r>
              <w:rPr>
                <w:rFonts w:ascii="仿宋" w:hAnsi="仿宋" w:eastAsia="仿宋" w:cs="仿宋"/>
                <w:szCs w:val="21"/>
              </w:rPr>
              <w:t>交货期限</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478"/>
              <w:spacing w:line="460" w:lineRule="atLeast"/>
              <w:ind w:firstLine="210" w:firstLineChars="100"/>
              <w:rPr>
                <w:rFonts w:hint="default"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rPr>
                <w:rFonts w:hint="default" w:ascii="仿宋" w:hAnsi="仿宋" w:eastAsia="仿宋" w:cs="仿宋"/>
                <w:szCs w:val="21"/>
              </w:rPr>
            </w:pPr>
            <w:r>
              <w:rPr>
                <w:rFonts w:ascii="仿宋" w:hAnsi="仿宋" w:eastAsia="仿宋" w:cs="仿宋"/>
                <w:szCs w:val="21"/>
              </w:rPr>
              <w:t>其他承诺</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pStyle w:val="478"/>
              <w:spacing w:line="460" w:lineRule="atLeast"/>
              <w:ind w:firstLine="210" w:firstLineChars="100"/>
              <w:rPr>
                <w:rFonts w:hint="default"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8" w:hRule="atLeast"/>
          <w:jc w:val="center"/>
        </w:trPr>
        <w:tc>
          <w:tcPr>
            <w:tcW w:w="2348" w:type="dxa"/>
            <w:tcBorders>
              <w:top w:val="single" w:color="auto" w:sz="4" w:space="0"/>
              <w:left w:val="single" w:color="auto" w:sz="4" w:space="0"/>
              <w:bottom w:val="single" w:color="auto" w:sz="4" w:space="0"/>
              <w:right w:val="single" w:color="auto" w:sz="4" w:space="0"/>
            </w:tcBorders>
            <w:vAlign w:val="center"/>
          </w:tcPr>
          <w:p>
            <w:pPr>
              <w:pStyle w:val="478"/>
              <w:spacing w:line="460" w:lineRule="atLeast"/>
              <w:rPr>
                <w:rFonts w:hint="default" w:ascii="仿宋" w:hAnsi="仿宋" w:eastAsia="仿宋" w:cs="仿宋"/>
                <w:szCs w:val="21"/>
              </w:rPr>
            </w:pPr>
            <w:r>
              <w:rPr>
                <w:rFonts w:ascii="仿宋" w:hAnsi="仿宋" w:eastAsia="仿宋" w:cs="仿宋"/>
                <w:szCs w:val="21"/>
              </w:rPr>
              <w:t>备注</w:t>
            </w:r>
          </w:p>
        </w:tc>
        <w:tc>
          <w:tcPr>
            <w:tcW w:w="7032" w:type="dxa"/>
            <w:gridSpan w:val="2"/>
            <w:tcBorders>
              <w:top w:val="single" w:color="auto" w:sz="4" w:space="0"/>
              <w:left w:val="single" w:color="auto" w:sz="4" w:space="0"/>
              <w:bottom w:val="single" w:color="auto" w:sz="4" w:space="0"/>
              <w:right w:val="single" w:color="auto" w:sz="4" w:space="0"/>
            </w:tcBorders>
            <w:vAlign w:val="center"/>
          </w:tcPr>
          <w:p>
            <w:pPr>
              <w:ind w:firstLine="420"/>
              <w:rPr>
                <w:rFonts w:ascii="仿宋" w:hAnsi="仿宋" w:eastAsia="仿宋" w:cs="仿宋"/>
                <w:sz w:val="21"/>
                <w:szCs w:val="21"/>
              </w:rPr>
            </w:pPr>
            <w:r>
              <w:rPr>
                <w:rFonts w:hint="eastAsia" w:ascii="仿宋" w:hAnsi="仿宋" w:eastAsia="仿宋" w:cs="仿宋"/>
                <w:sz w:val="21"/>
                <w:szCs w:val="21"/>
              </w:rPr>
              <w:t>注：</w:t>
            </w:r>
          </w:p>
          <w:p>
            <w:pPr>
              <w:spacing w:line="440" w:lineRule="exact"/>
              <w:ind w:firstLine="420"/>
              <w:rPr>
                <w:rFonts w:ascii="仿宋" w:hAnsi="仿宋" w:eastAsia="仿宋" w:cs="仿宋"/>
                <w:sz w:val="21"/>
                <w:szCs w:val="21"/>
              </w:rPr>
            </w:pPr>
            <w:r>
              <w:rPr>
                <w:rFonts w:hint="eastAsia" w:ascii="仿宋" w:hAnsi="仿宋" w:eastAsia="仿宋" w:cs="仿宋"/>
                <w:sz w:val="21"/>
                <w:szCs w:val="21"/>
              </w:rPr>
              <w:t>1.本报价应包括竞争性磋商文件所规定的招标范围的全部内容；</w:t>
            </w:r>
          </w:p>
          <w:p>
            <w:pPr>
              <w:spacing w:line="440" w:lineRule="exact"/>
              <w:ind w:firstLine="420"/>
              <w:rPr>
                <w:rFonts w:ascii="仿宋" w:hAnsi="仿宋" w:eastAsia="仿宋" w:cs="仿宋"/>
                <w:sz w:val="21"/>
                <w:szCs w:val="21"/>
              </w:rPr>
            </w:pPr>
            <w:r>
              <w:rPr>
                <w:rFonts w:hint="eastAsia" w:ascii="仿宋" w:hAnsi="仿宋" w:eastAsia="仿宋" w:cs="仿宋"/>
                <w:sz w:val="21"/>
                <w:szCs w:val="21"/>
              </w:rPr>
              <w:t>2.本报价精确到小数点后两位数。</w:t>
            </w:r>
          </w:p>
          <w:p>
            <w:pPr>
              <w:pStyle w:val="478"/>
              <w:spacing w:line="460" w:lineRule="atLeast"/>
              <w:ind w:firstLine="420" w:firstLineChars="200"/>
              <w:rPr>
                <w:rFonts w:hint="default" w:ascii="仿宋" w:hAnsi="仿宋" w:eastAsia="仿宋" w:cs="仿宋"/>
                <w:szCs w:val="21"/>
              </w:rPr>
            </w:pPr>
            <w:r>
              <w:rPr>
                <w:rFonts w:ascii="仿宋" w:hAnsi="仿宋" w:eastAsia="仿宋" w:cs="仿宋"/>
                <w:szCs w:val="21"/>
              </w:rPr>
              <w:t>3.此二次报价一览表须单独制作一份，不置于响应文件中，由磋商代表随身携带，用于现场磋商二次报价。</w:t>
            </w:r>
          </w:p>
        </w:tc>
      </w:tr>
    </w:tbl>
    <w:p>
      <w:pPr>
        <w:pStyle w:val="478"/>
        <w:spacing w:line="460" w:lineRule="atLeast"/>
        <w:rPr>
          <w:rFonts w:hint="default" w:ascii="仿宋" w:hAnsi="仿宋" w:eastAsia="仿宋" w:cs="仿宋"/>
          <w:szCs w:val="21"/>
        </w:rPr>
      </w:pPr>
    </w:p>
    <w:p>
      <w:pPr>
        <w:pStyle w:val="478"/>
        <w:rPr>
          <w:rFonts w:hint="default" w:ascii="仿宋" w:hAnsi="仿宋" w:eastAsia="仿宋" w:cs="仿宋"/>
          <w:szCs w:val="21"/>
        </w:rPr>
      </w:pPr>
      <w:r>
        <w:rPr>
          <w:rFonts w:ascii="仿宋" w:hAnsi="仿宋" w:eastAsia="仿宋" w:cs="仿宋"/>
          <w:szCs w:val="21"/>
        </w:rPr>
        <w:t xml:space="preserve">投标人全称： </w:t>
      </w:r>
    </w:p>
    <w:p>
      <w:pPr>
        <w:pStyle w:val="478"/>
        <w:rPr>
          <w:rFonts w:hint="default" w:ascii="仿宋" w:hAnsi="仿宋" w:eastAsia="仿宋" w:cs="仿宋"/>
          <w:szCs w:val="21"/>
        </w:rPr>
      </w:pPr>
      <w:r>
        <w:rPr>
          <w:rFonts w:ascii="仿宋" w:hAnsi="仿宋" w:eastAsia="仿宋" w:cs="仿宋"/>
          <w:szCs w:val="21"/>
        </w:rPr>
        <w:t xml:space="preserve">全权代表或法定代表人(签字):    </w:t>
      </w:r>
    </w:p>
    <w:p>
      <w:pPr>
        <w:ind w:firstLine="0" w:firstLineChars="0"/>
        <w:rPr>
          <w:rFonts w:ascii="仿宋" w:hAnsi="仿宋" w:eastAsia="仿宋" w:cs="仿宋"/>
          <w:sz w:val="21"/>
          <w:szCs w:val="21"/>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21"/>
          <w:szCs w:val="21"/>
        </w:rPr>
        <w:t>日    期：</w:t>
      </w:r>
    </w:p>
    <w:p>
      <w:pPr>
        <w:pStyle w:val="4"/>
        <w:tabs>
          <w:tab w:val="left" w:pos="720"/>
        </w:tabs>
        <w:spacing w:before="120"/>
        <w:ind w:left="0"/>
        <w:jc w:val="center"/>
        <w:rPr>
          <w:rFonts w:ascii="仿宋" w:hAnsi="仿宋" w:eastAsia="仿宋" w:cs="仿宋"/>
          <w:bCs w:val="0"/>
          <w:szCs w:val="28"/>
        </w:rPr>
      </w:pPr>
      <w:bookmarkStart w:id="245" w:name="_Toc28920"/>
      <w:r>
        <w:rPr>
          <w:rFonts w:hint="eastAsia" w:ascii="仿宋" w:hAnsi="仿宋" w:eastAsia="仿宋" w:cs="仿宋"/>
          <w:bCs w:val="0"/>
          <w:szCs w:val="28"/>
        </w:rPr>
        <w:t>附件17：退保申请书</w:t>
      </w:r>
      <w:bookmarkEnd w:id="245"/>
    </w:p>
    <w:p>
      <w:pPr>
        <w:ind w:firstLine="480"/>
        <w:jc w:val="center"/>
        <w:rPr>
          <w:sz w:val="24"/>
          <w:szCs w:val="21"/>
        </w:rPr>
      </w:pPr>
      <w:r>
        <w:rPr>
          <w:rFonts w:hint="eastAsia"/>
          <w:sz w:val="24"/>
          <w:szCs w:val="21"/>
        </w:rPr>
        <w:t>（不置于响应文件中，单独提供）</w:t>
      </w:r>
    </w:p>
    <w:p>
      <w:pPr>
        <w:ind w:firstLine="482"/>
        <w:rPr>
          <w:b/>
          <w:bCs/>
          <w:sz w:val="24"/>
          <w:szCs w:val="32"/>
        </w:rPr>
      </w:pPr>
      <w:r>
        <w:rPr>
          <w:rFonts w:hint="eastAsia"/>
          <w:b/>
          <w:bCs/>
          <w:sz w:val="24"/>
          <w:szCs w:val="32"/>
        </w:rPr>
        <w:t>海南琪硕招投标有限公司：</w:t>
      </w:r>
    </w:p>
    <w:p>
      <w:pPr>
        <w:ind w:firstLine="480"/>
        <w:rPr>
          <w:sz w:val="24"/>
          <w:szCs w:val="32"/>
        </w:rPr>
      </w:pPr>
      <w:r>
        <w:rPr>
          <w:rFonts w:hint="eastAsia"/>
          <w:sz w:val="24"/>
          <w:szCs w:val="32"/>
        </w:rPr>
        <w:t>我司（公司名称）于</w:t>
      </w:r>
      <w:r>
        <w:rPr>
          <w:rFonts w:hint="eastAsia"/>
          <w:sz w:val="24"/>
          <w:szCs w:val="32"/>
          <w:u w:val="single"/>
        </w:rPr>
        <w:t xml:space="preserve">    年   月  日</w:t>
      </w:r>
      <w:r>
        <w:rPr>
          <w:rFonts w:hint="eastAsia"/>
          <w:sz w:val="24"/>
          <w:szCs w:val="32"/>
        </w:rPr>
        <w:t>缴纳了（项目名称/编号）投标保证金，项目于</w:t>
      </w:r>
      <w:r>
        <w:rPr>
          <w:rFonts w:hint="eastAsia"/>
          <w:sz w:val="24"/>
          <w:szCs w:val="32"/>
          <w:u w:val="single"/>
        </w:rPr>
        <w:t xml:space="preserve">   年   月   日</w:t>
      </w:r>
      <w:r>
        <w:rPr>
          <w:rFonts w:hint="eastAsia"/>
          <w:sz w:val="24"/>
          <w:szCs w:val="32"/>
        </w:rPr>
        <w:t>发布中标结果，已到退保时间，我司现申请退还投标保证金。</w:t>
      </w:r>
    </w:p>
    <w:p>
      <w:pPr>
        <w:ind w:firstLine="480"/>
        <w:rPr>
          <w:sz w:val="24"/>
          <w:szCs w:val="32"/>
        </w:rPr>
      </w:pPr>
      <w:r>
        <w:rPr>
          <w:rFonts w:hint="eastAsia"/>
          <w:sz w:val="24"/>
          <w:szCs w:val="32"/>
        </w:rPr>
        <w:t>投标保证金退到下面账户。</w:t>
      </w:r>
    </w:p>
    <w:tbl>
      <w:tblPr>
        <w:tblStyle w:val="79"/>
        <w:tblW w:w="8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Merge w:val="restart"/>
            <w:vAlign w:val="center"/>
          </w:tcPr>
          <w:p>
            <w:pPr>
              <w:spacing w:line="440" w:lineRule="exact"/>
              <w:ind w:firstLine="480"/>
              <w:jc w:val="center"/>
              <w:rPr>
                <w:sz w:val="24"/>
                <w:szCs w:val="32"/>
              </w:rPr>
            </w:pPr>
            <w:r>
              <w:rPr>
                <w:rFonts w:hint="eastAsia" w:ascii="Cambria" w:hAnsi="宋体"/>
                <w:bCs/>
                <w:sz w:val="24"/>
                <w:szCs w:val="24"/>
              </w:rPr>
              <w:t>应退磋商保证金</w:t>
            </w:r>
          </w:p>
        </w:tc>
        <w:tc>
          <w:tcPr>
            <w:tcW w:w="4080" w:type="dxa"/>
          </w:tcPr>
          <w:p>
            <w:pPr>
              <w:spacing w:line="440" w:lineRule="exact"/>
              <w:ind w:firstLine="480"/>
              <w:rPr>
                <w:sz w:val="24"/>
                <w:szCs w:val="32"/>
              </w:rPr>
            </w:pPr>
            <w:r>
              <w:rPr>
                <w:rFonts w:hint="eastAsia" w:ascii="Cambria" w:hAnsi="宋体"/>
                <w:bCs/>
                <w:sz w:val="24"/>
                <w:szCs w:val="24"/>
              </w:rPr>
              <w:t>小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Merge w:val="continue"/>
          </w:tcPr>
          <w:p>
            <w:pPr>
              <w:spacing w:line="440" w:lineRule="exact"/>
              <w:ind w:firstLine="480"/>
              <w:jc w:val="center"/>
              <w:rPr>
                <w:sz w:val="24"/>
                <w:szCs w:val="32"/>
              </w:rPr>
            </w:pPr>
          </w:p>
        </w:tc>
        <w:tc>
          <w:tcPr>
            <w:tcW w:w="4080" w:type="dxa"/>
          </w:tcPr>
          <w:p>
            <w:pPr>
              <w:spacing w:line="440" w:lineRule="exact"/>
              <w:ind w:firstLine="480"/>
              <w:rPr>
                <w:sz w:val="24"/>
                <w:szCs w:val="32"/>
              </w:rPr>
            </w:pPr>
            <w:r>
              <w:rPr>
                <w:rFonts w:hint="eastAsia" w:ascii="Cambria" w:hAnsi="宋体"/>
                <w:bCs/>
                <w:sz w:val="24"/>
                <w:szCs w:val="24"/>
              </w:rPr>
              <w:t>大  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ind w:firstLine="480"/>
              <w:jc w:val="center"/>
              <w:rPr>
                <w:sz w:val="24"/>
                <w:szCs w:val="32"/>
              </w:rPr>
            </w:pPr>
            <w:r>
              <w:rPr>
                <w:rFonts w:hint="eastAsia" w:ascii="Cambria" w:hAnsi="宋体"/>
                <w:bCs/>
                <w:sz w:val="24"/>
                <w:szCs w:val="24"/>
              </w:rPr>
              <w:t>单  位 名 称</w:t>
            </w:r>
          </w:p>
        </w:tc>
        <w:tc>
          <w:tcPr>
            <w:tcW w:w="4080" w:type="dxa"/>
          </w:tcPr>
          <w:p>
            <w:pPr>
              <w:spacing w:line="440" w:lineRule="exact"/>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ind w:firstLine="480"/>
              <w:jc w:val="center"/>
              <w:rPr>
                <w:sz w:val="24"/>
                <w:szCs w:val="32"/>
              </w:rPr>
            </w:pPr>
            <w:r>
              <w:rPr>
                <w:rFonts w:hint="eastAsia" w:ascii="Cambria" w:hAnsi="宋体"/>
                <w:bCs/>
                <w:sz w:val="24"/>
                <w:szCs w:val="24"/>
              </w:rPr>
              <w:t>开   户   行</w:t>
            </w:r>
          </w:p>
        </w:tc>
        <w:tc>
          <w:tcPr>
            <w:tcW w:w="4080" w:type="dxa"/>
          </w:tcPr>
          <w:p>
            <w:pPr>
              <w:spacing w:line="440" w:lineRule="exact"/>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ind w:firstLine="480"/>
              <w:jc w:val="center"/>
              <w:rPr>
                <w:sz w:val="24"/>
                <w:szCs w:val="32"/>
              </w:rPr>
            </w:pPr>
            <w:r>
              <w:rPr>
                <w:rFonts w:hint="eastAsia" w:ascii="Cambria" w:hAnsi="宋体"/>
                <w:bCs/>
                <w:sz w:val="24"/>
                <w:szCs w:val="24"/>
              </w:rPr>
              <w:t>账        号</w:t>
            </w:r>
          </w:p>
        </w:tc>
        <w:tc>
          <w:tcPr>
            <w:tcW w:w="4080" w:type="dxa"/>
          </w:tcPr>
          <w:p>
            <w:pPr>
              <w:spacing w:line="440" w:lineRule="exact"/>
              <w:ind w:firstLine="480"/>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080" w:type="dxa"/>
            <w:vAlign w:val="center"/>
          </w:tcPr>
          <w:p>
            <w:pPr>
              <w:spacing w:line="440" w:lineRule="exact"/>
              <w:ind w:firstLine="480"/>
              <w:jc w:val="center"/>
              <w:rPr>
                <w:sz w:val="24"/>
                <w:szCs w:val="32"/>
              </w:rPr>
            </w:pPr>
            <w:r>
              <w:rPr>
                <w:rFonts w:hint="eastAsia" w:ascii="Cambria" w:hAnsi="宋体"/>
                <w:bCs/>
                <w:sz w:val="24"/>
                <w:szCs w:val="24"/>
              </w:rPr>
              <w:t>联系人及电话</w:t>
            </w:r>
          </w:p>
        </w:tc>
        <w:tc>
          <w:tcPr>
            <w:tcW w:w="4080" w:type="dxa"/>
          </w:tcPr>
          <w:p>
            <w:pPr>
              <w:spacing w:line="440" w:lineRule="exact"/>
              <w:ind w:firstLine="480"/>
              <w:jc w:val="center"/>
              <w:rPr>
                <w:sz w:val="24"/>
                <w:szCs w:val="32"/>
              </w:rPr>
            </w:pPr>
          </w:p>
        </w:tc>
      </w:tr>
    </w:tbl>
    <w:p>
      <w:pPr>
        <w:ind w:firstLine="480"/>
        <w:rPr>
          <w:sz w:val="24"/>
          <w:szCs w:val="32"/>
        </w:rPr>
      </w:pPr>
    </w:p>
    <w:p>
      <w:pPr>
        <w:ind w:firstLine="480"/>
        <w:rPr>
          <w:sz w:val="24"/>
          <w:szCs w:val="32"/>
        </w:rPr>
      </w:pPr>
      <w:r>
        <w:rPr>
          <w:rFonts w:hint="eastAsia"/>
          <w:sz w:val="24"/>
          <w:szCs w:val="32"/>
        </w:rPr>
        <w:t>特此申请。</w:t>
      </w:r>
    </w:p>
    <w:p>
      <w:pPr>
        <w:ind w:firstLine="480"/>
        <w:rPr>
          <w:rFonts w:ascii="宋体" w:hAnsi="宋体"/>
          <w:szCs w:val="21"/>
        </w:rPr>
      </w:pPr>
      <w:r>
        <w:rPr>
          <w:rFonts w:hint="eastAsia"/>
          <w:sz w:val="24"/>
          <w:szCs w:val="32"/>
        </w:rPr>
        <w:t>附件1：提交保证金凭证复印件加盖公章及企业开户许可证复印件加盖公章（注：中标人还需提供中标人与招标人签订合同复印件加盖公章）</w:t>
      </w:r>
    </w:p>
    <w:p>
      <w:pPr>
        <w:wordWrap w:val="0"/>
        <w:ind w:firstLine="560"/>
        <w:jc w:val="right"/>
        <w:rPr>
          <w:rFonts w:ascii="宋体" w:hAnsi="宋体"/>
          <w:szCs w:val="21"/>
        </w:rPr>
      </w:pPr>
    </w:p>
    <w:p>
      <w:pPr>
        <w:wordWrap w:val="0"/>
        <w:ind w:firstLine="560"/>
        <w:jc w:val="right"/>
      </w:pPr>
      <w:r>
        <w:rPr>
          <w:rFonts w:ascii="宋体" w:hAnsi="宋体"/>
          <w:szCs w:val="21"/>
        </w:rPr>
        <w:t>投标人全称（加盖公章）：</w:t>
      </w:r>
    </w:p>
    <w:p>
      <w:pPr>
        <w:wordWrap w:val="0"/>
        <w:ind w:firstLine="560"/>
        <w:jc w:val="right"/>
        <w:rPr>
          <w:rFonts w:ascii="Cambria" w:hAnsi="宋体"/>
          <w:b/>
          <w:bCs/>
          <w:sz w:val="24"/>
          <w:szCs w:val="24"/>
        </w:rPr>
      </w:pPr>
      <w:r>
        <w:rPr>
          <w:rFonts w:hint="eastAsia"/>
        </w:rPr>
        <w:t xml:space="preserve">日期：                  </w:t>
      </w:r>
    </w:p>
    <w:p>
      <w:pPr>
        <w:pStyle w:val="67"/>
      </w:pPr>
    </w:p>
    <w:p>
      <w:pPr>
        <w:pStyle w:val="172"/>
        <w:rPr>
          <w:rFonts w:ascii="仿宋" w:hAnsi="仿宋" w:eastAsia="仿宋" w:cs="仿宋"/>
        </w:rPr>
      </w:pPr>
      <w:bookmarkStart w:id="246" w:name="_Toc474854530"/>
      <w:bookmarkStart w:id="247" w:name="_Toc4049"/>
      <w:r>
        <w:rPr>
          <w:rFonts w:hint="eastAsia" w:ascii="仿宋" w:hAnsi="仿宋" w:eastAsia="仿宋" w:cs="仿宋"/>
        </w:rPr>
        <w:t>第六章 评审标准</w:t>
      </w:r>
      <w:bookmarkEnd w:id="246"/>
      <w:bookmarkEnd w:id="247"/>
      <w:bookmarkStart w:id="248" w:name="_Toc460309262"/>
      <w:bookmarkStart w:id="249" w:name="_Toc301182590"/>
    </w:p>
    <w:p>
      <w:pPr>
        <w:pStyle w:val="153"/>
        <w:numPr>
          <w:ilvl w:val="0"/>
          <w:numId w:val="0"/>
        </w:numPr>
        <w:jc w:val="center"/>
        <w:rPr>
          <w:rFonts w:ascii="仿宋" w:hAnsi="仿宋" w:eastAsia="仿宋" w:cs="仿宋"/>
        </w:rPr>
      </w:pPr>
      <w:bookmarkStart w:id="250" w:name="_Toc14052"/>
      <w:bookmarkStart w:id="251" w:name="_Toc474854531"/>
      <w:r>
        <w:rPr>
          <w:rFonts w:hint="eastAsia" w:ascii="仿宋" w:hAnsi="仿宋" w:eastAsia="仿宋" w:cs="仿宋"/>
        </w:rPr>
        <w:t>初步审查表</w:t>
      </w:r>
      <w:bookmarkEnd w:id="248"/>
      <w:bookmarkEnd w:id="249"/>
      <w:bookmarkEnd w:id="250"/>
      <w:bookmarkEnd w:id="251"/>
    </w:p>
    <w:p>
      <w:pPr>
        <w:ind w:firstLine="0" w:firstLineChars="0"/>
        <w:rPr>
          <w:rFonts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bCs/>
          <w:sz w:val="24"/>
          <w:szCs w:val="24"/>
          <w:u w:val="single"/>
        </w:rPr>
        <w:t>海南省图书馆配置硬件设备采购项目A包：《视听阅览室电子资源展示设备采购》</w:t>
      </w:r>
    </w:p>
    <w:p>
      <w:pPr>
        <w:ind w:firstLine="0" w:firstLineChars="0"/>
        <w:rPr>
          <w:rFonts w:ascii="仿宋" w:hAnsi="仿宋" w:eastAsia="仿宋" w:cs="仿宋"/>
          <w:sz w:val="24"/>
          <w:szCs w:val="24"/>
        </w:rPr>
      </w:pPr>
      <w:r>
        <w:rPr>
          <w:rFonts w:hint="eastAsia" w:ascii="仿宋" w:hAnsi="仿宋" w:eastAsia="仿宋" w:cs="仿宋"/>
          <w:sz w:val="24"/>
          <w:szCs w:val="24"/>
        </w:rPr>
        <w:t>项目单位：</w:t>
      </w:r>
      <w:r>
        <w:rPr>
          <w:rFonts w:hint="eastAsia" w:ascii="仿宋" w:hAnsi="仿宋" w:eastAsia="仿宋" w:cs="仿宋"/>
          <w:sz w:val="24"/>
          <w:szCs w:val="24"/>
          <w:u w:val="single"/>
        </w:rPr>
        <w:t>海南省图书馆</w:t>
      </w:r>
    </w:p>
    <w:p>
      <w:pPr>
        <w:ind w:firstLine="0" w:firstLineChars="0"/>
        <w:rPr>
          <w:rFonts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u w:val="single"/>
        </w:rPr>
        <w:t xml:space="preserve">QSZB-2019-03 </w:t>
      </w:r>
      <w:r>
        <w:rPr>
          <w:rFonts w:hint="eastAsia" w:ascii="仿宋" w:hAnsi="仿宋" w:eastAsia="仿宋" w:cs="仿宋"/>
          <w:sz w:val="24"/>
          <w:szCs w:val="24"/>
        </w:rPr>
        <w:t xml:space="preserve">                        日    期：    年    月   日</w:t>
      </w:r>
    </w:p>
    <w:tbl>
      <w:tblPr>
        <w:tblStyle w:val="78"/>
        <w:tblW w:w="9771" w:type="dxa"/>
        <w:jc w:val="center"/>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009"/>
        <w:gridCol w:w="5051"/>
        <w:gridCol w:w="636"/>
        <w:gridCol w:w="638"/>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99" w:type="dxa"/>
            <w:vMerge w:val="restart"/>
            <w:tcBorders>
              <w:top w:val="single" w:color="auto" w:sz="4" w:space="0"/>
              <w:left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序号</w:t>
            </w:r>
          </w:p>
        </w:tc>
        <w:tc>
          <w:tcPr>
            <w:tcW w:w="2009" w:type="dxa"/>
            <w:vMerge w:val="restart"/>
            <w:tcBorders>
              <w:top w:val="single" w:color="auto" w:sz="4" w:space="0"/>
              <w:left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审查项目</w:t>
            </w:r>
          </w:p>
        </w:tc>
        <w:tc>
          <w:tcPr>
            <w:tcW w:w="5051" w:type="dxa"/>
            <w:vMerge w:val="restart"/>
            <w:tcBorders>
              <w:top w:val="single" w:color="auto" w:sz="4" w:space="0"/>
              <w:left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评议内容（无效投标认定条件）</w:t>
            </w:r>
          </w:p>
        </w:tc>
        <w:tc>
          <w:tcPr>
            <w:tcW w:w="1912"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99"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p>
        </w:tc>
        <w:tc>
          <w:tcPr>
            <w:tcW w:w="2009"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p>
        </w:tc>
        <w:tc>
          <w:tcPr>
            <w:tcW w:w="5051"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1#</w:t>
            </w: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2#</w:t>
            </w: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b/>
                <w:sz w:val="22"/>
              </w:rPr>
            </w:pPr>
            <w:r>
              <w:rPr>
                <w:rFonts w:hint="eastAsia" w:ascii="仿宋" w:hAnsi="仿宋" w:eastAsia="仿宋" w:cs="仿宋"/>
                <w:b/>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1</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投标人的资格</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是否符合磋商文件第一章投标人资格要求</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2</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投标文件的有效性</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是否符合磋商文件的式样和签署要求且内容完整无缺漏</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3</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保证金</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是否按要求提交保证金证明的</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4</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投标有效期</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是否满足磋商文件要求（60天）</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5</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投标报价</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投标报价是否满足磋商文件要求</w:t>
            </w:r>
          </w:p>
          <w:p>
            <w:pPr>
              <w:spacing w:line="360" w:lineRule="exact"/>
              <w:ind w:firstLine="0" w:firstLineChars="0"/>
              <w:jc w:val="center"/>
              <w:rPr>
                <w:rFonts w:ascii="仿宋" w:hAnsi="仿宋" w:eastAsia="仿宋" w:cs="仿宋"/>
                <w:sz w:val="22"/>
              </w:rPr>
            </w:pPr>
            <w:r>
              <w:rPr>
                <w:rFonts w:hint="eastAsia" w:ascii="仿宋" w:hAnsi="仿宋" w:eastAsia="仿宋" w:cs="仿宋"/>
                <w:sz w:val="22"/>
              </w:rPr>
              <w:t>（报价有效、不漏项、不超过项目预算）</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6</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交货期限</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left="440" w:firstLine="0" w:firstLineChars="0"/>
              <w:jc w:val="center"/>
              <w:rPr>
                <w:rFonts w:ascii="仿宋" w:hAnsi="仿宋" w:eastAsia="仿宋" w:cs="仿宋"/>
                <w:sz w:val="22"/>
              </w:rPr>
            </w:pPr>
            <w:r>
              <w:rPr>
                <w:rFonts w:hint="eastAsia" w:ascii="仿宋" w:hAnsi="仿宋" w:eastAsia="仿宋" w:cs="仿宋"/>
                <w:sz w:val="22"/>
              </w:rPr>
              <w:t>是否符合磋商文件要求</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7</w:t>
            </w:r>
          </w:p>
        </w:tc>
        <w:tc>
          <w:tcPr>
            <w:tcW w:w="200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其它</w:t>
            </w:r>
          </w:p>
        </w:tc>
        <w:tc>
          <w:tcPr>
            <w:tcW w:w="505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仿宋" w:hAnsi="仿宋" w:eastAsia="仿宋" w:cs="仿宋"/>
                <w:sz w:val="22"/>
              </w:rPr>
            </w:pPr>
            <w:r>
              <w:rPr>
                <w:rFonts w:hint="eastAsia" w:ascii="仿宋" w:hAnsi="仿宋" w:eastAsia="仿宋" w:cs="仿宋"/>
                <w:sz w:val="22"/>
              </w:rPr>
              <w:t>无其他无效投标认定条件</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78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r>
              <w:rPr>
                <w:rFonts w:hint="eastAsia" w:ascii="仿宋" w:hAnsi="仿宋" w:eastAsia="仿宋" w:cs="仿宋"/>
                <w:sz w:val="22"/>
              </w:rPr>
              <w:t>结论</w:t>
            </w:r>
          </w:p>
        </w:tc>
        <w:tc>
          <w:tcPr>
            <w:tcW w:w="63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c>
          <w:tcPr>
            <w:tcW w:w="63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 w:hAnsi="仿宋" w:eastAsia="仿宋" w:cs="仿宋"/>
                <w:sz w:val="22"/>
              </w:rPr>
            </w:pPr>
          </w:p>
        </w:tc>
      </w:tr>
    </w:tbl>
    <w:p>
      <w:pPr>
        <w:ind w:firstLine="480"/>
        <w:rPr>
          <w:rFonts w:ascii="仿宋" w:hAnsi="仿宋" w:eastAsia="仿宋" w:cs="仿宋"/>
          <w:sz w:val="24"/>
          <w:u w:val="single"/>
        </w:rPr>
      </w:pPr>
    </w:p>
    <w:p>
      <w:pPr>
        <w:spacing w:line="480" w:lineRule="exact"/>
        <w:ind w:firstLine="560"/>
        <w:rPr>
          <w:rFonts w:ascii="仿宋" w:hAnsi="仿宋" w:eastAsia="仿宋" w:cs="仿宋"/>
          <w:szCs w:val="21"/>
        </w:rPr>
      </w:pPr>
      <w:r>
        <w:rPr>
          <w:rFonts w:hint="eastAsia" w:ascii="仿宋" w:hAnsi="仿宋" w:eastAsia="仿宋" w:cs="仿宋"/>
          <w:szCs w:val="21"/>
        </w:rPr>
        <w:t>1、在表中的各项只需填写“√/通过”或“×/不通过”；</w:t>
      </w:r>
    </w:p>
    <w:p>
      <w:pPr>
        <w:spacing w:line="480" w:lineRule="exact"/>
        <w:ind w:firstLine="560"/>
        <w:rPr>
          <w:rFonts w:ascii="仿宋" w:hAnsi="仿宋" w:eastAsia="仿宋" w:cs="仿宋"/>
          <w:szCs w:val="21"/>
        </w:rPr>
      </w:pPr>
      <w:r>
        <w:rPr>
          <w:rFonts w:hint="eastAsia" w:ascii="仿宋" w:hAnsi="仿宋" w:eastAsia="仿宋" w:cs="仿宋"/>
          <w:szCs w:val="21"/>
        </w:rPr>
        <w:t>2、在结论中按“一项否决”的原则，只有全部是√/通过的，填写“合格”；只要其中有一项是×/不通过的，填写“不合格”；</w:t>
      </w:r>
    </w:p>
    <w:p>
      <w:pPr>
        <w:spacing w:line="480" w:lineRule="exact"/>
        <w:ind w:firstLine="560"/>
        <w:rPr>
          <w:rFonts w:ascii="仿宋" w:hAnsi="仿宋" w:eastAsia="仿宋" w:cs="仿宋"/>
          <w:szCs w:val="21"/>
        </w:rPr>
      </w:pPr>
      <w:r>
        <w:rPr>
          <w:rFonts w:hint="eastAsia" w:ascii="仿宋" w:hAnsi="仿宋" w:eastAsia="仿宋" w:cs="仿宋"/>
          <w:szCs w:val="21"/>
        </w:rPr>
        <w:t>3、结论是合格的，才能进入下一轮；不合格的被淘汰。</w:t>
      </w:r>
    </w:p>
    <w:p>
      <w:pPr>
        <w:pStyle w:val="67"/>
        <w:rPr>
          <w:rFonts w:ascii="仿宋" w:hAnsi="仿宋" w:cs="仿宋"/>
        </w:rPr>
      </w:pPr>
    </w:p>
    <w:p>
      <w:pPr>
        <w:ind w:firstLine="560"/>
        <w:jc w:val="center"/>
        <w:rPr>
          <w:rFonts w:ascii="仿宋" w:hAnsi="仿宋" w:eastAsia="仿宋" w:cs="仿宋"/>
        </w:rPr>
        <w:sectPr>
          <w:footnotePr>
            <w:numFmt w:val="decimalEnclosedCircleChinese"/>
          </w:footnotePr>
          <w:pgSz w:w="11906" w:h="16838"/>
          <w:pgMar w:top="1418" w:right="1418" w:bottom="1418" w:left="1418" w:header="567" w:footer="567" w:gutter="0"/>
          <w:cols w:space="425" w:num="1"/>
          <w:docGrid w:linePitch="312" w:charSpace="0"/>
        </w:sectPr>
      </w:pPr>
      <w:bookmarkStart w:id="252" w:name="_Toc474854532"/>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196"/>
    <w:bookmarkEnd w:id="197"/>
    <w:bookmarkEnd w:id="200"/>
    <w:bookmarkEnd w:id="201"/>
    <w:bookmarkEnd w:id="202"/>
    <w:bookmarkEnd w:id="216"/>
    <w:bookmarkEnd w:id="217"/>
    <w:bookmarkEnd w:id="252"/>
    <w:p>
      <w:pPr>
        <w:pStyle w:val="4"/>
        <w:spacing w:before="120"/>
        <w:ind w:left="0"/>
        <w:jc w:val="center"/>
        <w:rPr>
          <w:rFonts w:ascii="仿宋" w:hAnsi="仿宋" w:eastAsia="仿宋" w:cs="仿宋"/>
        </w:rPr>
      </w:pPr>
      <w:bookmarkStart w:id="253" w:name="_Toc25348"/>
      <w:r>
        <w:rPr>
          <w:rFonts w:hint="eastAsia" w:ascii="仿宋" w:hAnsi="仿宋" w:eastAsia="仿宋" w:cs="仿宋"/>
        </w:rPr>
        <w:t>综合评分表</w:t>
      </w:r>
      <w:bookmarkEnd w:id="253"/>
    </w:p>
    <w:tbl>
      <w:tblPr>
        <w:tblStyle w:val="78"/>
        <w:tblpPr w:leftFromText="180" w:rightFromText="180" w:vertAnchor="text" w:horzAnchor="page" w:tblpX="887" w:tblpY="470"/>
        <w:tblOverlap w:val="never"/>
        <w:tblW w:w="1049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158"/>
        <w:gridCol w:w="690"/>
        <w:gridCol w:w="7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auto"/>
                <w:sz w:val="22"/>
                <w:szCs w:val="22"/>
                <w:highlight w:val="none"/>
              </w:rPr>
            </w:pPr>
            <w:bookmarkStart w:id="254" w:name="_第六章_投标文件格式"/>
            <w:bookmarkEnd w:id="254"/>
            <w:r>
              <w:rPr>
                <w:rFonts w:hint="eastAsia" w:ascii="仿宋" w:hAnsi="仿宋" w:eastAsia="仿宋" w:cs="仿宋"/>
                <w:b/>
                <w:bCs/>
                <w:color w:val="auto"/>
                <w:sz w:val="22"/>
                <w:szCs w:val="22"/>
                <w:highlight w:val="none"/>
              </w:rPr>
              <w:t>序号</w:t>
            </w:r>
          </w:p>
        </w:tc>
        <w:tc>
          <w:tcPr>
            <w:tcW w:w="1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评审项目</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分值</w:t>
            </w:r>
          </w:p>
        </w:tc>
        <w:tc>
          <w:tcPr>
            <w:tcW w:w="7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评审内容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价格部分（</w:t>
            </w:r>
            <w:r>
              <w:rPr>
                <w:rFonts w:hint="eastAsia" w:ascii="仿宋" w:hAnsi="仿宋" w:eastAsia="仿宋" w:cs="仿宋"/>
                <w:b/>
                <w:bCs/>
                <w:color w:val="auto"/>
                <w:sz w:val="22"/>
                <w:szCs w:val="22"/>
                <w:highlight w:val="none"/>
                <w:lang w:val="en-US" w:eastAsia="zh-CN"/>
              </w:rPr>
              <w:t>30</w:t>
            </w:r>
            <w:r>
              <w:rPr>
                <w:rFonts w:hint="eastAsia" w:ascii="仿宋" w:hAnsi="仿宋" w:eastAsia="仿宋" w:cs="仿宋"/>
                <w:b/>
                <w:bCs/>
                <w:color w:val="auto"/>
                <w:sz w:val="22"/>
                <w:szCs w:val="22"/>
                <w:highlight w:val="none"/>
              </w:rPr>
              <w:t>分）</w:t>
            </w:r>
          </w:p>
        </w:tc>
        <w:tc>
          <w:tcPr>
            <w:tcW w:w="1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投标报价</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30</w:t>
            </w:r>
            <w:r>
              <w:rPr>
                <w:rFonts w:hint="eastAsia" w:ascii="仿宋" w:hAnsi="仿宋" w:eastAsia="仿宋" w:cs="仿宋"/>
                <w:color w:val="auto"/>
                <w:sz w:val="22"/>
                <w:szCs w:val="22"/>
                <w:highlight w:val="none"/>
              </w:rPr>
              <w:t>分</w:t>
            </w:r>
          </w:p>
        </w:tc>
        <w:tc>
          <w:tcPr>
            <w:tcW w:w="7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rPr>
              <w:t>满足响应文件要求且投标价格最低的投标报价为评标基准价，其报价得分为满分。其他服务商的报价得分统一按照下列公式计算：投标报价得分=（评标基准价/投标报价）×30%×100</w:t>
            </w:r>
            <w:r>
              <w:rPr>
                <w:rFonts w:hint="eastAsia" w:ascii="仿宋" w:hAnsi="仿宋" w:eastAsia="仿宋" w:cs="仿宋"/>
                <w:color w:val="auto"/>
                <w:sz w:val="22"/>
                <w:szCs w:val="22"/>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技术</w:t>
            </w:r>
            <w:r>
              <w:rPr>
                <w:rFonts w:hint="eastAsia" w:ascii="仿宋" w:hAnsi="仿宋" w:eastAsia="仿宋" w:cs="仿宋"/>
                <w:b/>
                <w:bCs/>
                <w:color w:val="auto"/>
                <w:sz w:val="22"/>
                <w:szCs w:val="22"/>
                <w:highlight w:val="none"/>
                <w:lang w:eastAsia="zh-CN"/>
              </w:rPr>
              <w:t>服务</w:t>
            </w:r>
            <w:r>
              <w:rPr>
                <w:rFonts w:hint="eastAsia" w:ascii="仿宋" w:hAnsi="仿宋" w:eastAsia="仿宋" w:cs="仿宋"/>
                <w:b/>
                <w:bCs/>
                <w:color w:val="auto"/>
                <w:sz w:val="22"/>
                <w:szCs w:val="22"/>
                <w:highlight w:val="none"/>
              </w:rPr>
              <w:t>部分（</w:t>
            </w:r>
            <w:r>
              <w:rPr>
                <w:rFonts w:hint="eastAsia" w:ascii="仿宋" w:hAnsi="仿宋" w:eastAsia="仿宋" w:cs="仿宋"/>
                <w:b/>
                <w:bCs/>
                <w:color w:val="auto"/>
                <w:sz w:val="22"/>
                <w:szCs w:val="22"/>
                <w:highlight w:val="none"/>
                <w:lang w:val="en-US" w:eastAsia="zh-CN"/>
              </w:rPr>
              <w:t>56</w:t>
            </w:r>
            <w:r>
              <w:rPr>
                <w:rFonts w:hint="eastAsia" w:ascii="仿宋" w:hAnsi="仿宋" w:eastAsia="仿宋" w:cs="仿宋"/>
                <w:b/>
                <w:bCs/>
                <w:color w:val="auto"/>
                <w:sz w:val="22"/>
                <w:szCs w:val="22"/>
                <w:highlight w:val="none"/>
              </w:rPr>
              <w:t>分）</w:t>
            </w:r>
          </w:p>
        </w:tc>
        <w:tc>
          <w:tcPr>
            <w:tcW w:w="1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采购需求响应情况</w:t>
            </w:r>
          </w:p>
        </w:tc>
        <w:tc>
          <w:tcPr>
            <w:tcW w:w="690" w:type="dxa"/>
            <w:tcBorders>
              <w:tl2br w:val="nil"/>
              <w:tr2bl w:val="nil"/>
            </w:tcBorders>
            <w:noWrap w:val="0"/>
            <w:vAlign w:val="center"/>
          </w:tcPr>
          <w:p>
            <w:pPr>
              <w:ind w:left="0" w:leftChars="0" w:firstLine="0" w:firstLineChars="0"/>
              <w:rPr>
                <w:rFonts w:hint="default"/>
                <w:sz w:val="22"/>
                <w:szCs w:val="22"/>
                <w:lang w:val="en-US" w:eastAsia="zh-CN"/>
              </w:rPr>
            </w:pPr>
            <w:r>
              <w:rPr>
                <w:rFonts w:hint="eastAsia" w:ascii="仿宋" w:hAnsi="仿宋" w:eastAsia="仿宋" w:cs="仿宋"/>
                <w:color w:val="auto"/>
                <w:sz w:val="22"/>
                <w:szCs w:val="22"/>
                <w:highlight w:val="none"/>
                <w:lang w:val="en-US" w:eastAsia="zh-CN"/>
              </w:rPr>
              <w:t>30分</w:t>
            </w:r>
          </w:p>
        </w:tc>
        <w:tc>
          <w:tcPr>
            <w:tcW w:w="77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rPr>
                <w:rFonts w:hint="eastAsia" w:ascii="仿宋" w:hAnsi="仿宋" w:eastAsia="仿宋" w:cs="仿宋"/>
                <w:color w:val="auto"/>
                <w:sz w:val="22"/>
                <w:szCs w:val="22"/>
                <w:highlight w:val="none"/>
                <w:lang w:eastAsia="zh-CN"/>
              </w:rPr>
            </w:pPr>
            <w:r>
              <w:rPr>
                <w:rFonts w:hint="eastAsia" w:ascii="仿宋" w:hAnsi="仿宋" w:eastAsia="仿宋" w:cs="仿宋"/>
                <w:sz w:val="22"/>
                <w:szCs w:val="22"/>
              </w:rPr>
              <w:t>满足招标文件“采购需求”的“2.1、6、7”技术和商务要求得30分，其中带“</w:t>
            </w:r>
            <w:r>
              <w:rPr>
                <w:rFonts w:hint="eastAsia" w:ascii="仿宋" w:hAnsi="仿宋" w:eastAsia="仿宋" w:cs="仿宋"/>
                <w:kern w:val="0"/>
                <w:sz w:val="22"/>
                <w:szCs w:val="22"/>
              </w:rPr>
              <w:t>★</w:t>
            </w:r>
            <w:r>
              <w:rPr>
                <w:rFonts w:hint="eastAsia" w:ascii="仿宋" w:hAnsi="仿宋" w:eastAsia="仿宋" w:cs="仿宋"/>
                <w:sz w:val="22"/>
                <w:szCs w:val="22"/>
              </w:rPr>
              <w:t>”的为关键指标，负偏离每项扣3分;其他为一般指标，负偏离每项扣1分。扣完为止。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2"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auto"/>
                <w:sz w:val="22"/>
                <w:szCs w:val="22"/>
                <w:highlight w:val="none"/>
              </w:rPr>
            </w:pPr>
          </w:p>
        </w:tc>
        <w:tc>
          <w:tcPr>
            <w:tcW w:w="1158" w:type="dxa"/>
            <w:tcBorders>
              <w:tl2br w:val="nil"/>
              <w:tr2bl w:val="nil"/>
            </w:tcBorders>
            <w:noWrap w:val="0"/>
            <w:vAlign w:val="center"/>
          </w:tcPr>
          <w:p>
            <w:pPr>
              <w:pStyle w:val="481"/>
              <w:rPr>
                <w:rFonts w:ascii="仿宋" w:hAnsi="仿宋" w:eastAsia="仿宋" w:cs="仿宋"/>
                <w:sz w:val="22"/>
                <w:szCs w:val="22"/>
              </w:rPr>
            </w:pPr>
            <w:r>
              <w:rPr>
                <w:rFonts w:hint="eastAsia" w:ascii="仿宋" w:hAnsi="仿宋" w:eastAsia="仿宋" w:cs="仿宋"/>
                <w:sz w:val="22"/>
                <w:szCs w:val="22"/>
              </w:rPr>
              <w:t>项目实施计划及服务方案</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24分</w:t>
            </w:r>
          </w:p>
        </w:tc>
        <w:tc>
          <w:tcPr>
            <w:tcW w:w="7715" w:type="dxa"/>
            <w:tcBorders>
              <w:tl2br w:val="nil"/>
              <w:tr2bl w:val="nil"/>
            </w:tcBorders>
            <w:noWrap w:val="0"/>
            <w:vAlign w:val="center"/>
          </w:tcPr>
          <w:p>
            <w:pPr>
              <w:spacing w:line="360" w:lineRule="auto"/>
              <w:ind w:firstLine="480"/>
              <w:rPr>
                <w:rFonts w:ascii="仿宋" w:hAnsi="仿宋" w:eastAsia="仿宋" w:cs="仿宋"/>
                <w:sz w:val="22"/>
                <w:szCs w:val="22"/>
              </w:rPr>
            </w:pPr>
            <w:r>
              <w:rPr>
                <w:rFonts w:hint="eastAsia" w:ascii="仿宋" w:hAnsi="仿宋" w:eastAsia="仿宋" w:cs="仿宋"/>
                <w:sz w:val="22"/>
                <w:szCs w:val="22"/>
              </w:rPr>
              <w:t>根据投标人拟用于本次项目的编制服务总体方案进行综合评定，投标人对项目总体思路应考虑科学性、合理性、灵活性、可复用性、系统的简单易用性、系统安全保障、系统功能性应用等内容。</w:t>
            </w:r>
          </w:p>
          <w:p>
            <w:pPr>
              <w:spacing w:line="360" w:lineRule="auto"/>
              <w:ind w:firstLine="480"/>
              <w:rPr>
                <w:rFonts w:ascii="仿宋" w:hAnsi="仿宋" w:eastAsia="仿宋" w:cs="仿宋"/>
                <w:sz w:val="22"/>
                <w:szCs w:val="22"/>
              </w:rPr>
            </w:pPr>
            <w:r>
              <w:rPr>
                <w:rFonts w:hint="eastAsia" w:ascii="仿宋" w:hAnsi="仿宋" w:eastAsia="仿宋" w:cs="仿宋"/>
                <w:sz w:val="22"/>
                <w:szCs w:val="22"/>
              </w:rPr>
              <w:t>由评标委员会专家对所有投标人提供的方案进行比较，独立评分。内容完全符合实际需求的得2</w:t>
            </w:r>
            <w:r>
              <w:rPr>
                <w:rFonts w:hint="eastAsia" w:ascii="仿宋" w:hAnsi="仿宋" w:eastAsia="仿宋" w:cs="仿宋"/>
                <w:sz w:val="22"/>
                <w:szCs w:val="22"/>
                <w:lang w:val="en-US" w:eastAsia="zh-CN"/>
              </w:rPr>
              <w:t>4</w:t>
            </w:r>
            <w:r>
              <w:rPr>
                <w:rFonts w:hint="eastAsia" w:ascii="仿宋" w:hAnsi="仿宋" w:eastAsia="仿宋" w:cs="仿宋"/>
                <w:sz w:val="22"/>
                <w:szCs w:val="22"/>
              </w:rPr>
              <w:t>分；</w:t>
            </w:r>
          </w:p>
          <w:p>
            <w:pPr>
              <w:pStyle w:val="38"/>
              <w:numPr>
                <w:ilvl w:val="0"/>
                <w:numId w:val="38"/>
              </w:numPr>
              <w:spacing w:line="360" w:lineRule="auto"/>
              <w:ind w:firstLine="440" w:firstLineChars="200"/>
              <w:contextualSpacing/>
              <w:rPr>
                <w:rFonts w:ascii="仿宋" w:hAnsi="仿宋" w:cs="仿宋"/>
                <w:sz w:val="22"/>
                <w:szCs w:val="22"/>
              </w:rPr>
            </w:pPr>
            <w:r>
              <w:rPr>
                <w:rFonts w:hint="eastAsia" w:ascii="仿宋" w:hAnsi="仿宋" w:cs="仿宋"/>
                <w:sz w:val="22"/>
                <w:szCs w:val="22"/>
              </w:rPr>
              <w:t>设计方案具有经济实用性、可靠性、完整性、可扩展性进行综合评定（优：6-8分、良3-5分、差1-2分，未提供不得分）；</w:t>
            </w:r>
          </w:p>
          <w:p>
            <w:pPr>
              <w:pStyle w:val="38"/>
              <w:numPr>
                <w:ilvl w:val="0"/>
                <w:numId w:val="38"/>
              </w:numPr>
              <w:spacing w:line="360" w:lineRule="auto"/>
              <w:ind w:firstLine="440" w:firstLineChars="200"/>
              <w:contextualSpacing/>
              <w:rPr>
                <w:rFonts w:ascii="仿宋" w:hAnsi="仿宋" w:cs="仿宋"/>
                <w:sz w:val="22"/>
                <w:szCs w:val="22"/>
              </w:rPr>
            </w:pPr>
            <w:r>
              <w:rPr>
                <w:rFonts w:hint="eastAsia" w:ascii="仿宋" w:hAnsi="仿宋" w:cs="仿宋"/>
                <w:sz w:val="22"/>
                <w:szCs w:val="22"/>
              </w:rPr>
              <w:t>方案应符合本项目实际需求，内容至少包含：明确的项目定位、项目现状分析、与前期系统的对接、清晰的阐述项目总体架构、建设和应用方案、运维管理方案等（优：6-8分、良3-5分、差1-2分，未提供不得分）</w:t>
            </w:r>
          </w:p>
          <w:p>
            <w:pPr>
              <w:pStyle w:val="38"/>
              <w:numPr>
                <w:ilvl w:val="0"/>
                <w:numId w:val="38"/>
              </w:numPr>
              <w:spacing w:line="360" w:lineRule="auto"/>
              <w:ind w:firstLine="440" w:firstLineChars="200"/>
              <w:contextualSpacing/>
              <w:rPr>
                <w:rFonts w:ascii="仿宋" w:hAnsi="仿宋" w:cs="仿宋"/>
                <w:sz w:val="22"/>
                <w:szCs w:val="22"/>
              </w:rPr>
            </w:pPr>
            <w:r>
              <w:rPr>
                <w:rFonts w:hint="eastAsia" w:ascii="仿宋" w:hAnsi="仿宋" w:cs="仿宋"/>
                <w:sz w:val="22"/>
                <w:szCs w:val="22"/>
              </w:rPr>
              <w:t>投标人提供的项目服务推广实施方案内容，从项目计划安排的合理性、质量保证、进度保证、服务响应保证、培训保障、绩效管理措施等进行综合评定（优：6-8分、良3-5分、差1-2分，未提供不得分）；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sz w:val="22"/>
                <w:szCs w:val="22"/>
              </w:rPr>
              <w:t>注：此方案仅作为评审依据，不作为最终实施方案，最终实施方案将根据项目最终项目实施阶段要求修订。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auto"/>
                <w:sz w:val="22"/>
                <w:szCs w:val="22"/>
                <w:highlight w:val="none"/>
              </w:rPr>
            </w:pPr>
          </w:p>
        </w:tc>
        <w:tc>
          <w:tcPr>
            <w:tcW w:w="1158" w:type="dxa"/>
            <w:tcBorders>
              <w:tl2br w:val="nil"/>
              <w:tr2bl w:val="nil"/>
            </w:tcBorders>
            <w:noWrap w:val="0"/>
            <w:vAlign w:val="center"/>
          </w:tcPr>
          <w:p>
            <w:pPr>
              <w:pStyle w:val="481"/>
              <w:rPr>
                <w:rFonts w:hint="eastAsia" w:ascii="仿宋" w:hAnsi="仿宋" w:eastAsia="仿宋" w:cs="仿宋"/>
                <w:sz w:val="22"/>
                <w:szCs w:val="22"/>
                <w:lang w:val="en-US" w:eastAsia="zh-CN"/>
              </w:rPr>
            </w:pPr>
            <w:r>
              <w:rPr>
                <w:rFonts w:hint="eastAsia" w:ascii="仿宋" w:hAnsi="仿宋" w:eastAsia="仿宋" w:cs="仿宋"/>
                <w:sz w:val="22"/>
                <w:szCs w:val="22"/>
              </w:rPr>
              <w:t>响应文件质量</w:t>
            </w:r>
          </w:p>
        </w:tc>
        <w:tc>
          <w:tcPr>
            <w:tcW w:w="690" w:type="dxa"/>
            <w:tcBorders>
              <w:tl2br w:val="nil"/>
              <w:tr2bl w:val="nil"/>
            </w:tcBorders>
            <w:noWrap w:val="0"/>
            <w:vAlign w:val="center"/>
          </w:tcPr>
          <w:p>
            <w:pPr>
              <w:pStyle w:val="481"/>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2分</w:t>
            </w:r>
          </w:p>
        </w:tc>
        <w:tc>
          <w:tcPr>
            <w:tcW w:w="7715" w:type="dxa"/>
            <w:tcBorders>
              <w:tl2br w:val="nil"/>
              <w:tr2bl w:val="nil"/>
            </w:tcBorders>
            <w:noWrap w:val="0"/>
            <w:vAlign w:val="center"/>
          </w:tcPr>
          <w:p>
            <w:pPr>
              <w:pStyle w:val="481"/>
              <w:ind w:firstLine="440" w:firstLineChars="20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磋商小组对各响应文件的完整性、易读性以及合理性进行分析比较、评议进行打分，打分标准为1～2分。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92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商务部分（</w:t>
            </w:r>
            <w:r>
              <w:rPr>
                <w:rFonts w:hint="eastAsia" w:ascii="仿宋" w:hAnsi="仿宋" w:eastAsia="仿宋" w:cs="仿宋"/>
                <w:b/>
                <w:bCs/>
                <w:color w:val="auto"/>
                <w:sz w:val="22"/>
                <w:szCs w:val="22"/>
                <w:highlight w:val="none"/>
                <w:lang w:val="en-US" w:eastAsia="zh-CN"/>
              </w:rPr>
              <w:t>14</w:t>
            </w:r>
            <w:r>
              <w:rPr>
                <w:rFonts w:hint="eastAsia" w:ascii="仿宋" w:hAnsi="仿宋" w:eastAsia="仿宋" w:cs="仿宋"/>
                <w:b/>
                <w:bCs/>
                <w:color w:val="auto"/>
                <w:sz w:val="22"/>
                <w:szCs w:val="22"/>
                <w:highlight w:val="none"/>
              </w:rPr>
              <w:t>分）</w:t>
            </w:r>
          </w:p>
        </w:tc>
        <w:tc>
          <w:tcPr>
            <w:tcW w:w="115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val="en-US" w:eastAsia="zh-CN"/>
              </w:rPr>
              <w:t>体系认证</w:t>
            </w:r>
          </w:p>
        </w:tc>
        <w:tc>
          <w:tcPr>
            <w:tcW w:w="690" w:type="dxa"/>
            <w:tcBorders>
              <w:tl2br w:val="nil"/>
              <w:tr2bl w:val="nil"/>
            </w:tcBorders>
            <w:noWrap w:val="0"/>
            <w:vAlign w:val="center"/>
          </w:tcPr>
          <w:p>
            <w:pPr>
              <w:pStyle w:val="481"/>
              <w:jc w:val="center"/>
              <w:rPr>
                <w:rFonts w:hint="default" w:ascii="仿宋" w:hAnsi="仿宋" w:eastAsia="仿宋" w:cs="仿宋"/>
                <w:color w:val="auto"/>
                <w:sz w:val="22"/>
                <w:szCs w:val="22"/>
                <w:highlight w:val="none"/>
                <w:lang w:val="en-US" w:eastAsia="zh-CN"/>
              </w:rPr>
            </w:pPr>
            <w:r>
              <w:rPr>
                <w:rFonts w:hint="eastAsia" w:ascii="仿宋" w:hAnsi="仿宋" w:eastAsia="仿宋" w:cs="仿宋"/>
                <w:sz w:val="22"/>
                <w:szCs w:val="22"/>
              </w:rPr>
              <w:t>1</w:t>
            </w:r>
            <w:r>
              <w:rPr>
                <w:rFonts w:hint="eastAsia" w:ascii="仿宋" w:hAnsi="仿宋" w:eastAsia="仿宋" w:cs="仿宋"/>
                <w:sz w:val="22"/>
                <w:szCs w:val="22"/>
                <w:lang w:val="en-US" w:eastAsia="zh-CN"/>
              </w:rPr>
              <w:t>分</w:t>
            </w:r>
          </w:p>
        </w:tc>
        <w:tc>
          <w:tcPr>
            <w:tcW w:w="7715" w:type="dxa"/>
            <w:tcBorders>
              <w:tl2br w:val="nil"/>
              <w:tr2bl w:val="nil"/>
            </w:tcBorders>
            <w:noWrap w:val="0"/>
            <w:vAlign w:val="center"/>
          </w:tcPr>
          <w:p>
            <w:pPr>
              <w:pStyle w:val="23"/>
              <w:spacing w:line="240" w:lineRule="auto"/>
              <w:ind w:firstLine="48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投标人所提供产品厂家具有ISO质量管理体系认证得1分</w:t>
            </w:r>
          </w:p>
          <w:p>
            <w:pPr>
              <w:pStyle w:val="23"/>
              <w:spacing w:line="240" w:lineRule="auto"/>
              <w:ind w:left="0" w:leftChars="0" w:firstLine="0" w:firstLineChars="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p>
        </w:tc>
        <w:tc>
          <w:tcPr>
            <w:tcW w:w="690" w:type="dxa"/>
            <w:tcBorders>
              <w:tl2br w:val="nil"/>
              <w:tr2bl w:val="nil"/>
            </w:tcBorders>
            <w:noWrap w:val="0"/>
            <w:vAlign w:val="center"/>
          </w:tcPr>
          <w:p>
            <w:pPr>
              <w:pStyle w:val="481"/>
              <w:jc w:val="center"/>
              <w:rPr>
                <w:rFonts w:hint="eastAsia" w:ascii="仿宋" w:hAnsi="仿宋" w:eastAsia="仿宋" w:cs="仿宋"/>
                <w:color w:val="auto"/>
                <w:sz w:val="22"/>
                <w:szCs w:val="22"/>
                <w:highlight w:val="none"/>
                <w:lang w:val="en-US" w:eastAsia="zh-CN"/>
              </w:rPr>
            </w:pPr>
            <w:r>
              <w:rPr>
                <w:rFonts w:hint="eastAsia" w:ascii="仿宋" w:hAnsi="仿宋" w:eastAsia="仿宋" w:cs="仿宋"/>
                <w:sz w:val="22"/>
                <w:szCs w:val="22"/>
              </w:rPr>
              <w:t>1</w:t>
            </w:r>
            <w:r>
              <w:rPr>
                <w:rFonts w:hint="eastAsia" w:ascii="仿宋" w:hAnsi="仿宋" w:eastAsia="仿宋" w:cs="仿宋"/>
                <w:sz w:val="22"/>
                <w:szCs w:val="22"/>
                <w:lang w:val="en-US" w:eastAsia="zh-CN"/>
              </w:rPr>
              <w:t>分</w:t>
            </w:r>
          </w:p>
        </w:tc>
        <w:tc>
          <w:tcPr>
            <w:tcW w:w="7715" w:type="dxa"/>
            <w:tcBorders>
              <w:tl2br w:val="nil"/>
              <w:tr2bl w:val="nil"/>
            </w:tcBorders>
            <w:noWrap w:val="0"/>
            <w:vAlign w:val="center"/>
          </w:tcPr>
          <w:p>
            <w:pPr>
              <w:pStyle w:val="23"/>
              <w:spacing w:line="240" w:lineRule="auto"/>
              <w:ind w:firstLine="48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投标人所提供产品厂家具有高新技术企业证书得1分</w:t>
            </w:r>
          </w:p>
          <w:p>
            <w:pPr>
              <w:pStyle w:val="23"/>
              <w:spacing w:line="240" w:lineRule="auto"/>
              <w:ind w:left="0" w:leftChars="0" w:firstLine="0" w:firstLineChars="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p>
        </w:tc>
        <w:tc>
          <w:tcPr>
            <w:tcW w:w="690" w:type="dxa"/>
            <w:tcBorders>
              <w:tl2br w:val="nil"/>
              <w:tr2bl w:val="nil"/>
            </w:tcBorders>
            <w:noWrap w:val="0"/>
            <w:vAlign w:val="center"/>
          </w:tcPr>
          <w:p>
            <w:pPr>
              <w:pStyle w:val="481"/>
              <w:jc w:val="center"/>
              <w:rPr>
                <w:rFonts w:hint="eastAsia" w:ascii="仿宋" w:hAnsi="仿宋" w:eastAsia="仿宋" w:cs="仿宋"/>
                <w:color w:val="auto"/>
                <w:sz w:val="22"/>
                <w:szCs w:val="22"/>
                <w:highlight w:val="none"/>
                <w:lang w:val="en-US" w:eastAsia="zh-CN"/>
              </w:rPr>
            </w:pPr>
            <w:r>
              <w:rPr>
                <w:rFonts w:hint="eastAsia" w:ascii="仿宋" w:hAnsi="仿宋" w:eastAsia="仿宋" w:cs="仿宋"/>
                <w:sz w:val="22"/>
                <w:szCs w:val="22"/>
              </w:rPr>
              <w:t>1</w:t>
            </w:r>
            <w:r>
              <w:rPr>
                <w:rFonts w:hint="eastAsia" w:ascii="仿宋" w:hAnsi="仿宋" w:eastAsia="仿宋" w:cs="仿宋"/>
                <w:sz w:val="22"/>
                <w:szCs w:val="22"/>
                <w:lang w:val="en-US" w:eastAsia="zh-CN"/>
              </w:rPr>
              <w:t>分</w:t>
            </w:r>
          </w:p>
        </w:tc>
        <w:tc>
          <w:tcPr>
            <w:tcW w:w="7715" w:type="dxa"/>
            <w:tcBorders>
              <w:tl2br w:val="nil"/>
              <w:tr2bl w:val="nil"/>
            </w:tcBorders>
            <w:noWrap w:val="0"/>
            <w:vAlign w:val="center"/>
          </w:tcPr>
          <w:p>
            <w:pPr>
              <w:pStyle w:val="23"/>
              <w:spacing w:line="240" w:lineRule="auto"/>
              <w:ind w:firstLine="48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投标人所提供产品厂家具有软件企业认定证书得1分</w:t>
            </w:r>
          </w:p>
          <w:p>
            <w:pPr>
              <w:pStyle w:val="23"/>
              <w:spacing w:line="240" w:lineRule="auto"/>
              <w:ind w:left="0" w:leftChars="0" w:firstLine="0" w:firstLineChars="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p>
        </w:tc>
        <w:tc>
          <w:tcPr>
            <w:tcW w:w="690" w:type="dxa"/>
            <w:tcBorders>
              <w:tl2br w:val="nil"/>
              <w:tr2bl w:val="nil"/>
            </w:tcBorders>
            <w:noWrap w:val="0"/>
            <w:vAlign w:val="center"/>
          </w:tcPr>
          <w:p>
            <w:pPr>
              <w:pStyle w:val="481"/>
              <w:jc w:val="center"/>
              <w:rPr>
                <w:rFonts w:hint="eastAsia" w:ascii="仿宋" w:hAnsi="仿宋" w:eastAsia="仿宋" w:cs="仿宋"/>
                <w:color w:val="auto"/>
                <w:sz w:val="22"/>
                <w:szCs w:val="22"/>
                <w:highlight w:val="none"/>
                <w:lang w:val="en-US" w:eastAsia="zh-CN"/>
              </w:rPr>
            </w:pPr>
            <w:r>
              <w:rPr>
                <w:rFonts w:hint="eastAsia" w:ascii="仿宋" w:hAnsi="仿宋" w:eastAsia="仿宋" w:cs="仿宋"/>
                <w:sz w:val="22"/>
                <w:szCs w:val="22"/>
              </w:rPr>
              <w:t>1</w:t>
            </w:r>
            <w:r>
              <w:rPr>
                <w:rFonts w:hint="eastAsia" w:ascii="仿宋" w:hAnsi="仿宋" w:eastAsia="仿宋" w:cs="仿宋"/>
                <w:sz w:val="22"/>
                <w:szCs w:val="22"/>
                <w:lang w:val="en-US" w:eastAsia="zh-CN"/>
              </w:rPr>
              <w:t>分</w:t>
            </w:r>
          </w:p>
        </w:tc>
        <w:tc>
          <w:tcPr>
            <w:tcW w:w="7715" w:type="dxa"/>
            <w:tcBorders>
              <w:tl2br w:val="nil"/>
              <w:tr2bl w:val="nil"/>
            </w:tcBorders>
            <w:noWrap w:val="0"/>
            <w:vAlign w:val="center"/>
          </w:tcPr>
          <w:p>
            <w:pPr>
              <w:pStyle w:val="23"/>
              <w:spacing w:line="240" w:lineRule="auto"/>
              <w:ind w:firstLine="48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投标人所提供产品厂家具有软件产品证书得1分</w:t>
            </w:r>
          </w:p>
          <w:p>
            <w:pPr>
              <w:pStyle w:val="23"/>
              <w:spacing w:line="240" w:lineRule="auto"/>
              <w:ind w:left="0" w:leftChars="0" w:firstLine="0" w:firstLineChars="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p>
        </w:tc>
        <w:tc>
          <w:tcPr>
            <w:tcW w:w="690" w:type="dxa"/>
            <w:tcBorders>
              <w:tl2br w:val="nil"/>
              <w:tr2bl w:val="nil"/>
            </w:tcBorders>
            <w:noWrap w:val="0"/>
            <w:vAlign w:val="center"/>
          </w:tcPr>
          <w:p>
            <w:pPr>
              <w:pStyle w:val="481"/>
              <w:jc w:val="center"/>
              <w:rPr>
                <w:rFonts w:hint="eastAsia" w:ascii="仿宋" w:hAnsi="仿宋" w:eastAsia="仿宋" w:cs="仿宋"/>
                <w:color w:val="auto"/>
                <w:sz w:val="22"/>
                <w:szCs w:val="22"/>
                <w:highlight w:val="none"/>
                <w:lang w:val="en-US" w:eastAsia="zh-CN"/>
              </w:rPr>
            </w:pPr>
            <w:r>
              <w:rPr>
                <w:rFonts w:hint="eastAsia" w:ascii="仿宋" w:hAnsi="仿宋" w:eastAsia="仿宋" w:cs="仿宋"/>
                <w:sz w:val="22"/>
                <w:szCs w:val="22"/>
              </w:rPr>
              <w:t>1</w:t>
            </w:r>
            <w:r>
              <w:rPr>
                <w:rFonts w:hint="eastAsia" w:ascii="仿宋" w:hAnsi="仿宋" w:eastAsia="仿宋" w:cs="仿宋"/>
                <w:sz w:val="22"/>
                <w:szCs w:val="22"/>
                <w:lang w:val="en-US" w:eastAsia="zh-CN"/>
              </w:rPr>
              <w:t>分</w:t>
            </w:r>
          </w:p>
        </w:tc>
        <w:tc>
          <w:tcPr>
            <w:tcW w:w="7715" w:type="dxa"/>
            <w:tcBorders>
              <w:tl2br w:val="nil"/>
              <w:tr2bl w:val="nil"/>
            </w:tcBorders>
            <w:noWrap w:val="0"/>
            <w:vAlign w:val="center"/>
          </w:tcPr>
          <w:p>
            <w:pPr>
              <w:pStyle w:val="23"/>
              <w:spacing w:line="240" w:lineRule="auto"/>
              <w:ind w:firstLine="48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投标人所提供产品厂家具有信用等级证书得1分</w:t>
            </w:r>
          </w:p>
          <w:p>
            <w:pPr>
              <w:pStyle w:val="23"/>
              <w:spacing w:line="240" w:lineRule="auto"/>
              <w:ind w:left="0" w:leftChars="0" w:firstLine="0" w:firstLineChars="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本地化服务能力</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6分</w:t>
            </w:r>
          </w:p>
        </w:tc>
        <w:tc>
          <w:tcPr>
            <w:tcW w:w="7715" w:type="dxa"/>
            <w:tcBorders>
              <w:tl2br w:val="nil"/>
              <w:tr2bl w:val="nil"/>
            </w:tcBorders>
            <w:noWrap w:val="0"/>
            <w:vAlign w:val="center"/>
          </w:tcPr>
          <w:p>
            <w:pPr>
              <w:pStyle w:val="23"/>
              <w:spacing w:line="240" w:lineRule="auto"/>
              <w:ind w:firstLine="480"/>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供应商具有本地化服务能力，非本地供应商在项目所在地内设有经工商注册或商务部门备案的售后服务机构。（供应商自由机构，授权单位或合作单位均可）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（提供营业执照或工商部门备案的证明资料复印件）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color w:val="auto"/>
                <w:sz w:val="22"/>
                <w:szCs w:val="22"/>
                <w:highlight w:val="none"/>
              </w:rPr>
            </w:pPr>
            <w:r>
              <w:rPr>
                <w:rFonts w:hint="eastAsia" w:ascii="仿宋" w:hAnsi="仿宋" w:eastAsia="仿宋" w:cs="仿宋"/>
                <w:sz w:val="22"/>
                <w:szCs w:val="22"/>
              </w:rPr>
              <w:t>著作权登记证书</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rPr>
              <w:t>分</w:t>
            </w:r>
          </w:p>
        </w:tc>
        <w:tc>
          <w:tcPr>
            <w:tcW w:w="7715" w:type="dxa"/>
            <w:tcBorders>
              <w:tl2br w:val="nil"/>
              <w:tr2bl w:val="nil"/>
            </w:tcBorders>
            <w:noWrap w:val="0"/>
            <w:vAlign w:val="center"/>
          </w:tcPr>
          <w:p>
            <w:pPr>
              <w:pStyle w:val="23"/>
              <w:spacing w:line="240" w:lineRule="auto"/>
              <w:ind w:firstLine="480"/>
              <w:rPr>
                <w:rFonts w:ascii="仿宋" w:hAnsi="仿宋" w:eastAsia="仿宋" w:cs="仿宋"/>
                <w:sz w:val="22"/>
                <w:szCs w:val="22"/>
              </w:rPr>
            </w:pPr>
            <w:r>
              <w:rPr>
                <w:rFonts w:hint="eastAsia" w:ascii="仿宋" w:hAnsi="仿宋" w:eastAsia="仿宋" w:cs="仿宋"/>
                <w:sz w:val="22"/>
                <w:szCs w:val="22"/>
              </w:rPr>
              <w:t>投标人所提供产品厂家具有学术视频数据库系统著作权登记证书得1分</w:t>
            </w:r>
          </w:p>
          <w:p>
            <w:pPr>
              <w:pStyle w:val="23"/>
              <w:spacing w:line="240" w:lineRule="auto"/>
              <w:ind w:firstLine="440" w:firstLineChars="200"/>
              <w:rPr>
                <w:rFonts w:hint="eastAsia" w:ascii="仿宋" w:hAnsi="仿宋" w:eastAsia="仿宋" w:cs="仿宋"/>
                <w:kern w:val="2"/>
                <w:sz w:val="22"/>
                <w:szCs w:val="22"/>
                <w:lang w:val="en-US" w:eastAsia="zh-CN" w:bidi="ar-SA"/>
              </w:rPr>
            </w:pPr>
            <w:r>
              <w:rPr>
                <w:rFonts w:hint="eastAsia" w:ascii="仿宋" w:hAnsi="仿宋" w:eastAsia="仿宋" w:cs="仿宋"/>
                <w:sz w:val="22"/>
                <w:szCs w:val="22"/>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rPr>
              <w:t>分</w:t>
            </w:r>
          </w:p>
        </w:tc>
        <w:tc>
          <w:tcPr>
            <w:tcW w:w="7715" w:type="dxa"/>
            <w:tcBorders>
              <w:tl2br w:val="nil"/>
              <w:tr2bl w:val="nil"/>
            </w:tcBorders>
            <w:noWrap w:val="0"/>
            <w:vAlign w:val="center"/>
          </w:tcPr>
          <w:p>
            <w:pPr>
              <w:pStyle w:val="23"/>
              <w:spacing w:line="240" w:lineRule="auto"/>
              <w:ind w:firstLine="480"/>
              <w:rPr>
                <w:rFonts w:ascii="仿宋" w:hAnsi="仿宋" w:eastAsia="仿宋" w:cs="仿宋"/>
                <w:sz w:val="22"/>
                <w:szCs w:val="22"/>
              </w:rPr>
            </w:pPr>
            <w:r>
              <w:rPr>
                <w:rFonts w:hint="eastAsia" w:ascii="仿宋" w:hAnsi="仿宋" w:eastAsia="仿宋" w:cs="仿宋"/>
                <w:sz w:val="22"/>
                <w:szCs w:val="22"/>
              </w:rPr>
              <w:t>投标人所提供产品厂家具有数字图书数据库系统著作权得1分</w:t>
            </w:r>
          </w:p>
          <w:p>
            <w:pPr>
              <w:pStyle w:val="23"/>
              <w:spacing w:line="240" w:lineRule="auto"/>
              <w:ind w:firstLine="440" w:firstLineChars="200"/>
              <w:rPr>
                <w:rFonts w:hint="eastAsia" w:ascii="仿宋" w:hAnsi="仿宋" w:eastAsia="仿宋" w:cs="仿宋"/>
                <w:kern w:val="2"/>
                <w:sz w:val="22"/>
                <w:szCs w:val="22"/>
                <w:lang w:val="en-US" w:eastAsia="zh-CN" w:bidi="ar-SA"/>
              </w:rPr>
            </w:pPr>
            <w:r>
              <w:rPr>
                <w:rFonts w:hint="eastAsia" w:ascii="仿宋" w:hAnsi="仿宋" w:eastAsia="仿宋" w:cs="仿宋"/>
                <w:sz w:val="22"/>
                <w:szCs w:val="22"/>
              </w:rPr>
              <w:t>证明材料：认证复印件加盖公章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92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11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rPr>
            </w:pP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w:t>
            </w:r>
            <w:r>
              <w:rPr>
                <w:rFonts w:hint="eastAsia" w:ascii="仿宋" w:hAnsi="仿宋" w:eastAsia="仿宋" w:cs="仿宋"/>
                <w:color w:val="auto"/>
                <w:sz w:val="22"/>
                <w:szCs w:val="22"/>
                <w:highlight w:val="none"/>
              </w:rPr>
              <w:t>分</w:t>
            </w:r>
          </w:p>
        </w:tc>
        <w:tc>
          <w:tcPr>
            <w:tcW w:w="7715" w:type="dxa"/>
            <w:tcBorders>
              <w:tl2br w:val="nil"/>
              <w:tr2bl w:val="nil"/>
            </w:tcBorders>
            <w:noWrap w:val="0"/>
            <w:vAlign w:val="center"/>
          </w:tcPr>
          <w:p>
            <w:pPr>
              <w:pStyle w:val="23"/>
              <w:spacing w:line="240" w:lineRule="auto"/>
              <w:ind w:firstLine="480"/>
              <w:rPr>
                <w:rFonts w:ascii="仿宋" w:hAnsi="仿宋" w:eastAsia="仿宋" w:cs="仿宋"/>
                <w:sz w:val="22"/>
                <w:szCs w:val="22"/>
              </w:rPr>
            </w:pPr>
            <w:r>
              <w:rPr>
                <w:rFonts w:hint="eastAsia" w:ascii="仿宋" w:hAnsi="仿宋" w:eastAsia="仿宋" w:cs="仿宋"/>
                <w:sz w:val="22"/>
                <w:szCs w:val="22"/>
              </w:rPr>
              <w:t>投标人所提供产品厂家具有数字图书借阅机系统著作权得1分</w:t>
            </w:r>
          </w:p>
          <w:p>
            <w:pPr>
              <w:pStyle w:val="23"/>
              <w:spacing w:line="240" w:lineRule="auto"/>
              <w:ind w:firstLine="440" w:firstLineChars="200"/>
              <w:rPr>
                <w:rFonts w:hint="eastAsia" w:ascii="仿宋" w:hAnsi="仿宋" w:eastAsia="仿宋" w:cs="仿宋"/>
                <w:kern w:val="2"/>
                <w:sz w:val="22"/>
                <w:szCs w:val="22"/>
                <w:lang w:val="en-US" w:eastAsia="zh-CN" w:bidi="ar-SA"/>
              </w:rPr>
            </w:pPr>
            <w:r>
              <w:rPr>
                <w:rFonts w:hint="eastAsia" w:ascii="仿宋" w:hAnsi="仿宋" w:eastAsia="仿宋" w:cs="仿宋"/>
                <w:sz w:val="22"/>
                <w:szCs w:val="22"/>
              </w:rPr>
              <w:t>证明材料：认证复印件加盖公章</w:t>
            </w:r>
          </w:p>
        </w:tc>
      </w:tr>
    </w:tbl>
    <w:p>
      <w:pPr>
        <w:ind w:firstLine="0" w:firstLineChars="0"/>
        <w:rPr>
          <w:rFonts w:ascii="仿宋" w:hAnsi="仿宋" w:eastAsia="仿宋" w:cs="仿宋"/>
          <w:sz w:val="21"/>
          <w:szCs w:val="21"/>
        </w:rPr>
      </w:pPr>
      <w:r>
        <w:rPr>
          <w:rFonts w:hint="eastAsia" w:ascii="仿宋" w:hAnsi="仿宋" w:eastAsia="仿宋" w:cs="仿宋"/>
          <w:sz w:val="22"/>
        </w:rPr>
        <w:t>备</w:t>
      </w:r>
      <w:r>
        <w:rPr>
          <w:rFonts w:hint="eastAsia" w:ascii="仿宋" w:hAnsi="仿宋" w:eastAsia="仿宋" w:cs="仿宋"/>
          <w:sz w:val="20"/>
          <w:szCs w:val="20"/>
        </w:rPr>
        <w:t>注：1、</w:t>
      </w:r>
      <w:r>
        <w:rPr>
          <w:rFonts w:hint="eastAsia" w:ascii="仿宋" w:hAnsi="仿宋" w:eastAsia="仿宋" w:cs="仿宋"/>
          <w:sz w:val="21"/>
          <w:szCs w:val="21"/>
        </w:rPr>
        <w:t>最终得分取平均值时按四舍五入法保留到小数点后两位数。</w:t>
      </w:r>
    </w:p>
    <w:p>
      <w:pPr>
        <w:pStyle w:val="72"/>
        <w:widowControl w:val="0"/>
        <w:spacing w:before="0" w:beforeAutospacing="0" w:after="0" w:afterAutospacing="0" w:line="360" w:lineRule="auto"/>
        <w:rPr>
          <w:rFonts w:ascii="仿宋" w:hAnsi="仿宋" w:eastAsia="仿宋" w:cs="仿宋"/>
          <w:sz w:val="21"/>
          <w:szCs w:val="21"/>
        </w:rPr>
      </w:pPr>
      <w:r>
        <w:rPr>
          <w:rFonts w:hint="eastAsia" w:ascii="仿宋" w:hAnsi="仿宋" w:eastAsia="仿宋" w:cs="仿宋"/>
          <w:sz w:val="21"/>
          <w:szCs w:val="21"/>
        </w:rPr>
        <w:t xml:space="preserve">      2、在评标过程中，评标委员会认为投标人的报价明显低于成本，有可能影响产品质量或者不</w:t>
      </w:r>
    </w:p>
    <w:p>
      <w:pPr>
        <w:pStyle w:val="72"/>
        <w:widowControl w:val="0"/>
        <w:spacing w:before="0" w:beforeAutospacing="0" w:after="0" w:afterAutospacing="0" w:line="360" w:lineRule="auto"/>
        <w:rPr>
          <w:rFonts w:ascii="仿宋" w:hAnsi="仿宋" w:eastAsia="仿宋" w:cs="仿宋"/>
          <w:sz w:val="21"/>
          <w:szCs w:val="21"/>
        </w:rPr>
      </w:pPr>
      <w:r>
        <w:rPr>
          <w:rFonts w:hint="eastAsia" w:ascii="仿宋" w:hAnsi="仿宋" w:eastAsia="仿宋" w:cs="仿宋"/>
          <w:sz w:val="21"/>
          <w:szCs w:val="21"/>
        </w:rPr>
        <w:t xml:space="preserve">         能诚信履约的，应当要求其在评标现场合理的时间内提供书面说明，并提交相关证明材料。</w:t>
      </w:r>
    </w:p>
    <w:p>
      <w:pPr>
        <w:pStyle w:val="72"/>
        <w:widowControl w:val="0"/>
        <w:spacing w:before="0" w:beforeAutospacing="0" w:after="0" w:afterAutospacing="0" w:line="360" w:lineRule="auto"/>
        <w:rPr>
          <w:rFonts w:ascii="仿宋" w:hAnsi="仿宋" w:eastAsia="仿宋" w:cs="仿宋"/>
          <w:sz w:val="21"/>
          <w:szCs w:val="21"/>
        </w:rPr>
      </w:pPr>
      <w:r>
        <w:rPr>
          <w:rFonts w:hint="eastAsia" w:ascii="仿宋" w:hAnsi="仿宋" w:eastAsia="仿宋" w:cs="仿宋"/>
          <w:sz w:val="21"/>
          <w:szCs w:val="21"/>
        </w:rPr>
        <w:t xml:space="preserve">         投标人不能证明其报价合理性的，评标委员会应当将其投标文件作为无效处理。</w:t>
      </w:r>
    </w:p>
    <w:p>
      <w:pPr>
        <w:pStyle w:val="72"/>
        <w:widowControl w:val="0"/>
        <w:spacing w:before="0" w:beforeAutospacing="0" w:after="0" w:afterAutospacing="0" w:line="360" w:lineRule="auto"/>
        <w:rPr>
          <w:rFonts w:ascii="仿宋" w:hAnsi="仿宋" w:eastAsia="仿宋" w:cs="仿宋"/>
          <w:sz w:val="21"/>
          <w:szCs w:val="21"/>
        </w:rPr>
      </w:pPr>
      <w:r>
        <w:rPr>
          <w:rFonts w:hint="eastAsia" w:ascii="仿宋" w:hAnsi="仿宋" w:eastAsia="仿宋" w:cs="仿宋"/>
          <w:sz w:val="21"/>
          <w:szCs w:val="21"/>
        </w:rPr>
        <w:t xml:space="preserve">      3、对于非专门面向中小企业的项目，对小型和微型企业产品的价格给予6%的扣除，用扣除</w:t>
      </w:r>
    </w:p>
    <w:p>
      <w:pPr>
        <w:pStyle w:val="72"/>
        <w:widowControl w:val="0"/>
        <w:spacing w:before="0" w:beforeAutospacing="0" w:after="0" w:afterAutospacing="0" w:line="360" w:lineRule="auto"/>
        <w:rPr>
          <w:rFonts w:ascii="仿宋" w:hAnsi="仿宋" w:eastAsia="仿宋" w:cs="仿宋"/>
          <w:sz w:val="21"/>
          <w:szCs w:val="21"/>
        </w:rPr>
      </w:pPr>
      <w:r>
        <w:rPr>
          <w:rFonts w:hint="eastAsia" w:ascii="仿宋" w:hAnsi="仿宋" w:eastAsia="仿宋" w:cs="仿宋"/>
          <w:sz w:val="21"/>
          <w:szCs w:val="21"/>
        </w:rPr>
        <w:t xml:space="preserve">         后的价格参与评审。</w:t>
      </w:r>
    </w:p>
    <w:sectPr>
      <w:footnotePr>
        <w:numFmt w:val="decimalEnclosedCircleChinese"/>
      </w:footnotePr>
      <w:pgSz w:w="11906" w:h="16838"/>
      <w:pgMar w:top="1418" w:right="1418" w:bottom="1418" w:left="1418" w:header="567"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System">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360"/>
      <w:rPr>
        <w:rStyle w:val="126"/>
      </w:rPr>
    </w:pPr>
    <w:r>
      <w:rPr>
        <w:rStyle w:val="126"/>
      </w:rPr>
      <w:fldChar w:fldCharType="begin"/>
    </w:r>
    <w:r>
      <w:rPr>
        <w:rStyle w:val="126"/>
      </w:rPr>
      <w:instrText xml:space="preserve">PAGE  </w:instrText>
    </w:r>
    <w:r>
      <w:rPr>
        <w:rStyle w:val="126"/>
      </w:rPr>
      <w:fldChar w:fldCharType="end"/>
    </w:r>
  </w:p>
  <w:p>
    <w:pPr>
      <w:pStyle w:val="4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right="360" w:firstLine="360"/>
      <w:jc w:val="both"/>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8"/>
                  <w:ind w:firstLine="360"/>
                  <w:jc w:val="center"/>
                  <w:rPr>
                    <w:rStyle w:val="126"/>
                  </w:rPr>
                </w:pPr>
                <w:r>
                  <w:rPr>
                    <w:rStyle w:val="126"/>
                  </w:rPr>
                  <w:fldChar w:fldCharType="begin"/>
                </w:r>
                <w:r>
                  <w:rPr>
                    <w:rStyle w:val="126"/>
                  </w:rPr>
                  <w:instrText xml:space="preserve">PAGE  </w:instrText>
                </w:r>
                <w:r>
                  <w:rPr>
                    <w:rStyle w:val="126"/>
                  </w:rPr>
                  <w:fldChar w:fldCharType="separate"/>
                </w:r>
                <w:r>
                  <w:rPr>
                    <w:rStyle w:val="126"/>
                  </w:rPr>
                  <w:t>41</w:t>
                </w:r>
                <w:r>
                  <w:rPr>
                    <w:rStyle w:val="126"/>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3437B6"/>
    <w:multiLevelType w:val="singleLevel"/>
    <w:tmpl w:val="A03437B6"/>
    <w:lvl w:ilvl="0" w:tentative="0">
      <w:start w:val="2"/>
      <w:numFmt w:val="decimal"/>
      <w:suff w:val="nothing"/>
      <w:lvlText w:val="%1、"/>
      <w:lvlJc w:val="left"/>
    </w:lvl>
  </w:abstractNum>
  <w:abstractNum w:abstractNumId="1">
    <w:nsid w:val="D1413F53"/>
    <w:multiLevelType w:val="singleLevel"/>
    <w:tmpl w:val="D1413F53"/>
    <w:lvl w:ilvl="0" w:tentative="0">
      <w:start w:val="6"/>
      <w:numFmt w:val="decimal"/>
      <w:suff w:val="nothing"/>
      <w:lvlText w:val="%1．"/>
      <w:lvlJc w:val="left"/>
    </w:lvl>
  </w:abstractNum>
  <w:abstractNum w:abstractNumId="2">
    <w:nsid w:val="E73FC53A"/>
    <w:multiLevelType w:val="singleLevel"/>
    <w:tmpl w:val="E73FC53A"/>
    <w:lvl w:ilvl="0" w:tentative="0">
      <w:start w:val="21"/>
      <w:numFmt w:val="decimal"/>
      <w:suff w:val="nothing"/>
      <w:lvlText w:val="%1．"/>
      <w:lvlJc w:val="left"/>
    </w:lvl>
  </w:abstractNum>
  <w:abstractNum w:abstractNumId="3">
    <w:nsid w:val="F550F083"/>
    <w:multiLevelType w:val="singleLevel"/>
    <w:tmpl w:val="F550F083"/>
    <w:lvl w:ilvl="0" w:tentative="0">
      <w:start w:val="1"/>
      <w:numFmt w:val="decimal"/>
      <w:suff w:val="nothing"/>
      <w:lvlText w:val="%1、"/>
      <w:lvlJc w:val="left"/>
    </w:lvl>
  </w:abstractNum>
  <w:abstractNum w:abstractNumId="4">
    <w:nsid w:val="FFFFFF7C"/>
    <w:multiLevelType w:val="singleLevel"/>
    <w:tmpl w:val="FFFFFF7C"/>
    <w:lvl w:ilvl="0" w:tentative="0">
      <w:start w:val="1"/>
      <w:numFmt w:val="decimal"/>
      <w:pStyle w:val="58"/>
      <w:lvlText w:val="%1."/>
      <w:lvlJc w:val="left"/>
      <w:pPr>
        <w:tabs>
          <w:tab w:val="left" w:pos="2040"/>
        </w:tabs>
        <w:ind w:left="2040" w:leftChars="800" w:hanging="360" w:hangingChars="200"/>
      </w:pPr>
    </w:lvl>
  </w:abstractNum>
  <w:abstractNum w:abstractNumId="5">
    <w:nsid w:val="FFFFFF7D"/>
    <w:multiLevelType w:val="singleLevel"/>
    <w:tmpl w:val="FFFFFF7D"/>
    <w:lvl w:ilvl="0" w:tentative="0">
      <w:start w:val="1"/>
      <w:numFmt w:val="decimal"/>
      <w:pStyle w:val="40"/>
      <w:lvlText w:val="%1."/>
      <w:lvlJc w:val="left"/>
      <w:pPr>
        <w:tabs>
          <w:tab w:val="left" w:pos="1620"/>
        </w:tabs>
        <w:ind w:left="1620" w:leftChars="600" w:hanging="360" w:hangingChars="200"/>
      </w:pPr>
    </w:lvl>
  </w:abstractNum>
  <w:abstractNum w:abstractNumId="6">
    <w:nsid w:val="FFFFFF7E"/>
    <w:multiLevelType w:val="singleLevel"/>
    <w:tmpl w:val="FFFFFF7E"/>
    <w:lvl w:ilvl="0" w:tentative="0">
      <w:start w:val="1"/>
      <w:numFmt w:val="decimal"/>
      <w:pStyle w:val="30"/>
      <w:lvlText w:val="%1."/>
      <w:lvlJc w:val="left"/>
      <w:pPr>
        <w:tabs>
          <w:tab w:val="left" w:pos="1200"/>
        </w:tabs>
        <w:ind w:left="1200" w:leftChars="400" w:hanging="360" w:hangingChars="200"/>
      </w:pPr>
    </w:lvl>
  </w:abstractNum>
  <w:abstractNum w:abstractNumId="7">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8">
    <w:nsid w:val="FFFFFF80"/>
    <w:multiLevelType w:val="singleLevel"/>
    <w:tmpl w:val="FFFFFF80"/>
    <w:lvl w:ilvl="0" w:tentative="0">
      <w:start w:val="1"/>
      <w:numFmt w:val="bullet"/>
      <w:pStyle w:val="39"/>
      <w:lvlText w:val=""/>
      <w:lvlJc w:val="left"/>
      <w:pPr>
        <w:tabs>
          <w:tab w:val="left" w:pos="2040"/>
        </w:tabs>
        <w:ind w:left="2040" w:leftChars="800" w:hanging="360" w:hangingChars="200"/>
      </w:pPr>
      <w:rPr>
        <w:rFonts w:hint="default" w:ascii="Wingdings" w:hAnsi="Wingdings"/>
      </w:rPr>
    </w:lvl>
  </w:abstractNum>
  <w:abstractNum w:abstractNumId="9">
    <w:nsid w:val="FFFFFF81"/>
    <w:multiLevelType w:val="singleLevel"/>
    <w:tmpl w:val="FFFFFF81"/>
    <w:lvl w:ilvl="0" w:tentative="0">
      <w:start w:val="1"/>
      <w:numFmt w:val="bullet"/>
      <w:pStyle w:val="16"/>
      <w:lvlText w:val=""/>
      <w:lvlJc w:val="left"/>
      <w:pPr>
        <w:tabs>
          <w:tab w:val="left" w:pos="1620"/>
        </w:tabs>
        <w:ind w:left="1620" w:leftChars="600" w:hanging="360" w:hangingChars="200"/>
      </w:pPr>
      <w:rPr>
        <w:rFonts w:hint="default" w:ascii="Wingdings" w:hAnsi="Wingdings"/>
      </w:rPr>
    </w:lvl>
  </w:abstractNum>
  <w:abstractNum w:abstractNumId="10">
    <w:nsid w:val="FFFFFF82"/>
    <w:multiLevelType w:val="singleLevel"/>
    <w:tmpl w:val="FFFFFF82"/>
    <w:lvl w:ilvl="0" w:tentative="0">
      <w:start w:val="1"/>
      <w:numFmt w:val="bullet"/>
      <w:pStyle w:val="27"/>
      <w:lvlText w:val=""/>
      <w:lvlJc w:val="left"/>
      <w:pPr>
        <w:tabs>
          <w:tab w:val="left" w:pos="1200"/>
        </w:tabs>
        <w:ind w:left="1200" w:leftChars="400" w:hanging="360" w:hangingChars="200"/>
      </w:pPr>
      <w:rPr>
        <w:rFonts w:hint="default" w:ascii="Wingdings" w:hAnsi="Wingdings"/>
      </w:rPr>
    </w:lvl>
  </w:abstractNum>
  <w:abstractNum w:abstractNumId="11">
    <w:nsid w:val="FFFFFF83"/>
    <w:multiLevelType w:val="singleLevel"/>
    <w:tmpl w:val="FFFFFF83"/>
    <w:lvl w:ilvl="0" w:tentative="0">
      <w:start w:val="1"/>
      <w:numFmt w:val="bullet"/>
      <w:pStyle w:val="34"/>
      <w:lvlText w:val=""/>
      <w:lvlJc w:val="left"/>
      <w:pPr>
        <w:tabs>
          <w:tab w:val="left" w:pos="780"/>
        </w:tabs>
        <w:ind w:left="780" w:leftChars="200" w:hanging="360" w:hangingChars="200"/>
      </w:pPr>
      <w:rPr>
        <w:rFonts w:hint="default" w:ascii="Wingdings" w:hAnsi="Wingdings"/>
      </w:rPr>
    </w:lvl>
  </w:abstractNum>
  <w:abstractNum w:abstractNumId="12">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13">
    <w:nsid w:val="FFFFFF89"/>
    <w:multiLevelType w:val="singleLevel"/>
    <w:tmpl w:val="FFFFFF89"/>
    <w:lvl w:ilvl="0" w:tentative="0">
      <w:start w:val="1"/>
      <w:numFmt w:val="bullet"/>
      <w:pStyle w:val="20"/>
      <w:lvlText w:val=""/>
      <w:lvlJc w:val="left"/>
      <w:pPr>
        <w:tabs>
          <w:tab w:val="left" w:pos="360"/>
        </w:tabs>
        <w:ind w:left="360" w:hanging="360" w:hangingChars="200"/>
      </w:pPr>
      <w:rPr>
        <w:rFonts w:hint="default" w:ascii="Wingdings" w:hAnsi="Wingdings"/>
      </w:rPr>
    </w:lvl>
  </w:abstractNum>
  <w:abstractNum w:abstractNumId="14">
    <w:nsid w:val="083040A8"/>
    <w:multiLevelType w:val="multilevel"/>
    <w:tmpl w:val="083040A8"/>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5">
    <w:nsid w:val="0E602564"/>
    <w:multiLevelType w:val="multilevel"/>
    <w:tmpl w:val="0E602564"/>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0EA75764"/>
    <w:multiLevelType w:val="multilevel"/>
    <w:tmpl w:val="0EA75764"/>
    <w:lvl w:ilvl="0" w:tentative="0">
      <w:start w:val="1"/>
      <w:numFmt w:val="chineseCountingThousand"/>
      <w:pStyle w:val="216"/>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F061DD4"/>
    <w:multiLevelType w:val="multilevel"/>
    <w:tmpl w:val="0F061DD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0F1B3F45"/>
    <w:multiLevelType w:val="multilevel"/>
    <w:tmpl w:val="0F1B3F45"/>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131121EB"/>
    <w:multiLevelType w:val="multilevel"/>
    <w:tmpl w:val="131121EB"/>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0">
    <w:nsid w:val="146D572D"/>
    <w:multiLevelType w:val="singleLevel"/>
    <w:tmpl w:val="146D572D"/>
    <w:lvl w:ilvl="0" w:tentative="0">
      <w:start w:val="2"/>
      <w:numFmt w:val="decimal"/>
      <w:suff w:val="nothing"/>
      <w:lvlText w:val="%1、"/>
      <w:lvlJc w:val="left"/>
    </w:lvl>
  </w:abstractNum>
  <w:abstractNum w:abstractNumId="21">
    <w:nsid w:val="1B717C59"/>
    <w:multiLevelType w:val="multilevel"/>
    <w:tmpl w:val="1B717C5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173"/>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174"/>
      <w:isLgl/>
      <w:lvlText w:val="%1.%2.%3"/>
      <w:lvlJc w:val="left"/>
      <w:pPr>
        <w:tabs>
          <w:tab w:val="left" w:pos="993"/>
        </w:tabs>
        <w:ind w:left="142"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178"/>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3">
    <w:nsid w:val="24160B13"/>
    <w:multiLevelType w:val="multilevel"/>
    <w:tmpl w:val="24160B1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26A07073"/>
    <w:multiLevelType w:val="multilevel"/>
    <w:tmpl w:val="26A07073"/>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5">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pStyle w:val="153"/>
      <w:lvlText w:val="%2、"/>
      <w:lvlJc w:val="left"/>
      <w:pPr>
        <w:ind w:left="3256" w:hanging="420"/>
      </w:pPr>
      <w:rPr>
        <w:rFonts w:hint="eastAsia"/>
        <w:b/>
      </w:rPr>
    </w:lvl>
    <w:lvl w:ilvl="2" w:tentative="0">
      <w:start w:val="1"/>
      <w:numFmt w:val="chineseCountingThousand"/>
      <w:pStyle w:val="154"/>
      <w:lvlText w:val="（%3）"/>
      <w:lvlJc w:val="left"/>
      <w:pPr>
        <w:ind w:left="1260" w:hanging="420"/>
      </w:pPr>
      <w:rPr>
        <w:rFonts w:hint="eastAsia"/>
        <w:b/>
        <w:sz w:val="28"/>
        <w:szCs w:val="28"/>
        <w:lang w:val="en-US"/>
      </w:rPr>
    </w:lvl>
    <w:lvl w:ilvl="3" w:tentative="0">
      <w:start w:val="1"/>
      <w:numFmt w:val="decimal"/>
      <w:pStyle w:val="6"/>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6">
    <w:nsid w:val="27592B7C"/>
    <w:multiLevelType w:val="multilevel"/>
    <w:tmpl w:val="27592B7C"/>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2D3914F8"/>
    <w:multiLevelType w:val="multilevel"/>
    <w:tmpl w:val="2D3914F8"/>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8">
    <w:nsid w:val="3FEB688B"/>
    <w:multiLevelType w:val="multilevel"/>
    <w:tmpl w:val="3FEB688B"/>
    <w:lvl w:ilvl="0" w:tentative="0">
      <w:start w:val="1"/>
      <w:numFmt w:val="decimal"/>
      <w:lvlText w:val="%1."/>
      <w:lvlJc w:val="left"/>
      <w:pPr>
        <w:ind w:left="980" w:hanging="420"/>
      </w:pPr>
      <w:rPr>
        <w:rFonts w:hint="default"/>
      </w:rPr>
    </w:lvl>
    <w:lvl w:ilvl="1" w:tentative="0">
      <w:start w:val="1"/>
      <w:numFmt w:val="decimal"/>
      <w:lvlText w:val="（%2）"/>
      <w:lvlJc w:val="left"/>
      <w:pPr>
        <w:ind w:left="1820" w:hanging="84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9">
    <w:nsid w:val="4C580020"/>
    <w:multiLevelType w:val="singleLevel"/>
    <w:tmpl w:val="4C580020"/>
    <w:lvl w:ilvl="0" w:tentative="0">
      <w:start w:val="1"/>
      <w:numFmt w:val="decimal"/>
      <w:suff w:val="nothing"/>
      <w:lvlText w:val="%1．"/>
      <w:lvlJc w:val="left"/>
    </w:lvl>
  </w:abstractNum>
  <w:abstractNum w:abstractNumId="30">
    <w:nsid w:val="4EA30E5E"/>
    <w:multiLevelType w:val="multilevel"/>
    <w:tmpl w:val="4EA30E5E"/>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1">
    <w:nsid w:val="54E7372E"/>
    <w:multiLevelType w:val="singleLevel"/>
    <w:tmpl w:val="54E7372E"/>
    <w:lvl w:ilvl="0" w:tentative="0">
      <w:start w:val="1"/>
      <w:numFmt w:val="decimal"/>
      <w:lvlText w:val="%1."/>
      <w:lvlJc w:val="left"/>
      <w:pPr>
        <w:ind w:left="425" w:hanging="425"/>
      </w:pPr>
      <w:rPr>
        <w:rFonts w:hint="default"/>
      </w:rPr>
    </w:lvl>
  </w:abstractNum>
  <w:abstractNum w:abstractNumId="32">
    <w:nsid w:val="5D2A66E2"/>
    <w:multiLevelType w:val="multilevel"/>
    <w:tmpl w:val="5D2A66E2"/>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3">
    <w:nsid w:val="61D15E7D"/>
    <w:multiLevelType w:val="multilevel"/>
    <w:tmpl w:val="61D15E7D"/>
    <w:lvl w:ilvl="0" w:tentative="0">
      <w:start w:val="1"/>
      <w:numFmt w:val="chineseCountingThousand"/>
      <w:pStyle w:val="218"/>
      <w:lvlText w:val="(%1)"/>
      <w:lvlJc w:val="left"/>
      <w:pPr>
        <w:ind w:left="1440" w:hanging="7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4">
    <w:nsid w:val="620521FD"/>
    <w:multiLevelType w:val="multilevel"/>
    <w:tmpl w:val="620521FD"/>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5">
    <w:nsid w:val="66144C93"/>
    <w:multiLevelType w:val="multilevel"/>
    <w:tmpl w:val="66144C93"/>
    <w:lvl w:ilvl="0" w:tentative="0">
      <w:start w:val="1"/>
      <w:numFmt w:val="decimal"/>
      <w:lvlText w:val="%1）"/>
      <w:lvlJc w:val="left"/>
      <w:pPr>
        <w:ind w:left="1840" w:hanging="720"/>
      </w:pPr>
      <w:rPr>
        <w:rFonts w:hint="default"/>
      </w:rPr>
    </w:lvl>
    <w:lvl w:ilvl="1" w:tentative="0">
      <w:start w:val="1"/>
      <w:numFmt w:val="lowerLetter"/>
      <w:lvlText w:val="%2)"/>
      <w:lvlJc w:val="left"/>
      <w:pPr>
        <w:ind w:left="1960" w:hanging="420"/>
      </w:pPr>
    </w:lvl>
    <w:lvl w:ilvl="2" w:tentative="0">
      <w:start w:val="1"/>
      <w:numFmt w:val="lowerRoman"/>
      <w:lvlText w:val="%3."/>
      <w:lvlJc w:val="right"/>
      <w:pPr>
        <w:ind w:left="2380" w:hanging="420"/>
      </w:pPr>
    </w:lvl>
    <w:lvl w:ilvl="3" w:tentative="0">
      <w:start w:val="1"/>
      <w:numFmt w:val="decimal"/>
      <w:lvlText w:val="%4."/>
      <w:lvlJc w:val="left"/>
      <w:pPr>
        <w:ind w:left="2800" w:hanging="420"/>
      </w:pPr>
    </w:lvl>
    <w:lvl w:ilvl="4" w:tentative="0">
      <w:start w:val="1"/>
      <w:numFmt w:val="lowerLetter"/>
      <w:lvlText w:val="%5)"/>
      <w:lvlJc w:val="left"/>
      <w:pPr>
        <w:ind w:left="3220" w:hanging="420"/>
      </w:pPr>
    </w:lvl>
    <w:lvl w:ilvl="5" w:tentative="0">
      <w:start w:val="1"/>
      <w:numFmt w:val="lowerRoman"/>
      <w:lvlText w:val="%6."/>
      <w:lvlJc w:val="right"/>
      <w:pPr>
        <w:ind w:left="3640" w:hanging="420"/>
      </w:pPr>
    </w:lvl>
    <w:lvl w:ilvl="6" w:tentative="0">
      <w:start w:val="1"/>
      <w:numFmt w:val="decimal"/>
      <w:lvlText w:val="%7."/>
      <w:lvlJc w:val="left"/>
      <w:pPr>
        <w:ind w:left="4060" w:hanging="420"/>
      </w:pPr>
    </w:lvl>
    <w:lvl w:ilvl="7" w:tentative="0">
      <w:start w:val="1"/>
      <w:numFmt w:val="lowerLetter"/>
      <w:lvlText w:val="%8)"/>
      <w:lvlJc w:val="left"/>
      <w:pPr>
        <w:ind w:left="4480" w:hanging="420"/>
      </w:pPr>
    </w:lvl>
    <w:lvl w:ilvl="8" w:tentative="0">
      <w:start w:val="1"/>
      <w:numFmt w:val="lowerRoman"/>
      <w:lvlText w:val="%9."/>
      <w:lvlJc w:val="right"/>
      <w:pPr>
        <w:ind w:left="4900" w:hanging="420"/>
      </w:pPr>
    </w:lvl>
  </w:abstractNum>
  <w:abstractNum w:abstractNumId="36">
    <w:nsid w:val="6C85756F"/>
    <w:multiLevelType w:val="multilevel"/>
    <w:tmpl w:val="6C85756F"/>
    <w:lvl w:ilvl="0" w:tentative="0">
      <w:start w:val="1"/>
      <w:numFmt w:val="bullet"/>
      <w:pStyle w:val="433"/>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5A04448"/>
    <w:multiLevelType w:val="singleLevel"/>
    <w:tmpl w:val="75A04448"/>
    <w:lvl w:ilvl="0" w:tentative="0">
      <w:start w:val="1"/>
      <w:numFmt w:val="decimal"/>
      <w:pStyle w:val="181"/>
      <w:lvlText w:val="[%1]"/>
      <w:lvlJc w:val="left"/>
      <w:pPr>
        <w:tabs>
          <w:tab w:val="left" w:pos="567"/>
        </w:tabs>
        <w:ind w:left="567" w:hanging="567"/>
      </w:pPr>
      <w:rPr>
        <w:rFonts w:hint="eastAsia"/>
        <w:sz w:val="24"/>
        <w:szCs w:val="24"/>
      </w:rPr>
    </w:lvl>
  </w:abstractNum>
  <w:num w:numId="1">
    <w:abstractNumId w:val="25"/>
  </w:num>
  <w:num w:numId="2">
    <w:abstractNumId w:val="7"/>
  </w:num>
  <w:num w:numId="3">
    <w:abstractNumId w:val="9"/>
  </w:num>
  <w:num w:numId="4">
    <w:abstractNumId w:val="12"/>
  </w:num>
  <w:num w:numId="5">
    <w:abstractNumId w:val="13"/>
  </w:num>
  <w:num w:numId="6">
    <w:abstractNumId w:val="10"/>
  </w:num>
  <w:num w:numId="7">
    <w:abstractNumId w:val="6"/>
  </w:num>
  <w:num w:numId="8">
    <w:abstractNumId w:val="11"/>
  </w:num>
  <w:num w:numId="9">
    <w:abstractNumId w:val="8"/>
  </w:num>
  <w:num w:numId="10">
    <w:abstractNumId w:val="5"/>
  </w:num>
  <w:num w:numId="11">
    <w:abstractNumId w:val="4"/>
  </w:num>
  <w:num w:numId="12">
    <w:abstractNumId w:val="22"/>
  </w:num>
  <w:num w:numId="13">
    <w:abstractNumId w:val="37"/>
  </w:num>
  <w:num w:numId="14">
    <w:abstractNumId w:val="16"/>
  </w:num>
  <w:num w:numId="15">
    <w:abstractNumId w:val="33"/>
  </w:num>
  <w:num w:numId="16">
    <w:abstractNumId w:val="36"/>
  </w:num>
  <w:num w:numId="17">
    <w:abstractNumId w:val="18"/>
  </w:num>
  <w:num w:numId="18">
    <w:abstractNumId w:val="30"/>
  </w:num>
  <w:num w:numId="19">
    <w:abstractNumId w:val="27"/>
  </w:num>
  <w:num w:numId="20">
    <w:abstractNumId w:val="23"/>
  </w:num>
  <w:num w:numId="21">
    <w:abstractNumId w:val="19"/>
  </w:num>
  <w:num w:numId="22">
    <w:abstractNumId w:val="32"/>
  </w:num>
  <w:num w:numId="23">
    <w:abstractNumId w:val="35"/>
  </w:num>
  <w:num w:numId="24">
    <w:abstractNumId w:val="24"/>
  </w:num>
  <w:num w:numId="25">
    <w:abstractNumId w:val="26"/>
  </w:num>
  <w:num w:numId="26">
    <w:abstractNumId w:val="21"/>
  </w:num>
  <w:num w:numId="27">
    <w:abstractNumId w:val="15"/>
  </w:num>
  <w:num w:numId="28">
    <w:abstractNumId w:val="14"/>
  </w:num>
  <w:num w:numId="29">
    <w:abstractNumId w:val="28"/>
  </w:num>
  <w:num w:numId="30">
    <w:abstractNumId w:val="34"/>
  </w:num>
  <w:num w:numId="31">
    <w:abstractNumId w:val="29"/>
  </w:num>
  <w:num w:numId="32">
    <w:abstractNumId w:val="1"/>
  </w:num>
  <w:num w:numId="33">
    <w:abstractNumId w:val="2"/>
  </w:num>
  <w:num w:numId="34">
    <w:abstractNumId w:val="0"/>
  </w:num>
  <w:num w:numId="35">
    <w:abstractNumId w:val="17"/>
  </w:num>
  <w:num w:numId="36">
    <w:abstractNumId w:val="20"/>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0474"/>
    <w:rsid w:val="00001CE8"/>
    <w:rsid w:val="0000399C"/>
    <w:rsid w:val="0000444F"/>
    <w:rsid w:val="00006660"/>
    <w:rsid w:val="00007121"/>
    <w:rsid w:val="000135F4"/>
    <w:rsid w:val="00015620"/>
    <w:rsid w:val="00017535"/>
    <w:rsid w:val="00020D41"/>
    <w:rsid w:val="00024089"/>
    <w:rsid w:val="0002484D"/>
    <w:rsid w:val="00026D7A"/>
    <w:rsid w:val="00030772"/>
    <w:rsid w:val="00030A60"/>
    <w:rsid w:val="00030AD1"/>
    <w:rsid w:val="00031623"/>
    <w:rsid w:val="0003174C"/>
    <w:rsid w:val="00031AB2"/>
    <w:rsid w:val="00031B70"/>
    <w:rsid w:val="00033448"/>
    <w:rsid w:val="0003516D"/>
    <w:rsid w:val="0003541E"/>
    <w:rsid w:val="000356F3"/>
    <w:rsid w:val="00036CC5"/>
    <w:rsid w:val="00036E91"/>
    <w:rsid w:val="00037D5D"/>
    <w:rsid w:val="0004118A"/>
    <w:rsid w:val="000445CA"/>
    <w:rsid w:val="000447B1"/>
    <w:rsid w:val="00044A33"/>
    <w:rsid w:val="00046364"/>
    <w:rsid w:val="00046A87"/>
    <w:rsid w:val="00047651"/>
    <w:rsid w:val="000505FF"/>
    <w:rsid w:val="0005347F"/>
    <w:rsid w:val="00053543"/>
    <w:rsid w:val="0005412D"/>
    <w:rsid w:val="000559E7"/>
    <w:rsid w:val="00055C8E"/>
    <w:rsid w:val="00056A4A"/>
    <w:rsid w:val="00056B54"/>
    <w:rsid w:val="00057FBB"/>
    <w:rsid w:val="00060FAA"/>
    <w:rsid w:val="000614C5"/>
    <w:rsid w:val="00063496"/>
    <w:rsid w:val="000674FC"/>
    <w:rsid w:val="000702E8"/>
    <w:rsid w:val="00070F8E"/>
    <w:rsid w:val="00073264"/>
    <w:rsid w:val="000753FA"/>
    <w:rsid w:val="000756EF"/>
    <w:rsid w:val="00075E24"/>
    <w:rsid w:val="0007631F"/>
    <w:rsid w:val="00077EDA"/>
    <w:rsid w:val="00080C22"/>
    <w:rsid w:val="00082164"/>
    <w:rsid w:val="00082380"/>
    <w:rsid w:val="0008250A"/>
    <w:rsid w:val="00084919"/>
    <w:rsid w:val="000862BB"/>
    <w:rsid w:val="000947B9"/>
    <w:rsid w:val="00094B38"/>
    <w:rsid w:val="000961F5"/>
    <w:rsid w:val="00097549"/>
    <w:rsid w:val="000977AD"/>
    <w:rsid w:val="000A0461"/>
    <w:rsid w:val="000A1CC8"/>
    <w:rsid w:val="000A42D2"/>
    <w:rsid w:val="000A45E4"/>
    <w:rsid w:val="000A4FFD"/>
    <w:rsid w:val="000A6145"/>
    <w:rsid w:val="000A6171"/>
    <w:rsid w:val="000A6819"/>
    <w:rsid w:val="000A72B4"/>
    <w:rsid w:val="000B4503"/>
    <w:rsid w:val="000B5102"/>
    <w:rsid w:val="000B5197"/>
    <w:rsid w:val="000B5B22"/>
    <w:rsid w:val="000B641D"/>
    <w:rsid w:val="000B64A5"/>
    <w:rsid w:val="000C0EEE"/>
    <w:rsid w:val="000C419C"/>
    <w:rsid w:val="000C446A"/>
    <w:rsid w:val="000C55BF"/>
    <w:rsid w:val="000C596A"/>
    <w:rsid w:val="000C59E2"/>
    <w:rsid w:val="000C7780"/>
    <w:rsid w:val="000D0723"/>
    <w:rsid w:val="000D0B6F"/>
    <w:rsid w:val="000D0F0B"/>
    <w:rsid w:val="000D1569"/>
    <w:rsid w:val="000D2382"/>
    <w:rsid w:val="000D2B22"/>
    <w:rsid w:val="000D34D3"/>
    <w:rsid w:val="000D43DB"/>
    <w:rsid w:val="000D44FD"/>
    <w:rsid w:val="000D6E1C"/>
    <w:rsid w:val="000D7615"/>
    <w:rsid w:val="000D7827"/>
    <w:rsid w:val="000E08A8"/>
    <w:rsid w:val="000E0F44"/>
    <w:rsid w:val="000E14B9"/>
    <w:rsid w:val="000E5BAB"/>
    <w:rsid w:val="000E5C91"/>
    <w:rsid w:val="000E7636"/>
    <w:rsid w:val="000F16CA"/>
    <w:rsid w:val="000F18D6"/>
    <w:rsid w:val="000F2338"/>
    <w:rsid w:val="000F2A7F"/>
    <w:rsid w:val="000F2E9F"/>
    <w:rsid w:val="000F2FF6"/>
    <w:rsid w:val="000F67B0"/>
    <w:rsid w:val="000F71BC"/>
    <w:rsid w:val="000F77AA"/>
    <w:rsid w:val="001016AF"/>
    <w:rsid w:val="0010288F"/>
    <w:rsid w:val="00102988"/>
    <w:rsid w:val="00106F54"/>
    <w:rsid w:val="001104F3"/>
    <w:rsid w:val="00111FD0"/>
    <w:rsid w:val="001123D9"/>
    <w:rsid w:val="001140EC"/>
    <w:rsid w:val="001152EA"/>
    <w:rsid w:val="00117994"/>
    <w:rsid w:val="00117D86"/>
    <w:rsid w:val="001205A7"/>
    <w:rsid w:val="00120D93"/>
    <w:rsid w:val="00122AF2"/>
    <w:rsid w:val="00123E43"/>
    <w:rsid w:val="00124458"/>
    <w:rsid w:val="00125E4C"/>
    <w:rsid w:val="00130401"/>
    <w:rsid w:val="00130CAF"/>
    <w:rsid w:val="00131901"/>
    <w:rsid w:val="001335DC"/>
    <w:rsid w:val="001349FE"/>
    <w:rsid w:val="00135675"/>
    <w:rsid w:val="001363B8"/>
    <w:rsid w:val="0014168F"/>
    <w:rsid w:val="00141F78"/>
    <w:rsid w:val="001447F9"/>
    <w:rsid w:val="001466B0"/>
    <w:rsid w:val="00147655"/>
    <w:rsid w:val="001517D9"/>
    <w:rsid w:val="0015260B"/>
    <w:rsid w:val="00153642"/>
    <w:rsid w:val="00154F8D"/>
    <w:rsid w:val="001602AA"/>
    <w:rsid w:val="0016052C"/>
    <w:rsid w:val="00165462"/>
    <w:rsid w:val="00166950"/>
    <w:rsid w:val="001707B0"/>
    <w:rsid w:val="00170FB9"/>
    <w:rsid w:val="001727A6"/>
    <w:rsid w:val="00172804"/>
    <w:rsid w:val="00172E09"/>
    <w:rsid w:val="00173839"/>
    <w:rsid w:val="0017390E"/>
    <w:rsid w:val="0017541A"/>
    <w:rsid w:val="00175EE6"/>
    <w:rsid w:val="00180E72"/>
    <w:rsid w:val="00181CA8"/>
    <w:rsid w:val="00182754"/>
    <w:rsid w:val="00182A93"/>
    <w:rsid w:val="001842D5"/>
    <w:rsid w:val="001848A5"/>
    <w:rsid w:val="001857CA"/>
    <w:rsid w:val="001857D9"/>
    <w:rsid w:val="001877AE"/>
    <w:rsid w:val="00190E54"/>
    <w:rsid w:val="00190F3B"/>
    <w:rsid w:val="00191475"/>
    <w:rsid w:val="001935AE"/>
    <w:rsid w:val="001939BF"/>
    <w:rsid w:val="00193F3B"/>
    <w:rsid w:val="00195624"/>
    <w:rsid w:val="00196C9C"/>
    <w:rsid w:val="00197F31"/>
    <w:rsid w:val="001A0D4C"/>
    <w:rsid w:val="001A5A56"/>
    <w:rsid w:val="001B102F"/>
    <w:rsid w:val="001B508D"/>
    <w:rsid w:val="001B69D2"/>
    <w:rsid w:val="001B69DE"/>
    <w:rsid w:val="001B6AEB"/>
    <w:rsid w:val="001B6D0D"/>
    <w:rsid w:val="001B78EB"/>
    <w:rsid w:val="001C05FD"/>
    <w:rsid w:val="001C293C"/>
    <w:rsid w:val="001C7107"/>
    <w:rsid w:val="001C71EE"/>
    <w:rsid w:val="001C721A"/>
    <w:rsid w:val="001C7227"/>
    <w:rsid w:val="001C7CAF"/>
    <w:rsid w:val="001D116A"/>
    <w:rsid w:val="001D13DC"/>
    <w:rsid w:val="001D4949"/>
    <w:rsid w:val="001D4CBC"/>
    <w:rsid w:val="001D5767"/>
    <w:rsid w:val="001D5DA2"/>
    <w:rsid w:val="001D6B6E"/>
    <w:rsid w:val="001D6E01"/>
    <w:rsid w:val="001D700B"/>
    <w:rsid w:val="001E1EC8"/>
    <w:rsid w:val="001E32F1"/>
    <w:rsid w:val="001E406E"/>
    <w:rsid w:val="001E7F76"/>
    <w:rsid w:val="001F0692"/>
    <w:rsid w:val="001F0AA4"/>
    <w:rsid w:val="001F0BED"/>
    <w:rsid w:val="001F1DE6"/>
    <w:rsid w:val="001F2F46"/>
    <w:rsid w:val="001F5466"/>
    <w:rsid w:val="001F5605"/>
    <w:rsid w:val="001F5BEA"/>
    <w:rsid w:val="001F6779"/>
    <w:rsid w:val="001F77BE"/>
    <w:rsid w:val="001F7D28"/>
    <w:rsid w:val="00200FAF"/>
    <w:rsid w:val="0020191D"/>
    <w:rsid w:val="00203372"/>
    <w:rsid w:val="0020513B"/>
    <w:rsid w:val="0020591D"/>
    <w:rsid w:val="00206495"/>
    <w:rsid w:val="002077EC"/>
    <w:rsid w:val="00210845"/>
    <w:rsid w:val="00210F5E"/>
    <w:rsid w:val="00210FDD"/>
    <w:rsid w:val="00211365"/>
    <w:rsid w:val="0021443F"/>
    <w:rsid w:val="002166E5"/>
    <w:rsid w:val="00216887"/>
    <w:rsid w:val="00217EAB"/>
    <w:rsid w:val="002201D7"/>
    <w:rsid w:val="002221C2"/>
    <w:rsid w:val="0022384A"/>
    <w:rsid w:val="00223BF4"/>
    <w:rsid w:val="002244C3"/>
    <w:rsid w:val="00224973"/>
    <w:rsid w:val="00227F1C"/>
    <w:rsid w:val="00231C0E"/>
    <w:rsid w:val="0023297A"/>
    <w:rsid w:val="002334E9"/>
    <w:rsid w:val="002377E9"/>
    <w:rsid w:val="00241C9C"/>
    <w:rsid w:val="0024576F"/>
    <w:rsid w:val="002457AC"/>
    <w:rsid w:val="00246FA0"/>
    <w:rsid w:val="0024787C"/>
    <w:rsid w:val="00250006"/>
    <w:rsid w:val="002525B2"/>
    <w:rsid w:val="00253D3E"/>
    <w:rsid w:val="00254F2F"/>
    <w:rsid w:val="0025648F"/>
    <w:rsid w:val="002573B7"/>
    <w:rsid w:val="00257B33"/>
    <w:rsid w:val="002605C2"/>
    <w:rsid w:val="00261739"/>
    <w:rsid w:val="00262D2F"/>
    <w:rsid w:val="00270A6C"/>
    <w:rsid w:val="00270DFF"/>
    <w:rsid w:val="002723F1"/>
    <w:rsid w:val="002733F1"/>
    <w:rsid w:val="00273CDA"/>
    <w:rsid w:val="0027480A"/>
    <w:rsid w:val="0027516E"/>
    <w:rsid w:val="00277B5B"/>
    <w:rsid w:val="002831CE"/>
    <w:rsid w:val="002833B0"/>
    <w:rsid w:val="00284BFD"/>
    <w:rsid w:val="00285A99"/>
    <w:rsid w:val="00290560"/>
    <w:rsid w:val="00292534"/>
    <w:rsid w:val="00296831"/>
    <w:rsid w:val="00297455"/>
    <w:rsid w:val="002A194F"/>
    <w:rsid w:val="002A2BDA"/>
    <w:rsid w:val="002A342C"/>
    <w:rsid w:val="002A3D13"/>
    <w:rsid w:val="002A3FF4"/>
    <w:rsid w:val="002A4431"/>
    <w:rsid w:val="002A4E28"/>
    <w:rsid w:val="002B2F48"/>
    <w:rsid w:val="002B301D"/>
    <w:rsid w:val="002B3C2C"/>
    <w:rsid w:val="002B5A17"/>
    <w:rsid w:val="002B60A3"/>
    <w:rsid w:val="002B639C"/>
    <w:rsid w:val="002B696D"/>
    <w:rsid w:val="002B777B"/>
    <w:rsid w:val="002C1458"/>
    <w:rsid w:val="002C33B9"/>
    <w:rsid w:val="002C3660"/>
    <w:rsid w:val="002C49F0"/>
    <w:rsid w:val="002C7623"/>
    <w:rsid w:val="002C79AC"/>
    <w:rsid w:val="002D06BD"/>
    <w:rsid w:val="002D1142"/>
    <w:rsid w:val="002D1462"/>
    <w:rsid w:val="002D169D"/>
    <w:rsid w:val="002D27D5"/>
    <w:rsid w:val="002D2C90"/>
    <w:rsid w:val="002D36CB"/>
    <w:rsid w:val="002D39F1"/>
    <w:rsid w:val="002D4528"/>
    <w:rsid w:val="002D49DE"/>
    <w:rsid w:val="002D7278"/>
    <w:rsid w:val="002D75A6"/>
    <w:rsid w:val="002E03F2"/>
    <w:rsid w:val="002E0589"/>
    <w:rsid w:val="002E625C"/>
    <w:rsid w:val="002E7999"/>
    <w:rsid w:val="002F13DD"/>
    <w:rsid w:val="002F1F85"/>
    <w:rsid w:val="002F2B77"/>
    <w:rsid w:val="002F4BA4"/>
    <w:rsid w:val="002F6531"/>
    <w:rsid w:val="002F692F"/>
    <w:rsid w:val="002F6FE0"/>
    <w:rsid w:val="002F71FF"/>
    <w:rsid w:val="002F7598"/>
    <w:rsid w:val="002F795C"/>
    <w:rsid w:val="00300019"/>
    <w:rsid w:val="00300B68"/>
    <w:rsid w:val="00301E93"/>
    <w:rsid w:val="00304C4E"/>
    <w:rsid w:val="003060B9"/>
    <w:rsid w:val="00306F55"/>
    <w:rsid w:val="00311266"/>
    <w:rsid w:val="00311A1F"/>
    <w:rsid w:val="00312A67"/>
    <w:rsid w:val="003142ED"/>
    <w:rsid w:val="003164BA"/>
    <w:rsid w:val="00316D69"/>
    <w:rsid w:val="00317BDD"/>
    <w:rsid w:val="00317FB5"/>
    <w:rsid w:val="00320101"/>
    <w:rsid w:val="003204B3"/>
    <w:rsid w:val="003210A7"/>
    <w:rsid w:val="003243E6"/>
    <w:rsid w:val="003254BC"/>
    <w:rsid w:val="00325D7B"/>
    <w:rsid w:val="003276E4"/>
    <w:rsid w:val="00330BFB"/>
    <w:rsid w:val="00331C70"/>
    <w:rsid w:val="00331D70"/>
    <w:rsid w:val="00331E86"/>
    <w:rsid w:val="00333AB7"/>
    <w:rsid w:val="00333ADE"/>
    <w:rsid w:val="003350CF"/>
    <w:rsid w:val="00336944"/>
    <w:rsid w:val="0033793F"/>
    <w:rsid w:val="00340DA3"/>
    <w:rsid w:val="00343AC3"/>
    <w:rsid w:val="00343B49"/>
    <w:rsid w:val="00343B89"/>
    <w:rsid w:val="003449D4"/>
    <w:rsid w:val="003455B0"/>
    <w:rsid w:val="00347D4A"/>
    <w:rsid w:val="00350A8E"/>
    <w:rsid w:val="00351C08"/>
    <w:rsid w:val="0035228D"/>
    <w:rsid w:val="00352BEB"/>
    <w:rsid w:val="00352D4F"/>
    <w:rsid w:val="00354683"/>
    <w:rsid w:val="0035513A"/>
    <w:rsid w:val="00355689"/>
    <w:rsid w:val="00355C6B"/>
    <w:rsid w:val="003563E5"/>
    <w:rsid w:val="0036030F"/>
    <w:rsid w:val="00363041"/>
    <w:rsid w:val="0036320B"/>
    <w:rsid w:val="003659A6"/>
    <w:rsid w:val="0036698D"/>
    <w:rsid w:val="003703A3"/>
    <w:rsid w:val="00370901"/>
    <w:rsid w:val="003719D1"/>
    <w:rsid w:val="00372A49"/>
    <w:rsid w:val="00375FD6"/>
    <w:rsid w:val="003760CF"/>
    <w:rsid w:val="003762E6"/>
    <w:rsid w:val="00381CB4"/>
    <w:rsid w:val="00382361"/>
    <w:rsid w:val="00382E03"/>
    <w:rsid w:val="00382F7C"/>
    <w:rsid w:val="003840D6"/>
    <w:rsid w:val="003869BC"/>
    <w:rsid w:val="0038738B"/>
    <w:rsid w:val="0038755A"/>
    <w:rsid w:val="00390F01"/>
    <w:rsid w:val="003916B2"/>
    <w:rsid w:val="003920FE"/>
    <w:rsid w:val="00392C5F"/>
    <w:rsid w:val="00394CC6"/>
    <w:rsid w:val="00395625"/>
    <w:rsid w:val="003A1E8B"/>
    <w:rsid w:val="003A288C"/>
    <w:rsid w:val="003A36D8"/>
    <w:rsid w:val="003A52DE"/>
    <w:rsid w:val="003A728D"/>
    <w:rsid w:val="003B0A28"/>
    <w:rsid w:val="003B31C5"/>
    <w:rsid w:val="003B4294"/>
    <w:rsid w:val="003B5135"/>
    <w:rsid w:val="003B6C22"/>
    <w:rsid w:val="003B7775"/>
    <w:rsid w:val="003C0BF2"/>
    <w:rsid w:val="003C2F89"/>
    <w:rsid w:val="003C68BE"/>
    <w:rsid w:val="003C6BD9"/>
    <w:rsid w:val="003C7D47"/>
    <w:rsid w:val="003D0F8D"/>
    <w:rsid w:val="003D379E"/>
    <w:rsid w:val="003D49EA"/>
    <w:rsid w:val="003D73BF"/>
    <w:rsid w:val="003E1979"/>
    <w:rsid w:val="003E2133"/>
    <w:rsid w:val="003E68B5"/>
    <w:rsid w:val="003E6BF4"/>
    <w:rsid w:val="003F0464"/>
    <w:rsid w:val="003F0488"/>
    <w:rsid w:val="003F33E1"/>
    <w:rsid w:val="003F3DEA"/>
    <w:rsid w:val="003F3ECB"/>
    <w:rsid w:val="003F5758"/>
    <w:rsid w:val="003F6EE9"/>
    <w:rsid w:val="003F6FC8"/>
    <w:rsid w:val="003F71D0"/>
    <w:rsid w:val="004024F9"/>
    <w:rsid w:val="00402A27"/>
    <w:rsid w:val="004031CE"/>
    <w:rsid w:val="00404724"/>
    <w:rsid w:val="00405837"/>
    <w:rsid w:val="0040731E"/>
    <w:rsid w:val="00407754"/>
    <w:rsid w:val="0041534A"/>
    <w:rsid w:val="00415C3A"/>
    <w:rsid w:val="00421BB1"/>
    <w:rsid w:val="00424154"/>
    <w:rsid w:val="00424F93"/>
    <w:rsid w:val="004251EB"/>
    <w:rsid w:val="004254DD"/>
    <w:rsid w:val="00425A16"/>
    <w:rsid w:val="00425E4A"/>
    <w:rsid w:val="00425F01"/>
    <w:rsid w:val="00427B13"/>
    <w:rsid w:val="00430916"/>
    <w:rsid w:val="00430AC5"/>
    <w:rsid w:val="0043216F"/>
    <w:rsid w:val="00434B0E"/>
    <w:rsid w:val="00434F93"/>
    <w:rsid w:val="00435142"/>
    <w:rsid w:val="00435915"/>
    <w:rsid w:val="00437259"/>
    <w:rsid w:val="0044257B"/>
    <w:rsid w:val="00442BCA"/>
    <w:rsid w:val="004473A3"/>
    <w:rsid w:val="004478CE"/>
    <w:rsid w:val="004537EB"/>
    <w:rsid w:val="00455803"/>
    <w:rsid w:val="004568F5"/>
    <w:rsid w:val="00457D97"/>
    <w:rsid w:val="00460869"/>
    <w:rsid w:val="00461D5B"/>
    <w:rsid w:val="00461F2D"/>
    <w:rsid w:val="00462DC7"/>
    <w:rsid w:val="00463EEB"/>
    <w:rsid w:val="00464A94"/>
    <w:rsid w:val="00465AFE"/>
    <w:rsid w:val="00465EAD"/>
    <w:rsid w:val="00467398"/>
    <w:rsid w:val="00471248"/>
    <w:rsid w:val="00473DD9"/>
    <w:rsid w:val="00476405"/>
    <w:rsid w:val="00480989"/>
    <w:rsid w:val="004834B6"/>
    <w:rsid w:val="004841B3"/>
    <w:rsid w:val="00484EEC"/>
    <w:rsid w:val="00485D6F"/>
    <w:rsid w:val="004866C3"/>
    <w:rsid w:val="00487373"/>
    <w:rsid w:val="00487EB9"/>
    <w:rsid w:val="00490B64"/>
    <w:rsid w:val="00491CEC"/>
    <w:rsid w:val="0049310F"/>
    <w:rsid w:val="004A038A"/>
    <w:rsid w:val="004A065C"/>
    <w:rsid w:val="004A0B33"/>
    <w:rsid w:val="004A0B6F"/>
    <w:rsid w:val="004A10BE"/>
    <w:rsid w:val="004A12C8"/>
    <w:rsid w:val="004A1840"/>
    <w:rsid w:val="004A33C7"/>
    <w:rsid w:val="004A4865"/>
    <w:rsid w:val="004A6371"/>
    <w:rsid w:val="004A7EAC"/>
    <w:rsid w:val="004B0690"/>
    <w:rsid w:val="004B1727"/>
    <w:rsid w:val="004B2830"/>
    <w:rsid w:val="004B6527"/>
    <w:rsid w:val="004B72EF"/>
    <w:rsid w:val="004C1723"/>
    <w:rsid w:val="004C51C9"/>
    <w:rsid w:val="004C64B5"/>
    <w:rsid w:val="004C6718"/>
    <w:rsid w:val="004C6E01"/>
    <w:rsid w:val="004C7770"/>
    <w:rsid w:val="004D0541"/>
    <w:rsid w:val="004D12D8"/>
    <w:rsid w:val="004D2605"/>
    <w:rsid w:val="004D3642"/>
    <w:rsid w:val="004D52C5"/>
    <w:rsid w:val="004D5AF8"/>
    <w:rsid w:val="004D5B11"/>
    <w:rsid w:val="004D6C21"/>
    <w:rsid w:val="004D7BC8"/>
    <w:rsid w:val="004D7E9E"/>
    <w:rsid w:val="004E0271"/>
    <w:rsid w:val="004E03F6"/>
    <w:rsid w:val="004E119D"/>
    <w:rsid w:val="004E20DC"/>
    <w:rsid w:val="004E230B"/>
    <w:rsid w:val="004E3410"/>
    <w:rsid w:val="004E342A"/>
    <w:rsid w:val="004E515B"/>
    <w:rsid w:val="004E5BE5"/>
    <w:rsid w:val="004E7580"/>
    <w:rsid w:val="004F0B4E"/>
    <w:rsid w:val="004F1F55"/>
    <w:rsid w:val="004F25D5"/>
    <w:rsid w:val="004F7FDB"/>
    <w:rsid w:val="00503718"/>
    <w:rsid w:val="00503AE5"/>
    <w:rsid w:val="00510106"/>
    <w:rsid w:val="00510B3F"/>
    <w:rsid w:val="00512139"/>
    <w:rsid w:val="0051226E"/>
    <w:rsid w:val="00514AED"/>
    <w:rsid w:val="00515E77"/>
    <w:rsid w:val="005162C4"/>
    <w:rsid w:val="005170D3"/>
    <w:rsid w:val="00517663"/>
    <w:rsid w:val="00520074"/>
    <w:rsid w:val="005200BB"/>
    <w:rsid w:val="0052028E"/>
    <w:rsid w:val="005225D3"/>
    <w:rsid w:val="005234BD"/>
    <w:rsid w:val="00525D28"/>
    <w:rsid w:val="005272DB"/>
    <w:rsid w:val="00530633"/>
    <w:rsid w:val="00533E45"/>
    <w:rsid w:val="005349D5"/>
    <w:rsid w:val="00535A84"/>
    <w:rsid w:val="0053677D"/>
    <w:rsid w:val="00536A4A"/>
    <w:rsid w:val="00542720"/>
    <w:rsid w:val="005516AE"/>
    <w:rsid w:val="00551818"/>
    <w:rsid w:val="0055518B"/>
    <w:rsid w:val="00557191"/>
    <w:rsid w:val="005574E2"/>
    <w:rsid w:val="005603E8"/>
    <w:rsid w:val="005634B9"/>
    <w:rsid w:val="00563C37"/>
    <w:rsid w:val="00570D20"/>
    <w:rsid w:val="005757FF"/>
    <w:rsid w:val="0057584F"/>
    <w:rsid w:val="005773F3"/>
    <w:rsid w:val="005804CD"/>
    <w:rsid w:val="0058179C"/>
    <w:rsid w:val="00581B3A"/>
    <w:rsid w:val="00582F2E"/>
    <w:rsid w:val="00583119"/>
    <w:rsid w:val="0058328C"/>
    <w:rsid w:val="0058340C"/>
    <w:rsid w:val="00585C51"/>
    <w:rsid w:val="00590240"/>
    <w:rsid w:val="00590E72"/>
    <w:rsid w:val="00593B66"/>
    <w:rsid w:val="00595C4C"/>
    <w:rsid w:val="005A007B"/>
    <w:rsid w:val="005A141A"/>
    <w:rsid w:val="005A1E3F"/>
    <w:rsid w:val="005A3BD8"/>
    <w:rsid w:val="005A4BCF"/>
    <w:rsid w:val="005A6AFD"/>
    <w:rsid w:val="005A6B15"/>
    <w:rsid w:val="005A6D3D"/>
    <w:rsid w:val="005A6F77"/>
    <w:rsid w:val="005B0E0B"/>
    <w:rsid w:val="005B3174"/>
    <w:rsid w:val="005B5003"/>
    <w:rsid w:val="005B7387"/>
    <w:rsid w:val="005C3098"/>
    <w:rsid w:val="005C4950"/>
    <w:rsid w:val="005D04F3"/>
    <w:rsid w:val="005D082A"/>
    <w:rsid w:val="005D0AAD"/>
    <w:rsid w:val="005D3C78"/>
    <w:rsid w:val="005D432E"/>
    <w:rsid w:val="005D4581"/>
    <w:rsid w:val="005D6938"/>
    <w:rsid w:val="005D74EE"/>
    <w:rsid w:val="005E0CCC"/>
    <w:rsid w:val="005E201C"/>
    <w:rsid w:val="005E4E9A"/>
    <w:rsid w:val="005E5F49"/>
    <w:rsid w:val="005E7FCF"/>
    <w:rsid w:val="005F0B15"/>
    <w:rsid w:val="005F498D"/>
    <w:rsid w:val="005F62A1"/>
    <w:rsid w:val="005F749B"/>
    <w:rsid w:val="005F7819"/>
    <w:rsid w:val="00601344"/>
    <w:rsid w:val="00601484"/>
    <w:rsid w:val="0060156B"/>
    <w:rsid w:val="00601A46"/>
    <w:rsid w:val="00603788"/>
    <w:rsid w:val="00604ED2"/>
    <w:rsid w:val="006071ED"/>
    <w:rsid w:val="006076CC"/>
    <w:rsid w:val="00607DFD"/>
    <w:rsid w:val="006100D7"/>
    <w:rsid w:val="0061119A"/>
    <w:rsid w:val="00614164"/>
    <w:rsid w:val="006147F3"/>
    <w:rsid w:val="00614D1B"/>
    <w:rsid w:val="00615749"/>
    <w:rsid w:val="006160E0"/>
    <w:rsid w:val="00616662"/>
    <w:rsid w:val="006207AD"/>
    <w:rsid w:val="00620A79"/>
    <w:rsid w:val="006242D4"/>
    <w:rsid w:val="006263D5"/>
    <w:rsid w:val="006273DB"/>
    <w:rsid w:val="00631AF7"/>
    <w:rsid w:val="0063335C"/>
    <w:rsid w:val="0063734C"/>
    <w:rsid w:val="006403E4"/>
    <w:rsid w:val="006404F7"/>
    <w:rsid w:val="00641465"/>
    <w:rsid w:val="00642440"/>
    <w:rsid w:val="006425A8"/>
    <w:rsid w:val="00643E4A"/>
    <w:rsid w:val="0064551C"/>
    <w:rsid w:val="00646D8C"/>
    <w:rsid w:val="00653865"/>
    <w:rsid w:val="00653C66"/>
    <w:rsid w:val="00654F1D"/>
    <w:rsid w:val="0065537B"/>
    <w:rsid w:val="00657474"/>
    <w:rsid w:val="00657CF3"/>
    <w:rsid w:val="006665BB"/>
    <w:rsid w:val="0067107C"/>
    <w:rsid w:val="0067120C"/>
    <w:rsid w:val="0067197D"/>
    <w:rsid w:val="00671B86"/>
    <w:rsid w:val="00674441"/>
    <w:rsid w:val="00677ED8"/>
    <w:rsid w:val="00680189"/>
    <w:rsid w:val="006819BF"/>
    <w:rsid w:val="00681FDC"/>
    <w:rsid w:val="00684174"/>
    <w:rsid w:val="006844C5"/>
    <w:rsid w:val="0068532D"/>
    <w:rsid w:val="006860C5"/>
    <w:rsid w:val="00690A02"/>
    <w:rsid w:val="00691980"/>
    <w:rsid w:val="006919C3"/>
    <w:rsid w:val="00691E20"/>
    <w:rsid w:val="006920BE"/>
    <w:rsid w:val="006931AA"/>
    <w:rsid w:val="006939EE"/>
    <w:rsid w:val="00694A2C"/>
    <w:rsid w:val="00697008"/>
    <w:rsid w:val="00697BF8"/>
    <w:rsid w:val="00697E9F"/>
    <w:rsid w:val="006A09EC"/>
    <w:rsid w:val="006A15BA"/>
    <w:rsid w:val="006A25B8"/>
    <w:rsid w:val="006A4A1F"/>
    <w:rsid w:val="006A5E9C"/>
    <w:rsid w:val="006A6AFC"/>
    <w:rsid w:val="006A6EB9"/>
    <w:rsid w:val="006A78FB"/>
    <w:rsid w:val="006A7EBD"/>
    <w:rsid w:val="006B06FA"/>
    <w:rsid w:val="006B0D45"/>
    <w:rsid w:val="006B1613"/>
    <w:rsid w:val="006B16EC"/>
    <w:rsid w:val="006B4624"/>
    <w:rsid w:val="006B4FCC"/>
    <w:rsid w:val="006B6D07"/>
    <w:rsid w:val="006C043E"/>
    <w:rsid w:val="006C1A8E"/>
    <w:rsid w:val="006C1CE5"/>
    <w:rsid w:val="006C2BF7"/>
    <w:rsid w:val="006C4845"/>
    <w:rsid w:val="006C4C21"/>
    <w:rsid w:val="006C4D9C"/>
    <w:rsid w:val="006C5ACF"/>
    <w:rsid w:val="006C62F8"/>
    <w:rsid w:val="006C6AB3"/>
    <w:rsid w:val="006C77EE"/>
    <w:rsid w:val="006C7DCD"/>
    <w:rsid w:val="006D0E09"/>
    <w:rsid w:val="006D0E8A"/>
    <w:rsid w:val="006D10A3"/>
    <w:rsid w:val="006D35DD"/>
    <w:rsid w:val="006D61EF"/>
    <w:rsid w:val="006D63D4"/>
    <w:rsid w:val="006D7FFD"/>
    <w:rsid w:val="006E09BA"/>
    <w:rsid w:val="006E14AC"/>
    <w:rsid w:val="006E163E"/>
    <w:rsid w:val="006E1F6E"/>
    <w:rsid w:val="006E2460"/>
    <w:rsid w:val="006F2C04"/>
    <w:rsid w:val="006F2C31"/>
    <w:rsid w:val="006F33D4"/>
    <w:rsid w:val="006F3DA9"/>
    <w:rsid w:val="006F4683"/>
    <w:rsid w:val="00702644"/>
    <w:rsid w:val="00703EF8"/>
    <w:rsid w:val="00706DD0"/>
    <w:rsid w:val="00707829"/>
    <w:rsid w:val="00710B97"/>
    <w:rsid w:val="007142BB"/>
    <w:rsid w:val="00720F84"/>
    <w:rsid w:val="0072195C"/>
    <w:rsid w:val="00724495"/>
    <w:rsid w:val="0072530E"/>
    <w:rsid w:val="00725727"/>
    <w:rsid w:val="00725EFF"/>
    <w:rsid w:val="00727A69"/>
    <w:rsid w:val="007344B0"/>
    <w:rsid w:val="0073567A"/>
    <w:rsid w:val="00736F67"/>
    <w:rsid w:val="00737592"/>
    <w:rsid w:val="00737FEA"/>
    <w:rsid w:val="00740393"/>
    <w:rsid w:val="00740BBC"/>
    <w:rsid w:val="00741C44"/>
    <w:rsid w:val="00741F52"/>
    <w:rsid w:val="00743DAB"/>
    <w:rsid w:val="007440ED"/>
    <w:rsid w:val="00744AD6"/>
    <w:rsid w:val="00745A84"/>
    <w:rsid w:val="00746978"/>
    <w:rsid w:val="00751DC5"/>
    <w:rsid w:val="00752AC7"/>
    <w:rsid w:val="00752DD3"/>
    <w:rsid w:val="00753159"/>
    <w:rsid w:val="00754D5F"/>
    <w:rsid w:val="00756033"/>
    <w:rsid w:val="00756992"/>
    <w:rsid w:val="007603AE"/>
    <w:rsid w:val="0076130B"/>
    <w:rsid w:val="00761B23"/>
    <w:rsid w:val="007630C5"/>
    <w:rsid w:val="00763D7C"/>
    <w:rsid w:val="007641E0"/>
    <w:rsid w:val="00764A0A"/>
    <w:rsid w:val="00766EDD"/>
    <w:rsid w:val="00767351"/>
    <w:rsid w:val="007673CA"/>
    <w:rsid w:val="0077002A"/>
    <w:rsid w:val="00770864"/>
    <w:rsid w:val="00770C59"/>
    <w:rsid w:val="00771EF5"/>
    <w:rsid w:val="00773B24"/>
    <w:rsid w:val="007744F0"/>
    <w:rsid w:val="00774556"/>
    <w:rsid w:val="00774923"/>
    <w:rsid w:val="007754AC"/>
    <w:rsid w:val="007767FE"/>
    <w:rsid w:val="00782164"/>
    <w:rsid w:val="00782426"/>
    <w:rsid w:val="00784612"/>
    <w:rsid w:val="0079172A"/>
    <w:rsid w:val="00791D7B"/>
    <w:rsid w:val="00794A20"/>
    <w:rsid w:val="00796ABB"/>
    <w:rsid w:val="007971E0"/>
    <w:rsid w:val="007A0227"/>
    <w:rsid w:val="007A0A75"/>
    <w:rsid w:val="007A2F1A"/>
    <w:rsid w:val="007A338B"/>
    <w:rsid w:val="007A35EA"/>
    <w:rsid w:val="007A3D45"/>
    <w:rsid w:val="007A5CDC"/>
    <w:rsid w:val="007A6354"/>
    <w:rsid w:val="007A701D"/>
    <w:rsid w:val="007A705C"/>
    <w:rsid w:val="007A71AF"/>
    <w:rsid w:val="007A72D9"/>
    <w:rsid w:val="007B478E"/>
    <w:rsid w:val="007C0535"/>
    <w:rsid w:val="007C3629"/>
    <w:rsid w:val="007C7061"/>
    <w:rsid w:val="007D1BE3"/>
    <w:rsid w:val="007D21B6"/>
    <w:rsid w:val="007D5585"/>
    <w:rsid w:val="007E0923"/>
    <w:rsid w:val="007E2811"/>
    <w:rsid w:val="007E348F"/>
    <w:rsid w:val="007E4510"/>
    <w:rsid w:val="007E4F65"/>
    <w:rsid w:val="007E5E0C"/>
    <w:rsid w:val="007E6D7B"/>
    <w:rsid w:val="007F03F2"/>
    <w:rsid w:val="007F1492"/>
    <w:rsid w:val="007F34DD"/>
    <w:rsid w:val="007F3886"/>
    <w:rsid w:val="007F511B"/>
    <w:rsid w:val="007F5C84"/>
    <w:rsid w:val="007F6C1E"/>
    <w:rsid w:val="008006FC"/>
    <w:rsid w:val="0080117F"/>
    <w:rsid w:val="008015B5"/>
    <w:rsid w:val="00801D02"/>
    <w:rsid w:val="008020BB"/>
    <w:rsid w:val="00802C1D"/>
    <w:rsid w:val="00802E3A"/>
    <w:rsid w:val="008031DC"/>
    <w:rsid w:val="008044E9"/>
    <w:rsid w:val="00804EF2"/>
    <w:rsid w:val="0080569D"/>
    <w:rsid w:val="0080590A"/>
    <w:rsid w:val="00805EBE"/>
    <w:rsid w:val="00806191"/>
    <w:rsid w:val="00806AEE"/>
    <w:rsid w:val="00810C5E"/>
    <w:rsid w:val="00812A23"/>
    <w:rsid w:val="00813297"/>
    <w:rsid w:val="00813A4F"/>
    <w:rsid w:val="00814AAB"/>
    <w:rsid w:val="0081513F"/>
    <w:rsid w:val="00815493"/>
    <w:rsid w:val="008205AC"/>
    <w:rsid w:val="00820F47"/>
    <w:rsid w:val="008211E2"/>
    <w:rsid w:val="00821239"/>
    <w:rsid w:val="00821387"/>
    <w:rsid w:val="00821694"/>
    <w:rsid w:val="0082357B"/>
    <w:rsid w:val="00824469"/>
    <w:rsid w:val="00826C69"/>
    <w:rsid w:val="00827CB2"/>
    <w:rsid w:val="00832454"/>
    <w:rsid w:val="00833720"/>
    <w:rsid w:val="00833E87"/>
    <w:rsid w:val="00835757"/>
    <w:rsid w:val="00836A1E"/>
    <w:rsid w:val="00842BD5"/>
    <w:rsid w:val="00842F05"/>
    <w:rsid w:val="008435DB"/>
    <w:rsid w:val="00843D60"/>
    <w:rsid w:val="00845C2B"/>
    <w:rsid w:val="008463F1"/>
    <w:rsid w:val="00846461"/>
    <w:rsid w:val="00852013"/>
    <w:rsid w:val="008532BD"/>
    <w:rsid w:val="00853C4C"/>
    <w:rsid w:val="00854677"/>
    <w:rsid w:val="0085525C"/>
    <w:rsid w:val="008557F8"/>
    <w:rsid w:val="00855C81"/>
    <w:rsid w:val="0085640D"/>
    <w:rsid w:val="00857B35"/>
    <w:rsid w:val="008614B6"/>
    <w:rsid w:val="0086245E"/>
    <w:rsid w:val="008626AA"/>
    <w:rsid w:val="00863561"/>
    <w:rsid w:val="008637E7"/>
    <w:rsid w:val="008651A1"/>
    <w:rsid w:val="00865EEB"/>
    <w:rsid w:val="008662C5"/>
    <w:rsid w:val="00870589"/>
    <w:rsid w:val="00874903"/>
    <w:rsid w:val="00875E25"/>
    <w:rsid w:val="00877339"/>
    <w:rsid w:val="008810AF"/>
    <w:rsid w:val="00881C75"/>
    <w:rsid w:val="00882A44"/>
    <w:rsid w:val="00886CF7"/>
    <w:rsid w:val="00887740"/>
    <w:rsid w:val="00890FEC"/>
    <w:rsid w:val="00892291"/>
    <w:rsid w:val="0089374F"/>
    <w:rsid w:val="0089629F"/>
    <w:rsid w:val="0089631D"/>
    <w:rsid w:val="008968EA"/>
    <w:rsid w:val="0089750E"/>
    <w:rsid w:val="008A1EDB"/>
    <w:rsid w:val="008A225B"/>
    <w:rsid w:val="008A3E3E"/>
    <w:rsid w:val="008A428F"/>
    <w:rsid w:val="008A4D52"/>
    <w:rsid w:val="008A54E1"/>
    <w:rsid w:val="008A6042"/>
    <w:rsid w:val="008A65A5"/>
    <w:rsid w:val="008B01BE"/>
    <w:rsid w:val="008B0DBB"/>
    <w:rsid w:val="008B1D84"/>
    <w:rsid w:val="008B33E2"/>
    <w:rsid w:val="008B472F"/>
    <w:rsid w:val="008B65C6"/>
    <w:rsid w:val="008B70CC"/>
    <w:rsid w:val="008B779C"/>
    <w:rsid w:val="008B7A5A"/>
    <w:rsid w:val="008C0FC7"/>
    <w:rsid w:val="008C1B3B"/>
    <w:rsid w:val="008C21C0"/>
    <w:rsid w:val="008C36A8"/>
    <w:rsid w:val="008C526E"/>
    <w:rsid w:val="008C5C63"/>
    <w:rsid w:val="008C65D9"/>
    <w:rsid w:val="008D20EA"/>
    <w:rsid w:val="008D2F34"/>
    <w:rsid w:val="008D468D"/>
    <w:rsid w:val="008D592B"/>
    <w:rsid w:val="008D637C"/>
    <w:rsid w:val="008D7131"/>
    <w:rsid w:val="008E02E9"/>
    <w:rsid w:val="008E0D80"/>
    <w:rsid w:val="008E1A5D"/>
    <w:rsid w:val="008E1CE7"/>
    <w:rsid w:val="008E2519"/>
    <w:rsid w:val="008E284A"/>
    <w:rsid w:val="008E41FF"/>
    <w:rsid w:val="008E63A8"/>
    <w:rsid w:val="008E712C"/>
    <w:rsid w:val="008F26CC"/>
    <w:rsid w:val="008F29EA"/>
    <w:rsid w:val="008F2EF8"/>
    <w:rsid w:val="008F5429"/>
    <w:rsid w:val="008F575A"/>
    <w:rsid w:val="008F57BC"/>
    <w:rsid w:val="008F63E0"/>
    <w:rsid w:val="0090050A"/>
    <w:rsid w:val="0090077B"/>
    <w:rsid w:val="00900AF1"/>
    <w:rsid w:val="00900E01"/>
    <w:rsid w:val="00910F33"/>
    <w:rsid w:val="00912811"/>
    <w:rsid w:val="00912D88"/>
    <w:rsid w:val="0091466E"/>
    <w:rsid w:val="00914C41"/>
    <w:rsid w:val="00914F55"/>
    <w:rsid w:val="00915931"/>
    <w:rsid w:val="00916AB5"/>
    <w:rsid w:val="00917C65"/>
    <w:rsid w:val="00920B6A"/>
    <w:rsid w:val="00921E31"/>
    <w:rsid w:val="009226E4"/>
    <w:rsid w:val="00925BAB"/>
    <w:rsid w:val="00927C0A"/>
    <w:rsid w:val="00930CD2"/>
    <w:rsid w:val="00934B0D"/>
    <w:rsid w:val="00936B93"/>
    <w:rsid w:val="00937723"/>
    <w:rsid w:val="00937803"/>
    <w:rsid w:val="009406E0"/>
    <w:rsid w:val="0094216E"/>
    <w:rsid w:val="0094286C"/>
    <w:rsid w:val="00943292"/>
    <w:rsid w:val="009434D5"/>
    <w:rsid w:val="0094560F"/>
    <w:rsid w:val="0094741E"/>
    <w:rsid w:val="009509DE"/>
    <w:rsid w:val="00950BF9"/>
    <w:rsid w:val="0095116F"/>
    <w:rsid w:val="0095168F"/>
    <w:rsid w:val="0095247D"/>
    <w:rsid w:val="00952FDF"/>
    <w:rsid w:val="00955521"/>
    <w:rsid w:val="00957063"/>
    <w:rsid w:val="0095770F"/>
    <w:rsid w:val="00957DE0"/>
    <w:rsid w:val="009602F8"/>
    <w:rsid w:val="0096151A"/>
    <w:rsid w:val="009616EE"/>
    <w:rsid w:val="00962563"/>
    <w:rsid w:val="00964DDD"/>
    <w:rsid w:val="009652EE"/>
    <w:rsid w:val="009677D7"/>
    <w:rsid w:val="00970336"/>
    <w:rsid w:val="00970617"/>
    <w:rsid w:val="009719BC"/>
    <w:rsid w:val="00972CE5"/>
    <w:rsid w:val="00974DBF"/>
    <w:rsid w:val="00976585"/>
    <w:rsid w:val="00981135"/>
    <w:rsid w:val="0098358E"/>
    <w:rsid w:val="00986740"/>
    <w:rsid w:val="00986C2A"/>
    <w:rsid w:val="00987E05"/>
    <w:rsid w:val="00990C79"/>
    <w:rsid w:val="0099104D"/>
    <w:rsid w:val="0099192B"/>
    <w:rsid w:val="00992CE7"/>
    <w:rsid w:val="00995DC6"/>
    <w:rsid w:val="009973B3"/>
    <w:rsid w:val="009A05C0"/>
    <w:rsid w:val="009A1210"/>
    <w:rsid w:val="009A2757"/>
    <w:rsid w:val="009A3775"/>
    <w:rsid w:val="009A6251"/>
    <w:rsid w:val="009A64C5"/>
    <w:rsid w:val="009A721B"/>
    <w:rsid w:val="009A73C1"/>
    <w:rsid w:val="009B1989"/>
    <w:rsid w:val="009B29CA"/>
    <w:rsid w:val="009B72E9"/>
    <w:rsid w:val="009C01E0"/>
    <w:rsid w:val="009C1848"/>
    <w:rsid w:val="009C202A"/>
    <w:rsid w:val="009C32D7"/>
    <w:rsid w:val="009C3580"/>
    <w:rsid w:val="009C40CB"/>
    <w:rsid w:val="009C5554"/>
    <w:rsid w:val="009C62C3"/>
    <w:rsid w:val="009C768D"/>
    <w:rsid w:val="009C7767"/>
    <w:rsid w:val="009C7F58"/>
    <w:rsid w:val="009D3353"/>
    <w:rsid w:val="009D3773"/>
    <w:rsid w:val="009D62B1"/>
    <w:rsid w:val="009D6729"/>
    <w:rsid w:val="009D7E09"/>
    <w:rsid w:val="009E0243"/>
    <w:rsid w:val="009E0A02"/>
    <w:rsid w:val="009E0D7F"/>
    <w:rsid w:val="009E3F4F"/>
    <w:rsid w:val="009E4730"/>
    <w:rsid w:val="009E4C56"/>
    <w:rsid w:val="009F0C3F"/>
    <w:rsid w:val="009F2C8B"/>
    <w:rsid w:val="009F786C"/>
    <w:rsid w:val="009F7CC3"/>
    <w:rsid w:val="00A02511"/>
    <w:rsid w:val="00A02A0A"/>
    <w:rsid w:val="00A0398C"/>
    <w:rsid w:val="00A03A1B"/>
    <w:rsid w:val="00A04169"/>
    <w:rsid w:val="00A050A0"/>
    <w:rsid w:val="00A05408"/>
    <w:rsid w:val="00A05DA9"/>
    <w:rsid w:val="00A0605A"/>
    <w:rsid w:val="00A06275"/>
    <w:rsid w:val="00A062D4"/>
    <w:rsid w:val="00A07E44"/>
    <w:rsid w:val="00A10FE1"/>
    <w:rsid w:val="00A1189C"/>
    <w:rsid w:val="00A11DEA"/>
    <w:rsid w:val="00A14A2C"/>
    <w:rsid w:val="00A15C10"/>
    <w:rsid w:val="00A166F9"/>
    <w:rsid w:val="00A20D91"/>
    <w:rsid w:val="00A2234D"/>
    <w:rsid w:val="00A235F1"/>
    <w:rsid w:val="00A23BC9"/>
    <w:rsid w:val="00A24225"/>
    <w:rsid w:val="00A24A83"/>
    <w:rsid w:val="00A26AD7"/>
    <w:rsid w:val="00A274B9"/>
    <w:rsid w:val="00A31827"/>
    <w:rsid w:val="00A31CBF"/>
    <w:rsid w:val="00A34593"/>
    <w:rsid w:val="00A352E8"/>
    <w:rsid w:val="00A35E1C"/>
    <w:rsid w:val="00A36184"/>
    <w:rsid w:val="00A36185"/>
    <w:rsid w:val="00A3682F"/>
    <w:rsid w:val="00A374C5"/>
    <w:rsid w:val="00A378D8"/>
    <w:rsid w:val="00A40A2A"/>
    <w:rsid w:val="00A40FE0"/>
    <w:rsid w:val="00A436E6"/>
    <w:rsid w:val="00A45157"/>
    <w:rsid w:val="00A45770"/>
    <w:rsid w:val="00A45868"/>
    <w:rsid w:val="00A4744F"/>
    <w:rsid w:val="00A509E5"/>
    <w:rsid w:val="00A52174"/>
    <w:rsid w:val="00A54395"/>
    <w:rsid w:val="00A54905"/>
    <w:rsid w:val="00A54C3A"/>
    <w:rsid w:val="00A57271"/>
    <w:rsid w:val="00A6158F"/>
    <w:rsid w:val="00A6163C"/>
    <w:rsid w:val="00A61959"/>
    <w:rsid w:val="00A62053"/>
    <w:rsid w:val="00A63209"/>
    <w:rsid w:val="00A6535E"/>
    <w:rsid w:val="00A65E14"/>
    <w:rsid w:val="00A66BC2"/>
    <w:rsid w:val="00A70010"/>
    <w:rsid w:val="00A71594"/>
    <w:rsid w:val="00A715BE"/>
    <w:rsid w:val="00A71DFA"/>
    <w:rsid w:val="00A72401"/>
    <w:rsid w:val="00A72927"/>
    <w:rsid w:val="00A737B8"/>
    <w:rsid w:val="00A74A30"/>
    <w:rsid w:val="00A74B88"/>
    <w:rsid w:val="00A751E7"/>
    <w:rsid w:val="00A81987"/>
    <w:rsid w:val="00A868E5"/>
    <w:rsid w:val="00A872F5"/>
    <w:rsid w:val="00A8798C"/>
    <w:rsid w:val="00A87AF8"/>
    <w:rsid w:val="00A91E56"/>
    <w:rsid w:val="00A9275B"/>
    <w:rsid w:val="00A93E1F"/>
    <w:rsid w:val="00A959E6"/>
    <w:rsid w:val="00A97A7D"/>
    <w:rsid w:val="00A97EF4"/>
    <w:rsid w:val="00AA2FDF"/>
    <w:rsid w:val="00AA3904"/>
    <w:rsid w:val="00AA5555"/>
    <w:rsid w:val="00AA6232"/>
    <w:rsid w:val="00AA6B59"/>
    <w:rsid w:val="00AA6FFC"/>
    <w:rsid w:val="00AA7B6C"/>
    <w:rsid w:val="00AB0BF4"/>
    <w:rsid w:val="00AB1604"/>
    <w:rsid w:val="00AB1E27"/>
    <w:rsid w:val="00AB2332"/>
    <w:rsid w:val="00AB233D"/>
    <w:rsid w:val="00AB3F5C"/>
    <w:rsid w:val="00AB4E12"/>
    <w:rsid w:val="00AB523E"/>
    <w:rsid w:val="00AB5942"/>
    <w:rsid w:val="00AB5FF1"/>
    <w:rsid w:val="00AC4AD3"/>
    <w:rsid w:val="00AC4CFC"/>
    <w:rsid w:val="00AD0EF4"/>
    <w:rsid w:val="00AD182F"/>
    <w:rsid w:val="00AD2294"/>
    <w:rsid w:val="00AD321F"/>
    <w:rsid w:val="00AD3CE1"/>
    <w:rsid w:val="00AD44B4"/>
    <w:rsid w:val="00AD4A67"/>
    <w:rsid w:val="00AD4F63"/>
    <w:rsid w:val="00AD673E"/>
    <w:rsid w:val="00AE0413"/>
    <w:rsid w:val="00AE1E6A"/>
    <w:rsid w:val="00AE341D"/>
    <w:rsid w:val="00AE3E65"/>
    <w:rsid w:val="00AE4D55"/>
    <w:rsid w:val="00AE7056"/>
    <w:rsid w:val="00AE7460"/>
    <w:rsid w:val="00AF1025"/>
    <w:rsid w:val="00AF1B94"/>
    <w:rsid w:val="00AF2299"/>
    <w:rsid w:val="00AF4B55"/>
    <w:rsid w:val="00AF5A46"/>
    <w:rsid w:val="00AF601F"/>
    <w:rsid w:val="00B00179"/>
    <w:rsid w:val="00B03213"/>
    <w:rsid w:val="00B03709"/>
    <w:rsid w:val="00B05345"/>
    <w:rsid w:val="00B06578"/>
    <w:rsid w:val="00B06780"/>
    <w:rsid w:val="00B06ED9"/>
    <w:rsid w:val="00B0709D"/>
    <w:rsid w:val="00B07F4A"/>
    <w:rsid w:val="00B1307B"/>
    <w:rsid w:val="00B1480D"/>
    <w:rsid w:val="00B15DFE"/>
    <w:rsid w:val="00B1750B"/>
    <w:rsid w:val="00B17CFE"/>
    <w:rsid w:val="00B17E5E"/>
    <w:rsid w:val="00B17F7A"/>
    <w:rsid w:val="00B20474"/>
    <w:rsid w:val="00B22D43"/>
    <w:rsid w:val="00B23C79"/>
    <w:rsid w:val="00B2508D"/>
    <w:rsid w:val="00B25EC2"/>
    <w:rsid w:val="00B31B53"/>
    <w:rsid w:val="00B32245"/>
    <w:rsid w:val="00B33EFB"/>
    <w:rsid w:val="00B3586C"/>
    <w:rsid w:val="00B35C93"/>
    <w:rsid w:val="00B36C15"/>
    <w:rsid w:val="00B37C8A"/>
    <w:rsid w:val="00B37CEE"/>
    <w:rsid w:val="00B40BBE"/>
    <w:rsid w:val="00B4210D"/>
    <w:rsid w:val="00B4339E"/>
    <w:rsid w:val="00B438AE"/>
    <w:rsid w:val="00B43DDE"/>
    <w:rsid w:val="00B445B7"/>
    <w:rsid w:val="00B446DF"/>
    <w:rsid w:val="00B45ECA"/>
    <w:rsid w:val="00B4621F"/>
    <w:rsid w:val="00B46868"/>
    <w:rsid w:val="00B479C4"/>
    <w:rsid w:val="00B50878"/>
    <w:rsid w:val="00B509E5"/>
    <w:rsid w:val="00B53C92"/>
    <w:rsid w:val="00B54648"/>
    <w:rsid w:val="00B55104"/>
    <w:rsid w:val="00B557B3"/>
    <w:rsid w:val="00B55A99"/>
    <w:rsid w:val="00B55CB4"/>
    <w:rsid w:val="00B624AE"/>
    <w:rsid w:val="00B63566"/>
    <w:rsid w:val="00B64309"/>
    <w:rsid w:val="00B70D84"/>
    <w:rsid w:val="00B7190B"/>
    <w:rsid w:val="00B72E42"/>
    <w:rsid w:val="00B72E57"/>
    <w:rsid w:val="00B7352D"/>
    <w:rsid w:val="00B75502"/>
    <w:rsid w:val="00B76181"/>
    <w:rsid w:val="00B77A72"/>
    <w:rsid w:val="00B82540"/>
    <w:rsid w:val="00B82548"/>
    <w:rsid w:val="00B826AF"/>
    <w:rsid w:val="00B82E0F"/>
    <w:rsid w:val="00B84050"/>
    <w:rsid w:val="00B84863"/>
    <w:rsid w:val="00B8533D"/>
    <w:rsid w:val="00B876AA"/>
    <w:rsid w:val="00B87BB6"/>
    <w:rsid w:val="00B9055C"/>
    <w:rsid w:val="00B90B25"/>
    <w:rsid w:val="00B929E3"/>
    <w:rsid w:val="00B938C4"/>
    <w:rsid w:val="00B93B72"/>
    <w:rsid w:val="00B94483"/>
    <w:rsid w:val="00B945B1"/>
    <w:rsid w:val="00B96F02"/>
    <w:rsid w:val="00B97596"/>
    <w:rsid w:val="00BA2345"/>
    <w:rsid w:val="00BA4AAC"/>
    <w:rsid w:val="00BA7444"/>
    <w:rsid w:val="00BB0137"/>
    <w:rsid w:val="00BB2E5A"/>
    <w:rsid w:val="00BB68B4"/>
    <w:rsid w:val="00BB721D"/>
    <w:rsid w:val="00BB7BE5"/>
    <w:rsid w:val="00BB7CC1"/>
    <w:rsid w:val="00BC29CE"/>
    <w:rsid w:val="00BC3F3E"/>
    <w:rsid w:val="00BD2A55"/>
    <w:rsid w:val="00BD3149"/>
    <w:rsid w:val="00BD3EED"/>
    <w:rsid w:val="00BD4A6B"/>
    <w:rsid w:val="00BD57CD"/>
    <w:rsid w:val="00BD5842"/>
    <w:rsid w:val="00BD7C0E"/>
    <w:rsid w:val="00BD7FBC"/>
    <w:rsid w:val="00BE1101"/>
    <w:rsid w:val="00BE139C"/>
    <w:rsid w:val="00BE3173"/>
    <w:rsid w:val="00BE4C46"/>
    <w:rsid w:val="00BE5091"/>
    <w:rsid w:val="00BE72DE"/>
    <w:rsid w:val="00BE7F3B"/>
    <w:rsid w:val="00BF34AC"/>
    <w:rsid w:val="00BF433F"/>
    <w:rsid w:val="00BF43EA"/>
    <w:rsid w:val="00BF4641"/>
    <w:rsid w:val="00BF4824"/>
    <w:rsid w:val="00BF55D9"/>
    <w:rsid w:val="00BF63D0"/>
    <w:rsid w:val="00BF6901"/>
    <w:rsid w:val="00C03FAB"/>
    <w:rsid w:val="00C050D7"/>
    <w:rsid w:val="00C06B6D"/>
    <w:rsid w:val="00C11C9B"/>
    <w:rsid w:val="00C12188"/>
    <w:rsid w:val="00C12618"/>
    <w:rsid w:val="00C14D41"/>
    <w:rsid w:val="00C155C2"/>
    <w:rsid w:val="00C15600"/>
    <w:rsid w:val="00C15831"/>
    <w:rsid w:val="00C1709D"/>
    <w:rsid w:val="00C235DD"/>
    <w:rsid w:val="00C23FD9"/>
    <w:rsid w:val="00C258D7"/>
    <w:rsid w:val="00C27B22"/>
    <w:rsid w:val="00C30802"/>
    <w:rsid w:val="00C332B2"/>
    <w:rsid w:val="00C33EEE"/>
    <w:rsid w:val="00C34658"/>
    <w:rsid w:val="00C37D21"/>
    <w:rsid w:val="00C4155F"/>
    <w:rsid w:val="00C427EF"/>
    <w:rsid w:val="00C44D84"/>
    <w:rsid w:val="00C4522D"/>
    <w:rsid w:val="00C4546C"/>
    <w:rsid w:val="00C456AB"/>
    <w:rsid w:val="00C45BF5"/>
    <w:rsid w:val="00C46FEF"/>
    <w:rsid w:val="00C50AC3"/>
    <w:rsid w:val="00C51180"/>
    <w:rsid w:val="00C5164D"/>
    <w:rsid w:val="00C53E52"/>
    <w:rsid w:val="00C558FA"/>
    <w:rsid w:val="00C573AD"/>
    <w:rsid w:val="00C63336"/>
    <w:rsid w:val="00C642E4"/>
    <w:rsid w:val="00C64F6F"/>
    <w:rsid w:val="00C652AE"/>
    <w:rsid w:val="00C65D55"/>
    <w:rsid w:val="00C70143"/>
    <w:rsid w:val="00C754C2"/>
    <w:rsid w:val="00C772EC"/>
    <w:rsid w:val="00C7771F"/>
    <w:rsid w:val="00C7796A"/>
    <w:rsid w:val="00C77C8D"/>
    <w:rsid w:val="00C80C59"/>
    <w:rsid w:val="00C839B6"/>
    <w:rsid w:val="00C84D50"/>
    <w:rsid w:val="00C85F41"/>
    <w:rsid w:val="00C86087"/>
    <w:rsid w:val="00C87C0E"/>
    <w:rsid w:val="00C87D9A"/>
    <w:rsid w:val="00C92E84"/>
    <w:rsid w:val="00C94319"/>
    <w:rsid w:val="00C94481"/>
    <w:rsid w:val="00C950A7"/>
    <w:rsid w:val="00C95FBA"/>
    <w:rsid w:val="00C97521"/>
    <w:rsid w:val="00C97ADB"/>
    <w:rsid w:val="00CA3497"/>
    <w:rsid w:val="00CA54F6"/>
    <w:rsid w:val="00CA6789"/>
    <w:rsid w:val="00CA6CDE"/>
    <w:rsid w:val="00CA7281"/>
    <w:rsid w:val="00CB02C7"/>
    <w:rsid w:val="00CB0437"/>
    <w:rsid w:val="00CB1DC7"/>
    <w:rsid w:val="00CB6784"/>
    <w:rsid w:val="00CB7797"/>
    <w:rsid w:val="00CC1159"/>
    <w:rsid w:val="00CC2D69"/>
    <w:rsid w:val="00CC3A06"/>
    <w:rsid w:val="00CC46C7"/>
    <w:rsid w:val="00CC4C0F"/>
    <w:rsid w:val="00CC566F"/>
    <w:rsid w:val="00CD05FC"/>
    <w:rsid w:val="00CD0A62"/>
    <w:rsid w:val="00CD14E0"/>
    <w:rsid w:val="00CD1FEC"/>
    <w:rsid w:val="00CD23C2"/>
    <w:rsid w:val="00CD3498"/>
    <w:rsid w:val="00CD4126"/>
    <w:rsid w:val="00CD446B"/>
    <w:rsid w:val="00CD5264"/>
    <w:rsid w:val="00CE14D0"/>
    <w:rsid w:val="00CE205B"/>
    <w:rsid w:val="00CE278E"/>
    <w:rsid w:val="00CE27C4"/>
    <w:rsid w:val="00CE53D2"/>
    <w:rsid w:val="00CE5C9B"/>
    <w:rsid w:val="00CE6C30"/>
    <w:rsid w:val="00CF0236"/>
    <w:rsid w:val="00CF1C4D"/>
    <w:rsid w:val="00CF1F9E"/>
    <w:rsid w:val="00CF324B"/>
    <w:rsid w:val="00CF4FFF"/>
    <w:rsid w:val="00CF5F48"/>
    <w:rsid w:val="00CF651D"/>
    <w:rsid w:val="00D03357"/>
    <w:rsid w:val="00D03D1F"/>
    <w:rsid w:val="00D04864"/>
    <w:rsid w:val="00D04D83"/>
    <w:rsid w:val="00D10896"/>
    <w:rsid w:val="00D13DF4"/>
    <w:rsid w:val="00D1416F"/>
    <w:rsid w:val="00D16037"/>
    <w:rsid w:val="00D16B62"/>
    <w:rsid w:val="00D16DF0"/>
    <w:rsid w:val="00D20E61"/>
    <w:rsid w:val="00D21289"/>
    <w:rsid w:val="00D21587"/>
    <w:rsid w:val="00D2195D"/>
    <w:rsid w:val="00D21F90"/>
    <w:rsid w:val="00D2271B"/>
    <w:rsid w:val="00D22C08"/>
    <w:rsid w:val="00D2310F"/>
    <w:rsid w:val="00D234B8"/>
    <w:rsid w:val="00D25059"/>
    <w:rsid w:val="00D266B2"/>
    <w:rsid w:val="00D26730"/>
    <w:rsid w:val="00D30B23"/>
    <w:rsid w:val="00D3165C"/>
    <w:rsid w:val="00D353C4"/>
    <w:rsid w:val="00D36CCC"/>
    <w:rsid w:val="00D4036D"/>
    <w:rsid w:val="00D419BE"/>
    <w:rsid w:val="00D44FEA"/>
    <w:rsid w:val="00D462E2"/>
    <w:rsid w:val="00D5082C"/>
    <w:rsid w:val="00D53112"/>
    <w:rsid w:val="00D54BF5"/>
    <w:rsid w:val="00D54E78"/>
    <w:rsid w:val="00D54E8C"/>
    <w:rsid w:val="00D5652C"/>
    <w:rsid w:val="00D56AC3"/>
    <w:rsid w:val="00D605B5"/>
    <w:rsid w:val="00D60C11"/>
    <w:rsid w:val="00D60E9C"/>
    <w:rsid w:val="00D623EA"/>
    <w:rsid w:val="00D6293C"/>
    <w:rsid w:val="00D650CD"/>
    <w:rsid w:val="00D65EC4"/>
    <w:rsid w:val="00D67A74"/>
    <w:rsid w:val="00D7128A"/>
    <w:rsid w:val="00D71972"/>
    <w:rsid w:val="00D75B1A"/>
    <w:rsid w:val="00D76A94"/>
    <w:rsid w:val="00D770F8"/>
    <w:rsid w:val="00D77774"/>
    <w:rsid w:val="00D831E2"/>
    <w:rsid w:val="00D83A52"/>
    <w:rsid w:val="00D83C52"/>
    <w:rsid w:val="00D856E1"/>
    <w:rsid w:val="00D86706"/>
    <w:rsid w:val="00D912D0"/>
    <w:rsid w:val="00D9130F"/>
    <w:rsid w:val="00D92972"/>
    <w:rsid w:val="00D92BAF"/>
    <w:rsid w:val="00D92F42"/>
    <w:rsid w:val="00D96571"/>
    <w:rsid w:val="00D97ECE"/>
    <w:rsid w:val="00DA0157"/>
    <w:rsid w:val="00DA0C84"/>
    <w:rsid w:val="00DA10E0"/>
    <w:rsid w:val="00DA405C"/>
    <w:rsid w:val="00DA7045"/>
    <w:rsid w:val="00DB1513"/>
    <w:rsid w:val="00DB216E"/>
    <w:rsid w:val="00DB2F58"/>
    <w:rsid w:val="00DB3B41"/>
    <w:rsid w:val="00DB46E2"/>
    <w:rsid w:val="00DB5302"/>
    <w:rsid w:val="00DB56BA"/>
    <w:rsid w:val="00DB7BF2"/>
    <w:rsid w:val="00DC1066"/>
    <w:rsid w:val="00DC3463"/>
    <w:rsid w:val="00DC467A"/>
    <w:rsid w:val="00DC5AF3"/>
    <w:rsid w:val="00DC601C"/>
    <w:rsid w:val="00DD2203"/>
    <w:rsid w:val="00DD2C8A"/>
    <w:rsid w:val="00DD32F9"/>
    <w:rsid w:val="00DD393C"/>
    <w:rsid w:val="00DD44C4"/>
    <w:rsid w:val="00DD5641"/>
    <w:rsid w:val="00DD5C0E"/>
    <w:rsid w:val="00DD5D49"/>
    <w:rsid w:val="00DD68BC"/>
    <w:rsid w:val="00DD7301"/>
    <w:rsid w:val="00DE0D23"/>
    <w:rsid w:val="00DE0F61"/>
    <w:rsid w:val="00DE1256"/>
    <w:rsid w:val="00DE4FC0"/>
    <w:rsid w:val="00DE55B3"/>
    <w:rsid w:val="00DF05B8"/>
    <w:rsid w:val="00DF19AC"/>
    <w:rsid w:val="00DF49F2"/>
    <w:rsid w:val="00DF548D"/>
    <w:rsid w:val="00E01FC2"/>
    <w:rsid w:val="00E04144"/>
    <w:rsid w:val="00E0501A"/>
    <w:rsid w:val="00E066F7"/>
    <w:rsid w:val="00E066FF"/>
    <w:rsid w:val="00E1069C"/>
    <w:rsid w:val="00E10A42"/>
    <w:rsid w:val="00E143F7"/>
    <w:rsid w:val="00E15257"/>
    <w:rsid w:val="00E16051"/>
    <w:rsid w:val="00E17F52"/>
    <w:rsid w:val="00E20718"/>
    <w:rsid w:val="00E210F2"/>
    <w:rsid w:val="00E21238"/>
    <w:rsid w:val="00E2165C"/>
    <w:rsid w:val="00E216A7"/>
    <w:rsid w:val="00E22B8C"/>
    <w:rsid w:val="00E22D7D"/>
    <w:rsid w:val="00E2301C"/>
    <w:rsid w:val="00E235E7"/>
    <w:rsid w:val="00E2372C"/>
    <w:rsid w:val="00E23BC6"/>
    <w:rsid w:val="00E24BAF"/>
    <w:rsid w:val="00E27E84"/>
    <w:rsid w:val="00E312B4"/>
    <w:rsid w:val="00E33BD7"/>
    <w:rsid w:val="00E34285"/>
    <w:rsid w:val="00E36F36"/>
    <w:rsid w:val="00E377A1"/>
    <w:rsid w:val="00E408EC"/>
    <w:rsid w:val="00E422CC"/>
    <w:rsid w:val="00E448F9"/>
    <w:rsid w:val="00E4651F"/>
    <w:rsid w:val="00E52D62"/>
    <w:rsid w:val="00E52FEB"/>
    <w:rsid w:val="00E53D2C"/>
    <w:rsid w:val="00E568AA"/>
    <w:rsid w:val="00E5743D"/>
    <w:rsid w:val="00E578C2"/>
    <w:rsid w:val="00E6297D"/>
    <w:rsid w:val="00E634FA"/>
    <w:rsid w:val="00E63DF0"/>
    <w:rsid w:val="00E6430B"/>
    <w:rsid w:val="00E64692"/>
    <w:rsid w:val="00E64A7E"/>
    <w:rsid w:val="00E64D77"/>
    <w:rsid w:val="00E64F65"/>
    <w:rsid w:val="00E653C5"/>
    <w:rsid w:val="00E67BF1"/>
    <w:rsid w:val="00E71765"/>
    <w:rsid w:val="00E71F3E"/>
    <w:rsid w:val="00E726BE"/>
    <w:rsid w:val="00E72778"/>
    <w:rsid w:val="00E737D3"/>
    <w:rsid w:val="00E747C9"/>
    <w:rsid w:val="00E74AA4"/>
    <w:rsid w:val="00E7639C"/>
    <w:rsid w:val="00E80AB7"/>
    <w:rsid w:val="00E81B35"/>
    <w:rsid w:val="00E81FF1"/>
    <w:rsid w:val="00E823B4"/>
    <w:rsid w:val="00E83266"/>
    <w:rsid w:val="00E83AFE"/>
    <w:rsid w:val="00E8458B"/>
    <w:rsid w:val="00E85209"/>
    <w:rsid w:val="00E86786"/>
    <w:rsid w:val="00E8787E"/>
    <w:rsid w:val="00E92530"/>
    <w:rsid w:val="00E94334"/>
    <w:rsid w:val="00E945A0"/>
    <w:rsid w:val="00E9474C"/>
    <w:rsid w:val="00E94AD4"/>
    <w:rsid w:val="00E95D70"/>
    <w:rsid w:val="00E95F08"/>
    <w:rsid w:val="00E962AB"/>
    <w:rsid w:val="00E96F54"/>
    <w:rsid w:val="00EA27E8"/>
    <w:rsid w:val="00EA60CA"/>
    <w:rsid w:val="00EA6699"/>
    <w:rsid w:val="00EB07C9"/>
    <w:rsid w:val="00EB19A6"/>
    <w:rsid w:val="00EB3BC5"/>
    <w:rsid w:val="00EB3DC7"/>
    <w:rsid w:val="00EB3E32"/>
    <w:rsid w:val="00EB5BD3"/>
    <w:rsid w:val="00EB75A7"/>
    <w:rsid w:val="00EC16D6"/>
    <w:rsid w:val="00EC2DC1"/>
    <w:rsid w:val="00EC5832"/>
    <w:rsid w:val="00ED0180"/>
    <w:rsid w:val="00ED253F"/>
    <w:rsid w:val="00ED3937"/>
    <w:rsid w:val="00ED47AD"/>
    <w:rsid w:val="00ED4AB5"/>
    <w:rsid w:val="00ED4CFA"/>
    <w:rsid w:val="00ED58FB"/>
    <w:rsid w:val="00ED5F69"/>
    <w:rsid w:val="00ED7F8C"/>
    <w:rsid w:val="00EE01C1"/>
    <w:rsid w:val="00EE0D86"/>
    <w:rsid w:val="00EE14B9"/>
    <w:rsid w:val="00EE17A3"/>
    <w:rsid w:val="00EE3140"/>
    <w:rsid w:val="00EE5800"/>
    <w:rsid w:val="00EE7948"/>
    <w:rsid w:val="00EF0CF6"/>
    <w:rsid w:val="00EF1313"/>
    <w:rsid w:val="00EF247B"/>
    <w:rsid w:val="00EF3E81"/>
    <w:rsid w:val="00EF636C"/>
    <w:rsid w:val="00EF7003"/>
    <w:rsid w:val="00F007B1"/>
    <w:rsid w:val="00F00BA4"/>
    <w:rsid w:val="00F00DB8"/>
    <w:rsid w:val="00F00E35"/>
    <w:rsid w:val="00F01815"/>
    <w:rsid w:val="00F064D8"/>
    <w:rsid w:val="00F0755B"/>
    <w:rsid w:val="00F13620"/>
    <w:rsid w:val="00F15F6C"/>
    <w:rsid w:val="00F20116"/>
    <w:rsid w:val="00F21A43"/>
    <w:rsid w:val="00F229A9"/>
    <w:rsid w:val="00F243FE"/>
    <w:rsid w:val="00F24D71"/>
    <w:rsid w:val="00F26178"/>
    <w:rsid w:val="00F27BCF"/>
    <w:rsid w:val="00F27D0B"/>
    <w:rsid w:val="00F31D07"/>
    <w:rsid w:val="00F33179"/>
    <w:rsid w:val="00F33229"/>
    <w:rsid w:val="00F332D2"/>
    <w:rsid w:val="00F33CEB"/>
    <w:rsid w:val="00F35E37"/>
    <w:rsid w:val="00F37679"/>
    <w:rsid w:val="00F4018B"/>
    <w:rsid w:val="00F41C9D"/>
    <w:rsid w:val="00F424A6"/>
    <w:rsid w:val="00F42E45"/>
    <w:rsid w:val="00F430C1"/>
    <w:rsid w:val="00F44390"/>
    <w:rsid w:val="00F445C1"/>
    <w:rsid w:val="00F46042"/>
    <w:rsid w:val="00F46572"/>
    <w:rsid w:val="00F46862"/>
    <w:rsid w:val="00F46F9D"/>
    <w:rsid w:val="00F47CC2"/>
    <w:rsid w:val="00F5153B"/>
    <w:rsid w:val="00F526EE"/>
    <w:rsid w:val="00F53D09"/>
    <w:rsid w:val="00F5573F"/>
    <w:rsid w:val="00F564F3"/>
    <w:rsid w:val="00F60FC8"/>
    <w:rsid w:val="00F64859"/>
    <w:rsid w:val="00F703AC"/>
    <w:rsid w:val="00F72C20"/>
    <w:rsid w:val="00F7441C"/>
    <w:rsid w:val="00F7502F"/>
    <w:rsid w:val="00F75BE7"/>
    <w:rsid w:val="00F75C16"/>
    <w:rsid w:val="00F76340"/>
    <w:rsid w:val="00F83596"/>
    <w:rsid w:val="00F84B42"/>
    <w:rsid w:val="00F853DC"/>
    <w:rsid w:val="00F85F4C"/>
    <w:rsid w:val="00F86A5D"/>
    <w:rsid w:val="00F8731E"/>
    <w:rsid w:val="00F9033B"/>
    <w:rsid w:val="00F90597"/>
    <w:rsid w:val="00F92117"/>
    <w:rsid w:val="00F92D94"/>
    <w:rsid w:val="00F94B3F"/>
    <w:rsid w:val="00F94F92"/>
    <w:rsid w:val="00F9594D"/>
    <w:rsid w:val="00F97040"/>
    <w:rsid w:val="00FA1FC5"/>
    <w:rsid w:val="00FA314D"/>
    <w:rsid w:val="00FA3DA0"/>
    <w:rsid w:val="00FA3EB7"/>
    <w:rsid w:val="00FA4914"/>
    <w:rsid w:val="00FA7B48"/>
    <w:rsid w:val="00FA7B71"/>
    <w:rsid w:val="00FB0013"/>
    <w:rsid w:val="00FB192F"/>
    <w:rsid w:val="00FB44F9"/>
    <w:rsid w:val="00FB4E97"/>
    <w:rsid w:val="00FB6E80"/>
    <w:rsid w:val="00FB763B"/>
    <w:rsid w:val="00FB7C64"/>
    <w:rsid w:val="00FB7EA9"/>
    <w:rsid w:val="00FC0BA5"/>
    <w:rsid w:val="00FD04F5"/>
    <w:rsid w:val="00FD05F1"/>
    <w:rsid w:val="00FD0A1F"/>
    <w:rsid w:val="00FD1072"/>
    <w:rsid w:val="00FD32C5"/>
    <w:rsid w:val="00FD6147"/>
    <w:rsid w:val="00FD7B4C"/>
    <w:rsid w:val="00FE0130"/>
    <w:rsid w:val="00FE3102"/>
    <w:rsid w:val="00FE373F"/>
    <w:rsid w:val="00FE5CE7"/>
    <w:rsid w:val="00FE5FD5"/>
    <w:rsid w:val="00FE71EB"/>
    <w:rsid w:val="00FE7447"/>
    <w:rsid w:val="00FE7A74"/>
    <w:rsid w:val="00FF10D4"/>
    <w:rsid w:val="00FF1778"/>
    <w:rsid w:val="00FF3B9C"/>
    <w:rsid w:val="00FF4073"/>
    <w:rsid w:val="00FF4081"/>
    <w:rsid w:val="00FF5488"/>
    <w:rsid w:val="011F253A"/>
    <w:rsid w:val="025B084A"/>
    <w:rsid w:val="025C4EFA"/>
    <w:rsid w:val="02A57FAC"/>
    <w:rsid w:val="02D40EFA"/>
    <w:rsid w:val="02FC79D9"/>
    <w:rsid w:val="03E97AC9"/>
    <w:rsid w:val="04442BA0"/>
    <w:rsid w:val="04510424"/>
    <w:rsid w:val="048670BF"/>
    <w:rsid w:val="049869D6"/>
    <w:rsid w:val="04B04EE6"/>
    <w:rsid w:val="04B96002"/>
    <w:rsid w:val="055762B3"/>
    <w:rsid w:val="055A1776"/>
    <w:rsid w:val="0608067A"/>
    <w:rsid w:val="06272825"/>
    <w:rsid w:val="06781075"/>
    <w:rsid w:val="06923557"/>
    <w:rsid w:val="06D76674"/>
    <w:rsid w:val="070A25BB"/>
    <w:rsid w:val="07311C49"/>
    <w:rsid w:val="07C0531A"/>
    <w:rsid w:val="07C76B81"/>
    <w:rsid w:val="080F2B29"/>
    <w:rsid w:val="08491997"/>
    <w:rsid w:val="08715901"/>
    <w:rsid w:val="08E45BA1"/>
    <w:rsid w:val="08E90663"/>
    <w:rsid w:val="08E97796"/>
    <w:rsid w:val="09376926"/>
    <w:rsid w:val="09642321"/>
    <w:rsid w:val="0A6264D6"/>
    <w:rsid w:val="0A8256E6"/>
    <w:rsid w:val="0B4344AB"/>
    <w:rsid w:val="0BB34A46"/>
    <w:rsid w:val="0C513266"/>
    <w:rsid w:val="0C75280C"/>
    <w:rsid w:val="0CB9457C"/>
    <w:rsid w:val="0CCA5787"/>
    <w:rsid w:val="0D2F492C"/>
    <w:rsid w:val="0D77145A"/>
    <w:rsid w:val="0D9221F4"/>
    <w:rsid w:val="0E611D8E"/>
    <w:rsid w:val="0E9D0EA3"/>
    <w:rsid w:val="0EC06D69"/>
    <w:rsid w:val="0F725155"/>
    <w:rsid w:val="0FF9312D"/>
    <w:rsid w:val="0FFA09DA"/>
    <w:rsid w:val="10680215"/>
    <w:rsid w:val="10722B43"/>
    <w:rsid w:val="10B475E6"/>
    <w:rsid w:val="10DC6F70"/>
    <w:rsid w:val="110E2D61"/>
    <w:rsid w:val="112A4CD9"/>
    <w:rsid w:val="11476F54"/>
    <w:rsid w:val="11AA3729"/>
    <w:rsid w:val="11C1334F"/>
    <w:rsid w:val="11DB4D2D"/>
    <w:rsid w:val="11DD577D"/>
    <w:rsid w:val="123A0BCF"/>
    <w:rsid w:val="123A3503"/>
    <w:rsid w:val="12BA4A60"/>
    <w:rsid w:val="12F405F6"/>
    <w:rsid w:val="13101EF5"/>
    <w:rsid w:val="13204F09"/>
    <w:rsid w:val="133119D7"/>
    <w:rsid w:val="13E74B59"/>
    <w:rsid w:val="152232C0"/>
    <w:rsid w:val="157D7178"/>
    <w:rsid w:val="15CA2368"/>
    <w:rsid w:val="16A32F24"/>
    <w:rsid w:val="16AB6166"/>
    <w:rsid w:val="16BF1A72"/>
    <w:rsid w:val="16F05F0D"/>
    <w:rsid w:val="176D21ED"/>
    <w:rsid w:val="177A6011"/>
    <w:rsid w:val="17AE290F"/>
    <w:rsid w:val="17E500F8"/>
    <w:rsid w:val="17F0623B"/>
    <w:rsid w:val="17F76E5D"/>
    <w:rsid w:val="182148E9"/>
    <w:rsid w:val="18FC1821"/>
    <w:rsid w:val="192F12D0"/>
    <w:rsid w:val="19736B37"/>
    <w:rsid w:val="19932CFC"/>
    <w:rsid w:val="19C656D3"/>
    <w:rsid w:val="1A1D04E5"/>
    <w:rsid w:val="1A5D4904"/>
    <w:rsid w:val="1ADD2F23"/>
    <w:rsid w:val="1AE27287"/>
    <w:rsid w:val="1AE452DA"/>
    <w:rsid w:val="1B5067D9"/>
    <w:rsid w:val="1B576B30"/>
    <w:rsid w:val="1B70583C"/>
    <w:rsid w:val="1B855A0E"/>
    <w:rsid w:val="1B8B5493"/>
    <w:rsid w:val="1C04147D"/>
    <w:rsid w:val="1C366B72"/>
    <w:rsid w:val="1CCA5CAA"/>
    <w:rsid w:val="1D516AB0"/>
    <w:rsid w:val="1DC351B3"/>
    <w:rsid w:val="1DF94734"/>
    <w:rsid w:val="1E3D673D"/>
    <w:rsid w:val="1E4248BA"/>
    <w:rsid w:val="1E4251CB"/>
    <w:rsid w:val="1E6E1EEC"/>
    <w:rsid w:val="1E7966E4"/>
    <w:rsid w:val="1EDE28CA"/>
    <w:rsid w:val="1FFE093A"/>
    <w:rsid w:val="20D4654D"/>
    <w:rsid w:val="21340022"/>
    <w:rsid w:val="215506B8"/>
    <w:rsid w:val="21866DD4"/>
    <w:rsid w:val="219723C2"/>
    <w:rsid w:val="22542C6B"/>
    <w:rsid w:val="23791222"/>
    <w:rsid w:val="2434650C"/>
    <w:rsid w:val="24B22B57"/>
    <w:rsid w:val="24C87965"/>
    <w:rsid w:val="253F7C40"/>
    <w:rsid w:val="25682366"/>
    <w:rsid w:val="25850E7C"/>
    <w:rsid w:val="25D26CA2"/>
    <w:rsid w:val="26284D83"/>
    <w:rsid w:val="26586BD7"/>
    <w:rsid w:val="26D11B99"/>
    <w:rsid w:val="26ED2852"/>
    <w:rsid w:val="26FB0B25"/>
    <w:rsid w:val="26FD3CBF"/>
    <w:rsid w:val="274E5D2A"/>
    <w:rsid w:val="275F6794"/>
    <w:rsid w:val="2781785A"/>
    <w:rsid w:val="27BE4A94"/>
    <w:rsid w:val="27E146AA"/>
    <w:rsid w:val="284A43EB"/>
    <w:rsid w:val="287474D4"/>
    <w:rsid w:val="28A835F1"/>
    <w:rsid w:val="28C85DD4"/>
    <w:rsid w:val="28D9032F"/>
    <w:rsid w:val="295110C0"/>
    <w:rsid w:val="2A132264"/>
    <w:rsid w:val="2A9F3EEE"/>
    <w:rsid w:val="2AE90034"/>
    <w:rsid w:val="2B5C1ACA"/>
    <w:rsid w:val="2BA05B8A"/>
    <w:rsid w:val="2BE5278A"/>
    <w:rsid w:val="2C135774"/>
    <w:rsid w:val="2C971A10"/>
    <w:rsid w:val="2D0D5A02"/>
    <w:rsid w:val="2D510BD4"/>
    <w:rsid w:val="2DB32804"/>
    <w:rsid w:val="2EA4325F"/>
    <w:rsid w:val="2F1D6CD2"/>
    <w:rsid w:val="2F8E4746"/>
    <w:rsid w:val="3010304C"/>
    <w:rsid w:val="31632127"/>
    <w:rsid w:val="31647AE8"/>
    <w:rsid w:val="317E5E7D"/>
    <w:rsid w:val="31AD1AF6"/>
    <w:rsid w:val="31DA5160"/>
    <w:rsid w:val="31DB5C1C"/>
    <w:rsid w:val="31F01815"/>
    <w:rsid w:val="31F54871"/>
    <w:rsid w:val="323D36E7"/>
    <w:rsid w:val="32604EDE"/>
    <w:rsid w:val="327522E8"/>
    <w:rsid w:val="33100319"/>
    <w:rsid w:val="342A7E1B"/>
    <w:rsid w:val="34660020"/>
    <w:rsid w:val="34AA0D2E"/>
    <w:rsid w:val="35236EEC"/>
    <w:rsid w:val="35380601"/>
    <w:rsid w:val="354C1A54"/>
    <w:rsid w:val="35567A64"/>
    <w:rsid w:val="35A60E11"/>
    <w:rsid w:val="35CA03BC"/>
    <w:rsid w:val="365152CC"/>
    <w:rsid w:val="36701FCC"/>
    <w:rsid w:val="368B6C47"/>
    <w:rsid w:val="369760AD"/>
    <w:rsid w:val="37373DF8"/>
    <w:rsid w:val="37C60665"/>
    <w:rsid w:val="38A32716"/>
    <w:rsid w:val="38EA7A4B"/>
    <w:rsid w:val="39156A42"/>
    <w:rsid w:val="39170818"/>
    <w:rsid w:val="39382C32"/>
    <w:rsid w:val="39744872"/>
    <w:rsid w:val="3A051336"/>
    <w:rsid w:val="3A255706"/>
    <w:rsid w:val="3A360886"/>
    <w:rsid w:val="3A4E712A"/>
    <w:rsid w:val="3A520DB7"/>
    <w:rsid w:val="3B317A5C"/>
    <w:rsid w:val="3B704E51"/>
    <w:rsid w:val="3B7330C1"/>
    <w:rsid w:val="3BA02C63"/>
    <w:rsid w:val="3C19774B"/>
    <w:rsid w:val="3C5F4777"/>
    <w:rsid w:val="3CC72EA8"/>
    <w:rsid w:val="3D022AD8"/>
    <w:rsid w:val="3DA1404B"/>
    <w:rsid w:val="3DAB45EE"/>
    <w:rsid w:val="3DC0138F"/>
    <w:rsid w:val="3DC6108C"/>
    <w:rsid w:val="3E016514"/>
    <w:rsid w:val="3E0B6DFF"/>
    <w:rsid w:val="3EEA3F86"/>
    <w:rsid w:val="3EEE53A9"/>
    <w:rsid w:val="3F66747A"/>
    <w:rsid w:val="3F907113"/>
    <w:rsid w:val="3FDB1B34"/>
    <w:rsid w:val="401E6289"/>
    <w:rsid w:val="40224806"/>
    <w:rsid w:val="40505586"/>
    <w:rsid w:val="405A0614"/>
    <w:rsid w:val="407A59D2"/>
    <w:rsid w:val="413F6294"/>
    <w:rsid w:val="41F75CFA"/>
    <w:rsid w:val="421B6793"/>
    <w:rsid w:val="42263E23"/>
    <w:rsid w:val="426A5A28"/>
    <w:rsid w:val="43A13B10"/>
    <w:rsid w:val="43BA74C6"/>
    <w:rsid w:val="43C0149D"/>
    <w:rsid w:val="44211E9F"/>
    <w:rsid w:val="44CB0211"/>
    <w:rsid w:val="452568FC"/>
    <w:rsid w:val="45541B39"/>
    <w:rsid w:val="45971421"/>
    <w:rsid w:val="460C0390"/>
    <w:rsid w:val="468B341A"/>
    <w:rsid w:val="46C06622"/>
    <w:rsid w:val="46EB6424"/>
    <w:rsid w:val="47082973"/>
    <w:rsid w:val="472B4BF5"/>
    <w:rsid w:val="4735179A"/>
    <w:rsid w:val="47615386"/>
    <w:rsid w:val="47977700"/>
    <w:rsid w:val="47BD1B5D"/>
    <w:rsid w:val="47DA75E3"/>
    <w:rsid w:val="47FD7944"/>
    <w:rsid w:val="48B76004"/>
    <w:rsid w:val="48D31C96"/>
    <w:rsid w:val="49663136"/>
    <w:rsid w:val="497E253B"/>
    <w:rsid w:val="4A7D0448"/>
    <w:rsid w:val="4A803E09"/>
    <w:rsid w:val="4A84448B"/>
    <w:rsid w:val="4B34300E"/>
    <w:rsid w:val="4C0A04EB"/>
    <w:rsid w:val="4C341C4C"/>
    <w:rsid w:val="4C560085"/>
    <w:rsid w:val="4C6763ED"/>
    <w:rsid w:val="4C7E0050"/>
    <w:rsid w:val="4C8F6419"/>
    <w:rsid w:val="4C9076E2"/>
    <w:rsid w:val="4D117B58"/>
    <w:rsid w:val="4D2F1119"/>
    <w:rsid w:val="4D312B58"/>
    <w:rsid w:val="4D6E2AEE"/>
    <w:rsid w:val="4D73791D"/>
    <w:rsid w:val="4D8606CC"/>
    <w:rsid w:val="4DA83FFA"/>
    <w:rsid w:val="4E126E08"/>
    <w:rsid w:val="4E2A296A"/>
    <w:rsid w:val="4E44360F"/>
    <w:rsid w:val="4E7F79CC"/>
    <w:rsid w:val="4E9529ED"/>
    <w:rsid w:val="4F161D2A"/>
    <w:rsid w:val="4F46616B"/>
    <w:rsid w:val="4F6836EE"/>
    <w:rsid w:val="4F785C6D"/>
    <w:rsid w:val="50350D5E"/>
    <w:rsid w:val="505615CE"/>
    <w:rsid w:val="50947399"/>
    <w:rsid w:val="51666103"/>
    <w:rsid w:val="51F06434"/>
    <w:rsid w:val="52CD50B8"/>
    <w:rsid w:val="52F36339"/>
    <w:rsid w:val="538E073A"/>
    <w:rsid w:val="53A003FB"/>
    <w:rsid w:val="53B763DB"/>
    <w:rsid w:val="53C501E5"/>
    <w:rsid w:val="540A55F7"/>
    <w:rsid w:val="540F2D98"/>
    <w:rsid w:val="54185F50"/>
    <w:rsid w:val="5431189C"/>
    <w:rsid w:val="54393B9C"/>
    <w:rsid w:val="543D240C"/>
    <w:rsid w:val="54B071A1"/>
    <w:rsid w:val="54D4426C"/>
    <w:rsid w:val="552A6664"/>
    <w:rsid w:val="5537031F"/>
    <w:rsid w:val="554B5950"/>
    <w:rsid w:val="55A2217B"/>
    <w:rsid w:val="55B07D28"/>
    <w:rsid w:val="55CF4FBA"/>
    <w:rsid w:val="55FA2CD5"/>
    <w:rsid w:val="560A5E50"/>
    <w:rsid w:val="56394404"/>
    <w:rsid w:val="57150F75"/>
    <w:rsid w:val="575A4B6E"/>
    <w:rsid w:val="577C50CF"/>
    <w:rsid w:val="57D11136"/>
    <w:rsid w:val="583A3084"/>
    <w:rsid w:val="588B289D"/>
    <w:rsid w:val="58F77DA6"/>
    <w:rsid w:val="591F73A8"/>
    <w:rsid w:val="59E3047B"/>
    <w:rsid w:val="59E602D7"/>
    <w:rsid w:val="59F823FC"/>
    <w:rsid w:val="5A363360"/>
    <w:rsid w:val="5A863050"/>
    <w:rsid w:val="5A874EA2"/>
    <w:rsid w:val="5A8B1A5A"/>
    <w:rsid w:val="5B253B7B"/>
    <w:rsid w:val="5B272A18"/>
    <w:rsid w:val="5B346146"/>
    <w:rsid w:val="5B5112E4"/>
    <w:rsid w:val="5C0D5037"/>
    <w:rsid w:val="5CA45896"/>
    <w:rsid w:val="5CB26FC2"/>
    <w:rsid w:val="5CB75CDB"/>
    <w:rsid w:val="5D030B8B"/>
    <w:rsid w:val="5D0F237C"/>
    <w:rsid w:val="5D7D45E5"/>
    <w:rsid w:val="5D9F1366"/>
    <w:rsid w:val="5DAE0284"/>
    <w:rsid w:val="5DAE7086"/>
    <w:rsid w:val="5E3B1047"/>
    <w:rsid w:val="5E4C168C"/>
    <w:rsid w:val="5E4F7400"/>
    <w:rsid w:val="5E8B602A"/>
    <w:rsid w:val="5E9D430C"/>
    <w:rsid w:val="5EB613B0"/>
    <w:rsid w:val="5EBC734F"/>
    <w:rsid w:val="5EC979C2"/>
    <w:rsid w:val="5EDA2845"/>
    <w:rsid w:val="5EEB0FC9"/>
    <w:rsid w:val="5FDC57F2"/>
    <w:rsid w:val="5FDC5DFA"/>
    <w:rsid w:val="5FFD598B"/>
    <w:rsid w:val="60846D51"/>
    <w:rsid w:val="609E3923"/>
    <w:rsid w:val="619C1DD9"/>
    <w:rsid w:val="62DF0E47"/>
    <w:rsid w:val="62FA0242"/>
    <w:rsid w:val="63AF37B0"/>
    <w:rsid w:val="63B1339F"/>
    <w:rsid w:val="640B0AF5"/>
    <w:rsid w:val="64314F4C"/>
    <w:rsid w:val="64335504"/>
    <w:rsid w:val="64686027"/>
    <w:rsid w:val="64703E0F"/>
    <w:rsid w:val="64770F39"/>
    <w:rsid w:val="648C455D"/>
    <w:rsid w:val="656846CD"/>
    <w:rsid w:val="65C20CC0"/>
    <w:rsid w:val="65E63C7A"/>
    <w:rsid w:val="660C0CB4"/>
    <w:rsid w:val="66BD64E8"/>
    <w:rsid w:val="66CE0741"/>
    <w:rsid w:val="66D66727"/>
    <w:rsid w:val="66FE0EC5"/>
    <w:rsid w:val="6760006B"/>
    <w:rsid w:val="67663DB9"/>
    <w:rsid w:val="67D00B3F"/>
    <w:rsid w:val="68001EFF"/>
    <w:rsid w:val="68473B17"/>
    <w:rsid w:val="688F33C5"/>
    <w:rsid w:val="68A3025A"/>
    <w:rsid w:val="68D27D33"/>
    <w:rsid w:val="68DC2F23"/>
    <w:rsid w:val="68EE3B33"/>
    <w:rsid w:val="699F1E89"/>
    <w:rsid w:val="69DC2E4A"/>
    <w:rsid w:val="69EF6500"/>
    <w:rsid w:val="69F17BF9"/>
    <w:rsid w:val="6A066EEA"/>
    <w:rsid w:val="6AAB2919"/>
    <w:rsid w:val="6AAE22E9"/>
    <w:rsid w:val="6B4F4BC9"/>
    <w:rsid w:val="6B9065CE"/>
    <w:rsid w:val="6C330A2D"/>
    <w:rsid w:val="6C766EBD"/>
    <w:rsid w:val="6CA44E07"/>
    <w:rsid w:val="6CB37E7D"/>
    <w:rsid w:val="6CDB56E7"/>
    <w:rsid w:val="6D4C12B4"/>
    <w:rsid w:val="6DA00022"/>
    <w:rsid w:val="6DA42EB2"/>
    <w:rsid w:val="6DBC0423"/>
    <w:rsid w:val="6DD52ACC"/>
    <w:rsid w:val="6E166887"/>
    <w:rsid w:val="6E78361B"/>
    <w:rsid w:val="6EAD1AAA"/>
    <w:rsid w:val="6EEB5211"/>
    <w:rsid w:val="70B357D6"/>
    <w:rsid w:val="70C5455E"/>
    <w:rsid w:val="70F80CD1"/>
    <w:rsid w:val="711C1520"/>
    <w:rsid w:val="715E289C"/>
    <w:rsid w:val="71E03645"/>
    <w:rsid w:val="72630355"/>
    <w:rsid w:val="7282287F"/>
    <w:rsid w:val="72CA5E89"/>
    <w:rsid w:val="72E108DE"/>
    <w:rsid w:val="72F82A73"/>
    <w:rsid w:val="72FB1E49"/>
    <w:rsid w:val="731044C4"/>
    <w:rsid w:val="73266DBF"/>
    <w:rsid w:val="736D28A6"/>
    <w:rsid w:val="73700E49"/>
    <w:rsid w:val="737D6DF3"/>
    <w:rsid w:val="74282B15"/>
    <w:rsid w:val="74D15B67"/>
    <w:rsid w:val="759B2B06"/>
    <w:rsid w:val="75A11816"/>
    <w:rsid w:val="762C3ACA"/>
    <w:rsid w:val="76AB6145"/>
    <w:rsid w:val="76FC20A9"/>
    <w:rsid w:val="773605B1"/>
    <w:rsid w:val="77CC54ED"/>
    <w:rsid w:val="77DB1D5B"/>
    <w:rsid w:val="77E85C71"/>
    <w:rsid w:val="78435EBF"/>
    <w:rsid w:val="78723D84"/>
    <w:rsid w:val="797E30AB"/>
    <w:rsid w:val="79CB470C"/>
    <w:rsid w:val="7A1013D1"/>
    <w:rsid w:val="7A582880"/>
    <w:rsid w:val="7AC07AF0"/>
    <w:rsid w:val="7B2E47D0"/>
    <w:rsid w:val="7B5539D7"/>
    <w:rsid w:val="7B747266"/>
    <w:rsid w:val="7C0533AC"/>
    <w:rsid w:val="7C3B2101"/>
    <w:rsid w:val="7C972383"/>
    <w:rsid w:val="7CBE3A9E"/>
    <w:rsid w:val="7D2C4FEF"/>
    <w:rsid w:val="7D5044B3"/>
    <w:rsid w:val="7D9D42FF"/>
    <w:rsid w:val="7DDD5760"/>
    <w:rsid w:val="7DDF6B2F"/>
    <w:rsid w:val="7DEB2F61"/>
    <w:rsid w:val="7E4575AB"/>
    <w:rsid w:val="7E6C7636"/>
    <w:rsid w:val="7FA46BFD"/>
    <w:rsid w:val="7FAA0F55"/>
    <w:rsid w:val="7FC635C1"/>
    <w:rsid w:val="7FDA4EE2"/>
    <w:rsid w:val="7FFE0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qFormat="1" w:unhideWhenUsed="0" w:uiPriority="0" w:name="envelope address"/>
    <w:lsdException w:qFormat="1" w:unhideWhenUsed="0" w:uiPriority="0" w:name="envelope return"/>
    <w:lsdException w:qFormat="1" w:unhideWhenUsed="0" w:uiPriority="0" w:semiHidden="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semiHidden="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name="E-mail Signature"/>
    <w:lsdException w:qFormat="1" w:unhideWhenUsed="0"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99" w:semiHidden="0" w:name="HTML Typewriter"/>
    <w:lsdException w:qFormat="1" w:unhideWhenUsed="0" w:uiPriority="0" w:name="HTML Variable"/>
    <w:lsdException w:qFormat="1" w:uiPriority="99" w:name="Normal Table"/>
    <w:lsdException w:qFormat="1"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name="Table Grid 5"/>
    <w:lsdException w:qFormat="1" w:unhideWhenUsed="0" w:uiPriority="0" w:name="Table Grid 6"/>
    <w:lsdException w:qFormat="1" w:unhideWhenUsed="0" w:uiPriority="0" w:name="Table Grid 7"/>
    <w:lsdException w:qFormat="1" w:unhideWhenUsed="0" w:uiPriority="0" w:name="Table Grid 8"/>
    <w:lsdException w:qFormat="1" w:unhideWhenUsed="0" w:uiPriority="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iPriority="0" w:semiHidden="0" w:name="Balloon Text"/>
    <w:lsdException w:qFormat="1" w:unhideWhenUsed="0" w:uiPriority="0" w:semiHidden="0" w:name="Table Grid"/>
    <w:lsdException w:qFormat="1"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link w:val="146"/>
    <w:qFormat/>
    <w:uiPriority w:val="9"/>
    <w:pPr>
      <w:keepNext/>
      <w:keepLines/>
      <w:numPr>
        <w:ilvl w:val="0"/>
        <w:numId w:val="1"/>
      </w:numPr>
      <w:spacing w:beforeLines="50" w:afterLines="100"/>
      <w:ind w:firstLine="0" w:firstLineChars="0"/>
      <w:jc w:val="center"/>
      <w:outlineLvl w:val="0"/>
    </w:pPr>
    <w:rPr>
      <w:b/>
      <w:bCs/>
      <w:kern w:val="44"/>
      <w:sz w:val="36"/>
      <w:szCs w:val="44"/>
    </w:rPr>
  </w:style>
  <w:style w:type="paragraph" w:styleId="4">
    <w:name w:val="heading 2"/>
    <w:basedOn w:val="1"/>
    <w:next w:val="1"/>
    <w:link w:val="143"/>
    <w:unhideWhenUsed/>
    <w:qFormat/>
    <w:uiPriority w:val="0"/>
    <w:pPr>
      <w:keepNext/>
      <w:keepLines/>
      <w:spacing w:beforeLines="50" w:line="240" w:lineRule="auto"/>
      <w:ind w:left="3254" w:firstLine="0" w:firstLineChars="0"/>
      <w:jc w:val="left"/>
      <w:outlineLvl w:val="1"/>
    </w:pPr>
    <w:rPr>
      <w:rFonts w:ascii="Calibri Light" w:hAnsi="Calibri Light"/>
      <w:b/>
      <w:bCs/>
      <w:szCs w:val="32"/>
    </w:rPr>
  </w:style>
  <w:style w:type="paragraph" w:styleId="5">
    <w:name w:val="heading 3"/>
    <w:basedOn w:val="1"/>
    <w:next w:val="1"/>
    <w:link w:val="148"/>
    <w:unhideWhenUsed/>
    <w:qFormat/>
    <w:uiPriority w:val="0"/>
    <w:pPr>
      <w:keepNext/>
      <w:keepLines/>
      <w:spacing w:beforeLines="50" w:afterLines="50"/>
      <w:outlineLvl w:val="2"/>
    </w:pPr>
    <w:rPr>
      <w:rFonts w:hAnsi="仿宋_GB2312"/>
      <w:b/>
      <w:bCs/>
      <w:sz w:val="32"/>
      <w:szCs w:val="32"/>
    </w:rPr>
  </w:style>
  <w:style w:type="paragraph" w:styleId="6">
    <w:name w:val="heading 4"/>
    <w:basedOn w:val="1"/>
    <w:next w:val="1"/>
    <w:link w:val="147"/>
    <w:unhideWhenUsed/>
    <w:qFormat/>
    <w:uiPriority w:val="9"/>
    <w:pPr>
      <w:numPr>
        <w:ilvl w:val="3"/>
        <w:numId w:val="1"/>
      </w:numPr>
      <w:ind w:firstLine="0" w:firstLineChars="0"/>
      <w:outlineLvl w:val="3"/>
    </w:pPr>
    <w:rPr>
      <w:rFonts w:ascii="Calibri Light" w:hAnsi="Calibri Light"/>
      <w:bCs/>
      <w:szCs w:val="28"/>
    </w:rPr>
  </w:style>
  <w:style w:type="paragraph" w:styleId="7">
    <w:name w:val="heading 5"/>
    <w:basedOn w:val="1"/>
    <w:next w:val="1"/>
    <w:link w:val="165"/>
    <w:qFormat/>
    <w:uiPriority w:val="0"/>
    <w:pPr>
      <w:keepNext/>
      <w:keepLines/>
      <w:tabs>
        <w:tab w:val="left" w:pos="1008"/>
      </w:tabs>
      <w:adjustRightInd w:val="0"/>
      <w:spacing w:before="280" w:after="290" w:line="376" w:lineRule="atLeast"/>
      <w:ind w:left="1008" w:hanging="432" w:firstLineChars="0"/>
      <w:textAlignment w:val="baseline"/>
      <w:outlineLvl w:val="4"/>
    </w:pPr>
    <w:rPr>
      <w:rFonts w:ascii="宋体" w:hAnsi="Times New Roman" w:eastAsia="仿宋"/>
      <w:b/>
      <w:bCs/>
      <w:kern w:val="0"/>
      <w:szCs w:val="28"/>
    </w:rPr>
  </w:style>
  <w:style w:type="paragraph" w:styleId="8">
    <w:name w:val="heading 6"/>
    <w:basedOn w:val="1"/>
    <w:next w:val="1"/>
    <w:link w:val="166"/>
    <w:qFormat/>
    <w:uiPriority w:val="0"/>
    <w:pPr>
      <w:keepNext/>
      <w:keepLines/>
      <w:tabs>
        <w:tab w:val="left" w:pos="1152"/>
      </w:tabs>
      <w:adjustRightInd w:val="0"/>
      <w:spacing w:before="240" w:after="64" w:line="320" w:lineRule="atLeast"/>
      <w:ind w:left="1152" w:hanging="432" w:firstLineChars="0"/>
      <w:textAlignment w:val="baseline"/>
      <w:outlineLvl w:val="5"/>
    </w:pPr>
    <w:rPr>
      <w:rFonts w:ascii="Arial" w:hAnsi="Arial" w:eastAsia="黑体"/>
      <w:b/>
      <w:bCs/>
      <w:kern w:val="0"/>
      <w:sz w:val="24"/>
      <w:szCs w:val="24"/>
    </w:rPr>
  </w:style>
  <w:style w:type="paragraph" w:styleId="9">
    <w:name w:val="heading 7"/>
    <w:basedOn w:val="1"/>
    <w:next w:val="1"/>
    <w:link w:val="167"/>
    <w:qFormat/>
    <w:uiPriority w:val="0"/>
    <w:pPr>
      <w:keepNext/>
      <w:keepLines/>
      <w:tabs>
        <w:tab w:val="left" w:pos="1296"/>
      </w:tabs>
      <w:adjustRightInd w:val="0"/>
      <w:spacing w:before="240" w:after="64" w:line="320" w:lineRule="atLeast"/>
      <w:ind w:left="1296" w:hanging="288" w:firstLineChars="0"/>
      <w:textAlignment w:val="baseline"/>
      <w:outlineLvl w:val="6"/>
    </w:pPr>
    <w:rPr>
      <w:rFonts w:ascii="宋体" w:hAnsi="Times New Roman" w:eastAsia="仿宋"/>
      <w:b/>
      <w:bCs/>
      <w:kern w:val="0"/>
      <w:sz w:val="24"/>
      <w:szCs w:val="24"/>
    </w:rPr>
  </w:style>
  <w:style w:type="paragraph" w:styleId="10">
    <w:name w:val="heading 8"/>
    <w:basedOn w:val="1"/>
    <w:next w:val="1"/>
    <w:link w:val="168"/>
    <w:qFormat/>
    <w:uiPriority w:val="0"/>
    <w:pPr>
      <w:keepNext/>
      <w:keepLines/>
      <w:tabs>
        <w:tab w:val="left" w:pos="1440"/>
      </w:tabs>
      <w:adjustRightInd w:val="0"/>
      <w:spacing w:before="240" w:after="64" w:line="320" w:lineRule="atLeast"/>
      <w:ind w:left="1440" w:hanging="432" w:firstLineChars="0"/>
      <w:textAlignment w:val="baseline"/>
      <w:outlineLvl w:val="7"/>
    </w:pPr>
    <w:rPr>
      <w:rFonts w:ascii="Arial" w:hAnsi="Arial" w:eastAsia="黑体"/>
      <w:kern w:val="0"/>
      <w:sz w:val="24"/>
      <w:szCs w:val="24"/>
    </w:rPr>
  </w:style>
  <w:style w:type="paragraph" w:styleId="11">
    <w:name w:val="heading 9"/>
    <w:basedOn w:val="1"/>
    <w:next w:val="1"/>
    <w:link w:val="169"/>
    <w:qFormat/>
    <w:uiPriority w:val="0"/>
    <w:pPr>
      <w:keepNext/>
      <w:keepLines/>
      <w:tabs>
        <w:tab w:val="left" w:pos="1584"/>
      </w:tabs>
      <w:adjustRightInd w:val="0"/>
      <w:spacing w:before="240" w:after="64" w:line="320" w:lineRule="atLeast"/>
      <w:ind w:left="1584" w:hanging="144" w:firstLineChars="0"/>
      <w:textAlignment w:val="baseline"/>
      <w:outlineLvl w:val="8"/>
    </w:pPr>
    <w:rPr>
      <w:rFonts w:ascii="Arial" w:hAnsi="Arial" w:eastAsia="黑体"/>
      <w:kern w:val="0"/>
      <w:szCs w:val="21"/>
    </w:rPr>
  </w:style>
  <w:style w:type="character" w:default="1" w:styleId="123">
    <w:name w:val="Default Paragraph Font"/>
    <w:semiHidden/>
    <w:unhideWhenUsed/>
    <w:qFormat/>
    <w:uiPriority w:val="1"/>
  </w:style>
  <w:style w:type="table" w:default="1" w:styleId="7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12">
    <w:name w:val="List 3"/>
    <w:basedOn w:val="1"/>
    <w:qFormat/>
    <w:uiPriority w:val="0"/>
    <w:pPr>
      <w:adjustRightInd w:val="0"/>
      <w:ind w:left="100" w:leftChars="400" w:hanging="200" w:hangingChars="200"/>
      <w:textAlignment w:val="baseline"/>
    </w:pPr>
    <w:rPr>
      <w:rFonts w:ascii="宋体" w:hAnsi="Times New Roman" w:eastAsia="仿宋"/>
      <w:kern w:val="0"/>
      <w:szCs w:val="21"/>
    </w:rPr>
  </w:style>
  <w:style w:type="paragraph" w:styleId="13">
    <w:name w:val="toc 7"/>
    <w:basedOn w:val="1"/>
    <w:next w:val="1"/>
    <w:unhideWhenUsed/>
    <w:qFormat/>
    <w:uiPriority w:val="0"/>
    <w:pPr>
      <w:ind w:left="1680"/>
      <w:jc w:val="left"/>
    </w:pPr>
    <w:rPr>
      <w:rFonts w:asciiTheme="minorHAnsi" w:hAnsiTheme="minorHAnsi"/>
      <w:sz w:val="18"/>
      <w:szCs w:val="18"/>
    </w:rPr>
  </w:style>
  <w:style w:type="paragraph" w:styleId="14">
    <w:name w:val="List Number 2"/>
    <w:basedOn w:val="1"/>
    <w:qFormat/>
    <w:uiPriority w:val="0"/>
    <w:pPr>
      <w:numPr>
        <w:ilvl w:val="0"/>
        <w:numId w:val="2"/>
      </w:numPr>
      <w:adjustRightInd w:val="0"/>
      <w:textAlignment w:val="baseline"/>
    </w:pPr>
    <w:rPr>
      <w:rFonts w:ascii="宋体" w:hAnsi="Times New Roman" w:eastAsia="仿宋"/>
      <w:kern w:val="0"/>
      <w:szCs w:val="21"/>
    </w:rPr>
  </w:style>
  <w:style w:type="paragraph" w:styleId="15">
    <w:name w:val="Note Heading"/>
    <w:basedOn w:val="1"/>
    <w:next w:val="1"/>
    <w:link w:val="197"/>
    <w:semiHidden/>
    <w:qFormat/>
    <w:uiPriority w:val="0"/>
    <w:pPr>
      <w:adjustRightInd w:val="0"/>
      <w:ind w:firstLine="0" w:firstLineChars="0"/>
      <w:jc w:val="center"/>
      <w:textAlignment w:val="baseline"/>
    </w:pPr>
    <w:rPr>
      <w:rFonts w:ascii="宋体" w:hAnsi="Times New Roman" w:eastAsia="仿宋"/>
      <w:kern w:val="0"/>
      <w:szCs w:val="21"/>
    </w:rPr>
  </w:style>
  <w:style w:type="paragraph" w:styleId="16">
    <w:name w:val="List Bullet 4"/>
    <w:basedOn w:val="1"/>
    <w:semiHidden/>
    <w:qFormat/>
    <w:uiPriority w:val="0"/>
    <w:pPr>
      <w:numPr>
        <w:ilvl w:val="0"/>
        <w:numId w:val="3"/>
      </w:numPr>
      <w:adjustRightInd w:val="0"/>
      <w:textAlignment w:val="baseline"/>
    </w:pPr>
    <w:rPr>
      <w:rFonts w:ascii="宋体" w:hAnsi="Times New Roman" w:eastAsia="仿宋"/>
      <w:kern w:val="0"/>
      <w:szCs w:val="21"/>
    </w:rPr>
  </w:style>
  <w:style w:type="paragraph" w:styleId="17">
    <w:name w:val="E-mail Signature"/>
    <w:basedOn w:val="1"/>
    <w:link w:val="185"/>
    <w:semiHidden/>
    <w:qFormat/>
    <w:uiPriority w:val="0"/>
    <w:pPr>
      <w:adjustRightInd w:val="0"/>
      <w:ind w:firstLine="0" w:firstLineChars="0"/>
      <w:textAlignment w:val="baseline"/>
    </w:pPr>
    <w:rPr>
      <w:rFonts w:ascii="宋体" w:hAnsi="Times New Roman" w:eastAsia="仿宋"/>
      <w:kern w:val="0"/>
      <w:szCs w:val="21"/>
    </w:rPr>
  </w:style>
  <w:style w:type="paragraph" w:styleId="18">
    <w:name w:val="List Number"/>
    <w:basedOn w:val="1"/>
    <w:qFormat/>
    <w:uiPriority w:val="0"/>
    <w:pPr>
      <w:numPr>
        <w:ilvl w:val="0"/>
        <w:numId w:val="4"/>
      </w:numPr>
      <w:adjustRightInd w:val="0"/>
      <w:textAlignment w:val="baseline"/>
    </w:pPr>
    <w:rPr>
      <w:rFonts w:ascii="宋体" w:hAnsi="Times New Roman" w:eastAsia="仿宋"/>
      <w:kern w:val="0"/>
      <w:szCs w:val="21"/>
    </w:rPr>
  </w:style>
  <w:style w:type="paragraph" w:styleId="19">
    <w:name w:val="Normal Indent"/>
    <w:basedOn w:val="1"/>
    <w:link w:val="263"/>
    <w:qFormat/>
    <w:uiPriority w:val="0"/>
    <w:pPr>
      <w:adjustRightInd w:val="0"/>
      <w:ind w:firstLine="420"/>
      <w:textAlignment w:val="baseline"/>
    </w:pPr>
    <w:rPr>
      <w:rFonts w:ascii="宋体" w:hAnsi="Times New Roman" w:eastAsia="仿宋"/>
      <w:kern w:val="0"/>
      <w:sz w:val="24"/>
      <w:szCs w:val="21"/>
    </w:rPr>
  </w:style>
  <w:style w:type="paragraph" w:styleId="20">
    <w:name w:val="List Bullet"/>
    <w:basedOn w:val="1"/>
    <w:qFormat/>
    <w:uiPriority w:val="0"/>
    <w:pPr>
      <w:numPr>
        <w:ilvl w:val="0"/>
        <w:numId w:val="5"/>
      </w:numPr>
      <w:adjustRightInd w:val="0"/>
      <w:textAlignment w:val="baseline"/>
    </w:pPr>
    <w:rPr>
      <w:rFonts w:ascii="宋体" w:hAnsi="Times New Roman" w:eastAsia="仿宋"/>
      <w:kern w:val="0"/>
      <w:szCs w:val="21"/>
    </w:rPr>
  </w:style>
  <w:style w:type="paragraph" w:styleId="21">
    <w:name w:val="envelope address"/>
    <w:basedOn w:val="1"/>
    <w:semiHidden/>
    <w:qFormat/>
    <w:uiPriority w:val="0"/>
    <w:pPr>
      <w:framePr w:w="7920" w:h="1980" w:hRule="exact" w:hSpace="180" w:wrap="around" w:vAnchor="margin" w:hAnchor="page" w:xAlign="center" w:yAlign="bottom"/>
      <w:adjustRightInd w:val="0"/>
      <w:snapToGrid w:val="0"/>
      <w:ind w:left="100" w:leftChars="1400" w:firstLine="0" w:firstLineChars="0"/>
      <w:textAlignment w:val="baseline"/>
    </w:pPr>
    <w:rPr>
      <w:rFonts w:ascii="Arial" w:hAnsi="Arial" w:eastAsia="仿宋" w:cs="Arial"/>
      <w:kern w:val="0"/>
      <w:szCs w:val="24"/>
    </w:rPr>
  </w:style>
  <w:style w:type="paragraph" w:styleId="22">
    <w:name w:val="Document Map"/>
    <w:basedOn w:val="1"/>
    <w:link w:val="157"/>
    <w:unhideWhenUsed/>
    <w:qFormat/>
    <w:uiPriority w:val="0"/>
    <w:rPr>
      <w:rFonts w:ascii="宋体" w:eastAsia="宋体"/>
      <w:sz w:val="18"/>
      <w:szCs w:val="18"/>
    </w:rPr>
  </w:style>
  <w:style w:type="paragraph" w:styleId="23">
    <w:name w:val="annotation text"/>
    <w:basedOn w:val="1"/>
    <w:link w:val="151"/>
    <w:unhideWhenUsed/>
    <w:qFormat/>
    <w:uiPriority w:val="0"/>
    <w:pPr>
      <w:jc w:val="left"/>
    </w:pPr>
  </w:style>
  <w:style w:type="paragraph" w:styleId="24">
    <w:name w:val="Salutation"/>
    <w:basedOn w:val="1"/>
    <w:next w:val="1"/>
    <w:link w:val="183"/>
    <w:qFormat/>
    <w:uiPriority w:val="0"/>
    <w:pPr>
      <w:adjustRightInd w:val="0"/>
      <w:ind w:firstLine="0" w:firstLineChars="0"/>
      <w:textAlignment w:val="baseline"/>
    </w:pPr>
    <w:rPr>
      <w:rFonts w:ascii="宋体" w:hAnsi="Times New Roman" w:eastAsia="仿宋"/>
      <w:kern w:val="0"/>
      <w:sz w:val="24"/>
      <w:szCs w:val="21"/>
    </w:rPr>
  </w:style>
  <w:style w:type="paragraph" w:styleId="25">
    <w:name w:val="Body Text 3"/>
    <w:basedOn w:val="1"/>
    <w:link w:val="194"/>
    <w:qFormat/>
    <w:uiPriority w:val="0"/>
    <w:pPr>
      <w:adjustRightInd w:val="0"/>
      <w:spacing w:after="120"/>
      <w:ind w:firstLine="0" w:firstLineChars="0"/>
      <w:textAlignment w:val="baseline"/>
    </w:pPr>
    <w:rPr>
      <w:rFonts w:ascii="宋体" w:hAnsi="Times New Roman" w:eastAsia="仿宋"/>
      <w:kern w:val="0"/>
      <w:sz w:val="16"/>
      <w:szCs w:val="16"/>
    </w:rPr>
  </w:style>
  <w:style w:type="paragraph" w:styleId="26">
    <w:name w:val="Closing"/>
    <w:basedOn w:val="1"/>
    <w:link w:val="187"/>
    <w:semiHidden/>
    <w:qFormat/>
    <w:uiPriority w:val="0"/>
    <w:pPr>
      <w:adjustRightInd w:val="0"/>
      <w:ind w:left="100" w:leftChars="2100" w:firstLine="0" w:firstLineChars="0"/>
      <w:textAlignment w:val="baseline"/>
    </w:pPr>
    <w:rPr>
      <w:rFonts w:ascii="宋体" w:hAnsi="Times New Roman" w:eastAsia="仿宋"/>
      <w:kern w:val="0"/>
      <w:szCs w:val="21"/>
    </w:rPr>
  </w:style>
  <w:style w:type="paragraph" w:styleId="27">
    <w:name w:val="List Bullet 3"/>
    <w:basedOn w:val="1"/>
    <w:semiHidden/>
    <w:qFormat/>
    <w:uiPriority w:val="0"/>
    <w:pPr>
      <w:numPr>
        <w:ilvl w:val="0"/>
        <w:numId w:val="6"/>
      </w:numPr>
      <w:adjustRightInd w:val="0"/>
      <w:textAlignment w:val="baseline"/>
    </w:pPr>
    <w:rPr>
      <w:rFonts w:ascii="宋体" w:hAnsi="Times New Roman" w:eastAsia="仿宋"/>
      <w:kern w:val="0"/>
      <w:szCs w:val="21"/>
    </w:rPr>
  </w:style>
  <w:style w:type="paragraph" w:styleId="28">
    <w:name w:val="Body Text"/>
    <w:basedOn w:val="1"/>
    <w:link w:val="190"/>
    <w:qFormat/>
    <w:uiPriority w:val="0"/>
    <w:pPr>
      <w:adjustRightInd w:val="0"/>
      <w:spacing w:after="120"/>
      <w:ind w:firstLine="0" w:firstLineChars="0"/>
      <w:textAlignment w:val="baseline"/>
    </w:pPr>
    <w:rPr>
      <w:rFonts w:ascii="宋体" w:hAnsi="Times New Roman" w:eastAsia="仿宋"/>
      <w:kern w:val="0"/>
      <w:sz w:val="24"/>
      <w:szCs w:val="21"/>
    </w:rPr>
  </w:style>
  <w:style w:type="paragraph" w:styleId="29">
    <w:name w:val="Body Text Indent"/>
    <w:basedOn w:val="1"/>
    <w:link w:val="192"/>
    <w:qFormat/>
    <w:uiPriority w:val="0"/>
    <w:pPr>
      <w:adjustRightInd w:val="0"/>
      <w:spacing w:after="120"/>
      <w:ind w:left="420" w:leftChars="200" w:firstLine="0" w:firstLineChars="0"/>
      <w:textAlignment w:val="baseline"/>
    </w:pPr>
    <w:rPr>
      <w:rFonts w:ascii="宋体" w:hAnsi="Times New Roman" w:eastAsia="仿宋"/>
      <w:kern w:val="0"/>
      <w:sz w:val="24"/>
      <w:szCs w:val="21"/>
    </w:rPr>
  </w:style>
  <w:style w:type="paragraph" w:styleId="30">
    <w:name w:val="List Number 3"/>
    <w:basedOn w:val="1"/>
    <w:semiHidden/>
    <w:qFormat/>
    <w:uiPriority w:val="0"/>
    <w:pPr>
      <w:numPr>
        <w:ilvl w:val="0"/>
        <w:numId w:val="7"/>
      </w:numPr>
      <w:adjustRightInd w:val="0"/>
      <w:textAlignment w:val="baseline"/>
    </w:pPr>
    <w:rPr>
      <w:rFonts w:ascii="宋体" w:hAnsi="Times New Roman" w:eastAsia="仿宋"/>
      <w:kern w:val="0"/>
      <w:szCs w:val="21"/>
    </w:rPr>
  </w:style>
  <w:style w:type="paragraph" w:styleId="31">
    <w:name w:val="List 2"/>
    <w:basedOn w:val="1"/>
    <w:qFormat/>
    <w:uiPriority w:val="0"/>
    <w:pPr>
      <w:adjustRightInd w:val="0"/>
      <w:ind w:left="100" w:leftChars="200" w:hanging="200" w:hangingChars="200"/>
      <w:textAlignment w:val="baseline"/>
    </w:pPr>
    <w:rPr>
      <w:rFonts w:ascii="宋体" w:hAnsi="Times New Roman" w:eastAsia="仿宋"/>
      <w:kern w:val="0"/>
      <w:szCs w:val="21"/>
    </w:rPr>
  </w:style>
  <w:style w:type="paragraph" w:styleId="32">
    <w:name w:val="List Continue"/>
    <w:basedOn w:val="1"/>
    <w:semiHidden/>
    <w:qFormat/>
    <w:uiPriority w:val="0"/>
    <w:pPr>
      <w:adjustRightInd w:val="0"/>
      <w:spacing w:after="120"/>
      <w:ind w:left="420" w:leftChars="200" w:firstLine="0" w:firstLineChars="0"/>
      <w:textAlignment w:val="baseline"/>
    </w:pPr>
    <w:rPr>
      <w:rFonts w:ascii="宋体" w:hAnsi="Times New Roman" w:eastAsia="仿宋"/>
      <w:kern w:val="0"/>
      <w:szCs w:val="21"/>
    </w:rPr>
  </w:style>
  <w:style w:type="paragraph" w:styleId="33">
    <w:name w:val="Block Text"/>
    <w:basedOn w:val="1"/>
    <w:semiHidden/>
    <w:qFormat/>
    <w:uiPriority w:val="0"/>
    <w:pPr>
      <w:adjustRightInd w:val="0"/>
      <w:spacing w:after="120"/>
      <w:ind w:left="1440" w:leftChars="700" w:right="1440" w:rightChars="700" w:firstLine="0" w:firstLineChars="0"/>
      <w:textAlignment w:val="baseline"/>
    </w:pPr>
    <w:rPr>
      <w:rFonts w:ascii="宋体" w:hAnsi="Times New Roman" w:eastAsia="仿宋"/>
      <w:kern w:val="0"/>
      <w:szCs w:val="21"/>
    </w:rPr>
  </w:style>
  <w:style w:type="paragraph" w:styleId="34">
    <w:name w:val="List Bullet 2"/>
    <w:basedOn w:val="1"/>
    <w:semiHidden/>
    <w:qFormat/>
    <w:uiPriority w:val="0"/>
    <w:pPr>
      <w:numPr>
        <w:ilvl w:val="0"/>
        <w:numId w:val="8"/>
      </w:numPr>
      <w:adjustRightInd w:val="0"/>
      <w:textAlignment w:val="baseline"/>
    </w:pPr>
    <w:rPr>
      <w:rFonts w:ascii="宋体" w:hAnsi="Times New Roman" w:eastAsia="仿宋"/>
      <w:kern w:val="0"/>
      <w:szCs w:val="21"/>
    </w:rPr>
  </w:style>
  <w:style w:type="paragraph" w:styleId="35">
    <w:name w:val="HTML Address"/>
    <w:basedOn w:val="1"/>
    <w:link w:val="175"/>
    <w:semiHidden/>
    <w:qFormat/>
    <w:uiPriority w:val="0"/>
    <w:pPr>
      <w:adjustRightInd w:val="0"/>
      <w:ind w:firstLine="0" w:firstLineChars="0"/>
      <w:textAlignment w:val="baseline"/>
    </w:pPr>
    <w:rPr>
      <w:rFonts w:ascii="宋体" w:hAnsi="Times New Roman" w:eastAsia="仿宋"/>
      <w:i/>
      <w:iCs/>
      <w:kern w:val="0"/>
      <w:szCs w:val="21"/>
    </w:rPr>
  </w:style>
  <w:style w:type="paragraph" w:styleId="36">
    <w:name w:val="toc 5"/>
    <w:basedOn w:val="1"/>
    <w:next w:val="1"/>
    <w:unhideWhenUsed/>
    <w:qFormat/>
    <w:uiPriority w:val="0"/>
    <w:pPr>
      <w:ind w:left="1120"/>
      <w:jc w:val="left"/>
    </w:pPr>
    <w:rPr>
      <w:rFonts w:asciiTheme="minorHAnsi" w:hAnsiTheme="minorHAnsi"/>
      <w:sz w:val="18"/>
      <w:szCs w:val="18"/>
    </w:rPr>
  </w:style>
  <w:style w:type="paragraph" w:styleId="37">
    <w:name w:val="toc 3"/>
    <w:basedOn w:val="1"/>
    <w:next w:val="1"/>
    <w:unhideWhenUsed/>
    <w:qFormat/>
    <w:uiPriority w:val="39"/>
    <w:pPr>
      <w:ind w:left="560"/>
      <w:jc w:val="left"/>
    </w:pPr>
    <w:rPr>
      <w:rFonts w:asciiTheme="minorHAnsi" w:hAnsiTheme="minorHAnsi"/>
      <w:i/>
      <w:iCs/>
      <w:sz w:val="20"/>
      <w:szCs w:val="20"/>
    </w:rPr>
  </w:style>
  <w:style w:type="paragraph" w:styleId="38">
    <w:name w:val="Plain Text"/>
    <w:basedOn w:val="1"/>
    <w:link w:val="184"/>
    <w:qFormat/>
    <w:uiPriority w:val="0"/>
    <w:pPr>
      <w:adjustRightInd w:val="0"/>
      <w:ind w:firstLine="0" w:firstLineChars="0"/>
      <w:textAlignment w:val="baseline"/>
    </w:pPr>
    <w:rPr>
      <w:rFonts w:ascii="宋体" w:hAnsi="Courier New" w:eastAsia="仿宋"/>
      <w:kern w:val="0"/>
      <w:sz w:val="21"/>
      <w:szCs w:val="21"/>
    </w:rPr>
  </w:style>
  <w:style w:type="paragraph" w:styleId="39">
    <w:name w:val="List Bullet 5"/>
    <w:basedOn w:val="1"/>
    <w:semiHidden/>
    <w:qFormat/>
    <w:uiPriority w:val="0"/>
    <w:pPr>
      <w:numPr>
        <w:ilvl w:val="0"/>
        <w:numId w:val="9"/>
      </w:numPr>
      <w:adjustRightInd w:val="0"/>
      <w:textAlignment w:val="baseline"/>
    </w:pPr>
    <w:rPr>
      <w:rFonts w:ascii="宋体" w:hAnsi="Times New Roman" w:eastAsia="仿宋"/>
      <w:kern w:val="0"/>
      <w:szCs w:val="21"/>
    </w:rPr>
  </w:style>
  <w:style w:type="paragraph" w:styleId="40">
    <w:name w:val="List Number 4"/>
    <w:basedOn w:val="1"/>
    <w:semiHidden/>
    <w:qFormat/>
    <w:uiPriority w:val="0"/>
    <w:pPr>
      <w:numPr>
        <w:ilvl w:val="0"/>
        <w:numId w:val="10"/>
      </w:numPr>
      <w:adjustRightInd w:val="0"/>
      <w:textAlignment w:val="baseline"/>
    </w:pPr>
    <w:rPr>
      <w:rFonts w:ascii="宋体" w:hAnsi="Times New Roman" w:eastAsia="仿宋"/>
      <w:kern w:val="0"/>
      <w:szCs w:val="21"/>
    </w:rPr>
  </w:style>
  <w:style w:type="paragraph" w:styleId="41">
    <w:name w:val="toc 8"/>
    <w:basedOn w:val="1"/>
    <w:next w:val="1"/>
    <w:unhideWhenUsed/>
    <w:qFormat/>
    <w:uiPriority w:val="0"/>
    <w:pPr>
      <w:ind w:left="1960"/>
      <w:jc w:val="left"/>
    </w:pPr>
    <w:rPr>
      <w:rFonts w:asciiTheme="minorHAnsi" w:hAnsiTheme="minorHAnsi"/>
      <w:sz w:val="18"/>
      <w:szCs w:val="18"/>
    </w:rPr>
  </w:style>
  <w:style w:type="paragraph" w:styleId="42">
    <w:name w:val="index 3"/>
    <w:basedOn w:val="1"/>
    <w:next w:val="1"/>
    <w:qFormat/>
    <w:uiPriority w:val="0"/>
    <w:pPr>
      <w:spacing w:line="240" w:lineRule="auto"/>
      <w:ind w:left="840" w:firstLine="0" w:firstLineChars="0"/>
    </w:pPr>
    <w:rPr>
      <w:rFonts w:ascii="Times New Roman" w:hAnsi="Times New Roman" w:eastAsia="宋体"/>
      <w:sz w:val="21"/>
      <w:szCs w:val="20"/>
    </w:rPr>
  </w:style>
  <w:style w:type="paragraph" w:styleId="43">
    <w:name w:val="Date"/>
    <w:basedOn w:val="1"/>
    <w:next w:val="1"/>
    <w:link w:val="171"/>
    <w:qFormat/>
    <w:uiPriority w:val="0"/>
    <w:pPr>
      <w:adjustRightInd w:val="0"/>
      <w:ind w:left="100" w:leftChars="2500" w:firstLine="0" w:firstLineChars="0"/>
      <w:textAlignment w:val="baseline"/>
    </w:pPr>
    <w:rPr>
      <w:rFonts w:ascii="宋体" w:hAnsi="Times New Roman" w:eastAsia="仿宋"/>
      <w:kern w:val="0"/>
      <w:sz w:val="24"/>
      <w:szCs w:val="21"/>
    </w:rPr>
  </w:style>
  <w:style w:type="paragraph" w:styleId="44">
    <w:name w:val="Body Text Indent 2"/>
    <w:basedOn w:val="1"/>
    <w:link w:val="198"/>
    <w:qFormat/>
    <w:uiPriority w:val="0"/>
    <w:pPr>
      <w:adjustRightInd w:val="0"/>
      <w:spacing w:after="120" w:line="480" w:lineRule="auto"/>
      <w:ind w:left="420" w:leftChars="200" w:firstLine="0" w:firstLineChars="0"/>
      <w:textAlignment w:val="baseline"/>
    </w:pPr>
    <w:rPr>
      <w:rFonts w:ascii="宋体" w:hAnsi="Times New Roman" w:eastAsia="仿宋"/>
      <w:kern w:val="0"/>
      <w:sz w:val="24"/>
      <w:szCs w:val="21"/>
    </w:rPr>
  </w:style>
  <w:style w:type="paragraph" w:styleId="45">
    <w:name w:val="endnote text"/>
    <w:basedOn w:val="1"/>
    <w:link w:val="205"/>
    <w:semiHidden/>
    <w:qFormat/>
    <w:uiPriority w:val="0"/>
    <w:pPr>
      <w:adjustRightInd w:val="0"/>
      <w:snapToGrid w:val="0"/>
      <w:ind w:firstLine="0" w:firstLineChars="0"/>
      <w:jc w:val="left"/>
      <w:textAlignment w:val="baseline"/>
    </w:pPr>
    <w:rPr>
      <w:rFonts w:ascii="宋体" w:hAnsi="Times New Roman" w:eastAsia="仿宋"/>
      <w:kern w:val="0"/>
      <w:szCs w:val="21"/>
    </w:rPr>
  </w:style>
  <w:style w:type="paragraph" w:styleId="46">
    <w:name w:val="List Continue 5"/>
    <w:basedOn w:val="1"/>
    <w:semiHidden/>
    <w:qFormat/>
    <w:uiPriority w:val="0"/>
    <w:pPr>
      <w:adjustRightInd w:val="0"/>
      <w:spacing w:after="120"/>
      <w:ind w:left="2100" w:leftChars="1000" w:firstLine="0" w:firstLineChars="0"/>
      <w:textAlignment w:val="baseline"/>
    </w:pPr>
    <w:rPr>
      <w:rFonts w:ascii="宋体" w:hAnsi="Times New Roman" w:eastAsia="仿宋"/>
      <w:kern w:val="0"/>
      <w:szCs w:val="21"/>
    </w:rPr>
  </w:style>
  <w:style w:type="paragraph" w:styleId="47">
    <w:name w:val="Balloon Text"/>
    <w:basedOn w:val="1"/>
    <w:link w:val="150"/>
    <w:unhideWhenUsed/>
    <w:qFormat/>
    <w:uiPriority w:val="0"/>
    <w:pPr>
      <w:spacing w:line="240" w:lineRule="auto"/>
    </w:pPr>
    <w:rPr>
      <w:sz w:val="18"/>
      <w:szCs w:val="18"/>
    </w:rPr>
  </w:style>
  <w:style w:type="paragraph" w:styleId="48">
    <w:name w:val="footer"/>
    <w:basedOn w:val="1"/>
    <w:link w:val="145"/>
    <w:unhideWhenUsed/>
    <w:qFormat/>
    <w:uiPriority w:val="0"/>
    <w:pPr>
      <w:tabs>
        <w:tab w:val="center" w:pos="4153"/>
        <w:tab w:val="right" w:pos="8306"/>
      </w:tabs>
      <w:snapToGrid w:val="0"/>
      <w:jc w:val="left"/>
    </w:pPr>
    <w:rPr>
      <w:sz w:val="18"/>
      <w:szCs w:val="18"/>
    </w:rPr>
  </w:style>
  <w:style w:type="paragraph" w:styleId="49">
    <w:name w:val="envelope return"/>
    <w:basedOn w:val="1"/>
    <w:semiHidden/>
    <w:qFormat/>
    <w:uiPriority w:val="0"/>
    <w:pPr>
      <w:adjustRightInd w:val="0"/>
      <w:snapToGrid w:val="0"/>
      <w:ind w:firstLine="0" w:firstLineChars="0"/>
      <w:textAlignment w:val="baseline"/>
    </w:pPr>
    <w:rPr>
      <w:rFonts w:ascii="Arial" w:hAnsi="Arial" w:eastAsia="仿宋" w:cs="Arial"/>
      <w:kern w:val="0"/>
      <w:szCs w:val="21"/>
    </w:rPr>
  </w:style>
  <w:style w:type="paragraph" w:styleId="50">
    <w:name w:val="header"/>
    <w:basedOn w:val="1"/>
    <w:link w:val="144"/>
    <w:unhideWhenUsed/>
    <w:qFormat/>
    <w:uiPriority w:val="0"/>
    <w:pPr>
      <w:pBdr>
        <w:bottom w:val="single" w:color="auto" w:sz="6" w:space="1"/>
      </w:pBdr>
      <w:tabs>
        <w:tab w:val="center" w:pos="4153"/>
        <w:tab w:val="right" w:pos="8306"/>
      </w:tabs>
      <w:snapToGrid w:val="0"/>
      <w:jc w:val="center"/>
    </w:pPr>
    <w:rPr>
      <w:sz w:val="18"/>
      <w:szCs w:val="18"/>
    </w:rPr>
  </w:style>
  <w:style w:type="paragraph" w:styleId="51">
    <w:name w:val="Signature"/>
    <w:basedOn w:val="1"/>
    <w:link w:val="188"/>
    <w:qFormat/>
    <w:uiPriority w:val="0"/>
    <w:pPr>
      <w:adjustRightInd w:val="0"/>
      <w:ind w:left="100" w:leftChars="2100" w:firstLine="0" w:firstLineChars="0"/>
      <w:textAlignment w:val="baseline"/>
    </w:pPr>
    <w:rPr>
      <w:rFonts w:ascii="宋体" w:hAnsi="Times New Roman" w:eastAsia="仿宋"/>
      <w:kern w:val="0"/>
      <w:sz w:val="24"/>
      <w:szCs w:val="21"/>
    </w:rPr>
  </w:style>
  <w:style w:type="paragraph" w:styleId="52">
    <w:name w:val="toc 1"/>
    <w:basedOn w:val="1"/>
    <w:next w:val="1"/>
    <w:unhideWhenUsed/>
    <w:qFormat/>
    <w:uiPriority w:val="39"/>
    <w:pPr>
      <w:spacing w:before="120" w:after="120"/>
      <w:jc w:val="left"/>
    </w:pPr>
    <w:rPr>
      <w:rFonts w:asciiTheme="minorHAnsi" w:hAnsiTheme="minorHAnsi"/>
      <w:b/>
      <w:bCs/>
      <w:caps/>
      <w:sz w:val="20"/>
      <w:szCs w:val="20"/>
    </w:rPr>
  </w:style>
  <w:style w:type="paragraph" w:styleId="53">
    <w:name w:val="List Continue 4"/>
    <w:basedOn w:val="1"/>
    <w:semiHidden/>
    <w:qFormat/>
    <w:uiPriority w:val="0"/>
    <w:pPr>
      <w:adjustRightInd w:val="0"/>
      <w:spacing w:after="120"/>
      <w:ind w:left="1680" w:leftChars="800" w:firstLine="0" w:firstLineChars="0"/>
      <w:textAlignment w:val="baseline"/>
    </w:pPr>
    <w:rPr>
      <w:rFonts w:ascii="宋体" w:hAnsi="Times New Roman" w:eastAsia="仿宋"/>
      <w:kern w:val="0"/>
      <w:szCs w:val="21"/>
    </w:rPr>
  </w:style>
  <w:style w:type="paragraph" w:styleId="54">
    <w:name w:val="toc 4"/>
    <w:basedOn w:val="1"/>
    <w:next w:val="1"/>
    <w:unhideWhenUsed/>
    <w:qFormat/>
    <w:uiPriority w:val="0"/>
    <w:pPr>
      <w:ind w:left="840"/>
      <w:jc w:val="left"/>
    </w:pPr>
    <w:rPr>
      <w:rFonts w:asciiTheme="minorHAnsi" w:hAnsiTheme="minorHAnsi"/>
      <w:sz w:val="18"/>
      <w:szCs w:val="18"/>
    </w:rPr>
  </w:style>
  <w:style w:type="paragraph" w:styleId="55">
    <w:name w:val="index heading"/>
    <w:basedOn w:val="1"/>
    <w:next w:val="56"/>
    <w:qFormat/>
    <w:uiPriority w:val="0"/>
    <w:pPr>
      <w:spacing w:line="240" w:lineRule="auto"/>
      <w:ind w:firstLine="0" w:firstLineChars="0"/>
    </w:pPr>
    <w:rPr>
      <w:rFonts w:ascii="Times New Roman" w:hAnsi="Times New Roman" w:eastAsia="宋体"/>
      <w:sz w:val="21"/>
      <w:szCs w:val="20"/>
    </w:rPr>
  </w:style>
  <w:style w:type="paragraph" w:styleId="56">
    <w:name w:val="index 1"/>
    <w:basedOn w:val="1"/>
    <w:next w:val="1"/>
    <w:qFormat/>
    <w:uiPriority w:val="0"/>
    <w:pPr>
      <w:adjustRightInd w:val="0"/>
      <w:ind w:firstLine="0" w:firstLineChars="0"/>
      <w:textAlignment w:val="baseline"/>
    </w:pPr>
    <w:rPr>
      <w:rFonts w:ascii="宋体" w:hAnsi="Times New Roman" w:eastAsia="仿宋"/>
      <w:kern w:val="0"/>
      <w:szCs w:val="21"/>
    </w:rPr>
  </w:style>
  <w:style w:type="paragraph" w:styleId="57">
    <w:name w:val="Subtitle"/>
    <w:basedOn w:val="1"/>
    <w:link w:val="186"/>
    <w:qFormat/>
    <w:uiPriority w:val="0"/>
    <w:pPr>
      <w:adjustRightInd w:val="0"/>
      <w:spacing w:before="240" w:after="60" w:line="312" w:lineRule="auto"/>
      <w:ind w:firstLine="0" w:firstLineChars="0"/>
      <w:jc w:val="center"/>
      <w:textAlignment w:val="baseline"/>
      <w:outlineLvl w:val="1"/>
    </w:pPr>
    <w:rPr>
      <w:rFonts w:ascii="Arial" w:hAnsi="Arial" w:eastAsia="仿宋" w:cs="Arial"/>
      <w:b/>
      <w:bCs/>
      <w:kern w:val="28"/>
      <w:sz w:val="32"/>
      <w:szCs w:val="32"/>
    </w:rPr>
  </w:style>
  <w:style w:type="paragraph" w:styleId="58">
    <w:name w:val="List Number 5"/>
    <w:basedOn w:val="1"/>
    <w:semiHidden/>
    <w:qFormat/>
    <w:uiPriority w:val="0"/>
    <w:pPr>
      <w:numPr>
        <w:ilvl w:val="0"/>
        <w:numId w:val="11"/>
      </w:numPr>
      <w:adjustRightInd w:val="0"/>
      <w:textAlignment w:val="baseline"/>
    </w:pPr>
    <w:rPr>
      <w:rFonts w:ascii="宋体" w:hAnsi="Times New Roman" w:eastAsia="仿宋"/>
      <w:kern w:val="0"/>
      <w:szCs w:val="21"/>
    </w:rPr>
  </w:style>
  <w:style w:type="paragraph" w:styleId="59">
    <w:name w:val="List"/>
    <w:basedOn w:val="1"/>
    <w:qFormat/>
    <w:uiPriority w:val="0"/>
    <w:pPr>
      <w:adjustRightInd w:val="0"/>
      <w:ind w:left="200" w:hanging="200" w:hangingChars="200"/>
      <w:textAlignment w:val="baseline"/>
    </w:pPr>
    <w:rPr>
      <w:rFonts w:ascii="宋体" w:hAnsi="Times New Roman" w:eastAsia="仿宋"/>
      <w:kern w:val="0"/>
      <w:szCs w:val="21"/>
    </w:rPr>
  </w:style>
  <w:style w:type="paragraph" w:styleId="60">
    <w:name w:val="footnote text"/>
    <w:basedOn w:val="1"/>
    <w:link w:val="207"/>
    <w:qFormat/>
    <w:uiPriority w:val="0"/>
    <w:pPr>
      <w:adjustRightInd w:val="0"/>
      <w:snapToGrid w:val="0"/>
      <w:ind w:firstLine="0" w:firstLineChars="0"/>
      <w:jc w:val="left"/>
      <w:textAlignment w:val="baseline"/>
    </w:pPr>
    <w:rPr>
      <w:rFonts w:ascii="宋体" w:hAnsi="Times New Roman" w:eastAsia="仿宋"/>
      <w:kern w:val="0"/>
      <w:sz w:val="18"/>
      <w:szCs w:val="18"/>
    </w:rPr>
  </w:style>
  <w:style w:type="paragraph" w:styleId="61">
    <w:name w:val="toc 6"/>
    <w:basedOn w:val="1"/>
    <w:next w:val="1"/>
    <w:unhideWhenUsed/>
    <w:qFormat/>
    <w:uiPriority w:val="0"/>
    <w:pPr>
      <w:ind w:left="1400"/>
      <w:jc w:val="left"/>
    </w:pPr>
    <w:rPr>
      <w:rFonts w:asciiTheme="minorHAnsi" w:hAnsiTheme="minorHAnsi"/>
      <w:sz w:val="18"/>
      <w:szCs w:val="18"/>
    </w:rPr>
  </w:style>
  <w:style w:type="paragraph" w:styleId="62">
    <w:name w:val="List 5"/>
    <w:basedOn w:val="1"/>
    <w:semiHidden/>
    <w:qFormat/>
    <w:uiPriority w:val="0"/>
    <w:pPr>
      <w:adjustRightInd w:val="0"/>
      <w:ind w:left="100" w:leftChars="800" w:hanging="200" w:hangingChars="200"/>
      <w:textAlignment w:val="baseline"/>
    </w:pPr>
    <w:rPr>
      <w:rFonts w:ascii="宋体" w:hAnsi="Times New Roman" w:eastAsia="仿宋"/>
      <w:kern w:val="0"/>
      <w:szCs w:val="21"/>
    </w:rPr>
  </w:style>
  <w:style w:type="paragraph" w:styleId="63">
    <w:name w:val="Body Text Indent 3"/>
    <w:basedOn w:val="1"/>
    <w:link w:val="196"/>
    <w:qFormat/>
    <w:uiPriority w:val="0"/>
    <w:pPr>
      <w:adjustRightInd w:val="0"/>
      <w:spacing w:after="120"/>
      <w:ind w:left="420" w:leftChars="200" w:firstLine="0" w:firstLineChars="0"/>
      <w:textAlignment w:val="baseline"/>
    </w:pPr>
    <w:rPr>
      <w:rFonts w:ascii="宋体" w:hAnsi="Times New Roman" w:eastAsia="仿宋"/>
      <w:kern w:val="0"/>
      <w:sz w:val="16"/>
      <w:szCs w:val="16"/>
    </w:rPr>
  </w:style>
  <w:style w:type="paragraph" w:styleId="64">
    <w:name w:val="table of figures"/>
    <w:basedOn w:val="1"/>
    <w:next w:val="1"/>
    <w:qFormat/>
    <w:uiPriority w:val="0"/>
    <w:pPr>
      <w:spacing w:line="240" w:lineRule="auto"/>
      <w:ind w:left="840" w:hanging="420" w:firstLineChars="0"/>
    </w:pPr>
    <w:rPr>
      <w:rFonts w:ascii="Times New Roman" w:hAnsi="Times New Roman" w:eastAsia="宋体"/>
      <w:sz w:val="21"/>
      <w:szCs w:val="21"/>
    </w:rPr>
  </w:style>
  <w:style w:type="paragraph" w:styleId="65">
    <w:name w:val="toc 2"/>
    <w:basedOn w:val="1"/>
    <w:next w:val="1"/>
    <w:unhideWhenUsed/>
    <w:qFormat/>
    <w:uiPriority w:val="39"/>
    <w:pPr>
      <w:ind w:left="280"/>
      <w:jc w:val="left"/>
    </w:pPr>
    <w:rPr>
      <w:rFonts w:asciiTheme="minorHAnsi" w:hAnsiTheme="minorHAnsi"/>
      <w:smallCaps/>
      <w:sz w:val="20"/>
      <w:szCs w:val="20"/>
    </w:rPr>
  </w:style>
  <w:style w:type="paragraph" w:styleId="66">
    <w:name w:val="toc 9"/>
    <w:basedOn w:val="1"/>
    <w:next w:val="1"/>
    <w:unhideWhenUsed/>
    <w:qFormat/>
    <w:uiPriority w:val="0"/>
    <w:pPr>
      <w:ind w:left="2240"/>
      <w:jc w:val="left"/>
    </w:pPr>
    <w:rPr>
      <w:rFonts w:asciiTheme="minorHAnsi" w:hAnsiTheme="minorHAnsi"/>
      <w:sz w:val="18"/>
      <w:szCs w:val="18"/>
    </w:rPr>
  </w:style>
  <w:style w:type="paragraph" w:styleId="67">
    <w:name w:val="Body Text 2"/>
    <w:basedOn w:val="1"/>
    <w:link w:val="177"/>
    <w:qFormat/>
    <w:uiPriority w:val="0"/>
    <w:pPr>
      <w:adjustRightInd w:val="0"/>
      <w:spacing w:after="120" w:line="480" w:lineRule="auto"/>
      <w:ind w:firstLine="0" w:firstLineChars="0"/>
      <w:textAlignment w:val="baseline"/>
    </w:pPr>
    <w:rPr>
      <w:rFonts w:ascii="宋体" w:hAnsi="Times New Roman" w:eastAsia="仿宋"/>
      <w:kern w:val="0"/>
      <w:szCs w:val="21"/>
    </w:rPr>
  </w:style>
  <w:style w:type="paragraph" w:styleId="68">
    <w:name w:val="List 4"/>
    <w:basedOn w:val="1"/>
    <w:semiHidden/>
    <w:qFormat/>
    <w:uiPriority w:val="0"/>
    <w:pPr>
      <w:adjustRightInd w:val="0"/>
      <w:ind w:left="100" w:leftChars="600" w:hanging="200" w:hangingChars="200"/>
      <w:textAlignment w:val="baseline"/>
    </w:pPr>
    <w:rPr>
      <w:rFonts w:ascii="宋体" w:hAnsi="Times New Roman" w:eastAsia="仿宋"/>
      <w:kern w:val="0"/>
      <w:szCs w:val="21"/>
    </w:rPr>
  </w:style>
  <w:style w:type="paragraph" w:styleId="69">
    <w:name w:val="List Continue 2"/>
    <w:basedOn w:val="1"/>
    <w:semiHidden/>
    <w:qFormat/>
    <w:uiPriority w:val="0"/>
    <w:pPr>
      <w:adjustRightInd w:val="0"/>
      <w:spacing w:after="120"/>
      <w:ind w:left="840" w:leftChars="400" w:firstLine="0" w:firstLineChars="0"/>
      <w:textAlignment w:val="baseline"/>
    </w:pPr>
    <w:rPr>
      <w:rFonts w:ascii="宋体" w:hAnsi="Times New Roman" w:eastAsia="仿宋"/>
      <w:kern w:val="0"/>
      <w:szCs w:val="21"/>
    </w:rPr>
  </w:style>
  <w:style w:type="paragraph" w:styleId="70">
    <w:name w:val="Message Header"/>
    <w:basedOn w:val="1"/>
    <w:link w:val="189"/>
    <w:semiHidden/>
    <w:qFormat/>
    <w:uiPriority w:val="0"/>
    <w:pPr>
      <w:pBdr>
        <w:top w:val="single" w:color="auto" w:sz="6" w:space="1"/>
        <w:left w:val="single" w:color="auto" w:sz="6" w:space="1"/>
        <w:bottom w:val="single" w:color="auto" w:sz="6" w:space="1"/>
        <w:right w:val="single" w:color="auto" w:sz="6" w:space="1"/>
      </w:pBdr>
      <w:shd w:val="pct20" w:color="auto" w:fill="auto"/>
      <w:adjustRightInd w:val="0"/>
      <w:ind w:left="1080" w:leftChars="500" w:hanging="1080" w:hangingChars="500"/>
      <w:textAlignment w:val="baseline"/>
    </w:pPr>
    <w:rPr>
      <w:rFonts w:ascii="Arial" w:hAnsi="Arial" w:eastAsia="仿宋" w:cs="Arial"/>
      <w:kern w:val="0"/>
      <w:szCs w:val="24"/>
    </w:rPr>
  </w:style>
  <w:style w:type="paragraph" w:styleId="71">
    <w:name w:val="HTML Preformatted"/>
    <w:basedOn w:val="1"/>
    <w:link w:val="182"/>
    <w:qFormat/>
    <w:uiPriority w:val="0"/>
    <w:pPr>
      <w:adjustRightInd w:val="0"/>
      <w:ind w:firstLine="0" w:firstLineChars="0"/>
      <w:textAlignment w:val="baseline"/>
    </w:pPr>
    <w:rPr>
      <w:rFonts w:ascii="Courier New" w:hAnsi="Courier New" w:eastAsia="仿宋"/>
      <w:kern w:val="0"/>
      <w:sz w:val="20"/>
      <w:szCs w:val="20"/>
    </w:rPr>
  </w:style>
  <w:style w:type="paragraph" w:styleId="72">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3">
    <w:name w:val="List Continue 3"/>
    <w:basedOn w:val="1"/>
    <w:semiHidden/>
    <w:qFormat/>
    <w:uiPriority w:val="0"/>
    <w:pPr>
      <w:adjustRightInd w:val="0"/>
      <w:spacing w:after="120"/>
      <w:ind w:left="1260" w:leftChars="600" w:firstLine="0" w:firstLineChars="0"/>
      <w:textAlignment w:val="baseline"/>
    </w:pPr>
    <w:rPr>
      <w:rFonts w:ascii="宋体" w:hAnsi="Times New Roman" w:eastAsia="仿宋"/>
      <w:kern w:val="0"/>
      <w:szCs w:val="21"/>
    </w:rPr>
  </w:style>
  <w:style w:type="paragraph" w:styleId="74">
    <w:name w:val="Title"/>
    <w:basedOn w:val="1"/>
    <w:link w:val="176"/>
    <w:qFormat/>
    <w:uiPriority w:val="0"/>
    <w:pPr>
      <w:adjustRightInd w:val="0"/>
      <w:spacing w:before="240" w:after="60"/>
      <w:ind w:firstLine="0" w:firstLineChars="0"/>
      <w:jc w:val="center"/>
      <w:textAlignment w:val="baseline"/>
      <w:outlineLvl w:val="0"/>
    </w:pPr>
    <w:rPr>
      <w:rFonts w:ascii="Arial" w:hAnsi="Arial" w:eastAsia="仿宋"/>
      <w:b/>
      <w:bCs/>
      <w:kern w:val="0"/>
      <w:sz w:val="32"/>
      <w:szCs w:val="32"/>
    </w:rPr>
  </w:style>
  <w:style w:type="paragraph" w:styleId="75">
    <w:name w:val="annotation subject"/>
    <w:basedOn w:val="23"/>
    <w:next w:val="23"/>
    <w:link w:val="152"/>
    <w:unhideWhenUsed/>
    <w:qFormat/>
    <w:uiPriority w:val="0"/>
    <w:rPr>
      <w:b/>
      <w:bCs/>
    </w:rPr>
  </w:style>
  <w:style w:type="paragraph" w:styleId="76">
    <w:name w:val="Body Text First Indent"/>
    <w:basedOn w:val="28"/>
    <w:link w:val="191"/>
    <w:qFormat/>
    <w:uiPriority w:val="0"/>
    <w:pPr>
      <w:ind w:firstLine="420" w:firstLineChars="100"/>
    </w:pPr>
  </w:style>
  <w:style w:type="paragraph" w:styleId="77">
    <w:name w:val="Body Text First Indent 2"/>
    <w:basedOn w:val="29"/>
    <w:link w:val="193"/>
    <w:qFormat/>
    <w:uiPriority w:val="0"/>
    <w:pPr>
      <w:ind w:firstLine="420" w:firstLineChars="200"/>
    </w:pPr>
  </w:style>
  <w:style w:type="table" w:styleId="79">
    <w:name w:val="Table Grid"/>
    <w:basedOn w:val="7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0">
    <w:name w:val="Table Theme"/>
    <w:basedOn w:val="78"/>
    <w:semiHidden/>
    <w:qFormat/>
    <w:uiPriority w:val="0"/>
    <w:pPr>
      <w:widowControl w:val="0"/>
      <w:adjustRightInd w:val="0"/>
      <w:spacing w:line="360" w:lineRule="auto"/>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81">
    <w:name w:val="Table Colorful 1"/>
    <w:basedOn w:val="78"/>
    <w:semiHidden/>
    <w:qFormat/>
    <w:uiPriority w:val="0"/>
    <w:pPr>
      <w:widowControl w:val="0"/>
      <w:adjustRightInd w:val="0"/>
      <w:spacing w:line="360" w:lineRule="auto"/>
      <w:jc w:val="both"/>
      <w:textAlignment w:val="baseline"/>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82">
    <w:name w:val="Table Colorful 2"/>
    <w:basedOn w:val="78"/>
    <w:semiHidden/>
    <w:qFormat/>
    <w:uiPriority w:val="0"/>
    <w:pPr>
      <w:widowControl w:val="0"/>
      <w:adjustRightInd w:val="0"/>
      <w:spacing w:line="360" w:lineRule="auto"/>
      <w:jc w:val="both"/>
      <w:textAlignment w:val="baseline"/>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83">
    <w:name w:val="Table Colorful 3"/>
    <w:basedOn w:val="78"/>
    <w:semiHidden/>
    <w:qFormat/>
    <w:uiPriority w:val="0"/>
    <w:pPr>
      <w:widowControl w:val="0"/>
      <w:adjustRightInd w:val="0"/>
      <w:spacing w:line="360" w:lineRule="auto"/>
      <w:jc w:val="both"/>
      <w:textAlignment w:val="baseline"/>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84">
    <w:name w:val="Table Elegant"/>
    <w:basedOn w:val="78"/>
    <w:semiHidden/>
    <w:qFormat/>
    <w:uiPriority w:val="0"/>
    <w:pPr>
      <w:widowControl w:val="0"/>
      <w:adjustRightInd w:val="0"/>
      <w:spacing w:line="360" w:lineRule="auto"/>
      <w:jc w:val="both"/>
      <w:textAlignment w:val="baseline"/>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85">
    <w:name w:val="Table Classic 1"/>
    <w:basedOn w:val="78"/>
    <w:semiHidden/>
    <w:qFormat/>
    <w:uiPriority w:val="0"/>
    <w:pPr>
      <w:widowControl w:val="0"/>
      <w:adjustRightInd w:val="0"/>
      <w:spacing w:line="360" w:lineRule="auto"/>
      <w:jc w:val="both"/>
      <w:textAlignment w:val="baseline"/>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86">
    <w:name w:val="Table Classic 2"/>
    <w:basedOn w:val="78"/>
    <w:semiHidden/>
    <w:qFormat/>
    <w:uiPriority w:val="0"/>
    <w:pPr>
      <w:widowControl w:val="0"/>
      <w:adjustRightInd w:val="0"/>
      <w:spacing w:line="312" w:lineRule="atLeast"/>
      <w:jc w:val="both"/>
      <w:textAlignment w:val="baseline"/>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87">
    <w:name w:val="Table Classic 3"/>
    <w:basedOn w:val="78"/>
    <w:semiHidden/>
    <w:qFormat/>
    <w:uiPriority w:val="0"/>
    <w:pPr>
      <w:widowControl w:val="0"/>
      <w:adjustRightInd w:val="0"/>
      <w:spacing w:line="360" w:lineRule="auto"/>
      <w:jc w:val="both"/>
      <w:textAlignment w:val="baseline"/>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88">
    <w:name w:val="Table Classic 4"/>
    <w:basedOn w:val="78"/>
    <w:semiHidden/>
    <w:qFormat/>
    <w:uiPriority w:val="0"/>
    <w:pPr>
      <w:widowControl w:val="0"/>
      <w:adjustRightInd w:val="0"/>
      <w:spacing w:line="360" w:lineRule="auto"/>
      <w:jc w:val="both"/>
      <w:textAlignment w:val="baseline"/>
    </w:p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89">
    <w:name w:val="Table Simple 1"/>
    <w:basedOn w:val="78"/>
    <w:semiHidden/>
    <w:qFormat/>
    <w:uiPriority w:val="0"/>
    <w:pPr>
      <w:widowControl w:val="0"/>
      <w:adjustRightInd w:val="0"/>
      <w:spacing w:line="360" w:lineRule="auto"/>
      <w:jc w:val="both"/>
      <w:textAlignment w:val="baseline"/>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90">
    <w:name w:val="Table Simple 2"/>
    <w:basedOn w:val="78"/>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91">
    <w:name w:val="Table Simple 3"/>
    <w:basedOn w:val="78"/>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92">
    <w:name w:val="Table Subtle 1"/>
    <w:basedOn w:val="78"/>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3">
    <w:name w:val="Table Subtle 2"/>
    <w:basedOn w:val="78"/>
    <w:semiHidden/>
    <w:qFormat/>
    <w:uiPriority w:val="0"/>
    <w:pPr>
      <w:widowControl w:val="0"/>
      <w:adjustRightInd w:val="0"/>
      <w:spacing w:line="360" w:lineRule="auto"/>
      <w:jc w:val="both"/>
      <w:textAlignment w:val="baseline"/>
    </w:p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4">
    <w:name w:val="Table 3D effects 1"/>
    <w:basedOn w:val="78"/>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95">
    <w:name w:val="Table 3D effects 2"/>
    <w:basedOn w:val="78"/>
    <w:semiHidden/>
    <w:qFormat/>
    <w:uiPriority w:val="0"/>
    <w:pPr>
      <w:widowControl w:val="0"/>
      <w:adjustRightInd w:val="0"/>
      <w:spacing w:line="312" w:lineRule="atLeast"/>
      <w:jc w:val="both"/>
      <w:textAlignment w:val="baseline"/>
    </w:p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6">
    <w:name w:val="Table 3D effects 3"/>
    <w:basedOn w:val="78"/>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97">
    <w:name w:val="Table List 1"/>
    <w:basedOn w:val="78"/>
    <w:semiHidden/>
    <w:qFormat/>
    <w:uiPriority w:val="0"/>
    <w:pPr>
      <w:widowControl w:val="0"/>
      <w:adjustRightInd w:val="0"/>
      <w:spacing w:line="360" w:lineRule="auto"/>
      <w:jc w:val="both"/>
      <w:textAlignment w:val="baseline"/>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8">
    <w:name w:val="Table List 2"/>
    <w:basedOn w:val="78"/>
    <w:semiHidden/>
    <w:qFormat/>
    <w:uiPriority w:val="0"/>
    <w:pPr>
      <w:widowControl w:val="0"/>
      <w:adjustRightInd w:val="0"/>
      <w:spacing w:line="360" w:lineRule="auto"/>
      <w:jc w:val="both"/>
      <w:textAlignment w:val="baseline"/>
    </w:p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99">
    <w:name w:val="Table List 3"/>
    <w:basedOn w:val="78"/>
    <w:semiHidden/>
    <w:qFormat/>
    <w:uiPriority w:val="0"/>
    <w:pPr>
      <w:widowControl w:val="0"/>
      <w:adjustRightInd w:val="0"/>
      <w:spacing w:line="360" w:lineRule="auto"/>
      <w:jc w:val="both"/>
      <w:textAlignment w:val="baseline"/>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00">
    <w:name w:val="Table List 4"/>
    <w:basedOn w:val="78"/>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01">
    <w:name w:val="Table List 5"/>
    <w:basedOn w:val="78"/>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02">
    <w:name w:val="Table List 6"/>
    <w:basedOn w:val="78"/>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03">
    <w:name w:val="Table List 7"/>
    <w:basedOn w:val="78"/>
    <w:semiHidden/>
    <w:qFormat/>
    <w:uiPriority w:val="0"/>
    <w:pPr>
      <w:widowControl w:val="0"/>
      <w:adjustRightInd w:val="0"/>
      <w:spacing w:line="360" w:lineRule="auto"/>
      <w:jc w:val="both"/>
      <w:textAlignment w:val="baseline"/>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04">
    <w:name w:val="Table List 8"/>
    <w:basedOn w:val="78"/>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05">
    <w:name w:val="Table Contemporary"/>
    <w:basedOn w:val="78"/>
    <w:semiHidden/>
    <w:qFormat/>
    <w:uiPriority w:val="0"/>
    <w:pPr>
      <w:widowControl w:val="0"/>
      <w:adjustRightInd w:val="0"/>
      <w:spacing w:line="360" w:lineRule="auto"/>
      <w:jc w:val="both"/>
      <w:textAlignment w:val="baseline"/>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06">
    <w:name w:val="Table Columns 1"/>
    <w:basedOn w:val="78"/>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7">
    <w:name w:val="Table Columns 2"/>
    <w:basedOn w:val="78"/>
    <w:semiHidden/>
    <w:qFormat/>
    <w:uiPriority w:val="0"/>
    <w:pPr>
      <w:widowControl w:val="0"/>
      <w:adjustRightInd w:val="0"/>
      <w:spacing w:line="360" w:lineRule="auto"/>
      <w:jc w:val="both"/>
      <w:textAlignment w:val="baseline"/>
    </w:pPr>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08">
    <w:name w:val="Table Columns 3"/>
    <w:basedOn w:val="78"/>
    <w:semiHidden/>
    <w:qFormat/>
    <w:uiPriority w:val="0"/>
    <w:pPr>
      <w:widowControl w:val="0"/>
      <w:adjustRightInd w:val="0"/>
      <w:spacing w:line="360" w:lineRule="auto"/>
      <w:jc w:val="both"/>
      <w:textAlignment w:val="baseline"/>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09">
    <w:name w:val="Table Columns 4"/>
    <w:basedOn w:val="78"/>
    <w:semiHidden/>
    <w:qFormat/>
    <w:uiPriority w:val="0"/>
    <w:pPr>
      <w:widowControl w:val="0"/>
      <w:adjustRightInd w:val="0"/>
      <w:spacing w:line="360" w:lineRule="auto"/>
      <w:jc w:val="both"/>
      <w:textAlignment w:val="baseline"/>
    </w:p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10">
    <w:name w:val="Table Columns 5"/>
    <w:basedOn w:val="78"/>
    <w:semiHidden/>
    <w:qFormat/>
    <w:uiPriority w:val="0"/>
    <w:pPr>
      <w:widowControl w:val="0"/>
      <w:adjustRightInd w:val="0"/>
      <w:spacing w:line="360" w:lineRule="auto"/>
      <w:jc w:val="both"/>
      <w:textAlignment w:val="baseline"/>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11">
    <w:name w:val="Table Grid 1"/>
    <w:basedOn w:val="78"/>
    <w:semiHidden/>
    <w:qFormat/>
    <w:uiPriority w:val="0"/>
    <w:pPr>
      <w:widowControl w:val="0"/>
      <w:adjustRightInd w:val="0"/>
      <w:spacing w:line="360" w:lineRule="auto"/>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2">
    <w:name w:val="Table Grid 2"/>
    <w:basedOn w:val="78"/>
    <w:semiHidden/>
    <w:qFormat/>
    <w:uiPriority w:val="0"/>
    <w:pPr>
      <w:widowControl w:val="0"/>
      <w:adjustRightInd w:val="0"/>
      <w:spacing w:line="360" w:lineRule="auto"/>
      <w:jc w:val="both"/>
      <w:textAlignment w:val="baseline"/>
    </w:p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13">
    <w:name w:val="Table Grid 3"/>
    <w:basedOn w:val="78"/>
    <w:semiHidden/>
    <w:qFormat/>
    <w:uiPriority w:val="0"/>
    <w:pPr>
      <w:widowControl w:val="0"/>
      <w:adjustRightInd w:val="0"/>
      <w:spacing w:line="360" w:lineRule="auto"/>
      <w:jc w:val="both"/>
      <w:textAlignment w:val="baseline"/>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4">
    <w:name w:val="Table Grid 4"/>
    <w:basedOn w:val="78"/>
    <w:semiHidden/>
    <w:qFormat/>
    <w:uiPriority w:val="0"/>
    <w:pPr>
      <w:widowControl w:val="0"/>
      <w:adjustRightInd w:val="0"/>
      <w:spacing w:line="360" w:lineRule="auto"/>
      <w:jc w:val="both"/>
      <w:textAlignment w:val="baseline"/>
    </w:p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15">
    <w:name w:val="Table Grid 5"/>
    <w:basedOn w:val="78"/>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6">
    <w:name w:val="Table Grid 6"/>
    <w:basedOn w:val="78"/>
    <w:semiHidden/>
    <w:qFormat/>
    <w:uiPriority w:val="0"/>
    <w:pPr>
      <w:widowControl w:val="0"/>
      <w:adjustRightInd w:val="0"/>
      <w:spacing w:line="360" w:lineRule="auto"/>
      <w:jc w:val="both"/>
      <w:textAlignment w:val="baseline"/>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7">
    <w:name w:val="Table Grid 7"/>
    <w:basedOn w:val="78"/>
    <w:semiHidden/>
    <w:qFormat/>
    <w:uiPriority w:val="0"/>
    <w:pPr>
      <w:widowControl w:val="0"/>
      <w:adjustRightInd w:val="0"/>
      <w:spacing w:line="360" w:lineRule="auto"/>
      <w:jc w:val="both"/>
      <w:textAlignment w:val="baseline"/>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18">
    <w:name w:val="Table Grid 8"/>
    <w:basedOn w:val="78"/>
    <w:semiHidden/>
    <w:qFormat/>
    <w:uiPriority w:val="0"/>
    <w:pPr>
      <w:widowControl w:val="0"/>
      <w:adjustRightInd w:val="0"/>
      <w:spacing w:line="360" w:lineRule="auto"/>
      <w:jc w:val="both"/>
      <w:textAlignment w:val="baseline"/>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19">
    <w:name w:val="Table Web 1"/>
    <w:basedOn w:val="78"/>
    <w:semiHidden/>
    <w:qFormat/>
    <w:uiPriority w:val="0"/>
    <w:pPr>
      <w:widowControl w:val="0"/>
      <w:adjustRightInd w:val="0"/>
      <w:spacing w:line="360" w:lineRule="auto"/>
      <w:jc w:val="both"/>
      <w:textAlignment w:val="baseline"/>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0">
    <w:name w:val="Table Web 2"/>
    <w:basedOn w:val="78"/>
    <w:semiHidden/>
    <w:qFormat/>
    <w:uiPriority w:val="0"/>
    <w:pPr>
      <w:widowControl w:val="0"/>
      <w:adjustRightInd w:val="0"/>
      <w:spacing w:line="360" w:lineRule="auto"/>
      <w:jc w:val="both"/>
      <w:textAlignment w:val="baseline"/>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1">
    <w:name w:val="Table Web 3"/>
    <w:basedOn w:val="78"/>
    <w:semiHidden/>
    <w:qFormat/>
    <w:uiPriority w:val="0"/>
    <w:pPr>
      <w:widowControl w:val="0"/>
      <w:adjustRightInd w:val="0"/>
      <w:spacing w:line="360" w:lineRule="auto"/>
      <w:jc w:val="both"/>
      <w:textAlignment w:val="baseline"/>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22">
    <w:name w:val="Table Professional"/>
    <w:basedOn w:val="78"/>
    <w:semiHidden/>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styleId="124">
    <w:name w:val="Strong"/>
    <w:basedOn w:val="123"/>
    <w:qFormat/>
    <w:uiPriority w:val="0"/>
    <w:rPr>
      <w:b/>
      <w:bCs/>
    </w:rPr>
  </w:style>
  <w:style w:type="character" w:styleId="125">
    <w:name w:val="endnote reference"/>
    <w:semiHidden/>
    <w:qFormat/>
    <w:uiPriority w:val="0"/>
    <w:rPr>
      <w:vertAlign w:val="superscript"/>
    </w:rPr>
  </w:style>
  <w:style w:type="character" w:styleId="126">
    <w:name w:val="page number"/>
    <w:basedOn w:val="123"/>
    <w:qFormat/>
    <w:uiPriority w:val="0"/>
  </w:style>
  <w:style w:type="character" w:styleId="127">
    <w:name w:val="FollowedHyperlink"/>
    <w:qFormat/>
    <w:uiPriority w:val="99"/>
    <w:rPr>
      <w:color w:val="800080"/>
      <w:u w:val="single"/>
    </w:rPr>
  </w:style>
  <w:style w:type="character" w:styleId="128">
    <w:name w:val="Emphasis"/>
    <w:qFormat/>
    <w:uiPriority w:val="0"/>
    <w:rPr>
      <w:i/>
      <w:iCs/>
    </w:rPr>
  </w:style>
  <w:style w:type="character" w:styleId="129">
    <w:name w:val="line number"/>
    <w:basedOn w:val="123"/>
    <w:qFormat/>
    <w:uiPriority w:val="0"/>
  </w:style>
  <w:style w:type="character" w:styleId="130">
    <w:name w:val="HTML Definition"/>
    <w:semiHidden/>
    <w:qFormat/>
    <w:uiPriority w:val="0"/>
    <w:rPr>
      <w:i/>
      <w:iCs/>
    </w:rPr>
  </w:style>
  <w:style w:type="character" w:styleId="131">
    <w:name w:val="HTML Typewriter"/>
    <w:qFormat/>
    <w:uiPriority w:val="99"/>
    <w:rPr>
      <w:rFonts w:ascii="Courier New" w:hAnsi="Courier New" w:cs="Courier New"/>
      <w:sz w:val="20"/>
      <w:szCs w:val="20"/>
    </w:rPr>
  </w:style>
  <w:style w:type="character" w:styleId="132">
    <w:name w:val="HTML Acronym"/>
    <w:basedOn w:val="123"/>
    <w:semiHidden/>
    <w:qFormat/>
    <w:uiPriority w:val="0"/>
  </w:style>
  <w:style w:type="character" w:styleId="133">
    <w:name w:val="HTML Variable"/>
    <w:semiHidden/>
    <w:qFormat/>
    <w:uiPriority w:val="0"/>
    <w:rPr>
      <w:i/>
      <w:iCs/>
    </w:rPr>
  </w:style>
  <w:style w:type="character" w:styleId="134">
    <w:name w:val="Hyperlink"/>
    <w:qFormat/>
    <w:uiPriority w:val="99"/>
    <w:rPr>
      <w:color w:val="0000FF"/>
      <w:u w:val="single"/>
    </w:rPr>
  </w:style>
  <w:style w:type="character" w:styleId="135">
    <w:name w:val="HTML Code"/>
    <w:semiHidden/>
    <w:qFormat/>
    <w:uiPriority w:val="0"/>
    <w:rPr>
      <w:rFonts w:ascii="Courier New" w:hAnsi="Courier New" w:cs="Courier New"/>
      <w:sz w:val="20"/>
      <w:szCs w:val="20"/>
    </w:rPr>
  </w:style>
  <w:style w:type="character" w:styleId="136">
    <w:name w:val="annotation reference"/>
    <w:basedOn w:val="123"/>
    <w:unhideWhenUsed/>
    <w:qFormat/>
    <w:uiPriority w:val="0"/>
    <w:rPr>
      <w:sz w:val="21"/>
      <w:szCs w:val="21"/>
    </w:rPr>
  </w:style>
  <w:style w:type="character" w:styleId="137">
    <w:name w:val="HTML Cite"/>
    <w:semiHidden/>
    <w:qFormat/>
    <w:uiPriority w:val="0"/>
    <w:rPr>
      <w:i/>
      <w:iCs/>
    </w:rPr>
  </w:style>
  <w:style w:type="character" w:styleId="138">
    <w:name w:val="footnote reference"/>
    <w:qFormat/>
    <w:uiPriority w:val="0"/>
    <w:rPr>
      <w:vertAlign w:val="superscript"/>
    </w:rPr>
  </w:style>
  <w:style w:type="character" w:styleId="139">
    <w:name w:val="HTML Keyboard"/>
    <w:semiHidden/>
    <w:qFormat/>
    <w:uiPriority w:val="0"/>
    <w:rPr>
      <w:rFonts w:ascii="Courier New" w:hAnsi="Courier New" w:cs="Courier New"/>
      <w:sz w:val="20"/>
      <w:szCs w:val="20"/>
    </w:rPr>
  </w:style>
  <w:style w:type="character" w:styleId="140">
    <w:name w:val="HTML Sample"/>
    <w:semiHidden/>
    <w:qFormat/>
    <w:uiPriority w:val="0"/>
    <w:rPr>
      <w:rFonts w:ascii="Courier New" w:hAnsi="Courier New" w:cs="Courier New"/>
    </w:rPr>
  </w:style>
  <w:style w:type="character" w:customStyle="1" w:styleId="141">
    <w:name w:val="标题 2 字符"/>
    <w:link w:val="4"/>
    <w:qFormat/>
    <w:uiPriority w:val="0"/>
    <w:rPr>
      <w:rFonts w:ascii="宋体" w:hAnsi="宋体" w:cs="Arial"/>
      <w:b/>
      <w:bCs/>
      <w:iCs/>
      <w:sz w:val="28"/>
      <w:szCs w:val="28"/>
    </w:rPr>
  </w:style>
  <w:style w:type="character" w:customStyle="1" w:styleId="142">
    <w:name w:val="标题 1 Char1"/>
    <w:qFormat/>
    <w:uiPriority w:val="0"/>
    <w:rPr>
      <w:b/>
      <w:bCs/>
      <w:kern w:val="44"/>
      <w:sz w:val="44"/>
      <w:szCs w:val="44"/>
    </w:rPr>
  </w:style>
  <w:style w:type="character" w:customStyle="1" w:styleId="143">
    <w:name w:val="标题 2 Char"/>
    <w:basedOn w:val="123"/>
    <w:link w:val="4"/>
    <w:qFormat/>
    <w:uiPriority w:val="0"/>
    <w:rPr>
      <w:rFonts w:ascii="Calibri Light" w:hAnsi="Calibri Light" w:eastAsia="仿宋_GB2312" w:cs="Times New Roman"/>
      <w:b/>
      <w:bCs/>
      <w:sz w:val="28"/>
      <w:szCs w:val="32"/>
    </w:rPr>
  </w:style>
  <w:style w:type="character" w:customStyle="1" w:styleId="144">
    <w:name w:val="页眉 Char"/>
    <w:basedOn w:val="123"/>
    <w:link w:val="50"/>
    <w:qFormat/>
    <w:uiPriority w:val="0"/>
    <w:rPr>
      <w:sz w:val="18"/>
      <w:szCs w:val="18"/>
    </w:rPr>
  </w:style>
  <w:style w:type="character" w:customStyle="1" w:styleId="145">
    <w:name w:val="页脚 Char"/>
    <w:basedOn w:val="123"/>
    <w:link w:val="48"/>
    <w:qFormat/>
    <w:uiPriority w:val="0"/>
    <w:rPr>
      <w:sz w:val="18"/>
      <w:szCs w:val="18"/>
    </w:rPr>
  </w:style>
  <w:style w:type="character" w:customStyle="1" w:styleId="146">
    <w:name w:val="标题 1 Char"/>
    <w:basedOn w:val="123"/>
    <w:link w:val="3"/>
    <w:qFormat/>
    <w:uiPriority w:val="9"/>
    <w:rPr>
      <w:rFonts w:ascii="仿宋_GB2312" w:hAnsi="Calibri" w:eastAsia="仿宋_GB2312" w:cs="Times New Roman"/>
      <w:b/>
      <w:bCs/>
      <w:kern w:val="44"/>
      <w:sz w:val="36"/>
      <w:szCs w:val="44"/>
    </w:rPr>
  </w:style>
  <w:style w:type="character" w:customStyle="1" w:styleId="147">
    <w:name w:val="标题 4 Char"/>
    <w:basedOn w:val="123"/>
    <w:link w:val="6"/>
    <w:qFormat/>
    <w:uiPriority w:val="9"/>
    <w:rPr>
      <w:rFonts w:ascii="Calibri Light" w:hAnsi="Calibri Light" w:eastAsia="仿宋_GB2312" w:cs="Times New Roman"/>
      <w:bCs/>
      <w:sz w:val="28"/>
      <w:szCs w:val="28"/>
    </w:rPr>
  </w:style>
  <w:style w:type="character" w:customStyle="1" w:styleId="148">
    <w:name w:val="标题 3 Char"/>
    <w:basedOn w:val="123"/>
    <w:link w:val="5"/>
    <w:qFormat/>
    <w:uiPriority w:val="0"/>
    <w:rPr>
      <w:rFonts w:ascii="仿宋_GB2312" w:hAnsi="仿宋_GB2312" w:eastAsia="仿宋_GB2312" w:cs="Times New Roman"/>
      <w:b/>
      <w:bCs/>
      <w:sz w:val="32"/>
      <w:szCs w:val="32"/>
    </w:rPr>
  </w:style>
  <w:style w:type="paragraph" w:customStyle="1" w:styleId="149">
    <w:name w:val="列出段落1"/>
    <w:basedOn w:val="1"/>
    <w:qFormat/>
    <w:uiPriority w:val="34"/>
    <w:pPr>
      <w:ind w:firstLine="420"/>
    </w:pPr>
  </w:style>
  <w:style w:type="character" w:customStyle="1" w:styleId="150">
    <w:name w:val="批注框文本 Char"/>
    <w:basedOn w:val="123"/>
    <w:link w:val="47"/>
    <w:qFormat/>
    <w:uiPriority w:val="0"/>
    <w:rPr>
      <w:rFonts w:ascii="Calibri" w:hAnsi="Calibri" w:eastAsia="仿宋_GB2312" w:cs="Times New Roman"/>
      <w:sz w:val="18"/>
      <w:szCs w:val="18"/>
    </w:rPr>
  </w:style>
  <w:style w:type="character" w:customStyle="1" w:styleId="151">
    <w:name w:val="批注文字 Char"/>
    <w:basedOn w:val="123"/>
    <w:link w:val="23"/>
    <w:qFormat/>
    <w:uiPriority w:val="0"/>
    <w:rPr>
      <w:rFonts w:ascii="Calibri" w:hAnsi="Calibri" w:eastAsia="仿宋_GB2312" w:cs="Times New Roman"/>
      <w:sz w:val="28"/>
    </w:rPr>
  </w:style>
  <w:style w:type="character" w:customStyle="1" w:styleId="152">
    <w:name w:val="批注主题 Char"/>
    <w:basedOn w:val="151"/>
    <w:link w:val="75"/>
    <w:qFormat/>
    <w:uiPriority w:val="0"/>
    <w:rPr>
      <w:rFonts w:ascii="Calibri" w:hAnsi="Calibri" w:eastAsia="仿宋_GB2312" w:cs="Times New Roman"/>
      <w:b/>
      <w:bCs/>
      <w:sz w:val="28"/>
    </w:rPr>
  </w:style>
  <w:style w:type="paragraph" w:customStyle="1" w:styleId="153">
    <w:name w:val="2级标题"/>
    <w:basedOn w:val="1"/>
    <w:link w:val="155"/>
    <w:qFormat/>
    <w:uiPriority w:val="0"/>
    <w:pPr>
      <w:keepNext/>
      <w:keepLines/>
      <w:numPr>
        <w:ilvl w:val="1"/>
        <w:numId w:val="1"/>
      </w:numPr>
      <w:ind w:firstLine="0" w:firstLineChars="0"/>
      <w:outlineLvl w:val="1"/>
    </w:pPr>
    <w:rPr>
      <w:rFonts w:ascii="Calibri Light" w:hAnsi="Calibri Light"/>
      <w:b/>
      <w:bCs/>
      <w:szCs w:val="32"/>
    </w:rPr>
  </w:style>
  <w:style w:type="paragraph" w:customStyle="1" w:styleId="154">
    <w:name w:val="3级标题"/>
    <w:basedOn w:val="1"/>
    <w:link w:val="156"/>
    <w:qFormat/>
    <w:uiPriority w:val="0"/>
    <w:pPr>
      <w:keepNext/>
      <w:keepLines/>
      <w:numPr>
        <w:ilvl w:val="2"/>
        <w:numId w:val="1"/>
      </w:numPr>
      <w:ind w:left="0" w:firstLine="0" w:firstLineChars="0"/>
      <w:outlineLvl w:val="2"/>
    </w:pPr>
    <w:rPr>
      <w:b/>
      <w:bCs/>
      <w:szCs w:val="32"/>
    </w:rPr>
  </w:style>
  <w:style w:type="character" w:customStyle="1" w:styleId="155">
    <w:name w:val="2级标题 Char"/>
    <w:basedOn w:val="123"/>
    <w:link w:val="153"/>
    <w:qFormat/>
    <w:uiPriority w:val="0"/>
    <w:rPr>
      <w:rFonts w:ascii="Calibri Light" w:hAnsi="Calibri Light" w:eastAsia="仿宋_GB2312" w:cs="Times New Roman"/>
      <w:b/>
      <w:bCs/>
      <w:sz w:val="28"/>
      <w:szCs w:val="32"/>
    </w:rPr>
  </w:style>
  <w:style w:type="character" w:customStyle="1" w:styleId="156">
    <w:name w:val="3级标题 Char"/>
    <w:basedOn w:val="123"/>
    <w:link w:val="154"/>
    <w:qFormat/>
    <w:uiPriority w:val="0"/>
    <w:rPr>
      <w:rFonts w:ascii="仿宋_GB2312" w:hAnsi="Calibri" w:eastAsia="仿宋_GB2312" w:cs="Times New Roman"/>
      <w:b/>
      <w:bCs/>
      <w:sz w:val="28"/>
      <w:szCs w:val="32"/>
    </w:rPr>
  </w:style>
  <w:style w:type="character" w:customStyle="1" w:styleId="157">
    <w:name w:val="文档结构图 Char"/>
    <w:basedOn w:val="123"/>
    <w:link w:val="22"/>
    <w:qFormat/>
    <w:uiPriority w:val="0"/>
    <w:rPr>
      <w:rFonts w:ascii="宋体" w:hAnsi="Calibri" w:eastAsia="宋体" w:cs="Times New Roman"/>
      <w:sz w:val="18"/>
      <w:szCs w:val="18"/>
    </w:rPr>
  </w:style>
  <w:style w:type="paragraph" w:customStyle="1" w:styleId="158">
    <w:name w:val="合同正文"/>
    <w:basedOn w:val="149"/>
    <w:link w:val="159"/>
    <w:qFormat/>
    <w:uiPriority w:val="0"/>
    <w:pPr>
      <w:snapToGrid w:val="0"/>
      <w:ind w:firstLine="200"/>
    </w:pPr>
    <w:rPr>
      <w:sz w:val="32"/>
      <w:szCs w:val="32"/>
    </w:rPr>
  </w:style>
  <w:style w:type="character" w:customStyle="1" w:styleId="159">
    <w:name w:val="合同正文 Char"/>
    <w:link w:val="158"/>
    <w:qFormat/>
    <w:uiPriority w:val="0"/>
    <w:rPr>
      <w:rFonts w:ascii="仿宋_GB2312" w:hAnsi="Calibri" w:eastAsia="仿宋_GB2312" w:cs="Times New Roman"/>
      <w:sz w:val="32"/>
      <w:szCs w:val="32"/>
    </w:rPr>
  </w:style>
  <w:style w:type="paragraph" w:customStyle="1" w:styleId="160">
    <w:name w:val="正文1"/>
    <w:basedOn w:val="1"/>
    <w:link w:val="161"/>
    <w:qFormat/>
    <w:uiPriority w:val="0"/>
    <w:pPr>
      <w:spacing w:line="240" w:lineRule="auto"/>
      <w:ind w:firstLine="640"/>
    </w:pPr>
    <w:rPr>
      <w:rFonts w:ascii="Times New Roman"/>
      <w:sz w:val="32"/>
      <w:szCs w:val="30"/>
    </w:rPr>
  </w:style>
  <w:style w:type="character" w:customStyle="1" w:styleId="161">
    <w:name w:val="正文1 Char"/>
    <w:link w:val="160"/>
    <w:qFormat/>
    <w:uiPriority w:val="0"/>
    <w:rPr>
      <w:rFonts w:ascii="Times New Roman" w:hAnsi="Calibri" w:eastAsia="仿宋_GB2312" w:cs="Times New Roman"/>
      <w:sz w:val="32"/>
      <w:szCs w:val="30"/>
    </w:rPr>
  </w:style>
  <w:style w:type="paragraph" w:customStyle="1" w:styleId="162">
    <w:name w:val="表注"/>
    <w:basedOn w:val="1"/>
    <w:link w:val="163"/>
    <w:qFormat/>
    <w:uiPriority w:val="0"/>
    <w:pPr>
      <w:spacing w:line="240" w:lineRule="auto"/>
      <w:ind w:firstLine="0" w:firstLineChars="0"/>
      <w:jc w:val="center"/>
    </w:pPr>
    <w:rPr>
      <w:rFonts w:ascii="Times New Roman" w:hAnsi="仿宋_GB2312"/>
      <w:b/>
      <w:sz w:val="32"/>
    </w:rPr>
  </w:style>
  <w:style w:type="character" w:customStyle="1" w:styleId="163">
    <w:name w:val="表注 Char"/>
    <w:link w:val="162"/>
    <w:qFormat/>
    <w:uiPriority w:val="0"/>
    <w:rPr>
      <w:rFonts w:ascii="Times New Roman" w:hAnsi="仿宋_GB2312" w:eastAsia="仿宋_GB2312" w:cs="Times New Roman"/>
      <w:b/>
      <w:sz w:val="32"/>
    </w:rPr>
  </w:style>
  <w:style w:type="paragraph" w:customStyle="1" w:styleId="164">
    <w:name w:val="Table Paragraph"/>
    <w:basedOn w:val="1"/>
    <w:qFormat/>
    <w:uiPriority w:val="1"/>
    <w:pPr>
      <w:autoSpaceDE w:val="0"/>
      <w:autoSpaceDN w:val="0"/>
      <w:adjustRightInd w:val="0"/>
      <w:spacing w:line="240" w:lineRule="auto"/>
      <w:ind w:firstLine="0" w:firstLineChars="0"/>
      <w:jc w:val="left"/>
    </w:pPr>
    <w:rPr>
      <w:rFonts w:ascii="Times New Roman" w:hAnsi="Times New Roman" w:eastAsiaTheme="minorEastAsia"/>
      <w:kern w:val="0"/>
      <w:sz w:val="24"/>
      <w:szCs w:val="24"/>
    </w:rPr>
  </w:style>
  <w:style w:type="character" w:customStyle="1" w:styleId="165">
    <w:name w:val="标题 5 Char"/>
    <w:basedOn w:val="123"/>
    <w:link w:val="7"/>
    <w:qFormat/>
    <w:uiPriority w:val="0"/>
    <w:rPr>
      <w:rFonts w:ascii="宋体" w:hAnsi="Times New Roman" w:eastAsia="仿宋" w:cs="Times New Roman"/>
      <w:b/>
      <w:bCs/>
      <w:kern w:val="0"/>
      <w:sz w:val="28"/>
      <w:szCs w:val="28"/>
    </w:rPr>
  </w:style>
  <w:style w:type="character" w:customStyle="1" w:styleId="166">
    <w:name w:val="标题 6 Char"/>
    <w:basedOn w:val="123"/>
    <w:link w:val="8"/>
    <w:qFormat/>
    <w:uiPriority w:val="0"/>
    <w:rPr>
      <w:rFonts w:ascii="Arial" w:hAnsi="Arial" w:eastAsia="黑体" w:cs="Times New Roman"/>
      <w:b/>
      <w:bCs/>
      <w:kern w:val="0"/>
      <w:sz w:val="24"/>
      <w:szCs w:val="24"/>
    </w:rPr>
  </w:style>
  <w:style w:type="character" w:customStyle="1" w:styleId="167">
    <w:name w:val="标题 7 Char"/>
    <w:basedOn w:val="123"/>
    <w:link w:val="9"/>
    <w:qFormat/>
    <w:uiPriority w:val="0"/>
    <w:rPr>
      <w:rFonts w:ascii="宋体" w:hAnsi="Times New Roman" w:eastAsia="仿宋" w:cs="Times New Roman"/>
      <w:b/>
      <w:bCs/>
      <w:kern w:val="0"/>
      <w:sz w:val="24"/>
      <w:szCs w:val="24"/>
    </w:rPr>
  </w:style>
  <w:style w:type="character" w:customStyle="1" w:styleId="168">
    <w:name w:val="标题 8 Char"/>
    <w:basedOn w:val="123"/>
    <w:link w:val="10"/>
    <w:qFormat/>
    <w:uiPriority w:val="0"/>
    <w:rPr>
      <w:rFonts w:ascii="Arial" w:hAnsi="Arial" w:eastAsia="黑体" w:cs="Times New Roman"/>
      <w:kern w:val="0"/>
      <w:sz w:val="24"/>
      <w:szCs w:val="24"/>
    </w:rPr>
  </w:style>
  <w:style w:type="character" w:customStyle="1" w:styleId="169">
    <w:name w:val="标题 9 Char"/>
    <w:basedOn w:val="123"/>
    <w:link w:val="11"/>
    <w:qFormat/>
    <w:uiPriority w:val="0"/>
    <w:rPr>
      <w:rFonts w:ascii="Arial" w:hAnsi="Arial" w:eastAsia="黑体" w:cs="Times New Roman"/>
      <w:kern w:val="0"/>
      <w:sz w:val="28"/>
      <w:szCs w:val="21"/>
    </w:rPr>
  </w:style>
  <w:style w:type="paragraph" w:customStyle="1" w:styleId="170">
    <w:name w:val="表格内容"/>
    <w:basedOn w:val="1"/>
    <w:qFormat/>
    <w:uiPriority w:val="0"/>
    <w:pPr>
      <w:adjustRightInd w:val="0"/>
      <w:spacing w:line="240" w:lineRule="auto"/>
      <w:ind w:firstLine="0" w:firstLineChars="0"/>
      <w:jc w:val="center"/>
      <w:textAlignment w:val="baseline"/>
    </w:pPr>
    <w:rPr>
      <w:rFonts w:ascii="宋体" w:hAnsi="Times New Roman" w:eastAsia="仿宋"/>
      <w:kern w:val="0"/>
      <w:sz w:val="21"/>
      <w:szCs w:val="21"/>
    </w:rPr>
  </w:style>
  <w:style w:type="character" w:customStyle="1" w:styleId="171">
    <w:name w:val="日期 Char"/>
    <w:basedOn w:val="123"/>
    <w:link w:val="43"/>
    <w:qFormat/>
    <w:uiPriority w:val="0"/>
    <w:rPr>
      <w:rFonts w:ascii="宋体" w:hAnsi="Times New Roman" w:eastAsia="仿宋" w:cs="Times New Roman"/>
      <w:kern w:val="0"/>
      <w:sz w:val="24"/>
      <w:szCs w:val="21"/>
    </w:rPr>
  </w:style>
  <w:style w:type="paragraph" w:customStyle="1" w:styleId="172">
    <w:name w:val="正文 第一章"/>
    <w:basedOn w:val="1"/>
    <w:next w:val="173"/>
    <w:qFormat/>
    <w:uiPriority w:val="0"/>
    <w:pPr>
      <w:pageBreakBefore/>
      <w:adjustRightInd w:val="0"/>
      <w:spacing w:before="240" w:after="240" w:line="480" w:lineRule="auto"/>
      <w:ind w:firstLine="0" w:firstLineChars="0"/>
      <w:jc w:val="center"/>
      <w:textAlignment w:val="baseline"/>
      <w:outlineLvl w:val="0"/>
    </w:pPr>
    <w:rPr>
      <w:rFonts w:ascii="宋体" w:hAnsi="宋体" w:eastAsia="宋体"/>
      <w:b/>
      <w:kern w:val="0"/>
      <w:sz w:val="36"/>
      <w:szCs w:val="21"/>
    </w:rPr>
  </w:style>
  <w:style w:type="paragraph" w:customStyle="1" w:styleId="173">
    <w:name w:val="正文 1.1"/>
    <w:basedOn w:val="1"/>
    <w:next w:val="174"/>
    <w:qFormat/>
    <w:uiPriority w:val="0"/>
    <w:pPr>
      <w:numPr>
        <w:ilvl w:val="1"/>
        <w:numId w:val="12"/>
      </w:numPr>
      <w:adjustRightInd w:val="0"/>
      <w:ind w:firstLineChars="0"/>
      <w:textAlignment w:val="baseline"/>
      <w:outlineLvl w:val="1"/>
    </w:pPr>
    <w:rPr>
      <w:b/>
    </w:rPr>
  </w:style>
  <w:style w:type="paragraph" w:customStyle="1" w:styleId="174">
    <w:name w:val="正文 1.1.1"/>
    <w:basedOn w:val="1"/>
    <w:next w:val="1"/>
    <w:qFormat/>
    <w:uiPriority w:val="0"/>
    <w:pPr>
      <w:numPr>
        <w:ilvl w:val="2"/>
        <w:numId w:val="12"/>
      </w:numPr>
      <w:tabs>
        <w:tab w:val="left" w:pos="851"/>
        <w:tab w:val="clear" w:pos="993"/>
      </w:tabs>
      <w:adjustRightInd w:val="0"/>
      <w:ind w:left="0" w:firstLineChars="0"/>
      <w:textAlignment w:val="baseline"/>
      <w:outlineLvl w:val="2"/>
    </w:pPr>
    <w:rPr>
      <w:rFonts w:ascii="宋体" w:hAnsi="宋体" w:eastAsia="宋体"/>
      <w:color w:val="000000" w:themeColor="text1"/>
      <w:kern w:val="0"/>
      <w:szCs w:val="21"/>
    </w:rPr>
  </w:style>
  <w:style w:type="character" w:customStyle="1" w:styleId="175">
    <w:name w:val="HTML 地址 Char"/>
    <w:basedOn w:val="123"/>
    <w:link w:val="35"/>
    <w:semiHidden/>
    <w:qFormat/>
    <w:uiPriority w:val="0"/>
    <w:rPr>
      <w:rFonts w:ascii="宋体" w:hAnsi="Times New Roman" w:eastAsia="仿宋" w:cs="Times New Roman"/>
      <w:i/>
      <w:iCs/>
      <w:kern w:val="0"/>
      <w:sz w:val="28"/>
      <w:szCs w:val="21"/>
    </w:rPr>
  </w:style>
  <w:style w:type="character" w:customStyle="1" w:styleId="176">
    <w:name w:val="标题 Char"/>
    <w:basedOn w:val="123"/>
    <w:link w:val="74"/>
    <w:qFormat/>
    <w:uiPriority w:val="0"/>
    <w:rPr>
      <w:rFonts w:ascii="Arial" w:hAnsi="Arial" w:eastAsia="仿宋" w:cs="Times New Roman"/>
      <w:b/>
      <w:bCs/>
      <w:kern w:val="0"/>
      <w:sz w:val="32"/>
      <w:szCs w:val="32"/>
    </w:rPr>
  </w:style>
  <w:style w:type="character" w:customStyle="1" w:styleId="177">
    <w:name w:val="正文文本 2 Char"/>
    <w:basedOn w:val="123"/>
    <w:link w:val="67"/>
    <w:qFormat/>
    <w:uiPriority w:val="0"/>
    <w:rPr>
      <w:rFonts w:ascii="宋体" w:hAnsi="Times New Roman" w:eastAsia="仿宋" w:cs="Times New Roman"/>
      <w:kern w:val="0"/>
      <w:sz w:val="28"/>
      <w:szCs w:val="21"/>
    </w:rPr>
  </w:style>
  <w:style w:type="paragraph" w:customStyle="1" w:styleId="178">
    <w:name w:val="第四级"/>
    <w:basedOn w:val="1"/>
    <w:next w:val="179"/>
    <w:link w:val="206"/>
    <w:qFormat/>
    <w:uiPriority w:val="0"/>
    <w:pPr>
      <w:numPr>
        <w:ilvl w:val="3"/>
        <w:numId w:val="12"/>
      </w:numPr>
      <w:adjustRightInd w:val="0"/>
      <w:ind w:firstLineChars="0"/>
      <w:textAlignment w:val="baseline"/>
    </w:pPr>
    <w:rPr>
      <w:rFonts w:ascii="宋体" w:hAnsi="宋体" w:eastAsia="仿宋"/>
      <w:kern w:val="0"/>
      <w:szCs w:val="21"/>
    </w:rPr>
  </w:style>
  <w:style w:type="paragraph" w:customStyle="1" w:styleId="179">
    <w:name w:val="正文空2格  1."/>
    <w:basedOn w:val="1"/>
    <w:qFormat/>
    <w:uiPriority w:val="0"/>
    <w:pPr>
      <w:adjustRightInd w:val="0"/>
      <w:ind w:firstLine="480"/>
      <w:textAlignment w:val="baseline"/>
    </w:pPr>
    <w:rPr>
      <w:rFonts w:ascii="宋体" w:hAnsi="Times New Roman" w:eastAsia="仿宋" w:cs="宋体"/>
      <w:kern w:val="0"/>
      <w:szCs w:val="20"/>
    </w:rPr>
  </w:style>
  <w:style w:type="paragraph" w:customStyle="1" w:styleId="180">
    <w:name w:val="大标题"/>
    <w:basedOn w:val="1"/>
    <w:next w:val="1"/>
    <w:qFormat/>
    <w:uiPriority w:val="0"/>
    <w:pPr>
      <w:pageBreakBefore/>
      <w:adjustRightInd w:val="0"/>
      <w:spacing w:line="720" w:lineRule="auto"/>
      <w:ind w:firstLine="0" w:firstLineChars="0"/>
      <w:jc w:val="center"/>
      <w:textAlignment w:val="baseline"/>
      <w:outlineLvl w:val="0"/>
    </w:pPr>
    <w:rPr>
      <w:rFonts w:ascii="黑体" w:hAnsi="Times New Roman" w:eastAsia="黑体"/>
      <w:kern w:val="0"/>
      <w:sz w:val="32"/>
      <w:szCs w:val="30"/>
    </w:rPr>
  </w:style>
  <w:style w:type="paragraph" w:customStyle="1" w:styleId="181">
    <w:name w:val="参考文献"/>
    <w:basedOn w:val="1"/>
    <w:qFormat/>
    <w:uiPriority w:val="0"/>
    <w:pPr>
      <w:numPr>
        <w:ilvl w:val="0"/>
        <w:numId w:val="13"/>
      </w:numPr>
      <w:adjustRightInd w:val="0"/>
      <w:ind w:firstLine="0" w:firstLineChars="0"/>
      <w:textAlignment w:val="baseline"/>
    </w:pPr>
    <w:rPr>
      <w:rFonts w:ascii="宋体" w:hAnsi="Times New Roman" w:eastAsia="仿宋"/>
      <w:kern w:val="0"/>
      <w:sz w:val="24"/>
      <w:szCs w:val="21"/>
    </w:rPr>
  </w:style>
  <w:style w:type="character" w:customStyle="1" w:styleId="182">
    <w:name w:val="HTML 预设格式 Char"/>
    <w:basedOn w:val="123"/>
    <w:link w:val="71"/>
    <w:qFormat/>
    <w:uiPriority w:val="0"/>
    <w:rPr>
      <w:rFonts w:ascii="Courier New" w:hAnsi="Courier New" w:eastAsia="仿宋" w:cs="Times New Roman"/>
      <w:kern w:val="0"/>
      <w:sz w:val="20"/>
      <w:szCs w:val="20"/>
    </w:rPr>
  </w:style>
  <w:style w:type="character" w:customStyle="1" w:styleId="183">
    <w:name w:val="称呼 Char"/>
    <w:basedOn w:val="123"/>
    <w:link w:val="24"/>
    <w:qFormat/>
    <w:uiPriority w:val="0"/>
    <w:rPr>
      <w:rFonts w:ascii="宋体" w:hAnsi="Times New Roman" w:eastAsia="仿宋" w:cs="Times New Roman"/>
      <w:kern w:val="0"/>
      <w:sz w:val="24"/>
      <w:szCs w:val="21"/>
    </w:rPr>
  </w:style>
  <w:style w:type="character" w:customStyle="1" w:styleId="184">
    <w:name w:val="纯文本 Char"/>
    <w:basedOn w:val="123"/>
    <w:link w:val="38"/>
    <w:qFormat/>
    <w:uiPriority w:val="0"/>
    <w:rPr>
      <w:rFonts w:ascii="宋体" w:hAnsi="Courier New" w:eastAsia="仿宋" w:cs="Times New Roman"/>
      <w:kern w:val="0"/>
      <w:szCs w:val="21"/>
    </w:rPr>
  </w:style>
  <w:style w:type="character" w:customStyle="1" w:styleId="185">
    <w:name w:val="电子邮件签名 Char"/>
    <w:basedOn w:val="123"/>
    <w:link w:val="17"/>
    <w:semiHidden/>
    <w:qFormat/>
    <w:uiPriority w:val="0"/>
    <w:rPr>
      <w:rFonts w:ascii="宋体" w:hAnsi="Times New Roman" w:eastAsia="仿宋" w:cs="Times New Roman"/>
      <w:kern w:val="0"/>
      <w:sz w:val="28"/>
      <w:szCs w:val="21"/>
    </w:rPr>
  </w:style>
  <w:style w:type="character" w:customStyle="1" w:styleId="186">
    <w:name w:val="副标题 Char"/>
    <w:basedOn w:val="123"/>
    <w:link w:val="57"/>
    <w:qFormat/>
    <w:uiPriority w:val="0"/>
    <w:rPr>
      <w:rFonts w:ascii="Arial" w:hAnsi="Arial" w:eastAsia="仿宋" w:cs="Arial"/>
      <w:b/>
      <w:bCs/>
      <w:kern w:val="28"/>
      <w:sz w:val="32"/>
      <w:szCs w:val="32"/>
    </w:rPr>
  </w:style>
  <w:style w:type="character" w:customStyle="1" w:styleId="187">
    <w:name w:val="结束语 Char"/>
    <w:basedOn w:val="123"/>
    <w:link w:val="26"/>
    <w:semiHidden/>
    <w:qFormat/>
    <w:uiPriority w:val="0"/>
    <w:rPr>
      <w:rFonts w:ascii="宋体" w:hAnsi="Times New Roman" w:eastAsia="仿宋" w:cs="Times New Roman"/>
      <w:kern w:val="0"/>
      <w:sz w:val="28"/>
      <w:szCs w:val="21"/>
    </w:rPr>
  </w:style>
  <w:style w:type="character" w:customStyle="1" w:styleId="188">
    <w:name w:val="签名 Char"/>
    <w:basedOn w:val="123"/>
    <w:link w:val="51"/>
    <w:qFormat/>
    <w:uiPriority w:val="0"/>
    <w:rPr>
      <w:rFonts w:ascii="宋体" w:hAnsi="Times New Roman" w:eastAsia="仿宋" w:cs="Times New Roman"/>
      <w:kern w:val="0"/>
      <w:sz w:val="24"/>
      <w:szCs w:val="21"/>
    </w:rPr>
  </w:style>
  <w:style w:type="character" w:customStyle="1" w:styleId="189">
    <w:name w:val="信息标题 Char"/>
    <w:basedOn w:val="123"/>
    <w:link w:val="70"/>
    <w:semiHidden/>
    <w:qFormat/>
    <w:uiPriority w:val="0"/>
    <w:rPr>
      <w:rFonts w:ascii="Arial" w:hAnsi="Arial" w:eastAsia="仿宋" w:cs="Arial"/>
      <w:kern w:val="0"/>
      <w:sz w:val="28"/>
      <w:szCs w:val="24"/>
      <w:shd w:val="pct20" w:color="auto" w:fill="auto"/>
    </w:rPr>
  </w:style>
  <w:style w:type="character" w:customStyle="1" w:styleId="190">
    <w:name w:val="正文文本 Char"/>
    <w:basedOn w:val="123"/>
    <w:link w:val="28"/>
    <w:qFormat/>
    <w:uiPriority w:val="0"/>
    <w:rPr>
      <w:rFonts w:ascii="宋体" w:hAnsi="Times New Roman" w:eastAsia="仿宋" w:cs="Times New Roman"/>
      <w:kern w:val="0"/>
      <w:sz w:val="24"/>
      <w:szCs w:val="21"/>
    </w:rPr>
  </w:style>
  <w:style w:type="character" w:customStyle="1" w:styleId="191">
    <w:name w:val="正文首行缩进 Char"/>
    <w:basedOn w:val="190"/>
    <w:link w:val="76"/>
    <w:qFormat/>
    <w:uiPriority w:val="0"/>
  </w:style>
  <w:style w:type="character" w:customStyle="1" w:styleId="192">
    <w:name w:val="正文文本缩进 Char"/>
    <w:basedOn w:val="123"/>
    <w:link w:val="29"/>
    <w:qFormat/>
    <w:uiPriority w:val="0"/>
    <w:rPr>
      <w:rFonts w:ascii="宋体" w:hAnsi="Times New Roman" w:eastAsia="仿宋" w:cs="Times New Roman"/>
      <w:kern w:val="0"/>
      <w:sz w:val="24"/>
      <w:szCs w:val="21"/>
    </w:rPr>
  </w:style>
  <w:style w:type="character" w:customStyle="1" w:styleId="193">
    <w:name w:val="正文首行缩进 2 Char"/>
    <w:basedOn w:val="192"/>
    <w:link w:val="77"/>
    <w:qFormat/>
    <w:uiPriority w:val="0"/>
  </w:style>
  <w:style w:type="character" w:customStyle="1" w:styleId="194">
    <w:name w:val="正文文本 3 Char"/>
    <w:basedOn w:val="123"/>
    <w:link w:val="25"/>
    <w:qFormat/>
    <w:uiPriority w:val="0"/>
    <w:rPr>
      <w:rFonts w:ascii="宋体" w:hAnsi="Times New Roman" w:eastAsia="仿宋" w:cs="Times New Roman"/>
      <w:kern w:val="0"/>
      <w:sz w:val="16"/>
      <w:szCs w:val="16"/>
    </w:rPr>
  </w:style>
  <w:style w:type="paragraph" w:customStyle="1" w:styleId="195">
    <w:name w:val="正文首行缩进2字符"/>
    <w:basedOn w:val="1"/>
    <w:semiHidden/>
    <w:qFormat/>
    <w:uiPriority w:val="0"/>
    <w:pPr>
      <w:adjustRightInd w:val="0"/>
      <w:ind w:left="200" w:leftChars="200" w:firstLine="0" w:firstLineChars="0"/>
      <w:textAlignment w:val="baseline"/>
    </w:pPr>
    <w:rPr>
      <w:rFonts w:ascii="宋体" w:hAnsi="Times New Roman" w:eastAsia="仿宋"/>
      <w:kern w:val="0"/>
      <w:szCs w:val="21"/>
    </w:rPr>
  </w:style>
  <w:style w:type="character" w:customStyle="1" w:styleId="196">
    <w:name w:val="正文文本缩进 3 Char"/>
    <w:basedOn w:val="123"/>
    <w:link w:val="63"/>
    <w:qFormat/>
    <w:uiPriority w:val="0"/>
    <w:rPr>
      <w:rFonts w:ascii="宋体" w:hAnsi="Times New Roman" w:eastAsia="仿宋" w:cs="Times New Roman"/>
      <w:kern w:val="0"/>
      <w:sz w:val="16"/>
      <w:szCs w:val="16"/>
    </w:rPr>
  </w:style>
  <w:style w:type="character" w:customStyle="1" w:styleId="197">
    <w:name w:val="注释标题 Char"/>
    <w:basedOn w:val="123"/>
    <w:link w:val="15"/>
    <w:semiHidden/>
    <w:qFormat/>
    <w:uiPriority w:val="0"/>
    <w:rPr>
      <w:rFonts w:ascii="宋体" w:hAnsi="Times New Roman" w:eastAsia="仿宋" w:cs="Times New Roman"/>
      <w:kern w:val="0"/>
      <w:sz w:val="28"/>
      <w:szCs w:val="21"/>
    </w:rPr>
  </w:style>
  <w:style w:type="character" w:customStyle="1" w:styleId="198">
    <w:name w:val="正文文本缩进 2 Char"/>
    <w:basedOn w:val="123"/>
    <w:link w:val="44"/>
    <w:qFormat/>
    <w:uiPriority w:val="0"/>
    <w:rPr>
      <w:rFonts w:ascii="宋体" w:hAnsi="Times New Roman" w:eastAsia="仿宋" w:cs="Times New Roman"/>
      <w:kern w:val="0"/>
      <w:sz w:val="24"/>
      <w:szCs w:val="21"/>
    </w:rPr>
  </w:style>
  <w:style w:type="paragraph" w:customStyle="1" w:styleId="199">
    <w:name w:val="样式 正文缩进2字符 + 五号 居中"/>
    <w:basedOn w:val="179"/>
    <w:qFormat/>
    <w:uiPriority w:val="0"/>
    <w:pPr>
      <w:spacing w:line="100" w:lineRule="atLeast"/>
      <w:ind w:firstLine="0" w:firstLineChars="0"/>
      <w:jc w:val="center"/>
    </w:pPr>
    <w:rPr>
      <w:sz w:val="21"/>
    </w:rPr>
  </w:style>
  <w:style w:type="paragraph" w:customStyle="1" w:styleId="200">
    <w:name w:val="样式 正文缩进2字符 + 五号 居中1"/>
    <w:basedOn w:val="179"/>
    <w:qFormat/>
    <w:uiPriority w:val="0"/>
    <w:pPr>
      <w:spacing w:line="240" w:lineRule="auto"/>
      <w:ind w:firstLine="0" w:firstLineChars="0"/>
      <w:jc w:val="center"/>
    </w:pPr>
    <w:rPr>
      <w:sz w:val="21"/>
    </w:rPr>
  </w:style>
  <w:style w:type="paragraph" w:customStyle="1" w:styleId="201">
    <w:name w:val="样式 正文缩进2字符 + 五号"/>
    <w:basedOn w:val="179"/>
    <w:qFormat/>
    <w:uiPriority w:val="0"/>
    <w:pPr>
      <w:spacing w:line="240" w:lineRule="auto"/>
      <w:ind w:firstLine="0" w:firstLineChars="0"/>
    </w:pPr>
    <w:rPr>
      <w:sz w:val="21"/>
    </w:rPr>
  </w:style>
  <w:style w:type="paragraph" w:customStyle="1" w:styleId="202">
    <w:name w:val="样式 正文缩进2字符 + 小五 居中"/>
    <w:basedOn w:val="179"/>
    <w:qFormat/>
    <w:uiPriority w:val="0"/>
    <w:pPr>
      <w:spacing w:line="100" w:lineRule="atLeast"/>
      <w:ind w:firstLine="0" w:firstLineChars="0"/>
      <w:jc w:val="center"/>
    </w:pPr>
    <w:rPr>
      <w:sz w:val="18"/>
    </w:rPr>
  </w:style>
  <w:style w:type="paragraph" w:customStyle="1" w:styleId="203">
    <w:name w:val="表格内行距"/>
    <w:basedOn w:val="201"/>
    <w:qFormat/>
    <w:uiPriority w:val="0"/>
    <w:pPr>
      <w:jc w:val="center"/>
    </w:pPr>
    <w:rPr>
      <w:rFonts w:ascii="Verdana" w:hAnsi="宋体"/>
    </w:rPr>
  </w:style>
  <w:style w:type="paragraph" w:customStyle="1" w:styleId="204">
    <w:name w:val="tgt2"/>
    <w:basedOn w:val="1"/>
    <w:qFormat/>
    <w:uiPriority w:val="0"/>
    <w:pPr>
      <w:widowControl/>
      <w:spacing w:after="150"/>
      <w:ind w:firstLine="0" w:firstLineChars="0"/>
      <w:jc w:val="left"/>
    </w:pPr>
    <w:rPr>
      <w:rFonts w:ascii="宋体" w:hAnsi="宋体" w:eastAsia="仿宋" w:cs="宋体"/>
      <w:b/>
      <w:bCs/>
      <w:kern w:val="0"/>
      <w:sz w:val="36"/>
      <w:szCs w:val="36"/>
    </w:rPr>
  </w:style>
  <w:style w:type="character" w:customStyle="1" w:styleId="205">
    <w:name w:val="尾注文本 Char"/>
    <w:basedOn w:val="123"/>
    <w:link w:val="45"/>
    <w:semiHidden/>
    <w:qFormat/>
    <w:uiPriority w:val="0"/>
    <w:rPr>
      <w:rFonts w:ascii="宋体" w:hAnsi="Times New Roman" w:eastAsia="仿宋" w:cs="Times New Roman"/>
      <w:kern w:val="0"/>
      <w:sz w:val="28"/>
      <w:szCs w:val="21"/>
    </w:rPr>
  </w:style>
  <w:style w:type="character" w:customStyle="1" w:styleId="206">
    <w:name w:val="第四级 Char"/>
    <w:link w:val="178"/>
    <w:qFormat/>
    <w:uiPriority w:val="0"/>
    <w:rPr>
      <w:rFonts w:ascii="宋体" w:hAnsi="宋体" w:eastAsia="仿宋" w:cs="Times New Roman"/>
      <w:kern w:val="0"/>
      <w:sz w:val="28"/>
      <w:szCs w:val="21"/>
    </w:rPr>
  </w:style>
  <w:style w:type="character" w:customStyle="1" w:styleId="207">
    <w:name w:val="脚注文本 Char"/>
    <w:basedOn w:val="123"/>
    <w:link w:val="60"/>
    <w:qFormat/>
    <w:uiPriority w:val="0"/>
    <w:rPr>
      <w:rFonts w:ascii="宋体" w:hAnsi="Times New Roman" w:eastAsia="仿宋" w:cs="Times New Roman"/>
      <w:kern w:val="0"/>
      <w:sz w:val="18"/>
      <w:szCs w:val="18"/>
    </w:rPr>
  </w:style>
  <w:style w:type="character" w:customStyle="1" w:styleId="208">
    <w:name w:val="t_tag"/>
    <w:qFormat/>
    <w:uiPriority w:val="0"/>
  </w:style>
  <w:style w:type="paragraph" w:customStyle="1" w:styleId="209">
    <w:name w:val="样式 【自定义】正文缩进2字符 + 底端: (单实线 自动设置  1.5 磅 行宽)"/>
    <w:basedOn w:val="179"/>
    <w:qFormat/>
    <w:uiPriority w:val="0"/>
    <w:pPr>
      <w:pBdr>
        <w:bottom w:val="single" w:color="auto" w:sz="12" w:space="1"/>
      </w:pBdr>
    </w:pPr>
  </w:style>
  <w:style w:type="paragraph" w:customStyle="1" w:styleId="210">
    <w:name w:val="上标"/>
    <w:basedOn w:val="179"/>
    <w:qFormat/>
    <w:uiPriority w:val="0"/>
    <w:rPr>
      <w:szCs w:val="24"/>
      <w:vertAlign w:val="superscript"/>
    </w:rPr>
  </w:style>
  <w:style w:type="paragraph" w:customStyle="1" w:styleId="211">
    <w:name w:val="文档正文"/>
    <w:basedOn w:val="1"/>
    <w:link w:val="212"/>
    <w:qFormat/>
    <w:uiPriority w:val="0"/>
    <w:pPr>
      <w:spacing w:line="240" w:lineRule="auto"/>
      <w:ind w:firstLine="480"/>
    </w:pPr>
    <w:rPr>
      <w:rFonts w:ascii="宋体" w:hAnsi="宋体" w:eastAsia="宋体"/>
      <w:sz w:val="24"/>
      <w:szCs w:val="24"/>
    </w:rPr>
  </w:style>
  <w:style w:type="character" w:customStyle="1" w:styleId="212">
    <w:name w:val="文档正文 Char"/>
    <w:link w:val="211"/>
    <w:qFormat/>
    <w:uiPriority w:val="0"/>
    <w:rPr>
      <w:rFonts w:ascii="宋体" w:hAnsi="宋体" w:eastAsia="宋体" w:cs="Times New Roman"/>
      <w:sz w:val="24"/>
      <w:szCs w:val="24"/>
    </w:rPr>
  </w:style>
  <w:style w:type="character" w:customStyle="1" w:styleId="213">
    <w:name w:val="hps alt-edited"/>
    <w:basedOn w:val="123"/>
    <w:qFormat/>
    <w:uiPriority w:val="0"/>
  </w:style>
  <w:style w:type="character" w:customStyle="1" w:styleId="214">
    <w:name w:val="hps"/>
    <w:basedOn w:val="123"/>
    <w:qFormat/>
    <w:uiPriority w:val="0"/>
  </w:style>
  <w:style w:type="paragraph" w:customStyle="1" w:styleId="215">
    <w:name w:val="摘要"/>
    <w:basedOn w:val="1"/>
    <w:qFormat/>
    <w:uiPriority w:val="0"/>
    <w:pPr>
      <w:adjustRightInd w:val="0"/>
      <w:ind w:firstLine="0" w:firstLineChars="0"/>
      <w:jc w:val="center"/>
      <w:textAlignment w:val="baseline"/>
    </w:pPr>
    <w:rPr>
      <w:rFonts w:ascii="黑体" w:hAnsi="Times New Roman" w:eastAsia="黑体" w:cs="宋体"/>
      <w:kern w:val="0"/>
      <w:sz w:val="30"/>
      <w:szCs w:val="20"/>
    </w:rPr>
  </w:style>
  <w:style w:type="paragraph" w:customStyle="1" w:styleId="216">
    <w:name w:val="一、投标人资质"/>
    <w:basedOn w:val="217"/>
    <w:qFormat/>
    <w:uiPriority w:val="0"/>
    <w:pPr>
      <w:numPr>
        <w:ilvl w:val="0"/>
        <w:numId w:val="14"/>
      </w:numPr>
      <w:tabs>
        <w:tab w:val="left" w:pos="360"/>
        <w:tab w:val="left" w:pos="680"/>
      </w:tabs>
      <w:adjustRightInd/>
      <w:spacing w:line="240" w:lineRule="auto"/>
      <w:ind w:left="567" w:hanging="567" w:firstLineChars="0"/>
      <w:textAlignment w:val="auto"/>
    </w:pPr>
    <w:rPr>
      <w:rFonts w:hAnsi="宋体"/>
      <w:kern w:val="2"/>
      <w:sz w:val="28"/>
      <w:szCs w:val="28"/>
    </w:rPr>
  </w:style>
  <w:style w:type="paragraph" w:customStyle="1" w:styleId="217">
    <w:name w:val="列出段落111"/>
    <w:basedOn w:val="1"/>
    <w:link w:val="420"/>
    <w:qFormat/>
    <w:uiPriority w:val="34"/>
    <w:pPr>
      <w:adjustRightInd w:val="0"/>
      <w:ind w:firstLine="420"/>
      <w:textAlignment w:val="baseline"/>
    </w:pPr>
    <w:rPr>
      <w:rFonts w:ascii="宋体" w:hAnsi="Times New Roman" w:eastAsia="仿宋"/>
      <w:kern w:val="0"/>
      <w:sz w:val="24"/>
      <w:szCs w:val="21"/>
    </w:rPr>
  </w:style>
  <w:style w:type="paragraph" w:customStyle="1" w:styleId="218">
    <w:name w:val="（一）"/>
    <w:basedOn w:val="217"/>
    <w:qFormat/>
    <w:uiPriority w:val="0"/>
    <w:pPr>
      <w:numPr>
        <w:ilvl w:val="0"/>
        <w:numId w:val="15"/>
      </w:numPr>
      <w:tabs>
        <w:tab w:val="left" w:pos="360"/>
      </w:tabs>
      <w:adjustRightInd/>
      <w:spacing w:line="240" w:lineRule="auto"/>
      <w:ind w:left="350" w:leftChars="200" w:hanging="150" w:hangingChars="150"/>
      <w:textAlignment w:val="auto"/>
    </w:pPr>
    <w:rPr>
      <w:rFonts w:hAnsi="宋体"/>
      <w:kern w:val="2"/>
      <w:sz w:val="28"/>
      <w:szCs w:val="28"/>
    </w:rPr>
  </w:style>
  <w:style w:type="paragraph" w:customStyle="1" w:styleId="219">
    <w:name w:val="TOC 标题1"/>
    <w:basedOn w:val="3"/>
    <w:next w:val="1"/>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220">
    <w:name w:val="7.10表格"/>
    <w:basedOn w:val="1"/>
    <w:qFormat/>
    <w:uiPriority w:val="0"/>
    <w:pPr>
      <w:adjustRightInd w:val="0"/>
      <w:spacing w:line="240" w:lineRule="auto"/>
      <w:ind w:firstLine="0" w:firstLineChars="0"/>
      <w:jc w:val="center"/>
      <w:textAlignment w:val="baseline"/>
    </w:pPr>
    <w:rPr>
      <w:rFonts w:ascii="宋体" w:hAnsi="宋体" w:eastAsia="仿宋" w:cs="宋体"/>
      <w:kern w:val="0"/>
      <w:szCs w:val="20"/>
    </w:rPr>
  </w:style>
  <w:style w:type="paragraph" w:customStyle="1" w:styleId="221">
    <w:name w:val="样式 黑体 四号 左 左侧:  0.99 厘米"/>
    <w:basedOn w:val="1"/>
    <w:qFormat/>
    <w:uiPriority w:val="0"/>
    <w:pPr>
      <w:adjustRightInd w:val="0"/>
      <w:ind w:firstLine="0" w:firstLineChars="0"/>
      <w:jc w:val="left"/>
      <w:textAlignment w:val="baseline"/>
    </w:pPr>
    <w:rPr>
      <w:rFonts w:ascii="黑体" w:hAnsi="黑体" w:eastAsia="黑体" w:cs="宋体"/>
      <w:kern w:val="0"/>
      <w:szCs w:val="20"/>
    </w:rPr>
  </w:style>
  <w:style w:type="paragraph" w:customStyle="1" w:styleId="222">
    <w:name w:val="日期 目录"/>
    <w:basedOn w:val="221"/>
    <w:qFormat/>
    <w:uiPriority w:val="0"/>
    <w:pPr>
      <w:jc w:val="center"/>
    </w:pPr>
  </w:style>
  <w:style w:type="paragraph" w:customStyle="1" w:styleId="223">
    <w:name w:val="封面打字"/>
    <w:basedOn w:val="1"/>
    <w:qFormat/>
    <w:uiPriority w:val="0"/>
    <w:pPr>
      <w:adjustRightInd w:val="0"/>
      <w:ind w:firstLine="0" w:firstLineChars="0"/>
      <w:jc w:val="left"/>
      <w:textAlignment w:val="baseline"/>
    </w:pPr>
    <w:rPr>
      <w:rFonts w:ascii="黑体" w:hAnsi="黑体" w:eastAsia="黑体" w:cs="宋体"/>
      <w:kern w:val="0"/>
      <w:sz w:val="48"/>
      <w:szCs w:val="20"/>
    </w:rPr>
  </w:style>
  <w:style w:type="paragraph" w:customStyle="1" w:styleId="224">
    <w:name w:val="封面大字"/>
    <w:basedOn w:val="223"/>
    <w:qFormat/>
    <w:uiPriority w:val="0"/>
    <w:pPr>
      <w:jc w:val="center"/>
    </w:pPr>
    <w:rPr>
      <w:rFonts w:eastAsia="方正姚体"/>
      <w:b/>
      <w:sz w:val="52"/>
    </w:rPr>
  </w:style>
  <w:style w:type="paragraph" w:customStyle="1" w:styleId="225">
    <w:name w:val="仿宋五号"/>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6">
    <w:name w:val="仿宋"/>
    <w:basedOn w:val="1"/>
    <w:qFormat/>
    <w:uiPriority w:val="0"/>
    <w:pPr>
      <w:adjustRightInd w:val="0"/>
      <w:ind w:firstLine="0" w:firstLineChars="0"/>
      <w:jc w:val="center"/>
      <w:textAlignment w:val="baseline"/>
    </w:pPr>
    <w:rPr>
      <w:rFonts w:ascii="宋体" w:hAnsi="宋体" w:eastAsia="仿宋" w:cs="宋体"/>
      <w:kern w:val="0"/>
      <w:sz w:val="21"/>
      <w:szCs w:val="20"/>
    </w:rPr>
  </w:style>
  <w:style w:type="paragraph" w:customStyle="1" w:styleId="227">
    <w:name w:val="封面"/>
    <w:basedOn w:val="224"/>
    <w:qFormat/>
    <w:uiPriority w:val="0"/>
    <w:pPr>
      <w:spacing w:line="480" w:lineRule="auto"/>
    </w:pPr>
    <w:rPr>
      <w:rFonts w:eastAsia="楷体"/>
      <w:bCs/>
    </w:rPr>
  </w:style>
  <w:style w:type="character" w:customStyle="1" w:styleId="228">
    <w:name w:val="font5 Char"/>
    <w:qFormat/>
    <w:uiPriority w:val="0"/>
    <w:rPr>
      <w:rFonts w:ascii="宋体" w:hAnsi="宋体" w:eastAsia="宋体"/>
      <w:sz w:val="28"/>
      <w:szCs w:val="28"/>
      <w:lang w:val="en-US" w:eastAsia="zh-CN" w:bidi="ar-SA"/>
    </w:rPr>
  </w:style>
  <w:style w:type="paragraph" w:customStyle="1" w:styleId="229">
    <w:name w:val="Char Char Char Char Char Char Char Char Char Char"/>
    <w:basedOn w:val="1"/>
    <w:qFormat/>
    <w:uiPriority w:val="0"/>
    <w:pPr>
      <w:adjustRightInd w:val="0"/>
      <w:ind w:firstLine="0" w:firstLineChars="0"/>
    </w:pPr>
    <w:rPr>
      <w:rFonts w:ascii="Times New Roman" w:hAnsi="Times New Roman" w:eastAsia="宋体"/>
      <w:kern w:val="0"/>
      <w:szCs w:val="20"/>
    </w:rPr>
  </w:style>
  <w:style w:type="paragraph" w:customStyle="1" w:styleId="230">
    <w:name w:val="Char"/>
    <w:basedOn w:val="1"/>
    <w:qFormat/>
    <w:uiPriority w:val="0"/>
    <w:pPr>
      <w:tabs>
        <w:tab w:val="left" w:pos="360"/>
      </w:tabs>
      <w:spacing w:line="240" w:lineRule="auto"/>
      <w:ind w:firstLine="0" w:firstLineChars="0"/>
    </w:pPr>
    <w:rPr>
      <w:rFonts w:ascii="Times New Roman" w:hAnsi="Times New Roman" w:eastAsia="宋体"/>
      <w:szCs w:val="24"/>
    </w:rPr>
  </w:style>
  <w:style w:type="paragraph" w:customStyle="1" w:styleId="231">
    <w:name w:val="Char Char Char Char Char Char Char Char Char Char Char1 Char Char Char1"/>
    <w:basedOn w:val="1"/>
    <w:qFormat/>
    <w:uiPriority w:val="0"/>
    <w:pPr>
      <w:spacing w:line="240" w:lineRule="auto"/>
      <w:jc w:val="left"/>
    </w:pPr>
    <w:rPr>
      <w:rFonts w:ascii="Times New Roman" w:hAnsi="Times New Roman" w:eastAsia="宋体"/>
      <w:sz w:val="21"/>
      <w:szCs w:val="21"/>
    </w:rPr>
  </w:style>
  <w:style w:type="paragraph" w:customStyle="1" w:styleId="232">
    <w:name w:val="标题3"/>
    <w:basedOn w:val="1"/>
    <w:next w:val="1"/>
    <w:qFormat/>
    <w:uiPriority w:val="0"/>
    <w:pPr>
      <w:autoSpaceDE w:val="0"/>
      <w:autoSpaceDN w:val="0"/>
      <w:snapToGrid w:val="0"/>
      <w:spacing w:line="590" w:lineRule="atLeast"/>
      <w:ind w:firstLine="624" w:firstLineChars="0"/>
    </w:pPr>
    <w:rPr>
      <w:rFonts w:ascii="方正黑体_GBK" w:hAnsi="Times New Roman" w:eastAsia="方正黑体_GBK"/>
      <w:snapToGrid w:val="0"/>
      <w:kern w:val="0"/>
      <w:sz w:val="32"/>
      <w:szCs w:val="32"/>
    </w:rPr>
  </w:style>
  <w:style w:type="paragraph" w:customStyle="1" w:styleId="233">
    <w:name w:val="普通 (Web)"/>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34">
    <w:name w:val="标题1"/>
    <w:basedOn w:val="1"/>
    <w:next w:val="1"/>
    <w:qFormat/>
    <w:uiPriority w:val="0"/>
    <w:pPr>
      <w:tabs>
        <w:tab w:val="left" w:pos="9193"/>
        <w:tab w:val="left" w:pos="9827"/>
      </w:tabs>
      <w:autoSpaceDE w:val="0"/>
      <w:autoSpaceDN w:val="0"/>
      <w:snapToGrid w:val="0"/>
      <w:spacing w:line="700" w:lineRule="atLeast"/>
      <w:ind w:firstLine="0" w:firstLineChars="0"/>
      <w:jc w:val="center"/>
    </w:pPr>
    <w:rPr>
      <w:rFonts w:ascii="方正小标宋_GBK" w:hAnsi="Times New Roman" w:eastAsia="方正小标宋_GBK"/>
      <w:snapToGrid w:val="0"/>
      <w:kern w:val="0"/>
      <w:sz w:val="44"/>
      <w:szCs w:val="20"/>
    </w:rPr>
  </w:style>
  <w:style w:type="paragraph" w:customStyle="1" w:styleId="235">
    <w:name w:val="样式1"/>
    <w:basedOn w:val="1"/>
    <w:qFormat/>
    <w:uiPriority w:val="0"/>
    <w:pPr>
      <w:tabs>
        <w:tab w:val="left" w:pos="709"/>
      </w:tabs>
      <w:adjustRightInd w:val="0"/>
      <w:spacing w:line="240" w:lineRule="auto"/>
      <w:ind w:left="709" w:hanging="709" w:firstLineChars="0"/>
      <w:textAlignment w:val="baseline"/>
    </w:pPr>
    <w:rPr>
      <w:rFonts w:ascii="宋体" w:hAnsi="宋体" w:eastAsia="宋体"/>
      <w:kern w:val="0"/>
      <w:sz w:val="21"/>
      <w:szCs w:val="21"/>
    </w:rPr>
  </w:style>
  <w:style w:type="paragraph" w:customStyle="1" w:styleId="236">
    <w:name w:val="附录1"/>
    <w:qFormat/>
    <w:uiPriority w:val="0"/>
    <w:pPr>
      <w:tabs>
        <w:tab w:val="left" w:pos="907"/>
      </w:tabs>
      <w:snapToGrid w:val="0"/>
      <w:spacing w:before="240" w:line="600" w:lineRule="atLeast"/>
      <w:ind w:left="907" w:hanging="907"/>
    </w:pPr>
    <w:rPr>
      <w:rFonts w:ascii="Times New Roman" w:hAnsi="Times New Roman" w:eastAsia="宋体" w:cs="Times New Roman"/>
      <w:b/>
      <w:i/>
      <w:sz w:val="28"/>
      <w:lang w:val="en-US" w:eastAsia="zh-CN" w:bidi="ar-SA"/>
    </w:rPr>
  </w:style>
  <w:style w:type="paragraph" w:customStyle="1" w:styleId="237">
    <w:name w:val="4"/>
    <w:basedOn w:val="1"/>
    <w:next w:val="63"/>
    <w:qFormat/>
    <w:uiPriority w:val="0"/>
    <w:pPr>
      <w:ind w:firstLine="420" w:firstLineChars="0"/>
    </w:pPr>
    <w:rPr>
      <w:rFonts w:ascii="Times New Roman" w:hAnsi="Times New Roman" w:eastAsia="宋体"/>
      <w:color w:val="FF0000"/>
      <w:szCs w:val="24"/>
    </w:rPr>
  </w:style>
  <w:style w:type="paragraph" w:customStyle="1" w:styleId="238">
    <w:name w:val="普通正文"/>
    <w:basedOn w:val="1"/>
    <w:qFormat/>
    <w:uiPriority w:val="0"/>
    <w:pPr>
      <w:adjustRightInd w:val="0"/>
      <w:spacing w:before="120" w:after="120"/>
      <w:ind w:firstLine="480" w:firstLineChars="0"/>
      <w:jc w:val="left"/>
      <w:textAlignment w:val="baseline"/>
    </w:pPr>
    <w:rPr>
      <w:rFonts w:ascii="Arial" w:hAnsi="Arial" w:eastAsia="宋体"/>
      <w:kern w:val="0"/>
      <w:szCs w:val="24"/>
    </w:rPr>
  </w:style>
  <w:style w:type="paragraph" w:customStyle="1" w:styleId="239">
    <w:name w:val="Body Text(ch)"/>
    <w:basedOn w:val="1"/>
    <w:next w:val="28"/>
    <w:qFormat/>
    <w:uiPriority w:val="0"/>
    <w:pPr>
      <w:spacing w:after="120" w:line="240" w:lineRule="auto"/>
      <w:ind w:firstLine="0" w:firstLineChars="0"/>
    </w:pPr>
    <w:rPr>
      <w:rFonts w:ascii="宋体" w:hAnsi="Arial" w:eastAsia="宋体"/>
      <w:bCs/>
      <w:iCs/>
      <w:sz w:val="21"/>
      <w:szCs w:val="24"/>
    </w:rPr>
  </w:style>
  <w:style w:type="paragraph" w:customStyle="1" w:styleId="240">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firstLineChars="0"/>
      <w:jc w:val="center"/>
      <w:textAlignment w:val="baseline"/>
    </w:pPr>
    <w:rPr>
      <w:rFonts w:ascii="Times New Roman" w:hAnsi="Times New Roman"/>
      <w:kern w:val="0"/>
      <w:szCs w:val="20"/>
    </w:rPr>
  </w:style>
  <w:style w:type="paragraph" w:customStyle="1" w:styleId="241">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eastAsia="宋体"/>
      <w:kern w:val="0"/>
      <w:szCs w:val="24"/>
    </w:rPr>
  </w:style>
  <w:style w:type="paragraph" w:customStyle="1" w:styleId="242">
    <w:name w:val="xl25"/>
    <w:basedOn w:val="1"/>
    <w:qFormat/>
    <w:uiPriority w:val="0"/>
    <w:pPr>
      <w:widowControl/>
      <w:spacing w:before="100" w:beforeAutospacing="1" w:after="100" w:afterAutospacing="1" w:line="240" w:lineRule="auto"/>
      <w:ind w:firstLine="0" w:firstLineChars="0"/>
      <w:jc w:val="center"/>
      <w:textAlignment w:val="center"/>
    </w:pPr>
    <w:rPr>
      <w:rFonts w:ascii="Arial Unicode MS" w:hAnsi="Arial Unicode MS" w:eastAsia="Arial Unicode MS" w:cs="Arial Unicode MS"/>
      <w:kern w:val="0"/>
      <w:szCs w:val="24"/>
    </w:rPr>
  </w:style>
  <w:style w:type="paragraph" w:customStyle="1" w:styleId="243">
    <w:name w:val="font5"/>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rPr>
  </w:style>
  <w:style w:type="paragraph" w:customStyle="1" w:styleId="244">
    <w:name w:val="font6"/>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Cs w:val="28"/>
      <w:u w:val="single"/>
    </w:rPr>
  </w:style>
  <w:style w:type="paragraph" w:customStyle="1" w:styleId="245">
    <w:name w:val="font7"/>
    <w:basedOn w:val="1"/>
    <w:qFormat/>
    <w:uiPriority w:val="0"/>
    <w:pPr>
      <w:widowControl/>
      <w:spacing w:before="100" w:beforeAutospacing="1" w:after="100" w:afterAutospacing="1" w:line="240" w:lineRule="auto"/>
      <w:ind w:firstLine="0" w:firstLineChars="0"/>
      <w:jc w:val="left"/>
    </w:pPr>
    <w:rPr>
      <w:rFonts w:hint="eastAsia" w:ascii="宋体" w:hAnsi="宋体" w:eastAsia="宋体"/>
      <w:kern w:val="0"/>
      <w:sz w:val="18"/>
      <w:szCs w:val="18"/>
    </w:rPr>
  </w:style>
  <w:style w:type="paragraph" w:customStyle="1" w:styleId="24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7">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kern w:val="0"/>
      <w:szCs w:val="24"/>
    </w:rPr>
  </w:style>
  <w:style w:type="paragraph" w:customStyle="1" w:styleId="24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49">
    <w:name w:val="xl29"/>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250">
    <w:name w:val="Char3"/>
    <w:basedOn w:val="22"/>
    <w:qFormat/>
    <w:uiPriority w:val="0"/>
    <w:pPr>
      <w:shd w:val="clear" w:color="auto" w:fill="000080"/>
      <w:spacing w:line="240" w:lineRule="auto"/>
      <w:ind w:firstLine="0" w:firstLineChars="0"/>
    </w:pPr>
    <w:rPr>
      <w:rFonts w:ascii="Tahoma" w:hAnsi="Tahoma"/>
      <w:sz w:val="24"/>
      <w:szCs w:val="24"/>
    </w:rPr>
  </w:style>
  <w:style w:type="paragraph" w:customStyle="1" w:styleId="251">
    <w:name w:val="xl30"/>
    <w:basedOn w:val="1"/>
    <w:qFormat/>
    <w:uiPriority w:val="0"/>
    <w:pPr>
      <w:widowControl/>
      <w:spacing w:before="100" w:beforeAutospacing="1" w:after="100" w:afterAutospacing="1" w:line="240" w:lineRule="auto"/>
      <w:ind w:firstLine="0" w:firstLineChars="0"/>
      <w:jc w:val="center"/>
    </w:pPr>
    <w:rPr>
      <w:rFonts w:ascii="宋体" w:hAnsi="宋体" w:eastAsia="宋体"/>
      <w:b/>
      <w:bCs/>
      <w:kern w:val="0"/>
      <w:sz w:val="36"/>
      <w:szCs w:val="36"/>
    </w:rPr>
  </w:style>
  <w:style w:type="paragraph" w:customStyle="1" w:styleId="252">
    <w:name w:val="Char Char Char Char Char Char Char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3">
    <w:name w:val="table_1stline"/>
    <w:basedOn w:val="1"/>
    <w:qFormat/>
    <w:uiPriority w:val="0"/>
    <w:pPr>
      <w:widowControl/>
      <w:spacing w:before="120" w:line="240" w:lineRule="auto"/>
      <w:ind w:firstLine="0" w:firstLineChars="0"/>
      <w:jc w:val="left"/>
    </w:pPr>
    <w:rPr>
      <w:rFonts w:ascii="Times New Roman" w:hAnsi="Times New Roman" w:eastAsia="宋体"/>
      <w:bCs/>
      <w:kern w:val="0"/>
      <w:sz w:val="20"/>
      <w:szCs w:val="20"/>
      <w:lang w:val="de-DE" w:eastAsia="de-DE"/>
    </w:rPr>
  </w:style>
  <w:style w:type="paragraph" w:customStyle="1" w:styleId="254">
    <w:name w:val="table_lines"/>
    <w:basedOn w:val="1"/>
    <w:qFormat/>
    <w:uiPriority w:val="0"/>
    <w:pPr>
      <w:widowControl/>
      <w:spacing w:line="240" w:lineRule="auto"/>
      <w:ind w:firstLine="0" w:firstLineChars="0"/>
      <w:jc w:val="left"/>
    </w:pPr>
    <w:rPr>
      <w:rFonts w:ascii="Times New Roman" w:hAnsi="Times New Roman" w:eastAsia="宋体"/>
      <w:kern w:val="0"/>
      <w:sz w:val="20"/>
      <w:szCs w:val="20"/>
      <w:lang w:val="de-DE" w:eastAsia="de-DE"/>
    </w:rPr>
  </w:style>
  <w:style w:type="paragraph" w:customStyle="1" w:styleId="255">
    <w:name w:val="Char Char Char Char"/>
    <w:basedOn w:val="22"/>
    <w:qFormat/>
    <w:uiPriority w:val="0"/>
    <w:pPr>
      <w:shd w:val="clear" w:color="auto" w:fill="000080"/>
      <w:adjustRightInd w:val="0"/>
      <w:snapToGrid w:val="0"/>
      <w:ind w:firstLine="0" w:firstLineChars="0"/>
    </w:pPr>
    <w:rPr>
      <w:rFonts w:ascii="Tahoma" w:hAnsi="Tahoma"/>
      <w:sz w:val="24"/>
      <w:szCs w:val="24"/>
    </w:rPr>
  </w:style>
  <w:style w:type="paragraph" w:customStyle="1" w:styleId="256">
    <w:name w:val="Char Char Char Char Char Char Char Char2"/>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257">
    <w:name w:val="Char Char Char Char2"/>
    <w:basedOn w:val="22"/>
    <w:qFormat/>
    <w:uiPriority w:val="0"/>
    <w:pPr>
      <w:shd w:val="clear" w:color="auto" w:fill="000080"/>
      <w:adjustRightInd w:val="0"/>
      <w:snapToGrid w:val="0"/>
      <w:ind w:firstLine="0" w:firstLineChars="0"/>
    </w:pPr>
    <w:rPr>
      <w:rFonts w:ascii="Tahoma" w:hAnsi="Tahoma"/>
      <w:sz w:val="24"/>
      <w:szCs w:val="24"/>
    </w:rPr>
  </w:style>
  <w:style w:type="character" w:customStyle="1" w:styleId="258">
    <w:name w:val="style31"/>
    <w:qFormat/>
    <w:uiPriority w:val="0"/>
    <w:rPr>
      <w:rFonts w:cs="Times New Roman"/>
      <w:b/>
      <w:bCs/>
      <w:color w:val="auto"/>
    </w:rPr>
  </w:style>
  <w:style w:type="character" w:customStyle="1" w:styleId="259">
    <w:name w:val="wenhua"/>
    <w:qFormat/>
    <w:uiPriority w:val="0"/>
    <w:rPr>
      <w:rFonts w:cs="Times New Roman"/>
    </w:rPr>
  </w:style>
  <w:style w:type="paragraph" w:customStyle="1" w:styleId="260">
    <w:name w:val="Char Char Char Char Char Char"/>
    <w:basedOn w:val="1"/>
    <w:qFormat/>
    <w:uiPriority w:val="0"/>
    <w:pPr>
      <w:spacing w:line="240" w:lineRule="auto"/>
      <w:ind w:firstLine="0" w:firstLineChars="0"/>
    </w:pPr>
    <w:rPr>
      <w:rFonts w:ascii="Times New Roman" w:hAnsi="Times New Roman" w:eastAsia="宋体"/>
      <w:sz w:val="21"/>
      <w:szCs w:val="21"/>
    </w:rPr>
  </w:style>
  <w:style w:type="character" w:customStyle="1" w:styleId="261">
    <w:name w:val="样式 标题 2h2sect 1.2H2UNDERRUBRIK 1-2hhHeading TwoProphead 2... Char Char"/>
    <w:link w:val="262"/>
    <w:qFormat/>
    <w:uiPriority w:val="0"/>
    <w:rPr>
      <w:rFonts w:ascii="黑体" w:hAnsi="黑体" w:eastAsia="黑体"/>
      <w:b/>
      <w:bCs/>
      <w:sz w:val="32"/>
      <w:szCs w:val="32"/>
    </w:rPr>
  </w:style>
  <w:style w:type="paragraph" w:customStyle="1" w:styleId="262">
    <w:name w:val="样式 标题 2h2sect 1.2H2UNDERRUBRIK 1-2hhHeading TwoProphead 2..."/>
    <w:basedOn w:val="4"/>
    <w:link w:val="261"/>
    <w:qFormat/>
    <w:uiPriority w:val="0"/>
    <w:pPr>
      <w:keepNext w:val="0"/>
      <w:tabs>
        <w:tab w:val="left" w:pos="1681"/>
      </w:tabs>
      <w:spacing w:beforeLines="100"/>
      <w:ind w:left="1681" w:hanging="420"/>
    </w:pPr>
    <w:rPr>
      <w:rFonts w:ascii="黑体" w:hAnsi="黑体" w:eastAsia="黑体" w:cstheme="minorBidi"/>
      <w:sz w:val="32"/>
    </w:rPr>
  </w:style>
  <w:style w:type="character" w:customStyle="1" w:styleId="263">
    <w:name w:val="正文缩进 Char"/>
    <w:link w:val="19"/>
    <w:qFormat/>
    <w:uiPriority w:val="0"/>
    <w:rPr>
      <w:rFonts w:ascii="宋体" w:hAnsi="Times New Roman" w:eastAsia="仿宋" w:cs="Times New Roman"/>
      <w:kern w:val="0"/>
      <w:sz w:val="24"/>
      <w:szCs w:val="21"/>
    </w:rPr>
  </w:style>
  <w:style w:type="paragraph" w:customStyle="1" w:styleId="264">
    <w:name w:val="p0"/>
    <w:basedOn w:val="1"/>
    <w:qFormat/>
    <w:uiPriority w:val="0"/>
    <w:pPr>
      <w:widowControl/>
      <w:spacing w:line="240" w:lineRule="auto"/>
      <w:ind w:firstLine="0" w:firstLineChars="0"/>
    </w:pPr>
    <w:rPr>
      <w:rFonts w:ascii="Times New Roman" w:hAnsi="Times New Roman" w:eastAsia="宋体"/>
      <w:kern w:val="0"/>
      <w:sz w:val="21"/>
      <w:szCs w:val="21"/>
    </w:rPr>
  </w:style>
  <w:style w:type="character" w:customStyle="1" w:styleId="265">
    <w:name w:val="apple-converted-space"/>
    <w:basedOn w:val="123"/>
    <w:qFormat/>
    <w:uiPriority w:val="0"/>
  </w:style>
  <w:style w:type="paragraph" w:customStyle="1" w:styleId="266">
    <w:name w:val="xl71"/>
    <w:basedOn w:val="1"/>
    <w:qFormat/>
    <w:uiPriority w:val="0"/>
    <w:pPr>
      <w:widowControl/>
      <w:spacing w:before="100" w:beforeAutospacing="1" w:after="100" w:afterAutospacing="1" w:line="240" w:lineRule="auto"/>
      <w:ind w:firstLine="0" w:firstLineChars="0"/>
      <w:jc w:val="left"/>
    </w:pPr>
    <w:rPr>
      <w:rFonts w:ascii="宋体" w:hAnsi="宋体" w:eastAsia="宋体" w:cs="宋体"/>
      <w:color w:val="000000"/>
      <w:kern w:val="0"/>
      <w:szCs w:val="24"/>
    </w:rPr>
  </w:style>
  <w:style w:type="paragraph" w:customStyle="1" w:styleId="26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6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Cs w:val="24"/>
    </w:rPr>
  </w:style>
  <w:style w:type="paragraph" w:customStyle="1" w:styleId="27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22"/>
    </w:rPr>
  </w:style>
  <w:style w:type="paragraph" w:customStyle="1" w:styleId="27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7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1">
    <w:name w:val="xl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2">
    <w:name w:val="xl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3">
    <w:name w:val="xl88"/>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4">
    <w:name w:val="xl89"/>
    <w:basedOn w:val="1"/>
    <w:qFormat/>
    <w:uiPriority w:val="0"/>
    <w:pPr>
      <w:widowControl/>
      <w:pBdr>
        <w:top w:val="single" w:color="000000" w:sz="4" w:space="0"/>
        <w:left w:val="single" w:color="000000" w:sz="4" w:space="0"/>
        <w:bottom w:val="single" w:color="auto" w:sz="4" w:space="0"/>
        <w:right w:val="single" w:color="000000" w:sz="4" w:space="0"/>
      </w:pBdr>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6">
    <w:name w:val="xl9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color w:val="000000"/>
      <w:kern w:val="0"/>
      <w:sz w:val="20"/>
      <w:szCs w:val="20"/>
    </w:rPr>
  </w:style>
  <w:style w:type="paragraph" w:customStyle="1" w:styleId="287">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88">
    <w:name w:val="xl9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color w:val="000000"/>
      <w:kern w:val="0"/>
      <w:sz w:val="20"/>
      <w:szCs w:val="20"/>
    </w:rPr>
  </w:style>
  <w:style w:type="paragraph" w:customStyle="1" w:styleId="289">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b/>
      <w:bCs/>
      <w:kern w:val="0"/>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ascii="宋体" w:hAnsi="宋体" w:eastAsia="宋体" w:cs="宋体"/>
      <w:kern w:val="0"/>
      <w:sz w:val="20"/>
      <w:szCs w:val="20"/>
    </w:rPr>
  </w:style>
  <w:style w:type="paragraph" w:customStyle="1" w:styleId="291">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ascii="宋体" w:hAnsi="宋体" w:eastAsia="宋体" w:cs="宋体"/>
      <w:kern w:val="0"/>
      <w:sz w:val="20"/>
      <w:szCs w:val="20"/>
    </w:rPr>
  </w:style>
  <w:style w:type="paragraph" w:customStyle="1" w:styleId="29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kern w:val="0"/>
      <w:szCs w:val="24"/>
    </w:rPr>
  </w:style>
  <w:style w:type="paragraph" w:customStyle="1" w:styleId="295">
    <w:name w:val="xl100"/>
    <w:basedOn w:val="1"/>
    <w:qFormat/>
    <w:uiPriority w:val="0"/>
    <w:pPr>
      <w:widowControl/>
      <w:pBdr>
        <w:lef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6">
    <w:name w:val="xl101"/>
    <w:basedOn w:val="1"/>
    <w:qFormat/>
    <w:uiPriority w:val="0"/>
    <w:pPr>
      <w:widowControl/>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7">
    <w:name w:val="xl102"/>
    <w:basedOn w:val="1"/>
    <w:qFormat/>
    <w:uiPriority w:val="0"/>
    <w:pPr>
      <w:widowControl/>
      <w:pBdr>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29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Cs w:val="24"/>
    </w:rPr>
  </w:style>
  <w:style w:type="paragraph" w:customStyle="1" w:styleId="299">
    <w:name w:val="xl104"/>
    <w:basedOn w:val="1"/>
    <w:qFormat/>
    <w:uiPriority w:val="0"/>
    <w:pPr>
      <w:widowControl/>
      <w:pBdr>
        <w:bottom w:val="single" w:color="auto" w:sz="4" w:space="0"/>
      </w:pBdr>
      <w:spacing w:before="100" w:beforeAutospacing="1" w:after="100" w:afterAutospacing="1" w:line="240" w:lineRule="auto"/>
      <w:ind w:firstLine="0" w:firstLineChars="0"/>
      <w:jc w:val="center"/>
      <w:textAlignment w:val="center"/>
    </w:pPr>
    <w:rPr>
      <w:rFonts w:ascii="宋体" w:hAnsi="宋体" w:eastAsia="宋体" w:cs="宋体"/>
      <w:b/>
      <w:bCs/>
      <w:kern w:val="0"/>
      <w:sz w:val="32"/>
      <w:szCs w:val="32"/>
    </w:rPr>
  </w:style>
  <w:style w:type="paragraph" w:customStyle="1" w:styleId="30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 w:val="20"/>
      <w:szCs w:val="20"/>
    </w:rPr>
  </w:style>
  <w:style w:type="paragraph" w:customStyle="1" w:styleId="30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eastAsia="宋体" w:cs="宋体"/>
      <w:b/>
      <w:bCs/>
      <w:kern w:val="0"/>
      <w:szCs w:val="24"/>
    </w:rPr>
  </w:style>
  <w:style w:type="paragraph" w:customStyle="1" w:styleId="302">
    <w:name w:val="列出段落2"/>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303">
    <w:name w:val="ih151"/>
    <w:qFormat/>
    <w:uiPriority w:val="0"/>
    <w:rPr>
      <w:color w:val="666666"/>
      <w:sz w:val="18"/>
      <w:szCs w:val="18"/>
      <w:u w:val="none"/>
    </w:rPr>
  </w:style>
  <w:style w:type="character" w:customStyle="1" w:styleId="304">
    <w:name w:val="3zw"/>
    <w:basedOn w:val="123"/>
    <w:qFormat/>
    <w:uiPriority w:val="0"/>
  </w:style>
  <w:style w:type="character" w:customStyle="1" w:styleId="305">
    <w:name w:val="2nd level Char"/>
    <w:qFormat/>
    <w:uiPriority w:val="0"/>
    <w:rPr>
      <w:rFonts w:ascii="Arial" w:hAnsi="Arial" w:eastAsia="黑体"/>
      <w:b/>
      <w:bCs/>
      <w:kern w:val="2"/>
      <w:sz w:val="32"/>
      <w:szCs w:val="32"/>
      <w:lang w:val="en-US" w:eastAsia="zh-CN" w:bidi="ar-SA"/>
    </w:rPr>
  </w:style>
  <w:style w:type="character" w:customStyle="1" w:styleId="306">
    <w:name w:val="小四 段落 宋体 Char Char Char1"/>
    <w:qFormat/>
    <w:uiPriority w:val="0"/>
    <w:rPr>
      <w:rFonts w:ascii="宋体" w:hAnsi="宋体" w:eastAsia="宋体"/>
      <w:kern w:val="2"/>
      <w:sz w:val="24"/>
      <w:szCs w:val="24"/>
      <w:lang w:val="en-US" w:eastAsia="zh-CN" w:bidi="ar-SA"/>
    </w:rPr>
  </w:style>
  <w:style w:type="character" w:customStyle="1" w:styleId="307">
    <w:name w:val="content_lineheight1"/>
    <w:basedOn w:val="123"/>
    <w:qFormat/>
    <w:uiPriority w:val="0"/>
  </w:style>
  <w:style w:type="character" w:customStyle="1" w:styleId="308">
    <w:name w:val="Title1 Char"/>
    <w:qFormat/>
    <w:uiPriority w:val="0"/>
    <w:rPr>
      <w:rFonts w:eastAsia="宋体"/>
      <w:b/>
      <w:bCs/>
      <w:kern w:val="44"/>
      <w:sz w:val="44"/>
      <w:szCs w:val="44"/>
      <w:lang w:val="en-US" w:eastAsia="zh-CN" w:bidi="ar-SA"/>
    </w:rPr>
  </w:style>
  <w:style w:type="character" w:customStyle="1" w:styleId="309">
    <w:name w:val="标准小四 Char"/>
    <w:qFormat/>
    <w:uiPriority w:val="0"/>
    <w:rPr>
      <w:rFonts w:ascii="Arial" w:hAnsi="Arial" w:eastAsia="宋体"/>
      <w:kern w:val="2"/>
      <w:sz w:val="24"/>
      <w:szCs w:val="21"/>
      <w:lang w:val="en-US" w:eastAsia="zh-CN" w:bidi="ar-SA"/>
    </w:rPr>
  </w:style>
  <w:style w:type="character" w:customStyle="1" w:styleId="310">
    <w:name w:val="标准文本 Char"/>
    <w:qFormat/>
    <w:uiPriority w:val="0"/>
    <w:rPr>
      <w:rFonts w:eastAsia="宋体" w:cs="宋体"/>
      <w:kern w:val="2"/>
      <w:sz w:val="24"/>
      <w:szCs w:val="24"/>
      <w:lang w:val="en-US" w:eastAsia="zh-CN" w:bidi="ar-SA"/>
    </w:rPr>
  </w:style>
  <w:style w:type="character" w:customStyle="1" w:styleId="311">
    <w:name w:val="subtitle1"/>
    <w:qFormat/>
    <w:uiPriority w:val="0"/>
    <w:rPr>
      <w:rFonts w:hint="default" w:ascii="Georgia" w:hAnsi="Georgia"/>
      <w:b/>
      <w:bCs/>
      <w:color w:val="666666"/>
      <w:sz w:val="18"/>
      <w:szCs w:val="18"/>
    </w:rPr>
  </w:style>
  <w:style w:type="character" w:customStyle="1" w:styleId="312">
    <w:name w:val="小四 段落 宋体 Char Char Char Char Char"/>
    <w:qFormat/>
    <w:uiPriority w:val="0"/>
    <w:rPr>
      <w:rFonts w:eastAsia="宋体"/>
      <w:kern w:val="2"/>
      <w:sz w:val="24"/>
      <w:szCs w:val="24"/>
      <w:lang w:val="en-US" w:eastAsia="zh-CN" w:bidi="ar-SA"/>
    </w:rPr>
  </w:style>
  <w:style w:type="character" w:customStyle="1" w:styleId="313">
    <w:name w:val="小四 段落 宋体 Char Char Char Char1"/>
    <w:qFormat/>
    <w:uiPriority w:val="0"/>
    <w:rPr>
      <w:rFonts w:eastAsia="宋体"/>
      <w:kern w:val="2"/>
      <w:sz w:val="24"/>
      <w:szCs w:val="24"/>
      <w:lang w:val="en-US" w:eastAsia="zh-CN" w:bidi="ar-SA"/>
    </w:rPr>
  </w:style>
  <w:style w:type="character" w:customStyle="1" w:styleId="314">
    <w:name w:val="华宇段落1 Char Char"/>
    <w:qFormat/>
    <w:uiPriority w:val="0"/>
    <w:rPr>
      <w:rFonts w:eastAsia="宋体"/>
      <w:bCs/>
      <w:kern w:val="2"/>
      <w:sz w:val="24"/>
      <w:szCs w:val="24"/>
      <w:lang w:val="en-US" w:eastAsia="zh-CN" w:bidi="ar-SA"/>
    </w:rPr>
  </w:style>
  <w:style w:type="character" w:customStyle="1" w:styleId="315">
    <w:name w:val="小四 段落 宋体 Char1"/>
    <w:qFormat/>
    <w:uiPriority w:val="0"/>
    <w:rPr>
      <w:rFonts w:eastAsia="宋体"/>
      <w:kern w:val="2"/>
      <w:sz w:val="24"/>
      <w:szCs w:val="24"/>
      <w:lang w:val="en-US" w:eastAsia="zh-CN" w:bidi="ar-SA"/>
    </w:rPr>
  </w:style>
  <w:style w:type="character" w:customStyle="1" w:styleId="316">
    <w:name w:val="textcontents"/>
    <w:basedOn w:val="123"/>
    <w:qFormat/>
    <w:uiPriority w:val="0"/>
  </w:style>
  <w:style w:type="character" w:customStyle="1" w:styleId="317">
    <w:name w:val="样式 宋体 小四"/>
    <w:qFormat/>
    <w:uiPriority w:val="0"/>
    <w:rPr>
      <w:rFonts w:ascii="宋体" w:hAnsi="宋体"/>
      <w:sz w:val="24"/>
    </w:rPr>
  </w:style>
  <w:style w:type="character" w:customStyle="1" w:styleId="318">
    <w:name w:val="normalfont1"/>
    <w:qFormat/>
    <w:uiPriority w:val="0"/>
    <w:rPr>
      <w:rFonts w:hint="default" w:ascii="ˎ̥" w:hAnsi="ˎ̥"/>
      <w:sz w:val="18"/>
      <w:szCs w:val="18"/>
      <w:u w:val="none"/>
    </w:rPr>
  </w:style>
  <w:style w:type="character" w:customStyle="1" w:styleId="319">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paragraph" w:customStyle="1" w:styleId="320">
    <w:name w:val="样式 标题 2第一章 标题 2Heading 2 HiddenHeading 2 CCBSheading 2H2h2..."/>
    <w:basedOn w:val="4"/>
    <w:qFormat/>
    <w:uiPriority w:val="0"/>
    <w:pPr>
      <w:keepLines w:val="0"/>
      <w:tabs>
        <w:tab w:val="left" w:pos="360"/>
      </w:tabs>
      <w:adjustRightInd w:val="0"/>
      <w:spacing w:before="260" w:afterLines="50"/>
      <w:ind w:left="360" w:hanging="360"/>
      <w:jc w:val="center"/>
      <w:textAlignment w:val="baseline"/>
    </w:pPr>
    <w:rPr>
      <w:rFonts w:ascii="黑体" w:hAnsi="Times New Roman" w:eastAsia="黑体" w:cs="宋体"/>
      <w:b w:val="0"/>
      <w:bCs w:val="0"/>
      <w:kern w:val="0"/>
      <w:sz w:val="32"/>
      <w:szCs w:val="20"/>
    </w:rPr>
  </w:style>
  <w:style w:type="paragraph" w:customStyle="1" w:styleId="321">
    <w:name w:val="标准文本"/>
    <w:basedOn w:val="1"/>
    <w:qFormat/>
    <w:uiPriority w:val="0"/>
    <w:pPr>
      <w:ind w:firstLine="480"/>
    </w:pPr>
    <w:rPr>
      <w:rFonts w:ascii="Times New Roman" w:hAnsi="Times New Roman" w:eastAsia="宋体" w:cs="宋体"/>
      <w:szCs w:val="24"/>
    </w:rPr>
  </w:style>
  <w:style w:type="paragraph" w:customStyle="1" w:styleId="322">
    <w:name w:val="正文lzq"/>
    <w:basedOn w:val="1"/>
    <w:qFormat/>
    <w:uiPriority w:val="0"/>
    <w:pPr>
      <w:adjustRightInd w:val="0"/>
      <w:ind w:firstLine="480" w:firstLineChars="0"/>
      <w:textAlignment w:val="baseline"/>
    </w:pPr>
    <w:rPr>
      <w:rFonts w:ascii="Times New Roman" w:hAnsi="Times New Roman" w:eastAsia="宋体"/>
      <w:kern w:val="0"/>
      <w:szCs w:val="20"/>
    </w:rPr>
  </w:style>
  <w:style w:type="paragraph" w:customStyle="1" w:styleId="323">
    <w:name w:val="标题2，章节第二层"/>
    <w:basedOn w:val="1"/>
    <w:next w:val="324"/>
    <w:qFormat/>
    <w:uiPriority w:val="0"/>
    <w:pPr>
      <w:tabs>
        <w:tab w:val="left" w:pos="630"/>
        <w:tab w:val="left" w:pos="992"/>
        <w:tab w:val="left" w:pos="1440"/>
      </w:tabs>
      <w:adjustRightInd w:val="0"/>
      <w:snapToGrid w:val="0"/>
      <w:spacing w:beforeLines="100" w:afterLines="100" w:line="300" w:lineRule="auto"/>
      <w:ind w:left="992" w:hanging="567" w:firstLineChars="0"/>
      <w:outlineLvl w:val="1"/>
    </w:pPr>
    <w:rPr>
      <w:rFonts w:ascii="Arial" w:hAnsi="Arial" w:eastAsia="黑体"/>
      <w:sz w:val="32"/>
      <w:szCs w:val="24"/>
    </w:rPr>
  </w:style>
  <w:style w:type="paragraph" w:customStyle="1" w:styleId="324">
    <w:name w:val="正文格式"/>
    <w:basedOn w:val="1"/>
    <w:qFormat/>
    <w:uiPriority w:val="0"/>
    <w:pPr>
      <w:widowControl/>
      <w:adjustRightInd w:val="0"/>
      <w:snapToGrid w:val="0"/>
      <w:spacing w:beforeLines="25"/>
      <w:ind w:left="178" w:right="44" w:rightChars="21" w:hanging="178" w:hangingChars="85"/>
      <w:jc w:val="left"/>
      <w:textAlignment w:val="baseline"/>
    </w:pPr>
    <w:rPr>
      <w:rFonts w:ascii="宋体" w:hAnsi="宋体" w:eastAsia="宋体"/>
      <w:bCs/>
      <w:kern w:val="0"/>
      <w:sz w:val="21"/>
      <w:szCs w:val="21"/>
    </w:rPr>
  </w:style>
  <w:style w:type="paragraph" w:customStyle="1" w:styleId="325">
    <w:name w:val="小四 段落 宋体 Char Char Char Char"/>
    <w:basedOn w:val="1"/>
    <w:qFormat/>
    <w:uiPriority w:val="0"/>
    <w:pPr>
      <w:ind w:right="-33" w:firstLine="480"/>
      <w:jc w:val="left"/>
    </w:pPr>
    <w:rPr>
      <w:rFonts w:ascii="Times New Roman" w:hAnsi="Times New Roman" w:eastAsia="宋体"/>
      <w:szCs w:val="24"/>
    </w:rPr>
  </w:style>
  <w:style w:type="paragraph" w:customStyle="1" w:styleId="326">
    <w:name w:val="小四 段落 宋体 Char Char Char"/>
    <w:basedOn w:val="18"/>
    <w:qFormat/>
    <w:uiPriority w:val="0"/>
    <w:pPr>
      <w:numPr>
        <w:ilvl w:val="0"/>
        <w:numId w:val="0"/>
      </w:numPr>
      <w:adjustRightInd/>
      <w:ind w:right="-33" w:firstLine="545" w:firstLineChars="227"/>
      <w:jc w:val="left"/>
      <w:textAlignment w:val="auto"/>
    </w:pPr>
    <w:rPr>
      <w:rFonts w:ascii="Times New Roman" w:eastAsia="宋体"/>
      <w:kern w:val="2"/>
      <w:szCs w:val="24"/>
    </w:rPr>
  </w:style>
  <w:style w:type="paragraph" w:customStyle="1" w:styleId="327">
    <w:name w:val="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28">
    <w:name w:val="样式 标题 3H3sect1.2.3BOD 0Heading 3 - oldh3l3CTLevel 3 Head..."/>
    <w:basedOn w:val="5"/>
    <w:qFormat/>
    <w:uiPriority w:val="0"/>
    <w:pPr>
      <w:spacing w:line="240" w:lineRule="auto"/>
      <w:ind w:firstLine="0" w:firstLineChars="0"/>
      <w:jc w:val="left"/>
    </w:pPr>
    <w:rPr>
      <w:rFonts w:ascii="Times New Roman" w:hAnsi="Times New Roman" w:eastAsia="宋体" w:cs="宋体"/>
      <w:sz w:val="30"/>
      <w:szCs w:val="20"/>
    </w:rPr>
  </w:style>
  <w:style w:type="paragraph" w:customStyle="1" w:styleId="329">
    <w:name w:val="样式 加点正文 + 段前: 0.5 行 段后: 0.5 行1"/>
    <w:basedOn w:val="1"/>
    <w:qFormat/>
    <w:uiPriority w:val="0"/>
    <w:pPr>
      <w:tabs>
        <w:tab w:val="left" w:pos="1050"/>
        <w:tab w:val="left" w:pos="1268"/>
      </w:tabs>
      <w:spacing w:beforeLines="50" w:afterLines="50" w:line="300" w:lineRule="auto"/>
      <w:ind w:left="1268" w:hanging="720" w:firstLineChars="0"/>
    </w:pPr>
    <w:rPr>
      <w:rFonts w:ascii="Times New Roman" w:hAnsi="Times New Roman" w:eastAsia="宋体"/>
      <w:szCs w:val="20"/>
    </w:rPr>
  </w:style>
  <w:style w:type="paragraph" w:customStyle="1" w:styleId="330">
    <w:name w:val="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31">
    <w:name w:val="条1"/>
    <w:basedOn w:val="1"/>
    <w:qFormat/>
    <w:uiPriority w:val="0"/>
    <w:pPr>
      <w:tabs>
        <w:tab w:val="left" w:pos="780"/>
      </w:tabs>
      <w:spacing w:before="156"/>
      <w:ind w:left="780" w:hanging="360" w:firstLineChars="0"/>
    </w:pPr>
    <w:rPr>
      <w:rFonts w:ascii="Times New Roman" w:hAnsi="Times New Roman" w:eastAsia="黑体"/>
      <w:szCs w:val="20"/>
    </w:rPr>
  </w:style>
  <w:style w:type="paragraph" w:customStyle="1" w:styleId="332">
    <w:name w:val="正文 居中"/>
    <w:basedOn w:val="1"/>
    <w:qFormat/>
    <w:uiPriority w:val="0"/>
    <w:pPr>
      <w:ind w:firstLine="0" w:firstLineChars="0"/>
      <w:jc w:val="center"/>
    </w:pPr>
    <w:rPr>
      <w:rFonts w:ascii="Times New Roman" w:hAnsi="Times New Roman" w:eastAsia="宋体"/>
      <w:szCs w:val="20"/>
    </w:rPr>
  </w:style>
  <w:style w:type="paragraph" w:customStyle="1" w:styleId="333">
    <w:name w:val="符号与编号"/>
    <w:basedOn w:val="1"/>
    <w:qFormat/>
    <w:uiPriority w:val="0"/>
    <w:pPr>
      <w:tabs>
        <w:tab w:val="left" w:pos="900"/>
      </w:tabs>
      <w:spacing w:afterLines="50" w:line="400" w:lineRule="atLeast"/>
      <w:ind w:left="900" w:hanging="420" w:firstLineChars="0"/>
    </w:pPr>
    <w:rPr>
      <w:rFonts w:ascii="Times New Roman" w:hAnsi="Times New Roman" w:eastAsia="宋体"/>
      <w:szCs w:val="24"/>
    </w:rPr>
  </w:style>
  <w:style w:type="paragraph" w:customStyle="1" w:styleId="334">
    <w:name w:val="正文 首行缩进:  2 字符 Char Char"/>
    <w:basedOn w:val="1"/>
    <w:qFormat/>
    <w:uiPriority w:val="0"/>
    <w:pPr>
      <w:ind w:firstLine="480" w:firstLineChars="0"/>
    </w:pPr>
    <w:rPr>
      <w:rFonts w:ascii="楷体_GB2312" w:hAnsi="Times New Roman" w:eastAsia="楷体_GB2312"/>
      <w:bCs/>
      <w:szCs w:val="24"/>
    </w:rPr>
  </w:style>
  <w:style w:type="paragraph" w:customStyle="1" w:styleId="335">
    <w:name w:val="丁华标题2"/>
    <w:basedOn w:val="4"/>
    <w:next w:val="336"/>
    <w:qFormat/>
    <w:uiPriority w:val="0"/>
    <w:pPr>
      <w:tabs>
        <w:tab w:val="left" w:pos="567"/>
      </w:tabs>
      <w:autoSpaceDE w:val="0"/>
      <w:autoSpaceDN w:val="0"/>
      <w:adjustRightInd w:val="0"/>
      <w:spacing w:beforeLines="0" w:after="120" w:line="413" w:lineRule="auto"/>
      <w:ind w:left="567" w:hanging="567"/>
    </w:pPr>
    <w:rPr>
      <w:rFonts w:ascii="Arial" w:hAnsi="Arial" w:eastAsia="黑体"/>
      <w:color w:val="000000"/>
      <w:szCs w:val="20"/>
    </w:rPr>
  </w:style>
  <w:style w:type="paragraph" w:customStyle="1" w:styleId="336">
    <w:name w:val="丁华正文"/>
    <w:basedOn w:val="63"/>
    <w:qFormat/>
    <w:uiPriority w:val="0"/>
    <w:pPr>
      <w:autoSpaceDE w:val="0"/>
      <w:autoSpaceDN w:val="0"/>
      <w:snapToGrid w:val="0"/>
      <w:spacing w:after="0"/>
      <w:ind w:left="0" w:leftChars="0" w:firstLine="510"/>
      <w:textAlignment w:val="auto"/>
    </w:pPr>
    <w:rPr>
      <w:rFonts w:hAnsi="Arial" w:eastAsia="宋体"/>
      <w:b/>
      <w:color w:val="000000"/>
      <w:kern w:val="2"/>
      <w:sz w:val="24"/>
    </w:rPr>
  </w:style>
  <w:style w:type="paragraph" w:customStyle="1" w:styleId="337">
    <w:name w:val="华宇段落1 Char"/>
    <w:basedOn w:val="1"/>
    <w:qFormat/>
    <w:uiPriority w:val="0"/>
    <w:rPr>
      <w:rFonts w:ascii="Times New Roman" w:hAnsi="Times New Roman" w:eastAsia="宋体"/>
      <w:bCs/>
      <w:szCs w:val="24"/>
    </w:rPr>
  </w:style>
  <w:style w:type="paragraph" w:customStyle="1" w:styleId="33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39">
    <w:name w:val="Char1 Char Char Char"/>
    <w:basedOn w:val="1"/>
    <w:qFormat/>
    <w:uiPriority w:val="0"/>
    <w:pPr>
      <w:spacing w:line="240" w:lineRule="auto"/>
      <w:ind w:firstLine="0" w:firstLineChars="0"/>
    </w:pPr>
    <w:rPr>
      <w:rFonts w:ascii="Tahoma" w:hAnsi="Tahoma" w:eastAsia="宋体"/>
      <w:szCs w:val="20"/>
    </w:rPr>
  </w:style>
  <w:style w:type="paragraph" w:customStyle="1" w:styleId="340">
    <w:name w:val="flType"/>
    <w:basedOn w:val="341"/>
    <w:qFormat/>
    <w:uiPriority w:val="0"/>
    <w:pPr>
      <w:spacing w:after="284"/>
    </w:pPr>
    <w:rPr>
      <w:rFonts w:eastAsia="宋体"/>
      <w:b w:val="0"/>
    </w:rPr>
  </w:style>
  <w:style w:type="paragraph" w:customStyle="1" w:styleId="341">
    <w:name w:val="flName"/>
    <w:basedOn w:val="342"/>
    <w:qFormat/>
    <w:uiPriority w:val="0"/>
    <w:pPr>
      <w:spacing w:before="0" w:line="113" w:lineRule="atLeast"/>
    </w:pPr>
  </w:style>
  <w:style w:type="paragraph" w:customStyle="1" w:styleId="342">
    <w:name w:val="flNote"/>
    <w:basedOn w:val="1"/>
    <w:qFormat/>
    <w:uiPriority w:val="0"/>
    <w:pPr>
      <w:adjustRightInd w:val="0"/>
      <w:spacing w:before="567" w:line="360" w:lineRule="atLeast"/>
      <w:ind w:firstLine="0" w:firstLineChars="0"/>
      <w:jc w:val="center"/>
      <w:textAlignment w:val="baseline"/>
    </w:pPr>
    <w:rPr>
      <w:rFonts w:ascii="Times New Roman" w:hAnsi="Times New Roman" w:eastAsia="黑体"/>
      <w:b/>
      <w:kern w:val="0"/>
      <w:szCs w:val="20"/>
    </w:rPr>
  </w:style>
  <w:style w:type="paragraph" w:customStyle="1" w:styleId="343">
    <w:name w:val="Char2"/>
    <w:basedOn w:val="1"/>
    <w:qFormat/>
    <w:uiPriority w:val="0"/>
    <w:pPr>
      <w:spacing w:afterLines="50"/>
      <w:ind w:firstLine="0" w:firstLineChars="0"/>
    </w:pPr>
    <w:rPr>
      <w:rFonts w:ascii="Tahoma" w:hAnsi="Tahoma" w:eastAsia="宋体"/>
      <w:szCs w:val="20"/>
    </w:rPr>
  </w:style>
  <w:style w:type="paragraph" w:customStyle="1" w:styleId="344">
    <w:name w:val="样式2"/>
    <w:basedOn w:val="1"/>
    <w:qFormat/>
    <w:uiPriority w:val="0"/>
    <w:pPr>
      <w:ind w:left="200" w:leftChars="200" w:firstLine="0" w:firstLineChars="0"/>
    </w:pPr>
    <w:rPr>
      <w:rFonts w:ascii="宋体" w:hAnsi="宋体" w:eastAsia="宋体"/>
      <w:b/>
      <w:szCs w:val="24"/>
    </w:rPr>
  </w:style>
  <w:style w:type="paragraph" w:customStyle="1" w:styleId="345">
    <w:name w:val="retrait3"/>
    <w:basedOn w:val="1"/>
    <w:qFormat/>
    <w:uiPriority w:val="0"/>
    <w:pPr>
      <w:widowControl/>
      <w:spacing w:before="20" w:after="20" w:line="240" w:lineRule="auto"/>
      <w:ind w:left="851" w:firstLine="0" w:firstLineChars="0"/>
      <w:jc w:val="left"/>
    </w:pPr>
    <w:rPr>
      <w:rFonts w:ascii="Arial" w:hAnsi="Arial" w:eastAsia="宋体"/>
      <w:kern w:val="0"/>
      <w:szCs w:val="20"/>
      <w:lang w:val="en-GB"/>
    </w:rPr>
  </w:style>
  <w:style w:type="paragraph" w:customStyle="1" w:styleId="346">
    <w:name w:val="正文缩进2字符"/>
    <w:basedOn w:val="1"/>
    <w:qFormat/>
    <w:uiPriority w:val="0"/>
    <w:pPr>
      <w:adjustRightInd w:val="0"/>
      <w:snapToGrid w:val="0"/>
      <w:spacing w:line="300" w:lineRule="auto"/>
    </w:pPr>
    <w:rPr>
      <w:rFonts w:hAnsi="Times New Roman"/>
      <w:sz w:val="32"/>
      <w:szCs w:val="32"/>
    </w:rPr>
  </w:style>
  <w:style w:type="paragraph" w:customStyle="1" w:styleId="347">
    <w:name w:val="马刚标题4"/>
    <w:basedOn w:val="348"/>
    <w:next w:val="1"/>
    <w:qFormat/>
    <w:uiPriority w:val="0"/>
    <w:pPr>
      <w:tabs>
        <w:tab w:val="left" w:pos="567"/>
        <w:tab w:val="left" w:pos="735"/>
        <w:tab w:val="left" w:pos="1050"/>
      </w:tabs>
      <w:spacing w:before="100" w:after="40"/>
      <w:outlineLvl w:val="3"/>
    </w:pPr>
    <w:rPr>
      <w:b w:val="0"/>
    </w:rPr>
  </w:style>
  <w:style w:type="paragraph" w:customStyle="1" w:styleId="348">
    <w:name w:val="马刚标题3"/>
    <w:basedOn w:val="1"/>
    <w:next w:val="1"/>
    <w:qFormat/>
    <w:uiPriority w:val="0"/>
    <w:pPr>
      <w:keepNext/>
      <w:keepLines/>
      <w:tabs>
        <w:tab w:val="left" w:pos="567"/>
        <w:tab w:val="left" w:pos="735"/>
      </w:tabs>
      <w:spacing w:before="120" w:after="60" w:line="413" w:lineRule="auto"/>
      <w:ind w:left="567" w:hanging="567" w:firstLineChars="0"/>
      <w:jc w:val="left"/>
      <w:outlineLvl w:val="2"/>
    </w:pPr>
    <w:rPr>
      <w:rFonts w:ascii="黑体" w:hAnsi="Arial" w:eastAsia="黑体"/>
      <w:b/>
      <w:bCs/>
      <w:szCs w:val="20"/>
    </w:rPr>
  </w:style>
  <w:style w:type="paragraph" w:customStyle="1" w:styleId="3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0">
    <w:name w:val="正文表标题"/>
    <w:next w:val="2"/>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351">
    <w:name w:val="Char Char Char Char Char Char Char"/>
    <w:basedOn w:val="1"/>
    <w:qFormat/>
    <w:uiPriority w:val="0"/>
    <w:pPr>
      <w:spacing w:line="240" w:lineRule="auto"/>
      <w:ind w:firstLine="0" w:firstLineChars="0"/>
      <w:jc w:val="left"/>
    </w:pPr>
    <w:rPr>
      <w:rFonts w:ascii="Tahoma" w:hAnsi="Tahoma" w:eastAsia="宋体"/>
      <w:szCs w:val="20"/>
    </w:rPr>
  </w:style>
  <w:style w:type="paragraph" w:customStyle="1" w:styleId="352">
    <w:name w:val="Char Char1 Char"/>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53">
    <w:name w:val="样式4 Char"/>
    <w:basedOn w:val="1"/>
    <w:qFormat/>
    <w:uiPriority w:val="0"/>
    <w:pPr>
      <w:widowControl/>
      <w:ind w:firstLine="480" w:firstLineChars="0"/>
      <w:jc w:val="left"/>
    </w:pPr>
    <w:rPr>
      <w:rFonts w:ascii="Times New Roman" w:hAnsi="Times New Roman" w:eastAsia="宋体" w:cs="宋体"/>
      <w:color w:val="000000"/>
      <w:kern w:val="0"/>
      <w:szCs w:val="24"/>
    </w:rPr>
  </w:style>
  <w:style w:type="paragraph" w:customStyle="1" w:styleId="354">
    <w:name w:val="样式3"/>
    <w:basedOn w:val="1"/>
    <w:next w:val="1"/>
    <w:qFormat/>
    <w:uiPriority w:val="0"/>
    <w:pPr>
      <w:ind w:firstLine="0" w:firstLineChars="0"/>
    </w:pPr>
    <w:rPr>
      <w:rFonts w:ascii="Times New Roman" w:hAnsi="Times New Roman" w:eastAsia="宋体"/>
      <w:sz w:val="21"/>
      <w:szCs w:val="20"/>
    </w:rPr>
  </w:style>
  <w:style w:type="paragraph" w:customStyle="1" w:styleId="355">
    <w:name w:val="章标题"/>
    <w:next w:val="2"/>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356">
    <w:name w:val="项目符号，一级"/>
    <w:basedOn w:val="324"/>
    <w:next w:val="324"/>
    <w:qFormat/>
    <w:uiPriority w:val="0"/>
    <w:pPr>
      <w:tabs>
        <w:tab w:val="left" w:pos="1320"/>
      </w:tabs>
      <w:spacing w:line="240" w:lineRule="atLeast"/>
      <w:ind w:left="376" w:leftChars="179" w:firstLine="0"/>
    </w:pPr>
    <w:rPr>
      <w:bCs w:val="0"/>
      <w:color w:val="000000"/>
      <w:szCs w:val="24"/>
    </w:rPr>
  </w:style>
  <w:style w:type="paragraph" w:customStyle="1" w:styleId="35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358">
    <w:name w:val="默认段落字体 Para Char Char Char Char Char Char Char"/>
    <w:basedOn w:val="1"/>
    <w:qFormat/>
    <w:uiPriority w:val="0"/>
    <w:pPr>
      <w:spacing w:line="240" w:lineRule="auto"/>
      <w:ind w:firstLine="0" w:firstLineChars="0"/>
    </w:pPr>
    <w:rPr>
      <w:rFonts w:ascii="Tahoma" w:hAnsi="Tahoma" w:eastAsia="宋体"/>
      <w:szCs w:val="20"/>
    </w:rPr>
  </w:style>
  <w:style w:type="paragraph" w:customStyle="1" w:styleId="359">
    <w:name w:val="公文标题 2"/>
    <w:basedOn w:val="1"/>
    <w:next w:val="360"/>
    <w:qFormat/>
    <w:uiPriority w:val="0"/>
    <w:pPr>
      <w:spacing w:line="240" w:lineRule="auto"/>
      <w:ind w:firstLine="0" w:firstLineChars="0"/>
      <w:outlineLvl w:val="1"/>
    </w:pPr>
    <w:rPr>
      <w:rFonts w:hAnsi="宋体"/>
      <w:kern w:val="28"/>
      <w:szCs w:val="24"/>
    </w:rPr>
  </w:style>
  <w:style w:type="paragraph" w:customStyle="1" w:styleId="360">
    <w:name w:val="公文正文"/>
    <w:basedOn w:val="29"/>
    <w:qFormat/>
    <w:uiPriority w:val="0"/>
    <w:pPr>
      <w:adjustRightInd/>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361">
    <w:name w:val="小四 段落 宋体 Char"/>
    <w:basedOn w:val="18"/>
    <w:qFormat/>
    <w:uiPriority w:val="0"/>
    <w:pPr>
      <w:numPr>
        <w:ilvl w:val="0"/>
        <w:numId w:val="0"/>
      </w:numPr>
      <w:adjustRightInd/>
      <w:spacing w:line="240" w:lineRule="auto"/>
      <w:ind w:right="-33" w:firstLine="600" w:firstLineChars="200"/>
      <w:jc w:val="left"/>
      <w:textAlignment w:val="auto"/>
    </w:pPr>
    <w:rPr>
      <w:rFonts w:ascii="仿宋_GB2312" w:eastAsia="仿宋_GB2312"/>
      <w:kern w:val="2"/>
      <w:sz w:val="30"/>
      <w:szCs w:val="30"/>
    </w:rPr>
  </w:style>
  <w:style w:type="paragraph" w:customStyle="1" w:styleId="362">
    <w:name w:val="小四 段落 宋体"/>
    <w:basedOn w:val="18"/>
    <w:qFormat/>
    <w:uiPriority w:val="0"/>
    <w:pPr>
      <w:numPr>
        <w:numId w:val="0"/>
      </w:numPr>
      <w:adjustRightInd/>
      <w:ind w:left="113" w:right="113" w:firstLine="425"/>
      <w:jc w:val="left"/>
      <w:textAlignment w:val="auto"/>
    </w:pPr>
    <w:rPr>
      <w:rFonts w:ascii="Times New Roman" w:eastAsia="宋体"/>
      <w:kern w:val="2"/>
      <w:szCs w:val="24"/>
    </w:rPr>
  </w:style>
  <w:style w:type="paragraph" w:customStyle="1" w:styleId="363">
    <w:name w:val="a0"/>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64">
    <w:name w:val="项目符号：一级"/>
    <w:basedOn w:val="324"/>
    <w:next w:val="324"/>
    <w:qFormat/>
    <w:uiPriority w:val="0"/>
    <w:pPr>
      <w:ind w:right="-134" w:rightChars="-64"/>
    </w:pPr>
    <w:rPr>
      <w:bCs w:val="0"/>
    </w:rPr>
  </w:style>
  <w:style w:type="paragraph" w:customStyle="1" w:styleId="365">
    <w:name w:val="Char Char Char Char Char Char Char Char Char"/>
    <w:basedOn w:val="1"/>
    <w:qFormat/>
    <w:uiPriority w:val="0"/>
    <w:pPr>
      <w:tabs>
        <w:tab w:val="left" w:pos="360"/>
      </w:tabs>
      <w:spacing w:line="240" w:lineRule="auto"/>
      <w:ind w:left="360" w:hanging="360" w:hangingChars="200"/>
    </w:pPr>
    <w:rPr>
      <w:rFonts w:ascii="Times New Roman" w:hAnsi="Times New Roman" w:eastAsia="宋体"/>
      <w:szCs w:val="24"/>
    </w:rPr>
  </w:style>
  <w:style w:type="paragraph" w:customStyle="1" w:styleId="366">
    <w:name w:val="Char Char Char"/>
    <w:basedOn w:val="1"/>
    <w:qFormat/>
    <w:uiPriority w:val="0"/>
    <w:pPr>
      <w:spacing w:line="240" w:lineRule="auto"/>
      <w:ind w:firstLine="0" w:firstLineChars="0"/>
    </w:pPr>
    <w:rPr>
      <w:rFonts w:ascii="Tahoma" w:hAnsi="Tahoma" w:eastAsia="宋体"/>
      <w:szCs w:val="20"/>
    </w:rPr>
  </w:style>
  <w:style w:type="paragraph" w:customStyle="1" w:styleId="367">
    <w:name w:val="样式"/>
    <w:basedOn w:val="1"/>
    <w:qFormat/>
    <w:uiPriority w:val="0"/>
    <w:pPr>
      <w:autoSpaceDE w:val="0"/>
      <w:autoSpaceDN w:val="0"/>
      <w:snapToGrid w:val="0"/>
      <w:spacing w:before="120" w:after="120"/>
      <w:ind w:firstLine="0" w:firstLineChars="0"/>
    </w:pPr>
    <w:rPr>
      <w:rFonts w:ascii="宋体" w:hAnsi="Times New Roman" w:eastAsia="宋体"/>
      <w:szCs w:val="20"/>
    </w:rPr>
  </w:style>
  <w:style w:type="paragraph" w:customStyle="1" w:styleId="368">
    <w:name w:val="标题4，章节第四层"/>
    <w:basedOn w:val="1"/>
    <w:next w:val="1"/>
    <w:qFormat/>
    <w:uiPriority w:val="0"/>
    <w:pPr>
      <w:tabs>
        <w:tab w:val="left" w:pos="0"/>
      </w:tabs>
      <w:ind w:firstLine="0" w:firstLineChars="0"/>
      <w:outlineLvl w:val="3"/>
    </w:pPr>
    <w:rPr>
      <w:rFonts w:ascii="宋体" w:hAnsi="宋体" w:eastAsia="宋体"/>
      <w:b/>
      <w:szCs w:val="24"/>
    </w:rPr>
  </w:style>
  <w:style w:type="paragraph" w:customStyle="1" w:styleId="369">
    <w:name w:val="正文 首行缩进:  2 字符 Char"/>
    <w:basedOn w:val="1"/>
    <w:qFormat/>
    <w:uiPriority w:val="0"/>
    <w:pPr>
      <w:ind w:firstLine="480" w:firstLineChars="0"/>
    </w:pPr>
    <w:rPr>
      <w:rFonts w:ascii="Times New Roman" w:hAnsi="Times New Roman" w:eastAsia="宋体" w:cs="宋体"/>
      <w:szCs w:val="20"/>
    </w:rPr>
  </w:style>
  <w:style w:type="paragraph" w:customStyle="1" w:styleId="370">
    <w:name w:val="符号与编号 Char Char"/>
    <w:basedOn w:val="1"/>
    <w:qFormat/>
    <w:uiPriority w:val="0"/>
    <w:pPr>
      <w:tabs>
        <w:tab w:val="left" w:pos="840"/>
      </w:tabs>
      <w:spacing w:afterLines="50" w:line="400" w:lineRule="atLeast"/>
      <w:ind w:left="839" w:hanging="419" w:firstLineChars="0"/>
    </w:pPr>
    <w:rPr>
      <w:rFonts w:ascii="Times New Roman" w:hAnsi="Times New Roman" w:eastAsia="宋体"/>
      <w:szCs w:val="24"/>
    </w:rPr>
  </w:style>
  <w:style w:type="paragraph" w:customStyle="1" w:styleId="371">
    <w:name w:val="tableau"/>
    <w:basedOn w:val="1"/>
    <w:qFormat/>
    <w:uiPriority w:val="0"/>
    <w:pPr>
      <w:widowControl/>
      <w:spacing w:before="20" w:after="20" w:line="240" w:lineRule="auto"/>
      <w:ind w:firstLine="0" w:firstLineChars="0"/>
      <w:jc w:val="center"/>
    </w:pPr>
    <w:rPr>
      <w:rFonts w:ascii="Arial" w:hAnsi="Arial" w:eastAsia="宋体"/>
      <w:kern w:val="0"/>
      <w:sz w:val="16"/>
      <w:szCs w:val="20"/>
      <w:lang w:val="en-GB" w:eastAsia="en-US"/>
    </w:rPr>
  </w:style>
  <w:style w:type="paragraph" w:customStyle="1" w:styleId="372">
    <w:name w:val="表格内文字"/>
    <w:basedOn w:val="1"/>
    <w:qFormat/>
    <w:uiPriority w:val="0"/>
    <w:pPr>
      <w:spacing w:line="300" w:lineRule="atLeast"/>
      <w:ind w:firstLine="0" w:firstLineChars="0"/>
    </w:pPr>
    <w:rPr>
      <w:rFonts w:ascii="Times New Roman" w:hAnsi="Times New Roman" w:eastAsia="宋体"/>
      <w:sz w:val="18"/>
      <w:szCs w:val="24"/>
    </w:rPr>
  </w:style>
  <w:style w:type="paragraph" w:customStyle="1" w:styleId="373">
    <w:name w:val="马刚标题1"/>
    <w:basedOn w:val="3"/>
    <w:next w:val="1"/>
    <w:qFormat/>
    <w:uiPriority w:val="0"/>
    <w:pPr>
      <w:numPr>
        <w:numId w:val="0"/>
      </w:numPr>
      <w:tabs>
        <w:tab w:val="left" w:pos="315"/>
        <w:tab w:val="left" w:pos="567"/>
      </w:tabs>
      <w:spacing w:beforeLines="0" w:afterLines="0" w:line="576" w:lineRule="auto"/>
      <w:ind w:left="567" w:hanging="567"/>
      <w:jc w:val="left"/>
    </w:pPr>
    <w:rPr>
      <w:rFonts w:ascii="Times New Roman" w:hAnsi="Times New Roman" w:eastAsia="黑体"/>
      <w:b w:val="0"/>
      <w:bCs w:val="0"/>
      <w:sz w:val="32"/>
      <w:szCs w:val="20"/>
    </w:rPr>
  </w:style>
  <w:style w:type="paragraph" w:customStyle="1" w:styleId="374">
    <w:name w:val="正文--表格内正文"/>
    <w:basedOn w:val="1"/>
    <w:qFormat/>
    <w:uiPriority w:val="0"/>
    <w:pPr>
      <w:spacing w:beforeLines="50" w:line="0" w:lineRule="atLeast"/>
      <w:ind w:firstLine="0" w:firstLineChars="0"/>
      <w:jc w:val="center"/>
    </w:pPr>
    <w:rPr>
      <w:rFonts w:ascii="宋体" w:hAnsi="宋体" w:eastAsia="宋体"/>
      <w:color w:val="000000"/>
      <w:szCs w:val="24"/>
    </w:rPr>
  </w:style>
  <w:style w:type="paragraph" w:customStyle="1" w:styleId="375">
    <w:name w:val="符号与编号 Char"/>
    <w:basedOn w:val="1"/>
    <w:qFormat/>
    <w:uiPriority w:val="0"/>
    <w:pPr>
      <w:tabs>
        <w:tab w:val="left" w:pos="720"/>
      </w:tabs>
      <w:spacing w:afterLines="50" w:line="400" w:lineRule="atLeast"/>
      <w:ind w:left="720" w:firstLine="0" w:firstLineChars="0"/>
    </w:pPr>
    <w:rPr>
      <w:rFonts w:ascii="Times New Roman" w:hAnsi="Times New Roman" w:eastAsia="宋体"/>
      <w:szCs w:val="24"/>
    </w:rPr>
  </w:style>
  <w:style w:type="paragraph" w:customStyle="1" w:styleId="376">
    <w:name w:val="正文2"/>
    <w:basedOn w:val="1"/>
    <w:qFormat/>
    <w:uiPriority w:val="0"/>
    <w:pPr>
      <w:spacing w:before="156"/>
      <w:ind w:firstLine="510"/>
    </w:pPr>
    <w:rPr>
      <w:rFonts w:ascii="Times New Roman" w:hAnsi="Times New Roman" w:eastAsia="宋体"/>
      <w:szCs w:val="20"/>
    </w:rPr>
  </w:style>
  <w:style w:type="paragraph" w:customStyle="1" w:styleId="377">
    <w:name w:val="Char Char Char Char Char Char Char1"/>
    <w:basedOn w:val="1"/>
    <w:qFormat/>
    <w:uiPriority w:val="0"/>
    <w:pPr>
      <w:spacing w:line="240" w:lineRule="auto"/>
      <w:ind w:firstLine="0" w:firstLineChars="0"/>
    </w:pPr>
    <w:rPr>
      <w:rFonts w:ascii="Tahoma" w:hAnsi="Tahoma" w:eastAsia="宋体"/>
      <w:szCs w:val="20"/>
    </w:rPr>
  </w:style>
  <w:style w:type="paragraph" w:customStyle="1" w:styleId="378">
    <w:name w:val="7"/>
    <w:basedOn w:val="1"/>
    <w:next w:val="72"/>
    <w:qFormat/>
    <w:uiPriority w:val="0"/>
    <w:pPr>
      <w:widowControl/>
      <w:spacing w:before="100" w:beforeAutospacing="1" w:after="100" w:afterAutospacing="1" w:line="240" w:lineRule="auto"/>
      <w:ind w:firstLine="0" w:firstLineChars="0"/>
      <w:jc w:val="left"/>
    </w:pPr>
    <w:rPr>
      <w:rFonts w:ascii="宋体" w:hAnsi="宋体" w:eastAsia="宋体"/>
      <w:kern w:val="0"/>
      <w:szCs w:val="20"/>
    </w:rPr>
  </w:style>
  <w:style w:type="paragraph" w:customStyle="1" w:styleId="379">
    <w:name w:val="二级条标题"/>
    <w:basedOn w:val="1"/>
    <w:next w:val="2"/>
    <w:qFormat/>
    <w:uiPriority w:val="0"/>
    <w:pPr>
      <w:widowControl/>
      <w:tabs>
        <w:tab w:val="left" w:pos="2240"/>
      </w:tabs>
      <w:spacing w:line="240" w:lineRule="auto"/>
      <w:ind w:hanging="420" w:firstLineChars="0"/>
      <w:outlineLvl w:val="3"/>
    </w:pPr>
    <w:rPr>
      <w:rFonts w:ascii="Times New Roman" w:hAnsi="Times New Roman" w:eastAsia="黑体"/>
      <w:kern w:val="0"/>
      <w:sz w:val="21"/>
      <w:szCs w:val="20"/>
    </w:rPr>
  </w:style>
  <w:style w:type="paragraph" w:customStyle="1" w:styleId="380">
    <w:name w:val="样式 样式 首行缩进:  0.74 厘米 行距: 1.5 倍行距 + 段后: 0.5 行"/>
    <w:basedOn w:val="1"/>
    <w:qFormat/>
    <w:uiPriority w:val="0"/>
    <w:pPr>
      <w:ind w:firstLine="420" w:firstLineChars="0"/>
    </w:pPr>
    <w:rPr>
      <w:rFonts w:ascii="楷体_GB2312" w:hAnsi="Times New Roman" w:eastAsia="楷体_GB2312"/>
      <w:bCs/>
      <w:szCs w:val="20"/>
    </w:rPr>
  </w:style>
  <w:style w:type="paragraph" w:customStyle="1" w:styleId="381">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2">
    <w:name w:val="zw"/>
    <w:basedOn w:val="1"/>
    <w:qFormat/>
    <w:uiPriority w:val="0"/>
    <w:pPr>
      <w:widowControl/>
      <w:ind w:firstLine="480"/>
      <w:jc w:val="left"/>
    </w:pPr>
    <w:rPr>
      <w:rFonts w:ascii="宋体" w:hAnsi="宋体" w:eastAsia="宋体"/>
      <w:bCs/>
      <w:kern w:val="0"/>
      <w:szCs w:val="20"/>
    </w:rPr>
  </w:style>
  <w:style w:type="paragraph" w:customStyle="1" w:styleId="383">
    <w:name w:val="Char Char Char Char Char Char Char Char1"/>
    <w:basedOn w:val="1"/>
    <w:qFormat/>
    <w:uiPriority w:val="0"/>
    <w:pPr>
      <w:spacing w:line="240" w:lineRule="auto"/>
      <w:ind w:firstLine="0" w:firstLineChars="0"/>
    </w:pPr>
    <w:rPr>
      <w:rFonts w:ascii="Tahoma" w:hAnsi="Tahoma" w:eastAsia="宋体"/>
      <w:szCs w:val="20"/>
    </w:rPr>
  </w:style>
  <w:style w:type="paragraph" w:customStyle="1" w:styleId="384">
    <w:name w:val="正文 + 宋体"/>
    <w:basedOn w:val="1"/>
    <w:qFormat/>
    <w:uiPriority w:val="0"/>
    <w:pPr>
      <w:ind w:firstLine="420"/>
    </w:pPr>
    <w:rPr>
      <w:rFonts w:ascii="Times New Roman" w:hAnsi="Times New Roman" w:eastAsia="宋体"/>
      <w:sz w:val="21"/>
      <w:szCs w:val="24"/>
    </w:rPr>
  </w:style>
  <w:style w:type="paragraph" w:customStyle="1" w:styleId="385">
    <w:name w:val="项目符号，二级"/>
    <w:basedOn w:val="324"/>
    <w:next w:val="324"/>
    <w:qFormat/>
    <w:uiPriority w:val="0"/>
    <w:pPr>
      <w:tabs>
        <w:tab w:val="left" w:pos="1211"/>
        <w:tab w:val="left" w:pos="1337"/>
      </w:tabs>
      <w:ind w:left="1337" w:right="-27" w:firstLine="480"/>
    </w:pPr>
    <w:rPr>
      <w:bCs w:val="0"/>
      <w:color w:val="000000"/>
      <w:sz w:val="24"/>
      <w:szCs w:val="24"/>
    </w:rPr>
  </w:style>
  <w:style w:type="paragraph" w:customStyle="1" w:styleId="386">
    <w:name w:val="默认段落字体 Para Char"/>
    <w:basedOn w:val="1"/>
    <w:qFormat/>
    <w:uiPriority w:val="0"/>
    <w:pPr>
      <w:adjustRightInd w:val="0"/>
      <w:ind w:firstLine="0" w:firstLineChars="0"/>
    </w:pPr>
    <w:rPr>
      <w:rFonts w:ascii="Times New Roman" w:hAnsi="Times New Roman" w:eastAsia="宋体"/>
      <w:kern w:val="0"/>
      <w:szCs w:val="24"/>
    </w:rPr>
  </w:style>
  <w:style w:type="paragraph" w:customStyle="1" w:styleId="387">
    <w:name w:val="Char Char Char Char Char Char Char Char Char Char Char Char 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88">
    <w:name w:val="样式 样式 首行缩进:  2 字符 + 行距: 1.5 倍行距"/>
    <w:basedOn w:val="1"/>
    <w:qFormat/>
    <w:uiPriority w:val="0"/>
    <w:pPr>
      <w:ind w:firstLine="470" w:firstLineChars="196"/>
    </w:pPr>
    <w:rPr>
      <w:rFonts w:ascii="Times New Roman" w:hAnsi="Times New Roman" w:eastAsia="宋体"/>
      <w:szCs w:val="20"/>
    </w:rPr>
  </w:style>
  <w:style w:type="paragraph" w:customStyle="1" w:styleId="389">
    <w:name w:val="Char Char Char Char Char Char Char Char Char Char Char"/>
    <w:basedOn w:val="1"/>
    <w:qFormat/>
    <w:uiPriority w:val="0"/>
    <w:pPr>
      <w:spacing w:line="240" w:lineRule="auto"/>
      <w:ind w:firstLine="0" w:firstLineChars="0"/>
    </w:pPr>
    <w:rPr>
      <w:rFonts w:ascii="Tahoma" w:hAnsi="Tahoma" w:eastAsia="宋体"/>
      <w:szCs w:val="20"/>
    </w:rPr>
  </w:style>
  <w:style w:type="paragraph" w:customStyle="1" w:styleId="390">
    <w:name w:val="表蕊"/>
    <w:basedOn w:val="1"/>
    <w:qFormat/>
    <w:uiPriority w:val="0"/>
    <w:pPr>
      <w:adjustRightInd w:val="0"/>
      <w:spacing w:line="320" w:lineRule="atLeast"/>
      <w:ind w:firstLine="0" w:firstLineChars="0"/>
      <w:jc w:val="left"/>
      <w:textAlignment w:val="baseline"/>
    </w:pPr>
    <w:rPr>
      <w:rFonts w:ascii="Times New Roman" w:hAnsi="Times New Roman" w:eastAsia="楷体_GB2312"/>
      <w:spacing w:val="-10"/>
      <w:kern w:val="0"/>
      <w:sz w:val="21"/>
      <w:szCs w:val="20"/>
    </w:rPr>
  </w:style>
  <w:style w:type="paragraph" w:customStyle="1" w:styleId="391">
    <w:name w:val="Char Char Char Char Char"/>
    <w:basedOn w:val="1"/>
    <w:qFormat/>
    <w:uiPriority w:val="0"/>
    <w:pPr>
      <w:spacing w:line="240" w:lineRule="auto"/>
      <w:ind w:firstLine="0" w:firstLineChars="0"/>
    </w:pPr>
    <w:rPr>
      <w:rFonts w:ascii="Tahoma" w:hAnsi="Tahoma" w:eastAsia="宋体"/>
      <w:szCs w:val="20"/>
    </w:rPr>
  </w:style>
  <w:style w:type="paragraph" w:customStyle="1" w:styleId="392">
    <w:name w:val="a"/>
    <w:basedOn w:val="1"/>
    <w:qFormat/>
    <w:uiPriority w:val="0"/>
    <w:pPr>
      <w:widowControl/>
      <w:spacing w:before="100" w:beforeAutospacing="1" w:after="100" w:afterAutospacing="1" w:line="240" w:lineRule="auto"/>
      <w:ind w:firstLine="0" w:firstLineChars="0"/>
    </w:pPr>
    <w:rPr>
      <w:rFonts w:ascii="宋体" w:hAnsi="宋体" w:eastAsia="宋体" w:cs="宋体"/>
      <w:kern w:val="0"/>
      <w:szCs w:val="24"/>
    </w:rPr>
  </w:style>
  <w:style w:type="paragraph" w:customStyle="1" w:styleId="393">
    <w:name w:val="样式 样式 标题 3H3sect1.2.3BOD 0Heading 3 - oldh3l3CTLevel 3 Head... +..."/>
    <w:basedOn w:val="1"/>
    <w:qFormat/>
    <w:uiPriority w:val="0"/>
    <w:pPr>
      <w:keepNext/>
      <w:keepLines/>
      <w:spacing w:beforeLines="50" w:afterLines="50" w:line="240" w:lineRule="auto"/>
      <w:ind w:firstLine="0" w:firstLineChars="0"/>
      <w:jc w:val="left"/>
      <w:outlineLvl w:val="2"/>
    </w:pPr>
    <w:rPr>
      <w:rFonts w:ascii="Times New Roman" w:hAnsi="Times New Roman" w:eastAsia="宋体" w:cs="宋体"/>
      <w:b/>
      <w:bCs/>
      <w:szCs w:val="20"/>
    </w:rPr>
  </w:style>
  <w:style w:type="paragraph" w:customStyle="1" w:styleId="394">
    <w:name w:val="标题3，章节第三层"/>
    <w:basedOn w:val="1"/>
    <w:next w:val="324"/>
    <w:qFormat/>
    <w:uiPriority w:val="0"/>
    <w:pPr>
      <w:adjustRightInd w:val="0"/>
      <w:snapToGrid w:val="0"/>
      <w:spacing w:before="78" w:line="300" w:lineRule="auto"/>
      <w:ind w:firstLine="0" w:firstLineChars="0"/>
      <w:outlineLvl w:val="2"/>
    </w:pPr>
    <w:rPr>
      <w:rFonts w:ascii="Arial" w:hAnsi="Arial" w:eastAsia="华文细黑"/>
      <w:sz w:val="30"/>
      <w:szCs w:val="24"/>
    </w:rPr>
  </w:style>
  <w:style w:type="paragraph" w:customStyle="1" w:styleId="395">
    <w:name w:val="Char Char1 Char1"/>
    <w:basedOn w:val="1"/>
    <w:qFormat/>
    <w:uiPriority w:val="0"/>
    <w:pPr>
      <w:widowControl/>
      <w:spacing w:after="160" w:line="240" w:lineRule="exact"/>
      <w:ind w:firstLine="0" w:firstLineChars="0"/>
      <w:jc w:val="left"/>
    </w:pPr>
    <w:rPr>
      <w:rFonts w:ascii="Verdana" w:hAnsi="Verdana" w:eastAsia="宋体"/>
      <w:kern w:val="0"/>
      <w:sz w:val="20"/>
      <w:szCs w:val="20"/>
      <w:lang w:eastAsia="en-US"/>
    </w:rPr>
  </w:style>
  <w:style w:type="paragraph" w:customStyle="1" w:styleId="396">
    <w:name w:val="插图"/>
    <w:basedOn w:val="1"/>
    <w:qFormat/>
    <w:uiPriority w:val="0"/>
    <w:pPr>
      <w:tabs>
        <w:tab w:val="left" w:pos="1620"/>
      </w:tabs>
      <w:adjustRightInd w:val="0"/>
      <w:spacing w:line="240" w:lineRule="auto"/>
      <w:ind w:firstLine="0" w:firstLineChars="0"/>
      <w:jc w:val="center"/>
    </w:pPr>
    <w:rPr>
      <w:rFonts w:ascii="Times New Roman" w:hAnsi="Times New Roman" w:eastAsia="宋体"/>
      <w:bCs/>
      <w:color w:val="000000"/>
      <w:sz w:val="21"/>
    </w:rPr>
  </w:style>
  <w:style w:type="paragraph" w:customStyle="1" w:styleId="397">
    <w:name w:val="表头_5"/>
    <w:basedOn w:val="1"/>
    <w:qFormat/>
    <w:uiPriority w:val="0"/>
    <w:pPr>
      <w:adjustRightInd w:val="0"/>
      <w:ind w:firstLine="0" w:firstLineChars="0"/>
      <w:textAlignment w:val="baseline"/>
    </w:pPr>
    <w:rPr>
      <w:rFonts w:ascii="Times New Roman" w:hAnsi="Times New Roman" w:eastAsia="宋体"/>
      <w:b/>
      <w:bCs/>
      <w:szCs w:val="21"/>
    </w:rPr>
  </w:style>
  <w:style w:type="paragraph" w:customStyle="1" w:styleId="398">
    <w:name w:val="Char1"/>
    <w:basedOn w:val="1"/>
    <w:qFormat/>
    <w:uiPriority w:val="0"/>
    <w:pPr>
      <w:spacing w:line="240" w:lineRule="auto"/>
      <w:ind w:firstLine="0" w:firstLineChars="0"/>
    </w:pPr>
    <w:rPr>
      <w:rFonts w:hAnsi="Times New Roman"/>
      <w:b/>
      <w:sz w:val="32"/>
      <w:szCs w:val="32"/>
    </w:rPr>
  </w:style>
  <w:style w:type="paragraph" w:customStyle="1" w:styleId="399">
    <w:name w:val="方案正文"/>
    <w:basedOn w:val="1"/>
    <w:qFormat/>
    <w:uiPriority w:val="0"/>
    <w:pPr>
      <w:spacing w:before="156"/>
      <w:ind w:firstLine="359" w:firstLineChars="171"/>
      <w:jc w:val="left"/>
    </w:pPr>
    <w:rPr>
      <w:rFonts w:ascii="Arial" w:hAnsi="Arial" w:eastAsia="宋体" w:cs="宋体"/>
      <w:szCs w:val="21"/>
    </w:rPr>
  </w:style>
  <w:style w:type="paragraph" w:customStyle="1" w:styleId="400">
    <w:name w:val="Char Char Char Char1"/>
    <w:basedOn w:val="1"/>
    <w:qFormat/>
    <w:uiPriority w:val="0"/>
    <w:pPr>
      <w:widowControl/>
      <w:spacing w:after="160" w:line="240" w:lineRule="exact"/>
      <w:ind w:firstLine="0" w:firstLineChars="0"/>
      <w:jc w:val="center"/>
    </w:pPr>
    <w:rPr>
      <w:rFonts w:ascii="黑体" w:hAnsi="Verdana" w:eastAsia="黑体"/>
      <w:kern w:val="0"/>
      <w:sz w:val="32"/>
      <w:szCs w:val="32"/>
      <w:lang w:eastAsia="en-US"/>
    </w:rPr>
  </w:style>
  <w:style w:type="paragraph" w:customStyle="1" w:styleId="401">
    <w:name w:val="标题 4宋体"/>
    <w:basedOn w:val="6"/>
    <w:qFormat/>
    <w:uiPriority w:val="0"/>
    <w:pPr>
      <w:keepNext/>
      <w:numPr>
        <w:ilvl w:val="0"/>
        <w:numId w:val="0"/>
      </w:numPr>
      <w:autoSpaceDE w:val="0"/>
      <w:autoSpaceDN w:val="0"/>
      <w:adjustRightInd w:val="0"/>
      <w:jc w:val="left"/>
    </w:pPr>
    <w:rPr>
      <w:rFonts w:ascii="宋体" w:hAnsi="宋体" w:eastAsia="宋体"/>
      <w:b/>
      <w:color w:val="000000"/>
      <w:kern w:val="0"/>
      <w:sz w:val="24"/>
      <w:szCs w:val="20"/>
    </w:rPr>
  </w:style>
  <w:style w:type="paragraph" w:customStyle="1" w:styleId="402">
    <w:name w:val="Test2"/>
    <w:basedOn w:val="4"/>
    <w:qFormat/>
    <w:uiPriority w:val="0"/>
    <w:pPr>
      <w:widowControl/>
      <w:adjustRightInd w:val="0"/>
      <w:snapToGrid w:val="0"/>
      <w:spacing w:before="260" w:afterLines="50" w:line="480" w:lineRule="exact"/>
      <w:ind w:left="0"/>
      <w:jc w:val="center"/>
    </w:pPr>
    <w:rPr>
      <w:rFonts w:ascii="黑体" w:hAnsi="Arial" w:eastAsia="黑体"/>
      <w:snapToGrid w:val="0"/>
      <w:kern w:val="0"/>
      <w:sz w:val="24"/>
      <w:szCs w:val="24"/>
    </w:rPr>
  </w:style>
  <w:style w:type="paragraph" w:customStyle="1" w:styleId="403">
    <w:name w:val="content_lineheight"/>
    <w:basedOn w:val="1"/>
    <w:qFormat/>
    <w:uiPriority w:val="0"/>
    <w:pPr>
      <w:widowControl/>
      <w:spacing w:before="100" w:beforeAutospacing="1" w:after="100" w:afterAutospacing="1" w:line="240" w:lineRule="auto"/>
      <w:ind w:firstLine="0" w:firstLineChars="0"/>
      <w:jc w:val="left"/>
    </w:pPr>
    <w:rPr>
      <w:rFonts w:ascii="宋体" w:hAnsi="宋体" w:eastAsia="宋体"/>
      <w:kern w:val="0"/>
      <w:szCs w:val="24"/>
    </w:rPr>
  </w:style>
  <w:style w:type="paragraph" w:customStyle="1" w:styleId="404">
    <w:name w:val="Char Char"/>
    <w:basedOn w:val="1"/>
    <w:qFormat/>
    <w:uiPriority w:val="0"/>
    <w:pPr>
      <w:spacing w:line="240" w:lineRule="auto"/>
      <w:ind w:firstLine="0" w:firstLineChars="0"/>
    </w:pPr>
    <w:rPr>
      <w:rFonts w:ascii="Tahoma" w:hAnsi="Tahoma" w:eastAsia="宋体"/>
      <w:szCs w:val="20"/>
    </w:rPr>
  </w:style>
  <w:style w:type="paragraph" w:customStyle="1" w:styleId="405">
    <w:name w:val="标准小四"/>
    <w:basedOn w:val="1"/>
    <w:qFormat/>
    <w:uiPriority w:val="0"/>
    <w:pPr>
      <w:ind w:firstLine="480"/>
    </w:pPr>
    <w:rPr>
      <w:rFonts w:ascii="Arial" w:hAnsi="Arial" w:eastAsia="宋体"/>
      <w:szCs w:val="21"/>
    </w:rPr>
  </w:style>
  <w:style w:type="paragraph" w:customStyle="1" w:styleId="406">
    <w:name w:val="标题5，章节第五层"/>
    <w:basedOn w:val="1"/>
    <w:next w:val="1"/>
    <w:qFormat/>
    <w:uiPriority w:val="0"/>
    <w:pPr>
      <w:tabs>
        <w:tab w:val="left" w:pos="1050"/>
        <w:tab w:val="left" w:pos="2100"/>
      </w:tabs>
      <w:spacing w:before="78" w:line="240" w:lineRule="auto"/>
      <w:ind w:left="2100" w:hanging="420" w:firstLineChars="0"/>
      <w:outlineLvl w:val="4"/>
    </w:pPr>
    <w:rPr>
      <w:rFonts w:ascii="Arial" w:hAnsi="Arial" w:eastAsia="华文细黑"/>
      <w:sz w:val="30"/>
      <w:szCs w:val="24"/>
    </w:rPr>
  </w:style>
  <w:style w:type="paragraph" w:customStyle="1" w:styleId="407">
    <w:name w:val="小四 段落 宋体 Char Char"/>
    <w:basedOn w:val="1"/>
    <w:qFormat/>
    <w:uiPriority w:val="0"/>
    <w:pPr>
      <w:ind w:firstLine="480"/>
    </w:pPr>
    <w:rPr>
      <w:rFonts w:ascii="宋体" w:hAnsi="宋体" w:eastAsia="宋体"/>
      <w:szCs w:val="24"/>
    </w:rPr>
  </w:style>
  <w:style w:type="paragraph" w:customStyle="1" w:styleId="408">
    <w:name w:val="标题1，章节第一层"/>
    <w:basedOn w:val="324"/>
    <w:next w:val="324"/>
    <w:qFormat/>
    <w:uiPriority w:val="0"/>
    <w:pPr>
      <w:tabs>
        <w:tab w:val="left" w:pos="693"/>
      </w:tabs>
      <w:spacing w:beforeLines="0"/>
      <w:ind w:left="482"/>
      <w:outlineLvl w:val="0"/>
    </w:pPr>
    <w:rPr>
      <w:color w:val="000000"/>
      <w:sz w:val="24"/>
      <w:szCs w:val="24"/>
    </w:rPr>
  </w:style>
  <w:style w:type="paragraph" w:customStyle="1" w:styleId="409">
    <w:name w:val="部分1"/>
    <w:basedOn w:val="1"/>
    <w:qFormat/>
    <w:uiPriority w:val="0"/>
    <w:pPr>
      <w:keepNext/>
      <w:pageBreakBefore/>
      <w:tabs>
        <w:tab w:val="left" w:pos="360"/>
      </w:tabs>
      <w:ind w:firstLine="0" w:firstLineChars="0"/>
      <w:jc w:val="center"/>
      <w:outlineLvl w:val="0"/>
    </w:pPr>
    <w:rPr>
      <w:rFonts w:ascii="Times New Roman" w:hAnsi="Times New Roman" w:eastAsia="黑体"/>
      <w:b/>
      <w:kern w:val="44"/>
      <w:sz w:val="36"/>
      <w:szCs w:val="20"/>
    </w:rPr>
  </w:style>
  <w:style w:type="paragraph" w:customStyle="1" w:styleId="410">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11">
    <w:name w:val="Char Char1"/>
    <w:basedOn w:val="1"/>
    <w:qFormat/>
    <w:uiPriority w:val="0"/>
    <w:pPr>
      <w:spacing w:line="240" w:lineRule="auto"/>
      <w:ind w:firstLine="0" w:firstLineChars="0"/>
    </w:pPr>
    <w:rPr>
      <w:rFonts w:ascii="Tahoma" w:hAnsi="Tahoma" w:eastAsia="宋体"/>
      <w:szCs w:val="20"/>
    </w:rPr>
  </w:style>
  <w:style w:type="paragraph" w:customStyle="1" w:styleId="412">
    <w:name w:val="正文文本 21"/>
    <w:basedOn w:val="1"/>
    <w:qFormat/>
    <w:uiPriority w:val="0"/>
    <w:pPr>
      <w:widowControl/>
      <w:overflowPunct w:val="0"/>
      <w:autoSpaceDE w:val="0"/>
      <w:autoSpaceDN w:val="0"/>
      <w:adjustRightInd w:val="0"/>
      <w:spacing w:line="240" w:lineRule="auto"/>
      <w:ind w:left="720" w:hanging="720" w:firstLineChars="0"/>
      <w:textAlignment w:val="baseline"/>
    </w:pPr>
    <w:rPr>
      <w:rFonts w:ascii="Times New Roman" w:hAnsi="Times New Roman" w:eastAsia="宋体"/>
      <w:kern w:val="0"/>
      <w:szCs w:val="20"/>
      <w:lang w:val="en-GB"/>
    </w:rPr>
  </w:style>
  <w:style w:type="paragraph" w:customStyle="1" w:styleId="413">
    <w:name w:val="列出段落3"/>
    <w:basedOn w:val="1"/>
    <w:qFormat/>
    <w:uiPriority w:val="0"/>
    <w:pPr>
      <w:widowControl/>
      <w:spacing w:line="240" w:lineRule="auto"/>
      <w:ind w:left="720" w:firstLine="0" w:firstLineChars="0"/>
      <w:contextualSpacing/>
      <w:jc w:val="left"/>
    </w:pPr>
    <w:rPr>
      <w:rFonts w:ascii="Arial" w:hAnsi="Arial" w:eastAsia="黑体"/>
      <w:kern w:val="0"/>
      <w:szCs w:val="24"/>
      <w:lang w:eastAsia="en-US"/>
    </w:rPr>
  </w:style>
  <w:style w:type="character" w:customStyle="1" w:styleId="414">
    <w:name w:val="style131"/>
    <w:qFormat/>
    <w:uiPriority w:val="0"/>
    <w:rPr>
      <w:rFonts w:cs="Times New Roman"/>
      <w:sz w:val="18"/>
      <w:szCs w:val="18"/>
    </w:rPr>
  </w:style>
  <w:style w:type="paragraph" w:customStyle="1" w:styleId="415">
    <w:name w:val="默认段落字体 Para Char Char Char Char Char Char Char Char Char1 Char Char Char Char Char Char Char"/>
    <w:basedOn w:val="22"/>
    <w:qFormat/>
    <w:uiPriority w:val="0"/>
    <w:pPr>
      <w:shd w:val="clear" w:color="auto" w:fill="000080"/>
      <w:spacing w:line="240" w:lineRule="auto"/>
      <w:ind w:firstLine="0" w:firstLineChars="0"/>
    </w:pPr>
    <w:rPr>
      <w:rFonts w:ascii="Times New Roman" w:hAnsi="Times New Roman"/>
      <w:sz w:val="21"/>
      <w:szCs w:val="20"/>
    </w:rPr>
  </w:style>
  <w:style w:type="character" w:customStyle="1" w:styleId="416">
    <w:name w:val="Char Char2"/>
    <w:qFormat/>
    <w:uiPriority w:val="0"/>
    <w:rPr>
      <w:rFonts w:ascii="宋体" w:hAnsi="Courier New" w:eastAsia="宋体"/>
      <w:kern w:val="2"/>
      <w:sz w:val="21"/>
      <w:szCs w:val="21"/>
      <w:lang w:val="en-US" w:eastAsia="zh-CN" w:bidi="ar-SA"/>
    </w:rPr>
  </w:style>
  <w:style w:type="paragraph" w:customStyle="1" w:styleId="417">
    <w:name w:val="样式 标题 1 + 四号 居中 段前: 12 磅 段后: 12 磅 行距: 单倍行距"/>
    <w:basedOn w:val="3"/>
    <w:qFormat/>
    <w:uiPriority w:val="0"/>
    <w:pPr>
      <w:numPr>
        <w:numId w:val="0"/>
      </w:numPr>
      <w:tabs>
        <w:tab w:val="left" w:pos="851"/>
      </w:tabs>
      <w:adjustRightInd w:val="0"/>
      <w:spacing w:beforeLines="0" w:afterLines="0" w:line="240" w:lineRule="auto"/>
      <w:textAlignment w:val="baseline"/>
    </w:pPr>
    <w:rPr>
      <w:rFonts w:ascii="Times New Roman" w:hAnsi="Times New Roman" w:eastAsia="宋体" w:cs="宋体"/>
      <w:sz w:val="28"/>
      <w:szCs w:val="20"/>
    </w:rPr>
  </w:style>
  <w:style w:type="paragraph" w:customStyle="1" w:styleId="418">
    <w:name w:val="正文字缩2字"/>
    <w:basedOn w:val="1"/>
    <w:qFormat/>
    <w:uiPriority w:val="0"/>
    <w:pPr>
      <w:spacing w:before="60" w:after="60"/>
      <w:ind w:left="200" w:leftChars="200"/>
    </w:pPr>
    <w:rPr>
      <w:rFonts w:ascii="Times New Roman" w:hAnsi="Times New Roman" w:eastAsia="宋体"/>
      <w:szCs w:val="24"/>
    </w:rPr>
  </w:style>
  <w:style w:type="paragraph" w:customStyle="1" w:styleId="419">
    <w:name w:val="样式 样式 (符号) 宋体 小四 首行缩进:  0.85 厘米 段后: 6 磅 行距: 固定值 20 磅 + 首行缩进:  2 ..."/>
    <w:basedOn w:val="1"/>
    <w:qFormat/>
    <w:uiPriority w:val="0"/>
    <w:pPr>
      <w:adjustRightInd w:val="0"/>
      <w:ind w:firstLine="566" w:firstLineChars="236"/>
      <w:jc w:val="left"/>
      <w:textAlignment w:val="baseline"/>
    </w:pPr>
    <w:rPr>
      <w:rFonts w:hAnsi="宋体" w:cs="宋体"/>
      <w:szCs w:val="24"/>
    </w:rPr>
  </w:style>
  <w:style w:type="character" w:customStyle="1" w:styleId="420">
    <w:name w:val="列出段落 Char"/>
    <w:link w:val="217"/>
    <w:qFormat/>
    <w:locked/>
    <w:uiPriority w:val="0"/>
    <w:rPr>
      <w:rFonts w:ascii="宋体" w:hAnsi="Times New Roman" w:eastAsia="仿宋" w:cs="Times New Roman"/>
      <w:kern w:val="0"/>
      <w:sz w:val="24"/>
      <w:szCs w:val="21"/>
    </w:rPr>
  </w:style>
  <w:style w:type="paragraph" w:customStyle="1" w:styleId="421">
    <w:name w:val="text1"/>
    <w:basedOn w:val="1"/>
    <w:link w:val="422"/>
    <w:qFormat/>
    <w:uiPriority w:val="0"/>
    <w:pPr>
      <w:ind w:firstLine="480"/>
    </w:pPr>
    <w:rPr>
      <w:rFonts w:ascii="Times New Roman" w:hAnsi="Times New Roman" w:eastAsia="宋体"/>
      <w:kern w:val="0"/>
      <w:sz w:val="24"/>
      <w:szCs w:val="24"/>
    </w:rPr>
  </w:style>
  <w:style w:type="character" w:customStyle="1" w:styleId="422">
    <w:name w:val="text1 Char Char"/>
    <w:link w:val="421"/>
    <w:qFormat/>
    <w:uiPriority w:val="0"/>
    <w:rPr>
      <w:rFonts w:ascii="Times New Roman" w:hAnsi="Times New Roman" w:eastAsia="宋体" w:cs="Times New Roman"/>
      <w:kern w:val="0"/>
      <w:sz w:val="24"/>
      <w:szCs w:val="24"/>
    </w:rPr>
  </w:style>
  <w:style w:type="paragraph" w:customStyle="1" w:styleId="423">
    <w:name w:val="正文缩进2格"/>
    <w:basedOn w:val="1"/>
    <w:link w:val="424"/>
    <w:qFormat/>
    <w:uiPriority w:val="0"/>
    <w:pPr>
      <w:spacing w:line="600" w:lineRule="exact"/>
      <w:ind w:firstLine="639" w:firstLineChars="206"/>
    </w:pPr>
    <w:rPr>
      <w:rFonts w:hAnsi="宋体"/>
      <w:sz w:val="31"/>
      <w:szCs w:val="28"/>
    </w:rPr>
  </w:style>
  <w:style w:type="character" w:customStyle="1" w:styleId="424">
    <w:name w:val="正文缩进2格 Char"/>
    <w:link w:val="423"/>
    <w:qFormat/>
    <w:locked/>
    <w:uiPriority w:val="0"/>
    <w:rPr>
      <w:rFonts w:ascii="仿宋_GB2312" w:hAnsi="宋体" w:eastAsia="仿宋_GB2312" w:cs="Times New Roman"/>
      <w:sz w:val="31"/>
      <w:szCs w:val="28"/>
    </w:rPr>
  </w:style>
  <w:style w:type="paragraph" w:customStyle="1" w:styleId="425">
    <w:name w:val="Char Char Char Char Char Char Char Char Char1 Char"/>
    <w:basedOn w:val="22"/>
    <w:qFormat/>
    <w:uiPriority w:val="0"/>
    <w:pPr>
      <w:shd w:val="clear" w:color="auto" w:fill="000080"/>
      <w:adjustRightInd w:val="0"/>
      <w:snapToGrid w:val="0"/>
      <w:ind w:firstLine="0" w:firstLineChars="0"/>
    </w:pPr>
    <w:rPr>
      <w:rFonts w:ascii="Times New Roman" w:hAnsi="Times New Roman" w:eastAsia="楷体_GB2312"/>
      <w:sz w:val="28"/>
      <w:szCs w:val="20"/>
    </w:rPr>
  </w:style>
  <w:style w:type="paragraph" w:customStyle="1" w:styleId="426">
    <w:name w:val="纯文本1"/>
    <w:basedOn w:val="1"/>
    <w:qFormat/>
    <w:uiPriority w:val="0"/>
    <w:pPr>
      <w:adjustRightInd w:val="0"/>
      <w:spacing w:line="240" w:lineRule="auto"/>
      <w:ind w:firstLine="0" w:firstLineChars="0"/>
      <w:textAlignment w:val="baseline"/>
    </w:pPr>
    <w:rPr>
      <w:rFonts w:ascii="宋体" w:hAnsi="Courier New" w:eastAsia="楷体_GB2312"/>
      <w:szCs w:val="20"/>
    </w:rPr>
  </w:style>
  <w:style w:type="character" w:customStyle="1" w:styleId="427">
    <w:name w:val="访问过的超链接1"/>
    <w:qFormat/>
    <w:uiPriority w:val="0"/>
    <w:rPr>
      <w:color w:val="800080"/>
      <w:u w:val="single"/>
    </w:rPr>
  </w:style>
  <w:style w:type="paragraph" w:customStyle="1" w:styleId="428">
    <w:name w:val="修订1"/>
    <w:hidden/>
    <w:semiHidden/>
    <w:qFormat/>
    <w:uiPriority w:val="99"/>
    <w:rPr>
      <w:rFonts w:ascii="华文楷体" w:hAnsi="华文楷体" w:eastAsia="华文楷体" w:cs="Times New Roman"/>
      <w:snapToGrid w:val="0"/>
      <w:sz w:val="21"/>
      <w:lang w:val="en-US" w:eastAsia="zh-CN" w:bidi="ar-SA"/>
    </w:rPr>
  </w:style>
  <w:style w:type="paragraph" w:customStyle="1" w:styleId="429">
    <w:name w:val="正文缩进2格 New"/>
    <w:basedOn w:val="430"/>
    <w:qFormat/>
    <w:uiPriority w:val="0"/>
    <w:pPr>
      <w:spacing w:line="600" w:lineRule="exact"/>
      <w:ind w:firstLine="639" w:firstLineChars="206"/>
    </w:pPr>
    <w:rPr>
      <w:rFonts w:ascii="仿宋_GB2312" w:hAnsi="宋体" w:eastAsia="仿宋_GB2312"/>
      <w:sz w:val="31"/>
      <w:szCs w:val="28"/>
    </w:rPr>
  </w:style>
  <w:style w:type="paragraph" w:customStyle="1" w:styleId="43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1">
    <w:name w:val="Indent Normal"/>
    <w:basedOn w:val="1"/>
    <w:link w:val="432"/>
    <w:qFormat/>
    <w:uiPriority w:val="0"/>
    <w:pPr>
      <w:spacing w:line="240" w:lineRule="auto"/>
      <w:ind w:firstLine="150" w:firstLineChars="150"/>
    </w:pPr>
    <w:rPr>
      <w:rFonts w:ascii="Times New Roman" w:hAnsi="Times New Roman" w:eastAsia="宋体"/>
      <w:sz w:val="24"/>
      <w:szCs w:val="24"/>
    </w:rPr>
  </w:style>
  <w:style w:type="character" w:customStyle="1" w:styleId="432">
    <w:name w:val="Indent Normal Char"/>
    <w:link w:val="431"/>
    <w:qFormat/>
    <w:uiPriority w:val="0"/>
    <w:rPr>
      <w:rFonts w:ascii="Times New Roman" w:hAnsi="Times New Roman" w:eastAsia="宋体" w:cs="Times New Roman"/>
      <w:sz w:val="24"/>
      <w:szCs w:val="24"/>
    </w:rPr>
  </w:style>
  <w:style w:type="paragraph" w:customStyle="1" w:styleId="433">
    <w:name w:val="FA正文"/>
    <w:basedOn w:val="1"/>
    <w:link w:val="434"/>
    <w:qFormat/>
    <w:uiPriority w:val="0"/>
    <w:pPr>
      <w:numPr>
        <w:ilvl w:val="0"/>
        <w:numId w:val="16"/>
      </w:numPr>
      <w:tabs>
        <w:tab w:val="left" w:pos="426"/>
      </w:tabs>
      <w:ind w:firstLine="6" w:firstLineChars="0"/>
    </w:pPr>
    <w:rPr>
      <w:rFonts w:ascii="宋体" w:hAnsi="宋体" w:eastAsia="宋体"/>
      <w:spacing w:val="10"/>
      <w:sz w:val="21"/>
      <w:szCs w:val="21"/>
    </w:rPr>
  </w:style>
  <w:style w:type="character" w:customStyle="1" w:styleId="434">
    <w:name w:val="FA正文 Char"/>
    <w:link w:val="433"/>
    <w:qFormat/>
    <w:uiPriority w:val="0"/>
    <w:rPr>
      <w:rFonts w:ascii="宋体" w:hAnsi="宋体" w:eastAsia="宋体" w:cs="Times New Roman"/>
      <w:spacing w:val="10"/>
      <w:szCs w:val="21"/>
    </w:rPr>
  </w:style>
  <w:style w:type="paragraph" w:customStyle="1" w:styleId="435">
    <w:name w:val="纯文本2"/>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6">
    <w:name w:val="Plain Text1"/>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37">
    <w:name w:val="无间隔1"/>
    <w:qFormat/>
    <w:uiPriority w:val="1"/>
    <w:pPr>
      <w:widowControl w:val="0"/>
      <w:jc w:val="both"/>
    </w:pPr>
    <w:rPr>
      <w:rFonts w:ascii="Times New Roman" w:hAnsi="Times New Roman" w:eastAsia="宋体" w:cs="System"/>
      <w:sz w:val="28"/>
      <w:lang w:val="en-US" w:eastAsia="zh-CN" w:bidi="ar-SA"/>
    </w:rPr>
  </w:style>
  <w:style w:type="character" w:customStyle="1" w:styleId="438">
    <w:name w:val="oblog_text"/>
    <w:qFormat/>
    <w:uiPriority w:val="0"/>
  </w:style>
  <w:style w:type="paragraph" w:customStyle="1" w:styleId="439">
    <w:name w:val="正文格式（小四）"/>
    <w:basedOn w:val="1"/>
    <w:qFormat/>
    <w:uiPriority w:val="0"/>
    <w:pPr>
      <w:widowControl/>
      <w:adjustRightInd w:val="0"/>
      <w:snapToGrid w:val="0"/>
      <w:ind w:firstLine="482" w:firstLineChars="0"/>
      <w:jc w:val="left"/>
      <w:textAlignment w:val="baseline"/>
    </w:pPr>
    <w:rPr>
      <w:rFonts w:ascii="Times New Roman" w:hAnsi="Times New Roman" w:eastAsia="宋体"/>
      <w:kern w:val="24"/>
      <w:szCs w:val="24"/>
    </w:rPr>
  </w:style>
  <w:style w:type="paragraph" w:customStyle="1" w:styleId="440">
    <w:name w:val="纯文本3"/>
    <w:basedOn w:val="1"/>
    <w:qFormat/>
    <w:uiPriority w:val="0"/>
    <w:pPr>
      <w:adjustRightInd w:val="0"/>
      <w:spacing w:line="240" w:lineRule="auto"/>
      <w:ind w:firstLine="0" w:firstLineChars="0"/>
      <w:textAlignment w:val="baseline"/>
    </w:pPr>
    <w:rPr>
      <w:rFonts w:ascii="宋体" w:hAnsi="Courier New" w:eastAsia="楷体_GB2312"/>
      <w:szCs w:val="20"/>
    </w:rPr>
  </w:style>
  <w:style w:type="paragraph" w:customStyle="1" w:styleId="441">
    <w:name w:val="正文斜下划线"/>
    <w:basedOn w:val="179"/>
    <w:qFormat/>
    <w:uiPriority w:val="0"/>
    <w:pPr>
      <w:ind w:firstLine="560"/>
    </w:pPr>
    <w:rPr>
      <w:i/>
      <w:iCs/>
      <w:u w:val="single"/>
    </w:rPr>
  </w:style>
  <w:style w:type="paragraph" w:customStyle="1" w:styleId="442">
    <w:name w:val="正文空4格  1）"/>
    <w:basedOn w:val="1"/>
    <w:qFormat/>
    <w:uiPriority w:val="0"/>
    <w:pPr>
      <w:adjustRightInd w:val="0"/>
      <w:ind w:firstLine="1120" w:firstLineChars="400"/>
      <w:textAlignment w:val="baseline"/>
    </w:pPr>
    <w:rPr>
      <w:rFonts w:ascii="宋体" w:hAnsi="Times New Roman" w:eastAsia="仿宋" w:cs="宋体"/>
      <w:kern w:val="0"/>
      <w:szCs w:val="20"/>
    </w:rPr>
  </w:style>
  <w:style w:type="paragraph" w:customStyle="1" w:styleId="443">
    <w:name w:val="1.1.1.1"/>
    <w:basedOn w:val="174"/>
    <w:next w:val="179"/>
    <w:qFormat/>
    <w:uiPriority w:val="0"/>
  </w:style>
  <w:style w:type="paragraph" w:customStyle="1" w:styleId="444">
    <w:name w:val="正文空6格  a）"/>
    <w:basedOn w:val="1"/>
    <w:qFormat/>
    <w:uiPriority w:val="0"/>
    <w:pPr>
      <w:adjustRightInd w:val="0"/>
      <w:ind w:firstLine="1680" w:firstLineChars="600"/>
      <w:textAlignment w:val="baseline"/>
    </w:pPr>
    <w:rPr>
      <w:rFonts w:ascii="宋体" w:hAnsi="Times New Roman" w:eastAsia="仿宋" w:cs="宋体"/>
      <w:kern w:val="0"/>
      <w:szCs w:val="20"/>
    </w:rPr>
  </w:style>
  <w:style w:type="character" w:customStyle="1" w:styleId="445">
    <w:name w:val="正文 第五章 中间"/>
    <w:qFormat/>
    <w:uiPriority w:val="0"/>
    <w:rPr>
      <w:b/>
      <w:bCs/>
      <w:color w:val="000000"/>
      <w:sz w:val="32"/>
    </w:rPr>
  </w:style>
  <w:style w:type="character" w:customStyle="1" w:styleId="446">
    <w:name w:val="Char Char8"/>
    <w:qFormat/>
    <w:uiPriority w:val="0"/>
    <w:rPr>
      <w:b/>
      <w:bCs/>
      <w:kern w:val="44"/>
      <w:sz w:val="44"/>
      <w:szCs w:val="44"/>
    </w:rPr>
  </w:style>
  <w:style w:type="character" w:customStyle="1" w:styleId="447">
    <w:name w:val="Char Char5"/>
    <w:qFormat/>
    <w:uiPriority w:val="0"/>
    <w:rPr>
      <w:sz w:val="18"/>
      <w:szCs w:val="18"/>
    </w:rPr>
  </w:style>
  <w:style w:type="character" w:customStyle="1" w:styleId="448">
    <w:name w:val="标题 2 Char1"/>
    <w:qFormat/>
    <w:uiPriority w:val="0"/>
    <w:rPr>
      <w:rFonts w:ascii="Arial" w:hAnsi="Arial" w:eastAsia="黑体"/>
      <w:b/>
      <w:bCs/>
      <w:sz w:val="32"/>
      <w:szCs w:val="32"/>
    </w:rPr>
  </w:style>
  <w:style w:type="character" w:customStyle="1" w:styleId="449">
    <w:name w:val="apple-style-span"/>
    <w:basedOn w:val="123"/>
    <w:qFormat/>
    <w:uiPriority w:val="0"/>
  </w:style>
  <w:style w:type="character" w:customStyle="1" w:styleId="450">
    <w:name w:val="Char Char7"/>
    <w:qFormat/>
    <w:uiPriority w:val="0"/>
    <w:rPr>
      <w:b/>
      <w:bCs/>
      <w:kern w:val="44"/>
      <w:sz w:val="44"/>
      <w:szCs w:val="44"/>
    </w:rPr>
  </w:style>
  <w:style w:type="paragraph" w:customStyle="1" w:styleId="451">
    <w:name w:val="Table Text--F10"/>
    <w:qFormat/>
    <w:uiPriority w:val="0"/>
    <w:pPr>
      <w:snapToGrid w:val="0"/>
      <w:spacing w:before="80" w:after="80"/>
    </w:pPr>
    <w:rPr>
      <w:rFonts w:ascii="Arial" w:hAnsi="Arial" w:eastAsia="宋体" w:cs="Times New Roman"/>
      <w:sz w:val="18"/>
      <w:lang w:val="en-US" w:eastAsia="zh-CN" w:bidi="ar-SA"/>
    </w:rPr>
  </w:style>
  <w:style w:type="paragraph" w:customStyle="1" w:styleId="452">
    <w:name w:val="_Style 40"/>
    <w:basedOn w:val="1"/>
    <w:qFormat/>
    <w:uiPriority w:val="0"/>
    <w:pPr>
      <w:spacing w:line="240" w:lineRule="auto"/>
      <w:ind w:firstLine="0" w:firstLineChars="0"/>
    </w:pPr>
    <w:rPr>
      <w:rFonts w:ascii="Times New Roman" w:hAnsi="Times New Roman" w:eastAsia="宋体"/>
      <w:sz w:val="21"/>
      <w:szCs w:val="20"/>
    </w:rPr>
  </w:style>
  <w:style w:type="paragraph" w:customStyle="1" w:styleId="453">
    <w:name w:val="新的内文"/>
    <w:basedOn w:val="1"/>
    <w:qFormat/>
    <w:uiPriority w:val="0"/>
    <w:pPr>
      <w:snapToGrid w:val="0"/>
      <w:spacing w:line="300" w:lineRule="auto"/>
      <w:ind w:firstLine="518"/>
    </w:pPr>
    <w:rPr>
      <w:rFonts w:hAnsi="Times New Roman" w:cs="宋体"/>
      <w:szCs w:val="28"/>
    </w:rPr>
  </w:style>
  <w:style w:type="paragraph" w:customStyle="1" w:styleId="454">
    <w:name w:val="GP正文(无首行缩进)"/>
    <w:qFormat/>
    <w:uiPriority w:val="0"/>
    <w:pPr>
      <w:widowControl w:val="0"/>
      <w:spacing w:line="360" w:lineRule="auto"/>
    </w:pPr>
    <w:rPr>
      <w:rFonts w:ascii="Times New Roman" w:hAnsi="Times New Roman" w:eastAsia="宋体" w:cs="Times New Roman"/>
      <w:kern w:val="2"/>
      <w:sz w:val="24"/>
      <w:szCs w:val="21"/>
      <w:lang w:val="en-US" w:eastAsia="zh-CN" w:bidi="ar-SA"/>
    </w:rPr>
  </w:style>
  <w:style w:type="paragraph" w:customStyle="1" w:styleId="455">
    <w:name w:val="二级标题"/>
    <w:basedOn w:val="4"/>
    <w:qFormat/>
    <w:uiPriority w:val="0"/>
    <w:pPr>
      <w:tabs>
        <w:tab w:val="left" w:pos="567"/>
      </w:tabs>
      <w:adjustRightInd w:val="0"/>
      <w:snapToGrid w:val="0"/>
      <w:spacing w:beforeLines="0" w:line="300" w:lineRule="auto"/>
      <w:ind w:left="567" w:hanging="567"/>
      <w:textAlignment w:val="baseline"/>
    </w:pPr>
    <w:rPr>
      <w:rFonts w:ascii="仿宋_GB2312" w:hAnsi="Times New Roman"/>
      <w:bCs w:val="0"/>
      <w:kern w:val="0"/>
      <w:sz w:val="32"/>
    </w:rPr>
  </w:style>
  <w:style w:type="paragraph" w:customStyle="1" w:styleId="456">
    <w:name w:val="三级标题"/>
    <w:basedOn w:val="1"/>
    <w:qFormat/>
    <w:uiPriority w:val="0"/>
    <w:pPr>
      <w:keepNext/>
      <w:keepLines/>
      <w:tabs>
        <w:tab w:val="left" w:pos="420"/>
        <w:tab w:val="left" w:pos="851"/>
        <w:tab w:val="left" w:pos="1304"/>
      </w:tabs>
      <w:adjustRightInd w:val="0"/>
      <w:snapToGrid w:val="0"/>
      <w:spacing w:line="300" w:lineRule="auto"/>
      <w:ind w:firstLine="0" w:firstLineChars="0"/>
      <w:textAlignment w:val="baseline"/>
      <w:outlineLvl w:val="2"/>
    </w:pPr>
    <w:rPr>
      <w:rFonts w:hAnsi="Arial"/>
      <w:b/>
      <w:bCs/>
      <w:kern w:val="0"/>
      <w:szCs w:val="28"/>
    </w:rPr>
  </w:style>
  <w:style w:type="paragraph" w:customStyle="1" w:styleId="457">
    <w:name w:val="标题2"/>
    <w:basedOn w:val="4"/>
    <w:qFormat/>
    <w:uiPriority w:val="0"/>
    <w:pPr>
      <w:keepNext w:val="0"/>
      <w:keepLines w:val="0"/>
      <w:tabs>
        <w:tab w:val="left" w:pos="0"/>
      </w:tabs>
      <w:spacing w:beforeLines="0"/>
      <w:ind w:left="0"/>
    </w:pPr>
    <w:rPr>
      <w:rFonts w:ascii="Arial" w:hAnsi="Arial"/>
      <w:b w:val="0"/>
      <w:sz w:val="30"/>
    </w:rPr>
  </w:style>
  <w:style w:type="paragraph" w:customStyle="1" w:styleId="458">
    <w:name w:val="列出段落4"/>
    <w:basedOn w:val="1"/>
    <w:qFormat/>
    <w:uiPriority w:val="0"/>
    <w:pPr>
      <w:spacing w:line="240" w:lineRule="auto"/>
      <w:ind w:firstLine="420"/>
    </w:pPr>
    <w:rPr>
      <w:rFonts w:ascii="Times New Roman" w:hAnsi="Times New Roman" w:eastAsia="宋体"/>
      <w:sz w:val="21"/>
      <w:szCs w:val="24"/>
    </w:rPr>
  </w:style>
  <w:style w:type="character" w:customStyle="1" w:styleId="459">
    <w:name w:val="bord"/>
    <w:basedOn w:val="123"/>
    <w:qFormat/>
    <w:uiPriority w:val="0"/>
  </w:style>
  <w:style w:type="character" w:customStyle="1" w:styleId="460">
    <w:name w:val="纯文本 Char1"/>
    <w:basedOn w:val="123"/>
    <w:qFormat/>
    <w:locked/>
    <w:uiPriority w:val="0"/>
    <w:rPr>
      <w:rFonts w:ascii="宋体" w:hAnsi="Courier New" w:eastAsia="宋体"/>
      <w:kern w:val="2"/>
      <w:sz w:val="21"/>
      <w:lang w:val="en-US" w:eastAsia="zh-CN" w:bidi="ar-SA"/>
    </w:rPr>
  </w:style>
  <w:style w:type="character" w:customStyle="1" w:styleId="461">
    <w:name w:val="HTML 打字机 New"/>
    <w:basedOn w:val="123"/>
    <w:qFormat/>
    <w:uiPriority w:val="0"/>
    <w:rPr>
      <w:rFonts w:ascii="宋体" w:hAnsi="宋体" w:eastAsia="宋体" w:cs="宋体"/>
      <w:sz w:val="18"/>
      <w:szCs w:val="18"/>
    </w:rPr>
  </w:style>
  <w:style w:type="paragraph" w:customStyle="1" w:styleId="462">
    <w:name w:val="_Style 1"/>
    <w:basedOn w:val="1"/>
    <w:next w:val="1"/>
    <w:qFormat/>
    <w:uiPriority w:val="0"/>
    <w:pPr>
      <w:pBdr>
        <w:bottom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3">
    <w:name w:val="正文首行缩进两字符"/>
    <w:basedOn w:val="1"/>
    <w:qFormat/>
    <w:uiPriority w:val="0"/>
    <w:rPr>
      <w:rFonts w:ascii="Times New Roman" w:hAnsi="Times New Roman" w:eastAsia="宋体"/>
      <w:sz w:val="21"/>
      <w:szCs w:val="24"/>
    </w:rPr>
  </w:style>
  <w:style w:type="paragraph" w:customStyle="1" w:styleId="464">
    <w:name w:val="HKIC表格正文左"/>
    <w:basedOn w:val="1"/>
    <w:qFormat/>
    <w:uiPriority w:val="0"/>
    <w:pPr>
      <w:spacing w:line="240" w:lineRule="exact"/>
      <w:ind w:firstLine="0" w:firstLineChars="0"/>
      <w:jc w:val="left"/>
    </w:pPr>
    <w:rPr>
      <w:rFonts w:ascii="Arial" w:hAnsi="宋体" w:eastAsia="宋体"/>
      <w:kern w:val="0"/>
      <w:sz w:val="21"/>
      <w:szCs w:val="21"/>
    </w:rPr>
  </w:style>
  <w:style w:type="paragraph" w:customStyle="1" w:styleId="465">
    <w:name w:val="newstyle16"/>
    <w:basedOn w:val="1"/>
    <w:qFormat/>
    <w:uiPriority w:val="0"/>
    <w:pPr>
      <w:widowControl/>
      <w:spacing w:line="240" w:lineRule="auto"/>
      <w:ind w:firstLine="0" w:firstLineChars="0"/>
      <w:jc w:val="left"/>
    </w:pPr>
    <w:rPr>
      <w:rFonts w:ascii="宋体" w:hAnsi="宋体" w:eastAsia="宋体" w:cs="宋体"/>
      <w:kern w:val="0"/>
      <w:sz w:val="24"/>
      <w:szCs w:val="24"/>
    </w:rPr>
  </w:style>
  <w:style w:type="paragraph" w:customStyle="1" w:styleId="466">
    <w:name w:val="表格文字"/>
    <w:basedOn w:val="1"/>
    <w:qFormat/>
    <w:uiPriority w:val="0"/>
    <w:pPr>
      <w:spacing w:before="25" w:after="25" w:line="240" w:lineRule="auto"/>
      <w:ind w:firstLine="0" w:firstLineChars="0"/>
      <w:jc w:val="left"/>
    </w:pPr>
    <w:rPr>
      <w:rFonts w:ascii="Times New Roman" w:hAnsi="Times New Roman" w:eastAsia="宋体"/>
      <w:bCs/>
      <w:spacing w:val="10"/>
      <w:kern w:val="0"/>
      <w:sz w:val="24"/>
      <w:szCs w:val="20"/>
    </w:rPr>
  </w:style>
  <w:style w:type="paragraph" w:customStyle="1" w:styleId="467">
    <w:name w:val="_Style 3"/>
    <w:basedOn w:val="1"/>
    <w:next w:val="1"/>
    <w:qFormat/>
    <w:uiPriority w:val="0"/>
    <w:pPr>
      <w:pBdr>
        <w:top w:val="single" w:color="auto" w:sz="6" w:space="1"/>
      </w:pBdr>
      <w:spacing w:line="240" w:lineRule="auto"/>
      <w:ind w:firstLine="0" w:firstLineChars="0"/>
      <w:jc w:val="center"/>
    </w:pPr>
    <w:rPr>
      <w:rFonts w:ascii="Arial" w:hAnsi="Times New Roman" w:eastAsia="宋体"/>
      <w:vanish/>
      <w:sz w:val="16"/>
      <w:szCs w:val="24"/>
    </w:rPr>
  </w:style>
  <w:style w:type="paragraph" w:customStyle="1" w:styleId="468">
    <w:name w:val="Char Char Char1"/>
    <w:basedOn w:val="1"/>
    <w:qFormat/>
    <w:uiPriority w:val="0"/>
    <w:pPr>
      <w:widowControl/>
      <w:spacing w:after="160" w:line="240" w:lineRule="exact"/>
      <w:ind w:firstLine="0" w:firstLineChars="0"/>
      <w:jc w:val="left"/>
    </w:pPr>
    <w:rPr>
      <w:rFonts w:ascii="Times New Roman" w:hAnsi="Times New Roman" w:eastAsia="宋体"/>
      <w:sz w:val="21"/>
      <w:szCs w:val="24"/>
    </w:rPr>
  </w:style>
  <w:style w:type="paragraph" w:customStyle="1" w:styleId="469">
    <w:name w:val="列出段落11"/>
    <w:basedOn w:val="1"/>
    <w:qFormat/>
    <w:uiPriority w:val="0"/>
    <w:pPr>
      <w:adjustRightInd w:val="0"/>
      <w:ind w:firstLine="420"/>
      <w:textAlignment w:val="baseline"/>
    </w:pPr>
    <w:rPr>
      <w:rFonts w:ascii="宋体" w:hAnsi="Times New Roman" w:eastAsia="仿宋"/>
      <w:kern w:val="0"/>
      <w:sz w:val="24"/>
      <w:szCs w:val="21"/>
    </w:rPr>
  </w:style>
  <w:style w:type="paragraph" w:customStyle="1" w:styleId="470">
    <w:name w:val="TOC 标题11"/>
    <w:basedOn w:val="3"/>
    <w:next w:val="1"/>
    <w:qFormat/>
    <w:uiPriority w:val="39"/>
    <w:pPr>
      <w:widowControl/>
      <w:numPr>
        <w:numId w:val="0"/>
      </w:numPr>
      <w:spacing w:beforeLines="0" w:afterLines="0" w:line="276" w:lineRule="auto"/>
      <w:jc w:val="left"/>
      <w:outlineLvl w:val="9"/>
    </w:pPr>
    <w:rPr>
      <w:rFonts w:ascii="Cambria" w:hAnsi="Cambria" w:eastAsia="宋体"/>
      <w:color w:val="365F91"/>
      <w:kern w:val="0"/>
      <w:sz w:val="28"/>
      <w:szCs w:val="28"/>
    </w:rPr>
  </w:style>
  <w:style w:type="paragraph" w:customStyle="1" w:styleId="471">
    <w:name w:val="修订11"/>
    <w:hidden/>
    <w:semiHidden/>
    <w:qFormat/>
    <w:uiPriority w:val="99"/>
    <w:rPr>
      <w:rFonts w:ascii="华文楷体" w:hAnsi="华文楷体" w:eastAsia="华文楷体" w:cs="Times New Roman"/>
      <w:snapToGrid w:val="0"/>
      <w:sz w:val="21"/>
      <w:lang w:val="en-US" w:eastAsia="zh-CN" w:bidi="ar-SA"/>
    </w:rPr>
  </w:style>
  <w:style w:type="paragraph" w:customStyle="1" w:styleId="472">
    <w:name w:val="无间隔11"/>
    <w:qFormat/>
    <w:uiPriority w:val="1"/>
    <w:pPr>
      <w:widowControl w:val="0"/>
      <w:jc w:val="both"/>
    </w:pPr>
    <w:rPr>
      <w:rFonts w:ascii="Times New Roman" w:hAnsi="Times New Roman" w:eastAsia="宋体" w:cs="System"/>
      <w:sz w:val="28"/>
      <w:lang w:val="en-US" w:eastAsia="zh-CN" w:bidi="ar-SA"/>
    </w:rPr>
  </w:style>
  <w:style w:type="paragraph" w:customStyle="1" w:styleId="473">
    <w:name w:val="列出段落5"/>
    <w:basedOn w:val="1"/>
    <w:unhideWhenUsed/>
    <w:qFormat/>
    <w:uiPriority w:val="99"/>
    <w:pPr>
      <w:ind w:firstLine="420"/>
    </w:pPr>
  </w:style>
  <w:style w:type="character" w:customStyle="1" w:styleId="474">
    <w:name w:val="hui"/>
    <w:basedOn w:val="123"/>
    <w:qFormat/>
    <w:uiPriority w:val="0"/>
    <w:rPr>
      <w:color w:val="999999"/>
    </w:rPr>
  </w:style>
  <w:style w:type="character" w:customStyle="1" w:styleId="475">
    <w:name w:val="hui1"/>
    <w:basedOn w:val="123"/>
    <w:qFormat/>
    <w:uiPriority w:val="0"/>
    <w:rPr>
      <w:color w:val="999999"/>
    </w:rPr>
  </w:style>
  <w:style w:type="paragraph" w:customStyle="1" w:styleId="476">
    <w:name w:val="样式4"/>
    <w:basedOn w:val="1"/>
    <w:qFormat/>
    <w:uiPriority w:val="0"/>
    <w:pPr>
      <w:jc w:val="center"/>
    </w:pPr>
    <w:rPr>
      <w:rFonts w:hAnsi="仿宋_GB2312"/>
    </w:rPr>
  </w:style>
  <w:style w:type="paragraph" w:styleId="477">
    <w:name w:val="List Paragraph"/>
    <w:basedOn w:val="1"/>
    <w:unhideWhenUsed/>
    <w:qFormat/>
    <w:uiPriority w:val="99"/>
    <w:pPr>
      <w:ind w:firstLine="420"/>
    </w:pPr>
  </w:style>
  <w:style w:type="paragraph" w:customStyle="1" w:styleId="478">
    <w:name w:val="纯文本4"/>
    <w:basedOn w:val="1"/>
    <w:qFormat/>
    <w:uiPriority w:val="0"/>
    <w:pPr>
      <w:ind w:firstLine="0" w:firstLineChars="0"/>
    </w:pPr>
    <w:rPr>
      <w:rFonts w:hint="eastAsia" w:hAnsi="Courier New"/>
      <w:sz w:val="21"/>
    </w:rPr>
  </w:style>
  <w:style w:type="paragraph" w:customStyle="1" w:styleId="479">
    <w:name w:val="09正文_wh"/>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480">
    <w:name w:val="正文文本缩进1"/>
    <w:basedOn w:val="1"/>
    <w:qFormat/>
    <w:uiPriority w:val="0"/>
    <w:pPr>
      <w:spacing w:after="120"/>
      <w:ind w:left="420" w:leftChars="200"/>
    </w:pPr>
    <w:rPr>
      <w:rFonts w:ascii="Times New Roman" w:hAnsi="Times New Roman" w:eastAsia="宋体"/>
      <w:szCs w:val="20"/>
    </w:rPr>
  </w:style>
  <w:style w:type="paragraph" w:customStyle="1" w:styleId="481">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373395-3F44-40B0-8AE7-158AC5F764E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65</Pages>
  <Words>5235</Words>
  <Characters>29841</Characters>
  <Lines>248</Lines>
  <Paragraphs>70</Paragraphs>
  <TotalTime>84</TotalTime>
  <ScaleCrop>false</ScaleCrop>
  <LinksUpToDate>false</LinksUpToDate>
  <CharactersWithSpaces>35006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2016-09-08T05:02:00Z</dcterms:created>
  <dc:creator>DAYUE</dc:creator>
  <cp:lastModifiedBy>Administrator</cp:lastModifiedBy>
  <cp:lastPrinted>2018-04-23T09:16:00Z</cp:lastPrinted>
  <dcterms:modified xsi:type="dcterms:W3CDTF">2019-08-01T06:49:56Z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