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b/>
          <w:sz w:val="84"/>
          <w:szCs w:val="84"/>
          <w:highlight w:val="none"/>
        </w:rPr>
      </w:pPr>
      <w:r>
        <w:rPr>
          <w:rFonts w:ascii="宋体" w:hAnsi="宋体" w:cs="宋体"/>
          <w:b/>
          <w:sz w:val="84"/>
          <w:szCs w:val="84"/>
          <w:highlight w:val="none"/>
        </w:rPr>
        <w:drawing>
          <wp:anchor distT="0" distB="0" distL="114300" distR="114300" simplePos="0" relativeHeight="251659264" behindDoc="0" locked="0" layoutInCell="1" allowOverlap="1">
            <wp:simplePos x="0" y="0"/>
            <wp:positionH relativeFrom="column">
              <wp:posOffset>-518795</wp:posOffset>
            </wp:positionH>
            <wp:positionV relativeFrom="paragraph">
              <wp:posOffset>152400</wp:posOffset>
            </wp:positionV>
            <wp:extent cx="6128385" cy="8595995"/>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8385" cy="8595995"/>
                    </a:xfrm>
                    <a:prstGeom prst="rect">
                      <a:avLst/>
                    </a:prstGeom>
                  </pic:spPr>
                </pic:pic>
              </a:graphicData>
            </a:graphic>
          </wp:anchor>
        </w:drawing>
      </w:r>
      <w:r>
        <w:rPr>
          <w:rFonts w:ascii="宋体" w:hAnsi="宋体" w:cs="宋体"/>
          <w:b/>
          <w:sz w:val="84"/>
          <w:szCs w:val="84"/>
          <w:highlight w:val="none"/>
        </w:rPr>
        <w:br w:type="page"/>
      </w:r>
    </w:p>
    <w:p>
      <w:pPr>
        <w:pStyle w:val="7"/>
        <w:ind w:firstLine="0" w:firstLineChars="0"/>
        <w:jc w:val="center"/>
        <w:rPr>
          <w:rFonts w:ascii="宋体" w:hAnsi="宋体" w:cs="宋体"/>
          <w:b/>
          <w:sz w:val="84"/>
          <w:szCs w:val="84"/>
          <w:highlight w:val="none"/>
        </w:rPr>
      </w:pPr>
    </w:p>
    <w:p>
      <w:pPr>
        <w:pStyle w:val="7"/>
        <w:ind w:firstLine="0" w:firstLineChars="0"/>
        <w:jc w:val="center"/>
        <w:rPr>
          <w:rFonts w:ascii="宋体" w:hAnsi="宋体" w:cs="宋体"/>
          <w:b/>
          <w:bCs/>
          <w:sz w:val="84"/>
          <w:szCs w:val="84"/>
          <w:highlight w:val="none"/>
        </w:rPr>
      </w:pPr>
      <w:r>
        <w:rPr>
          <w:rFonts w:hint="eastAsia" w:ascii="宋体" w:hAnsi="宋体" w:cs="宋体"/>
          <w:b/>
          <w:sz w:val="72"/>
          <w:szCs w:val="72"/>
          <w:highlight w:val="none"/>
        </w:rPr>
        <w:t>招 标 文 件</w:t>
      </w:r>
    </w:p>
    <w:p>
      <w:pPr>
        <w:spacing w:line="480" w:lineRule="exact"/>
        <w:rPr>
          <w:rFonts w:ascii="宋体" w:hAnsi="宋体" w:cs="宋体"/>
          <w:b/>
          <w:sz w:val="44"/>
          <w:highlight w:val="none"/>
        </w:rPr>
      </w:pPr>
    </w:p>
    <w:p>
      <w:pPr>
        <w:spacing w:line="480" w:lineRule="exact"/>
        <w:rPr>
          <w:rFonts w:ascii="宋体" w:hAnsi="宋体" w:cs="宋体"/>
          <w:b/>
          <w:sz w:val="44"/>
          <w:highlight w:val="none"/>
        </w:rPr>
      </w:pPr>
    </w:p>
    <w:p>
      <w:pPr>
        <w:spacing w:line="480" w:lineRule="exact"/>
        <w:rPr>
          <w:rFonts w:ascii="宋体" w:hAnsi="宋体" w:cs="宋体"/>
          <w:b/>
          <w:sz w:val="44"/>
          <w:highlight w:val="none"/>
        </w:rPr>
      </w:pPr>
    </w:p>
    <w:p>
      <w:pPr>
        <w:spacing w:line="480" w:lineRule="exact"/>
        <w:rPr>
          <w:rFonts w:ascii="宋体" w:hAnsi="宋体" w:cs="宋体"/>
          <w:b/>
          <w:sz w:val="44"/>
          <w:highlight w:val="none"/>
        </w:rPr>
      </w:pPr>
    </w:p>
    <w:p>
      <w:pPr>
        <w:spacing w:line="480" w:lineRule="exact"/>
        <w:rPr>
          <w:rFonts w:ascii="宋体" w:hAnsi="宋体" w:cs="宋体"/>
          <w:b/>
          <w:sz w:val="44"/>
          <w:highlight w:val="none"/>
        </w:rPr>
      </w:pPr>
    </w:p>
    <w:p>
      <w:pPr>
        <w:spacing w:line="480" w:lineRule="exact"/>
        <w:jc w:val="center"/>
        <w:rPr>
          <w:rFonts w:ascii="宋体" w:hAnsi="宋体" w:cs="宋体"/>
          <w:b/>
          <w:sz w:val="44"/>
          <w:highlight w:val="none"/>
        </w:rPr>
      </w:pPr>
    </w:p>
    <w:p>
      <w:pPr>
        <w:tabs>
          <w:tab w:val="left" w:pos="3060"/>
        </w:tabs>
        <w:spacing w:line="720" w:lineRule="auto"/>
        <w:ind w:firstLine="723" w:firstLineChars="200"/>
        <w:rPr>
          <w:rFonts w:ascii="宋体" w:hAnsi="宋体" w:cs="宋体"/>
          <w:b/>
          <w:sz w:val="36"/>
          <w:szCs w:val="36"/>
          <w:highlight w:val="none"/>
        </w:rPr>
      </w:pPr>
    </w:p>
    <w:p>
      <w:pPr>
        <w:tabs>
          <w:tab w:val="left" w:pos="3060"/>
        </w:tabs>
        <w:spacing w:line="720" w:lineRule="auto"/>
        <w:ind w:firstLine="723" w:firstLineChars="200"/>
        <w:rPr>
          <w:rFonts w:ascii="宋体" w:hAnsi="宋体" w:cs="宋体"/>
          <w:b/>
          <w:sz w:val="36"/>
          <w:szCs w:val="36"/>
          <w:highlight w:val="none"/>
        </w:rPr>
      </w:pPr>
    </w:p>
    <w:p>
      <w:pPr>
        <w:tabs>
          <w:tab w:val="left" w:pos="3060"/>
        </w:tabs>
        <w:spacing w:line="720" w:lineRule="auto"/>
        <w:ind w:firstLine="723" w:firstLineChars="200"/>
        <w:rPr>
          <w:rFonts w:ascii="宋体" w:hAnsi="宋体" w:cs="宋体"/>
          <w:b/>
          <w:sz w:val="36"/>
          <w:szCs w:val="36"/>
          <w:highlight w:val="none"/>
        </w:rPr>
      </w:pPr>
      <w:r>
        <w:rPr>
          <w:rFonts w:hint="eastAsia" w:ascii="宋体" w:hAnsi="宋体" w:cs="宋体"/>
          <w:b/>
          <w:sz w:val="36"/>
          <w:szCs w:val="36"/>
          <w:highlight w:val="none"/>
        </w:rPr>
        <w:t>采购方式：公  开  招  标</w:t>
      </w:r>
    </w:p>
    <w:p>
      <w:pPr>
        <w:spacing w:line="720" w:lineRule="auto"/>
        <w:ind w:firstLine="723" w:firstLineChars="200"/>
        <w:rPr>
          <w:rFonts w:ascii="宋体" w:hAnsi="宋体" w:cs="宋体"/>
          <w:b/>
          <w:sz w:val="36"/>
          <w:szCs w:val="36"/>
          <w:highlight w:val="none"/>
        </w:rPr>
      </w:pPr>
      <w:r>
        <w:rPr>
          <w:rFonts w:hint="eastAsia" w:ascii="宋体" w:hAnsi="宋体" w:cs="宋体"/>
          <w:b/>
          <w:sz w:val="36"/>
          <w:szCs w:val="36"/>
          <w:highlight w:val="none"/>
        </w:rPr>
        <w:t>采购编号：WDSZ2019003</w:t>
      </w:r>
    </w:p>
    <w:p>
      <w:pPr>
        <w:spacing w:line="720" w:lineRule="auto"/>
        <w:ind w:firstLine="723" w:firstLineChars="200"/>
        <w:rPr>
          <w:rFonts w:ascii="宋体" w:hAnsi="宋体" w:cs="宋体"/>
          <w:b/>
          <w:sz w:val="36"/>
          <w:szCs w:val="36"/>
          <w:highlight w:val="none"/>
        </w:rPr>
      </w:pPr>
      <w:r>
        <w:rPr>
          <w:rFonts w:hint="eastAsia" w:ascii="宋体" w:hAnsi="宋体" w:cs="宋体"/>
          <w:b/>
          <w:sz w:val="36"/>
          <w:szCs w:val="36"/>
          <w:highlight w:val="none"/>
        </w:rPr>
        <w:t>项目名称：海口市美兰区乡镇环卫一体化项目</w:t>
      </w:r>
    </w:p>
    <w:p>
      <w:pPr>
        <w:spacing w:line="720" w:lineRule="auto"/>
        <w:ind w:firstLine="723" w:firstLineChars="200"/>
        <w:rPr>
          <w:rFonts w:ascii="宋体" w:hAnsi="宋体" w:cs="宋体"/>
          <w:b/>
          <w:sz w:val="36"/>
          <w:szCs w:val="36"/>
          <w:highlight w:val="none"/>
        </w:rPr>
      </w:pPr>
      <w:r>
        <w:rPr>
          <w:rFonts w:hint="eastAsia" w:ascii="宋体" w:hAnsi="宋体" w:cs="宋体"/>
          <w:b/>
          <w:sz w:val="36"/>
          <w:szCs w:val="36"/>
          <w:highlight w:val="none"/>
        </w:rPr>
        <w:t>采 购 人：海口市美兰区环境卫生管理局</w:t>
      </w:r>
    </w:p>
    <w:p>
      <w:pPr>
        <w:spacing w:line="720" w:lineRule="auto"/>
        <w:ind w:firstLine="723" w:firstLineChars="200"/>
        <w:rPr>
          <w:rFonts w:ascii="宋体" w:hAnsi="宋体" w:cs="宋体"/>
          <w:b/>
          <w:sz w:val="36"/>
          <w:szCs w:val="36"/>
          <w:highlight w:val="none"/>
        </w:rPr>
      </w:pPr>
      <w:r>
        <w:rPr>
          <w:rFonts w:hint="eastAsia" w:ascii="宋体" w:hAnsi="宋体" w:cs="宋体"/>
          <w:b/>
          <w:sz w:val="36"/>
          <w:szCs w:val="36"/>
          <w:highlight w:val="none"/>
        </w:rPr>
        <w:t>采购代理：深圳市万德公共咨询有限公司</w:t>
      </w:r>
    </w:p>
    <w:p>
      <w:pPr>
        <w:spacing w:line="480" w:lineRule="exact"/>
        <w:jc w:val="center"/>
        <w:rPr>
          <w:rFonts w:ascii="宋体" w:hAnsi="宋体" w:cs="宋体"/>
          <w:b/>
          <w:sz w:val="36"/>
          <w:szCs w:val="36"/>
          <w:highlight w:val="none"/>
        </w:rPr>
      </w:pPr>
    </w:p>
    <w:p>
      <w:pPr>
        <w:spacing w:line="480" w:lineRule="exact"/>
        <w:jc w:val="center"/>
        <w:rPr>
          <w:rFonts w:ascii="宋体" w:hAnsi="宋体" w:cs="宋体"/>
          <w:b/>
          <w:sz w:val="36"/>
          <w:szCs w:val="36"/>
          <w:highlight w:val="none"/>
        </w:rPr>
      </w:pPr>
      <w:r>
        <w:rPr>
          <w:rFonts w:hint="eastAsia" w:ascii="宋体" w:hAnsi="宋体" w:cs="宋体"/>
          <w:sz w:val="36"/>
          <w:szCs w:val="36"/>
          <w:highlight w:val="none"/>
        </w:rPr>
        <w:t xml:space="preserve"> </w:t>
      </w:r>
    </w:p>
    <w:p>
      <w:pPr>
        <w:spacing w:line="480" w:lineRule="exact"/>
        <w:jc w:val="center"/>
        <w:rPr>
          <w:rFonts w:ascii="宋体" w:hAnsi="宋体" w:cs="宋体"/>
          <w:b/>
          <w:sz w:val="36"/>
          <w:szCs w:val="36"/>
          <w:highlight w:val="none"/>
        </w:rPr>
      </w:pPr>
      <w:r>
        <w:rPr>
          <w:rFonts w:hint="eastAsia" w:ascii="宋体" w:hAnsi="宋体" w:cs="宋体"/>
          <w:b/>
          <w:sz w:val="36"/>
          <w:szCs w:val="36"/>
          <w:highlight w:val="none"/>
        </w:rPr>
        <w:t xml:space="preserve"> 2019年8月</w:t>
      </w:r>
    </w:p>
    <w:p>
      <w:pPr>
        <w:rPr>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cs="Times New Roman"/>
          <w:kern w:val="2"/>
          <w:sz w:val="21"/>
          <w:szCs w:val="24"/>
          <w:highlight w:val="none"/>
          <w:lang w:val="en-US" w:eastAsia="zh-CN" w:bidi="ar-SA"/>
        </w:rPr>
        <w:id w:val="147464213"/>
        <w15:color w:val="DBDBDB"/>
        <w:docPartObj>
          <w:docPartGallery w:val="Table of Contents"/>
          <w:docPartUnique/>
        </w:docPartObj>
      </w:sdtPr>
      <w:sdtEndPr>
        <w:rPr>
          <w:rFonts w:ascii="Times New Roman" w:hAnsi="Times New Roman" w:eastAsia="宋体" w:cs="Times New Roman"/>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sz w:val="44"/>
              <w:szCs w:val="44"/>
              <w:highlight w:val="none"/>
            </w:rPr>
          </w:pPr>
          <w:bookmarkStart w:id="0" w:name="_Toc4832_WPSOffice_Type1"/>
          <w:r>
            <w:rPr>
              <w:rFonts w:ascii="宋体" w:hAnsi="宋体" w:eastAsia="宋体"/>
              <w:sz w:val="44"/>
              <w:szCs w:val="44"/>
              <w:highlight w:val="none"/>
            </w:rPr>
            <w:t>目录</w:t>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_Toc10932_WPSOffice_Level1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7f050db6-dde1-4311-80cb-be40e2ffa313}"/>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Times New Roman" w:hAnsi="Times New Roman" w:eastAsia="宋体" w:cs="Times New Roman"/>
                  <w:sz w:val="28"/>
                  <w:szCs w:val="28"/>
                  <w:highlight w:val="none"/>
                </w:rPr>
                <w:t>第一章   招标公告</w:t>
              </w:r>
            </w:sdtContent>
          </w:sdt>
          <w:r>
            <w:rPr>
              <w:sz w:val="28"/>
              <w:szCs w:val="28"/>
              <w:highlight w:val="none"/>
            </w:rPr>
            <w:tab/>
          </w:r>
          <w:bookmarkStart w:id="1" w:name="_Toc10932_WPSOffice_Level1Page"/>
          <w:r>
            <w:rPr>
              <w:sz w:val="28"/>
              <w:szCs w:val="28"/>
              <w:highlight w:val="none"/>
            </w:rPr>
            <w:t>1</w:t>
          </w:r>
          <w:bookmarkEnd w:id="1"/>
          <w:r>
            <w:rPr>
              <w:sz w:val="28"/>
              <w:szCs w:val="28"/>
              <w:highlight w:val="none"/>
            </w:rPr>
            <w:fldChar w:fldCharType="end"/>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_Toc4832_WPSOffice_Level1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7f31dd5f-4594-4d5e-9a59-309247d30279}"/>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Times New Roman" w:hAnsi="Times New Roman" w:eastAsia="宋体" w:cs="Times New Roman"/>
                  <w:sz w:val="28"/>
                  <w:szCs w:val="28"/>
                  <w:highlight w:val="none"/>
                </w:rPr>
                <w:t xml:space="preserve">第二章 </w:t>
              </w:r>
              <w:r>
                <w:rPr>
                  <w:rFonts w:hint="eastAsia" w:cs="Times New Roman"/>
                  <w:sz w:val="28"/>
                  <w:szCs w:val="28"/>
                  <w:highlight w:val="none"/>
                  <w:lang w:val="en-US" w:eastAsia="zh-CN"/>
                </w:rPr>
                <w:t xml:space="preserve">  </w:t>
              </w:r>
              <w:r>
                <w:rPr>
                  <w:rFonts w:hint="eastAsia" w:ascii="Times New Roman" w:hAnsi="Times New Roman" w:eastAsia="宋体" w:cs="Times New Roman"/>
                  <w:sz w:val="28"/>
                  <w:szCs w:val="28"/>
                  <w:highlight w:val="none"/>
                </w:rPr>
                <w:t>投标人须知</w:t>
              </w:r>
            </w:sdtContent>
          </w:sdt>
          <w:r>
            <w:rPr>
              <w:sz w:val="28"/>
              <w:szCs w:val="28"/>
              <w:highlight w:val="none"/>
            </w:rPr>
            <w:tab/>
          </w:r>
          <w:bookmarkStart w:id="2" w:name="_Toc4832_WPSOffice_Level1Page"/>
          <w:r>
            <w:rPr>
              <w:sz w:val="28"/>
              <w:szCs w:val="28"/>
              <w:highlight w:val="none"/>
            </w:rPr>
            <w:t>6</w:t>
          </w:r>
          <w:bookmarkEnd w:id="2"/>
          <w:r>
            <w:rPr>
              <w:sz w:val="28"/>
              <w:szCs w:val="28"/>
              <w:highlight w:val="none"/>
            </w:rPr>
            <w:fldChar w:fldCharType="end"/>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_Toc8529_WPSOffice_Level1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47739832-782c-46fb-9d93-f3f93565aa94}"/>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Times New Roman" w:hAnsi="Times New Roman" w:eastAsia="宋体" w:cs="Times New Roman"/>
                  <w:sz w:val="28"/>
                  <w:szCs w:val="28"/>
                  <w:highlight w:val="none"/>
                </w:rPr>
                <w:t xml:space="preserve">第三章  </w:t>
              </w:r>
              <w:r>
                <w:rPr>
                  <w:rFonts w:hint="eastAsia" w:cs="Times New Roman"/>
                  <w:sz w:val="28"/>
                  <w:szCs w:val="28"/>
                  <w:highlight w:val="none"/>
                  <w:lang w:val="en-US" w:eastAsia="zh-CN"/>
                </w:rPr>
                <w:t xml:space="preserve"> </w:t>
              </w:r>
              <w:r>
                <w:rPr>
                  <w:rFonts w:hint="eastAsia" w:ascii="Times New Roman" w:hAnsi="Times New Roman" w:eastAsia="宋体" w:cs="Times New Roman"/>
                  <w:sz w:val="28"/>
                  <w:szCs w:val="28"/>
                  <w:highlight w:val="none"/>
                </w:rPr>
                <w:t>用户需求书</w:t>
              </w:r>
            </w:sdtContent>
          </w:sdt>
          <w:r>
            <w:rPr>
              <w:sz w:val="28"/>
              <w:szCs w:val="28"/>
              <w:highlight w:val="none"/>
            </w:rPr>
            <w:tab/>
          </w:r>
          <w:bookmarkStart w:id="3" w:name="_Toc8529_WPSOffice_Level1Page"/>
          <w:r>
            <w:rPr>
              <w:sz w:val="28"/>
              <w:szCs w:val="28"/>
              <w:highlight w:val="none"/>
            </w:rPr>
            <w:t>26</w:t>
          </w:r>
          <w:bookmarkEnd w:id="3"/>
          <w:r>
            <w:rPr>
              <w:sz w:val="28"/>
              <w:szCs w:val="28"/>
              <w:highlight w:val="none"/>
            </w:rPr>
            <w:fldChar w:fldCharType="end"/>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_Toc15160_WPSOffice_Level1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10d2c755-a6c4-4360-9550-c7acb8a0fcad}"/>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Times New Roman" w:hAnsi="Times New Roman" w:eastAsia="宋体" w:cs="Times New Roman"/>
                  <w:sz w:val="28"/>
                  <w:szCs w:val="28"/>
                  <w:highlight w:val="none"/>
                </w:rPr>
                <w:t xml:space="preserve">第四章 </w:t>
              </w:r>
              <w:r>
                <w:rPr>
                  <w:rFonts w:hint="eastAsia" w:cs="Times New Roman"/>
                  <w:sz w:val="28"/>
                  <w:szCs w:val="28"/>
                  <w:highlight w:val="none"/>
                  <w:lang w:val="en-US" w:eastAsia="zh-CN"/>
                </w:rPr>
                <w:t xml:space="preserve">  </w:t>
              </w:r>
              <w:r>
                <w:rPr>
                  <w:rFonts w:hint="eastAsia" w:ascii="Times New Roman" w:hAnsi="Times New Roman" w:eastAsia="宋体" w:cs="Times New Roman"/>
                  <w:sz w:val="28"/>
                  <w:szCs w:val="28"/>
                  <w:highlight w:val="none"/>
                </w:rPr>
                <w:t>合同条款</w:t>
              </w:r>
            </w:sdtContent>
          </w:sdt>
          <w:r>
            <w:rPr>
              <w:sz w:val="28"/>
              <w:szCs w:val="28"/>
              <w:highlight w:val="none"/>
            </w:rPr>
            <w:tab/>
          </w:r>
          <w:bookmarkStart w:id="4" w:name="_Toc15160_WPSOffice_Level1Page"/>
          <w:r>
            <w:rPr>
              <w:sz w:val="28"/>
              <w:szCs w:val="28"/>
              <w:highlight w:val="none"/>
            </w:rPr>
            <w:t>41</w:t>
          </w:r>
          <w:bookmarkEnd w:id="4"/>
          <w:r>
            <w:rPr>
              <w:sz w:val="28"/>
              <w:szCs w:val="28"/>
              <w:highlight w:val="none"/>
            </w:rPr>
            <w:fldChar w:fldCharType="end"/>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_Toc4165_WPSOffice_Level1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e47c7f04-d706-405e-b68a-6c4bbea29dee}"/>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Times New Roman" w:hAnsi="Times New Roman" w:eastAsia="宋体" w:cs="Times New Roman"/>
                  <w:sz w:val="28"/>
                  <w:szCs w:val="28"/>
                  <w:highlight w:val="none"/>
                </w:rPr>
                <w:t xml:space="preserve">第五章 </w:t>
              </w:r>
              <w:r>
                <w:rPr>
                  <w:rFonts w:hint="eastAsia" w:cs="Times New Roman"/>
                  <w:sz w:val="28"/>
                  <w:szCs w:val="28"/>
                  <w:highlight w:val="none"/>
                  <w:lang w:val="en-US" w:eastAsia="zh-CN"/>
                </w:rPr>
                <w:t xml:space="preserve">  </w:t>
              </w:r>
              <w:r>
                <w:rPr>
                  <w:rFonts w:hint="eastAsia" w:ascii="Times New Roman" w:hAnsi="Times New Roman" w:eastAsia="宋体" w:cs="Times New Roman"/>
                  <w:sz w:val="28"/>
                  <w:szCs w:val="28"/>
                  <w:highlight w:val="none"/>
                </w:rPr>
                <w:t>投标文件内容和格式</w:t>
              </w:r>
            </w:sdtContent>
          </w:sdt>
          <w:r>
            <w:rPr>
              <w:sz w:val="28"/>
              <w:szCs w:val="28"/>
              <w:highlight w:val="none"/>
            </w:rPr>
            <w:tab/>
          </w:r>
          <w:bookmarkStart w:id="5" w:name="_Toc4165_WPSOffice_Level1Page"/>
          <w:r>
            <w:rPr>
              <w:sz w:val="28"/>
              <w:szCs w:val="28"/>
              <w:highlight w:val="none"/>
            </w:rPr>
            <w:t>73</w:t>
          </w:r>
          <w:bookmarkEnd w:id="5"/>
          <w:r>
            <w:rPr>
              <w:sz w:val="28"/>
              <w:szCs w:val="28"/>
              <w:highlight w:val="none"/>
            </w:rPr>
            <w:fldChar w:fldCharType="end"/>
          </w:r>
        </w:p>
        <w:p>
          <w:pPr>
            <w:pStyle w:val="37"/>
            <w:tabs>
              <w:tab w:val="right" w:leader="dot" w:pos="8306"/>
            </w:tabs>
            <w:rPr>
              <w:sz w:val="28"/>
              <w:szCs w:val="28"/>
              <w:highlight w:val="none"/>
            </w:rPr>
          </w:pPr>
          <w:r>
            <w:rPr>
              <w:sz w:val="28"/>
              <w:szCs w:val="28"/>
              <w:highlight w:val="none"/>
            </w:rPr>
            <w:fldChar w:fldCharType="begin"/>
          </w:r>
          <w:r>
            <w:rPr>
              <w:sz w:val="28"/>
              <w:szCs w:val="28"/>
              <w:highlight w:val="none"/>
            </w:rPr>
            <w:instrText xml:space="preserve"> HYPERLINK \l _Toc4486_WPSOffice_Level1 </w:instrText>
          </w:r>
          <w:r>
            <w:rPr>
              <w:sz w:val="28"/>
              <w:szCs w:val="28"/>
              <w:highlight w:val="none"/>
            </w:rPr>
            <w:fldChar w:fldCharType="separate"/>
          </w:r>
          <w:sdt>
            <w:sdtPr>
              <w:rPr>
                <w:rFonts w:ascii="Times New Roman" w:hAnsi="Times New Roman" w:eastAsia="宋体" w:cs="Times New Roman"/>
                <w:b/>
                <w:kern w:val="44"/>
                <w:sz w:val="28"/>
                <w:szCs w:val="28"/>
                <w:highlight w:val="none"/>
                <w:lang w:val="en-US" w:eastAsia="zh-CN" w:bidi="ar-SA"/>
              </w:rPr>
              <w:id w:val="147464213"/>
              <w:placeholder>
                <w:docPart w:val="{2853613b-cb84-420a-90c3-4593fe7909dd}"/>
              </w:placeholder>
              <w15:color w:val="509DF3"/>
            </w:sdtPr>
            <w:sdtEndPr>
              <w:rPr>
                <w:rFonts w:ascii="Times New Roman" w:hAnsi="Times New Roman" w:eastAsia="宋体" w:cs="Times New Roman"/>
                <w:b/>
                <w:kern w:val="44"/>
                <w:sz w:val="28"/>
                <w:szCs w:val="28"/>
                <w:highlight w:val="none"/>
                <w:lang w:val="en-US" w:eastAsia="zh-CN" w:bidi="ar-SA"/>
              </w:rPr>
            </w:sdtEndPr>
            <w:sdtContent>
              <w:r>
                <w:rPr>
                  <w:rFonts w:hint="eastAsia" w:ascii="宋体" w:hAnsi="宋体" w:eastAsia="宋体" w:cs="宋体"/>
                  <w:sz w:val="28"/>
                  <w:szCs w:val="28"/>
                  <w:highlight w:val="none"/>
                </w:rPr>
                <w:t xml:space="preserve">第六章  </w:t>
              </w:r>
              <w:r>
                <w:rPr>
                  <w:rFonts w:hint="eastAsia" w:ascii="宋体" w:hAnsi="宋体" w:cs="宋体"/>
                  <w:sz w:val="28"/>
                  <w:szCs w:val="28"/>
                  <w:highlight w:val="none"/>
                  <w:lang w:val="en-US" w:eastAsia="zh-CN"/>
                </w:rPr>
                <w:t xml:space="preserve"> </w:t>
              </w:r>
              <w:r>
                <w:rPr>
                  <w:rFonts w:hint="eastAsia" w:ascii="宋体" w:hAnsi="宋体" w:eastAsia="宋体" w:cs="宋体"/>
                  <w:sz w:val="28"/>
                  <w:szCs w:val="28"/>
                  <w:highlight w:val="none"/>
                </w:rPr>
                <w:t>评标办法</w:t>
              </w:r>
            </w:sdtContent>
          </w:sdt>
          <w:r>
            <w:rPr>
              <w:sz w:val="28"/>
              <w:szCs w:val="28"/>
              <w:highlight w:val="none"/>
            </w:rPr>
            <w:tab/>
          </w:r>
          <w:bookmarkStart w:id="6" w:name="_Toc4486_WPSOffice_Level1Page"/>
          <w:r>
            <w:rPr>
              <w:sz w:val="28"/>
              <w:szCs w:val="28"/>
              <w:highlight w:val="none"/>
            </w:rPr>
            <w:t>93</w:t>
          </w:r>
          <w:bookmarkEnd w:id="6"/>
          <w:r>
            <w:rPr>
              <w:sz w:val="28"/>
              <w:szCs w:val="28"/>
              <w:highlight w:val="none"/>
            </w:rPr>
            <w:fldChar w:fldCharType="end"/>
          </w:r>
        </w:p>
        <w:bookmarkEnd w:id="0"/>
        <w:p>
          <w:pPr>
            <w:pStyle w:val="37"/>
            <w:tabs>
              <w:tab w:val="right" w:leader="dot" w:pos="8306"/>
            </w:tabs>
            <w:rPr>
              <w:rFonts w:ascii="Times New Roman" w:hAnsi="Times New Roman" w:eastAsia="宋体" w:cs="Times New Roman"/>
              <w:sz w:val="28"/>
              <w:szCs w:val="28"/>
              <w:highlight w:val="none"/>
              <w:lang w:val="en-US" w:eastAsia="zh-CN" w:bidi="ar-SA"/>
            </w:rPr>
            <w:sectPr>
              <w:footerReference r:id="rId3" w:type="default"/>
              <w:pgSz w:w="11906" w:h="16838"/>
              <w:pgMar w:top="1440" w:right="1800" w:bottom="1440" w:left="1800" w:header="851" w:footer="992" w:gutter="0"/>
              <w:pgNumType w:start="1"/>
              <w:cols w:space="425" w:num="1"/>
              <w:docGrid w:type="lines" w:linePitch="312" w:charSpace="0"/>
            </w:sectPr>
          </w:pPr>
          <w:bookmarkStart w:id="7" w:name="_Toc10932_WPSOffice_Level1"/>
        </w:p>
        <w:p>
          <w:pPr>
            <w:pStyle w:val="37"/>
            <w:tabs>
              <w:tab w:val="right" w:leader="dot" w:pos="8306"/>
            </w:tabs>
            <w:rPr>
              <w:highlight w:val="none"/>
            </w:rPr>
          </w:pPr>
        </w:p>
      </w:sdtContent>
    </w:sdt>
    <w:p>
      <w:pPr>
        <w:pStyle w:val="4"/>
        <w:jc w:val="center"/>
        <w:rPr>
          <w:highlight w:val="none"/>
        </w:rPr>
      </w:pPr>
      <w:r>
        <w:rPr>
          <w:rFonts w:hint="eastAsia"/>
          <w:highlight w:val="none"/>
        </w:rPr>
        <w:t>第一章   招标公告</w:t>
      </w:r>
      <w:bookmarkEnd w:id="7"/>
    </w:p>
    <w:p>
      <w:pPr>
        <w:ind w:firstLine="420"/>
        <w:rPr>
          <w:rFonts w:ascii="宋体" w:hAnsi="宋体" w:cs="宋体"/>
          <w:sz w:val="28"/>
          <w:szCs w:val="28"/>
          <w:highlight w:val="none"/>
        </w:rPr>
      </w:pPr>
      <w:r>
        <w:rPr>
          <w:rFonts w:hint="eastAsia" w:ascii="宋体" w:hAnsi="宋体" w:cs="宋体"/>
          <w:sz w:val="28"/>
          <w:szCs w:val="28"/>
          <w:highlight w:val="none"/>
        </w:rPr>
        <w:t>深圳市万德公共咨询有限公司受海口市美兰区环境卫生管理局的委托，对（采购编号: WDSZ2019003、海口市美兰区乡镇环卫一体化）项目所需相关服务，组织公开招标，欢迎合格的供应商参与投标。有关事项如下：</w:t>
      </w:r>
    </w:p>
    <w:p>
      <w:pPr>
        <w:rPr>
          <w:rFonts w:ascii="宋体" w:hAnsi="宋体" w:cs="宋体"/>
          <w:sz w:val="28"/>
          <w:szCs w:val="28"/>
          <w:highlight w:val="none"/>
        </w:rPr>
      </w:pPr>
      <w:r>
        <w:rPr>
          <w:rFonts w:hint="eastAsia" w:ascii="宋体" w:hAnsi="宋体" w:cs="宋体"/>
          <w:sz w:val="28"/>
          <w:szCs w:val="28"/>
          <w:highlight w:val="none"/>
        </w:rPr>
        <w:t>1. 采购编号：WDSZ2019003</w:t>
      </w:r>
    </w:p>
    <w:p>
      <w:pPr>
        <w:rPr>
          <w:rFonts w:ascii="宋体" w:hAnsi="宋体" w:cs="宋体"/>
          <w:sz w:val="28"/>
          <w:szCs w:val="28"/>
          <w:highlight w:val="none"/>
        </w:rPr>
      </w:pPr>
      <w:r>
        <w:rPr>
          <w:rFonts w:hint="eastAsia" w:ascii="宋体" w:hAnsi="宋体" w:cs="宋体"/>
          <w:sz w:val="28"/>
          <w:szCs w:val="28"/>
          <w:highlight w:val="none"/>
        </w:rPr>
        <w:t>2. 招标项目及范围：海口市美兰区乡镇环卫一体化项目</w:t>
      </w:r>
    </w:p>
    <w:p>
      <w:pPr>
        <w:rPr>
          <w:rFonts w:ascii="宋体" w:hAnsi="宋体" w:cs="宋体"/>
          <w:sz w:val="28"/>
          <w:szCs w:val="28"/>
          <w:highlight w:val="none"/>
        </w:rPr>
      </w:pPr>
      <w:r>
        <w:rPr>
          <w:rFonts w:hint="eastAsia" w:ascii="宋体" w:hAnsi="宋体" w:cs="宋体"/>
          <w:sz w:val="28"/>
          <w:szCs w:val="28"/>
          <w:highlight w:val="none"/>
        </w:rPr>
        <w:t>2.1 名称：海口市美兰区乡镇环卫一体化项目</w:t>
      </w:r>
    </w:p>
    <w:p>
      <w:pPr>
        <w:rPr>
          <w:rFonts w:ascii="宋体" w:hAnsi="宋体" w:cs="宋体"/>
          <w:sz w:val="28"/>
          <w:szCs w:val="28"/>
          <w:highlight w:val="none"/>
        </w:rPr>
      </w:pPr>
      <w:r>
        <w:rPr>
          <w:rFonts w:hint="eastAsia" w:ascii="宋体" w:hAnsi="宋体" w:cs="宋体"/>
          <w:sz w:val="28"/>
          <w:szCs w:val="28"/>
          <w:highlight w:val="none"/>
        </w:rPr>
        <w:t>2.2 用途：工作需要</w:t>
      </w:r>
    </w:p>
    <w:p>
      <w:pPr>
        <w:rPr>
          <w:rFonts w:ascii="宋体" w:hAnsi="宋体" w:cs="宋体"/>
          <w:sz w:val="28"/>
          <w:szCs w:val="28"/>
          <w:highlight w:val="none"/>
        </w:rPr>
      </w:pPr>
      <w:r>
        <w:rPr>
          <w:rFonts w:hint="eastAsia" w:ascii="宋体" w:hAnsi="宋体" w:cs="宋体"/>
          <w:sz w:val="28"/>
          <w:szCs w:val="28"/>
          <w:highlight w:val="none"/>
        </w:rPr>
        <w:t>2.3 数量及分包：一批不分包（详见用户需求书）</w:t>
      </w:r>
    </w:p>
    <w:p>
      <w:pPr>
        <w:rPr>
          <w:rFonts w:ascii="宋体" w:hAnsi="宋体" w:cs="宋体"/>
          <w:sz w:val="28"/>
          <w:szCs w:val="28"/>
          <w:highlight w:val="none"/>
        </w:rPr>
      </w:pPr>
      <w:r>
        <w:rPr>
          <w:rFonts w:hint="eastAsia" w:ascii="宋体" w:hAnsi="宋体" w:cs="宋体"/>
          <w:sz w:val="28"/>
          <w:szCs w:val="28"/>
          <w:highlight w:val="none"/>
        </w:rPr>
        <w:t>2.4 简要技术要求或项目基本概况：海口市美兰区环境卫生管理局采购海口市美兰区乡镇环卫一体化项目服务，其他详见《用户需求书》。</w:t>
      </w:r>
    </w:p>
    <w:p>
      <w:pPr>
        <w:rPr>
          <w:rFonts w:ascii="宋体" w:hAnsi="宋体" w:cs="宋体"/>
          <w:sz w:val="28"/>
          <w:szCs w:val="28"/>
          <w:highlight w:val="none"/>
        </w:rPr>
      </w:pPr>
      <w:r>
        <w:rPr>
          <w:rFonts w:hint="eastAsia" w:ascii="宋体" w:hAnsi="宋体" w:cs="宋体"/>
          <w:sz w:val="28"/>
          <w:szCs w:val="28"/>
          <w:highlight w:val="none"/>
        </w:rPr>
        <w:t>2.5 采购预算：人民币￥7777.34 万元/年 （3年合计23332.02万元），投标报价超出采购预算的视为无效投标。</w:t>
      </w:r>
    </w:p>
    <w:p>
      <w:pPr>
        <w:rPr>
          <w:rFonts w:ascii="宋体" w:hAnsi="宋体" w:cs="宋体"/>
          <w:sz w:val="28"/>
          <w:szCs w:val="28"/>
          <w:highlight w:val="none"/>
        </w:rPr>
      </w:pPr>
      <w:r>
        <w:rPr>
          <w:rFonts w:hint="eastAsia" w:ascii="宋体" w:hAnsi="宋体" w:cs="宋体"/>
          <w:sz w:val="28"/>
          <w:szCs w:val="28"/>
          <w:highlight w:val="none"/>
        </w:rPr>
        <w:t xml:space="preserve">2.6 资金来源：财政资金 </w:t>
      </w:r>
    </w:p>
    <w:p>
      <w:pPr>
        <w:rPr>
          <w:rFonts w:ascii="宋体" w:hAnsi="宋体" w:cs="宋体"/>
          <w:sz w:val="28"/>
          <w:szCs w:val="28"/>
          <w:highlight w:val="none"/>
        </w:rPr>
      </w:pPr>
      <w:r>
        <w:rPr>
          <w:rFonts w:hint="eastAsia" w:ascii="宋体" w:hAnsi="宋体" w:cs="宋体"/>
          <w:sz w:val="28"/>
          <w:szCs w:val="28"/>
          <w:highlight w:val="none"/>
        </w:rPr>
        <w:t>3. 投标人资格要求</w:t>
      </w:r>
    </w:p>
    <w:p>
      <w:pPr>
        <w:rPr>
          <w:rFonts w:ascii="宋体" w:hAnsi="宋体" w:cs="宋体"/>
          <w:sz w:val="28"/>
          <w:szCs w:val="28"/>
          <w:highlight w:val="none"/>
        </w:rPr>
      </w:pPr>
      <w:r>
        <w:rPr>
          <w:rFonts w:hint="eastAsia" w:ascii="宋体" w:hAnsi="宋体" w:cs="宋体"/>
          <w:sz w:val="28"/>
          <w:szCs w:val="28"/>
          <w:highlight w:val="none"/>
        </w:rPr>
        <w:t>3.1 主体要求：</w:t>
      </w:r>
    </w:p>
    <w:p>
      <w:pPr>
        <w:rPr>
          <w:rFonts w:ascii="宋体" w:hAnsi="宋体" w:cs="宋体"/>
          <w:sz w:val="28"/>
          <w:szCs w:val="28"/>
          <w:highlight w:val="none"/>
        </w:rPr>
      </w:pPr>
      <w:r>
        <w:rPr>
          <w:rFonts w:hint="eastAsia" w:ascii="宋体" w:hAnsi="宋体" w:cs="宋体"/>
          <w:sz w:val="28"/>
          <w:szCs w:val="28"/>
          <w:highlight w:val="none"/>
        </w:rPr>
        <w:t>3.1.1在中华人民共和国注册的、具有独立承担民事责任能力的法人(提供有效的营业执照、组织机构代码证和税务登记证或三证合一的营业执照复印件加盖公章）。</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3.1.2具有良好的商业信誉和健全的财务会计制度（需提供2019年任意3个月投标单位财务报表或提供2018年度会计师事务所出具的财务审计报告）。</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3.1.3有依法缴纳社会保障资金的良好记录（提供2019年任意3个月纳税证明和社会保障资金的证明）。</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3.1.4参加政府采购活动前三年内，在经营活动中没有重大违法记录（投标人必须为未被列入信用中国网站(www.creditchina.gov.cn)的“失信被执行人”、“重大税收违法案件当事人名单”、“政府采购严重违法失信名单”和中国政府采购网(www.ccgp.gov.cn) 的“政府采购严重违法失信行为记录名单”的供应商（提供开标时间前15天内的查询结果网页截图并加盖单位公章）。</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3.1.5投标人必须具有履行合同所必需的设备和专业技术能力（需提供承诺函）。</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3.1.6单位负责人为同一人或者存在直接控股、管理关系的不同供应商，不得同时参加本项目的投标活动。为本项目提供整体设计、规范编制或者项目管理、监理、检测等服务的供应商，不得参加本项目的投标活动。</w:t>
      </w:r>
    </w:p>
    <w:p>
      <w:pPr>
        <w:rPr>
          <w:rFonts w:ascii="宋体" w:hAnsi="宋体" w:cs="宋体"/>
          <w:sz w:val="28"/>
          <w:szCs w:val="28"/>
          <w:highlight w:val="none"/>
        </w:rPr>
      </w:pPr>
      <w:r>
        <w:rPr>
          <w:rFonts w:hint="eastAsia" w:ascii="宋体" w:hAnsi="宋体" w:cs="宋体"/>
          <w:sz w:val="28"/>
          <w:szCs w:val="28"/>
          <w:highlight w:val="none"/>
        </w:rPr>
        <w:t>3.2 业绩经验：至投标截止日，至少承做过一个面积1000万㎡以上的环卫清扫保洁项目；（提供与政府方签订的协议复印件）。</w:t>
      </w:r>
    </w:p>
    <w:p>
      <w:pPr>
        <w:rPr>
          <w:rFonts w:ascii="宋体" w:hAnsi="宋体" w:cs="宋体"/>
          <w:sz w:val="28"/>
          <w:szCs w:val="28"/>
          <w:highlight w:val="none"/>
        </w:rPr>
      </w:pPr>
      <w:r>
        <w:rPr>
          <w:rFonts w:hint="eastAsia" w:ascii="宋体" w:hAnsi="宋体" w:cs="宋体"/>
          <w:sz w:val="28"/>
          <w:szCs w:val="28"/>
          <w:highlight w:val="none"/>
        </w:rPr>
        <w:t>3.3投标人必须对本项目内所有的内容进行投标，不允许只对其中部分内容进行投标，否则视为无效投标。</w:t>
      </w:r>
    </w:p>
    <w:p>
      <w:pPr>
        <w:rPr>
          <w:rFonts w:ascii="宋体" w:hAnsi="宋体" w:cs="宋体"/>
          <w:sz w:val="28"/>
          <w:szCs w:val="28"/>
          <w:highlight w:val="none"/>
        </w:rPr>
      </w:pPr>
      <w:r>
        <w:rPr>
          <w:rFonts w:hint="eastAsia" w:ascii="宋体" w:hAnsi="宋体" w:cs="宋体"/>
          <w:sz w:val="28"/>
          <w:szCs w:val="28"/>
          <w:highlight w:val="none"/>
        </w:rPr>
        <w:t>3.4 本项目不接受联合体投标。</w:t>
      </w:r>
    </w:p>
    <w:p>
      <w:pPr>
        <w:rPr>
          <w:rFonts w:ascii="宋体" w:hAnsi="宋体" w:cs="宋体"/>
          <w:sz w:val="28"/>
          <w:szCs w:val="28"/>
          <w:highlight w:val="none"/>
        </w:rPr>
      </w:pPr>
      <w:r>
        <w:rPr>
          <w:rFonts w:hint="eastAsia" w:ascii="宋体" w:hAnsi="宋体" w:cs="宋体"/>
          <w:sz w:val="28"/>
          <w:szCs w:val="28"/>
          <w:highlight w:val="none"/>
        </w:rPr>
        <w:t>4. 招标文件的获取</w:t>
      </w:r>
    </w:p>
    <w:p>
      <w:pPr>
        <w:rPr>
          <w:rFonts w:hint="default" w:ascii="宋体" w:hAnsi="宋体" w:eastAsia="宋体" w:cs="宋体"/>
          <w:sz w:val="28"/>
          <w:szCs w:val="28"/>
          <w:highlight w:val="none"/>
          <w:lang w:val="en-US" w:eastAsia="zh-CN"/>
        </w:rPr>
      </w:pPr>
      <w:r>
        <w:rPr>
          <w:rFonts w:hint="eastAsia" w:ascii="宋体" w:hAnsi="宋体" w:cs="宋体"/>
          <w:sz w:val="28"/>
          <w:szCs w:val="28"/>
          <w:highlight w:val="none"/>
        </w:rPr>
        <w:t>4.1 发售标书时间：2019年</w:t>
      </w:r>
      <w:r>
        <w:rPr>
          <w:rFonts w:hint="eastAsia" w:ascii="宋体" w:hAnsi="宋体" w:cs="宋体"/>
          <w:sz w:val="28"/>
          <w:szCs w:val="28"/>
          <w:highlight w:val="none"/>
          <w:lang w:val="en-US" w:eastAsia="zh-CN"/>
        </w:rPr>
        <w:t>8</w:t>
      </w:r>
      <w:r>
        <w:rPr>
          <w:rFonts w:hint="eastAsia" w:ascii="宋体" w:hAnsi="宋体" w:cs="宋体"/>
          <w:sz w:val="28"/>
          <w:szCs w:val="28"/>
          <w:highlight w:val="none"/>
        </w:rPr>
        <w:t>月</w:t>
      </w:r>
      <w:r>
        <w:rPr>
          <w:rFonts w:hint="eastAsia" w:ascii="宋体" w:hAnsi="宋体" w:cs="宋体"/>
          <w:sz w:val="28"/>
          <w:szCs w:val="28"/>
          <w:highlight w:val="none"/>
          <w:lang w:val="en-US" w:eastAsia="zh-CN"/>
        </w:rPr>
        <w:t>28</w:t>
      </w:r>
      <w:r>
        <w:rPr>
          <w:rFonts w:hint="eastAsia" w:ascii="宋体" w:hAnsi="宋体" w:cs="宋体"/>
          <w:sz w:val="28"/>
          <w:szCs w:val="28"/>
          <w:highlight w:val="none"/>
        </w:rPr>
        <w:t>日</w:t>
      </w:r>
      <w:r>
        <w:rPr>
          <w:rFonts w:hint="eastAsia" w:ascii="宋体" w:hAnsi="宋体" w:cs="宋体"/>
          <w:sz w:val="28"/>
          <w:szCs w:val="28"/>
          <w:highlight w:val="none"/>
          <w:lang w:val="en-US" w:eastAsia="zh-CN"/>
        </w:rPr>
        <w:t>0:00:00(北京时间)</w:t>
      </w:r>
      <w:r>
        <w:rPr>
          <w:rFonts w:hint="eastAsia" w:ascii="宋体" w:hAnsi="宋体" w:cs="宋体"/>
          <w:sz w:val="28"/>
          <w:szCs w:val="28"/>
          <w:highlight w:val="none"/>
        </w:rPr>
        <w:t>-2019年</w:t>
      </w:r>
      <w:r>
        <w:rPr>
          <w:rFonts w:hint="eastAsia" w:ascii="宋体" w:hAnsi="宋体" w:cs="宋体"/>
          <w:sz w:val="28"/>
          <w:szCs w:val="28"/>
          <w:highlight w:val="none"/>
          <w:lang w:val="en-US" w:eastAsia="zh-CN"/>
        </w:rPr>
        <w:t>9</w:t>
      </w:r>
      <w:r>
        <w:rPr>
          <w:rFonts w:hint="eastAsia" w:ascii="宋体" w:hAnsi="宋体" w:cs="宋体"/>
          <w:sz w:val="28"/>
          <w:szCs w:val="28"/>
          <w:highlight w:val="none"/>
        </w:rPr>
        <w:t>月</w:t>
      </w:r>
      <w:r>
        <w:rPr>
          <w:rFonts w:hint="eastAsia" w:ascii="宋体" w:hAnsi="宋体" w:cs="宋体"/>
          <w:sz w:val="28"/>
          <w:szCs w:val="28"/>
          <w:highlight w:val="none"/>
          <w:lang w:val="en-US" w:eastAsia="zh-CN"/>
        </w:rPr>
        <w:t>4</w:t>
      </w:r>
      <w:r>
        <w:rPr>
          <w:rFonts w:hint="eastAsia" w:ascii="宋体" w:hAnsi="宋体" w:cs="宋体"/>
          <w:sz w:val="28"/>
          <w:szCs w:val="28"/>
          <w:highlight w:val="none"/>
        </w:rPr>
        <w:t>日</w:t>
      </w:r>
      <w:r>
        <w:rPr>
          <w:rFonts w:hint="eastAsia" w:ascii="宋体" w:hAnsi="宋体" w:cs="宋体"/>
          <w:sz w:val="28"/>
          <w:szCs w:val="28"/>
          <w:highlight w:val="none"/>
          <w:lang w:val="en-US" w:eastAsia="zh-CN"/>
        </w:rPr>
        <w:t>24:00:00（北京时间）</w:t>
      </w:r>
    </w:p>
    <w:p>
      <w:pPr>
        <w:rPr>
          <w:rFonts w:hint="eastAsia" w:ascii="宋体" w:hAnsi="宋体" w:cs="宋体"/>
          <w:sz w:val="28"/>
          <w:szCs w:val="28"/>
          <w:highlight w:val="none"/>
        </w:rPr>
      </w:pPr>
      <w:r>
        <w:rPr>
          <w:rFonts w:hint="eastAsia" w:ascii="宋体" w:hAnsi="宋体" w:cs="宋体"/>
          <w:sz w:val="28"/>
          <w:szCs w:val="28"/>
          <w:highlight w:val="none"/>
        </w:rPr>
        <w:t>4.2 投标程序及采购文件获取办法</w:t>
      </w:r>
    </w:p>
    <w:p>
      <w:pPr>
        <w:rPr>
          <w:rFonts w:hint="eastAsia" w:ascii="宋体" w:hAnsi="宋体" w:cs="宋体"/>
          <w:sz w:val="28"/>
          <w:szCs w:val="28"/>
          <w:highlight w:val="none"/>
        </w:rPr>
      </w:pPr>
      <w:r>
        <w:rPr>
          <w:rFonts w:hint="eastAsia" w:ascii="宋体" w:hAnsi="宋体" w:cs="宋体"/>
          <w:sz w:val="28"/>
          <w:szCs w:val="28"/>
          <w:highlight w:val="none"/>
        </w:rPr>
        <w:t>4.2.1查看采购公告及下载采购文件登录海口市公共资源交易网（http://www.hkcein.com）网站主页, 在“欢迎进入网上交易服务大厅”下面双击交易信息，选择“交易公告”，点击政府采购，下载采购文件。</w:t>
      </w:r>
    </w:p>
    <w:p>
      <w:pPr>
        <w:pStyle w:val="2"/>
        <w:ind w:left="0" w:leftChars="0" w:firstLine="0" w:firstLineChars="0"/>
        <w:rPr>
          <w:rFonts w:hint="eastAsia" w:ascii="宋体" w:hAnsi="宋体" w:cs="宋体"/>
          <w:sz w:val="28"/>
          <w:szCs w:val="28"/>
          <w:highlight w:val="none"/>
          <w:lang w:eastAsia="zh-CN"/>
        </w:rPr>
      </w:pPr>
      <w:r>
        <w:rPr>
          <w:rFonts w:hint="eastAsia" w:ascii="宋体" w:hAnsi="宋体" w:cs="宋体"/>
          <w:sz w:val="28"/>
          <w:szCs w:val="28"/>
          <w:highlight w:val="none"/>
          <w:lang w:eastAsia="zh-CN"/>
        </w:rPr>
        <w:t>4.2.2 市场主体登记。在海口市公共资源交易网主页，进入“登录区→投标人/供应商”专栏，按照要求登记信息，已经在海南省或海口市公共资源交易网登记过的，无须再登记。</w:t>
      </w:r>
    </w:p>
    <w:p>
      <w:pPr>
        <w:pStyle w:val="2"/>
        <w:ind w:left="0" w:leftChars="0" w:firstLine="0" w:firstLineChars="0"/>
        <w:rPr>
          <w:rFonts w:hint="default" w:ascii="宋体" w:hAnsi="宋体" w:cs="宋体"/>
          <w:sz w:val="28"/>
          <w:szCs w:val="28"/>
          <w:highlight w:val="none"/>
          <w:lang w:val="en-US" w:eastAsia="zh-CN"/>
        </w:rPr>
      </w:pPr>
      <w:r>
        <w:rPr>
          <w:rFonts w:hint="eastAsia" w:ascii="宋体" w:hAnsi="宋体" w:cs="宋体"/>
          <w:sz w:val="28"/>
          <w:szCs w:val="28"/>
          <w:highlight w:val="none"/>
          <w:lang w:eastAsia="zh-CN"/>
        </w:rPr>
        <w:t>4.2.3 投标申请并获取保证金账号。提交市场主体登记信息后，在海口市公共资源交易网主页，进入交易系统选择“我要投标”，提交项目投标申请后获取投标保证金账号，入未在规定时间内提交投标申请者，视同放弃参与本项目采购活动。</w:t>
      </w:r>
    </w:p>
    <w:p>
      <w:pPr>
        <w:rPr>
          <w:rFonts w:ascii="宋体" w:hAnsi="宋体" w:cs="宋体"/>
          <w:sz w:val="28"/>
          <w:szCs w:val="28"/>
          <w:highlight w:val="none"/>
        </w:rPr>
      </w:pPr>
      <w:r>
        <w:rPr>
          <w:rFonts w:hint="eastAsia" w:ascii="宋体" w:hAnsi="宋体" w:cs="宋体"/>
          <w:sz w:val="28"/>
          <w:szCs w:val="28"/>
          <w:highlight w:val="none"/>
        </w:rPr>
        <w:t>4.2.4 投标保证金（</w:t>
      </w:r>
      <w:r>
        <w:rPr>
          <w:rFonts w:hint="eastAsia"/>
          <w:sz w:val="28"/>
          <w:szCs w:val="28"/>
          <w:highlight w:val="none"/>
        </w:rPr>
        <w:t>保函或建设工程投标保险</w:t>
      </w:r>
      <w:r>
        <w:rPr>
          <w:rFonts w:hint="eastAsia" w:ascii="宋体" w:hAnsi="宋体" w:cs="宋体"/>
          <w:sz w:val="28"/>
          <w:szCs w:val="28"/>
          <w:highlight w:val="none"/>
        </w:rPr>
        <w:t>）的金额：233万元</w:t>
      </w:r>
    </w:p>
    <w:p>
      <w:pPr>
        <w:pStyle w:val="2"/>
        <w:ind w:left="0" w:leftChars="0" w:firstLine="0" w:firstLineChars="0"/>
        <w:rPr>
          <w:rFonts w:hint="eastAsia" w:ascii="宋体" w:hAnsi="宋体" w:cs="宋体"/>
          <w:sz w:val="28"/>
          <w:szCs w:val="28"/>
          <w:highlight w:val="none"/>
          <w:lang w:eastAsia="zh-CN"/>
        </w:rPr>
      </w:pPr>
      <w:r>
        <w:rPr>
          <w:rFonts w:hint="eastAsia" w:ascii="宋体" w:hAnsi="宋体" w:cs="宋体"/>
          <w:sz w:val="28"/>
          <w:szCs w:val="28"/>
          <w:highlight w:val="none"/>
          <w:lang w:eastAsia="zh-CN"/>
        </w:rPr>
        <w:t>4.2.5 投标保证金（</w:t>
      </w:r>
      <w:r>
        <w:rPr>
          <w:rFonts w:hint="eastAsia"/>
          <w:sz w:val="28"/>
          <w:szCs w:val="28"/>
          <w:highlight w:val="none"/>
          <w:lang w:eastAsia="zh-CN"/>
        </w:rPr>
        <w:t>保函或建设工程投标保险</w:t>
      </w:r>
      <w:r>
        <w:rPr>
          <w:rFonts w:hint="eastAsia" w:ascii="宋体" w:hAnsi="宋体" w:cs="宋体"/>
          <w:sz w:val="28"/>
          <w:szCs w:val="28"/>
          <w:highlight w:val="none"/>
          <w:lang w:eastAsia="zh-CN"/>
        </w:rPr>
        <w:t>）提交截止日期：2019年</w:t>
      </w:r>
      <w:r>
        <w:rPr>
          <w:rFonts w:hint="eastAsia" w:ascii="宋体" w:hAnsi="宋体" w:cs="宋体"/>
          <w:sz w:val="28"/>
          <w:szCs w:val="28"/>
          <w:highlight w:val="none"/>
          <w:lang w:val="en-US" w:eastAsia="zh-CN"/>
        </w:rPr>
        <w:t>9</w:t>
      </w:r>
      <w:r>
        <w:rPr>
          <w:rFonts w:hint="eastAsia" w:ascii="宋体" w:hAnsi="宋体" w:cs="宋体"/>
          <w:sz w:val="28"/>
          <w:szCs w:val="28"/>
          <w:highlight w:val="none"/>
          <w:lang w:eastAsia="zh-CN"/>
        </w:rPr>
        <w:t>月</w:t>
      </w:r>
      <w:r>
        <w:rPr>
          <w:rFonts w:hint="eastAsia" w:ascii="宋体" w:hAnsi="宋体" w:cs="宋体"/>
          <w:sz w:val="28"/>
          <w:szCs w:val="28"/>
          <w:highlight w:val="none"/>
          <w:lang w:val="en-US" w:eastAsia="zh-CN"/>
        </w:rPr>
        <w:t>17</w:t>
      </w:r>
      <w:r>
        <w:rPr>
          <w:rFonts w:hint="eastAsia" w:ascii="宋体" w:hAnsi="宋体" w:cs="宋体"/>
          <w:sz w:val="28"/>
          <w:szCs w:val="28"/>
          <w:highlight w:val="none"/>
          <w:lang w:eastAsia="zh-CN"/>
        </w:rPr>
        <w:t>日</w:t>
      </w:r>
      <w:r>
        <w:rPr>
          <w:rFonts w:hint="eastAsia" w:ascii="宋体" w:hAnsi="宋体" w:cs="宋体"/>
          <w:sz w:val="28"/>
          <w:szCs w:val="28"/>
          <w:highlight w:val="none"/>
          <w:lang w:val="en-US" w:eastAsia="zh-CN"/>
        </w:rPr>
        <w:t xml:space="preserve"> 09</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00</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00</w:t>
      </w:r>
      <w:r>
        <w:rPr>
          <w:rFonts w:hint="eastAsia" w:ascii="宋体" w:hAnsi="宋体" w:cs="宋体"/>
          <w:sz w:val="28"/>
          <w:szCs w:val="28"/>
          <w:highlight w:val="none"/>
          <w:lang w:eastAsia="zh-CN"/>
        </w:rPr>
        <w:t>（北京时间）</w:t>
      </w:r>
    </w:p>
    <w:p>
      <w:pPr>
        <w:pStyle w:val="2"/>
        <w:ind w:left="0" w:leftChars="0" w:firstLine="0" w:firstLineChars="0"/>
        <w:rPr>
          <w:rFonts w:hint="default" w:ascii="宋体" w:hAnsi="宋体" w:cs="宋体"/>
          <w:sz w:val="28"/>
          <w:szCs w:val="28"/>
          <w:highlight w:val="none"/>
          <w:lang w:val="en-US" w:eastAsia="zh-CN"/>
        </w:rPr>
      </w:pPr>
      <w:r>
        <w:rPr>
          <w:rFonts w:hint="eastAsia" w:ascii="宋体" w:hAnsi="宋体" w:cs="宋体"/>
          <w:sz w:val="28"/>
          <w:szCs w:val="28"/>
          <w:highlight w:val="none"/>
          <w:lang w:val="en-US" w:eastAsia="zh-CN"/>
        </w:rPr>
        <w:t>4.2.6 本项目采购公告及确认投标期限不少于5个工作日，自2019年8月28日零时至2019年9月4日24时止。</w:t>
      </w:r>
    </w:p>
    <w:p>
      <w:pPr>
        <w:rPr>
          <w:rFonts w:ascii="宋体" w:hAnsi="宋体" w:cs="宋体"/>
          <w:sz w:val="28"/>
          <w:szCs w:val="28"/>
          <w:highlight w:val="none"/>
        </w:rPr>
      </w:pPr>
      <w:r>
        <w:rPr>
          <w:rFonts w:hint="eastAsia" w:ascii="宋体" w:hAnsi="宋体" w:cs="宋体"/>
          <w:sz w:val="28"/>
          <w:szCs w:val="28"/>
          <w:highlight w:val="none"/>
        </w:rPr>
        <w:t>4.3 标书售价：招标文件售价500元/套；（于开标现场缴纳，售后不退）</w:t>
      </w:r>
    </w:p>
    <w:p>
      <w:pPr>
        <w:rPr>
          <w:rFonts w:ascii="宋体" w:hAnsi="宋体" w:cs="宋体"/>
          <w:sz w:val="28"/>
          <w:szCs w:val="28"/>
          <w:highlight w:val="none"/>
        </w:rPr>
      </w:pPr>
      <w:r>
        <w:rPr>
          <w:rFonts w:hint="eastAsia" w:ascii="宋体" w:hAnsi="宋体" w:cs="宋体"/>
          <w:sz w:val="28"/>
          <w:szCs w:val="28"/>
          <w:highlight w:val="none"/>
        </w:rPr>
        <w:t>4.4 投标人提问截止时间：2019年</w:t>
      </w:r>
      <w:r>
        <w:rPr>
          <w:rFonts w:hint="eastAsia" w:ascii="宋体" w:hAnsi="宋体" w:cs="宋体"/>
          <w:sz w:val="28"/>
          <w:szCs w:val="28"/>
          <w:highlight w:val="none"/>
          <w:lang w:val="en-US" w:eastAsia="zh-CN"/>
        </w:rPr>
        <w:t>9</w:t>
      </w:r>
      <w:r>
        <w:rPr>
          <w:rFonts w:hint="eastAsia" w:ascii="宋体" w:hAnsi="宋体" w:cs="宋体"/>
          <w:sz w:val="28"/>
          <w:szCs w:val="28"/>
          <w:highlight w:val="none"/>
        </w:rPr>
        <w:t>月</w:t>
      </w:r>
      <w:r>
        <w:rPr>
          <w:rFonts w:hint="eastAsia" w:ascii="宋体" w:hAnsi="宋体" w:cs="宋体"/>
          <w:sz w:val="28"/>
          <w:szCs w:val="28"/>
          <w:highlight w:val="none"/>
          <w:lang w:val="en-US" w:eastAsia="zh-CN"/>
        </w:rPr>
        <w:t>2</w:t>
      </w:r>
      <w:r>
        <w:rPr>
          <w:rFonts w:hint="eastAsia" w:ascii="宋体" w:hAnsi="宋体" w:cs="宋体"/>
          <w:sz w:val="28"/>
          <w:szCs w:val="28"/>
          <w:highlight w:val="none"/>
        </w:rPr>
        <w:t>日</w:t>
      </w:r>
      <w:r>
        <w:rPr>
          <w:rFonts w:hint="eastAsia" w:ascii="宋体" w:hAnsi="宋体" w:cs="宋体"/>
          <w:sz w:val="28"/>
          <w:szCs w:val="28"/>
          <w:highlight w:val="none"/>
          <w:lang w:val="en-US" w:eastAsia="zh-CN"/>
        </w:rPr>
        <w:t>0:00:00</w:t>
      </w:r>
      <w:r>
        <w:rPr>
          <w:rFonts w:hint="eastAsia" w:ascii="宋体" w:hAnsi="宋体" w:cs="宋体"/>
          <w:sz w:val="28"/>
          <w:szCs w:val="28"/>
          <w:highlight w:val="none"/>
        </w:rPr>
        <w:t>（北京时间）。</w:t>
      </w:r>
    </w:p>
    <w:p>
      <w:pPr>
        <w:rPr>
          <w:rFonts w:ascii="宋体" w:hAnsi="宋体" w:cs="宋体"/>
          <w:sz w:val="28"/>
          <w:szCs w:val="28"/>
          <w:highlight w:val="none"/>
        </w:rPr>
      </w:pPr>
      <w:r>
        <w:rPr>
          <w:rFonts w:hint="eastAsia" w:ascii="宋体" w:hAnsi="宋体" w:cs="宋体"/>
          <w:sz w:val="28"/>
          <w:szCs w:val="28"/>
          <w:highlight w:val="none"/>
        </w:rPr>
        <w:t>5. 投标文件的递交</w:t>
      </w:r>
    </w:p>
    <w:p>
      <w:pPr>
        <w:rPr>
          <w:rFonts w:ascii="宋体" w:hAnsi="宋体" w:cs="宋体"/>
          <w:sz w:val="28"/>
          <w:szCs w:val="28"/>
          <w:highlight w:val="none"/>
        </w:rPr>
      </w:pPr>
      <w:r>
        <w:rPr>
          <w:rFonts w:hint="eastAsia" w:ascii="宋体" w:hAnsi="宋体" w:cs="宋体"/>
          <w:sz w:val="28"/>
          <w:szCs w:val="28"/>
          <w:highlight w:val="none"/>
        </w:rPr>
        <w:t>5.1 投标文件递交截止时间：2019年</w:t>
      </w:r>
      <w:r>
        <w:rPr>
          <w:rFonts w:hint="eastAsia" w:ascii="宋体" w:hAnsi="宋体" w:cs="宋体"/>
          <w:sz w:val="28"/>
          <w:szCs w:val="28"/>
          <w:highlight w:val="none"/>
          <w:lang w:val="en-US" w:eastAsia="zh-CN"/>
        </w:rPr>
        <w:t>9</w:t>
      </w:r>
      <w:r>
        <w:rPr>
          <w:rFonts w:hint="eastAsia" w:ascii="宋体" w:hAnsi="宋体" w:cs="宋体"/>
          <w:sz w:val="28"/>
          <w:szCs w:val="28"/>
          <w:highlight w:val="none"/>
        </w:rPr>
        <w:t>月</w:t>
      </w:r>
      <w:r>
        <w:rPr>
          <w:rFonts w:hint="eastAsia" w:ascii="宋体" w:hAnsi="宋体" w:cs="宋体"/>
          <w:sz w:val="28"/>
          <w:szCs w:val="28"/>
          <w:highlight w:val="none"/>
          <w:lang w:val="en-US" w:eastAsia="zh-CN"/>
        </w:rPr>
        <w:t>17</w:t>
      </w:r>
      <w:r>
        <w:rPr>
          <w:rFonts w:hint="eastAsia" w:ascii="宋体" w:hAnsi="宋体" w:cs="宋体"/>
          <w:sz w:val="28"/>
          <w:szCs w:val="28"/>
          <w:highlight w:val="none"/>
        </w:rPr>
        <w:t>日</w:t>
      </w:r>
      <w:r>
        <w:rPr>
          <w:rFonts w:hint="eastAsia" w:ascii="宋体" w:hAnsi="宋体" w:cs="宋体"/>
          <w:sz w:val="28"/>
          <w:szCs w:val="28"/>
          <w:highlight w:val="none"/>
          <w:lang w:val="en-US" w:eastAsia="zh-CN"/>
        </w:rPr>
        <w:t>09:00:00</w:t>
      </w:r>
      <w:r>
        <w:rPr>
          <w:rFonts w:hint="eastAsia" w:ascii="宋体" w:hAnsi="宋体" w:cs="宋体"/>
          <w:sz w:val="28"/>
          <w:szCs w:val="28"/>
          <w:highlight w:val="none"/>
          <w:lang w:eastAsia="zh-CN"/>
        </w:rPr>
        <w:t>（</w:t>
      </w:r>
      <w:r>
        <w:rPr>
          <w:rFonts w:hint="eastAsia" w:ascii="宋体" w:hAnsi="宋体" w:cs="宋体"/>
          <w:sz w:val="28"/>
          <w:szCs w:val="28"/>
          <w:highlight w:val="none"/>
        </w:rPr>
        <w:t>北京时间</w:t>
      </w:r>
      <w:r>
        <w:rPr>
          <w:rFonts w:hint="eastAsia" w:ascii="宋体" w:hAnsi="宋体" w:cs="宋体"/>
          <w:sz w:val="28"/>
          <w:szCs w:val="28"/>
          <w:highlight w:val="none"/>
          <w:lang w:eastAsia="zh-CN"/>
        </w:rPr>
        <w:t>）</w:t>
      </w:r>
      <w:r>
        <w:rPr>
          <w:rFonts w:hint="eastAsia" w:ascii="宋体" w:hAnsi="宋体" w:cs="宋体"/>
          <w:sz w:val="28"/>
          <w:szCs w:val="28"/>
          <w:highlight w:val="none"/>
        </w:rPr>
        <w:t>。</w:t>
      </w:r>
    </w:p>
    <w:p>
      <w:pPr>
        <w:rPr>
          <w:rFonts w:hint="default" w:ascii="宋体" w:hAnsi="宋体" w:eastAsia="宋体" w:cs="宋体"/>
          <w:sz w:val="28"/>
          <w:szCs w:val="28"/>
          <w:highlight w:val="none"/>
          <w:lang w:val="en-US" w:eastAsia="zh-CN"/>
        </w:rPr>
      </w:pPr>
      <w:r>
        <w:rPr>
          <w:rFonts w:hint="eastAsia" w:ascii="宋体" w:hAnsi="宋体" w:cs="宋体"/>
          <w:sz w:val="28"/>
          <w:szCs w:val="28"/>
          <w:highlight w:val="none"/>
        </w:rPr>
        <w:t>5.2 开标时间：2019年</w:t>
      </w:r>
      <w:r>
        <w:rPr>
          <w:rFonts w:hint="eastAsia" w:ascii="宋体" w:hAnsi="宋体" w:cs="宋体"/>
          <w:sz w:val="28"/>
          <w:szCs w:val="28"/>
          <w:highlight w:val="none"/>
          <w:lang w:val="en-US" w:eastAsia="zh-CN"/>
        </w:rPr>
        <w:t>9</w:t>
      </w:r>
      <w:r>
        <w:rPr>
          <w:rFonts w:hint="eastAsia" w:ascii="宋体" w:hAnsi="宋体" w:cs="宋体"/>
          <w:sz w:val="28"/>
          <w:szCs w:val="28"/>
          <w:highlight w:val="none"/>
        </w:rPr>
        <w:t>月</w:t>
      </w:r>
      <w:r>
        <w:rPr>
          <w:rFonts w:hint="eastAsia" w:ascii="宋体" w:hAnsi="宋体" w:cs="宋体"/>
          <w:sz w:val="28"/>
          <w:szCs w:val="28"/>
          <w:highlight w:val="none"/>
          <w:lang w:val="en-US" w:eastAsia="zh-CN"/>
        </w:rPr>
        <w:t>17</w:t>
      </w:r>
      <w:r>
        <w:rPr>
          <w:rFonts w:hint="eastAsia" w:ascii="宋体" w:hAnsi="宋体" w:cs="宋体"/>
          <w:sz w:val="28"/>
          <w:szCs w:val="28"/>
          <w:highlight w:val="none"/>
        </w:rPr>
        <w:t>日</w:t>
      </w:r>
      <w:r>
        <w:rPr>
          <w:rFonts w:hint="eastAsia" w:ascii="宋体" w:hAnsi="宋体" w:cs="宋体"/>
          <w:sz w:val="28"/>
          <w:szCs w:val="28"/>
          <w:highlight w:val="none"/>
          <w:lang w:val="en-US" w:eastAsia="zh-CN"/>
        </w:rPr>
        <w:t>09:00:00（北京时间）</w:t>
      </w:r>
    </w:p>
    <w:p>
      <w:pPr>
        <w:rPr>
          <w:rFonts w:ascii="宋体" w:hAnsi="宋体" w:cs="宋体"/>
          <w:sz w:val="28"/>
          <w:szCs w:val="28"/>
          <w:highlight w:val="none"/>
        </w:rPr>
      </w:pPr>
      <w:r>
        <w:rPr>
          <w:rFonts w:hint="eastAsia" w:ascii="宋体" w:hAnsi="宋体" w:cs="宋体"/>
          <w:sz w:val="28"/>
          <w:szCs w:val="28"/>
          <w:highlight w:val="none"/>
        </w:rPr>
        <w:t>5.3 开标地点：海口市公共资源交易中心开评标会议室（海口市海甸五西路28号建安大厦附楼会议室，详见会议室门前标示，如有变动，另行通知）。</w:t>
      </w:r>
    </w:p>
    <w:p>
      <w:pPr>
        <w:rPr>
          <w:rFonts w:ascii="宋体" w:hAnsi="宋体" w:cs="宋体"/>
          <w:sz w:val="28"/>
          <w:szCs w:val="28"/>
          <w:highlight w:val="none"/>
        </w:rPr>
      </w:pPr>
      <w:r>
        <w:rPr>
          <w:rFonts w:hint="eastAsia" w:ascii="宋体" w:hAnsi="宋体" w:cs="宋体"/>
          <w:sz w:val="28"/>
          <w:szCs w:val="28"/>
          <w:highlight w:val="none"/>
        </w:rPr>
        <w:t>5.4 电子版的要求</w:t>
      </w:r>
    </w:p>
    <w:p>
      <w:pPr>
        <w:pStyle w:val="7"/>
        <w:ind w:firstLine="560"/>
        <w:rPr>
          <w:rFonts w:ascii="宋体" w:hAnsi="宋体" w:cs="宋体"/>
          <w:sz w:val="28"/>
          <w:szCs w:val="28"/>
          <w:highlight w:val="none"/>
        </w:rPr>
      </w:pPr>
      <w:r>
        <w:rPr>
          <w:rFonts w:hint="eastAsia" w:ascii="宋体" w:hAnsi="宋体" w:cs="宋体"/>
          <w:sz w:val="28"/>
          <w:szCs w:val="28"/>
          <w:highlight w:val="none"/>
        </w:rPr>
        <w:t>（1）电子版投标文件（PDF格式）的递交：电子版投标文件（PDF格式）密封，随纸质版投标文件一起递交，否则视为无效投标。</w:t>
      </w:r>
    </w:p>
    <w:p>
      <w:pPr>
        <w:pStyle w:val="7"/>
        <w:ind w:firstLine="560"/>
        <w:rPr>
          <w:rFonts w:ascii="宋体" w:hAnsi="宋体" w:cs="宋体"/>
          <w:sz w:val="28"/>
          <w:szCs w:val="28"/>
          <w:highlight w:val="none"/>
        </w:rPr>
      </w:pPr>
      <w:r>
        <w:rPr>
          <w:rFonts w:hint="eastAsia" w:ascii="宋体" w:hAnsi="宋体" w:cs="宋体"/>
          <w:sz w:val="28"/>
          <w:szCs w:val="28"/>
          <w:highlight w:val="none"/>
        </w:rPr>
        <w:t>（2）投标人提供的电子版投标文件（PDF格式）必须与纸质版投标文件的正本保持一致，否则自行承担由此带来的一切风险。</w:t>
      </w:r>
    </w:p>
    <w:p>
      <w:pPr>
        <w:pStyle w:val="7"/>
        <w:ind w:firstLine="0" w:firstLineChars="0"/>
        <w:rPr>
          <w:rFonts w:ascii="宋体" w:hAnsi="宋体" w:cs="宋体"/>
          <w:sz w:val="28"/>
          <w:szCs w:val="28"/>
          <w:highlight w:val="none"/>
        </w:rPr>
      </w:pPr>
      <w:r>
        <w:rPr>
          <w:rFonts w:hint="eastAsia" w:ascii="宋体" w:hAnsi="宋体" w:cs="宋体"/>
          <w:sz w:val="28"/>
          <w:szCs w:val="28"/>
          <w:highlight w:val="none"/>
        </w:rPr>
        <w:t>5.5 公告发布媒介</w:t>
      </w:r>
    </w:p>
    <w:p>
      <w:pPr>
        <w:pStyle w:val="7"/>
        <w:ind w:firstLine="560"/>
        <w:rPr>
          <w:rFonts w:ascii="宋体" w:hAnsi="宋体" w:cs="宋体"/>
          <w:sz w:val="28"/>
          <w:szCs w:val="28"/>
          <w:highlight w:val="none"/>
        </w:rPr>
      </w:pPr>
      <w:r>
        <w:rPr>
          <w:rFonts w:hint="eastAsia" w:ascii="宋体" w:hAnsi="宋体" w:cs="宋体"/>
          <w:sz w:val="28"/>
          <w:szCs w:val="28"/>
          <w:highlight w:val="none"/>
        </w:rPr>
        <w:t>本项目采购信息指定发布媒体为中国政府采购网（http://www.ccgp.gov.cn）、中国海南政府采购网（http://www.ccgp-hainan.gov.cn/）、和海口市公共资源交易网（</w:t>
      </w:r>
      <w:r>
        <w:rPr>
          <w:highlight w:val="none"/>
        </w:rPr>
        <w:fldChar w:fldCharType="begin"/>
      </w:r>
      <w:r>
        <w:rPr>
          <w:highlight w:val="none"/>
        </w:rPr>
        <w:instrText xml:space="preserve"> HYPERLINK "http://www.hkcein.com/" </w:instrText>
      </w:r>
      <w:r>
        <w:rPr>
          <w:highlight w:val="none"/>
        </w:rPr>
        <w:fldChar w:fldCharType="separate"/>
      </w:r>
      <w:r>
        <w:rPr>
          <w:rFonts w:hint="eastAsia" w:ascii="宋体" w:hAnsi="宋体" w:cs="宋体"/>
          <w:sz w:val="28"/>
          <w:szCs w:val="28"/>
          <w:highlight w:val="none"/>
        </w:rPr>
        <w:t>http://www.hkcein.com</w:t>
      </w:r>
      <w:r>
        <w:rPr>
          <w:rFonts w:hint="eastAsia" w:ascii="宋体" w:hAnsi="宋体" w:cs="宋体"/>
          <w:sz w:val="28"/>
          <w:szCs w:val="28"/>
          <w:highlight w:val="none"/>
        </w:rPr>
        <w:fldChar w:fldCharType="end"/>
      </w:r>
      <w:r>
        <w:rPr>
          <w:rFonts w:hint="eastAsia" w:ascii="宋体" w:hAnsi="宋体" w:cs="宋体"/>
          <w:sz w:val="28"/>
          <w:szCs w:val="28"/>
          <w:highlight w:val="none"/>
        </w:rPr>
        <w:t>）。</w:t>
      </w:r>
    </w:p>
    <w:p>
      <w:pPr>
        <w:pStyle w:val="7"/>
        <w:ind w:firstLine="560"/>
        <w:rPr>
          <w:rFonts w:ascii="宋体" w:hAnsi="宋体" w:cs="宋体"/>
          <w:sz w:val="28"/>
          <w:szCs w:val="28"/>
          <w:highlight w:val="none"/>
        </w:rPr>
      </w:pPr>
      <w:r>
        <w:rPr>
          <w:rFonts w:hint="eastAsia" w:ascii="宋体" w:hAnsi="宋体" w:cs="宋体"/>
          <w:sz w:val="28"/>
          <w:szCs w:val="28"/>
          <w:highlight w:val="none"/>
        </w:rPr>
        <w:t>6．采购人的名称、地址和联系方式</w:t>
      </w:r>
    </w:p>
    <w:p>
      <w:pPr>
        <w:pStyle w:val="7"/>
        <w:ind w:firstLine="560"/>
        <w:rPr>
          <w:rFonts w:ascii="宋体" w:hAnsi="宋体" w:cs="宋体"/>
          <w:sz w:val="28"/>
          <w:szCs w:val="28"/>
          <w:highlight w:val="none"/>
        </w:rPr>
      </w:pPr>
      <w:r>
        <w:rPr>
          <w:rFonts w:hint="eastAsia" w:ascii="宋体" w:hAnsi="宋体" w:cs="宋体"/>
          <w:sz w:val="28"/>
          <w:szCs w:val="28"/>
          <w:highlight w:val="none"/>
        </w:rPr>
        <w:t>6.1 采购人名称：海口市美兰区环境卫生管理局</w:t>
      </w:r>
    </w:p>
    <w:p>
      <w:pPr>
        <w:pStyle w:val="7"/>
        <w:ind w:firstLine="560"/>
        <w:rPr>
          <w:rFonts w:ascii="宋体" w:hAnsi="宋体" w:cs="宋体"/>
          <w:sz w:val="28"/>
          <w:szCs w:val="28"/>
          <w:highlight w:val="none"/>
        </w:rPr>
      </w:pPr>
      <w:r>
        <w:rPr>
          <w:rFonts w:hint="eastAsia" w:ascii="宋体" w:hAnsi="宋体" w:cs="宋体"/>
          <w:sz w:val="28"/>
          <w:szCs w:val="28"/>
          <w:highlight w:val="none"/>
        </w:rPr>
        <w:t>6.2 采购项目联系人：孟琪</w:t>
      </w:r>
    </w:p>
    <w:p>
      <w:pPr>
        <w:pStyle w:val="7"/>
        <w:ind w:firstLine="560"/>
        <w:rPr>
          <w:rFonts w:ascii="宋体" w:hAnsi="宋体" w:cs="宋体"/>
          <w:sz w:val="28"/>
          <w:szCs w:val="28"/>
          <w:highlight w:val="none"/>
        </w:rPr>
      </w:pPr>
      <w:r>
        <w:rPr>
          <w:rFonts w:hint="eastAsia" w:ascii="宋体" w:hAnsi="宋体" w:cs="宋体"/>
          <w:sz w:val="28"/>
          <w:szCs w:val="28"/>
          <w:highlight w:val="none"/>
        </w:rPr>
        <w:t xml:space="preserve">6.3 采购人地址：海口市美兰区青年路28号 </w:t>
      </w:r>
    </w:p>
    <w:p>
      <w:pPr>
        <w:pStyle w:val="7"/>
        <w:ind w:firstLine="560"/>
        <w:rPr>
          <w:rFonts w:ascii="宋体" w:hAnsi="宋体" w:cs="宋体"/>
          <w:sz w:val="28"/>
          <w:szCs w:val="28"/>
          <w:highlight w:val="none"/>
        </w:rPr>
      </w:pPr>
      <w:r>
        <w:rPr>
          <w:rFonts w:hint="eastAsia" w:ascii="宋体" w:hAnsi="宋体" w:cs="宋体"/>
          <w:sz w:val="28"/>
          <w:szCs w:val="28"/>
          <w:highlight w:val="none"/>
        </w:rPr>
        <w:t>6.4 联系电话：0898-</w:t>
      </w:r>
      <w:r>
        <w:rPr>
          <w:rFonts w:ascii="宋体" w:hAnsi="宋体" w:cs="宋体"/>
          <w:sz w:val="28"/>
          <w:szCs w:val="28"/>
          <w:highlight w:val="none"/>
        </w:rPr>
        <w:t>65374155</w:t>
      </w:r>
    </w:p>
    <w:p>
      <w:pPr>
        <w:pStyle w:val="7"/>
        <w:ind w:firstLine="560"/>
        <w:rPr>
          <w:rFonts w:ascii="宋体" w:hAnsi="宋体" w:cs="宋体"/>
          <w:sz w:val="28"/>
          <w:szCs w:val="28"/>
          <w:highlight w:val="none"/>
        </w:rPr>
      </w:pPr>
      <w:r>
        <w:rPr>
          <w:rFonts w:hint="eastAsia" w:ascii="宋体" w:hAnsi="宋体" w:cs="宋体"/>
          <w:sz w:val="28"/>
          <w:szCs w:val="28"/>
          <w:highlight w:val="none"/>
        </w:rPr>
        <w:t>7. 采购代理机构的名称、地址和联系方式</w:t>
      </w:r>
    </w:p>
    <w:p>
      <w:pPr>
        <w:pStyle w:val="7"/>
        <w:ind w:firstLine="560"/>
        <w:rPr>
          <w:rFonts w:ascii="宋体" w:hAnsi="宋体" w:cs="宋体"/>
          <w:sz w:val="28"/>
          <w:szCs w:val="28"/>
          <w:highlight w:val="none"/>
        </w:rPr>
      </w:pPr>
      <w:r>
        <w:rPr>
          <w:rFonts w:hint="eastAsia" w:ascii="宋体" w:hAnsi="宋体" w:cs="宋体"/>
          <w:sz w:val="28"/>
          <w:szCs w:val="28"/>
          <w:highlight w:val="none"/>
        </w:rPr>
        <w:t>7.1 代理机构名称：深圳市万德公共咨询有限公司</w:t>
      </w:r>
    </w:p>
    <w:p>
      <w:pPr>
        <w:pStyle w:val="7"/>
        <w:ind w:firstLine="560"/>
        <w:rPr>
          <w:rFonts w:ascii="宋体" w:hAnsi="宋体" w:cs="宋体"/>
          <w:sz w:val="28"/>
          <w:szCs w:val="28"/>
          <w:highlight w:val="none"/>
        </w:rPr>
      </w:pPr>
      <w:r>
        <w:rPr>
          <w:rFonts w:hint="eastAsia" w:ascii="宋体" w:hAnsi="宋体" w:cs="宋体"/>
          <w:sz w:val="28"/>
          <w:szCs w:val="28"/>
          <w:highlight w:val="none"/>
        </w:rPr>
        <w:t>7.2 项目联系人：李先生 </w:t>
      </w:r>
    </w:p>
    <w:p>
      <w:pPr>
        <w:pStyle w:val="7"/>
        <w:ind w:firstLine="560"/>
        <w:rPr>
          <w:rFonts w:ascii="宋体" w:hAnsi="宋体" w:cs="宋体"/>
          <w:sz w:val="28"/>
          <w:szCs w:val="28"/>
          <w:highlight w:val="none"/>
        </w:rPr>
      </w:pPr>
      <w:r>
        <w:rPr>
          <w:rFonts w:hint="eastAsia" w:ascii="宋体" w:hAnsi="宋体" w:cs="宋体"/>
          <w:sz w:val="28"/>
          <w:szCs w:val="28"/>
          <w:highlight w:val="none"/>
        </w:rPr>
        <w:t>7.3 代理机构地点：深圳市福田区福田街道深南中路3027号嘉汇新城汇商中心31层3108室</w:t>
      </w:r>
    </w:p>
    <w:p>
      <w:pPr>
        <w:pStyle w:val="7"/>
        <w:ind w:firstLine="560"/>
        <w:rPr>
          <w:rFonts w:ascii="宋体" w:hAnsi="宋体" w:cs="宋体"/>
          <w:sz w:val="28"/>
          <w:szCs w:val="28"/>
          <w:highlight w:val="none"/>
        </w:rPr>
      </w:pPr>
      <w:r>
        <w:rPr>
          <w:rFonts w:hint="eastAsia" w:ascii="宋体" w:hAnsi="宋体" w:cs="宋体"/>
          <w:sz w:val="28"/>
          <w:szCs w:val="28"/>
          <w:highlight w:val="none"/>
        </w:rPr>
        <w:t>7.4 联系电话：13876019268</w:t>
      </w:r>
    </w:p>
    <w:p>
      <w:pPr>
        <w:pStyle w:val="7"/>
        <w:ind w:firstLine="4200" w:firstLineChars="1500"/>
        <w:rPr>
          <w:rFonts w:ascii="宋体" w:hAnsi="宋体" w:cs="宋体"/>
          <w:sz w:val="28"/>
          <w:szCs w:val="28"/>
          <w:highlight w:val="none"/>
        </w:rPr>
      </w:pPr>
      <w:r>
        <w:rPr>
          <w:rFonts w:hint="eastAsia" w:ascii="宋体" w:hAnsi="宋体" w:cs="宋体"/>
          <w:sz w:val="28"/>
          <w:szCs w:val="28"/>
          <w:highlight w:val="none"/>
        </w:rPr>
        <w:t>深圳市万德公共咨询有限公司</w:t>
      </w:r>
    </w:p>
    <w:p>
      <w:pPr>
        <w:pStyle w:val="7"/>
        <w:ind w:firstLine="560"/>
        <w:rPr>
          <w:rFonts w:ascii="宋体" w:hAnsi="宋体" w:cs="宋体"/>
          <w:sz w:val="28"/>
          <w:szCs w:val="28"/>
          <w:highlight w:val="none"/>
        </w:rPr>
        <w:sectPr>
          <w:pgSz w:w="11906" w:h="16838"/>
          <w:pgMar w:top="1440" w:right="1800" w:bottom="1440" w:left="1800" w:header="851" w:footer="992" w:gutter="0"/>
          <w:pgNumType w:start="1"/>
          <w:cols w:space="425" w:num="1"/>
          <w:docGrid w:type="lines" w:linePitch="312" w:charSpace="0"/>
        </w:sectPr>
      </w:pPr>
      <w:r>
        <w:rPr>
          <w:rFonts w:hint="eastAsia" w:ascii="宋体" w:hAnsi="宋体" w:cs="宋体"/>
          <w:sz w:val="28"/>
          <w:szCs w:val="28"/>
          <w:highlight w:val="none"/>
        </w:rPr>
        <w:t xml:space="preserve">                                     2019年8月</w:t>
      </w:r>
      <w:r>
        <w:rPr>
          <w:rFonts w:hint="eastAsia" w:ascii="宋体" w:hAnsi="宋体" w:cs="宋体"/>
          <w:sz w:val="28"/>
          <w:szCs w:val="28"/>
          <w:highlight w:val="none"/>
          <w:lang w:val="en-US" w:eastAsia="zh-CN"/>
        </w:rPr>
        <w:t>27</w:t>
      </w:r>
      <w:r>
        <w:rPr>
          <w:rFonts w:hint="eastAsia" w:ascii="宋体" w:hAnsi="宋体" w:cs="宋体"/>
          <w:sz w:val="28"/>
          <w:szCs w:val="28"/>
          <w:highlight w:val="none"/>
        </w:rPr>
        <w:t xml:space="preserve">日 </w:t>
      </w:r>
    </w:p>
    <w:p>
      <w:pPr>
        <w:pStyle w:val="4"/>
        <w:numPr>
          <w:ilvl w:val="0"/>
          <w:numId w:val="3"/>
        </w:numPr>
        <w:jc w:val="center"/>
        <w:rPr>
          <w:highlight w:val="none"/>
        </w:rPr>
      </w:pPr>
      <w:r>
        <w:rPr>
          <w:rFonts w:hint="eastAsia"/>
          <w:highlight w:val="none"/>
        </w:rPr>
        <w:t xml:space="preserve">  </w:t>
      </w:r>
      <w:bookmarkStart w:id="8" w:name="_Toc4832_WPSOffice_Level1"/>
      <w:r>
        <w:rPr>
          <w:rFonts w:hint="eastAsia"/>
          <w:highlight w:val="none"/>
        </w:rPr>
        <w:t>投标人须知</w:t>
      </w:r>
      <w:bookmarkEnd w:id="8"/>
    </w:p>
    <w:p>
      <w:pPr>
        <w:rPr>
          <w:highlight w:val="none"/>
        </w:rPr>
      </w:pPr>
    </w:p>
    <w:p>
      <w:pPr>
        <w:numPr>
          <w:ilvl w:val="0"/>
          <w:numId w:val="4"/>
        </w:numPr>
        <w:spacing w:line="600" w:lineRule="exact"/>
        <w:rPr>
          <w:rFonts w:ascii="宋体" w:hAnsi="宋体" w:cs="宋体"/>
          <w:b/>
          <w:sz w:val="28"/>
          <w:szCs w:val="28"/>
          <w:highlight w:val="none"/>
        </w:rPr>
      </w:pPr>
      <w:r>
        <w:rPr>
          <w:rFonts w:hint="eastAsia" w:ascii="宋体" w:hAnsi="宋体" w:cs="宋体"/>
          <w:b/>
          <w:sz w:val="28"/>
          <w:szCs w:val="28"/>
          <w:highlight w:val="none"/>
        </w:rPr>
        <w:t>招商须知附表</w:t>
      </w:r>
    </w:p>
    <w:tbl>
      <w:tblPr>
        <w:tblStyle w:val="16"/>
        <w:tblpPr w:leftFromText="180" w:rightFromText="180" w:vertAnchor="text" w:horzAnchor="page" w:tblpX="1300" w:tblpY="879"/>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7"/>
        <w:gridCol w:w="2041"/>
        <w:gridCol w:w="6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6" w:hRule="exact"/>
          <w:tblHeader/>
        </w:trPr>
        <w:tc>
          <w:tcPr>
            <w:tcW w:w="747" w:type="dxa"/>
            <w:vAlign w:val="center"/>
          </w:tcPr>
          <w:p>
            <w:pPr>
              <w:pStyle w:val="36"/>
              <w:spacing w:line="360" w:lineRule="auto"/>
              <w:jc w:val="center"/>
              <w:rPr>
                <w:sz w:val="28"/>
                <w:szCs w:val="28"/>
                <w:highlight w:val="none"/>
                <w:lang w:val="zh-CN"/>
              </w:rPr>
            </w:pPr>
            <w:r>
              <w:rPr>
                <w:rFonts w:hint="eastAsia"/>
                <w:sz w:val="28"/>
                <w:szCs w:val="28"/>
                <w:highlight w:val="none"/>
                <w:lang w:val="zh-CN"/>
              </w:rPr>
              <w:t>序号</w:t>
            </w:r>
            <w:r>
              <w:rPr>
                <w:sz w:val="28"/>
                <w:szCs w:val="28"/>
                <w:highlight w:val="none"/>
                <w:lang w:val="zh-CN"/>
              </w:rPr>
              <w:t xml:space="preserve"> </w:t>
            </w:r>
          </w:p>
        </w:tc>
        <w:tc>
          <w:tcPr>
            <w:tcW w:w="2041" w:type="dxa"/>
            <w:vAlign w:val="center"/>
          </w:tcPr>
          <w:p>
            <w:pPr>
              <w:pStyle w:val="36"/>
              <w:spacing w:line="360" w:lineRule="auto"/>
              <w:jc w:val="center"/>
              <w:rPr>
                <w:sz w:val="28"/>
                <w:szCs w:val="28"/>
                <w:highlight w:val="none"/>
                <w:lang w:val="zh-CN"/>
              </w:rPr>
            </w:pPr>
            <w:r>
              <w:rPr>
                <w:rFonts w:hint="eastAsia"/>
                <w:sz w:val="28"/>
                <w:szCs w:val="28"/>
                <w:highlight w:val="none"/>
                <w:lang w:val="zh-CN"/>
              </w:rPr>
              <w:t>应知事项</w:t>
            </w:r>
            <w:r>
              <w:rPr>
                <w:sz w:val="28"/>
                <w:szCs w:val="28"/>
                <w:highlight w:val="none"/>
                <w:lang w:val="zh-CN"/>
              </w:rPr>
              <w:t xml:space="preserve"> </w:t>
            </w:r>
          </w:p>
        </w:tc>
        <w:tc>
          <w:tcPr>
            <w:tcW w:w="6472" w:type="dxa"/>
            <w:vAlign w:val="center"/>
          </w:tcPr>
          <w:p>
            <w:pPr>
              <w:pStyle w:val="36"/>
              <w:spacing w:line="360" w:lineRule="auto"/>
              <w:jc w:val="center"/>
              <w:rPr>
                <w:sz w:val="28"/>
                <w:szCs w:val="28"/>
                <w:highlight w:val="none"/>
                <w:lang w:val="zh-CN"/>
              </w:rPr>
            </w:pPr>
            <w:r>
              <w:rPr>
                <w:rFonts w:hint="eastAsia"/>
                <w:sz w:val="28"/>
                <w:szCs w:val="28"/>
                <w:highlight w:val="none"/>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9" w:hRule="exact"/>
          <w:tblHeader/>
        </w:trPr>
        <w:tc>
          <w:tcPr>
            <w:tcW w:w="747" w:type="dxa"/>
            <w:vAlign w:val="center"/>
          </w:tcPr>
          <w:p>
            <w:pPr>
              <w:pStyle w:val="36"/>
              <w:snapToGrid w:val="0"/>
              <w:jc w:val="center"/>
              <w:rPr>
                <w:bCs/>
                <w:sz w:val="28"/>
                <w:szCs w:val="28"/>
                <w:highlight w:val="none"/>
              </w:rPr>
            </w:pPr>
            <w:r>
              <w:rPr>
                <w:rFonts w:hint="eastAsia"/>
                <w:bCs/>
                <w:sz w:val="28"/>
                <w:szCs w:val="28"/>
                <w:highlight w:val="none"/>
              </w:rPr>
              <w:t>1</w:t>
            </w:r>
          </w:p>
        </w:tc>
        <w:tc>
          <w:tcPr>
            <w:tcW w:w="2041" w:type="dxa"/>
            <w:vAlign w:val="center"/>
          </w:tcPr>
          <w:p>
            <w:pPr>
              <w:pStyle w:val="36"/>
              <w:snapToGrid w:val="0"/>
              <w:jc w:val="both"/>
              <w:rPr>
                <w:bCs/>
                <w:sz w:val="28"/>
                <w:szCs w:val="28"/>
                <w:highlight w:val="none"/>
              </w:rPr>
            </w:pPr>
            <w:r>
              <w:rPr>
                <w:rFonts w:hint="eastAsia"/>
                <w:bCs/>
                <w:sz w:val="28"/>
                <w:szCs w:val="28"/>
                <w:highlight w:val="none"/>
              </w:rPr>
              <w:t xml:space="preserve">   预算金额</w:t>
            </w:r>
          </w:p>
        </w:tc>
        <w:tc>
          <w:tcPr>
            <w:tcW w:w="6472" w:type="dxa"/>
            <w:vAlign w:val="center"/>
          </w:tcPr>
          <w:p>
            <w:pPr>
              <w:adjustRightInd w:val="0"/>
              <w:snapToGrid w:val="0"/>
              <w:ind w:right="210" w:rightChars="100"/>
              <w:rPr>
                <w:bCs/>
                <w:sz w:val="28"/>
                <w:szCs w:val="28"/>
                <w:highlight w:val="none"/>
              </w:rPr>
            </w:pPr>
            <w:r>
              <w:rPr>
                <w:rFonts w:hint="eastAsia"/>
                <w:bCs/>
                <w:sz w:val="28"/>
                <w:szCs w:val="28"/>
                <w:highlight w:val="none"/>
              </w:rPr>
              <w:t xml:space="preserve"> 预算金额人民币￥</w:t>
            </w:r>
            <w:r>
              <w:rPr>
                <w:rFonts w:hint="eastAsia" w:ascii="宋体" w:hAnsi="宋体" w:cs="宋体"/>
                <w:sz w:val="28"/>
                <w:szCs w:val="28"/>
                <w:highlight w:val="none"/>
              </w:rPr>
              <w:t>7777.34 万元/年（3年合计23332.02万元），投标报价超出采购预算的视为无效投标。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exact"/>
        </w:trPr>
        <w:tc>
          <w:tcPr>
            <w:tcW w:w="747" w:type="dxa"/>
            <w:vAlign w:val="center"/>
          </w:tcPr>
          <w:p>
            <w:pPr>
              <w:pStyle w:val="36"/>
              <w:snapToGrid w:val="0"/>
              <w:jc w:val="center"/>
              <w:rPr>
                <w:rFonts w:cs="Courier New"/>
                <w:sz w:val="28"/>
                <w:szCs w:val="28"/>
                <w:highlight w:val="none"/>
                <w:lang w:val="zh-CN"/>
              </w:rPr>
            </w:pPr>
            <w:r>
              <w:rPr>
                <w:rFonts w:hint="eastAsia" w:cs="Courier New"/>
                <w:sz w:val="28"/>
                <w:szCs w:val="28"/>
                <w:highlight w:val="none"/>
                <w:lang w:val="zh-CN"/>
              </w:rPr>
              <w:t>2</w:t>
            </w:r>
          </w:p>
        </w:tc>
        <w:tc>
          <w:tcPr>
            <w:tcW w:w="2041" w:type="dxa"/>
            <w:vAlign w:val="center"/>
          </w:tcPr>
          <w:p>
            <w:pPr>
              <w:pStyle w:val="36"/>
              <w:snapToGrid w:val="0"/>
              <w:jc w:val="center"/>
              <w:rPr>
                <w:sz w:val="28"/>
                <w:szCs w:val="28"/>
                <w:highlight w:val="none"/>
                <w:lang w:val="zh-CN"/>
              </w:rPr>
            </w:pPr>
            <w:r>
              <w:rPr>
                <w:rFonts w:hint="eastAsia"/>
                <w:sz w:val="28"/>
                <w:szCs w:val="28"/>
                <w:highlight w:val="none"/>
                <w:lang w:val="zh-CN"/>
              </w:rPr>
              <w:t>采购方式</w:t>
            </w:r>
          </w:p>
        </w:tc>
        <w:tc>
          <w:tcPr>
            <w:tcW w:w="6472" w:type="dxa"/>
            <w:vAlign w:val="center"/>
          </w:tcPr>
          <w:p>
            <w:pPr>
              <w:pStyle w:val="36"/>
              <w:snapToGrid w:val="0"/>
              <w:jc w:val="both"/>
              <w:rPr>
                <w:sz w:val="28"/>
                <w:szCs w:val="28"/>
                <w:highlight w:val="none"/>
                <w:lang w:val="zh-CN"/>
              </w:rPr>
            </w:pPr>
            <w:r>
              <w:rPr>
                <w:rFonts w:hint="eastAsia"/>
                <w:sz w:val="28"/>
                <w:szCs w:val="28"/>
                <w:highlight w:val="none"/>
                <w:lang w:val="zh-CN"/>
              </w:rPr>
              <w:t xml:space="preserve">  </w:t>
            </w:r>
            <w:r>
              <w:rPr>
                <w:rFonts w:hint="eastAsia"/>
                <w:sz w:val="28"/>
                <w:szCs w:val="28"/>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747" w:type="dxa"/>
            <w:vAlign w:val="center"/>
          </w:tcPr>
          <w:p>
            <w:pPr>
              <w:pStyle w:val="36"/>
              <w:snapToGrid w:val="0"/>
              <w:jc w:val="center"/>
              <w:rPr>
                <w:rFonts w:cs="Courier New"/>
                <w:sz w:val="28"/>
                <w:szCs w:val="28"/>
                <w:highlight w:val="none"/>
                <w:lang w:val="zh-CN"/>
              </w:rPr>
            </w:pPr>
            <w:r>
              <w:rPr>
                <w:rFonts w:hint="eastAsia" w:cs="Courier New"/>
                <w:sz w:val="28"/>
                <w:szCs w:val="28"/>
                <w:highlight w:val="none"/>
                <w:lang w:val="zh-CN"/>
              </w:rPr>
              <w:t>3</w:t>
            </w:r>
          </w:p>
        </w:tc>
        <w:tc>
          <w:tcPr>
            <w:tcW w:w="2041" w:type="dxa"/>
            <w:vAlign w:val="center"/>
          </w:tcPr>
          <w:p>
            <w:pPr>
              <w:pStyle w:val="36"/>
              <w:snapToGrid w:val="0"/>
              <w:jc w:val="center"/>
              <w:rPr>
                <w:sz w:val="28"/>
                <w:szCs w:val="28"/>
                <w:highlight w:val="none"/>
                <w:lang w:val="zh-CN"/>
              </w:rPr>
            </w:pPr>
            <w:r>
              <w:rPr>
                <w:rFonts w:hint="eastAsia"/>
                <w:sz w:val="28"/>
                <w:szCs w:val="28"/>
                <w:highlight w:val="none"/>
                <w:lang w:val="zh-CN"/>
              </w:rPr>
              <w:t>评标方法</w:t>
            </w:r>
          </w:p>
        </w:tc>
        <w:tc>
          <w:tcPr>
            <w:tcW w:w="6472" w:type="dxa"/>
            <w:vAlign w:val="center"/>
          </w:tcPr>
          <w:p>
            <w:pPr>
              <w:pStyle w:val="36"/>
              <w:snapToGrid w:val="0"/>
              <w:jc w:val="both"/>
              <w:rPr>
                <w:sz w:val="28"/>
                <w:szCs w:val="28"/>
                <w:highlight w:val="none"/>
                <w:lang w:val="zh-CN"/>
              </w:rPr>
            </w:pPr>
            <w:r>
              <w:rPr>
                <w:rFonts w:hint="eastAsia"/>
                <w:sz w:val="28"/>
                <w:szCs w:val="28"/>
                <w:highlight w:val="none"/>
              </w:rPr>
              <w:t xml:space="preserve">  </w:t>
            </w:r>
            <w:r>
              <w:rPr>
                <w:rFonts w:hint="eastAsia"/>
                <w:sz w:val="28"/>
                <w:szCs w:val="28"/>
                <w:highlight w:val="none"/>
                <w:lang w:val="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90" w:hRule="atLeast"/>
        </w:trPr>
        <w:tc>
          <w:tcPr>
            <w:tcW w:w="747" w:type="dxa"/>
            <w:vAlign w:val="center"/>
          </w:tcPr>
          <w:p>
            <w:pPr>
              <w:pStyle w:val="36"/>
              <w:snapToGrid w:val="0"/>
              <w:jc w:val="center"/>
              <w:rPr>
                <w:rFonts w:cs="Courier New"/>
                <w:sz w:val="28"/>
                <w:szCs w:val="28"/>
                <w:highlight w:val="none"/>
                <w:lang w:val="zh-CN"/>
              </w:rPr>
            </w:pPr>
            <w:r>
              <w:rPr>
                <w:rFonts w:hint="eastAsia" w:cs="Courier New"/>
                <w:sz w:val="28"/>
                <w:szCs w:val="28"/>
                <w:highlight w:val="none"/>
                <w:lang w:val="zh-CN"/>
              </w:rPr>
              <w:t>4</w:t>
            </w:r>
          </w:p>
        </w:tc>
        <w:tc>
          <w:tcPr>
            <w:tcW w:w="2041" w:type="dxa"/>
            <w:vAlign w:val="center"/>
          </w:tcPr>
          <w:p>
            <w:pPr>
              <w:pStyle w:val="36"/>
              <w:snapToGrid w:val="0"/>
              <w:jc w:val="center"/>
              <w:rPr>
                <w:rFonts w:hint="eastAsia"/>
                <w:sz w:val="28"/>
                <w:szCs w:val="28"/>
                <w:highlight w:val="none"/>
                <w:lang w:val="zh-CN"/>
              </w:rPr>
            </w:pPr>
            <w:r>
              <w:rPr>
                <w:rFonts w:hint="eastAsia"/>
                <w:sz w:val="28"/>
                <w:szCs w:val="28"/>
                <w:highlight w:val="none"/>
              </w:rPr>
              <w:t>投标</w:t>
            </w:r>
            <w:r>
              <w:rPr>
                <w:rFonts w:hint="eastAsia"/>
                <w:sz w:val="28"/>
                <w:szCs w:val="28"/>
                <w:highlight w:val="none"/>
                <w:lang w:val="zh-CN"/>
              </w:rPr>
              <w:t>保证金</w:t>
            </w:r>
          </w:p>
          <w:p>
            <w:pPr>
              <w:pStyle w:val="36"/>
              <w:snapToGrid w:val="0"/>
              <w:jc w:val="center"/>
              <w:rPr>
                <w:rFonts w:hint="eastAsia"/>
                <w:sz w:val="28"/>
                <w:szCs w:val="28"/>
                <w:highlight w:val="none"/>
                <w:lang w:val="zh-CN"/>
              </w:rPr>
            </w:pPr>
            <w:r>
              <w:rPr>
                <w:rFonts w:hint="eastAsia"/>
                <w:sz w:val="28"/>
                <w:szCs w:val="28"/>
                <w:highlight w:val="none"/>
                <w:lang w:val="zh-CN"/>
              </w:rPr>
              <w:t>（</w:t>
            </w:r>
            <w:r>
              <w:rPr>
                <w:rFonts w:hint="eastAsia"/>
                <w:sz w:val="28"/>
                <w:szCs w:val="28"/>
                <w:highlight w:val="none"/>
              </w:rPr>
              <w:t>保函或建设工程投标保险</w:t>
            </w:r>
            <w:r>
              <w:rPr>
                <w:rFonts w:hint="eastAsia"/>
                <w:sz w:val="28"/>
                <w:szCs w:val="28"/>
                <w:highlight w:val="none"/>
                <w:lang w:val="zh-CN"/>
              </w:rPr>
              <w:t>）</w:t>
            </w:r>
          </w:p>
        </w:tc>
        <w:tc>
          <w:tcPr>
            <w:tcW w:w="6472" w:type="dxa"/>
            <w:vAlign w:val="center"/>
          </w:tcPr>
          <w:p>
            <w:pPr>
              <w:pStyle w:val="36"/>
              <w:snapToGrid w:val="0"/>
              <w:jc w:val="both"/>
              <w:rPr>
                <w:sz w:val="28"/>
                <w:szCs w:val="28"/>
                <w:highlight w:val="none"/>
              </w:rPr>
            </w:pPr>
            <w:r>
              <w:rPr>
                <w:rFonts w:hint="eastAsia"/>
                <w:sz w:val="28"/>
                <w:szCs w:val="28"/>
                <w:highlight w:val="none"/>
              </w:rPr>
              <w:t>1.投标保证金</w:t>
            </w:r>
            <w:r>
              <w:rPr>
                <w:rFonts w:hint="eastAsia"/>
                <w:sz w:val="28"/>
                <w:szCs w:val="28"/>
                <w:highlight w:val="none"/>
                <w:lang w:eastAsia="zh-CN"/>
              </w:rPr>
              <w:t>（</w:t>
            </w:r>
            <w:r>
              <w:rPr>
                <w:rFonts w:hint="eastAsia"/>
                <w:sz w:val="28"/>
                <w:szCs w:val="28"/>
                <w:highlight w:val="none"/>
              </w:rPr>
              <w:t>保函或建设工程投标保险</w:t>
            </w:r>
            <w:r>
              <w:rPr>
                <w:rFonts w:hint="eastAsia"/>
                <w:sz w:val="28"/>
                <w:szCs w:val="28"/>
                <w:highlight w:val="none"/>
                <w:lang w:eastAsia="zh-CN"/>
              </w:rPr>
              <w:t>）</w:t>
            </w:r>
            <w:r>
              <w:rPr>
                <w:rFonts w:hint="eastAsia"/>
                <w:sz w:val="28"/>
                <w:szCs w:val="28"/>
                <w:highlight w:val="none"/>
              </w:rPr>
              <w:t>金额：人民币￥2,330,000元；</w:t>
            </w:r>
          </w:p>
          <w:p>
            <w:pPr>
              <w:pStyle w:val="36"/>
              <w:snapToGrid w:val="0"/>
              <w:jc w:val="both"/>
              <w:rPr>
                <w:sz w:val="28"/>
                <w:szCs w:val="28"/>
                <w:highlight w:val="none"/>
              </w:rPr>
            </w:pPr>
            <w:r>
              <w:rPr>
                <w:rFonts w:hint="eastAsia"/>
                <w:sz w:val="28"/>
                <w:szCs w:val="28"/>
                <w:highlight w:val="none"/>
              </w:rPr>
              <w:t>2.投标保证金（保函或建设工程投标保险）提交截止日期：2019年</w:t>
            </w:r>
            <w:r>
              <w:rPr>
                <w:rFonts w:hint="eastAsia"/>
                <w:sz w:val="28"/>
                <w:szCs w:val="28"/>
                <w:highlight w:val="none"/>
                <w:lang w:val="en-US" w:eastAsia="zh-CN"/>
              </w:rPr>
              <w:t>9</w:t>
            </w:r>
            <w:r>
              <w:rPr>
                <w:rFonts w:hint="eastAsia"/>
                <w:sz w:val="28"/>
                <w:szCs w:val="28"/>
                <w:highlight w:val="none"/>
              </w:rPr>
              <w:t>月</w:t>
            </w:r>
            <w:r>
              <w:rPr>
                <w:rFonts w:hint="eastAsia"/>
                <w:sz w:val="28"/>
                <w:szCs w:val="28"/>
                <w:highlight w:val="none"/>
                <w:lang w:val="en-US" w:eastAsia="zh-CN"/>
              </w:rPr>
              <w:t>17</w:t>
            </w:r>
            <w:r>
              <w:rPr>
                <w:rFonts w:hint="eastAsia"/>
                <w:sz w:val="28"/>
                <w:szCs w:val="28"/>
                <w:highlight w:val="none"/>
              </w:rPr>
              <w:t>日</w:t>
            </w:r>
            <w:r>
              <w:rPr>
                <w:rFonts w:hint="eastAsia"/>
                <w:sz w:val="28"/>
                <w:szCs w:val="28"/>
                <w:highlight w:val="none"/>
                <w:lang w:val="en-US" w:eastAsia="zh-CN"/>
              </w:rPr>
              <w:t>09</w:t>
            </w:r>
            <w:r>
              <w:rPr>
                <w:rFonts w:hint="eastAsia"/>
                <w:sz w:val="28"/>
                <w:szCs w:val="28"/>
                <w:highlight w:val="none"/>
              </w:rPr>
              <w:t>:</w:t>
            </w:r>
            <w:r>
              <w:rPr>
                <w:rFonts w:hint="eastAsia"/>
                <w:sz w:val="28"/>
                <w:szCs w:val="28"/>
                <w:highlight w:val="none"/>
                <w:lang w:val="en-US" w:eastAsia="zh-CN"/>
              </w:rPr>
              <w:t>00:00</w:t>
            </w:r>
            <w:r>
              <w:rPr>
                <w:rFonts w:hint="eastAsia"/>
                <w:sz w:val="28"/>
                <w:szCs w:val="28"/>
                <w:highlight w:val="none"/>
              </w:rPr>
              <w:t xml:space="preserve">（北京时间）； </w:t>
            </w:r>
          </w:p>
          <w:p>
            <w:pPr>
              <w:pStyle w:val="36"/>
              <w:snapToGrid w:val="0"/>
              <w:jc w:val="both"/>
              <w:rPr>
                <w:sz w:val="28"/>
                <w:szCs w:val="28"/>
                <w:highlight w:val="none"/>
              </w:rPr>
            </w:pPr>
            <w:r>
              <w:rPr>
                <w:rFonts w:hint="eastAsia"/>
                <w:sz w:val="28"/>
                <w:szCs w:val="28"/>
                <w:highlight w:val="none"/>
              </w:rPr>
              <w:t>3.</w:t>
            </w:r>
            <w:r>
              <w:rPr>
                <w:rFonts w:hint="eastAsia" w:hAnsi="宋体"/>
                <w:sz w:val="28"/>
                <w:szCs w:val="28"/>
                <w:highlight w:val="none"/>
              </w:rPr>
              <w:t>中标人的投标保证金（</w:t>
            </w:r>
            <w:r>
              <w:rPr>
                <w:rFonts w:hint="eastAsia"/>
                <w:sz w:val="28"/>
                <w:szCs w:val="28"/>
                <w:highlight w:val="none"/>
              </w:rPr>
              <w:t>保函或建设工程投标保险</w:t>
            </w:r>
            <w:r>
              <w:rPr>
                <w:rFonts w:hint="eastAsia" w:hAnsi="宋体"/>
                <w:sz w:val="28"/>
                <w:szCs w:val="28"/>
                <w:highlight w:val="none"/>
              </w:rPr>
              <w:t>）在其与</w:t>
            </w:r>
            <w:r>
              <w:rPr>
                <w:rFonts w:hAnsi="宋体"/>
                <w:sz w:val="28"/>
                <w:szCs w:val="28"/>
                <w:highlight w:val="none"/>
              </w:rPr>
              <w:t>采购人</w:t>
            </w:r>
            <w:r>
              <w:rPr>
                <w:rFonts w:hint="eastAsia" w:hAnsi="宋体"/>
                <w:sz w:val="28"/>
                <w:szCs w:val="28"/>
                <w:highlight w:val="none"/>
              </w:rPr>
              <w:t>签订了合同后五个工作日内无息退还，落标的投标人的报价保证金将在</w:t>
            </w:r>
            <w:r>
              <w:rPr>
                <w:rFonts w:hAnsi="宋体"/>
                <w:sz w:val="28"/>
                <w:szCs w:val="28"/>
                <w:highlight w:val="none"/>
              </w:rPr>
              <w:t>采购代理</w:t>
            </w:r>
            <w:r>
              <w:rPr>
                <w:rFonts w:hint="eastAsia" w:hAnsi="宋体"/>
                <w:sz w:val="28"/>
                <w:szCs w:val="28"/>
                <w:highlight w:val="none"/>
              </w:rPr>
              <w:t>机构发出成交通知书5个工作日内无息退还。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5" w:hRule="atLeast"/>
        </w:trPr>
        <w:tc>
          <w:tcPr>
            <w:tcW w:w="747" w:type="dxa"/>
            <w:vAlign w:val="center"/>
          </w:tcPr>
          <w:p>
            <w:pPr>
              <w:pStyle w:val="36"/>
              <w:snapToGrid w:val="0"/>
              <w:jc w:val="center"/>
              <w:rPr>
                <w:rFonts w:hint="eastAsia" w:eastAsia="宋体" w:cs="Courier New"/>
                <w:sz w:val="28"/>
                <w:szCs w:val="28"/>
                <w:highlight w:val="none"/>
                <w:lang w:val="en-US" w:eastAsia="zh-CN"/>
              </w:rPr>
            </w:pPr>
            <w:r>
              <w:rPr>
                <w:rFonts w:hint="eastAsia" w:cs="Courier New"/>
                <w:sz w:val="28"/>
                <w:szCs w:val="28"/>
                <w:highlight w:val="none"/>
                <w:lang w:val="en-US" w:eastAsia="zh-CN"/>
              </w:rPr>
              <w:t>5</w:t>
            </w:r>
          </w:p>
        </w:tc>
        <w:tc>
          <w:tcPr>
            <w:tcW w:w="2041" w:type="dxa"/>
            <w:vAlign w:val="center"/>
          </w:tcPr>
          <w:p>
            <w:pPr>
              <w:pStyle w:val="36"/>
              <w:snapToGrid w:val="0"/>
              <w:jc w:val="center"/>
              <w:rPr>
                <w:rFonts w:hint="eastAsia" w:eastAsia="宋体"/>
                <w:sz w:val="28"/>
                <w:szCs w:val="28"/>
                <w:highlight w:val="none"/>
                <w:lang w:val="en-US" w:eastAsia="zh-CN"/>
              </w:rPr>
            </w:pPr>
            <w:r>
              <w:rPr>
                <w:rFonts w:hint="eastAsia"/>
                <w:sz w:val="28"/>
                <w:szCs w:val="28"/>
                <w:highlight w:val="none"/>
                <w:lang w:val="en-US" w:eastAsia="zh-CN"/>
              </w:rPr>
              <w:t>采购公告及确认投标期限</w:t>
            </w:r>
          </w:p>
        </w:tc>
        <w:tc>
          <w:tcPr>
            <w:tcW w:w="6472" w:type="dxa"/>
            <w:vAlign w:val="center"/>
          </w:tcPr>
          <w:p>
            <w:pPr>
              <w:pStyle w:val="36"/>
              <w:snapToGrid w:val="0"/>
              <w:jc w:val="both"/>
              <w:rPr>
                <w:rFonts w:hint="default" w:eastAsia="宋体"/>
                <w:sz w:val="28"/>
                <w:szCs w:val="28"/>
                <w:highlight w:val="none"/>
                <w:lang w:val="en-US" w:eastAsia="zh-CN"/>
              </w:rPr>
            </w:pPr>
            <w:r>
              <w:rPr>
                <w:rFonts w:hint="eastAsia"/>
                <w:sz w:val="28"/>
                <w:szCs w:val="28"/>
                <w:highlight w:val="none"/>
                <w:lang w:val="en-US" w:eastAsia="zh-CN"/>
              </w:rPr>
              <w:t>本项目采购公告及确认投标期限不少于5个工作日，自2019年8月27日零时至2019年9月3日24时止。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4" w:hRule="atLeast"/>
        </w:trPr>
        <w:tc>
          <w:tcPr>
            <w:tcW w:w="747" w:type="dxa"/>
            <w:vAlign w:val="center"/>
          </w:tcPr>
          <w:p>
            <w:pPr>
              <w:pStyle w:val="36"/>
              <w:snapToGrid w:val="0"/>
              <w:jc w:val="center"/>
              <w:rPr>
                <w:rFonts w:hint="eastAsia" w:eastAsia="宋体" w:cs="Courier New"/>
                <w:sz w:val="28"/>
                <w:szCs w:val="28"/>
                <w:highlight w:val="none"/>
                <w:lang w:val="en-US" w:eastAsia="zh-CN"/>
              </w:rPr>
            </w:pPr>
            <w:r>
              <w:rPr>
                <w:rFonts w:hint="eastAsia" w:cs="Courier New"/>
                <w:sz w:val="28"/>
                <w:szCs w:val="28"/>
                <w:highlight w:val="none"/>
                <w:lang w:val="en-US" w:eastAsia="zh-CN"/>
              </w:rPr>
              <w:t>6</w:t>
            </w:r>
          </w:p>
        </w:tc>
        <w:tc>
          <w:tcPr>
            <w:tcW w:w="2041" w:type="dxa"/>
            <w:vAlign w:val="center"/>
          </w:tcPr>
          <w:p>
            <w:pPr>
              <w:pStyle w:val="36"/>
              <w:snapToGrid w:val="0"/>
              <w:jc w:val="center"/>
              <w:rPr>
                <w:sz w:val="28"/>
                <w:szCs w:val="28"/>
                <w:highlight w:val="none"/>
                <w:lang w:val="zh-CN"/>
              </w:rPr>
            </w:pPr>
            <w:r>
              <w:rPr>
                <w:rFonts w:hint="eastAsia"/>
                <w:sz w:val="28"/>
                <w:szCs w:val="28"/>
                <w:highlight w:val="none"/>
              </w:rPr>
              <w:t>投标</w:t>
            </w:r>
            <w:r>
              <w:rPr>
                <w:rFonts w:hint="eastAsia"/>
                <w:sz w:val="28"/>
                <w:szCs w:val="28"/>
                <w:highlight w:val="none"/>
                <w:lang w:val="zh-CN"/>
              </w:rPr>
              <w:t>文件编制要求</w:t>
            </w:r>
          </w:p>
        </w:tc>
        <w:tc>
          <w:tcPr>
            <w:tcW w:w="6472" w:type="dxa"/>
            <w:vAlign w:val="center"/>
          </w:tcPr>
          <w:p>
            <w:pPr>
              <w:pStyle w:val="36"/>
              <w:snapToGrid w:val="0"/>
              <w:ind w:left="86" w:leftChars="41"/>
              <w:rPr>
                <w:sz w:val="28"/>
                <w:szCs w:val="28"/>
                <w:highlight w:val="none"/>
                <w:lang w:val="zh-CN"/>
              </w:rPr>
            </w:pPr>
            <w:r>
              <w:rPr>
                <w:rFonts w:hint="eastAsia"/>
                <w:sz w:val="28"/>
                <w:szCs w:val="28"/>
                <w:highlight w:val="none"/>
                <w:lang w:val="zh-CN"/>
              </w:rPr>
              <w:t>1.</w:t>
            </w:r>
            <w:r>
              <w:rPr>
                <w:rFonts w:hint="eastAsia"/>
                <w:sz w:val="28"/>
                <w:szCs w:val="28"/>
                <w:highlight w:val="none"/>
              </w:rPr>
              <w:t>投标人</w:t>
            </w:r>
            <w:r>
              <w:rPr>
                <w:rFonts w:hint="eastAsia"/>
                <w:sz w:val="28"/>
                <w:szCs w:val="28"/>
                <w:highlight w:val="none"/>
                <w:lang w:val="zh-CN"/>
              </w:rPr>
              <w:t>应按照</w:t>
            </w:r>
            <w:r>
              <w:rPr>
                <w:rFonts w:hint="eastAsia"/>
                <w:sz w:val="28"/>
                <w:szCs w:val="28"/>
                <w:highlight w:val="none"/>
              </w:rPr>
              <w:t>招标</w:t>
            </w:r>
            <w:r>
              <w:rPr>
                <w:rFonts w:hint="eastAsia"/>
                <w:sz w:val="28"/>
                <w:szCs w:val="28"/>
                <w:highlight w:val="none"/>
                <w:lang w:val="zh-CN"/>
              </w:rPr>
              <w:t>文件所提供的</w:t>
            </w:r>
            <w:r>
              <w:rPr>
                <w:rFonts w:hint="eastAsia"/>
                <w:sz w:val="28"/>
                <w:szCs w:val="28"/>
                <w:highlight w:val="none"/>
              </w:rPr>
              <w:t>投标</w:t>
            </w:r>
            <w:r>
              <w:rPr>
                <w:rFonts w:hint="eastAsia"/>
                <w:sz w:val="28"/>
                <w:szCs w:val="28"/>
                <w:highlight w:val="none"/>
                <w:lang w:val="zh-CN"/>
              </w:rPr>
              <w:t>文件格式完成响应文件制作；</w:t>
            </w:r>
          </w:p>
          <w:p>
            <w:pPr>
              <w:pStyle w:val="36"/>
              <w:snapToGrid w:val="0"/>
              <w:ind w:left="86" w:leftChars="41"/>
              <w:rPr>
                <w:sz w:val="28"/>
                <w:szCs w:val="28"/>
                <w:highlight w:val="none"/>
                <w:lang w:val="zh-CN"/>
              </w:rPr>
            </w:pPr>
            <w:r>
              <w:rPr>
                <w:rFonts w:hint="eastAsia"/>
                <w:sz w:val="28"/>
                <w:szCs w:val="28"/>
                <w:highlight w:val="none"/>
                <w:lang w:val="zh-CN"/>
              </w:rPr>
              <w:t>2.不接受备选投标方案和多个报价。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8" w:hRule="atLeast"/>
        </w:trPr>
        <w:tc>
          <w:tcPr>
            <w:tcW w:w="747" w:type="dxa"/>
            <w:vAlign w:val="center"/>
          </w:tcPr>
          <w:p>
            <w:pPr>
              <w:pStyle w:val="36"/>
              <w:snapToGrid w:val="0"/>
              <w:jc w:val="center"/>
              <w:rPr>
                <w:rFonts w:hint="eastAsia" w:eastAsia="宋体" w:cs="Courier New"/>
                <w:sz w:val="28"/>
                <w:szCs w:val="28"/>
                <w:highlight w:val="none"/>
                <w:lang w:val="en-US" w:eastAsia="zh-CN"/>
              </w:rPr>
            </w:pPr>
            <w:r>
              <w:rPr>
                <w:rFonts w:hint="eastAsia" w:cs="Courier New"/>
                <w:sz w:val="28"/>
                <w:szCs w:val="28"/>
                <w:highlight w:val="none"/>
                <w:lang w:val="en-US" w:eastAsia="zh-CN"/>
              </w:rPr>
              <w:t>7</w:t>
            </w:r>
          </w:p>
        </w:tc>
        <w:tc>
          <w:tcPr>
            <w:tcW w:w="2041" w:type="dxa"/>
            <w:vAlign w:val="center"/>
          </w:tcPr>
          <w:p>
            <w:pPr>
              <w:pStyle w:val="36"/>
              <w:snapToGrid w:val="0"/>
              <w:jc w:val="center"/>
              <w:rPr>
                <w:sz w:val="28"/>
                <w:szCs w:val="28"/>
                <w:highlight w:val="none"/>
              </w:rPr>
            </w:pPr>
            <w:r>
              <w:rPr>
                <w:rFonts w:hint="eastAsia"/>
                <w:sz w:val="28"/>
                <w:szCs w:val="28"/>
                <w:highlight w:val="none"/>
              </w:rPr>
              <w:t>采购代理服务费</w:t>
            </w:r>
          </w:p>
        </w:tc>
        <w:tc>
          <w:tcPr>
            <w:tcW w:w="6472" w:type="dxa"/>
            <w:vAlign w:val="center"/>
          </w:tcPr>
          <w:p>
            <w:pPr>
              <w:adjustRightInd w:val="0"/>
              <w:snapToGrid w:val="0"/>
              <w:ind w:firstLine="560" w:firstLineChars="200"/>
              <w:rPr>
                <w:sz w:val="28"/>
                <w:szCs w:val="28"/>
                <w:highlight w:val="none"/>
                <w:lang w:val="zh-CN"/>
              </w:rPr>
            </w:pPr>
            <w:r>
              <w:rPr>
                <w:rFonts w:ascii="宋体" w:hAnsi="宋体" w:cs="宋体"/>
                <w:sz w:val="28"/>
                <w:szCs w:val="28"/>
                <w:highlight w:val="none"/>
              </w:rPr>
              <w:t>采购代理</w:t>
            </w:r>
            <w:r>
              <w:rPr>
                <w:rFonts w:hint="eastAsia" w:ascii="宋体" w:hAnsi="宋体" w:cs="宋体"/>
                <w:sz w:val="28"/>
                <w:szCs w:val="28"/>
                <w:highlight w:val="none"/>
              </w:rPr>
              <w:t>机构参照《招标代理服务费收费管理暂行办法》（计价格﹝2002﹞1980号）规定的费率标准计算，由中标单位在领取中标通知书前向采购代理机构进行支付。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1" w:hRule="atLeast"/>
        </w:trPr>
        <w:tc>
          <w:tcPr>
            <w:tcW w:w="747" w:type="dxa"/>
            <w:vAlign w:val="center"/>
          </w:tcPr>
          <w:p>
            <w:pPr>
              <w:pStyle w:val="36"/>
              <w:snapToGrid w:val="0"/>
              <w:jc w:val="center"/>
              <w:rPr>
                <w:rFonts w:hint="eastAsia" w:eastAsia="宋体" w:cs="Courier New"/>
                <w:sz w:val="28"/>
                <w:szCs w:val="28"/>
                <w:highlight w:val="none"/>
                <w:lang w:val="en-US" w:eastAsia="zh-CN"/>
              </w:rPr>
            </w:pPr>
            <w:r>
              <w:rPr>
                <w:rFonts w:hint="eastAsia" w:cs="Courier New"/>
                <w:sz w:val="28"/>
                <w:szCs w:val="28"/>
                <w:highlight w:val="none"/>
                <w:lang w:val="en-US" w:eastAsia="zh-CN"/>
              </w:rPr>
              <w:t>8</w:t>
            </w:r>
          </w:p>
        </w:tc>
        <w:tc>
          <w:tcPr>
            <w:tcW w:w="2041" w:type="dxa"/>
            <w:vAlign w:val="center"/>
          </w:tcPr>
          <w:p>
            <w:pPr>
              <w:pStyle w:val="36"/>
              <w:snapToGrid w:val="0"/>
              <w:jc w:val="center"/>
              <w:rPr>
                <w:sz w:val="28"/>
                <w:szCs w:val="28"/>
                <w:highlight w:val="none"/>
              </w:rPr>
            </w:pPr>
            <w:r>
              <w:rPr>
                <w:rFonts w:hint="eastAsia"/>
                <w:sz w:val="28"/>
                <w:szCs w:val="28"/>
                <w:highlight w:val="none"/>
              </w:rPr>
              <w:t>项目前期费用</w:t>
            </w:r>
          </w:p>
        </w:tc>
        <w:tc>
          <w:tcPr>
            <w:tcW w:w="6472" w:type="dxa"/>
            <w:vAlign w:val="center"/>
          </w:tcPr>
          <w:p>
            <w:pPr>
              <w:pStyle w:val="7"/>
              <w:adjustRightInd w:val="0"/>
              <w:snapToGrid w:val="0"/>
              <w:ind w:firstLine="560"/>
              <w:rPr>
                <w:sz w:val="28"/>
                <w:szCs w:val="28"/>
                <w:highlight w:val="none"/>
                <w:lang w:val="zh-CN"/>
              </w:rPr>
            </w:pPr>
            <w:r>
              <w:rPr>
                <w:rFonts w:hint="eastAsia" w:ascii="宋体" w:hAnsi="宋体" w:cs="宋体"/>
                <w:sz w:val="28"/>
                <w:szCs w:val="28"/>
                <w:highlight w:val="none"/>
              </w:rPr>
              <w:t>本项目前期调研策划实施咨询费用共计49.6万元，须中标单位在领取中标通知书前支付给项目咨询单位深圳市万德公共咨询有限公司；本项目资产评估费共计12万元须中标单位在领取中标通知书后支付给海口汇力远资产评估有限公司（具体金额以采购人与其签订的委托合同为准）；本项目环卫作业面积测绘费用约56.9万元须中标单位在领取中标通知书后分别支付给海口山维测绘技术服务有限公司与海口市勘察测绘中心（具体金额以采购人与测绘单位签订的委托合同为准）。</w:t>
            </w:r>
          </w:p>
        </w:tc>
      </w:tr>
    </w:tbl>
    <w:p>
      <w:pPr>
        <w:pStyle w:val="7"/>
        <w:numPr>
          <w:ilvl w:val="255"/>
          <w:numId w:val="0"/>
        </w:numPr>
        <w:rPr>
          <w:sz w:val="28"/>
          <w:szCs w:val="28"/>
          <w:highlight w:val="none"/>
        </w:rPr>
      </w:pPr>
    </w:p>
    <w:p>
      <w:pPr>
        <w:spacing w:line="600" w:lineRule="exact"/>
        <w:rPr>
          <w:rFonts w:ascii="宋体" w:hAnsi="宋体" w:cs="宋体"/>
          <w:b/>
          <w:sz w:val="28"/>
          <w:szCs w:val="28"/>
          <w:highlight w:val="none"/>
        </w:rPr>
      </w:pPr>
      <w:r>
        <w:rPr>
          <w:rFonts w:hint="eastAsia" w:ascii="宋体" w:hAnsi="宋体" w:cs="宋体"/>
          <w:b/>
          <w:sz w:val="28"/>
          <w:szCs w:val="28"/>
          <w:highlight w:val="none"/>
        </w:rPr>
        <w:t>二、总则</w:t>
      </w:r>
    </w:p>
    <w:p>
      <w:pPr>
        <w:spacing w:line="600" w:lineRule="exact"/>
        <w:rPr>
          <w:rFonts w:ascii="宋体" w:hAnsi="宋体" w:cs="宋体"/>
          <w:sz w:val="28"/>
          <w:szCs w:val="28"/>
          <w:highlight w:val="none"/>
        </w:rPr>
      </w:pPr>
      <w:r>
        <w:rPr>
          <w:rFonts w:hint="eastAsia" w:ascii="宋体" w:hAnsi="宋体" w:cs="宋体"/>
          <w:sz w:val="28"/>
          <w:szCs w:val="28"/>
          <w:highlight w:val="none"/>
        </w:rPr>
        <w:t>1. 名词解释</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1.1采购人：海口市美兰区环境卫生管理局</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1.2采购代理机构：深圳市万德公共咨询有限公司</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1.3投标人：已从采购代理机构购买招标文件并向采购代理机构提交投标文件的投标人。</w:t>
      </w:r>
    </w:p>
    <w:p>
      <w:pPr>
        <w:spacing w:line="600" w:lineRule="exact"/>
        <w:rPr>
          <w:rFonts w:ascii="宋体" w:hAnsi="宋体" w:cs="宋体"/>
          <w:sz w:val="28"/>
          <w:szCs w:val="28"/>
          <w:highlight w:val="none"/>
        </w:rPr>
      </w:pPr>
      <w:r>
        <w:rPr>
          <w:rFonts w:hint="eastAsia" w:ascii="宋体" w:hAnsi="宋体" w:cs="宋体"/>
          <w:sz w:val="28"/>
          <w:szCs w:val="28"/>
          <w:highlight w:val="none"/>
        </w:rPr>
        <w:t>2．适用范围</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本招标文件仅适用于采购代理机构组织的本次投标活动。</w:t>
      </w:r>
    </w:p>
    <w:p>
      <w:pPr>
        <w:spacing w:line="600" w:lineRule="exact"/>
        <w:rPr>
          <w:rFonts w:ascii="宋体" w:hAnsi="宋体" w:cs="宋体"/>
          <w:sz w:val="28"/>
          <w:szCs w:val="28"/>
          <w:highlight w:val="none"/>
        </w:rPr>
      </w:pPr>
      <w:r>
        <w:rPr>
          <w:rFonts w:hint="eastAsia" w:ascii="宋体" w:hAnsi="宋体" w:cs="宋体"/>
          <w:sz w:val="28"/>
          <w:szCs w:val="28"/>
          <w:highlight w:val="none"/>
        </w:rPr>
        <w:t>3．合格的投标人</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3.1 凡有能力按照本招标文件规定的要求交付服务的投标单位均为合格的投标人。</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3.2 投标人参加本次招标活动应当符合《中华人民共和国政府采购法》第二十二条的规定，并具备本招标文件第一章的“投标人资格要求”规定的条件。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3.3投标人应遵守中华人民共和国的有关法律、法规、规章和其他政策制度，供应商信用信息查询的查询渠道及截止时点、信用信息查询记录和证据提交的具体方式、信用信息的使用规则：</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① 供应商信用记录查询网址：</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信用中国网http://www.creditchina.gov.cn/ 或信用中国（海南）网http://xyhn.hainan.gov.cn/CreditHnExtranetWeb/；中国政府采购网http://www.ccgp.gov.cn/ 。</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② 信用信息查询要求：查询时间在项目公示时间之后，提供原截图。</w:t>
      </w:r>
    </w:p>
    <w:p>
      <w:pPr>
        <w:pStyle w:val="2"/>
        <w:ind w:left="0" w:leftChars="0" w:firstLine="0" w:firstLineChars="0"/>
        <w:rPr>
          <w:highlight w:val="none"/>
          <w:lang w:eastAsia="zh-CN"/>
        </w:rPr>
      </w:pPr>
      <w:r>
        <w:rPr>
          <w:rFonts w:hint="eastAsia" w:ascii="宋体" w:hAnsi="宋体" w:cs="宋体"/>
          <w:sz w:val="28"/>
          <w:szCs w:val="28"/>
          <w:highlight w:val="none"/>
          <w:lang w:eastAsia="zh-CN"/>
        </w:rPr>
        <w:t>③ 对列入失信被执行人、重大税收违法案件当事人名单、政府采购严重违法失信行为记录名单及其他不符合《中华人民共和国政府采购法》第二十二条规定条件的供应商，不能参与政府采购活动（提供原截图）。</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3.4单位负责人为同一人或者存在直接控股、管理关系的不同供应商，不得参加同一合同项下的政府采购活动。除单一来源采购项目外，为项目提供整体设计、规范编制或者项目管理，监理、检测等服务的供应商，不得再参加该采购项目的其他采购活动。</w:t>
      </w:r>
    </w:p>
    <w:p>
      <w:pPr>
        <w:spacing w:line="600" w:lineRule="exact"/>
        <w:rPr>
          <w:rFonts w:ascii="宋体" w:hAnsi="宋体" w:cs="宋体"/>
          <w:sz w:val="28"/>
          <w:szCs w:val="28"/>
          <w:highlight w:val="none"/>
        </w:rPr>
      </w:pPr>
      <w:r>
        <w:rPr>
          <w:rFonts w:hint="eastAsia" w:ascii="宋体" w:hAnsi="宋体" w:cs="宋体"/>
          <w:sz w:val="28"/>
          <w:szCs w:val="28"/>
          <w:highlight w:val="none"/>
        </w:rPr>
        <w:t>4．投标费用</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无论招标投标过程中的做法和结果如何，投标人均自行承担所有与参加投标有关的全部费用。</w:t>
      </w:r>
    </w:p>
    <w:p>
      <w:pPr>
        <w:spacing w:line="600" w:lineRule="exact"/>
        <w:rPr>
          <w:rFonts w:ascii="宋体" w:hAnsi="宋体" w:cs="宋体"/>
          <w:sz w:val="28"/>
          <w:szCs w:val="28"/>
          <w:highlight w:val="none"/>
        </w:rPr>
      </w:pPr>
      <w:r>
        <w:rPr>
          <w:rFonts w:hint="eastAsia" w:ascii="宋体" w:hAnsi="宋体" w:cs="宋体"/>
          <w:sz w:val="28"/>
          <w:szCs w:val="28"/>
          <w:highlight w:val="none"/>
        </w:rPr>
        <w:t>5．招标文件的约束力</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5.1本招标文件由</w:t>
      </w:r>
      <w:r>
        <w:rPr>
          <w:rFonts w:ascii="宋体" w:hAnsi="宋体" w:cs="宋体"/>
          <w:sz w:val="28"/>
          <w:szCs w:val="28"/>
          <w:highlight w:val="none"/>
        </w:rPr>
        <w:t>采购代理</w:t>
      </w:r>
      <w:r>
        <w:rPr>
          <w:rFonts w:hint="eastAsia" w:ascii="宋体" w:hAnsi="宋体" w:cs="宋体"/>
          <w:sz w:val="28"/>
          <w:szCs w:val="28"/>
          <w:highlight w:val="none"/>
        </w:rPr>
        <w:t>机构负责解释。</w:t>
      </w:r>
    </w:p>
    <w:p>
      <w:pPr>
        <w:spacing w:line="600" w:lineRule="exact"/>
        <w:rPr>
          <w:rFonts w:ascii="宋体" w:hAnsi="宋体" w:cs="宋体"/>
          <w:b/>
          <w:sz w:val="24"/>
          <w:highlight w:val="none"/>
        </w:rPr>
      </w:pPr>
      <w:r>
        <w:rPr>
          <w:rFonts w:hint="eastAsia" w:ascii="宋体" w:hAnsi="宋体" w:cs="宋体"/>
          <w:b/>
          <w:sz w:val="28"/>
          <w:szCs w:val="28"/>
          <w:highlight w:val="none"/>
        </w:rPr>
        <w:t>三、招标文件</w:t>
      </w:r>
    </w:p>
    <w:p>
      <w:pPr>
        <w:spacing w:line="600" w:lineRule="exact"/>
        <w:rPr>
          <w:rFonts w:ascii="宋体" w:hAnsi="宋体" w:cs="宋体"/>
          <w:sz w:val="28"/>
          <w:szCs w:val="28"/>
          <w:highlight w:val="none"/>
        </w:rPr>
      </w:pPr>
      <w:r>
        <w:rPr>
          <w:rFonts w:hint="eastAsia" w:ascii="宋体" w:hAnsi="宋体" w:cs="宋体"/>
          <w:sz w:val="28"/>
          <w:szCs w:val="28"/>
          <w:highlight w:val="none"/>
        </w:rPr>
        <w:t>6．招标文件的组成</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 xml:space="preserve"> 6.1 招标文件是投标人准备投标文件和参加投标的依据，同时也是评标的重要依据。招标文件用以阐明招标项目所需的资质、技术、服务及报价等要求、招标投标程序、有关规定和注意事项以及合同主要条款等。本招标文件由6章节组成，包括以下内容：</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第一章  招标公告</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第二章  投标人须知</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第三章  用户需求书</w:t>
      </w:r>
    </w:p>
    <w:p>
      <w:pPr>
        <w:spacing w:line="600" w:lineRule="exact"/>
        <w:ind w:firstLine="420" w:firstLineChars="150"/>
        <w:rPr>
          <w:rFonts w:ascii="宋体" w:hAnsi="宋体" w:cs="宋体"/>
          <w:sz w:val="28"/>
          <w:szCs w:val="28"/>
          <w:highlight w:val="none"/>
        </w:rPr>
      </w:pPr>
      <w:r>
        <w:rPr>
          <w:rFonts w:hint="eastAsia" w:ascii="宋体" w:hAnsi="宋体" w:cs="宋体"/>
          <w:sz w:val="28"/>
          <w:szCs w:val="28"/>
          <w:highlight w:val="none"/>
        </w:rPr>
        <w:t xml:space="preserve"> 第四章  合同条款</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第五章  投标文件内容和格式</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第六章  评标方法</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请仔细检查招标文件是否齐全，如有缺漏，请立即与</w:t>
      </w:r>
      <w:r>
        <w:rPr>
          <w:rFonts w:ascii="宋体" w:hAnsi="宋体" w:cs="宋体"/>
          <w:sz w:val="28"/>
          <w:szCs w:val="28"/>
          <w:highlight w:val="none"/>
        </w:rPr>
        <w:t>采购代理</w:t>
      </w:r>
      <w:r>
        <w:rPr>
          <w:rFonts w:hint="eastAsia" w:ascii="宋体" w:hAnsi="宋体" w:cs="宋体"/>
          <w:sz w:val="28"/>
          <w:szCs w:val="28"/>
          <w:highlight w:val="none"/>
        </w:rPr>
        <w:t>机构联系解决。</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6.2投标人必须详阅招标文件的所有条款、文件及表格格式。投标人若未按招标文件的要求和规范编制、提交招标文件，将有可能导致招标文件被拒绝接受，所造成的负面后果由投标人负责。</w:t>
      </w:r>
    </w:p>
    <w:p>
      <w:pPr>
        <w:spacing w:line="600" w:lineRule="exact"/>
        <w:rPr>
          <w:rFonts w:ascii="宋体" w:hAnsi="宋体" w:cs="宋体"/>
          <w:sz w:val="28"/>
          <w:szCs w:val="28"/>
          <w:highlight w:val="none"/>
        </w:rPr>
      </w:pPr>
      <w:r>
        <w:rPr>
          <w:rFonts w:hint="eastAsia" w:ascii="宋体" w:hAnsi="宋体" w:cs="宋体"/>
          <w:sz w:val="28"/>
          <w:szCs w:val="28"/>
          <w:highlight w:val="none"/>
        </w:rPr>
        <w:t>7．招标文件的澄清、更正或补充</w:t>
      </w:r>
    </w:p>
    <w:p>
      <w:pPr>
        <w:spacing w:line="600" w:lineRule="exact"/>
        <w:ind w:firstLine="490" w:firstLineChars="175"/>
        <w:rPr>
          <w:rFonts w:ascii="宋体" w:hAnsi="宋体" w:cs="宋体"/>
          <w:sz w:val="28"/>
          <w:szCs w:val="28"/>
          <w:highlight w:val="none"/>
        </w:rPr>
      </w:pPr>
      <w:r>
        <w:rPr>
          <w:rFonts w:hint="eastAsia" w:ascii="宋体" w:hAnsi="宋体" w:cs="宋体"/>
          <w:sz w:val="28"/>
          <w:szCs w:val="28"/>
          <w:highlight w:val="none"/>
        </w:rPr>
        <w:t>7.1 投标人在收到招标文件后，若有疑问需要澄清，应在公开招标公告发出之日起5日内以书面形式向</w:t>
      </w:r>
      <w:r>
        <w:rPr>
          <w:rFonts w:ascii="宋体" w:hAnsi="宋体" w:cs="宋体"/>
          <w:sz w:val="28"/>
          <w:szCs w:val="28"/>
          <w:highlight w:val="none"/>
        </w:rPr>
        <w:t>采购代理</w:t>
      </w:r>
      <w:r>
        <w:rPr>
          <w:rFonts w:hint="eastAsia" w:ascii="宋体" w:hAnsi="宋体" w:cs="宋体"/>
          <w:sz w:val="28"/>
          <w:szCs w:val="28"/>
          <w:highlight w:val="none"/>
        </w:rPr>
        <w:t>机构提出，</w:t>
      </w:r>
      <w:r>
        <w:rPr>
          <w:rFonts w:ascii="宋体" w:hAnsi="宋体" w:cs="宋体"/>
          <w:sz w:val="28"/>
          <w:szCs w:val="28"/>
          <w:highlight w:val="none"/>
        </w:rPr>
        <w:t>采购代理</w:t>
      </w:r>
      <w:r>
        <w:rPr>
          <w:rFonts w:hint="eastAsia" w:ascii="宋体" w:hAnsi="宋体" w:cs="宋体"/>
          <w:sz w:val="28"/>
          <w:szCs w:val="28"/>
          <w:highlight w:val="none"/>
        </w:rPr>
        <w:t>机构将以书面形式进行答复，同时</w:t>
      </w:r>
      <w:r>
        <w:rPr>
          <w:rFonts w:ascii="宋体" w:hAnsi="宋体" w:cs="宋体"/>
          <w:sz w:val="28"/>
          <w:szCs w:val="28"/>
          <w:highlight w:val="none"/>
        </w:rPr>
        <w:t>采购代理</w:t>
      </w:r>
      <w:r>
        <w:rPr>
          <w:rFonts w:hint="eastAsia" w:ascii="宋体" w:hAnsi="宋体" w:cs="宋体"/>
          <w:sz w:val="28"/>
          <w:szCs w:val="28"/>
          <w:highlight w:val="none"/>
        </w:rPr>
        <w:t>机构有权将答复内容分发给所有购买了此招标文件的投标人。</w:t>
      </w:r>
    </w:p>
    <w:p>
      <w:pPr>
        <w:spacing w:line="600" w:lineRule="exact"/>
        <w:ind w:firstLine="490" w:firstLineChars="175"/>
        <w:rPr>
          <w:rFonts w:ascii="宋体" w:hAnsi="宋体" w:cs="宋体"/>
          <w:sz w:val="28"/>
          <w:szCs w:val="28"/>
          <w:highlight w:val="none"/>
        </w:rPr>
      </w:pPr>
      <w:r>
        <w:rPr>
          <w:rFonts w:hint="eastAsia" w:ascii="宋体" w:hAnsi="宋体" w:cs="宋体"/>
          <w:sz w:val="28"/>
          <w:szCs w:val="28"/>
          <w:highlight w:val="none"/>
        </w:rPr>
        <w:t xml:space="preserve">7.2 </w:t>
      </w:r>
      <w:r>
        <w:rPr>
          <w:rFonts w:ascii="宋体" w:hAnsi="宋体" w:cs="宋体"/>
          <w:sz w:val="28"/>
          <w:szCs w:val="28"/>
          <w:highlight w:val="none"/>
        </w:rPr>
        <w:t>采购代理</w:t>
      </w:r>
      <w:r>
        <w:rPr>
          <w:rFonts w:hint="eastAsia" w:ascii="宋体" w:hAnsi="宋体" w:cs="宋体"/>
          <w:sz w:val="28"/>
          <w:szCs w:val="28"/>
          <w:highlight w:val="none"/>
        </w:rPr>
        <w:t>机构可以指定媒体上以公告的方式更正/补充招标文件。更正/补充通知作为招标文件的组成部分，对投标人起同等约束作用。</w:t>
      </w:r>
    </w:p>
    <w:p>
      <w:pPr>
        <w:spacing w:line="600" w:lineRule="exact"/>
        <w:ind w:firstLine="490" w:firstLineChars="175"/>
        <w:rPr>
          <w:rFonts w:ascii="宋体" w:hAnsi="宋体" w:cs="宋体"/>
          <w:sz w:val="28"/>
          <w:szCs w:val="28"/>
          <w:highlight w:val="none"/>
        </w:rPr>
      </w:pPr>
      <w:r>
        <w:rPr>
          <w:rFonts w:hint="eastAsia" w:ascii="宋体" w:hAnsi="宋体" w:cs="宋体"/>
          <w:sz w:val="28"/>
          <w:szCs w:val="28"/>
          <w:highlight w:val="none"/>
        </w:rPr>
        <w:t>7.3 当招标文件与更正/补充公告的内容相互矛盾时，以</w:t>
      </w:r>
      <w:r>
        <w:rPr>
          <w:rFonts w:ascii="宋体" w:hAnsi="宋体" w:cs="宋体"/>
          <w:sz w:val="28"/>
          <w:szCs w:val="28"/>
          <w:highlight w:val="none"/>
        </w:rPr>
        <w:t>采购代理</w:t>
      </w:r>
      <w:r>
        <w:rPr>
          <w:rFonts w:hint="eastAsia" w:ascii="宋体" w:hAnsi="宋体" w:cs="宋体"/>
          <w:sz w:val="28"/>
          <w:szCs w:val="28"/>
          <w:highlight w:val="none"/>
        </w:rPr>
        <w:t>机构最后发出的更正/补充公告为准。</w:t>
      </w:r>
    </w:p>
    <w:p>
      <w:pPr>
        <w:spacing w:line="600" w:lineRule="exact"/>
        <w:ind w:firstLine="490" w:firstLineChars="175"/>
        <w:rPr>
          <w:rFonts w:ascii="宋体" w:hAnsi="宋体" w:cs="宋体"/>
          <w:sz w:val="28"/>
          <w:szCs w:val="28"/>
          <w:highlight w:val="none"/>
        </w:rPr>
      </w:pPr>
      <w:r>
        <w:rPr>
          <w:rFonts w:hint="eastAsia" w:ascii="宋体" w:hAnsi="宋体" w:cs="宋体"/>
          <w:sz w:val="28"/>
          <w:szCs w:val="28"/>
          <w:highlight w:val="none"/>
        </w:rPr>
        <w:t>7.4 为使投标人有足够的时间按招标文件的修改/补充要求更正投标文件，</w:t>
      </w:r>
      <w:r>
        <w:rPr>
          <w:rFonts w:ascii="宋体" w:hAnsi="宋体" w:cs="宋体"/>
          <w:sz w:val="28"/>
          <w:szCs w:val="28"/>
          <w:highlight w:val="none"/>
        </w:rPr>
        <w:t>采购代理</w:t>
      </w:r>
      <w:r>
        <w:rPr>
          <w:rFonts w:hint="eastAsia" w:ascii="宋体" w:hAnsi="宋体" w:cs="宋体"/>
          <w:sz w:val="28"/>
          <w:szCs w:val="28"/>
          <w:highlight w:val="none"/>
        </w:rPr>
        <w:t>机构有权决定推迟投标截止日期和开标时间。</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8. 现场踏勘</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8.1 投标人自行进行现场踏勘。</w:t>
      </w:r>
    </w:p>
    <w:p>
      <w:pPr>
        <w:pStyle w:val="2"/>
        <w:ind w:left="0" w:leftChars="0" w:firstLine="0" w:firstLineChars="0"/>
        <w:rPr>
          <w:rFonts w:ascii="宋体" w:hAnsi="宋体" w:cs="宋体"/>
          <w:sz w:val="28"/>
          <w:szCs w:val="28"/>
          <w:highlight w:val="none"/>
          <w:lang w:eastAsia="zh-CN"/>
        </w:rPr>
      </w:pPr>
      <w:r>
        <w:rPr>
          <w:rFonts w:hint="eastAsia" w:ascii="宋体" w:hAnsi="宋体" w:cs="宋体"/>
          <w:sz w:val="28"/>
          <w:szCs w:val="28"/>
          <w:highlight w:val="none"/>
          <w:lang w:eastAsia="zh-CN"/>
        </w:rPr>
        <w:t>8.2 投标人现场踏勘所发生的一切费用由供应商自己承担。</w:t>
      </w:r>
    </w:p>
    <w:p>
      <w:pPr>
        <w:spacing w:line="600" w:lineRule="exact"/>
        <w:rPr>
          <w:rFonts w:ascii="宋体" w:hAnsi="宋体" w:cs="宋体"/>
          <w:b/>
          <w:sz w:val="28"/>
          <w:szCs w:val="28"/>
          <w:highlight w:val="none"/>
        </w:rPr>
      </w:pPr>
      <w:r>
        <w:rPr>
          <w:rFonts w:hint="eastAsia" w:ascii="宋体" w:hAnsi="宋体" w:cs="宋体"/>
          <w:b/>
          <w:sz w:val="28"/>
          <w:szCs w:val="28"/>
          <w:highlight w:val="none"/>
        </w:rPr>
        <w:t>四、投标文件</w:t>
      </w:r>
    </w:p>
    <w:p>
      <w:pPr>
        <w:spacing w:line="600" w:lineRule="exact"/>
        <w:rPr>
          <w:rFonts w:ascii="宋体" w:hAnsi="宋体" w:cs="宋体"/>
          <w:sz w:val="28"/>
          <w:szCs w:val="28"/>
          <w:highlight w:val="none"/>
        </w:rPr>
      </w:pPr>
      <w:r>
        <w:rPr>
          <w:rFonts w:hint="eastAsia" w:ascii="宋体" w:hAnsi="宋体" w:cs="宋体"/>
          <w:sz w:val="28"/>
          <w:szCs w:val="28"/>
          <w:highlight w:val="none"/>
        </w:rPr>
        <w:t>9．投标文件的组成</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9.1 投标文件应按“第五章 投标文件内容和格式”要求编制。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9.2 若投标人未按招标文件的要求提供资料，或未对招标文件做出实质性投标，将可能导致投标文件被视为无效。</w:t>
      </w:r>
    </w:p>
    <w:p>
      <w:pPr>
        <w:spacing w:line="600" w:lineRule="exact"/>
        <w:rPr>
          <w:rFonts w:ascii="宋体" w:hAnsi="宋体" w:cs="宋体"/>
          <w:sz w:val="28"/>
          <w:szCs w:val="28"/>
          <w:highlight w:val="none"/>
        </w:rPr>
      </w:pPr>
      <w:r>
        <w:rPr>
          <w:rFonts w:hint="eastAsia" w:ascii="宋体" w:hAnsi="宋体" w:cs="宋体"/>
          <w:sz w:val="28"/>
          <w:szCs w:val="28"/>
          <w:highlight w:val="none"/>
        </w:rPr>
        <w:t>10．投标报价</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10.1报价均须以人民币为计算单位。</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10.2 本次采购采用总承包方式，因此投标人的报价应包括全部服务的价格及其他有关的所有费用，包括但不限于招标人委托项目咨询机构所产生的相关费用。</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10.3投标人应按开标一览表的要求报价，不能提供有选择的报价。</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10.4 本项目要求各投标单位不超过投标最高限价的投标报价（包括环卫服务费各项单价和总价）为有效报价。</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10.5有效报价中价格最低的环卫服务费总价投标报价为评标基准价，其价格分为满分15分。其他投标人的价格分统一按照下列公式计算：</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投标报价得分=(评标基准价／投标报价)×15</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（小数点后保留二位小数，第三位四舍五入）</w:t>
      </w:r>
    </w:p>
    <w:p>
      <w:pPr>
        <w:spacing w:line="600" w:lineRule="exact"/>
        <w:ind w:firstLine="560" w:firstLineChars="200"/>
        <w:rPr>
          <w:rFonts w:ascii="宋体" w:hAnsi="宋体" w:cs="宋体"/>
          <w:sz w:val="24"/>
          <w:highlight w:val="none"/>
        </w:rPr>
      </w:pPr>
      <w:r>
        <w:rPr>
          <w:rFonts w:hint="eastAsia" w:ascii="宋体" w:hAnsi="宋体" w:cs="宋体"/>
          <w:sz w:val="28"/>
          <w:szCs w:val="28"/>
          <w:highlight w:val="none"/>
        </w:rPr>
        <w:t>10.6评标委员会认为投标人的报价明显低于其他通过符合性审查投标人的报价，有可能影响或者不能诚信履约的，将要求其在评标现场接到通知20分钟内提供书面说明，必要时提交相关证明材料。投标人不能证明其报价合理性的，评标委员会将作为无效投标处理。</w:t>
      </w:r>
      <w:r>
        <w:rPr>
          <w:rFonts w:hint="eastAsia" w:ascii="宋体" w:hAnsi="宋体" w:cs="宋体"/>
          <w:sz w:val="24"/>
          <w:highlight w:val="none"/>
        </w:rPr>
        <w:t xml:space="preserve"> </w:t>
      </w:r>
    </w:p>
    <w:p>
      <w:pPr>
        <w:spacing w:line="600" w:lineRule="exact"/>
        <w:rPr>
          <w:rFonts w:ascii="宋体" w:hAnsi="宋体" w:cs="宋体"/>
          <w:sz w:val="28"/>
          <w:szCs w:val="28"/>
          <w:highlight w:val="none"/>
        </w:rPr>
      </w:pPr>
      <w:r>
        <w:rPr>
          <w:rFonts w:hint="eastAsia" w:ascii="宋体" w:hAnsi="宋体" w:cs="宋体"/>
          <w:sz w:val="28"/>
          <w:szCs w:val="28"/>
          <w:highlight w:val="none"/>
        </w:rPr>
        <w:t>11．投标保证金（</w:t>
      </w:r>
      <w:r>
        <w:rPr>
          <w:rFonts w:hint="eastAsia"/>
          <w:sz w:val="28"/>
          <w:szCs w:val="28"/>
          <w:highlight w:val="none"/>
        </w:rPr>
        <w:t>保函或建设工程投标保险</w:t>
      </w:r>
      <w:r>
        <w:rPr>
          <w:rFonts w:hint="eastAsia" w:ascii="宋体" w:hAnsi="宋体" w:cs="宋体"/>
          <w:sz w:val="28"/>
          <w:szCs w:val="28"/>
          <w:highlight w:val="none"/>
        </w:rPr>
        <w:t>）</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11.1 投标保证金（</w:t>
      </w:r>
      <w:r>
        <w:rPr>
          <w:rFonts w:hint="eastAsia"/>
          <w:sz w:val="28"/>
          <w:szCs w:val="28"/>
          <w:highlight w:val="none"/>
        </w:rPr>
        <w:t>保函或建设工程投标保险</w:t>
      </w:r>
      <w:r>
        <w:rPr>
          <w:rFonts w:hint="eastAsia" w:ascii="宋体" w:hAnsi="宋体" w:cs="宋体"/>
          <w:sz w:val="28"/>
          <w:szCs w:val="28"/>
          <w:highlight w:val="none"/>
        </w:rPr>
        <w:t>）是参加本项目投标的必要条件，保证金支付要求见第一章。</w:t>
      </w:r>
    </w:p>
    <w:p>
      <w:pPr>
        <w:spacing w:line="600" w:lineRule="exact"/>
        <w:ind w:firstLine="492" w:firstLineChars="175"/>
        <w:rPr>
          <w:rFonts w:hint="eastAsia" w:ascii="宋体" w:hAnsi="宋体" w:cs="宋体"/>
          <w:b/>
          <w:bCs/>
          <w:sz w:val="28"/>
          <w:szCs w:val="28"/>
          <w:highlight w:val="none"/>
        </w:rPr>
      </w:pPr>
      <w:r>
        <w:rPr>
          <w:rFonts w:hint="eastAsia" w:ascii="宋体" w:hAnsi="宋体" w:cs="宋体"/>
          <w:b/>
          <w:bCs/>
          <w:sz w:val="28"/>
          <w:szCs w:val="28"/>
          <w:highlight w:val="none"/>
        </w:rPr>
        <w:t>投标申请并获取保证金账号。提交市场主体登记信息后，在海口市公共资源交易网主页,进入交易系统选择“我要投标”，提交项目投标申请，获取投标保证金账号，如未在规定时间内提交投标申请同时获取保证金账号者，视同放弃参与本项目采购活动。</w:t>
      </w:r>
    </w:p>
    <w:p>
      <w:pPr>
        <w:spacing w:line="600" w:lineRule="exact"/>
        <w:ind w:firstLine="490" w:firstLineChars="175"/>
        <w:rPr>
          <w:rFonts w:hint="eastAsia" w:ascii="宋体" w:hAnsi="宋体" w:cs="宋体"/>
          <w:sz w:val="28"/>
          <w:szCs w:val="28"/>
          <w:highlight w:val="none"/>
        </w:rPr>
      </w:pPr>
      <w:r>
        <w:rPr>
          <w:rFonts w:hint="eastAsia" w:ascii="宋体" w:hAnsi="宋体" w:cs="宋体"/>
          <w:sz w:val="28"/>
          <w:szCs w:val="28"/>
          <w:highlight w:val="none"/>
        </w:rPr>
        <w:t>11.2 若投标人不按规定提交投标保证金（</w:t>
      </w:r>
      <w:r>
        <w:rPr>
          <w:rFonts w:hint="eastAsia"/>
          <w:sz w:val="28"/>
          <w:szCs w:val="28"/>
          <w:highlight w:val="none"/>
        </w:rPr>
        <w:t>投标保证金、保函或建设工程投标保险</w:t>
      </w:r>
      <w:r>
        <w:rPr>
          <w:rFonts w:hint="eastAsia" w:ascii="宋体" w:hAnsi="宋体" w:cs="宋体"/>
          <w:sz w:val="28"/>
          <w:szCs w:val="28"/>
          <w:highlight w:val="none"/>
        </w:rPr>
        <w:t>），其投标文件将被拒绝接受。</w:t>
      </w:r>
    </w:p>
    <w:p>
      <w:pPr>
        <w:spacing w:line="6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11.3 关于投标保函的要求</w:t>
      </w:r>
    </w:p>
    <w:p>
      <w:pPr>
        <w:spacing w:line="6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（1）投标保函的受益人应为采购单位，潜在投标供应商在出具投标保函时应附上书面承诺该保函合法有效并接受社会监督的书面原件；</w:t>
      </w:r>
    </w:p>
    <w:p>
      <w:pPr>
        <w:spacing w:line="6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（2）本项目的所有保函将随着采购结果公告一起公示；</w:t>
      </w:r>
    </w:p>
    <w:p>
      <w:pPr>
        <w:spacing w:line="60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（3）海口市公共资源交易中心负责保函的保管和存档。</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11.4 投标保证金（</w:t>
      </w:r>
      <w:r>
        <w:rPr>
          <w:rFonts w:hint="eastAsia"/>
          <w:sz w:val="28"/>
          <w:szCs w:val="28"/>
          <w:highlight w:val="none"/>
        </w:rPr>
        <w:t>保函或建设工程投标保险</w:t>
      </w:r>
      <w:r>
        <w:rPr>
          <w:rFonts w:hint="eastAsia" w:ascii="宋体" w:hAnsi="宋体" w:cs="宋体"/>
          <w:sz w:val="28"/>
          <w:szCs w:val="28"/>
          <w:highlight w:val="none"/>
        </w:rPr>
        <w:t>）的退还</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11.4.l中标人的投标保证金在其与</w:t>
      </w:r>
      <w:r>
        <w:rPr>
          <w:rFonts w:ascii="宋体" w:hAnsi="宋体" w:cs="宋体"/>
          <w:sz w:val="28"/>
          <w:szCs w:val="28"/>
          <w:highlight w:val="none"/>
        </w:rPr>
        <w:t>采购人</w:t>
      </w:r>
      <w:r>
        <w:rPr>
          <w:rFonts w:hint="eastAsia" w:ascii="宋体" w:hAnsi="宋体" w:cs="宋体"/>
          <w:sz w:val="28"/>
          <w:szCs w:val="28"/>
          <w:highlight w:val="none"/>
        </w:rPr>
        <w:t>签订了合同后五个工作日内无息退还，落标的投标人的报价保证金将在</w:t>
      </w:r>
      <w:r>
        <w:rPr>
          <w:rFonts w:ascii="宋体" w:hAnsi="宋体" w:cs="宋体"/>
          <w:sz w:val="28"/>
          <w:szCs w:val="28"/>
          <w:highlight w:val="none"/>
        </w:rPr>
        <w:t>采购代理</w:t>
      </w:r>
      <w:r>
        <w:rPr>
          <w:rFonts w:hint="eastAsia" w:ascii="宋体" w:hAnsi="宋体" w:cs="宋体"/>
          <w:sz w:val="28"/>
          <w:szCs w:val="28"/>
          <w:highlight w:val="none"/>
        </w:rPr>
        <w:t>机构发出成交通知书5个工作日内无息退还。</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11.5 发生下列情况之一，投标保证金（</w:t>
      </w:r>
      <w:r>
        <w:rPr>
          <w:rFonts w:hint="eastAsia"/>
          <w:sz w:val="28"/>
          <w:szCs w:val="28"/>
          <w:highlight w:val="none"/>
        </w:rPr>
        <w:t>保函或建设工程投标保险</w:t>
      </w:r>
      <w:r>
        <w:rPr>
          <w:rFonts w:hint="eastAsia" w:ascii="宋体" w:hAnsi="宋体" w:cs="宋体"/>
          <w:sz w:val="28"/>
          <w:szCs w:val="28"/>
          <w:highlight w:val="none"/>
        </w:rPr>
        <w:t>）将不予退还：</w:t>
      </w:r>
    </w:p>
    <w:p>
      <w:pPr>
        <w:spacing w:line="600" w:lineRule="exact"/>
        <w:ind w:firstLine="560" w:firstLineChars="200"/>
        <w:rPr>
          <w:rFonts w:ascii="宋体" w:hAnsi="宋体" w:cs="宋体"/>
          <w:sz w:val="24"/>
          <w:highlight w:val="none"/>
        </w:rPr>
      </w:pPr>
      <w:r>
        <w:rPr>
          <w:rFonts w:hint="eastAsia" w:ascii="宋体" w:hAnsi="宋体" w:cs="宋体"/>
          <w:sz w:val="28"/>
          <w:szCs w:val="28"/>
          <w:highlight w:val="none"/>
        </w:rPr>
        <w:t>（1）投标人在投标有效期内撤回其投标文件的；</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（2）投标人不按本章规定签订合同；</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（3）投标人提供虚假材料谋取中标、成交的；</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（4）与</w:t>
      </w:r>
      <w:r>
        <w:rPr>
          <w:rFonts w:ascii="宋体" w:hAnsi="宋体" w:cs="宋体"/>
          <w:sz w:val="28"/>
          <w:szCs w:val="28"/>
          <w:highlight w:val="none"/>
        </w:rPr>
        <w:t>采购人</w:t>
      </w:r>
      <w:r>
        <w:rPr>
          <w:rFonts w:hint="eastAsia" w:ascii="宋体" w:hAnsi="宋体" w:cs="宋体"/>
          <w:sz w:val="28"/>
          <w:szCs w:val="28"/>
          <w:highlight w:val="none"/>
        </w:rPr>
        <w:t>、其它投标人或者</w:t>
      </w:r>
      <w:r>
        <w:rPr>
          <w:rFonts w:ascii="宋体" w:hAnsi="宋体" w:cs="宋体"/>
          <w:sz w:val="28"/>
          <w:szCs w:val="28"/>
          <w:highlight w:val="none"/>
        </w:rPr>
        <w:t>采购代理</w:t>
      </w:r>
      <w:r>
        <w:rPr>
          <w:rFonts w:hint="eastAsia" w:ascii="宋体" w:hAnsi="宋体" w:cs="宋体"/>
          <w:sz w:val="28"/>
          <w:szCs w:val="28"/>
          <w:highlight w:val="none"/>
        </w:rPr>
        <w:t>机构恶意串通的；</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（5）向</w:t>
      </w:r>
      <w:r>
        <w:rPr>
          <w:rFonts w:ascii="宋体" w:hAnsi="宋体" w:cs="宋体"/>
          <w:sz w:val="28"/>
          <w:szCs w:val="28"/>
          <w:highlight w:val="none"/>
        </w:rPr>
        <w:t>采购人</w:t>
      </w:r>
      <w:r>
        <w:rPr>
          <w:rFonts w:hint="eastAsia" w:ascii="宋体" w:hAnsi="宋体" w:cs="宋体"/>
          <w:sz w:val="28"/>
          <w:szCs w:val="28"/>
          <w:highlight w:val="none"/>
        </w:rPr>
        <w:t>、</w:t>
      </w:r>
      <w:r>
        <w:rPr>
          <w:rFonts w:ascii="宋体" w:hAnsi="宋体" w:cs="宋体"/>
          <w:sz w:val="28"/>
          <w:szCs w:val="28"/>
          <w:highlight w:val="none"/>
        </w:rPr>
        <w:t>采购代理</w:t>
      </w:r>
      <w:r>
        <w:rPr>
          <w:rFonts w:hint="eastAsia" w:ascii="宋体" w:hAnsi="宋体" w:cs="宋体"/>
          <w:sz w:val="28"/>
          <w:szCs w:val="28"/>
          <w:highlight w:val="none"/>
        </w:rPr>
        <w:t>机构、评标委员会成员行贿或者提供其他不正当利益的。</w:t>
      </w:r>
    </w:p>
    <w:p>
      <w:pPr>
        <w:spacing w:line="600" w:lineRule="exact"/>
        <w:rPr>
          <w:rFonts w:ascii="宋体" w:hAnsi="宋体" w:cs="宋体"/>
          <w:sz w:val="28"/>
          <w:szCs w:val="28"/>
          <w:highlight w:val="none"/>
        </w:rPr>
      </w:pPr>
      <w:r>
        <w:rPr>
          <w:rFonts w:hint="eastAsia" w:ascii="宋体" w:hAnsi="宋体" w:cs="宋体"/>
          <w:sz w:val="28"/>
          <w:szCs w:val="28"/>
          <w:highlight w:val="none"/>
        </w:rPr>
        <w:t>12．投标有效期</w:t>
      </w:r>
    </w:p>
    <w:p>
      <w:pPr>
        <w:spacing w:line="60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12.l 投标有效期为从开标截止之日起计算的60个日历日，有效期短于此规定的投标文件将被视为无效。</w:t>
      </w:r>
    </w:p>
    <w:p>
      <w:pPr>
        <w:spacing w:line="600" w:lineRule="exact"/>
        <w:ind w:firstLine="560" w:firstLineChars="200"/>
        <w:rPr>
          <w:rFonts w:ascii="宋体" w:hAnsi="宋体" w:cs="宋体"/>
          <w:sz w:val="24"/>
          <w:highlight w:val="none"/>
        </w:rPr>
      </w:pPr>
      <w:r>
        <w:rPr>
          <w:rFonts w:hint="eastAsia" w:ascii="宋体" w:hAnsi="宋体" w:cs="宋体"/>
          <w:sz w:val="28"/>
          <w:szCs w:val="28"/>
          <w:highlight w:val="none"/>
        </w:rPr>
        <w:t>12.2 在特殊情况下，</w:t>
      </w:r>
      <w:r>
        <w:rPr>
          <w:rFonts w:ascii="宋体" w:hAnsi="宋体" w:cs="宋体"/>
          <w:sz w:val="28"/>
          <w:szCs w:val="28"/>
          <w:highlight w:val="none"/>
        </w:rPr>
        <w:t>采购代理</w:t>
      </w:r>
      <w:r>
        <w:rPr>
          <w:rFonts w:hint="eastAsia" w:ascii="宋体" w:hAnsi="宋体" w:cs="宋体"/>
          <w:sz w:val="28"/>
          <w:szCs w:val="28"/>
          <w:highlight w:val="none"/>
        </w:rPr>
        <w:t>机构可于投标有效期满之前，征得投标人同意延长投标有效期，要求与答复均应以书面形式进行。投标人可以拒绝接受这一要求而放弃投标，投标保证金（</w:t>
      </w:r>
      <w:r>
        <w:rPr>
          <w:rFonts w:hint="eastAsia"/>
          <w:sz w:val="28"/>
          <w:szCs w:val="28"/>
          <w:highlight w:val="none"/>
        </w:rPr>
        <w:t>保函或建设工程投标保险</w:t>
      </w:r>
      <w:r>
        <w:rPr>
          <w:rFonts w:hint="eastAsia" w:ascii="宋体" w:hAnsi="宋体" w:cs="宋体"/>
          <w:sz w:val="28"/>
          <w:szCs w:val="28"/>
          <w:highlight w:val="none"/>
        </w:rPr>
        <w:t>）将尽快无息退还。同意这一要求的投标人，无需也不允许修改其投标文件，但须相应延长投标保证金（</w:t>
      </w:r>
      <w:r>
        <w:rPr>
          <w:rFonts w:hint="eastAsia"/>
          <w:sz w:val="28"/>
          <w:szCs w:val="28"/>
          <w:highlight w:val="none"/>
        </w:rPr>
        <w:t>保函或建设工程投标保险</w:t>
      </w:r>
      <w:r>
        <w:rPr>
          <w:rFonts w:hint="eastAsia" w:ascii="宋体" w:hAnsi="宋体" w:cs="宋体"/>
          <w:sz w:val="28"/>
          <w:szCs w:val="28"/>
          <w:highlight w:val="none"/>
        </w:rPr>
        <w:t>）的有效期。受投标有效期制约的所有权利和义务均应延长至新的有效期。</w:t>
      </w:r>
    </w:p>
    <w:p>
      <w:pPr>
        <w:pStyle w:val="23"/>
        <w:spacing w:line="600" w:lineRule="exact"/>
        <w:ind w:firstLine="0" w:firstLineChars="0"/>
        <w:rPr>
          <w:rFonts w:cs="宋体"/>
          <w:sz w:val="28"/>
          <w:szCs w:val="28"/>
          <w:highlight w:val="none"/>
        </w:rPr>
      </w:pPr>
      <w:r>
        <w:rPr>
          <w:rFonts w:hint="eastAsia" w:cs="宋体"/>
          <w:sz w:val="28"/>
          <w:szCs w:val="28"/>
          <w:highlight w:val="none"/>
        </w:rPr>
        <w:t>13．投标文件的数量、签署及形式</w:t>
      </w:r>
    </w:p>
    <w:p>
      <w:pPr>
        <w:pStyle w:val="23"/>
        <w:spacing w:line="600" w:lineRule="exact"/>
        <w:ind w:firstLine="560"/>
        <w:rPr>
          <w:rFonts w:cs="宋体"/>
          <w:sz w:val="28"/>
          <w:szCs w:val="28"/>
          <w:highlight w:val="none"/>
        </w:rPr>
      </w:pPr>
      <w:r>
        <w:rPr>
          <w:rFonts w:hint="eastAsia" w:cs="宋体"/>
          <w:sz w:val="28"/>
          <w:szCs w:val="28"/>
          <w:highlight w:val="none"/>
        </w:rPr>
        <w:t>13.1</w:t>
      </w:r>
      <w:r>
        <w:rPr>
          <w:rFonts w:hint="eastAsia" w:cs="宋体"/>
          <w:b/>
          <w:sz w:val="28"/>
          <w:szCs w:val="28"/>
          <w:highlight w:val="none"/>
        </w:rPr>
        <w:t xml:space="preserve"> </w:t>
      </w:r>
      <w:r>
        <w:rPr>
          <w:rFonts w:hint="eastAsia" w:cs="宋体"/>
          <w:bCs/>
          <w:sz w:val="28"/>
          <w:szCs w:val="28"/>
          <w:highlight w:val="none"/>
        </w:rPr>
        <w:t>投标文件胶装壹式柒份，其中正本壹份，副本陆份，电子版文件一份（U盘，</w:t>
      </w:r>
      <w:r>
        <w:rPr>
          <w:rFonts w:hint="eastAsia" w:cs="宋体"/>
          <w:sz w:val="28"/>
          <w:szCs w:val="28"/>
          <w:highlight w:val="none"/>
        </w:rPr>
        <w:t>PDF格式</w:t>
      </w:r>
      <w:r>
        <w:rPr>
          <w:rFonts w:hint="eastAsia" w:cs="宋体"/>
          <w:bCs/>
          <w:sz w:val="28"/>
          <w:szCs w:val="28"/>
          <w:highlight w:val="none"/>
        </w:rPr>
        <w:t>）</w:t>
      </w:r>
      <w:r>
        <w:rPr>
          <w:rFonts w:hint="eastAsia" w:cs="宋体"/>
          <w:sz w:val="28"/>
          <w:szCs w:val="28"/>
          <w:highlight w:val="none"/>
        </w:rPr>
        <w:t>，以及用于开标唱标单独提交的“报价一览表”（壹份）。投标文件须按投标文件的要求执行，每份投标文件均须在封面上清楚标明“正本”或“副本”字样，“正本”和“副本”具有同等的法律效力；“正本”和“副本” 之间如有差异，以正本为准。副本应为正本的复印件。投标文件封面需打印项目名称及投标单位名称。响应文件正本和副本必须装订成册，不得采用活页式装订。</w:t>
      </w:r>
    </w:p>
    <w:p>
      <w:pPr>
        <w:pStyle w:val="23"/>
        <w:spacing w:line="600" w:lineRule="exact"/>
        <w:ind w:firstLine="560"/>
        <w:rPr>
          <w:rFonts w:cs="宋体"/>
          <w:b/>
          <w:bCs/>
          <w:sz w:val="28"/>
          <w:szCs w:val="28"/>
          <w:highlight w:val="none"/>
        </w:rPr>
      </w:pPr>
      <w:r>
        <w:rPr>
          <w:rFonts w:hint="eastAsia" w:cs="宋体"/>
          <w:sz w:val="28"/>
          <w:szCs w:val="28"/>
          <w:highlight w:val="none"/>
        </w:rPr>
        <w:t>13.2 投标文件应用不褪色的材料书写或打印，</w:t>
      </w:r>
      <w:r>
        <w:rPr>
          <w:rFonts w:hint="eastAsia" w:cs="宋体"/>
          <w:b/>
          <w:bCs/>
          <w:sz w:val="28"/>
          <w:szCs w:val="28"/>
          <w:highlight w:val="none"/>
        </w:rPr>
        <w:t>投标文件的正本须逐页加盖投标人公章，所有投标文件均须盖骑缝章。</w:t>
      </w:r>
    </w:p>
    <w:p>
      <w:pPr>
        <w:pStyle w:val="23"/>
        <w:spacing w:line="600" w:lineRule="exact"/>
        <w:ind w:firstLine="560"/>
        <w:rPr>
          <w:rFonts w:cs="宋体"/>
          <w:sz w:val="28"/>
          <w:szCs w:val="28"/>
          <w:highlight w:val="none"/>
        </w:rPr>
      </w:pPr>
      <w:r>
        <w:rPr>
          <w:rFonts w:hint="eastAsia" w:cs="宋体"/>
          <w:sz w:val="28"/>
          <w:szCs w:val="28"/>
          <w:highlight w:val="none"/>
        </w:rPr>
        <w:t>13.3 投标文件不得涂改和增删，如要修改错漏处，修改处必须由法人代表或授权代表签名或盖公章。</w:t>
      </w:r>
    </w:p>
    <w:p>
      <w:pPr>
        <w:pStyle w:val="23"/>
        <w:spacing w:line="600" w:lineRule="exact"/>
        <w:ind w:firstLine="560"/>
        <w:rPr>
          <w:rFonts w:cs="宋体"/>
          <w:b/>
          <w:sz w:val="28"/>
          <w:szCs w:val="28"/>
          <w:highlight w:val="none"/>
        </w:rPr>
      </w:pPr>
      <w:r>
        <w:rPr>
          <w:rFonts w:hint="eastAsia" w:cs="宋体"/>
          <w:sz w:val="28"/>
          <w:szCs w:val="28"/>
          <w:highlight w:val="none"/>
        </w:rPr>
        <w:t>13.4投标文件应根据招标文件的要求制作，签署、盖章和内容应完整。</w:t>
      </w:r>
    </w:p>
    <w:p>
      <w:pPr>
        <w:spacing w:line="600" w:lineRule="exact"/>
        <w:rPr>
          <w:rFonts w:ascii="宋体" w:hAnsi="宋体" w:cs="宋体"/>
          <w:b/>
          <w:sz w:val="28"/>
          <w:szCs w:val="28"/>
          <w:highlight w:val="none"/>
        </w:rPr>
      </w:pPr>
      <w:r>
        <w:rPr>
          <w:rFonts w:hint="eastAsia" w:ascii="宋体" w:hAnsi="宋体" w:cs="宋体"/>
          <w:b/>
          <w:sz w:val="28"/>
          <w:szCs w:val="28"/>
          <w:highlight w:val="none"/>
        </w:rPr>
        <w:t>五、投标文件的递交</w:t>
      </w:r>
    </w:p>
    <w:p>
      <w:pPr>
        <w:tabs>
          <w:tab w:val="left" w:pos="1080"/>
        </w:tabs>
        <w:spacing w:line="600" w:lineRule="exact"/>
        <w:rPr>
          <w:rFonts w:ascii="宋体" w:hAnsi="宋体" w:cs="宋体"/>
          <w:sz w:val="28"/>
          <w:szCs w:val="28"/>
          <w:highlight w:val="none"/>
        </w:rPr>
      </w:pPr>
      <w:r>
        <w:rPr>
          <w:rFonts w:hint="eastAsia" w:ascii="宋体" w:hAnsi="宋体" w:cs="宋体"/>
          <w:sz w:val="28"/>
          <w:szCs w:val="28"/>
          <w:highlight w:val="none"/>
        </w:rPr>
        <w:t>14投标文件的密封及标记：</w:t>
      </w:r>
    </w:p>
    <w:p>
      <w:pPr>
        <w:spacing w:line="600" w:lineRule="exact"/>
        <w:ind w:firstLine="560" w:firstLineChars="200"/>
        <w:rPr>
          <w:rFonts w:ascii="宋体" w:hAnsi="宋体" w:cs="宋体"/>
          <w:bCs/>
          <w:sz w:val="24"/>
          <w:highlight w:val="none"/>
        </w:rPr>
      </w:pPr>
      <w:r>
        <w:rPr>
          <w:rFonts w:hint="eastAsia" w:ascii="宋体" w:hAnsi="宋体" w:cs="宋体"/>
          <w:bCs/>
          <w:sz w:val="28"/>
          <w:szCs w:val="28"/>
          <w:highlight w:val="none"/>
        </w:rPr>
        <w:t>14.l 投标人应将投标文件正本、副本、电子版文件、“报价一览表”分别密封在四个投标专用袋（包）中，正本一包，副本一包，电子版一包，单独另提供的报价一览表一个包，并在投标专用袋（包）上标明“正本”、“副本”、“电子版”、“报价一览表”字样，封口处应加盖骑缝章。封皮上均应写明：</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致：深圳市万德公共咨询有限公司</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 xml:space="preserve">项目名称：海口市美兰区乡镇环卫一体化项目 </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项目编号：</w:t>
      </w:r>
      <w:r>
        <w:rPr>
          <w:rStyle w:val="24"/>
          <w:rFonts w:hint="eastAsia" w:ascii="宋体" w:hAnsi="宋体" w:cs="宋体"/>
          <w:sz w:val="28"/>
          <w:szCs w:val="28"/>
          <w:highlight w:val="none"/>
        </w:rPr>
        <w:t>WDSZ2019003</w:t>
      </w:r>
      <w:r>
        <w:rPr>
          <w:rFonts w:hint="eastAsia" w:ascii="宋体" w:hAnsi="宋体" w:cs="宋体"/>
          <w:sz w:val="28"/>
          <w:szCs w:val="28"/>
          <w:highlight w:val="none"/>
        </w:rPr>
        <w:t xml:space="preserve"> </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注明：“请勿在开标时间之前启封”</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投标单位名称、联系人姓名和电话</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14.2 投标文件未按上述规定书写标记和密封者，</w:t>
      </w:r>
      <w:r>
        <w:rPr>
          <w:rFonts w:ascii="宋体" w:hAnsi="宋体" w:cs="宋体"/>
          <w:sz w:val="28"/>
          <w:szCs w:val="28"/>
          <w:highlight w:val="none"/>
        </w:rPr>
        <w:t>采购代理</w:t>
      </w:r>
      <w:r>
        <w:rPr>
          <w:rFonts w:hint="eastAsia" w:ascii="宋体" w:hAnsi="宋体" w:cs="宋体"/>
          <w:sz w:val="28"/>
          <w:szCs w:val="28"/>
          <w:highlight w:val="none"/>
        </w:rPr>
        <w:t>机构有权拒收其投标文件。</w:t>
      </w:r>
      <w:r>
        <w:rPr>
          <w:rFonts w:ascii="宋体" w:hAnsi="宋体" w:cs="宋体"/>
          <w:sz w:val="28"/>
          <w:szCs w:val="28"/>
          <w:highlight w:val="none"/>
        </w:rPr>
        <w:t>采购代理</w:t>
      </w:r>
      <w:r>
        <w:rPr>
          <w:rFonts w:hint="eastAsia" w:ascii="宋体" w:hAnsi="宋体" w:cs="宋体"/>
          <w:sz w:val="28"/>
          <w:szCs w:val="28"/>
          <w:highlight w:val="none"/>
        </w:rPr>
        <w:t>机构不对投标文件被错放或先期启封负责。</w:t>
      </w:r>
    </w:p>
    <w:p>
      <w:pPr>
        <w:tabs>
          <w:tab w:val="left" w:pos="1080"/>
        </w:tabs>
        <w:spacing w:line="600" w:lineRule="exact"/>
        <w:ind w:firstLine="540" w:firstLineChars="192"/>
        <w:rPr>
          <w:rFonts w:ascii="宋体" w:hAnsi="宋体" w:cs="宋体"/>
          <w:b/>
          <w:bCs/>
          <w:sz w:val="24"/>
          <w:highlight w:val="none"/>
        </w:rPr>
      </w:pPr>
      <w:r>
        <w:rPr>
          <w:rFonts w:hint="eastAsia" w:ascii="宋体" w:hAnsi="宋体" w:cs="宋体"/>
          <w:b/>
          <w:bCs/>
          <w:sz w:val="28"/>
          <w:szCs w:val="28"/>
          <w:highlight w:val="none"/>
        </w:rPr>
        <w:t>注：投标人提供的电子版投标文件（PDF格式）必须与纸质版投标文件的正本保持一致，否则自行承担由此带来的一切风险。</w:t>
      </w:r>
    </w:p>
    <w:p>
      <w:pPr>
        <w:tabs>
          <w:tab w:val="left" w:pos="1080"/>
        </w:tabs>
        <w:spacing w:line="600" w:lineRule="exact"/>
        <w:rPr>
          <w:rFonts w:ascii="宋体" w:hAnsi="宋体" w:cs="宋体"/>
          <w:sz w:val="28"/>
          <w:szCs w:val="28"/>
          <w:highlight w:val="none"/>
        </w:rPr>
      </w:pPr>
      <w:r>
        <w:rPr>
          <w:rFonts w:hint="eastAsia" w:ascii="宋体" w:hAnsi="宋体" w:cs="宋体"/>
          <w:sz w:val="28"/>
          <w:szCs w:val="28"/>
          <w:highlight w:val="none"/>
        </w:rPr>
        <w:t>15．投标截止时间</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15.l 投标人须在投标截止时间前将投标文件送达</w:t>
      </w:r>
      <w:r>
        <w:rPr>
          <w:rFonts w:ascii="宋体" w:hAnsi="宋体" w:cs="宋体"/>
          <w:sz w:val="28"/>
          <w:szCs w:val="28"/>
          <w:highlight w:val="none"/>
        </w:rPr>
        <w:t>采购代理</w:t>
      </w:r>
      <w:r>
        <w:rPr>
          <w:rFonts w:hint="eastAsia" w:ascii="宋体" w:hAnsi="宋体" w:cs="宋体"/>
          <w:sz w:val="28"/>
          <w:szCs w:val="28"/>
          <w:highlight w:val="none"/>
        </w:rPr>
        <w:t>机构规定的地点。</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15.2 若</w:t>
      </w:r>
      <w:r>
        <w:rPr>
          <w:rFonts w:ascii="宋体" w:hAnsi="宋体" w:cs="宋体"/>
          <w:sz w:val="28"/>
          <w:szCs w:val="28"/>
          <w:highlight w:val="none"/>
        </w:rPr>
        <w:t>采购代理</w:t>
      </w:r>
      <w:r>
        <w:rPr>
          <w:rFonts w:hint="eastAsia" w:ascii="宋体" w:hAnsi="宋体" w:cs="宋体"/>
          <w:sz w:val="28"/>
          <w:szCs w:val="28"/>
          <w:highlight w:val="none"/>
        </w:rPr>
        <w:t>机构推迟了投标截止时间，应以公告的形式通知所有投标人。在这种情况下，</w:t>
      </w:r>
      <w:r>
        <w:rPr>
          <w:rFonts w:ascii="宋体" w:hAnsi="宋体" w:cs="宋体"/>
          <w:sz w:val="28"/>
          <w:szCs w:val="28"/>
          <w:highlight w:val="none"/>
        </w:rPr>
        <w:t>采购代理</w:t>
      </w:r>
      <w:r>
        <w:rPr>
          <w:rFonts w:hint="eastAsia" w:ascii="宋体" w:hAnsi="宋体" w:cs="宋体"/>
          <w:sz w:val="28"/>
          <w:szCs w:val="28"/>
          <w:highlight w:val="none"/>
        </w:rPr>
        <w:t>机构、</w:t>
      </w:r>
      <w:r>
        <w:rPr>
          <w:rFonts w:ascii="宋体" w:hAnsi="宋体" w:cs="宋体"/>
          <w:sz w:val="28"/>
          <w:szCs w:val="28"/>
          <w:highlight w:val="none"/>
        </w:rPr>
        <w:t>采购人</w:t>
      </w:r>
      <w:r>
        <w:rPr>
          <w:rFonts w:hint="eastAsia" w:ascii="宋体" w:hAnsi="宋体" w:cs="宋体"/>
          <w:sz w:val="28"/>
          <w:szCs w:val="28"/>
          <w:highlight w:val="none"/>
        </w:rPr>
        <w:t>和投标人的权利和义务均应以新的截止时间为准。</w:t>
      </w:r>
    </w:p>
    <w:p>
      <w:pPr>
        <w:spacing w:line="600" w:lineRule="exact"/>
        <w:ind w:firstLine="560" w:firstLineChars="200"/>
        <w:rPr>
          <w:rFonts w:ascii="宋体" w:hAnsi="宋体" w:cs="宋体"/>
          <w:b/>
          <w:sz w:val="28"/>
          <w:szCs w:val="28"/>
          <w:highlight w:val="none"/>
        </w:rPr>
      </w:pPr>
      <w:r>
        <w:rPr>
          <w:rFonts w:hint="eastAsia" w:ascii="宋体" w:hAnsi="宋体" w:cs="宋体"/>
          <w:sz w:val="28"/>
          <w:szCs w:val="28"/>
          <w:highlight w:val="none"/>
        </w:rPr>
        <w:t>15.3 在投标截止时间后递交的投标文件，</w:t>
      </w:r>
      <w:r>
        <w:rPr>
          <w:rFonts w:ascii="宋体" w:hAnsi="宋体" w:cs="宋体"/>
          <w:sz w:val="28"/>
          <w:szCs w:val="28"/>
          <w:highlight w:val="none"/>
        </w:rPr>
        <w:t>采购代理</w:t>
      </w:r>
      <w:r>
        <w:rPr>
          <w:rFonts w:hint="eastAsia" w:ascii="宋体" w:hAnsi="宋体" w:cs="宋体"/>
          <w:sz w:val="28"/>
          <w:szCs w:val="28"/>
          <w:highlight w:val="none"/>
        </w:rPr>
        <w:t>机构将拒绝接受。</w:t>
      </w:r>
    </w:p>
    <w:p>
      <w:pPr>
        <w:spacing w:line="600" w:lineRule="exact"/>
        <w:rPr>
          <w:rFonts w:ascii="宋体" w:hAnsi="宋体" w:cs="宋体"/>
          <w:b/>
          <w:sz w:val="28"/>
          <w:szCs w:val="28"/>
          <w:highlight w:val="none"/>
        </w:rPr>
      </w:pPr>
      <w:r>
        <w:rPr>
          <w:rFonts w:hint="eastAsia" w:ascii="宋体" w:hAnsi="宋体" w:cs="宋体"/>
          <w:b/>
          <w:sz w:val="28"/>
          <w:szCs w:val="28"/>
          <w:highlight w:val="none"/>
        </w:rPr>
        <w:t>六、开标及评标</w:t>
      </w:r>
    </w:p>
    <w:p>
      <w:pPr>
        <w:spacing w:line="600" w:lineRule="exact"/>
        <w:rPr>
          <w:rFonts w:ascii="宋体" w:hAnsi="宋体" w:cs="宋体"/>
          <w:sz w:val="28"/>
          <w:szCs w:val="28"/>
          <w:highlight w:val="none"/>
        </w:rPr>
      </w:pPr>
      <w:bookmarkStart w:id="552" w:name="_GoBack"/>
      <w:r>
        <w:rPr>
          <w:rFonts w:hint="eastAsia" w:ascii="宋体" w:hAnsi="宋体" w:cs="宋体"/>
          <w:sz w:val="28"/>
          <w:szCs w:val="28"/>
          <w:highlight w:val="none"/>
        </w:rPr>
        <w:t>16</w:t>
      </w:r>
      <w:bookmarkEnd w:id="552"/>
      <w:r>
        <w:rPr>
          <w:rFonts w:hint="eastAsia" w:ascii="宋体" w:hAnsi="宋体" w:cs="宋体"/>
          <w:sz w:val="28"/>
          <w:szCs w:val="28"/>
          <w:highlight w:val="none"/>
        </w:rPr>
        <w:t>．开标</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 xml:space="preserve">16.l </w:t>
      </w:r>
      <w:r>
        <w:rPr>
          <w:rFonts w:ascii="宋体" w:hAnsi="宋体" w:cs="宋体"/>
          <w:sz w:val="28"/>
          <w:szCs w:val="28"/>
          <w:highlight w:val="none"/>
        </w:rPr>
        <w:t>采购代理</w:t>
      </w:r>
      <w:r>
        <w:rPr>
          <w:rFonts w:hint="eastAsia" w:ascii="宋体" w:hAnsi="宋体" w:cs="宋体"/>
          <w:sz w:val="28"/>
          <w:szCs w:val="28"/>
          <w:highlight w:val="none"/>
        </w:rPr>
        <w:t>机构按招标文件第一章规定的时间和地点进行招标，</w:t>
      </w:r>
      <w:r>
        <w:rPr>
          <w:rFonts w:ascii="宋体" w:hAnsi="宋体" w:cs="宋体"/>
          <w:sz w:val="28"/>
          <w:szCs w:val="28"/>
          <w:highlight w:val="none"/>
        </w:rPr>
        <w:t>采购人</w:t>
      </w:r>
      <w:r>
        <w:rPr>
          <w:rFonts w:hint="eastAsia" w:ascii="宋体" w:hAnsi="宋体" w:cs="宋体"/>
          <w:sz w:val="28"/>
          <w:szCs w:val="28"/>
          <w:highlight w:val="none"/>
        </w:rPr>
        <w:t>代表、</w:t>
      </w:r>
      <w:r>
        <w:rPr>
          <w:rFonts w:ascii="宋体" w:hAnsi="宋体" w:cs="宋体"/>
          <w:sz w:val="28"/>
          <w:szCs w:val="28"/>
          <w:highlight w:val="none"/>
        </w:rPr>
        <w:t>采购代理</w:t>
      </w:r>
      <w:r>
        <w:rPr>
          <w:rFonts w:hint="eastAsia" w:ascii="宋体" w:hAnsi="宋体" w:cs="宋体"/>
          <w:sz w:val="28"/>
          <w:szCs w:val="28"/>
          <w:highlight w:val="none"/>
        </w:rPr>
        <w:t>机构有关工作人员参加。投标人应委派法定代表人或被授权代表参加招标活动，参加投标的代表须单独持投标保证金递交回执单复印件（或保函原件）、法定代表人证明书或法定代表人授权委托书（附上法定代表人及被授权人身份证复印件），且委托代理本人或法定代表人应持身份证原件在签到处签名报到以证明其出席。未派授权代表或不能证明其授权代表身份的，</w:t>
      </w:r>
      <w:r>
        <w:rPr>
          <w:rFonts w:ascii="宋体" w:hAnsi="宋体" w:cs="宋体"/>
          <w:sz w:val="28"/>
          <w:szCs w:val="28"/>
          <w:highlight w:val="none"/>
        </w:rPr>
        <w:t>采购代理</w:t>
      </w:r>
      <w:r>
        <w:rPr>
          <w:rFonts w:hint="eastAsia" w:ascii="宋体" w:hAnsi="宋体" w:cs="宋体"/>
          <w:sz w:val="28"/>
          <w:szCs w:val="28"/>
          <w:highlight w:val="none"/>
        </w:rPr>
        <w:t>机构对投标文件的处理不承担责任。</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16.2 开标时，采购代理机构或</w:t>
      </w:r>
      <w:r>
        <w:rPr>
          <w:rFonts w:ascii="宋体" w:hAnsi="宋体" w:cs="宋体"/>
          <w:sz w:val="28"/>
          <w:szCs w:val="28"/>
          <w:highlight w:val="none"/>
        </w:rPr>
        <w:t>采购人</w:t>
      </w:r>
      <w:r>
        <w:rPr>
          <w:rFonts w:hint="eastAsia" w:ascii="宋体" w:hAnsi="宋体" w:cs="宋体"/>
          <w:sz w:val="28"/>
          <w:szCs w:val="28"/>
          <w:highlight w:val="none"/>
        </w:rPr>
        <w:t>随机抽取投标人或其推选的代表对投标文件的密封情况进行检查。经确认无误后，由采购代理机构工作人员将各投标人单独递交的“报价一览表”当众拆封，并由唱标人员按照招标文件规定的内容进行宣读。若投标文件未按照招标文件的要求进行密封，</w:t>
      </w:r>
      <w:r>
        <w:rPr>
          <w:rFonts w:ascii="宋体" w:hAnsi="宋体" w:cs="宋体"/>
          <w:sz w:val="28"/>
          <w:szCs w:val="28"/>
          <w:highlight w:val="none"/>
        </w:rPr>
        <w:t>采购代理</w:t>
      </w:r>
      <w:r>
        <w:rPr>
          <w:rFonts w:hint="eastAsia" w:ascii="宋体" w:hAnsi="宋体" w:cs="宋体"/>
          <w:sz w:val="28"/>
          <w:szCs w:val="28"/>
          <w:highlight w:val="none"/>
        </w:rPr>
        <w:t>机构将拒绝接受该投标人的投标文件。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16.3开标时，“报价一览表”中的大写金额与小写金额不一致的，以大写金额为准；总价金额与按单价计算的汇总金额不一致的，以单价计算的汇总金额为准（超出投标最高限价视为无效报价）；单价金额有明显小数点错误的，以总价为准，并修改单价。</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16.4 投标文件中有关明细表内容与“报价一览表”不一致的，以“报价一览表”为准。对不同文字文本投标文件的解释发生异议的，以中文文本为准。</w:t>
      </w:r>
    </w:p>
    <w:p>
      <w:pPr>
        <w:spacing w:line="600" w:lineRule="exact"/>
        <w:ind w:firstLine="560" w:firstLineChars="200"/>
        <w:rPr>
          <w:rFonts w:ascii="宋体" w:hAnsi="宋体" w:cs="宋体"/>
          <w:sz w:val="24"/>
          <w:highlight w:val="none"/>
        </w:rPr>
      </w:pPr>
      <w:r>
        <w:rPr>
          <w:rFonts w:hint="eastAsia" w:ascii="宋体" w:hAnsi="宋体" w:cs="宋体"/>
          <w:sz w:val="28"/>
          <w:szCs w:val="28"/>
          <w:highlight w:val="none"/>
        </w:rPr>
        <w:t>16.5 所有投标唱标完毕，如投标人代表对宣读的“报价一览表”上的内容有异议的，应在获得开标会主持人同意后当场提出。如确实属于唱标人员宣读错了的，经现场监督人员核实后，当场予以更正。如投标人对宣读的“报价一览表”上的内容无异议的，各投标代表人应签字确认。</w:t>
      </w:r>
    </w:p>
    <w:p>
      <w:pPr>
        <w:spacing w:line="600" w:lineRule="exact"/>
        <w:rPr>
          <w:rFonts w:ascii="宋体" w:hAnsi="宋体" w:cs="宋体"/>
          <w:sz w:val="28"/>
          <w:szCs w:val="28"/>
          <w:highlight w:val="none"/>
        </w:rPr>
      </w:pPr>
      <w:r>
        <w:rPr>
          <w:rFonts w:hint="eastAsia" w:ascii="宋体" w:hAnsi="宋体" w:cs="宋体"/>
          <w:sz w:val="28"/>
          <w:szCs w:val="28"/>
          <w:highlight w:val="none"/>
        </w:rPr>
        <w:t>17．评标委员会</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评标委员会由技术、经济等方面的专家和采购人代表组成，其中技术、经济等方面的专家从省综合评标专家库中随机抽取，且人数不得少于成员总数的2/3。该评标委员会独立工作，负责评标所有投标文件并确定中标侯选人。本项目专家组成员：从海口市公共资源交易中心综合评标专家库中随机抽取5名，采购人代表2名，合计共7名。</w:t>
      </w:r>
    </w:p>
    <w:p>
      <w:pPr>
        <w:spacing w:line="600" w:lineRule="exact"/>
        <w:rPr>
          <w:rFonts w:ascii="宋体" w:hAnsi="宋体" w:cs="宋体"/>
          <w:sz w:val="28"/>
          <w:szCs w:val="28"/>
          <w:highlight w:val="none"/>
        </w:rPr>
      </w:pPr>
      <w:r>
        <w:rPr>
          <w:rFonts w:hint="eastAsia" w:ascii="宋体" w:hAnsi="宋体" w:cs="宋体"/>
          <w:sz w:val="28"/>
          <w:szCs w:val="28"/>
          <w:highlight w:val="none"/>
        </w:rPr>
        <w:t>18.评标</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17.1见“第六章 评标方法和程序”。</w:t>
      </w:r>
    </w:p>
    <w:p>
      <w:pPr>
        <w:spacing w:line="600" w:lineRule="exact"/>
        <w:rPr>
          <w:rFonts w:ascii="宋体" w:hAnsi="宋体" w:cs="宋体"/>
          <w:b/>
          <w:sz w:val="28"/>
          <w:szCs w:val="28"/>
          <w:highlight w:val="none"/>
        </w:rPr>
      </w:pPr>
      <w:r>
        <w:rPr>
          <w:rFonts w:hint="eastAsia" w:ascii="宋体" w:hAnsi="宋体" w:cs="宋体"/>
          <w:b/>
          <w:sz w:val="28"/>
          <w:szCs w:val="28"/>
          <w:highlight w:val="none"/>
        </w:rPr>
        <w:t>七、授标及签约</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19．定标原则</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19.1评标委员会将严格按照投标文件的要求和条件进行评标,根据评标办法推荐排名前三的投标人为中标候选人，其中排名第一的投标人为第一中标候选人。</w:t>
      </w:r>
      <w:r>
        <w:rPr>
          <w:rFonts w:ascii="宋体" w:hAnsi="宋体" w:cs="宋体"/>
          <w:sz w:val="28"/>
          <w:szCs w:val="28"/>
          <w:highlight w:val="none"/>
        </w:rPr>
        <w:t>采购人</w:t>
      </w:r>
      <w:r>
        <w:rPr>
          <w:rFonts w:hint="eastAsia" w:ascii="宋体" w:hAnsi="宋体" w:cs="宋体"/>
          <w:sz w:val="28"/>
          <w:szCs w:val="28"/>
          <w:highlight w:val="none"/>
        </w:rPr>
        <w:t>将确定排名第一的中标候选人为中标人并向其授予合同。排名第一的中标候选人因不可抗力或者自身原因不能履行合同，或者本文件规定应当提交履约保证金（</w:t>
      </w:r>
      <w:r>
        <w:rPr>
          <w:rFonts w:hint="eastAsia"/>
          <w:sz w:val="28"/>
          <w:szCs w:val="28"/>
          <w:highlight w:val="none"/>
        </w:rPr>
        <w:t>保函或建设工程投标保险</w:t>
      </w:r>
      <w:r>
        <w:rPr>
          <w:rFonts w:hint="eastAsia" w:ascii="宋体" w:hAnsi="宋体" w:cs="宋体"/>
          <w:sz w:val="28"/>
          <w:szCs w:val="28"/>
          <w:highlight w:val="none"/>
        </w:rPr>
        <w:t>）而在规定期限未能提交的，或者是评标委员会出现评标错误，被他人质疑后证实确有其事的，</w:t>
      </w:r>
      <w:r>
        <w:rPr>
          <w:rFonts w:ascii="宋体" w:hAnsi="宋体" w:cs="宋体"/>
          <w:sz w:val="28"/>
          <w:szCs w:val="28"/>
          <w:highlight w:val="none"/>
        </w:rPr>
        <w:t>采购人</w:t>
      </w:r>
      <w:r>
        <w:rPr>
          <w:rFonts w:hint="eastAsia" w:ascii="宋体" w:hAnsi="宋体" w:cs="宋体"/>
          <w:sz w:val="28"/>
          <w:szCs w:val="28"/>
          <w:highlight w:val="none"/>
        </w:rPr>
        <w:t xml:space="preserve">将把合同授予排名第二的中标候选人或重新组织招标。如此类推。 </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 xml:space="preserve">19.2 </w:t>
      </w:r>
      <w:r>
        <w:rPr>
          <w:rFonts w:ascii="宋体" w:hAnsi="宋体" w:cs="宋体"/>
          <w:sz w:val="28"/>
          <w:szCs w:val="28"/>
          <w:highlight w:val="none"/>
        </w:rPr>
        <w:t>采购代理</w:t>
      </w:r>
      <w:r>
        <w:rPr>
          <w:rFonts w:hint="eastAsia" w:ascii="宋体" w:hAnsi="宋体" w:cs="宋体"/>
          <w:sz w:val="28"/>
          <w:szCs w:val="28"/>
          <w:highlight w:val="none"/>
        </w:rPr>
        <w:t>机构将在指定的网站上公示投标结果。</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20. 质疑处理</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20.1 投标人如认为招标文件、招标过程和中标结果使自己的权益受到损害的，应在知道或应知道其权益受到损害之日起七个工作日内以书面形式一次性向</w:t>
      </w:r>
      <w:r>
        <w:rPr>
          <w:rFonts w:ascii="宋体" w:hAnsi="宋体" w:cs="宋体"/>
          <w:sz w:val="28"/>
          <w:szCs w:val="28"/>
          <w:highlight w:val="none"/>
        </w:rPr>
        <w:t>采购代理</w:t>
      </w:r>
      <w:r>
        <w:rPr>
          <w:rFonts w:hint="eastAsia" w:ascii="宋体" w:hAnsi="宋体" w:cs="宋体"/>
          <w:sz w:val="28"/>
          <w:szCs w:val="28"/>
          <w:highlight w:val="none"/>
        </w:rPr>
        <w:t>机构提出质疑，并附相关证明材料。匿名、非书面形式、未附相关证明材料、七个工作日之外的质疑均不予受理。</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21．中标通知</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21.l 定标后,</w:t>
      </w:r>
      <w:r>
        <w:rPr>
          <w:rFonts w:ascii="宋体" w:hAnsi="宋体" w:cs="宋体"/>
          <w:sz w:val="28"/>
          <w:szCs w:val="28"/>
          <w:highlight w:val="none"/>
        </w:rPr>
        <w:t>采购代理</w:t>
      </w:r>
      <w:r>
        <w:rPr>
          <w:rFonts w:hint="eastAsia" w:ascii="宋体" w:hAnsi="宋体" w:cs="宋体"/>
          <w:sz w:val="28"/>
          <w:szCs w:val="28"/>
          <w:highlight w:val="none"/>
        </w:rPr>
        <w:t>机构应将定标结果通知所有的投标人。</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21.2 中标人收到中标通知后，应在规定时间内到</w:t>
      </w:r>
      <w:r>
        <w:rPr>
          <w:rFonts w:ascii="宋体" w:hAnsi="宋体" w:cs="宋体"/>
          <w:sz w:val="28"/>
          <w:szCs w:val="28"/>
          <w:highlight w:val="none"/>
        </w:rPr>
        <w:t>采购代理</w:t>
      </w:r>
      <w:r>
        <w:rPr>
          <w:rFonts w:hint="eastAsia" w:ascii="宋体" w:hAnsi="宋体" w:cs="宋体"/>
          <w:sz w:val="28"/>
          <w:szCs w:val="28"/>
          <w:highlight w:val="none"/>
        </w:rPr>
        <w:t>机构处领取中标通知书，并办理相关手续。</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21.3 中标通知书将是合同的一个组成部分。</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22．签订合同</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22.l 中标人应按中标通知书规定的时间、地点与</w:t>
      </w:r>
      <w:r>
        <w:rPr>
          <w:rFonts w:ascii="宋体" w:hAnsi="宋体" w:cs="宋体"/>
          <w:sz w:val="28"/>
          <w:szCs w:val="28"/>
          <w:highlight w:val="none"/>
        </w:rPr>
        <w:t>采购人</w:t>
      </w:r>
      <w:r>
        <w:rPr>
          <w:rFonts w:hint="eastAsia" w:ascii="宋体" w:hAnsi="宋体" w:cs="宋体"/>
          <w:sz w:val="28"/>
          <w:szCs w:val="28"/>
          <w:highlight w:val="none"/>
        </w:rPr>
        <w:t>签订中标合同,否则投标保证金（</w:t>
      </w:r>
      <w:r>
        <w:rPr>
          <w:rFonts w:hint="eastAsia"/>
          <w:sz w:val="28"/>
          <w:szCs w:val="28"/>
          <w:highlight w:val="none"/>
        </w:rPr>
        <w:t>保函或建设工程投标保险</w:t>
      </w:r>
      <w:r>
        <w:rPr>
          <w:rFonts w:hint="eastAsia" w:ascii="宋体" w:hAnsi="宋体" w:cs="宋体"/>
          <w:sz w:val="28"/>
          <w:szCs w:val="28"/>
          <w:highlight w:val="none"/>
        </w:rPr>
        <w:t>）将不予退还，给</w:t>
      </w:r>
      <w:r>
        <w:rPr>
          <w:rFonts w:ascii="宋体" w:hAnsi="宋体" w:cs="宋体"/>
          <w:sz w:val="28"/>
          <w:szCs w:val="28"/>
          <w:highlight w:val="none"/>
        </w:rPr>
        <w:t>采购人</w:t>
      </w:r>
      <w:r>
        <w:rPr>
          <w:rFonts w:hint="eastAsia" w:ascii="宋体" w:hAnsi="宋体" w:cs="宋体"/>
          <w:sz w:val="28"/>
          <w:szCs w:val="28"/>
          <w:highlight w:val="none"/>
        </w:rPr>
        <w:t>和</w:t>
      </w:r>
      <w:r>
        <w:rPr>
          <w:rFonts w:ascii="宋体" w:hAnsi="宋体" w:cs="宋体"/>
          <w:sz w:val="28"/>
          <w:szCs w:val="28"/>
          <w:highlight w:val="none"/>
        </w:rPr>
        <w:t>采购代理</w:t>
      </w:r>
      <w:r>
        <w:rPr>
          <w:rFonts w:hint="eastAsia" w:ascii="宋体" w:hAnsi="宋体" w:cs="宋体"/>
          <w:sz w:val="28"/>
          <w:szCs w:val="28"/>
          <w:highlight w:val="none"/>
        </w:rPr>
        <w:t>机构造成损失的，投标人还应承担赔偿责任。</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22.2 投标文件、中标人的投标文件及评标过程中有关澄清文件均应作为合同附件。</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23.项目相关费用</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23．1</w:t>
      </w:r>
      <w:r>
        <w:rPr>
          <w:rFonts w:ascii="宋体" w:hAnsi="宋体" w:cs="宋体"/>
          <w:sz w:val="28"/>
          <w:szCs w:val="28"/>
          <w:highlight w:val="none"/>
        </w:rPr>
        <w:t>采购代理</w:t>
      </w:r>
      <w:r>
        <w:rPr>
          <w:rFonts w:hint="eastAsia" w:ascii="宋体" w:hAnsi="宋体" w:cs="宋体"/>
          <w:sz w:val="28"/>
          <w:szCs w:val="28"/>
          <w:highlight w:val="none"/>
        </w:rPr>
        <w:t>服务费</w:t>
      </w:r>
    </w:p>
    <w:p>
      <w:pPr>
        <w:spacing w:line="600" w:lineRule="exact"/>
        <w:ind w:firstLine="560" w:firstLineChars="200"/>
        <w:rPr>
          <w:rFonts w:ascii="宋体" w:hAnsi="宋体" w:cs="宋体"/>
          <w:sz w:val="28"/>
          <w:szCs w:val="28"/>
          <w:highlight w:val="none"/>
        </w:rPr>
      </w:pPr>
      <w:r>
        <w:rPr>
          <w:rFonts w:ascii="宋体" w:hAnsi="宋体" w:cs="宋体"/>
          <w:sz w:val="28"/>
          <w:szCs w:val="28"/>
          <w:highlight w:val="none"/>
        </w:rPr>
        <w:t>采购代理</w:t>
      </w:r>
      <w:r>
        <w:rPr>
          <w:rFonts w:hint="eastAsia" w:ascii="宋体" w:hAnsi="宋体" w:cs="宋体"/>
          <w:sz w:val="28"/>
          <w:szCs w:val="28"/>
          <w:highlight w:val="none"/>
        </w:rPr>
        <w:t>机构参照《招标代理服务费收费管理暂行办法》（计价格﹝2002﹞1980号）规定的费率标准计算，由中标单位在领取中标通知书前向采购代理机构进行支付。</w:t>
      </w:r>
    </w:p>
    <w:p>
      <w:pPr>
        <w:pStyle w:val="7"/>
        <w:ind w:firstLine="560"/>
        <w:rPr>
          <w:rFonts w:ascii="宋体" w:hAnsi="宋体" w:cs="宋体"/>
          <w:sz w:val="28"/>
          <w:szCs w:val="28"/>
          <w:highlight w:val="none"/>
        </w:rPr>
      </w:pPr>
      <w:r>
        <w:rPr>
          <w:rFonts w:hint="eastAsia" w:ascii="宋体" w:hAnsi="宋体" w:cs="宋体"/>
          <w:sz w:val="28"/>
          <w:szCs w:val="28"/>
          <w:highlight w:val="none"/>
        </w:rPr>
        <w:t>23.2项目前期费用</w:t>
      </w:r>
    </w:p>
    <w:p>
      <w:pPr>
        <w:pStyle w:val="7"/>
        <w:ind w:firstLine="560"/>
        <w:rPr>
          <w:rFonts w:ascii="宋体" w:hAnsi="宋体" w:cs="宋体"/>
          <w:sz w:val="28"/>
          <w:szCs w:val="28"/>
          <w:highlight w:val="none"/>
        </w:rPr>
      </w:pPr>
      <w:r>
        <w:rPr>
          <w:rFonts w:hint="eastAsia" w:ascii="宋体" w:hAnsi="宋体" w:cs="宋体"/>
          <w:sz w:val="28"/>
          <w:szCs w:val="28"/>
          <w:highlight w:val="none"/>
        </w:rPr>
        <w:t>本项目前期调研策划实施咨询费用共计49.6万元，须中标单位在领取中标通知书前支付给项目咨询单位深圳市万德公共咨询有限公司；本项目资产评估费共计12万元须中标单位在领取中标通知书后支付给海口汇力远资产评估有限公司（具体金额以采购人与其签订的委托合同为准）；本项目环卫作业面积测绘费用约56.9万元须中标单位在领取中标通知书后分别支付给海口山维测绘技术服务有限公司与海口市勘察测绘中心（具体金额以采购人与测绘单位签订的委托合同为准）。</w:t>
      </w:r>
    </w:p>
    <w:p>
      <w:pPr>
        <w:pStyle w:val="7"/>
        <w:ind w:firstLine="560"/>
        <w:rPr>
          <w:rFonts w:ascii="宋体" w:hAnsi="宋体" w:cs="宋体"/>
          <w:sz w:val="28"/>
          <w:szCs w:val="28"/>
          <w:highlight w:val="none"/>
        </w:rPr>
      </w:pPr>
      <w:r>
        <w:rPr>
          <w:rFonts w:hint="eastAsia" w:ascii="宋体" w:hAnsi="宋体" w:cs="宋体"/>
          <w:sz w:val="28"/>
          <w:szCs w:val="28"/>
          <w:highlight w:val="none"/>
        </w:rPr>
        <w:t>上述费用已包含在项目环卫作业费用经费中，请投标单位在投标报价前予以考虑。</w:t>
      </w:r>
    </w:p>
    <w:p>
      <w:pPr>
        <w:spacing w:line="600" w:lineRule="exact"/>
        <w:ind w:firstLine="560" w:firstLineChars="200"/>
        <w:rPr>
          <w:rFonts w:ascii="宋体" w:hAnsi="宋体" w:cs="宋体"/>
          <w:sz w:val="28"/>
          <w:szCs w:val="28"/>
          <w:highlight w:val="none"/>
        </w:rPr>
      </w:pPr>
      <w:r>
        <w:rPr>
          <w:rFonts w:hint="eastAsia" w:ascii="宋体" w:hAnsi="宋体" w:cs="宋体"/>
          <w:sz w:val="28"/>
          <w:szCs w:val="28"/>
          <w:highlight w:val="none"/>
        </w:rPr>
        <w:t>24.本项目不召开答疑会。</w:t>
      </w:r>
      <w:bookmarkStart w:id="9" w:name="_第三章_用户需求书"/>
      <w:bookmarkEnd w:id="9"/>
    </w:p>
    <w:p>
      <w:pPr>
        <w:spacing w:line="600" w:lineRule="exact"/>
        <w:rPr>
          <w:rFonts w:ascii="宋体" w:hAnsi="宋体" w:cs="宋体"/>
          <w:b/>
          <w:sz w:val="28"/>
          <w:szCs w:val="28"/>
          <w:highlight w:val="none"/>
        </w:rPr>
      </w:pPr>
      <w:r>
        <w:rPr>
          <w:rFonts w:hint="eastAsia" w:ascii="宋体" w:hAnsi="宋体" w:cs="宋体"/>
          <w:b/>
          <w:sz w:val="28"/>
          <w:szCs w:val="28"/>
          <w:highlight w:val="none"/>
        </w:rPr>
        <w:t xml:space="preserve">八、关于政策性加分   </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25.关于小微企业、监狱企业、残疾人福利性单位、强制采购节能产品、信息安全产品和优先采购环境标志产品的要求参与政府采购项目的政策优惠条件及要求如下：</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25.1关于小微企业、监狱企业（供应商）产品参与投标</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政策优惠条件及要求:根据财政部、工业和信息化部关于《政府采购促进中小企业发展暂行办法》（财库【2011】181号）的要求，政府采购项目的政策优惠条件及要求如下。</w:t>
      </w:r>
    </w:p>
    <w:p>
      <w:pPr>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25.1.1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pPr>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25.1.2小型、微型企业作为联合体一方参与政府采购活动且《联合投标协议书》中约定，小型、微型企业的协议合同金额占到联合体协议合同总金额30%以上的，对联合体报价给予2%的扣除，用扣除后的价格参与评审。</w:t>
      </w:r>
    </w:p>
    <w:p>
      <w:pPr>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251.3享受政策优惠的小型、微型供应商须提供合法有效的“小型、微型企业声明函”（附件）。</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小微企业（供应商）是指符合《小企业划型标准规定》的投标人，通过投标提供该企业制造的货物，由该企业承担工程、提供服务，或者提供其 他小微企业制造的货物。本项所指货物不包括使用大型、中型企业注册商标的货物。</w:t>
      </w:r>
    </w:p>
    <w:p>
      <w:pPr>
        <w:autoSpaceDN w:val="0"/>
        <w:spacing w:line="360" w:lineRule="auto"/>
        <w:rPr>
          <w:rFonts w:ascii="宋体" w:hAnsi="宋体" w:cs="宋体"/>
          <w:b/>
          <w:sz w:val="28"/>
          <w:szCs w:val="28"/>
          <w:highlight w:val="none"/>
        </w:rPr>
      </w:pPr>
      <w:r>
        <w:rPr>
          <w:rFonts w:hint="eastAsia" w:ascii="宋体" w:hAnsi="宋体" w:cs="宋体"/>
          <w:b/>
          <w:sz w:val="28"/>
          <w:szCs w:val="28"/>
          <w:highlight w:val="none"/>
        </w:rPr>
        <w:t>(属于小型、微型企业的按照下列格式填写声明函并装订在投标文件中)</w:t>
      </w:r>
    </w:p>
    <w:p>
      <w:pPr>
        <w:autoSpaceDN w:val="0"/>
        <w:spacing w:line="450" w:lineRule="atLeast"/>
        <w:rPr>
          <w:rFonts w:ascii="宋体" w:hAnsi="宋体" w:cs="宋体"/>
          <w:bCs/>
          <w:sz w:val="24"/>
          <w:highlight w:val="none"/>
        </w:rPr>
      </w:pPr>
    </w:p>
    <w:p>
      <w:pPr>
        <w:autoSpaceDN w:val="0"/>
        <w:spacing w:line="450" w:lineRule="atLeast"/>
        <w:jc w:val="center"/>
        <w:rPr>
          <w:rFonts w:ascii="宋体" w:hAnsi="宋体" w:cs="宋体"/>
          <w:bCs/>
          <w:sz w:val="28"/>
          <w:szCs w:val="28"/>
          <w:highlight w:val="none"/>
        </w:rPr>
      </w:pPr>
      <w:r>
        <w:rPr>
          <w:rFonts w:hint="eastAsia" w:ascii="宋体" w:hAnsi="宋体" w:cs="宋体"/>
          <w:bCs/>
          <w:sz w:val="24"/>
          <w:highlight w:val="none"/>
        </w:rPr>
        <w:br w:type="page"/>
      </w:r>
      <w:r>
        <w:rPr>
          <w:rFonts w:hint="eastAsia" w:ascii="宋体" w:hAnsi="宋体" w:cs="宋体"/>
          <w:b/>
          <w:sz w:val="28"/>
          <w:szCs w:val="28"/>
          <w:highlight w:val="none"/>
        </w:rPr>
        <w:t>小型、微型企业声明函</w:t>
      </w:r>
    </w:p>
    <w:p>
      <w:pPr>
        <w:autoSpaceDN w:val="0"/>
        <w:spacing w:line="450" w:lineRule="atLeast"/>
        <w:rPr>
          <w:rFonts w:ascii="宋体" w:hAnsi="宋体" w:cs="宋体"/>
          <w:bCs/>
          <w:sz w:val="28"/>
          <w:szCs w:val="28"/>
          <w:highlight w:val="none"/>
        </w:rPr>
      </w:pPr>
    </w:p>
    <w:p>
      <w:pPr>
        <w:autoSpaceDN w:val="0"/>
        <w:spacing w:line="360" w:lineRule="auto"/>
        <w:ind w:firstLine="601"/>
        <w:rPr>
          <w:rFonts w:ascii="宋体" w:hAnsi="宋体" w:cs="宋体"/>
          <w:bCs/>
          <w:sz w:val="28"/>
          <w:szCs w:val="28"/>
          <w:highlight w:val="none"/>
        </w:rPr>
      </w:pPr>
      <w:r>
        <w:rPr>
          <w:rFonts w:hint="eastAsia" w:ascii="宋体" w:hAnsi="宋体" w:cs="宋体"/>
          <w:bCs/>
          <w:sz w:val="28"/>
          <w:szCs w:val="28"/>
          <w:highlight w:val="none"/>
        </w:rPr>
        <w:t>本公司郑重声明，根据《政府采购促进中小企业发展暂行办法》（财库[2011]181号）的规定，本公司为______（请填写：小型、微型）企业。即，本公司同时满足以下条件：</w:t>
      </w:r>
    </w:p>
    <w:p>
      <w:pPr>
        <w:autoSpaceDN w:val="0"/>
        <w:spacing w:line="360" w:lineRule="auto"/>
        <w:ind w:firstLine="601"/>
        <w:rPr>
          <w:rFonts w:ascii="宋体" w:hAnsi="宋体" w:cs="宋体"/>
          <w:bCs/>
          <w:sz w:val="28"/>
          <w:szCs w:val="28"/>
          <w:highlight w:val="none"/>
        </w:rPr>
      </w:pPr>
      <w:r>
        <w:rPr>
          <w:rFonts w:hint="eastAsia" w:ascii="宋体" w:hAnsi="宋体" w:cs="宋体"/>
          <w:bCs/>
          <w:sz w:val="28"/>
          <w:szCs w:val="28"/>
          <w:highlight w:val="none"/>
        </w:rPr>
        <w:t>1.根据《工业和信息化部、国家统计局、国家发展和改革委员会、财政部关于印发中小企业划型标准规定的通知》（工信部联企业[2011]300号）规定的划分标准，本公司为______（请填写：小型、微型）企业。</w:t>
      </w:r>
    </w:p>
    <w:p>
      <w:pPr>
        <w:autoSpaceDN w:val="0"/>
        <w:spacing w:line="360" w:lineRule="auto"/>
        <w:ind w:firstLine="601"/>
        <w:rPr>
          <w:rFonts w:ascii="宋体" w:hAnsi="宋体" w:cs="宋体"/>
          <w:bCs/>
          <w:sz w:val="28"/>
          <w:szCs w:val="28"/>
          <w:highlight w:val="none"/>
        </w:rPr>
      </w:pPr>
      <w:r>
        <w:rPr>
          <w:rFonts w:hint="eastAsia" w:ascii="宋体" w:hAnsi="宋体" w:cs="宋体"/>
          <w:bCs/>
          <w:sz w:val="28"/>
          <w:szCs w:val="28"/>
          <w:highlight w:val="none"/>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autoSpaceDN w:val="0"/>
        <w:spacing w:line="360" w:lineRule="auto"/>
        <w:ind w:firstLine="601"/>
        <w:rPr>
          <w:rFonts w:ascii="宋体" w:hAnsi="宋体" w:cs="宋体"/>
          <w:bCs/>
          <w:sz w:val="28"/>
          <w:szCs w:val="28"/>
          <w:highlight w:val="none"/>
        </w:rPr>
      </w:pPr>
      <w:r>
        <w:rPr>
          <w:rFonts w:hint="eastAsia" w:ascii="宋体" w:hAnsi="宋体" w:cs="宋体"/>
          <w:bCs/>
          <w:sz w:val="28"/>
          <w:szCs w:val="28"/>
          <w:highlight w:val="none"/>
        </w:rPr>
        <w:t>本公司对上述声明的真实性负责。如有虚假，将依法承担相应责任。</w:t>
      </w:r>
    </w:p>
    <w:p>
      <w:pPr>
        <w:autoSpaceDN w:val="0"/>
        <w:spacing w:line="560" w:lineRule="atLeast"/>
        <w:ind w:right="480"/>
        <w:rPr>
          <w:rFonts w:ascii="宋体" w:hAnsi="宋体" w:cs="宋体"/>
          <w:bCs/>
          <w:sz w:val="24"/>
          <w:highlight w:val="none"/>
        </w:rPr>
      </w:pPr>
    </w:p>
    <w:p>
      <w:pPr>
        <w:autoSpaceDN w:val="0"/>
        <w:spacing w:line="560" w:lineRule="atLeast"/>
        <w:ind w:right="480"/>
        <w:rPr>
          <w:rFonts w:ascii="宋体" w:hAnsi="宋体" w:cs="宋体"/>
          <w:bCs/>
          <w:sz w:val="24"/>
          <w:highlight w:val="none"/>
        </w:rPr>
      </w:pPr>
      <w:r>
        <w:rPr>
          <w:rFonts w:hint="eastAsia" w:ascii="宋体" w:hAnsi="宋体" w:cs="宋体"/>
          <w:bCs/>
          <w:sz w:val="24"/>
          <w:highlight w:val="none"/>
        </w:rPr>
        <w:t>`</w:t>
      </w:r>
    </w:p>
    <w:p>
      <w:pPr>
        <w:autoSpaceDN w:val="0"/>
        <w:spacing w:line="560" w:lineRule="atLeast"/>
        <w:ind w:right="480"/>
        <w:rPr>
          <w:rFonts w:ascii="宋体" w:hAnsi="宋体" w:cs="宋体"/>
          <w:bCs/>
          <w:sz w:val="24"/>
          <w:highlight w:val="none"/>
        </w:rPr>
      </w:pPr>
    </w:p>
    <w:p>
      <w:pPr>
        <w:autoSpaceDN w:val="0"/>
        <w:spacing w:line="560" w:lineRule="atLeast"/>
        <w:ind w:right="480" w:firstLine="4340"/>
        <w:rPr>
          <w:rFonts w:ascii="宋体" w:hAnsi="宋体" w:cs="宋体"/>
          <w:bCs/>
          <w:sz w:val="28"/>
          <w:szCs w:val="28"/>
          <w:highlight w:val="none"/>
        </w:rPr>
      </w:pPr>
      <w:r>
        <w:rPr>
          <w:rFonts w:hint="eastAsia" w:ascii="宋体" w:hAnsi="宋体" w:cs="宋体"/>
          <w:bCs/>
          <w:sz w:val="28"/>
          <w:szCs w:val="28"/>
          <w:highlight w:val="none"/>
        </w:rPr>
        <w:t>企业名称（盖章）：</w:t>
      </w:r>
    </w:p>
    <w:p>
      <w:pPr>
        <w:autoSpaceDN w:val="0"/>
        <w:spacing w:line="560" w:lineRule="atLeast"/>
        <w:ind w:right="480"/>
        <w:rPr>
          <w:rFonts w:ascii="宋体" w:hAnsi="宋体" w:cs="宋体"/>
          <w:bCs/>
          <w:sz w:val="28"/>
          <w:szCs w:val="28"/>
          <w:highlight w:val="none"/>
        </w:rPr>
      </w:pPr>
    </w:p>
    <w:p>
      <w:pPr>
        <w:pStyle w:val="25"/>
        <w:ind w:firstLine="5740" w:firstLineChars="2050"/>
        <w:rPr>
          <w:rFonts w:hAnsi="宋体" w:cs="宋体"/>
          <w:bCs/>
          <w:sz w:val="28"/>
          <w:szCs w:val="28"/>
          <w:highlight w:val="none"/>
        </w:rPr>
      </w:pPr>
      <w:r>
        <w:rPr>
          <w:rFonts w:hint="eastAsia" w:hAnsi="宋体" w:cs="宋体"/>
          <w:bCs/>
          <w:sz w:val="28"/>
          <w:szCs w:val="28"/>
          <w:highlight w:val="none"/>
        </w:rPr>
        <w:t>日期：</w:t>
      </w:r>
    </w:p>
    <w:p>
      <w:pPr>
        <w:pStyle w:val="25"/>
        <w:spacing w:line="200" w:lineRule="exact"/>
        <w:rPr>
          <w:rFonts w:hAnsi="宋体" w:cs="宋体"/>
          <w:bCs/>
          <w:sz w:val="24"/>
          <w:szCs w:val="24"/>
          <w:highlight w:val="none"/>
        </w:rPr>
      </w:pPr>
    </w:p>
    <w:p>
      <w:pPr>
        <w:spacing w:line="400" w:lineRule="exact"/>
        <w:ind w:firstLine="588" w:firstLineChars="245"/>
        <w:rPr>
          <w:rFonts w:ascii="宋体" w:hAnsi="宋体" w:cs="宋体"/>
          <w:bCs/>
          <w:sz w:val="24"/>
          <w:highlight w:val="none"/>
        </w:rPr>
      </w:pPr>
    </w:p>
    <w:p>
      <w:pPr>
        <w:spacing w:line="400" w:lineRule="exact"/>
        <w:ind w:firstLine="588" w:firstLineChars="245"/>
        <w:rPr>
          <w:rFonts w:ascii="宋体" w:hAnsi="宋体" w:cs="宋体"/>
          <w:bCs/>
          <w:sz w:val="24"/>
          <w:highlight w:val="none"/>
        </w:rPr>
      </w:pPr>
      <w:r>
        <w:rPr>
          <w:rFonts w:hint="eastAsia" w:ascii="宋体" w:hAnsi="宋体" w:cs="宋体"/>
          <w:bCs/>
          <w:sz w:val="24"/>
          <w:highlight w:val="none"/>
        </w:rPr>
        <w:t>　</w:t>
      </w:r>
    </w:p>
    <w:p>
      <w:pPr>
        <w:spacing w:line="360" w:lineRule="auto"/>
        <w:ind w:firstLine="588" w:firstLineChars="245"/>
        <w:rPr>
          <w:rFonts w:ascii="宋体" w:hAnsi="宋体" w:cs="宋体"/>
          <w:bCs/>
          <w:sz w:val="28"/>
          <w:szCs w:val="28"/>
          <w:highlight w:val="none"/>
        </w:rPr>
      </w:pPr>
      <w:r>
        <w:rPr>
          <w:rFonts w:hint="eastAsia" w:ascii="宋体" w:hAnsi="宋体" w:cs="宋体"/>
          <w:bCs/>
          <w:sz w:val="24"/>
          <w:highlight w:val="none"/>
        </w:rPr>
        <w:br w:type="page"/>
      </w:r>
      <w:r>
        <w:rPr>
          <w:rFonts w:hint="eastAsia" w:ascii="宋体" w:hAnsi="宋体" w:cs="宋体"/>
          <w:bCs/>
          <w:sz w:val="28"/>
          <w:szCs w:val="28"/>
          <w:highlight w:val="none"/>
        </w:rPr>
        <w:t>25.2关于监狱企业参与政府采购优惠政策（对监狱企业视同小型、微型企业）对监狱企业产品的价格给予6%的扣除，用扣除后的价格参与评审。根据关于政府采购支持监狱企业发展有关问题的通知财库[2014]68号的要求：</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25.2.1监狱企业参加政府采购活动时，应当提供由省级以上监狱管理局、戒毒管理局（含新疆生产建设兵团）出具的属于监狱企业的证明文件。</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（监狱企业的证明文件格式自行拟定、投标时装订在投标文件中）</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25.2.2在政府采购活动中，监狱企业视同小型、微型企业，享受预留份额、评审中价格扣除等政府采购促进中小企业发展的政府采购政策。</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25.3残疾人就业政府采购优惠政策（残疾人福利性单位视同小型、微型企业）对残疾人福利性单位产品的价格给予6%的扣除，用扣除后的价格参与评审。</w:t>
      </w:r>
    </w:p>
    <w:p>
      <w:pPr>
        <w:spacing w:line="360" w:lineRule="auto"/>
        <w:rPr>
          <w:rFonts w:ascii="宋体" w:hAnsi="宋体" w:cs="宋体"/>
          <w:bCs/>
          <w:sz w:val="28"/>
          <w:szCs w:val="28"/>
          <w:highlight w:val="none"/>
        </w:rPr>
      </w:pPr>
      <w:r>
        <w:rPr>
          <w:rFonts w:hint="eastAsia" w:ascii="宋体" w:hAnsi="宋体" w:cs="宋体"/>
          <w:bCs/>
          <w:sz w:val="28"/>
          <w:szCs w:val="28"/>
          <w:highlight w:val="none"/>
        </w:rPr>
        <w:t>根据财政部 民政部 中国残疾人联合会关于促进残疾人就业政府采购政策的通知财库[2017]141号要求：</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25.3.1符合条件的残疾人福利性单位在参加政府采购活动时，应当提供本通知规定的《残疾人福利性单位声明函》（见附件），并对声明的真实性负责。</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25.3.2中标、成交供应商为残疾人福利性单位的，采购人或者其委托的采购代理机构应当随中标、成交结果同时公告其《残疾人福利性单位声明函》，接受社会监督。</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　　　</w:t>
      </w:r>
    </w:p>
    <w:p>
      <w:pPr>
        <w:spacing w:line="360" w:lineRule="auto"/>
        <w:ind w:firstLine="413" w:firstLineChars="147"/>
        <w:rPr>
          <w:rFonts w:ascii="宋体" w:hAnsi="宋体" w:cs="宋体"/>
          <w:b/>
          <w:sz w:val="28"/>
          <w:szCs w:val="28"/>
          <w:highlight w:val="none"/>
        </w:rPr>
      </w:pPr>
      <w:r>
        <w:rPr>
          <w:rFonts w:hint="eastAsia" w:ascii="宋体" w:hAnsi="宋体" w:cs="宋体"/>
          <w:b/>
          <w:sz w:val="28"/>
          <w:szCs w:val="28"/>
          <w:highlight w:val="none"/>
        </w:rPr>
        <w:t>（属于残疾人福利性单位按照附件格式填写并装订在投标文件内）</w:t>
      </w:r>
    </w:p>
    <w:p>
      <w:pPr>
        <w:spacing w:line="360" w:lineRule="auto"/>
        <w:ind w:firstLine="352" w:firstLineChars="147"/>
        <w:rPr>
          <w:rFonts w:ascii="宋体" w:hAnsi="宋体" w:cs="宋体"/>
          <w:bCs/>
          <w:sz w:val="28"/>
          <w:szCs w:val="28"/>
          <w:highlight w:val="none"/>
        </w:rPr>
      </w:pPr>
      <w:r>
        <w:rPr>
          <w:rFonts w:hint="eastAsia" w:ascii="宋体" w:hAnsi="宋体" w:cs="宋体"/>
          <w:bCs/>
          <w:sz w:val="24"/>
          <w:highlight w:val="none"/>
        </w:rPr>
        <w:br w:type="page"/>
      </w:r>
      <w:r>
        <w:rPr>
          <w:rFonts w:hint="eastAsia" w:ascii="宋体" w:hAnsi="宋体" w:cs="宋体"/>
          <w:bCs/>
          <w:sz w:val="28"/>
          <w:szCs w:val="28"/>
          <w:highlight w:val="none"/>
        </w:rPr>
        <w:t>附件</w:t>
      </w:r>
    </w:p>
    <w:p>
      <w:pPr>
        <w:spacing w:line="360" w:lineRule="auto"/>
        <w:ind w:firstLine="413" w:firstLineChars="147"/>
        <w:jc w:val="center"/>
        <w:rPr>
          <w:rFonts w:ascii="宋体" w:hAnsi="宋体" w:cs="宋体"/>
          <w:b/>
          <w:sz w:val="28"/>
          <w:szCs w:val="28"/>
          <w:highlight w:val="none"/>
        </w:rPr>
      </w:pPr>
      <w:r>
        <w:rPr>
          <w:rFonts w:hint="eastAsia" w:ascii="宋体" w:hAnsi="宋体" w:cs="宋体"/>
          <w:b/>
          <w:sz w:val="28"/>
          <w:szCs w:val="28"/>
          <w:highlight w:val="none"/>
        </w:rPr>
        <w:t>残疾人福利性单位声明函</w:t>
      </w:r>
    </w:p>
    <w:p>
      <w:pPr>
        <w:spacing w:line="360" w:lineRule="auto"/>
        <w:ind w:firstLine="411" w:firstLineChars="147"/>
        <w:rPr>
          <w:rFonts w:ascii="宋体" w:hAnsi="宋体" w:cs="宋体"/>
          <w:bCs/>
          <w:sz w:val="28"/>
          <w:szCs w:val="28"/>
          <w:highlight w:val="none"/>
        </w:rPr>
      </w:pPr>
    </w:p>
    <w:p>
      <w:pPr>
        <w:spacing w:line="360" w:lineRule="auto"/>
        <w:ind w:firstLine="691" w:firstLineChars="247"/>
        <w:rPr>
          <w:rFonts w:ascii="宋体" w:hAnsi="宋体" w:cs="宋体"/>
          <w:bCs/>
          <w:sz w:val="28"/>
          <w:szCs w:val="28"/>
          <w:highlight w:val="none"/>
        </w:rPr>
      </w:pPr>
      <w:r>
        <w:rPr>
          <w:rFonts w:hint="eastAsia" w:ascii="宋体" w:hAnsi="宋体" w:cs="宋体"/>
          <w:bCs/>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11" w:firstLineChars="147"/>
        <w:rPr>
          <w:rFonts w:ascii="宋体" w:hAnsi="宋体" w:cs="宋体"/>
          <w:bCs/>
          <w:sz w:val="28"/>
          <w:szCs w:val="28"/>
          <w:highlight w:val="none"/>
        </w:rPr>
      </w:pPr>
      <w:r>
        <w:rPr>
          <w:rFonts w:hint="eastAsia" w:ascii="宋体" w:hAnsi="宋体" w:cs="宋体"/>
          <w:bCs/>
          <w:sz w:val="28"/>
          <w:szCs w:val="28"/>
          <w:highlight w:val="none"/>
        </w:rPr>
        <w:t>本单位对上述声明的真实性负责。如有虚假，将依法承担相应责任。</w:t>
      </w:r>
    </w:p>
    <w:p>
      <w:pPr>
        <w:spacing w:line="360" w:lineRule="auto"/>
        <w:ind w:firstLine="411" w:firstLineChars="147"/>
        <w:rPr>
          <w:rFonts w:ascii="宋体" w:hAnsi="宋体" w:cs="宋体"/>
          <w:bCs/>
          <w:sz w:val="28"/>
          <w:szCs w:val="28"/>
          <w:highlight w:val="none"/>
        </w:rPr>
      </w:pPr>
      <w:r>
        <w:rPr>
          <w:rFonts w:hint="eastAsia" w:ascii="宋体" w:hAnsi="宋体" w:cs="宋体"/>
          <w:bCs/>
          <w:sz w:val="28"/>
          <w:szCs w:val="28"/>
          <w:highlight w:val="none"/>
        </w:rPr>
        <w:t xml:space="preserve">                                </w:t>
      </w:r>
    </w:p>
    <w:p>
      <w:pPr>
        <w:spacing w:line="360" w:lineRule="auto"/>
        <w:ind w:firstLine="411" w:firstLineChars="147"/>
        <w:jc w:val="right"/>
        <w:rPr>
          <w:rFonts w:ascii="宋体" w:hAnsi="宋体" w:cs="宋体"/>
          <w:bCs/>
          <w:sz w:val="28"/>
          <w:szCs w:val="28"/>
          <w:highlight w:val="none"/>
        </w:rPr>
      </w:pPr>
    </w:p>
    <w:p>
      <w:pPr>
        <w:spacing w:line="360" w:lineRule="auto"/>
        <w:ind w:firstLine="411" w:firstLineChars="147"/>
        <w:jc w:val="center"/>
        <w:rPr>
          <w:rFonts w:ascii="宋体" w:hAnsi="宋体" w:cs="宋体"/>
          <w:bCs/>
          <w:sz w:val="28"/>
          <w:szCs w:val="28"/>
          <w:highlight w:val="none"/>
        </w:rPr>
      </w:pPr>
      <w:r>
        <w:rPr>
          <w:rFonts w:hint="eastAsia" w:ascii="宋体" w:hAnsi="宋体" w:cs="宋体"/>
          <w:bCs/>
          <w:sz w:val="28"/>
          <w:szCs w:val="28"/>
          <w:highlight w:val="none"/>
        </w:rPr>
        <w:t xml:space="preserve">            单位名称（盖章）：             </w:t>
      </w:r>
    </w:p>
    <w:p>
      <w:pPr>
        <w:spacing w:line="360" w:lineRule="auto"/>
        <w:ind w:firstLine="411" w:firstLineChars="147"/>
        <w:jc w:val="center"/>
        <w:rPr>
          <w:rFonts w:ascii="宋体" w:hAnsi="宋体" w:cs="宋体"/>
          <w:bCs/>
          <w:sz w:val="28"/>
          <w:szCs w:val="28"/>
          <w:highlight w:val="none"/>
        </w:rPr>
      </w:pPr>
      <w:r>
        <w:rPr>
          <w:rFonts w:hint="eastAsia" w:ascii="宋体" w:hAnsi="宋体" w:cs="宋体"/>
          <w:bCs/>
          <w:sz w:val="28"/>
          <w:szCs w:val="28"/>
          <w:highlight w:val="none"/>
        </w:rPr>
        <w:t xml:space="preserve">                      日  期：</w:t>
      </w:r>
    </w:p>
    <w:p>
      <w:pPr>
        <w:spacing w:line="360" w:lineRule="auto"/>
        <w:ind w:firstLine="352" w:firstLineChars="147"/>
        <w:rPr>
          <w:rFonts w:ascii="宋体" w:hAnsi="宋体" w:cs="宋体"/>
          <w:bCs/>
          <w:sz w:val="28"/>
          <w:szCs w:val="28"/>
          <w:highlight w:val="none"/>
        </w:rPr>
      </w:pPr>
      <w:r>
        <w:rPr>
          <w:rFonts w:hint="eastAsia" w:ascii="宋体" w:hAnsi="宋体" w:cs="宋体"/>
          <w:bCs/>
          <w:sz w:val="24"/>
          <w:highlight w:val="none"/>
        </w:rPr>
        <w:br w:type="page"/>
      </w:r>
      <w:r>
        <w:rPr>
          <w:rFonts w:hint="eastAsia" w:ascii="宋体" w:hAnsi="宋体" w:cs="宋体"/>
          <w:bCs/>
          <w:sz w:val="28"/>
          <w:szCs w:val="28"/>
          <w:highlight w:val="none"/>
        </w:rPr>
        <w:t>25.4关于强制采购节能产品、信息安全产品和优先采购环境标志产品优惠政策：供应商所投产品属于节能产品、信息安全产品、环境标志产品对提供产品的价格给予6%的扣除，用扣除后的价格参与评审。根据财政部国家发展改革委关于印发《节能产品政府采购实施意见》的通知 财库【2004】185号的要求：</w:t>
      </w:r>
    </w:p>
    <w:p>
      <w:pPr>
        <w:spacing w:line="360" w:lineRule="auto"/>
        <w:ind w:firstLine="560" w:firstLineChars="200"/>
        <w:rPr>
          <w:rFonts w:ascii="宋体" w:hAnsi="宋体" w:cs="宋体"/>
          <w:bCs/>
          <w:sz w:val="28"/>
          <w:szCs w:val="28"/>
          <w:highlight w:val="none"/>
        </w:rPr>
      </w:pPr>
      <w:r>
        <w:rPr>
          <w:rFonts w:hint="eastAsia" w:ascii="宋体" w:hAnsi="宋体" w:cs="宋体"/>
          <w:bCs/>
          <w:sz w:val="28"/>
          <w:szCs w:val="28"/>
          <w:highlight w:val="none"/>
        </w:rPr>
        <w:t>25.4.1节能产品是指列入财政部、国家发展和改革委员会制定的《节能产品政府采购清单》(中国政府采购网（</w:t>
      </w:r>
      <w:r>
        <w:rPr>
          <w:rFonts w:hint="eastAsia" w:ascii="宋体" w:hAnsi="宋体" w:cs="宋体"/>
          <w:bCs/>
          <w:spacing w:val="-8"/>
          <w:sz w:val="28"/>
          <w:szCs w:val="28"/>
          <w:highlight w:val="none"/>
        </w:rPr>
        <w:t>http://www.ccgp.gov.cn</w:t>
      </w:r>
      <w:r>
        <w:rPr>
          <w:rFonts w:hint="eastAsia" w:ascii="宋体" w:hAnsi="宋体" w:cs="宋体"/>
          <w:bCs/>
          <w:sz w:val="28"/>
          <w:szCs w:val="28"/>
          <w:highlight w:val="none"/>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r>
        <w:rPr>
          <w:rFonts w:hint="eastAsia" w:ascii="宋体" w:hAnsi="宋体" w:cs="宋体"/>
          <w:bCs/>
          <w:spacing w:val="-8"/>
          <w:sz w:val="28"/>
          <w:szCs w:val="28"/>
          <w:highlight w:val="none"/>
        </w:rPr>
        <w:t>http://www.ccgp.gov.cn</w:t>
      </w:r>
      <w:r>
        <w:rPr>
          <w:rFonts w:hint="eastAsia" w:ascii="宋体" w:hAnsi="宋体" w:cs="宋体"/>
          <w:bCs/>
          <w:sz w:val="28"/>
          <w:szCs w:val="28"/>
          <w:highlight w:val="none"/>
        </w:rPr>
        <w:t>）等网站发布)，且经过认证的环境标志产品。</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25.4.2提供的产品属于信息安全产品的，供应商应当选择经国家认证的信息安全产品投标，并提供有效的中国国家信息安全产品认证证书复印件。</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25.4.3提供的产品属于政府强制采购节能产品的，供应商应当选择《节能产品政府采购清单》中的产品投标，并提供有效的节能产品认证证书复印件。</w:t>
      </w:r>
    </w:p>
    <w:p>
      <w:pPr>
        <w:spacing w:line="360" w:lineRule="auto"/>
        <w:ind w:firstLine="700" w:firstLineChars="250"/>
        <w:rPr>
          <w:rFonts w:ascii="宋体" w:hAnsi="宋体" w:cs="宋体"/>
          <w:bCs/>
          <w:sz w:val="28"/>
          <w:szCs w:val="28"/>
          <w:highlight w:val="none"/>
        </w:rPr>
      </w:pPr>
      <w:r>
        <w:rPr>
          <w:rFonts w:hint="eastAsia" w:ascii="宋体" w:hAnsi="宋体" w:cs="宋体"/>
          <w:bCs/>
          <w:sz w:val="28"/>
          <w:szCs w:val="28"/>
          <w:highlight w:val="none"/>
        </w:rPr>
        <w:t>25.4.4提供的产品属于优先采购环境标志产品的，供应商应当选择《环境标志产品政府采购清单》中的产品投标，并提供有效的环境标志产品认证证书复印件。</w:t>
      </w:r>
    </w:p>
    <w:p>
      <w:pPr>
        <w:spacing w:line="360" w:lineRule="auto"/>
        <w:ind w:firstLine="686" w:firstLineChars="245"/>
        <w:rPr>
          <w:rFonts w:ascii="宋体" w:hAnsi="宋体" w:cs="宋体"/>
          <w:bCs/>
          <w:sz w:val="28"/>
          <w:szCs w:val="28"/>
          <w:highlight w:val="none"/>
        </w:rPr>
      </w:pPr>
      <w:r>
        <w:rPr>
          <w:rFonts w:hint="eastAsia" w:ascii="宋体" w:hAnsi="宋体" w:cs="宋体"/>
          <w:bCs/>
          <w:sz w:val="28"/>
          <w:szCs w:val="28"/>
          <w:highlight w:val="none"/>
        </w:rPr>
        <w:t>供应商所投产品属于节能产品、信息安全产品、环境标志产品按照开标一览表格式填写正确的金额，并提供目录截图及货物产品相关的认证证书复印件。</w:t>
      </w:r>
    </w:p>
    <w:p>
      <w:pPr>
        <w:spacing w:line="360" w:lineRule="auto"/>
        <w:ind w:firstLine="686" w:firstLineChars="245"/>
        <w:rPr>
          <w:sz w:val="28"/>
          <w:szCs w:val="28"/>
          <w:highlight w:val="none"/>
        </w:rPr>
      </w:pPr>
      <w:r>
        <w:rPr>
          <w:rFonts w:hint="eastAsia" w:ascii="宋体" w:hAnsi="宋体" w:cs="宋体"/>
          <w:bCs/>
          <w:sz w:val="28"/>
          <w:szCs w:val="28"/>
          <w:highlight w:val="none"/>
        </w:rPr>
        <w:t>特别声明:对于未能按照要求填写及未能提供证明资料或提供资料不完整的视同未提供</w:t>
      </w:r>
    </w:p>
    <w:p>
      <w:pPr>
        <w:rPr>
          <w:highlight w:val="none"/>
        </w:rPr>
        <w:sectPr>
          <w:pgSz w:w="11906" w:h="16838"/>
          <w:pgMar w:top="1440" w:right="1800" w:bottom="1440" w:left="1800" w:header="851" w:footer="992" w:gutter="0"/>
          <w:cols w:space="425" w:num="1"/>
          <w:docGrid w:type="lines" w:linePitch="312" w:charSpace="0"/>
        </w:sectPr>
      </w:pPr>
    </w:p>
    <w:p>
      <w:pPr>
        <w:pStyle w:val="4"/>
        <w:jc w:val="center"/>
        <w:rPr>
          <w:highlight w:val="none"/>
        </w:rPr>
      </w:pPr>
      <w:bookmarkStart w:id="10" w:name="_Toc8529_WPSOffice_Level1"/>
      <w:r>
        <w:rPr>
          <w:rFonts w:hint="eastAsia"/>
          <w:highlight w:val="none"/>
        </w:rPr>
        <w:t>第三章  用户需求书</w:t>
      </w:r>
      <w:bookmarkEnd w:id="10"/>
    </w:p>
    <w:p>
      <w:pPr>
        <w:spacing w:line="360" w:lineRule="auto"/>
        <w:ind w:left="-420" w:leftChars="-200"/>
        <w:rPr>
          <w:rFonts w:ascii="宋体" w:hAnsi="宋体" w:cs="宋体"/>
          <w:b/>
          <w:bCs/>
          <w:sz w:val="28"/>
          <w:szCs w:val="28"/>
          <w:highlight w:val="none"/>
        </w:rPr>
      </w:pPr>
      <w:r>
        <w:rPr>
          <w:rFonts w:hint="eastAsia" w:ascii="宋体" w:hAnsi="宋体" w:cs="宋体"/>
          <w:b/>
          <w:bCs/>
          <w:sz w:val="28"/>
          <w:szCs w:val="28"/>
          <w:highlight w:val="none"/>
        </w:rPr>
        <w:t>一、项目概况</w:t>
      </w:r>
    </w:p>
    <w:p>
      <w:pPr>
        <w:rPr>
          <w:highlight w:val="none"/>
        </w:rPr>
      </w:pPr>
      <w:r>
        <w:rPr>
          <w:rFonts w:hint="eastAsia" w:ascii="宋体" w:hAnsi="宋体" w:cs="宋体"/>
          <w:sz w:val="28"/>
          <w:szCs w:val="28"/>
          <w:highlight w:val="none"/>
        </w:rPr>
        <w:t>1、项目名称：海口市美兰区乡镇环卫一体化项目</w:t>
      </w:r>
    </w:p>
    <w:p>
      <w:pPr>
        <w:spacing w:line="360" w:lineRule="auto"/>
        <w:rPr>
          <w:rFonts w:ascii="宋体" w:hAnsi="宋体" w:cs="宋体"/>
          <w:sz w:val="28"/>
          <w:szCs w:val="28"/>
          <w:highlight w:val="none"/>
        </w:rPr>
      </w:pPr>
      <w:r>
        <w:rPr>
          <w:rFonts w:hint="eastAsia" w:ascii="宋体" w:hAnsi="宋体" w:cs="宋体"/>
          <w:sz w:val="28"/>
          <w:szCs w:val="28"/>
          <w:highlight w:val="none"/>
        </w:rPr>
        <w:t>2、采购编号：WDSZ2019003</w:t>
      </w:r>
    </w:p>
    <w:p>
      <w:pPr>
        <w:spacing w:before="24" w:after="24" w:line="560" w:lineRule="exact"/>
        <w:rPr>
          <w:rFonts w:ascii="宋体" w:hAnsi="宋体" w:cs="宋体"/>
          <w:sz w:val="28"/>
          <w:szCs w:val="28"/>
          <w:highlight w:val="none"/>
        </w:rPr>
      </w:pPr>
      <w:r>
        <w:rPr>
          <w:rFonts w:hint="eastAsia" w:ascii="宋体" w:hAnsi="宋体" w:cs="宋体"/>
          <w:sz w:val="28"/>
          <w:szCs w:val="28"/>
          <w:highlight w:val="none"/>
        </w:rPr>
        <w:t>3、项目概述：为改善当地人居生产和生活环境，实现“生产发展、生态优美、生活幸福”，逐步拉近与主城区环境卫生质量的差距，实现美兰区下属乡镇范围内的环境卫生一体化作业全覆盖，本项目拟通过政府购买服务形式，引入专业化环卫服务单位负责本项目范围内的环卫作业，提高美兰区环境卫生整体水平和市容环境质量，最终达到环境净化、道路硬化、村庄绿化、村容美化“四化”目标。</w:t>
      </w:r>
    </w:p>
    <w:p>
      <w:pPr>
        <w:spacing w:before="24" w:after="24" w:line="560" w:lineRule="exact"/>
        <w:rPr>
          <w:rFonts w:ascii="宋体" w:hAnsi="宋体" w:cs="宋体"/>
          <w:sz w:val="28"/>
          <w:szCs w:val="28"/>
          <w:highlight w:val="none"/>
        </w:rPr>
      </w:pPr>
      <w:r>
        <w:rPr>
          <w:rFonts w:hint="eastAsia" w:ascii="宋体" w:hAnsi="宋体" w:cs="宋体"/>
          <w:sz w:val="28"/>
          <w:szCs w:val="28"/>
          <w:highlight w:val="none"/>
        </w:rPr>
        <w:t>4、项目采购预算：本项目采购预算为人民币</w:t>
      </w:r>
      <w:r>
        <w:rPr>
          <w:rFonts w:hint="eastAsia" w:ascii="宋体" w:hAnsi="宋体" w:cs="宋体"/>
          <w:color w:val="000000"/>
          <w:sz w:val="28"/>
          <w:szCs w:val="28"/>
          <w:highlight w:val="none"/>
          <w:lang w:bidi="ar"/>
        </w:rPr>
        <w:t xml:space="preserve">7777.34 </w:t>
      </w:r>
      <w:r>
        <w:rPr>
          <w:rFonts w:hint="eastAsia" w:ascii="宋体" w:hAnsi="宋体" w:cs="宋体"/>
          <w:sz w:val="28"/>
          <w:szCs w:val="28"/>
          <w:highlight w:val="none"/>
        </w:rPr>
        <w:t>万元/年。其中，环卫清扫保洁年度运营经费为</w:t>
      </w:r>
      <w:r>
        <w:rPr>
          <w:rFonts w:hint="eastAsia" w:ascii="宋体" w:hAnsi="宋体" w:cs="宋体"/>
          <w:color w:val="000000"/>
          <w:sz w:val="28"/>
          <w:szCs w:val="28"/>
          <w:highlight w:val="none"/>
          <w:lang w:bidi="ar"/>
        </w:rPr>
        <w:t>5950.98</w:t>
      </w:r>
      <w:r>
        <w:rPr>
          <w:rFonts w:hint="eastAsia" w:ascii="宋体" w:hAnsi="宋体" w:cs="宋体"/>
          <w:sz w:val="28"/>
          <w:szCs w:val="28"/>
          <w:highlight w:val="none"/>
        </w:rPr>
        <w:t>万元，单价为5.84元/㎡；垃圾清运年度运营经费为1402.22万元，单价为153.67元/吨；演丰镇垃圾分类年度运营经费为293.10万元，单价为1.255元/㎡；公厕运营年度运营费用为131.04万元，单价为13.10万元/座。</w:t>
      </w:r>
    </w:p>
    <w:p>
      <w:pPr>
        <w:spacing w:before="24" w:after="24" w:line="560" w:lineRule="exact"/>
        <w:rPr>
          <w:rFonts w:ascii="宋体" w:hAnsi="宋体" w:cs="宋体"/>
          <w:sz w:val="28"/>
          <w:szCs w:val="28"/>
          <w:highlight w:val="none"/>
        </w:rPr>
      </w:pPr>
    </w:p>
    <w:p>
      <w:pPr>
        <w:spacing w:before="24" w:after="24" w:line="560" w:lineRule="exact"/>
        <w:rPr>
          <w:rFonts w:ascii="宋体" w:hAnsi="宋体" w:cs="宋体"/>
          <w:sz w:val="28"/>
          <w:szCs w:val="28"/>
          <w:highlight w:val="none"/>
        </w:rPr>
      </w:pPr>
    </w:p>
    <w:tbl>
      <w:tblPr>
        <w:tblStyle w:val="16"/>
        <w:tblW w:w="8423" w:type="dxa"/>
        <w:tblInd w:w="0" w:type="dxa"/>
        <w:tblLayout w:type="fixed"/>
        <w:tblCellMar>
          <w:top w:w="0" w:type="dxa"/>
          <w:left w:w="0" w:type="dxa"/>
          <w:bottom w:w="0" w:type="dxa"/>
          <w:right w:w="0" w:type="dxa"/>
        </w:tblCellMar>
      </w:tblPr>
      <w:tblGrid>
        <w:gridCol w:w="842"/>
        <w:gridCol w:w="2480"/>
        <w:gridCol w:w="1503"/>
        <w:gridCol w:w="1491"/>
        <w:gridCol w:w="2107"/>
      </w:tblGrid>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序号</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分项</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单位</w:t>
            </w: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基准单价</w:t>
            </w: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年度经费（万元）</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1</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道路及公共区域清扫保洁</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元/㎡</w:t>
            </w: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 xml:space="preserve">5.84 </w:t>
            </w: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5950.98 </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2</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垃圾收集清运</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元/吨</w:t>
            </w: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 xml:space="preserve">153.67 </w:t>
            </w: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1402.22 </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3</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sz w:val="24"/>
                <w:highlight w:val="none"/>
              </w:rPr>
            </w:pPr>
            <w:r>
              <w:rPr>
                <w:rFonts w:hint="eastAsia" w:ascii="仿宋" w:hAnsi="仿宋" w:eastAsia="仿宋" w:cs="仿宋"/>
                <w:b/>
                <w:bCs/>
                <w:color w:val="000000"/>
                <w:kern w:val="0"/>
                <w:sz w:val="24"/>
                <w:highlight w:val="none"/>
                <w:lang w:bidi="ar"/>
              </w:rPr>
              <w:t>垃圾分类</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仿宋" w:hAnsi="仿宋" w:eastAsia="仿宋" w:cs="仿宋"/>
                <w:b/>
                <w:bCs/>
                <w:color w:val="000000"/>
                <w:sz w:val="24"/>
                <w:highlight w:val="none"/>
              </w:rPr>
            </w:pP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仿宋" w:hAnsi="仿宋" w:eastAsia="仿宋" w:cs="仿宋"/>
                <w:b/>
                <w:bCs/>
                <w:color w:val="000000"/>
                <w:sz w:val="24"/>
                <w:highlight w:val="none"/>
              </w:rPr>
            </w:pP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293.10 </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lang w:bidi="ar"/>
              </w:rPr>
              <w:t>3.1</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lang w:bidi="ar"/>
              </w:rPr>
              <w:t>演丰镇</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000000"/>
                <w:sz w:val="24"/>
                <w:highlight w:val="none"/>
              </w:rPr>
            </w:pPr>
            <w:r>
              <w:rPr>
                <w:rFonts w:hint="eastAsia" w:ascii="仿宋" w:hAnsi="仿宋" w:eastAsia="仿宋" w:cs="仿宋"/>
                <w:color w:val="000000"/>
                <w:kern w:val="0"/>
                <w:sz w:val="24"/>
                <w:highlight w:val="none"/>
                <w:lang w:bidi="ar"/>
              </w:rPr>
              <w:t>元/㎡</w:t>
            </w: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4"/>
                <w:highlight w:val="none"/>
                <w:lang w:bidi="ar"/>
              </w:rPr>
              <w:t xml:space="preserve">1.255 </w:t>
            </w: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color w:val="000000"/>
                <w:kern w:val="0"/>
                <w:sz w:val="24"/>
                <w:highlight w:val="none"/>
                <w:lang w:bidi="ar"/>
              </w:rPr>
            </w:pPr>
            <w:r>
              <w:rPr>
                <w:rFonts w:hint="eastAsia" w:ascii="仿宋" w:hAnsi="仿宋" w:eastAsia="仿宋" w:cs="仿宋"/>
                <w:color w:val="000000"/>
                <w:kern w:val="0"/>
                <w:sz w:val="22"/>
                <w:szCs w:val="22"/>
                <w:highlight w:val="none"/>
                <w:lang w:bidi="ar"/>
              </w:rPr>
              <w:t xml:space="preserve">293.10 </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4</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公厕运营</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万元/座</w:t>
            </w: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13.10 </w:t>
            </w: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131.04 </w:t>
            </w:r>
          </w:p>
        </w:tc>
      </w:tr>
      <w:tr>
        <w:tblPrEx>
          <w:tblLayout w:type="fixed"/>
          <w:tblCellMar>
            <w:top w:w="0" w:type="dxa"/>
            <w:left w:w="0" w:type="dxa"/>
            <w:bottom w:w="0" w:type="dxa"/>
            <w:right w:w="0" w:type="dxa"/>
          </w:tblCellMar>
        </w:tblPrEx>
        <w:trPr>
          <w:trHeight w:val="280" w:hRule="atLeast"/>
        </w:trPr>
        <w:tc>
          <w:tcPr>
            <w:tcW w:w="8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5</w:t>
            </w:r>
          </w:p>
        </w:tc>
        <w:tc>
          <w:tcPr>
            <w:tcW w:w="24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合计</w:t>
            </w:r>
          </w:p>
        </w:tc>
        <w:tc>
          <w:tcPr>
            <w:tcW w:w="150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仿宋" w:hAnsi="仿宋" w:eastAsia="仿宋" w:cs="仿宋"/>
                <w:b/>
                <w:bCs/>
                <w:color w:val="000000"/>
                <w:kern w:val="0"/>
                <w:sz w:val="24"/>
                <w:highlight w:val="none"/>
                <w:lang w:bidi="ar"/>
              </w:rPr>
            </w:pPr>
          </w:p>
        </w:tc>
        <w:tc>
          <w:tcPr>
            <w:tcW w:w="149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仿宋" w:hAnsi="仿宋" w:eastAsia="仿宋" w:cs="仿宋"/>
                <w:b/>
                <w:bCs/>
                <w:color w:val="000000"/>
                <w:kern w:val="0"/>
                <w:sz w:val="24"/>
                <w:highlight w:val="none"/>
                <w:lang w:bidi="ar"/>
              </w:rPr>
            </w:pPr>
          </w:p>
        </w:tc>
        <w:tc>
          <w:tcPr>
            <w:tcW w:w="210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仿宋" w:hAnsi="仿宋" w:eastAsia="仿宋" w:cs="仿宋"/>
                <w:b/>
                <w:bCs/>
                <w:color w:val="000000"/>
                <w:kern w:val="0"/>
                <w:sz w:val="24"/>
                <w:highlight w:val="none"/>
                <w:lang w:bidi="ar"/>
              </w:rPr>
            </w:pPr>
            <w:r>
              <w:rPr>
                <w:rFonts w:hint="eastAsia" w:ascii="仿宋" w:hAnsi="仿宋" w:eastAsia="仿宋" w:cs="仿宋"/>
                <w:b/>
                <w:bCs/>
                <w:color w:val="000000"/>
                <w:kern w:val="0"/>
                <w:sz w:val="24"/>
                <w:highlight w:val="none"/>
                <w:lang w:bidi="ar"/>
              </w:rPr>
              <w:t xml:space="preserve">7777.34 </w:t>
            </w:r>
          </w:p>
        </w:tc>
      </w:tr>
    </w:tbl>
    <w:p>
      <w:pPr>
        <w:pStyle w:val="7"/>
        <w:rPr>
          <w:highlight w:val="none"/>
        </w:rPr>
      </w:pPr>
    </w:p>
    <w:p>
      <w:pPr>
        <w:spacing w:before="24" w:after="24" w:line="560" w:lineRule="exact"/>
        <w:rPr>
          <w:rFonts w:ascii="宋体" w:hAnsi="宋体" w:cs="宋体"/>
          <w:sz w:val="28"/>
          <w:szCs w:val="28"/>
          <w:highlight w:val="none"/>
        </w:rPr>
      </w:pPr>
      <w:r>
        <w:rPr>
          <w:rFonts w:hint="eastAsia" w:ascii="宋体" w:hAnsi="宋体" w:cs="宋体"/>
          <w:sz w:val="28"/>
          <w:szCs w:val="28"/>
          <w:highlight w:val="none"/>
        </w:rPr>
        <w:t>5、项目服务范围：本项目的服务范围为灵山镇、演丰镇、三江镇（不含三江农场）、大致坡镇及各镇所辖村域。(最终作业面积以项目服务合同约定的作业范围及第三方测量公司出具的测量报告为准)。</w:t>
      </w:r>
    </w:p>
    <w:p>
      <w:pPr>
        <w:spacing w:before="24" w:after="24" w:line="560" w:lineRule="exact"/>
        <w:rPr>
          <w:rFonts w:ascii="宋体" w:hAnsi="宋体" w:cs="宋体"/>
          <w:sz w:val="28"/>
          <w:szCs w:val="28"/>
          <w:highlight w:val="none"/>
        </w:rPr>
      </w:pPr>
      <w:r>
        <w:rPr>
          <w:rFonts w:hint="eastAsia" w:ascii="宋体" w:hAnsi="宋体" w:cs="宋体"/>
          <w:sz w:val="28"/>
          <w:szCs w:val="28"/>
          <w:highlight w:val="none"/>
        </w:rPr>
        <w:t>6、项目服务期：项目整体采用“3+3+2”的合作年限模式。即每3年服务期满后，若服务期内服务单位整体绩效考核平均分不低于85分时，政府可根据相关规定与原服务单位以合理合法合规的方式进行续签。（如后续政府出台新的规定，则按最新规定执行）</w:t>
      </w:r>
    </w:p>
    <w:p>
      <w:pPr>
        <w:spacing w:before="24" w:after="24" w:line="560" w:lineRule="exact"/>
        <w:rPr>
          <w:rFonts w:ascii="宋体" w:hAnsi="宋体" w:cs="宋体"/>
          <w:sz w:val="28"/>
          <w:szCs w:val="28"/>
          <w:highlight w:val="none"/>
        </w:rPr>
      </w:pPr>
      <w:r>
        <w:rPr>
          <w:rFonts w:hint="eastAsia" w:ascii="宋体" w:hAnsi="宋体" w:cs="宋体"/>
          <w:sz w:val="28"/>
          <w:szCs w:val="28"/>
          <w:highlight w:val="none"/>
        </w:rPr>
        <w:t>7、项目服务地点：海口市美兰区。中标单位可在海口市注册成立独资或控股的项目公司，负责本项目具体运营管理，以提高本地化服务水平。</w:t>
      </w:r>
    </w:p>
    <w:p>
      <w:pPr>
        <w:spacing w:line="360" w:lineRule="auto"/>
        <w:rPr>
          <w:rFonts w:ascii="宋体" w:hAnsi="宋体" w:cs="宋体"/>
          <w:sz w:val="28"/>
          <w:szCs w:val="28"/>
          <w:highlight w:val="none"/>
        </w:rPr>
      </w:pPr>
      <w:r>
        <w:rPr>
          <w:rFonts w:hint="eastAsia" w:ascii="宋体" w:hAnsi="宋体" w:cs="宋体"/>
          <w:b/>
          <w:bCs/>
          <w:sz w:val="30"/>
          <w:szCs w:val="30"/>
          <w:highlight w:val="none"/>
        </w:rPr>
        <w:t>二、项目具体服务内容及要求：</w:t>
      </w:r>
    </w:p>
    <w:p>
      <w:pPr>
        <w:rPr>
          <w:rFonts w:ascii="宋体" w:hAnsi="宋体" w:cs="宋体"/>
          <w:b/>
          <w:bCs/>
          <w:sz w:val="28"/>
          <w:szCs w:val="28"/>
          <w:highlight w:val="none"/>
        </w:rPr>
      </w:pPr>
      <w:r>
        <w:rPr>
          <w:rFonts w:hint="eastAsia" w:ascii="宋体" w:hAnsi="宋体" w:cs="宋体"/>
          <w:b/>
          <w:bCs/>
          <w:sz w:val="28"/>
          <w:szCs w:val="28"/>
          <w:highlight w:val="none"/>
        </w:rPr>
        <w:t>1、道路及公共区域清扫保洁范围、内容和要求</w:t>
      </w:r>
    </w:p>
    <w:p>
      <w:pPr>
        <w:widowControl/>
        <w:jc w:val="left"/>
        <w:rPr>
          <w:rFonts w:ascii="宋体" w:hAnsi="宋体" w:cs="宋体"/>
          <w:b/>
          <w:bCs/>
          <w:sz w:val="28"/>
          <w:szCs w:val="28"/>
          <w:highlight w:val="none"/>
        </w:rPr>
      </w:pPr>
      <w:r>
        <w:rPr>
          <w:rFonts w:hint="eastAsia" w:ascii="宋体" w:hAnsi="宋体" w:cs="宋体"/>
          <w:b/>
          <w:bCs/>
          <w:sz w:val="28"/>
          <w:szCs w:val="28"/>
          <w:highlight w:val="none"/>
        </w:rPr>
        <w:t>（1）清扫保洁范围</w:t>
      </w:r>
    </w:p>
    <w:p>
      <w:pPr>
        <w:widowControl/>
        <w:ind w:firstLine="420"/>
        <w:jc w:val="left"/>
        <w:rPr>
          <w:rFonts w:ascii="宋体" w:hAnsi="宋体" w:cs="宋体"/>
          <w:sz w:val="28"/>
          <w:szCs w:val="28"/>
          <w:highlight w:val="none"/>
        </w:rPr>
      </w:pPr>
      <w:r>
        <w:rPr>
          <w:rFonts w:hint="eastAsia" w:ascii="宋体" w:hAnsi="宋体" w:cs="宋体"/>
          <w:sz w:val="28"/>
          <w:szCs w:val="28"/>
          <w:highlight w:val="none"/>
        </w:rPr>
        <w:t>本项目作业范围:美兰区村镇范围内环境全覆盖的环卫一体化作业，包括灵山镇、演丰镇、三江镇（不含三江农场）、大致坡镇和三江镇所辖村域、村村通道路、水域作业面积和露天文化活动广告场所等，以及镇域范围内的国道省道等。(最终作业面积以项目服务合同约定的作业范围及第三方测量公司出具的测量报告为准)</w:t>
      </w:r>
    </w:p>
    <w:p>
      <w:pPr>
        <w:widowControl/>
        <w:ind w:firstLine="420"/>
        <w:jc w:val="left"/>
        <w:rPr>
          <w:rFonts w:ascii="宋体" w:hAnsi="宋体" w:cs="宋体"/>
          <w:sz w:val="28"/>
          <w:szCs w:val="28"/>
          <w:highlight w:val="none"/>
        </w:rPr>
      </w:pPr>
      <w:r>
        <w:rPr>
          <w:rFonts w:hint="eastAsia" w:ascii="宋体" w:hAnsi="宋体" w:cs="宋体"/>
          <w:sz w:val="28"/>
          <w:szCs w:val="28"/>
          <w:highlight w:val="none"/>
        </w:rPr>
        <w:t>为明确外包作业范围及合理测算外包费用，美兰区环境卫生管理局委托测绘技术服务公司对项目区域内道路及公共区域的清扫保洁面积进行测量。根据测绘公司提供的测绘数据，本项目道路及公共区域的清扫保洁面积共计10，184，728.31平方米（不含三江农场），其中，镇墟范围道路面积899，351.99平方米，绿化面积1，115.80平方米、“墙到墙”面积796，664.22平方米、水域面积9，1803.03平方米、公共场所面积488902.40平方米；农村(除镇墟外)范围村村通道路面积3，311，422.75平方米、村域面积4，595，468.12平方米</w:t>
      </w:r>
      <w:r>
        <w:rPr>
          <w:rFonts w:hint="eastAsia" w:ascii="宋体" w:hAnsi="宋体" w:cs="宋体"/>
          <w:color w:val="000000"/>
          <w:kern w:val="0"/>
          <w:sz w:val="28"/>
          <w:szCs w:val="28"/>
          <w:highlight w:val="none"/>
          <w:lang w:bidi="ar"/>
        </w:rPr>
        <w:t xml:space="preserve"> </w:t>
      </w:r>
      <w:r>
        <w:rPr>
          <w:rFonts w:hint="eastAsia" w:ascii="宋体" w:hAnsi="宋体" w:cs="宋体"/>
          <w:sz w:val="28"/>
          <w:szCs w:val="28"/>
          <w:highlight w:val="none"/>
        </w:rPr>
        <w:t>，详见表2-1项目作业范围及内容统计表。</w:t>
      </w:r>
    </w:p>
    <w:p>
      <w:pPr>
        <w:ind w:firstLine="562" w:firstLineChars="200"/>
        <w:jc w:val="center"/>
        <w:rPr>
          <w:rFonts w:ascii="宋体" w:hAnsi="宋体" w:cs="宋体"/>
          <w:b/>
          <w:bCs/>
          <w:highlight w:val="none"/>
        </w:rPr>
      </w:pPr>
      <w:r>
        <w:rPr>
          <w:rFonts w:hint="eastAsia" w:ascii="宋体" w:hAnsi="宋体" w:cs="宋体"/>
          <w:b/>
          <w:bCs/>
          <w:sz w:val="28"/>
          <w:szCs w:val="28"/>
          <w:highlight w:val="none"/>
        </w:rPr>
        <w:t>表2-1项目作业范围及内容统计表</w:t>
      </w:r>
    </w:p>
    <w:tbl>
      <w:tblPr>
        <w:tblStyle w:val="16"/>
        <w:tblW w:w="8326" w:type="dxa"/>
        <w:tblInd w:w="0" w:type="dxa"/>
        <w:tblLayout w:type="fixed"/>
        <w:tblCellMar>
          <w:top w:w="0" w:type="dxa"/>
          <w:left w:w="0" w:type="dxa"/>
          <w:bottom w:w="0" w:type="dxa"/>
          <w:right w:w="0" w:type="dxa"/>
        </w:tblCellMar>
      </w:tblPr>
      <w:tblGrid>
        <w:gridCol w:w="1125"/>
        <w:gridCol w:w="2155"/>
        <w:gridCol w:w="1511"/>
        <w:gridCol w:w="1733"/>
        <w:gridCol w:w="1802"/>
      </w:tblGrid>
      <w:tr>
        <w:tblPrEx>
          <w:tblLayout w:type="fixed"/>
          <w:tblCellMar>
            <w:top w:w="0" w:type="dxa"/>
            <w:left w:w="0" w:type="dxa"/>
            <w:bottom w:w="0" w:type="dxa"/>
            <w:right w:w="0" w:type="dxa"/>
          </w:tblCellMar>
        </w:tblPrEx>
        <w:trPr>
          <w:trHeight w:val="300" w:hRule="atLeast"/>
        </w:trPr>
        <w:tc>
          <w:tcPr>
            <w:tcW w:w="1125"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序号</w:t>
            </w:r>
          </w:p>
        </w:tc>
        <w:tc>
          <w:tcPr>
            <w:tcW w:w="2155"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类别</w:t>
            </w:r>
          </w:p>
        </w:tc>
        <w:tc>
          <w:tcPr>
            <w:tcW w:w="1511"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合计</w:t>
            </w:r>
          </w:p>
        </w:tc>
        <w:tc>
          <w:tcPr>
            <w:tcW w:w="3535" w:type="dxa"/>
            <w:gridSpan w:val="2"/>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作业面积(㎡）</w:t>
            </w:r>
          </w:p>
        </w:tc>
      </w:tr>
      <w:tr>
        <w:tblPrEx>
          <w:tblLayout w:type="fixed"/>
          <w:tblCellMar>
            <w:top w:w="0" w:type="dxa"/>
            <w:left w:w="0" w:type="dxa"/>
            <w:bottom w:w="0" w:type="dxa"/>
            <w:right w:w="0" w:type="dxa"/>
          </w:tblCellMar>
        </w:tblPrEx>
        <w:trPr>
          <w:trHeight w:val="300" w:hRule="atLeast"/>
        </w:trPr>
        <w:tc>
          <w:tcPr>
            <w:tcW w:w="1125"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宋体" w:hAnsi="宋体" w:cs="宋体"/>
                <w:b/>
                <w:bCs/>
                <w:color w:val="000000"/>
                <w:sz w:val="22"/>
                <w:szCs w:val="22"/>
                <w:highlight w:val="none"/>
              </w:rPr>
            </w:pPr>
          </w:p>
        </w:tc>
        <w:tc>
          <w:tcPr>
            <w:tcW w:w="2155"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宋体" w:hAnsi="宋体" w:cs="宋体"/>
                <w:b/>
                <w:bCs/>
                <w:color w:val="000000"/>
                <w:sz w:val="22"/>
                <w:szCs w:val="22"/>
                <w:highlight w:val="none"/>
              </w:rPr>
            </w:pPr>
          </w:p>
        </w:tc>
        <w:tc>
          <w:tcPr>
            <w:tcW w:w="151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宋体" w:hAnsi="宋体" w:cs="宋体"/>
                <w:b/>
                <w:bCs/>
                <w:color w:val="000000"/>
                <w:sz w:val="22"/>
                <w:szCs w:val="22"/>
                <w:highlight w:val="none"/>
              </w:rPr>
            </w:pP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镇墟(㎡）</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村域(㎡）</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镇墟道路面积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899351.99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899351.99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0</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绿化面积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1115.80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1115.80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0</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“墙到墙”面积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796664.22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796664.22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0</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水域面积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91803.03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91803.03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0</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公共场所面积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488902.40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488902.40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0</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村村通道路面积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3311422.75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0.00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3311422.75</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村域面积</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4595468.12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 xml:space="preserve">0.00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highlight w:val="none"/>
              </w:rPr>
            </w:pPr>
            <w:r>
              <w:rPr>
                <w:rFonts w:hint="eastAsia" w:ascii="仿宋" w:hAnsi="仿宋" w:eastAsia="仿宋" w:cs="仿宋"/>
                <w:color w:val="000000"/>
                <w:kern w:val="0"/>
                <w:sz w:val="22"/>
                <w:szCs w:val="22"/>
                <w:highlight w:val="none"/>
                <w:lang w:bidi="ar"/>
              </w:rPr>
              <w:t>4595468.12</w:t>
            </w:r>
          </w:p>
        </w:tc>
      </w:tr>
      <w:tr>
        <w:tblPrEx>
          <w:tblLayout w:type="fixed"/>
          <w:tblCellMar>
            <w:top w:w="0" w:type="dxa"/>
            <w:left w:w="0" w:type="dxa"/>
            <w:bottom w:w="0" w:type="dxa"/>
            <w:right w:w="0" w:type="dxa"/>
          </w:tblCellMar>
        </w:tblPrEx>
        <w:trPr>
          <w:trHeight w:val="300" w:hRule="atLeast"/>
        </w:trPr>
        <w:tc>
          <w:tcPr>
            <w:tcW w:w="112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8</w:t>
            </w:r>
          </w:p>
        </w:tc>
        <w:tc>
          <w:tcPr>
            <w:tcW w:w="215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合计</w:t>
            </w:r>
          </w:p>
        </w:tc>
        <w:tc>
          <w:tcPr>
            <w:tcW w:w="151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color w:val="000000"/>
                <w:sz w:val="22"/>
                <w:szCs w:val="22"/>
                <w:highlight w:val="none"/>
              </w:rPr>
            </w:pPr>
            <w:r>
              <w:rPr>
                <w:rFonts w:hint="eastAsia" w:ascii="仿宋" w:hAnsi="仿宋" w:eastAsia="仿宋" w:cs="仿宋"/>
                <w:b/>
                <w:color w:val="000000"/>
                <w:kern w:val="0"/>
                <w:sz w:val="22"/>
                <w:szCs w:val="22"/>
                <w:highlight w:val="none"/>
                <w:lang w:bidi="ar"/>
              </w:rPr>
              <w:t xml:space="preserve">10184728.31 </w:t>
            </w:r>
          </w:p>
        </w:tc>
        <w:tc>
          <w:tcPr>
            <w:tcW w:w="173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color w:val="000000"/>
                <w:sz w:val="22"/>
                <w:szCs w:val="22"/>
                <w:highlight w:val="none"/>
              </w:rPr>
            </w:pPr>
            <w:r>
              <w:rPr>
                <w:rFonts w:hint="eastAsia" w:ascii="仿宋" w:hAnsi="仿宋" w:eastAsia="仿宋" w:cs="仿宋"/>
                <w:b/>
                <w:color w:val="000000"/>
                <w:kern w:val="0"/>
                <w:sz w:val="22"/>
                <w:szCs w:val="22"/>
                <w:highlight w:val="none"/>
                <w:lang w:bidi="ar"/>
              </w:rPr>
              <w:t xml:space="preserve">2277837.44 </w:t>
            </w:r>
          </w:p>
        </w:tc>
        <w:tc>
          <w:tcPr>
            <w:tcW w:w="18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b/>
                <w:color w:val="000000"/>
                <w:sz w:val="22"/>
                <w:szCs w:val="22"/>
                <w:highlight w:val="none"/>
              </w:rPr>
            </w:pPr>
            <w:r>
              <w:rPr>
                <w:rFonts w:hint="eastAsia" w:ascii="仿宋" w:hAnsi="仿宋" w:eastAsia="仿宋" w:cs="仿宋"/>
                <w:b/>
                <w:color w:val="000000"/>
                <w:kern w:val="0"/>
                <w:sz w:val="22"/>
                <w:szCs w:val="22"/>
                <w:highlight w:val="none"/>
                <w:lang w:bidi="ar"/>
              </w:rPr>
              <w:t>7906890.87</w:t>
            </w:r>
          </w:p>
        </w:tc>
      </w:tr>
    </w:tbl>
    <w:p>
      <w:pPr>
        <w:rPr>
          <w:rFonts w:ascii="宋体" w:hAnsi="宋体" w:cs="宋体"/>
          <w:sz w:val="28"/>
          <w:szCs w:val="28"/>
          <w:highlight w:val="none"/>
        </w:rPr>
      </w:pPr>
      <w:r>
        <w:rPr>
          <w:rFonts w:hint="eastAsia" w:ascii="宋体" w:hAnsi="宋体" w:cs="宋体"/>
          <w:b/>
          <w:bCs/>
          <w:sz w:val="28"/>
          <w:szCs w:val="28"/>
          <w:highlight w:val="none"/>
        </w:rPr>
        <w:t>（2）作业内容主要包括</w:t>
      </w:r>
      <w:r>
        <w:rPr>
          <w:rFonts w:hint="eastAsia" w:ascii="宋体" w:hAnsi="宋体" w:cs="宋体"/>
          <w:sz w:val="28"/>
          <w:szCs w:val="28"/>
          <w:highlight w:val="none"/>
        </w:rPr>
        <w:t>：</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（1）主干道、次干道等机动车道、非机动车道、人行道、街巷路 </w:t>
      </w:r>
    </w:p>
    <w:p>
      <w:pPr>
        <w:widowControl/>
        <w:jc w:val="left"/>
        <w:rPr>
          <w:rFonts w:ascii="宋体" w:hAnsi="宋体" w:cs="宋体"/>
          <w:sz w:val="28"/>
          <w:szCs w:val="28"/>
          <w:highlight w:val="none"/>
        </w:rPr>
      </w:pPr>
      <w:r>
        <w:rPr>
          <w:rFonts w:hint="eastAsia" w:ascii="宋体" w:hAnsi="宋体" w:cs="宋体"/>
          <w:sz w:val="28"/>
          <w:szCs w:val="28"/>
          <w:highlight w:val="none"/>
        </w:rPr>
        <w:t xml:space="preserve">面和“墙到墙”区域、乡镇村庄内公共区域等清扫、清洗、保洁、 </w:t>
      </w:r>
    </w:p>
    <w:p>
      <w:pPr>
        <w:widowControl/>
        <w:jc w:val="left"/>
        <w:rPr>
          <w:rFonts w:ascii="宋体" w:hAnsi="宋体" w:cs="宋体"/>
          <w:sz w:val="28"/>
          <w:szCs w:val="28"/>
          <w:highlight w:val="none"/>
        </w:rPr>
      </w:pPr>
      <w:r>
        <w:rPr>
          <w:rFonts w:hint="eastAsia" w:ascii="宋体" w:hAnsi="宋体" w:cs="宋体"/>
          <w:sz w:val="28"/>
          <w:szCs w:val="28"/>
          <w:highlight w:val="none"/>
        </w:rPr>
        <w:t xml:space="preserve">洒水降尘及路面硬化范围内的杂草清理，道路绿化带的垃圾捡拾和保 </w:t>
      </w:r>
    </w:p>
    <w:p>
      <w:pPr>
        <w:widowControl/>
        <w:jc w:val="left"/>
        <w:rPr>
          <w:rFonts w:ascii="宋体" w:hAnsi="宋体" w:cs="宋体"/>
          <w:sz w:val="28"/>
          <w:szCs w:val="28"/>
          <w:highlight w:val="none"/>
        </w:rPr>
      </w:pPr>
      <w:r>
        <w:rPr>
          <w:rFonts w:hint="eastAsia" w:ascii="宋体" w:hAnsi="宋体" w:cs="宋体"/>
          <w:sz w:val="28"/>
          <w:szCs w:val="28"/>
          <w:highlight w:val="none"/>
        </w:rPr>
        <w:t xml:space="preserve">洁； </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（2）道路“墙到墙”之间所有构筑物和构件两米以下范围内张贴和乱涂写的清理和保洁； </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（3）范围内果皮箱、垃圾桶等垃圾收集容器的购置、清掏、清洗保洁、维护及更新； </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（4）路名牌、指路牌、交通护栏等以及路灯杆、交通指示牌杆等 </w:t>
      </w:r>
    </w:p>
    <w:p>
      <w:pPr>
        <w:widowControl/>
        <w:jc w:val="left"/>
        <w:rPr>
          <w:rFonts w:ascii="宋体" w:hAnsi="宋体" w:cs="宋体"/>
          <w:sz w:val="28"/>
          <w:szCs w:val="28"/>
          <w:highlight w:val="none"/>
        </w:rPr>
      </w:pPr>
      <w:r>
        <w:rPr>
          <w:rFonts w:hint="eastAsia" w:ascii="宋体" w:hAnsi="宋体" w:cs="宋体"/>
          <w:sz w:val="28"/>
          <w:szCs w:val="28"/>
          <w:highlight w:val="none"/>
        </w:rPr>
        <w:t xml:space="preserve">两米以下部分的清洗保洁及雨水篦子的清掏； </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（5）范围内（含水域、河道岸边）散落垃圾、畜禽粪污及农业生产废弃物的清理和捡拾； </w:t>
      </w:r>
    </w:p>
    <w:p>
      <w:pPr>
        <w:widowControl/>
        <w:ind w:firstLine="280" w:firstLineChars="100"/>
        <w:jc w:val="left"/>
        <w:rPr>
          <w:rFonts w:ascii="宋体" w:hAnsi="宋体" w:cs="宋体"/>
          <w:sz w:val="28"/>
          <w:szCs w:val="28"/>
          <w:highlight w:val="none"/>
        </w:rPr>
      </w:pPr>
      <w:r>
        <w:rPr>
          <w:rFonts w:hint="eastAsia" w:ascii="宋体" w:hAnsi="宋体" w:cs="宋体"/>
          <w:sz w:val="28"/>
          <w:szCs w:val="28"/>
          <w:highlight w:val="none"/>
        </w:rPr>
        <w:t xml:space="preserve">（6）项目合作范围外，各村镇道路、水域保洁范围内应对可视范围内（如空旷地）的垃圾捡拾； </w:t>
      </w:r>
    </w:p>
    <w:p>
      <w:pPr>
        <w:ind w:firstLine="280" w:firstLineChars="100"/>
        <w:jc w:val="left"/>
        <w:rPr>
          <w:rFonts w:ascii="宋体" w:hAnsi="宋体" w:cs="宋体"/>
          <w:color w:val="000000"/>
          <w:kern w:val="0"/>
          <w:sz w:val="28"/>
          <w:szCs w:val="28"/>
          <w:highlight w:val="none"/>
          <w:lang w:bidi="ar"/>
        </w:rPr>
      </w:pPr>
      <w:r>
        <w:rPr>
          <w:rFonts w:hint="eastAsia" w:ascii="宋体" w:hAnsi="宋体" w:cs="宋体"/>
          <w:sz w:val="28"/>
          <w:szCs w:val="28"/>
          <w:highlight w:val="none"/>
        </w:rPr>
        <w:t>（7）配合政府部门就门前“三包”责任单位和责任制的执行情况进行监督。环卫作业人员发现责任单位门前“三包”的情况执行不到位的，应立即通过拍照、视频等方式取证，并上报政府部门。若责任单位在取证后15分钟内仍未整改，环卫作业人员应立即上报并配合相关部门执</w:t>
      </w:r>
      <w:r>
        <w:rPr>
          <w:rFonts w:hint="eastAsia" w:ascii="宋体" w:hAnsi="宋体" w:cs="宋体"/>
          <w:color w:val="000000"/>
          <w:kern w:val="0"/>
          <w:sz w:val="28"/>
          <w:szCs w:val="28"/>
          <w:highlight w:val="none"/>
          <w:lang w:bidi="ar"/>
        </w:rPr>
        <w:t>法取证。</w:t>
      </w:r>
    </w:p>
    <w:p>
      <w:pPr>
        <w:widowControl/>
        <w:jc w:val="left"/>
        <w:rPr>
          <w:b/>
          <w:bCs/>
          <w:sz w:val="28"/>
          <w:szCs w:val="28"/>
          <w:highlight w:val="none"/>
        </w:rPr>
      </w:pPr>
      <w:r>
        <w:rPr>
          <w:rFonts w:hint="eastAsia"/>
          <w:b/>
          <w:bCs/>
          <w:sz w:val="28"/>
          <w:szCs w:val="28"/>
          <w:highlight w:val="none"/>
        </w:rPr>
        <w:t>（3）作业要求：</w:t>
      </w:r>
    </w:p>
    <w:p>
      <w:pPr>
        <w:widowControl/>
        <w:ind w:firstLine="280" w:firstLineChars="1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（1）作业方式：普扫+保洁 </w:t>
      </w:r>
    </w:p>
    <w:p>
      <w:pPr>
        <w:ind w:firstLine="280" w:firstLineChars="100"/>
        <w:rPr>
          <w:rFonts w:ascii="宋体" w:hAnsi="宋体" w:cs="宋体"/>
          <w:sz w:val="28"/>
          <w:szCs w:val="28"/>
          <w:highlight w:val="none"/>
        </w:rPr>
      </w:pPr>
      <w:r>
        <w:rPr>
          <w:rFonts w:hint="eastAsia" w:ascii="宋体" w:hAnsi="宋体" w:cs="宋体"/>
          <w:color w:val="000000"/>
          <w:kern w:val="0"/>
          <w:sz w:val="28"/>
          <w:szCs w:val="28"/>
          <w:highlight w:val="none"/>
          <w:lang w:bidi="ar"/>
        </w:rPr>
        <w:t>（2）普扫时间及频次要求</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1）镇墟范围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①人工清扫：工作时间应为6:00至8:00，每天在工作时间段完成一遍普扫；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②机械化清扫：工作时间应为5:00至8:00，每天在工作时间段内完成一遍普扫。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2）农村范围</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①人工清扫：工作时间应为6:00至11:00，每天在工作时间段内完成一遍普扫； </w:t>
      </w:r>
    </w:p>
    <w:p>
      <w:pPr>
        <w:widowControl/>
        <w:ind w:firstLine="840" w:firstLineChars="30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②机械化清扫：工作时间应为6:00至11:00，每周在工作时间段内完成一遍普扫。</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（3）普扫作业要求</w:t>
      </w:r>
    </w:p>
    <w:p>
      <w:pPr>
        <w:widowControl/>
        <w:ind w:left="420"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杜绝“干扫”，做到喷雾清扫不扬尘、不漏扫。</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（4）保洁时间及频次要求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1）镇墟范围：工作时间应为5:00至21:00，每天巡回保洁；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2）农村范围：工作时间应为6:00至18:00，每天巡回保洁。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（5）保洁作业要求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1）保洁车辆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①保洁车辆应配挂安全标志牌；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②保洁车辆作业完毕，车箱内达到无残留垃圾杂物，干净整洁；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③保洁车辆应定期油饰和维修，保持完好无损。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2）保洁作业人员服装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①保洁作业人员应安全作业，配备安全防护用品；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②保洁作业人员应统一工作服装，服装要色调明快、醒目，穿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戴应整齐、干净。 </w:t>
      </w:r>
    </w:p>
    <w:p>
      <w:pPr>
        <w:widowControl/>
        <w:ind w:firstLine="420"/>
        <w:jc w:val="left"/>
        <w:rPr>
          <w:highlight w:val="none"/>
        </w:rPr>
      </w:pPr>
      <w:r>
        <w:rPr>
          <w:rFonts w:hint="eastAsia" w:ascii="仿宋" w:hAnsi="仿宋" w:eastAsia="仿宋" w:cs="仿宋"/>
          <w:color w:val="000000"/>
          <w:kern w:val="0"/>
          <w:sz w:val="28"/>
          <w:szCs w:val="28"/>
          <w:highlight w:val="none"/>
          <w:lang w:bidi="ar"/>
        </w:rPr>
        <w:t>（6）</w:t>
      </w:r>
      <w:r>
        <w:rPr>
          <w:rFonts w:hint="eastAsia" w:ascii="宋体" w:hAnsi="宋体" w:cs="宋体"/>
          <w:color w:val="000000"/>
          <w:kern w:val="0"/>
          <w:sz w:val="28"/>
          <w:szCs w:val="28"/>
          <w:highlight w:val="none"/>
          <w:lang w:bidi="ar"/>
        </w:rPr>
        <w:t xml:space="preserve">冲洗时间及频次要求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1）镇墟范围：工作时间应为5:00至8:00，每天完成一遍冲洗；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2）农村范围：工作时间应为6:00至11:00，每周完成一遍冲洗。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（7）冲洗作业要求：冲洗后路面应干净，下水口不堵塞；洒水车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不得倒车洒水。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（8）道路及公共区域清扫保洁质量要求：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1）道路路面、人行道、树池、绿化带等无堆积物，无果皮纸</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屑，无砖瓦土石，无烟蒂痰迹，无槟榔水污渍，无积泥积尘积水，无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人畜粪便呕吐物，无灰带和废弃物，构筑物无乱张贴和乱涂写现象。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达到路面净、路沟净、墙根净、绿带净、下水篦净，道路无尘见本色，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车过无扬尘；</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2）环卫作业服务单位对范围内道路按保洁时间要求实行全区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域全时段作业。道路路面上的生活垃圾、建筑垃圾、大件废弃物、砖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头瓦块、滴撒漏污物、雨水篦子夹藏的垃圾杂物等要及时组织清理。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路沿石要定时清洗，人行道及树池杂草要及时清除；清扫的垃圾及时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收运到指定的垃圾收集地点，不得将垃圾扫入雨水口、边沟、绿地，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不得漏扫、甩扫，控制扬尘，不准随意倾倒，避免妨碍行人，不得焚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烧垃圾；</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3）辖区清扫保洁范围内与居委会、小区物业、单位等有交叉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争议的道路清扫保洁由服务单位负责，其产生的生活垃圾、无主建筑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垃圾由服务单位负责清理、收集清运，不得遗留卫生死角；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4）道路污染要及时清理。夏季高温季节要适时对道路实施喷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雾防暑降尘作业；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5）清扫作业时严格按规定使用清扫保洁工具和设备，清扫工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具、设备存放在隐蔽位置，不得影响镇容村貌；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6）垃圾收集箱、果皮箱的垃圾每天至少清掏一次，每两天至少清洗一次，保持箱体干净；保持箱体密闭，放置垃圾袋，实行垃圾袋收集，箱体干净整洁、无污垢、无乱涂画张贴，箱体周围地面无洒落和污水；及时维修、油漆翻新陈旧、破损垃圾箱，及时更换无法使用的垃圾箱，完好率不低于99%；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7）道路两侧的建筑物外墙无明显污迹，无乱张贴、乱涂写和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过时破损标语；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8）道路两侧路名牌、指路牌、交通护栏以及路灯杆、交通指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示牌杆等两米以下部分无污迹、积尘；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9）公交站应保持整洁，其保洁质量应与道路保洁质量标准相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同；</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10）道路两侧休闲椅、康体娱乐设施、雕塑（如有）等无积尘、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无明显污迹； </w:t>
      </w:r>
    </w:p>
    <w:p>
      <w:pPr>
        <w:widowControl/>
        <w:ind w:firstLine="840" w:firstLineChars="30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11）保持水域表面整洁，无漂浮垃圾，无片状、带状的凤眼莲、 </w:t>
      </w:r>
    </w:p>
    <w:p>
      <w:pPr>
        <w:rPr>
          <w:highlight w:val="none"/>
        </w:rPr>
      </w:pPr>
      <w:r>
        <w:rPr>
          <w:rFonts w:hint="eastAsia" w:ascii="宋体" w:hAnsi="宋体" w:cs="宋体"/>
          <w:color w:val="000000"/>
          <w:kern w:val="0"/>
          <w:sz w:val="28"/>
          <w:szCs w:val="28"/>
          <w:highlight w:val="none"/>
          <w:lang w:bidi="ar"/>
        </w:rPr>
        <w:t>浮萍等水生植物；堤岸坡面应保持清洁，无暴露垃圾。</w:t>
      </w:r>
    </w:p>
    <w:p>
      <w:pPr>
        <w:rPr>
          <w:rFonts w:ascii="宋体" w:hAnsi="宋体" w:cs="宋体"/>
          <w:b/>
          <w:bCs/>
          <w:sz w:val="28"/>
          <w:szCs w:val="28"/>
          <w:highlight w:val="none"/>
        </w:rPr>
      </w:pPr>
      <w:r>
        <w:rPr>
          <w:rFonts w:hint="eastAsia" w:ascii="宋体" w:hAnsi="宋体" w:cs="宋体"/>
          <w:b/>
          <w:bCs/>
          <w:sz w:val="28"/>
          <w:szCs w:val="28"/>
          <w:highlight w:val="none"/>
        </w:rPr>
        <w:t>2、垃圾收集清运的范围、工作内容和要求</w:t>
      </w:r>
    </w:p>
    <w:p>
      <w:pPr>
        <w:widowControl/>
        <w:jc w:val="left"/>
        <w:outlineLvl w:val="2"/>
        <w:rPr>
          <w:rFonts w:ascii="仿宋" w:hAnsi="仿宋" w:eastAsia="仿宋" w:cs="仿宋"/>
          <w:b/>
          <w:sz w:val="30"/>
          <w:szCs w:val="30"/>
          <w:highlight w:val="none"/>
        </w:rPr>
      </w:pPr>
      <w:r>
        <w:rPr>
          <w:rFonts w:hint="eastAsia" w:ascii="宋体" w:hAnsi="宋体" w:cs="宋体"/>
          <w:b/>
          <w:sz w:val="28"/>
          <w:szCs w:val="28"/>
          <w:highlight w:val="none"/>
        </w:rPr>
        <w:t>（1）清运范围</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将美兰区四镇的生活垃圾（如有开展垃圾分类，则为垃圾分类后的其他垃圾）收集并全密闭运输至政府指定地点。项目范围内生活垃圾清运量约250吨/日，运输至指定地点（最终垃圾收集清运的作业量以每日实际计量结果为准）。</w:t>
      </w:r>
    </w:p>
    <w:p>
      <w:pPr>
        <w:widowControl/>
        <w:jc w:val="left"/>
        <w:outlineLvl w:val="2"/>
        <w:rPr>
          <w:rFonts w:ascii="宋体" w:hAnsi="宋体" w:cs="宋体"/>
          <w:b/>
          <w:sz w:val="28"/>
          <w:szCs w:val="28"/>
          <w:highlight w:val="none"/>
        </w:rPr>
      </w:pPr>
      <w:r>
        <w:rPr>
          <w:rFonts w:hint="eastAsia" w:ascii="宋体" w:hAnsi="宋体" w:cs="宋体"/>
          <w:b/>
          <w:sz w:val="28"/>
          <w:szCs w:val="28"/>
          <w:highlight w:val="none"/>
        </w:rPr>
        <w:t>（2）作业内容</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1）道路清扫作业和沿途垃圾收集容器清掏所产生生活垃圾的收 </w:t>
      </w:r>
    </w:p>
    <w:p>
      <w:pPr>
        <w:widowControl/>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集、清运；</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2）辖区内单位、居民小区、村庄产生的生活垃圾的收集、清运； </w:t>
      </w:r>
    </w:p>
    <w:p>
      <w:pPr>
        <w:widowControl/>
        <w:ind w:firstLine="420"/>
        <w:jc w:val="left"/>
        <w:rPr>
          <w:highlight w:val="none"/>
        </w:rPr>
      </w:pPr>
      <w:r>
        <w:rPr>
          <w:rFonts w:hint="eastAsia" w:ascii="宋体" w:hAnsi="宋体" w:cs="宋体"/>
          <w:color w:val="000000"/>
          <w:kern w:val="0"/>
          <w:sz w:val="28"/>
          <w:szCs w:val="28"/>
          <w:highlight w:val="none"/>
          <w:lang w:bidi="ar"/>
        </w:rPr>
        <w:t>3）辖区内无主生活垃圾、无主建筑垃圾的收集、清运。</w:t>
      </w:r>
    </w:p>
    <w:p>
      <w:pPr>
        <w:pStyle w:val="6"/>
        <w:widowControl/>
        <w:spacing w:before="0" w:after="0" w:line="360" w:lineRule="auto"/>
        <w:rPr>
          <w:rFonts w:ascii="宋体" w:hAnsi="宋体" w:cs="宋体"/>
          <w:sz w:val="28"/>
          <w:szCs w:val="28"/>
          <w:highlight w:val="none"/>
        </w:rPr>
      </w:pPr>
      <w:r>
        <w:rPr>
          <w:rFonts w:hint="eastAsia" w:ascii="宋体" w:hAnsi="宋体" w:cs="宋体"/>
          <w:sz w:val="28"/>
          <w:szCs w:val="28"/>
          <w:highlight w:val="none"/>
        </w:rPr>
        <w:t>（3）作业要求</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1）生活垃圾的收集工作，应做到定时定点、日产日清，不得堆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积、滞留污染镇容村貌；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2）垃圾收集容器应定位设置、摆放整齐，方便居民投放。收集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点及周围5m内应整洁，无散落、留存垃圾和污水；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3）垃圾收集采取密闭方式，逐步推行分类收集、垃圾收集容器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应无残缺、破损，封闭性好，外体干净；构筑物内外墙面不得有明显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积尘、污迹；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4）垃圾收集站点应定期喷洒消毒、灭蚊蝇药物等；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5）收集搬运过程无遗漏、无撒漏、无渗滤液地漏；垃圾收集车 </w:t>
      </w:r>
    </w:p>
    <w:p>
      <w:pPr>
        <w:widowControl/>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向垃圾转运站运送垃圾的过程应覆盖密闭，避免造成二次污染。</w:t>
      </w:r>
    </w:p>
    <w:p>
      <w:pPr>
        <w:rPr>
          <w:rFonts w:ascii="宋体" w:hAnsi="宋体" w:cs="宋体"/>
          <w:b/>
          <w:bCs/>
          <w:sz w:val="28"/>
          <w:szCs w:val="28"/>
          <w:highlight w:val="none"/>
        </w:rPr>
      </w:pPr>
      <w:r>
        <w:rPr>
          <w:rFonts w:hint="eastAsia" w:ascii="宋体" w:hAnsi="宋体" w:cs="宋体"/>
          <w:b/>
          <w:bCs/>
          <w:sz w:val="28"/>
          <w:szCs w:val="28"/>
          <w:highlight w:val="none"/>
        </w:rPr>
        <w:t>3、垃圾分类的范围、作业内容、目标和要求</w:t>
      </w:r>
    </w:p>
    <w:p>
      <w:pPr>
        <w:rPr>
          <w:rFonts w:ascii="宋体" w:hAnsi="宋体" w:cs="宋体"/>
          <w:sz w:val="28"/>
          <w:szCs w:val="28"/>
          <w:highlight w:val="none"/>
        </w:rPr>
      </w:pPr>
      <w:r>
        <w:rPr>
          <w:rFonts w:hint="eastAsia" w:ascii="宋体" w:hAnsi="宋体" w:cs="宋体"/>
          <w:b/>
          <w:bCs/>
          <w:sz w:val="28"/>
          <w:szCs w:val="28"/>
          <w:highlight w:val="none"/>
        </w:rPr>
        <w:t>（1）分类范围</w:t>
      </w:r>
    </w:p>
    <w:p>
      <w:pPr>
        <w:ind w:firstLine="560" w:firstLineChars="200"/>
        <w:rPr>
          <w:rFonts w:ascii="宋体" w:hAnsi="宋体" w:cs="宋体"/>
          <w:sz w:val="28"/>
          <w:szCs w:val="28"/>
          <w:highlight w:val="none"/>
        </w:rPr>
      </w:pPr>
      <w:r>
        <w:rPr>
          <w:rFonts w:hint="eastAsia" w:ascii="宋体" w:hAnsi="宋体" w:cs="宋体"/>
          <w:sz w:val="28"/>
          <w:szCs w:val="28"/>
          <w:highlight w:val="none"/>
        </w:rPr>
        <w:t>对美兰区演丰镇开展生活垃圾分类工作，暂进行四分类，即“有害”垃圾，可回收物（含大件垃圾），易腐（餐厨）垃圾，“其他垃圾”的收集、存放、处理、运输。（最终作业范围以项目服务合同中约定为准，作业面积以以第三方测量公司出具的测量报告为准）。</w:t>
      </w:r>
    </w:p>
    <w:p>
      <w:pPr>
        <w:rPr>
          <w:rFonts w:ascii="宋体" w:hAnsi="宋体" w:cs="宋体"/>
          <w:sz w:val="28"/>
          <w:szCs w:val="28"/>
          <w:highlight w:val="none"/>
        </w:rPr>
      </w:pPr>
      <w:r>
        <w:rPr>
          <w:rFonts w:hint="eastAsia" w:ascii="宋体" w:hAnsi="宋体" w:cs="宋体"/>
          <w:b/>
          <w:bCs/>
          <w:sz w:val="28"/>
          <w:szCs w:val="28"/>
          <w:highlight w:val="none"/>
        </w:rPr>
        <w:t>（2）作业内容</w:t>
      </w:r>
    </w:p>
    <w:p>
      <w:pPr>
        <w:ind w:firstLine="280" w:firstLineChars="100"/>
        <w:rPr>
          <w:rFonts w:ascii="宋体" w:hAnsi="宋体" w:cs="宋体"/>
          <w:sz w:val="28"/>
          <w:szCs w:val="28"/>
          <w:highlight w:val="none"/>
        </w:rPr>
      </w:pPr>
      <w:r>
        <w:rPr>
          <w:rFonts w:hint="eastAsia" w:ascii="宋体" w:hAnsi="宋体" w:cs="宋体"/>
          <w:color w:val="000000"/>
          <w:kern w:val="0"/>
          <w:sz w:val="28"/>
          <w:szCs w:val="28"/>
          <w:highlight w:val="none"/>
          <w:lang w:bidi="ar"/>
        </w:rPr>
        <w:t>1）</w:t>
      </w:r>
      <w:r>
        <w:rPr>
          <w:rFonts w:hint="eastAsia" w:ascii="宋体" w:hAnsi="宋体" w:cs="宋体"/>
          <w:sz w:val="28"/>
          <w:szCs w:val="28"/>
          <w:highlight w:val="none"/>
        </w:rPr>
        <w:t xml:space="preserve">建立垃圾分类投放日常管理制度，充分利用各种媒介开展垃 </w:t>
      </w:r>
    </w:p>
    <w:p>
      <w:pPr>
        <w:rPr>
          <w:rFonts w:ascii="宋体" w:hAnsi="宋体" w:cs="宋体"/>
          <w:sz w:val="28"/>
          <w:szCs w:val="28"/>
          <w:highlight w:val="none"/>
        </w:rPr>
      </w:pPr>
      <w:r>
        <w:rPr>
          <w:rFonts w:hint="eastAsia" w:ascii="宋体" w:hAnsi="宋体" w:cs="宋体"/>
          <w:sz w:val="28"/>
          <w:szCs w:val="28"/>
          <w:highlight w:val="none"/>
        </w:rPr>
        <w:t xml:space="preserve">圾分类知识宣传。通过多种形式（如礼品兑换、上门回收等）鼓励、 </w:t>
      </w:r>
    </w:p>
    <w:p>
      <w:pPr>
        <w:rPr>
          <w:rFonts w:ascii="宋体" w:hAnsi="宋体" w:cs="宋体"/>
          <w:sz w:val="28"/>
          <w:szCs w:val="28"/>
          <w:highlight w:val="none"/>
        </w:rPr>
      </w:pPr>
      <w:r>
        <w:rPr>
          <w:rFonts w:hint="eastAsia" w:ascii="宋体" w:hAnsi="宋体" w:cs="宋体"/>
          <w:sz w:val="28"/>
          <w:szCs w:val="28"/>
          <w:highlight w:val="none"/>
        </w:rPr>
        <w:t xml:space="preserve">吸引群众参与垃圾分类活动；面向不同年龄人群团体提供一套针对性 </w:t>
      </w:r>
    </w:p>
    <w:p>
      <w:pPr>
        <w:rPr>
          <w:rFonts w:ascii="宋体" w:hAnsi="宋体" w:cs="宋体"/>
          <w:sz w:val="28"/>
          <w:szCs w:val="28"/>
          <w:highlight w:val="none"/>
        </w:rPr>
      </w:pPr>
      <w:r>
        <w:rPr>
          <w:rFonts w:hint="eastAsia" w:ascii="宋体" w:hAnsi="宋体" w:cs="宋体"/>
          <w:sz w:val="28"/>
          <w:szCs w:val="28"/>
          <w:highlight w:val="none"/>
        </w:rPr>
        <w:t xml:space="preserve">强、可操作性好的立体化、全方位、精准的宣教体系； </w:t>
      </w:r>
    </w:p>
    <w:p>
      <w:pPr>
        <w:ind w:firstLine="280" w:firstLineChars="100"/>
        <w:rPr>
          <w:rFonts w:ascii="宋体" w:hAnsi="宋体" w:cs="宋体"/>
          <w:sz w:val="28"/>
          <w:szCs w:val="28"/>
          <w:highlight w:val="none"/>
        </w:rPr>
      </w:pPr>
      <w:r>
        <w:rPr>
          <w:rFonts w:hint="eastAsia" w:ascii="宋体" w:hAnsi="宋体" w:cs="宋体"/>
          <w:color w:val="000000"/>
          <w:kern w:val="0"/>
          <w:sz w:val="28"/>
          <w:szCs w:val="28"/>
          <w:highlight w:val="none"/>
          <w:lang w:bidi="ar"/>
        </w:rPr>
        <w:t>2）</w:t>
      </w:r>
      <w:r>
        <w:rPr>
          <w:rFonts w:hint="eastAsia" w:ascii="宋体" w:hAnsi="宋体" w:cs="宋体"/>
          <w:sz w:val="28"/>
          <w:szCs w:val="28"/>
          <w:highlight w:val="none"/>
        </w:rPr>
        <w:t xml:space="preserve">监督垃圾分类投放行为，对不符合分类投放要求的行为，要 </w:t>
      </w:r>
    </w:p>
    <w:p>
      <w:pPr>
        <w:rPr>
          <w:rFonts w:ascii="宋体" w:hAnsi="宋体" w:cs="宋体"/>
          <w:sz w:val="28"/>
          <w:szCs w:val="28"/>
          <w:highlight w:val="none"/>
        </w:rPr>
      </w:pPr>
      <w:r>
        <w:rPr>
          <w:rFonts w:hint="eastAsia" w:ascii="宋体" w:hAnsi="宋体" w:cs="宋体"/>
          <w:sz w:val="28"/>
          <w:szCs w:val="28"/>
          <w:highlight w:val="none"/>
        </w:rPr>
        <w:t xml:space="preserve">求其改正；拒不改正的，报告区城市综合行政执法部门； </w:t>
      </w:r>
    </w:p>
    <w:p>
      <w:pPr>
        <w:ind w:firstLine="280" w:firstLineChars="100"/>
        <w:rPr>
          <w:rFonts w:ascii="宋体" w:hAnsi="宋体" w:cs="宋体"/>
          <w:sz w:val="28"/>
          <w:szCs w:val="28"/>
          <w:highlight w:val="none"/>
        </w:rPr>
      </w:pPr>
      <w:r>
        <w:rPr>
          <w:rFonts w:hint="eastAsia" w:ascii="宋体" w:hAnsi="宋体" w:cs="宋体"/>
          <w:color w:val="000000"/>
          <w:kern w:val="0"/>
          <w:sz w:val="28"/>
          <w:szCs w:val="28"/>
          <w:highlight w:val="none"/>
          <w:lang w:bidi="ar"/>
        </w:rPr>
        <w:t>3）</w:t>
      </w:r>
      <w:r>
        <w:rPr>
          <w:rFonts w:hint="eastAsia" w:ascii="宋体" w:hAnsi="宋体" w:cs="宋体"/>
          <w:sz w:val="28"/>
          <w:szCs w:val="28"/>
          <w:highlight w:val="none"/>
        </w:rPr>
        <w:t xml:space="preserve">组织垃圾分类投放，保持分类收集容器完好、整洁； </w:t>
      </w:r>
    </w:p>
    <w:p>
      <w:pPr>
        <w:ind w:firstLine="280" w:firstLineChars="100"/>
        <w:rPr>
          <w:rFonts w:ascii="宋体" w:hAnsi="宋体" w:cs="宋体"/>
          <w:sz w:val="28"/>
          <w:szCs w:val="28"/>
          <w:highlight w:val="none"/>
        </w:rPr>
      </w:pPr>
      <w:r>
        <w:rPr>
          <w:rFonts w:hint="eastAsia" w:ascii="宋体" w:hAnsi="宋体" w:cs="宋体"/>
          <w:color w:val="000000"/>
          <w:kern w:val="0"/>
          <w:sz w:val="28"/>
          <w:szCs w:val="28"/>
          <w:highlight w:val="none"/>
          <w:lang w:bidi="ar"/>
        </w:rPr>
        <w:t>4）</w:t>
      </w:r>
      <w:r>
        <w:rPr>
          <w:rFonts w:hint="eastAsia" w:ascii="宋体" w:hAnsi="宋体" w:cs="宋体"/>
          <w:sz w:val="28"/>
          <w:szCs w:val="28"/>
          <w:highlight w:val="none"/>
        </w:rPr>
        <w:t xml:space="preserve">将通过各种途径收集到的垃圾或者从细分类垃圾箱中收集到 </w:t>
      </w:r>
    </w:p>
    <w:p>
      <w:pPr>
        <w:rPr>
          <w:rFonts w:ascii="宋体" w:hAnsi="宋体" w:cs="宋体"/>
          <w:sz w:val="28"/>
          <w:szCs w:val="28"/>
          <w:highlight w:val="none"/>
        </w:rPr>
      </w:pPr>
      <w:r>
        <w:rPr>
          <w:rFonts w:hint="eastAsia" w:ascii="宋体" w:hAnsi="宋体" w:cs="宋体"/>
          <w:sz w:val="28"/>
          <w:szCs w:val="28"/>
          <w:highlight w:val="none"/>
        </w:rPr>
        <w:t>的垃圾进行统一收集，将可回收垃圾、有害垃圾及易腐垃圾运输至美兰区环卫局与演丰镇人民政府指定的暂存点，并对易腐垃圾进行堆肥等资源化利用，将其他垃圾运输至政府指定地点。美兰区人民政府需解决垃圾分类存放点的用地，并无偿提供给服务单位使用；</w:t>
      </w:r>
    </w:p>
    <w:p>
      <w:pPr>
        <w:ind w:firstLine="280" w:firstLineChars="100"/>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（5）开展垃圾分类的计量和管理等工作。</w:t>
      </w:r>
    </w:p>
    <w:p>
      <w:pPr>
        <w:widowControl/>
        <w:jc w:val="left"/>
        <w:outlineLvl w:val="2"/>
        <w:rPr>
          <w:rFonts w:ascii="仿宋" w:hAnsi="仿宋" w:eastAsia="仿宋" w:cs="仿宋"/>
          <w:b/>
          <w:sz w:val="30"/>
          <w:szCs w:val="30"/>
          <w:highlight w:val="none"/>
        </w:rPr>
      </w:pPr>
      <w:r>
        <w:rPr>
          <w:rFonts w:hint="eastAsia" w:ascii="宋体" w:hAnsi="宋体" w:cs="宋体"/>
          <w:b/>
          <w:bCs/>
          <w:sz w:val="28"/>
          <w:szCs w:val="28"/>
          <w:highlight w:val="none"/>
        </w:rPr>
        <w:t>（3）作业目标</w:t>
      </w:r>
    </w:p>
    <w:p>
      <w:pPr>
        <w:ind w:firstLine="280" w:firstLineChars="100"/>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1）建立“四规范”垃圾分类处理体系，形成以政府推动、全民参与、城乡统筹、因地制宜的垃圾分类处理制度；</w:t>
      </w:r>
    </w:p>
    <w:p>
      <w:pPr>
        <w:widowControl/>
        <w:ind w:firstLine="420"/>
        <w:jc w:val="left"/>
        <w:rPr>
          <w:rFonts w:ascii="仿宋" w:hAnsi="仿宋" w:eastAsia="仿宋" w:cs="仿宋"/>
          <w:color w:val="000000"/>
          <w:kern w:val="0"/>
          <w:sz w:val="28"/>
          <w:szCs w:val="28"/>
          <w:highlight w:val="none"/>
          <w:lang w:bidi="ar"/>
        </w:rPr>
      </w:pPr>
      <w:r>
        <w:rPr>
          <w:rFonts w:hint="eastAsia" w:ascii="宋体" w:hAnsi="宋体" w:cs="宋体"/>
          <w:color w:val="000000"/>
          <w:kern w:val="0"/>
          <w:sz w:val="28"/>
          <w:szCs w:val="28"/>
          <w:highlight w:val="none"/>
          <w:lang w:bidi="ar"/>
        </w:rPr>
        <w:t>2）通过垃圾分类项目，将新的环保规范要求和技术分类理念植入百姓的分类活动中。利用垃圾分类智慧化模式，形成人人参与、合力创建的良好氛围，形成多元化、立体化、智慧化、可持续的垃圾分类模式，实现2020年生活垃圾回收利用率达35%以上的目标。</w:t>
      </w:r>
    </w:p>
    <w:p>
      <w:pPr>
        <w:widowControl/>
        <w:jc w:val="left"/>
        <w:outlineLvl w:val="2"/>
        <w:rPr>
          <w:rFonts w:ascii="宋体" w:hAnsi="宋体" w:cs="宋体"/>
          <w:b/>
          <w:bCs/>
          <w:sz w:val="28"/>
          <w:szCs w:val="28"/>
          <w:highlight w:val="none"/>
        </w:rPr>
      </w:pPr>
      <w:r>
        <w:rPr>
          <w:rFonts w:hint="eastAsia" w:ascii="宋体" w:hAnsi="宋体" w:cs="宋体"/>
          <w:b/>
          <w:bCs/>
          <w:sz w:val="28"/>
          <w:szCs w:val="28"/>
          <w:highlight w:val="none"/>
        </w:rPr>
        <w:t>（4）作业要求</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1）项目服务合同签订后，服务单位须在15个工作日内向区环卫局提交垃圾分类工作方案，经区环卫局批准同意后执行；</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2）广泛发动党员干部、群众并结合村委参与垃圾分类管理工作，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当好垃圾分类宣传员、督导员、志愿者；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3）按照规定的时间、地点以及相关要求，实施分类投放、收集、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运输作业，完成作业后及时将垃圾收集容器复位并清理作业场地；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4）保证运输工具密闭、整洁、完好，不得飞扬、撒漏、吊挂生 </w:t>
      </w:r>
    </w:p>
    <w:p>
      <w:pPr>
        <w:widowControl/>
        <w:jc w:val="left"/>
        <w:rPr>
          <w:rFonts w:ascii="宋体" w:hAnsi="宋体" w:cs="宋体"/>
          <w:sz w:val="28"/>
          <w:szCs w:val="28"/>
          <w:highlight w:val="none"/>
        </w:rPr>
      </w:pPr>
      <w:r>
        <w:rPr>
          <w:rFonts w:hint="eastAsia" w:ascii="宋体" w:hAnsi="宋体" w:cs="宋体"/>
          <w:color w:val="000000"/>
          <w:kern w:val="0"/>
          <w:sz w:val="28"/>
          <w:szCs w:val="28"/>
          <w:highlight w:val="none"/>
          <w:lang w:bidi="ar"/>
        </w:rPr>
        <w:t xml:space="preserve">活垃圾； </w:t>
      </w:r>
    </w:p>
    <w:p>
      <w:pPr>
        <w:widowControl/>
        <w:ind w:firstLine="420"/>
        <w:jc w:val="left"/>
        <w:rPr>
          <w:rFonts w:ascii="宋体" w:hAnsi="宋体" w:cs="宋体"/>
          <w:sz w:val="28"/>
          <w:szCs w:val="28"/>
          <w:highlight w:val="none"/>
        </w:rPr>
      </w:pPr>
      <w:r>
        <w:rPr>
          <w:rFonts w:hint="eastAsia" w:ascii="宋体" w:hAnsi="宋体" w:cs="宋体"/>
          <w:color w:val="000000"/>
          <w:kern w:val="0"/>
          <w:sz w:val="28"/>
          <w:szCs w:val="28"/>
          <w:highlight w:val="none"/>
          <w:lang w:bidi="ar"/>
        </w:rPr>
        <w:t>5）及时处理收集到的垃圾，避免二次污染。</w:t>
      </w:r>
    </w:p>
    <w:p>
      <w:pPr>
        <w:outlineLvl w:val="1"/>
        <w:rPr>
          <w:rFonts w:ascii="仿宋" w:hAnsi="仿宋" w:eastAsia="仿宋" w:cs="仿宋"/>
          <w:b/>
          <w:bCs/>
          <w:sz w:val="28"/>
          <w:szCs w:val="28"/>
          <w:highlight w:val="none"/>
        </w:rPr>
      </w:pPr>
      <w:r>
        <w:rPr>
          <w:rFonts w:hint="eastAsia" w:ascii="宋体" w:hAnsi="宋体" w:cs="宋体"/>
          <w:b/>
          <w:bCs/>
          <w:sz w:val="28"/>
          <w:szCs w:val="28"/>
          <w:highlight w:val="none"/>
        </w:rPr>
        <w:t>4、公厕运营管理的范围、作业内容和要求</w:t>
      </w:r>
    </w:p>
    <w:p>
      <w:pPr>
        <w:rPr>
          <w:rFonts w:ascii="仿宋" w:hAnsi="仿宋" w:eastAsia="仿宋" w:cs="仿宋"/>
          <w:b/>
          <w:szCs w:val="28"/>
          <w:highlight w:val="none"/>
        </w:rPr>
      </w:pPr>
      <w:r>
        <w:rPr>
          <w:rFonts w:hint="eastAsia" w:ascii="宋体" w:hAnsi="宋体" w:cs="宋体"/>
          <w:b/>
          <w:bCs/>
          <w:sz w:val="28"/>
          <w:szCs w:val="28"/>
          <w:highlight w:val="none"/>
        </w:rPr>
        <w:t>（1）运营管理的范围</w:t>
      </w:r>
    </w:p>
    <w:p>
      <w:pPr>
        <w:rPr>
          <w:rFonts w:ascii="宋体" w:hAnsi="宋体" w:cs="宋体"/>
          <w:sz w:val="28"/>
          <w:szCs w:val="28"/>
          <w:highlight w:val="none"/>
        </w:rPr>
      </w:pPr>
      <w:r>
        <w:rPr>
          <w:rFonts w:hint="eastAsia" w:ascii="宋体" w:hAnsi="宋体" w:cs="宋体"/>
          <w:sz w:val="28"/>
          <w:szCs w:val="28"/>
          <w:highlight w:val="none"/>
        </w:rPr>
        <w:t>本次纳入本项目运营范围内的公厕共计10座，具体如下表2-2。</w:t>
      </w:r>
    </w:p>
    <w:p>
      <w:pPr>
        <w:jc w:val="center"/>
        <w:rPr>
          <w:rFonts w:ascii="宋体" w:hAnsi="宋体" w:cs="宋体"/>
          <w:b/>
          <w:bCs/>
          <w:sz w:val="28"/>
          <w:szCs w:val="28"/>
          <w:highlight w:val="none"/>
        </w:rPr>
      </w:pPr>
      <w:r>
        <w:rPr>
          <w:rFonts w:hint="eastAsia" w:ascii="宋体" w:hAnsi="宋体" w:cs="宋体"/>
          <w:b/>
          <w:bCs/>
          <w:sz w:val="28"/>
          <w:szCs w:val="28"/>
          <w:highlight w:val="none"/>
        </w:rPr>
        <w:t>表2-2 公厕数量及区域</w:t>
      </w:r>
    </w:p>
    <w:tbl>
      <w:tblPr>
        <w:tblStyle w:val="16"/>
        <w:tblW w:w="8326" w:type="dxa"/>
        <w:tblInd w:w="0" w:type="dxa"/>
        <w:tblLayout w:type="fixed"/>
        <w:tblCellMar>
          <w:top w:w="0" w:type="dxa"/>
          <w:left w:w="0" w:type="dxa"/>
          <w:bottom w:w="0" w:type="dxa"/>
          <w:right w:w="0" w:type="dxa"/>
        </w:tblCellMar>
      </w:tblPr>
      <w:tblGrid>
        <w:gridCol w:w="983"/>
        <w:gridCol w:w="1706"/>
        <w:gridCol w:w="4217"/>
        <w:gridCol w:w="1420"/>
      </w:tblGrid>
      <w:tr>
        <w:tblPrEx>
          <w:tblLayout w:type="fixed"/>
          <w:tblCellMar>
            <w:top w:w="0" w:type="dxa"/>
            <w:left w:w="0" w:type="dxa"/>
            <w:bottom w:w="0" w:type="dxa"/>
            <w:right w:w="0" w:type="dxa"/>
          </w:tblCellMar>
        </w:tblPrEx>
        <w:trPr>
          <w:trHeight w:val="30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序号</w:t>
            </w:r>
          </w:p>
        </w:tc>
        <w:tc>
          <w:tcPr>
            <w:tcW w:w="17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所在位置</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数量</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三江镇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三江镇墟</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2</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灵山镇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爱群村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3</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灵山镇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东河村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52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4</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大致坡墟中心一横街</w:t>
            </w:r>
            <w:r>
              <w:rPr>
                <w:rFonts w:hint="eastAsia" w:ascii="宋体" w:hAnsi="宋体" w:cs="宋体"/>
                <w:highlight w:val="none"/>
              </w:rPr>
              <w:br w:type="textWrapping"/>
            </w:r>
            <w:r>
              <w:rPr>
                <w:rFonts w:hint="eastAsia" w:ascii="宋体" w:hAnsi="宋体" w:cs="宋体"/>
                <w:highlight w:val="none"/>
              </w:rPr>
              <w:t>（椰林居委会办公楼旁）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5</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大致坡墟西环路（琼剧广场内）</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52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6</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大致坡镇咸来墟文明街</w:t>
            </w:r>
            <w:r>
              <w:rPr>
                <w:rFonts w:hint="eastAsia" w:ascii="宋体" w:hAnsi="宋体" w:cs="宋体"/>
                <w:highlight w:val="none"/>
              </w:rPr>
              <w:br w:type="textWrapping"/>
            </w:r>
            <w:r>
              <w:rPr>
                <w:rFonts w:hint="eastAsia" w:ascii="宋体" w:hAnsi="宋体" w:cs="宋体"/>
                <w:highlight w:val="none"/>
              </w:rPr>
              <w:t>（原咸来工商所旁）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7</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大致坡镇昌福村委会美篆村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8</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大致坡镇大东村委会福山良村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9</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大致坡镇金堆村委会医疗室旁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10</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大致坡镇昌福村委会村小学路口旁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合计</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highlight w:val="none"/>
              </w:rPr>
            </w:pPr>
            <w:r>
              <w:rPr>
                <w:rFonts w:hint="eastAsia" w:ascii="宋体" w:hAnsi="宋体" w:cs="宋体"/>
                <w:highlight w:val="none"/>
              </w:rPr>
              <w:t>10</w:t>
            </w:r>
          </w:p>
        </w:tc>
      </w:tr>
    </w:tbl>
    <w:p>
      <w:pPr>
        <w:rPr>
          <w:rFonts w:ascii="宋体" w:hAnsi="宋体" w:cs="宋体"/>
          <w:b/>
          <w:bCs/>
          <w:sz w:val="28"/>
          <w:szCs w:val="28"/>
          <w:highlight w:val="none"/>
        </w:rPr>
      </w:pPr>
      <w:r>
        <w:rPr>
          <w:rFonts w:hint="eastAsia" w:ascii="宋体" w:hAnsi="宋体" w:cs="宋体"/>
          <w:b/>
          <w:bCs/>
          <w:sz w:val="28"/>
          <w:szCs w:val="28"/>
          <w:highlight w:val="none"/>
        </w:rPr>
        <w:t>（2）作业内容</w:t>
      </w:r>
    </w:p>
    <w:p>
      <w:pPr>
        <w:ind w:firstLine="280" w:firstLineChars="100"/>
        <w:jc w:val="left"/>
        <w:rPr>
          <w:rFonts w:ascii="宋体" w:hAnsi="宋体" w:cs="宋体"/>
          <w:sz w:val="28"/>
          <w:szCs w:val="28"/>
          <w:highlight w:val="none"/>
        </w:rPr>
      </w:pPr>
      <w:r>
        <w:rPr>
          <w:rFonts w:hint="eastAsia" w:ascii="宋体" w:hAnsi="宋体" w:cs="宋体"/>
          <w:sz w:val="28"/>
          <w:szCs w:val="28"/>
          <w:highlight w:val="none"/>
        </w:rPr>
        <w:t>1）公厕有专人管理，向公众免费开放；</w:t>
      </w:r>
    </w:p>
    <w:p>
      <w:pPr>
        <w:ind w:firstLine="280" w:firstLineChars="100"/>
        <w:jc w:val="left"/>
        <w:rPr>
          <w:rFonts w:ascii="宋体" w:hAnsi="宋体" w:cs="宋体"/>
          <w:sz w:val="28"/>
          <w:szCs w:val="28"/>
          <w:highlight w:val="none"/>
        </w:rPr>
      </w:pPr>
      <w:r>
        <w:rPr>
          <w:rFonts w:hint="eastAsia" w:ascii="宋体" w:hAnsi="宋体" w:cs="宋体"/>
          <w:sz w:val="28"/>
          <w:szCs w:val="28"/>
          <w:highlight w:val="none"/>
        </w:rPr>
        <w:t>2）公厕配套设施设备的维护、更新与改造；</w:t>
      </w:r>
    </w:p>
    <w:p>
      <w:pPr>
        <w:ind w:firstLine="280" w:firstLineChars="100"/>
        <w:jc w:val="left"/>
        <w:rPr>
          <w:rFonts w:ascii="宋体" w:hAnsi="宋体" w:cs="宋体"/>
          <w:sz w:val="28"/>
          <w:szCs w:val="28"/>
          <w:highlight w:val="none"/>
        </w:rPr>
      </w:pPr>
      <w:r>
        <w:rPr>
          <w:rFonts w:hint="eastAsia" w:ascii="宋体" w:hAnsi="宋体" w:cs="宋体"/>
          <w:sz w:val="28"/>
          <w:szCs w:val="28"/>
          <w:highlight w:val="none"/>
        </w:rPr>
        <w:t>3）公厕化粪池的清掏，粪渣的清运。</w:t>
      </w:r>
    </w:p>
    <w:p>
      <w:pPr>
        <w:rPr>
          <w:rFonts w:ascii="宋体" w:hAnsi="宋体" w:cs="宋体"/>
          <w:b/>
          <w:bCs/>
          <w:sz w:val="28"/>
          <w:szCs w:val="28"/>
          <w:highlight w:val="none"/>
        </w:rPr>
      </w:pPr>
      <w:r>
        <w:rPr>
          <w:rFonts w:hint="eastAsia" w:ascii="宋体" w:hAnsi="宋体" w:cs="宋体"/>
          <w:b/>
          <w:bCs/>
          <w:sz w:val="28"/>
          <w:szCs w:val="28"/>
          <w:highlight w:val="none"/>
        </w:rPr>
        <w:t>（3）作业要求</w:t>
      </w:r>
    </w:p>
    <w:p>
      <w:pPr>
        <w:ind w:firstLine="560" w:firstLineChars="200"/>
        <w:rPr>
          <w:highlight w:val="none"/>
        </w:rPr>
      </w:pPr>
      <w:r>
        <w:rPr>
          <w:rFonts w:hint="eastAsia" w:ascii="宋体" w:hAnsi="宋体" w:cs="宋体"/>
          <w:sz w:val="28"/>
          <w:szCs w:val="28"/>
          <w:highlight w:val="none"/>
        </w:rPr>
        <w:t>公厕卫生标准必须达到或高于国家二类公厕标准。</w:t>
      </w:r>
    </w:p>
    <w:p>
      <w:pPr>
        <w:rPr>
          <w:rFonts w:ascii="宋体" w:hAnsi="宋体" w:cs="宋体"/>
          <w:b/>
          <w:bCs/>
          <w:sz w:val="28"/>
          <w:szCs w:val="28"/>
          <w:highlight w:val="none"/>
        </w:rPr>
      </w:pPr>
      <w:r>
        <w:rPr>
          <w:rFonts w:hint="eastAsia" w:ascii="宋体" w:hAnsi="宋体" w:cs="宋体"/>
          <w:b/>
          <w:bCs/>
          <w:sz w:val="28"/>
          <w:szCs w:val="28"/>
          <w:highlight w:val="none"/>
        </w:rPr>
        <w:t>（4）公厕接收</w:t>
      </w:r>
    </w:p>
    <w:p>
      <w:pPr>
        <w:ind w:firstLine="560" w:firstLineChars="200"/>
        <w:rPr>
          <w:rFonts w:ascii="宋体" w:hAnsi="宋体" w:cs="宋体"/>
          <w:sz w:val="28"/>
          <w:szCs w:val="28"/>
          <w:highlight w:val="none"/>
        </w:rPr>
      </w:pPr>
      <w:r>
        <w:rPr>
          <w:rFonts w:hint="eastAsia" w:ascii="宋体" w:hAnsi="宋体" w:cs="宋体"/>
          <w:sz w:val="28"/>
          <w:szCs w:val="28"/>
          <w:highlight w:val="none"/>
        </w:rPr>
        <w:t>各镇移交至服务单位的公厕必须达到可作业的标准，服务单位最终运营管理公厕以其实际接收并运营管理数量为准，并按座计费。</w:t>
      </w:r>
    </w:p>
    <w:p>
      <w:pPr>
        <w:rPr>
          <w:rFonts w:ascii="宋体" w:hAnsi="宋体" w:cs="宋体"/>
          <w:b/>
          <w:bCs/>
          <w:sz w:val="28"/>
          <w:szCs w:val="28"/>
          <w:highlight w:val="none"/>
        </w:rPr>
      </w:pPr>
      <w:r>
        <w:rPr>
          <w:rFonts w:hint="eastAsia" w:ascii="宋体" w:hAnsi="宋体" w:cs="宋体"/>
          <w:b/>
          <w:bCs/>
          <w:sz w:val="28"/>
          <w:szCs w:val="28"/>
          <w:highlight w:val="none"/>
        </w:rPr>
        <w:t>5、特殊情况下的环卫保障</w:t>
      </w:r>
    </w:p>
    <w:p>
      <w:pPr>
        <w:ind w:firstLine="280" w:firstLineChars="100"/>
        <w:rPr>
          <w:rFonts w:ascii="宋体" w:hAnsi="宋体" w:cs="宋体"/>
          <w:sz w:val="28"/>
          <w:szCs w:val="28"/>
          <w:highlight w:val="none"/>
        </w:rPr>
      </w:pPr>
      <w:r>
        <w:rPr>
          <w:rFonts w:hint="eastAsia" w:ascii="宋体" w:hAnsi="宋体" w:cs="宋体"/>
          <w:sz w:val="28"/>
          <w:szCs w:val="28"/>
          <w:highlight w:val="none"/>
        </w:rPr>
        <w:t>（1）突发应急事件或大型检查、重大活动保障等环卫应急保障；</w:t>
      </w:r>
    </w:p>
    <w:p>
      <w:pPr>
        <w:ind w:firstLine="280" w:firstLineChars="100"/>
        <w:rPr>
          <w:rFonts w:ascii="宋体" w:hAnsi="宋体" w:cs="宋体"/>
          <w:sz w:val="28"/>
          <w:szCs w:val="28"/>
          <w:highlight w:val="none"/>
        </w:rPr>
      </w:pPr>
      <w:r>
        <w:rPr>
          <w:rFonts w:hint="eastAsia" w:ascii="宋体" w:hAnsi="宋体" w:cs="宋体"/>
          <w:sz w:val="28"/>
          <w:szCs w:val="28"/>
          <w:highlight w:val="none"/>
        </w:rPr>
        <w:t>（2）中心风力13级（不含13级）以下强台风期间、单日（24小时）内降水量低于100毫米（不含100毫米）暴雨期间环卫保障等。</w:t>
      </w:r>
    </w:p>
    <w:p>
      <w:pPr>
        <w:keepNext/>
        <w:keepLines/>
        <w:widowControl/>
        <w:numPr>
          <w:ilvl w:val="1"/>
          <w:numId w:val="0"/>
        </w:numPr>
        <w:spacing w:before="10" w:after="10" w:line="413" w:lineRule="auto"/>
        <w:ind w:firstLine="420"/>
        <w:outlineLvl w:val="1"/>
        <w:rPr>
          <w:rFonts w:ascii="宋体" w:hAnsi="宋体" w:cs="宋体"/>
          <w:b/>
          <w:bCs/>
          <w:sz w:val="28"/>
          <w:szCs w:val="28"/>
          <w:highlight w:val="none"/>
        </w:rPr>
      </w:pPr>
      <w:bookmarkStart w:id="11" w:name="_Toc1293"/>
      <w:bookmarkStart w:id="12" w:name="_Toc32332"/>
      <w:bookmarkStart w:id="13" w:name="_Toc30495"/>
      <w:bookmarkStart w:id="14" w:name="_Toc27676"/>
      <w:bookmarkStart w:id="15" w:name="_Toc3217"/>
      <w:bookmarkStart w:id="16" w:name="_Toc5499"/>
      <w:bookmarkStart w:id="17" w:name="_Toc14380"/>
      <w:bookmarkStart w:id="18" w:name="_Toc16366"/>
      <w:bookmarkStart w:id="19" w:name="_Toc26079"/>
      <w:bookmarkStart w:id="20" w:name="_Toc29133"/>
      <w:r>
        <w:rPr>
          <w:rFonts w:hint="eastAsia" w:ascii="宋体" w:hAnsi="宋体" w:cs="宋体"/>
          <w:b/>
          <w:bCs/>
          <w:sz w:val="28"/>
          <w:szCs w:val="28"/>
          <w:highlight w:val="none"/>
        </w:rPr>
        <w:t>6、原有资产</w:t>
      </w:r>
      <w:bookmarkEnd w:id="11"/>
      <w:bookmarkEnd w:id="12"/>
      <w:bookmarkEnd w:id="13"/>
      <w:bookmarkEnd w:id="14"/>
      <w:bookmarkEnd w:id="15"/>
      <w:bookmarkEnd w:id="16"/>
      <w:bookmarkEnd w:id="17"/>
      <w:bookmarkEnd w:id="18"/>
      <w:bookmarkEnd w:id="19"/>
      <w:bookmarkEnd w:id="20"/>
      <w:r>
        <w:rPr>
          <w:rFonts w:hint="eastAsia" w:ascii="宋体" w:hAnsi="宋体" w:cs="宋体"/>
          <w:b/>
          <w:bCs/>
          <w:sz w:val="28"/>
          <w:szCs w:val="28"/>
          <w:highlight w:val="none"/>
        </w:rPr>
        <w:t>接收</w:t>
      </w:r>
    </w:p>
    <w:p>
      <w:pPr>
        <w:widowControl/>
        <w:ind w:firstLine="280" w:firstLineChars="100"/>
        <w:jc w:val="left"/>
        <w:rPr>
          <w:rFonts w:ascii="宋体" w:hAnsi="宋体" w:cs="宋体"/>
          <w:color w:val="000000"/>
          <w:sz w:val="28"/>
          <w:szCs w:val="28"/>
          <w:highlight w:val="none"/>
        </w:rPr>
      </w:pPr>
      <w:r>
        <w:rPr>
          <w:rFonts w:hint="eastAsia" w:ascii="宋体" w:hAnsi="宋体" w:cs="宋体"/>
          <w:color w:val="000000"/>
          <w:sz w:val="28"/>
          <w:szCs w:val="28"/>
          <w:highlight w:val="none"/>
        </w:rPr>
        <w:t>原国有环卫作业设备，经区环卫局和原设备产权归属单位进行资产评估后，由中标的服务单位以资产评估价进行购买。其中，无法继续使用的、无法办理过户手续的，以及已无法满足环卫作业标准（如四轮拖拉机）的设备除外。</w:t>
      </w:r>
    </w:p>
    <w:p>
      <w:pPr>
        <w:ind w:firstLine="280" w:firstLineChars="100"/>
        <w:rPr>
          <w:rFonts w:ascii="宋体" w:hAnsi="宋体" w:cs="宋体"/>
          <w:color w:val="000000"/>
          <w:sz w:val="28"/>
          <w:szCs w:val="28"/>
          <w:highlight w:val="none"/>
        </w:rPr>
      </w:pPr>
      <w:r>
        <w:rPr>
          <w:rFonts w:hint="eastAsia" w:ascii="宋体" w:hAnsi="宋体" w:cs="宋体"/>
          <w:color w:val="000000"/>
          <w:sz w:val="28"/>
          <w:szCs w:val="28"/>
          <w:highlight w:val="none"/>
        </w:rPr>
        <w:t>为保证项目的连续运营，在服务期内，原有的环卫站（含垃圾站）内的设施设备由政府提供给服务单位无偿使用，且只能用于本项目的工作内容，同时，该设施设备的所有权仍归属政府方，服务单位在服务期内自行对相关的设备设施进行维修维护。其中，若环卫站（含垃圾站）属于政府租赁土地建设的，在服务期内，仍由政府方支付环卫站（含垃圾站）的土地租赁费。</w:t>
      </w:r>
    </w:p>
    <w:p>
      <w:pPr>
        <w:ind w:firstLine="280" w:firstLineChars="100"/>
        <w:rPr>
          <w:rFonts w:ascii="宋体" w:hAnsi="宋体" w:cs="宋体"/>
          <w:sz w:val="28"/>
          <w:szCs w:val="28"/>
          <w:highlight w:val="none"/>
        </w:rPr>
      </w:pPr>
      <w:r>
        <w:rPr>
          <w:rFonts w:hint="eastAsia" w:ascii="宋体" w:hAnsi="宋体" w:cs="宋体"/>
          <w:color w:val="000000"/>
          <w:sz w:val="28"/>
          <w:szCs w:val="28"/>
          <w:highlight w:val="none"/>
        </w:rPr>
        <w:t>服务期满，服务单位应将环卫站（含垃圾站）内相关的设施设备完好的移交给政府方。</w:t>
      </w:r>
    </w:p>
    <w:p>
      <w:pPr>
        <w:keepNext/>
        <w:keepLines/>
        <w:widowControl/>
        <w:numPr>
          <w:ilvl w:val="1"/>
          <w:numId w:val="0"/>
        </w:numPr>
        <w:spacing w:before="10" w:after="10" w:line="413" w:lineRule="auto"/>
        <w:ind w:firstLine="420"/>
        <w:outlineLvl w:val="1"/>
        <w:rPr>
          <w:rFonts w:ascii="宋体" w:hAnsi="宋体" w:cs="宋体"/>
          <w:b/>
          <w:bCs/>
          <w:sz w:val="28"/>
          <w:szCs w:val="28"/>
          <w:highlight w:val="none"/>
        </w:rPr>
      </w:pPr>
      <w:bookmarkStart w:id="21" w:name="_Toc30283"/>
      <w:bookmarkStart w:id="22" w:name="_Toc5362"/>
      <w:bookmarkStart w:id="23" w:name="_Toc1818"/>
      <w:bookmarkStart w:id="24" w:name="_Toc31457"/>
      <w:bookmarkStart w:id="25" w:name="_Toc239"/>
      <w:bookmarkStart w:id="26" w:name="_Toc6478"/>
      <w:bookmarkStart w:id="27" w:name="_Toc11774"/>
      <w:bookmarkStart w:id="28" w:name="_Toc200"/>
      <w:bookmarkStart w:id="29" w:name="_Toc4843"/>
      <w:bookmarkStart w:id="30" w:name="_Toc29211"/>
      <w:r>
        <w:rPr>
          <w:rFonts w:hint="eastAsia" w:ascii="宋体" w:hAnsi="宋体" w:cs="宋体"/>
          <w:b/>
          <w:bCs/>
          <w:sz w:val="28"/>
          <w:szCs w:val="28"/>
          <w:highlight w:val="none"/>
        </w:rPr>
        <w:t>7、原有人员聘用</w:t>
      </w:r>
      <w:bookmarkEnd w:id="21"/>
      <w:bookmarkEnd w:id="22"/>
      <w:bookmarkEnd w:id="23"/>
      <w:bookmarkEnd w:id="24"/>
      <w:bookmarkEnd w:id="25"/>
      <w:bookmarkEnd w:id="26"/>
      <w:bookmarkEnd w:id="27"/>
      <w:bookmarkEnd w:id="28"/>
      <w:bookmarkEnd w:id="29"/>
      <w:bookmarkEnd w:id="30"/>
    </w:p>
    <w:p>
      <w:pPr>
        <w:widowControl/>
        <w:ind w:firstLine="560" w:firstLineChars="200"/>
        <w:jc w:val="left"/>
        <w:rPr>
          <w:rFonts w:ascii="宋体" w:hAnsi="宋体" w:cs="宋体"/>
          <w:sz w:val="28"/>
          <w:szCs w:val="28"/>
          <w:highlight w:val="none"/>
        </w:rPr>
      </w:pPr>
      <w:r>
        <w:rPr>
          <w:rFonts w:hint="eastAsia" w:ascii="宋体" w:hAnsi="宋体" w:cs="宋体"/>
          <w:color w:val="000000"/>
          <w:sz w:val="28"/>
          <w:szCs w:val="28"/>
          <w:highlight w:val="none"/>
          <w:lang w:bidi="ar"/>
        </w:rPr>
        <w:t xml:space="preserve">由区环卫局向服务单位提供需由服务单位无条件接收的原有环卫站的普通职工的人员清单。服务单位应无条件全员聘用原有环卫站的普通职工，按《劳动合同法》重新签订不少于三年的劳动合同。 </w:t>
      </w:r>
    </w:p>
    <w:p>
      <w:pPr>
        <w:widowControl/>
        <w:ind w:firstLine="560" w:firstLineChars="200"/>
        <w:jc w:val="left"/>
        <w:rPr>
          <w:rFonts w:ascii="宋体" w:hAnsi="宋体" w:cs="宋体"/>
          <w:sz w:val="28"/>
          <w:szCs w:val="28"/>
          <w:highlight w:val="none"/>
        </w:rPr>
      </w:pPr>
      <w:r>
        <w:rPr>
          <w:rFonts w:hint="eastAsia" w:ascii="宋体" w:hAnsi="宋体" w:cs="宋体"/>
          <w:color w:val="000000"/>
          <w:sz w:val="28"/>
          <w:szCs w:val="28"/>
          <w:highlight w:val="none"/>
          <w:lang w:bidi="ar"/>
        </w:rPr>
        <w:t xml:space="preserve">在原单位环卫工作年限累计达到10年或以上的，已签订无固定 </w:t>
      </w:r>
    </w:p>
    <w:p>
      <w:pPr>
        <w:widowControl/>
        <w:jc w:val="left"/>
        <w:rPr>
          <w:rFonts w:ascii="宋体" w:hAnsi="宋体" w:cs="宋体"/>
          <w:sz w:val="28"/>
          <w:szCs w:val="28"/>
          <w:highlight w:val="none"/>
        </w:rPr>
      </w:pPr>
      <w:r>
        <w:rPr>
          <w:rFonts w:hint="eastAsia" w:ascii="宋体" w:hAnsi="宋体" w:cs="宋体"/>
          <w:color w:val="000000"/>
          <w:sz w:val="28"/>
          <w:szCs w:val="28"/>
          <w:highlight w:val="none"/>
          <w:lang w:bidi="ar"/>
        </w:rPr>
        <w:t xml:space="preserve">期限劳动合同，均应签订无固定期限劳动合同。 </w:t>
      </w:r>
    </w:p>
    <w:p>
      <w:pPr>
        <w:widowControl/>
        <w:ind w:firstLine="560" w:firstLineChars="200"/>
        <w:jc w:val="left"/>
        <w:rPr>
          <w:rFonts w:ascii="仿宋" w:hAnsi="仿宋" w:eastAsia="仿宋" w:cs="仿宋"/>
          <w:color w:val="000000"/>
          <w:kern w:val="0"/>
          <w:sz w:val="28"/>
          <w:szCs w:val="28"/>
          <w:highlight w:val="none"/>
          <w:lang w:bidi="ar"/>
        </w:rPr>
      </w:pPr>
      <w:r>
        <w:rPr>
          <w:rFonts w:hint="eastAsia" w:ascii="宋体" w:hAnsi="宋体" w:cs="宋体"/>
          <w:color w:val="000000"/>
          <w:sz w:val="28"/>
          <w:szCs w:val="28"/>
          <w:highlight w:val="none"/>
          <w:lang w:bidi="ar"/>
        </w:rPr>
        <w:t>服务单位招聘新员工时，在同等条件下应优先考虑招收辖区内具有作业能力的村级保洁员、贫困人员，辅助政府优先解决贫困人员就业、支持扶贫工作。服务单位确保目前在册的且被服务单位聘用的普通职工（非事业编制）平均工资标准不低于1930元/月，同时保证原有人员的待遇标准不得低于现有水平，以后平均工资增长幅度不低于海口市的社会平均工资增长幅度。服务单位按照国家和海口市有关法律、法规、规章、政策和规范性文件的规定和要求，保障员工（包括事业编人员和合同制人员）的福利待遇（不得低于下表中标准）和法定的权益，包括但不限于为员工缴纳社会保险金（养老保险、医疗保险、失业保险、生育保险、工伤保险）和住房公积金，购买意外险，发放节假日补助、高温补贴及年终奖金，支付员工加班费，每年组织1次员工健康检查，至少一次组织优秀员工和业务骨干外出参观、学习和培训等。</w:t>
      </w:r>
    </w:p>
    <w:p>
      <w:pPr>
        <w:widowControl/>
        <w:jc w:val="center"/>
        <w:rPr>
          <w:rFonts w:ascii="仿宋" w:hAnsi="仿宋" w:eastAsia="仿宋" w:cs="仿宋"/>
          <w:b/>
          <w:color w:val="000000"/>
          <w:kern w:val="0"/>
          <w:sz w:val="28"/>
          <w:szCs w:val="28"/>
          <w:highlight w:val="none"/>
          <w:lang w:bidi="ar"/>
        </w:rPr>
      </w:pPr>
      <w:r>
        <w:rPr>
          <w:rFonts w:hint="eastAsia" w:ascii="仿宋" w:hAnsi="仿宋" w:eastAsia="仿宋" w:cs="仿宋"/>
          <w:b/>
          <w:color w:val="000000"/>
          <w:kern w:val="0"/>
          <w:sz w:val="28"/>
          <w:szCs w:val="28"/>
          <w:highlight w:val="none"/>
          <w:lang w:bidi="ar"/>
        </w:rPr>
        <w:t xml:space="preserve"> </w:t>
      </w:r>
      <w:r>
        <w:rPr>
          <w:rFonts w:ascii="仿宋" w:hAnsi="仿宋" w:eastAsia="仿宋" w:cs="仿宋"/>
          <w:b/>
          <w:color w:val="000000"/>
          <w:kern w:val="0"/>
          <w:sz w:val="28"/>
          <w:szCs w:val="28"/>
          <w:highlight w:val="none"/>
          <w:lang w:bidi="ar"/>
        </w:rPr>
        <w:t>环卫职工基本待遇标准表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725"/>
        <w:gridCol w:w="4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053" w:type="dxa"/>
            <w:vAlign w:val="center"/>
          </w:tcPr>
          <w:p>
            <w:pPr>
              <w:pStyle w:val="7"/>
              <w:ind w:firstLine="0" w:firstLineChars="0"/>
              <w:jc w:val="center"/>
              <w:rPr>
                <w:rFonts w:ascii="仿宋" w:hAnsi="仿宋" w:eastAsia="仿宋" w:cs="仿宋"/>
                <w:b/>
                <w:bCs/>
                <w:sz w:val="24"/>
                <w:highlight w:val="none"/>
              </w:rPr>
            </w:pPr>
            <w:r>
              <w:rPr>
                <w:rFonts w:hint="eastAsia" w:ascii="仿宋" w:hAnsi="仿宋" w:eastAsia="仿宋" w:cs="仿宋"/>
                <w:b/>
                <w:bCs/>
                <w:sz w:val="24"/>
                <w:highlight w:val="none"/>
              </w:rPr>
              <w:t>序号</w:t>
            </w:r>
          </w:p>
        </w:tc>
        <w:tc>
          <w:tcPr>
            <w:tcW w:w="2725" w:type="dxa"/>
            <w:vAlign w:val="center"/>
          </w:tcPr>
          <w:p>
            <w:pPr>
              <w:pStyle w:val="7"/>
              <w:ind w:firstLine="0" w:firstLineChars="0"/>
              <w:jc w:val="center"/>
              <w:rPr>
                <w:rFonts w:ascii="仿宋" w:hAnsi="仿宋" w:eastAsia="仿宋" w:cs="仿宋"/>
                <w:b/>
                <w:bCs/>
                <w:sz w:val="24"/>
                <w:highlight w:val="none"/>
              </w:rPr>
            </w:pPr>
            <w:r>
              <w:rPr>
                <w:rFonts w:hint="eastAsia" w:ascii="仿宋" w:hAnsi="仿宋" w:eastAsia="仿宋" w:cs="仿宋"/>
                <w:b/>
                <w:bCs/>
                <w:sz w:val="24"/>
                <w:highlight w:val="none"/>
              </w:rPr>
              <w:t>项目</w:t>
            </w:r>
          </w:p>
        </w:tc>
        <w:tc>
          <w:tcPr>
            <w:tcW w:w="4744" w:type="dxa"/>
            <w:vAlign w:val="center"/>
          </w:tcPr>
          <w:p>
            <w:pPr>
              <w:pStyle w:val="7"/>
              <w:ind w:firstLine="0" w:firstLineChars="0"/>
              <w:jc w:val="center"/>
              <w:rPr>
                <w:rFonts w:ascii="仿宋" w:hAnsi="仿宋" w:eastAsia="仿宋" w:cs="仿宋"/>
                <w:b/>
                <w:bCs/>
                <w:sz w:val="24"/>
                <w:highlight w:val="none"/>
              </w:rPr>
            </w:pPr>
            <w:r>
              <w:rPr>
                <w:rFonts w:hint="eastAsia" w:ascii="仿宋" w:hAnsi="仿宋" w:eastAsia="仿宋" w:cs="仿宋"/>
                <w:b/>
                <w:bCs/>
                <w:sz w:val="24"/>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1</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基本工资</w:t>
            </w:r>
          </w:p>
        </w:tc>
        <w:tc>
          <w:tcPr>
            <w:tcW w:w="4744" w:type="dxa"/>
            <w:vAlign w:val="center"/>
          </w:tcPr>
          <w:p>
            <w:pPr>
              <w:widowControl/>
              <w:jc w:val="center"/>
              <w:rPr>
                <w:highlight w:val="none"/>
              </w:rPr>
            </w:pPr>
            <w:r>
              <w:rPr>
                <w:rFonts w:ascii="仿宋" w:hAnsi="仿宋" w:eastAsia="仿宋" w:cs="仿宋"/>
                <w:color w:val="000000"/>
                <w:kern w:val="0"/>
                <w:sz w:val="24"/>
                <w:highlight w:val="none"/>
                <w:lang w:bidi="ar"/>
              </w:rPr>
              <w:t>合同制人员：不低于 1930 元/月</w:t>
            </w:r>
          </w:p>
          <w:p>
            <w:pPr>
              <w:widowControl/>
              <w:jc w:val="center"/>
              <w:rPr>
                <w:rFonts w:ascii="仿宋" w:hAnsi="仿宋" w:eastAsia="仿宋" w:cs="仿宋"/>
                <w:sz w:val="24"/>
                <w:highlight w:val="none"/>
              </w:rPr>
            </w:pPr>
            <w:r>
              <w:rPr>
                <w:rFonts w:hint="eastAsia" w:ascii="仿宋" w:hAnsi="仿宋" w:eastAsia="仿宋" w:cs="仿宋"/>
                <w:color w:val="000000"/>
                <w:kern w:val="0"/>
                <w:sz w:val="24"/>
                <w:highlight w:val="none"/>
                <w:lang w:bidi="ar"/>
              </w:rPr>
              <w:t>事业编制人员：不低于现有标准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2</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五险（养老、医疗、工伤、</w:t>
            </w:r>
            <w:r>
              <w:rPr>
                <w:rFonts w:hint="eastAsia" w:ascii="仿宋" w:hAnsi="仿宋" w:eastAsia="仿宋" w:cs="仿宋"/>
                <w:color w:val="000000"/>
                <w:kern w:val="0"/>
                <w:sz w:val="24"/>
                <w:highlight w:val="none"/>
                <w:lang w:bidi="ar"/>
              </w:rPr>
              <w:t>失业、生育）</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养老19%、医疗 8%、</w:t>
            </w:r>
            <w:r>
              <w:rPr>
                <w:rFonts w:hint="eastAsia" w:ascii="仿宋" w:hAnsi="仿宋" w:eastAsia="仿宋" w:cs="仿宋"/>
                <w:color w:val="000000"/>
                <w:kern w:val="0"/>
                <w:sz w:val="24"/>
                <w:highlight w:val="none"/>
                <w:lang w:bidi="ar"/>
              </w:rPr>
              <w:t>工伤0.5%、事业1%、生育0.5%的比例缴纳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3</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住房公积金</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按月基本工资的 5%缴纳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4</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法定假日加班费</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按《中华人民共和国劳动法》执行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5</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高温补贴</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每人每年 2100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6</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年终奖</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每人每年不低于 2400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pStyle w:val="7"/>
              <w:ind w:firstLine="480"/>
              <w:jc w:val="center"/>
              <w:rPr>
                <w:rFonts w:ascii="仿宋" w:hAnsi="仿宋" w:eastAsia="仿宋" w:cs="仿宋"/>
                <w:sz w:val="24"/>
                <w:highlight w:val="none"/>
              </w:rPr>
            </w:pPr>
            <w:r>
              <w:rPr>
                <w:rFonts w:hint="eastAsia" w:ascii="仿宋" w:hAnsi="仿宋" w:eastAsia="仿宋" w:cs="仿宋"/>
                <w:sz w:val="24"/>
                <w:highlight w:val="none"/>
              </w:rPr>
              <w:t>7</w:t>
            </w:r>
          </w:p>
        </w:tc>
        <w:tc>
          <w:tcPr>
            <w:tcW w:w="2725"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意外保险</w:t>
            </w:r>
          </w:p>
        </w:tc>
        <w:tc>
          <w:tcPr>
            <w:tcW w:w="4744" w:type="dxa"/>
            <w:vAlign w:val="center"/>
          </w:tcPr>
          <w:p>
            <w:pPr>
              <w:widowControl/>
              <w:jc w:val="center"/>
              <w:rPr>
                <w:rFonts w:ascii="仿宋" w:hAnsi="仿宋" w:eastAsia="仿宋" w:cs="仿宋"/>
                <w:sz w:val="24"/>
                <w:highlight w:val="none"/>
              </w:rPr>
            </w:pPr>
            <w:r>
              <w:rPr>
                <w:rFonts w:ascii="仿宋" w:hAnsi="仿宋" w:eastAsia="仿宋" w:cs="仿宋"/>
                <w:color w:val="000000"/>
                <w:kern w:val="0"/>
                <w:sz w:val="24"/>
                <w:highlight w:val="none"/>
                <w:lang w:bidi="ar"/>
              </w:rPr>
              <w:t>每人每年 270 元</w:t>
            </w:r>
          </w:p>
        </w:tc>
      </w:tr>
    </w:tbl>
    <w:p>
      <w:pPr>
        <w:pStyle w:val="7"/>
        <w:rPr>
          <w:highlight w:val="none"/>
        </w:rPr>
      </w:pPr>
    </w:p>
    <w:p>
      <w:pPr>
        <w:rPr>
          <w:b/>
          <w:bCs/>
          <w:sz w:val="28"/>
          <w:szCs w:val="28"/>
          <w:highlight w:val="none"/>
        </w:rPr>
      </w:pPr>
      <w:r>
        <w:rPr>
          <w:rFonts w:hint="eastAsia"/>
          <w:b/>
          <w:bCs/>
          <w:sz w:val="28"/>
          <w:szCs w:val="28"/>
          <w:highlight w:val="none"/>
        </w:rPr>
        <w:t>三、报价要求</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（1）本项目要求各投标单位不超过环卫服务费各项单价和总价投标最高限价的投标报价为有效报价。</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（2）有效报价中价格最低的环卫服务费总价投标报价为评标基准价，其价格分为满分15分。其他投标人的价格分统一按照下列公式计算：</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投标报价得分=(评标基准价／投标报价)×15</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（小数点后保留二位小数，第三位四舍五入）。</w:t>
      </w:r>
    </w:p>
    <w:p>
      <w:pPr>
        <w:rPr>
          <w:b/>
          <w:bCs/>
          <w:sz w:val="28"/>
          <w:szCs w:val="28"/>
          <w:highlight w:val="none"/>
        </w:rPr>
      </w:pPr>
      <w:r>
        <w:rPr>
          <w:rFonts w:hint="eastAsia"/>
          <w:b/>
          <w:bCs/>
          <w:sz w:val="28"/>
          <w:szCs w:val="28"/>
          <w:highlight w:val="none"/>
        </w:rPr>
        <w:t>四、项目考核与</w:t>
      </w:r>
      <w:r>
        <w:rPr>
          <w:rFonts w:hint="eastAsia" w:ascii="宋体" w:hAnsi="宋体" w:cs="宋体"/>
          <w:b/>
          <w:sz w:val="28"/>
          <w:szCs w:val="28"/>
          <w:highlight w:val="none"/>
        </w:rPr>
        <w:t>服务费支付方式</w:t>
      </w:r>
    </w:p>
    <w:p>
      <w:pPr>
        <w:spacing w:line="360" w:lineRule="auto"/>
        <w:ind w:firstLine="562"/>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sz w:val="28"/>
          <w:szCs w:val="28"/>
          <w:highlight w:val="none"/>
        </w:rPr>
        <w:t>1、</w:t>
      </w:r>
      <w:r>
        <w:rPr>
          <w:rFonts w:hint="eastAsia" w:ascii="宋体" w:hAnsi="宋体" w:cs="宋体"/>
          <w:b/>
          <w:bCs/>
          <w:color w:val="000000" w:themeColor="text1"/>
          <w:sz w:val="28"/>
          <w:szCs w:val="28"/>
          <w:highlight w:val="none"/>
          <w14:textFill>
            <w14:solidFill>
              <w14:schemeClr w14:val="tx1"/>
            </w14:solidFill>
          </w14:textFill>
        </w:rPr>
        <w:t>项目考核体系</w:t>
      </w:r>
    </w:p>
    <w:p>
      <w:pPr>
        <w:widowControl/>
        <w:ind w:firstLine="420"/>
        <w:jc w:val="left"/>
        <w:rPr>
          <w:rFonts w:ascii="宋体" w:hAnsi="宋体" w:cs="宋体"/>
          <w:color w:val="000000" w:themeColor="text1"/>
          <w:kern w:val="0"/>
          <w:sz w:val="28"/>
          <w:szCs w:val="28"/>
          <w:highlight w:val="none"/>
          <w:lang w:bidi="ar"/>
          <w14:textFill>
            <w14:solidFill>
              <w14:schemeClr w14:val="tx1"/>
            </w14:solidFill>
          </w14:textFill>
        </w:rPr>
      </w:pPr>
      <w:r>
        <w:rPr>
          <w:rFonts w:hint="eastAsia" w:ascii="宋体" w:hAnsi="宋体" w:cs="宋体"/>
          <w:color w:val="000000" w:themeColor="text1"/>
          <w:kern w:val="0"/>
          <w:sz w:val="28"/>
          <w:szCs w:val="28"/>
          <w:highlight w:val="none"/>
          <w:lang w:bidi="ar"/>
          <w14:textFill>
            <w14:solidFill>
              <w14:schemeClr w14:val="tx1"/>
            </w14:solidFill>
          </w14:textFill>
        </w:rPr>
        <w:t>项目每季度考核汇总一次（考核办法及标准见合同条款），主要由以下四部分汇总得出：</w:t>
      </w:r>
    </w:p>
    <w:p>
      <w:pPr>
        <w:widowControl/>
        <w:ind w:firstLine="420"/>
        <w:jc w:val="left"/>
        <w:rPr>
          <w:rFonts w:ascii="宋体" w:hAnsi="宋体" w:cs="宋体"/>
          <w:color w:val="000000" w:themeColor="text1"/>
          <w:kern w:val="0"/>
          <w:sz w:val="28"/>
          <w:szCs w:val="28"/>
          <w:highlight w:val="none"/>
          <w:lang w:bidi="ar"/>
          <w14:textFill>
            <w14:solidFill>
              <w14:schemeClr w14:val="tx1"/>
            </w14:solidFill>
          </w14:textFill>
        </w:rPr>
      </w:pPr>
      <w:r>
        <w:rPr>
          <w:rFonts w:hint="eastAsia" w:ascii="宋体" w:hAnsi="宋体" w:cs="宋体"/>
          <w:color w:val="000000" w:themeColor="text1"/>
          <w:kern w:val="0"/>
          <w:sz w:val="28"/>
          <w:szCs w:val="28"/>
          <w:highlight w:val="none"/>
          <w:lang w:bidi="ar"/>
          <w14:textFill>
            <w14:solidFill>
              <w14:schemeClr w14:val="tx1"/>
            </w14:solidFill>
          </w14:textFill>
        </w:rPr>
        <w:t>A、</w:t>
      </w:r>
      <w:r>
        <w:rPr>
          <w:rFonts w:hint="eastAsia" w:ascii="宋体" w:hAnsi="宋体" w:cs="宋体"/>
          <w:color w:val="000000"/>
          <w:kern w:val="0"/>
          <w:sz w:val="28"/>
          <w:szCs w:val="28"/>
          <w:highlight w:val="none"/>
          <w:lang w:bidi="ar"/>
        </w:rPr>
        <w:t>由区综合行政执法局（含区环境卫生管理局）与农业农村局共同组成联合小组</w:t>
      </w:r>
      <w:r>
        <w:rPr>
          <w:rFonts w:hint="eastAsia" w:ascii="宋体" w:hAnsi="宋体" w:cs="宋体"/>
          <w:color w:val="000000" w:themeColor="text1"/>
          <w:kern w:val="0"/>
          <w:sz w:val="28"/>
          <w:szCs w:val="28"/>
          <w:highlight w:val="none"/>
          <w:lang w:bidi="ar"/>
          <w14:textFill>
            <w14:solidFill>
              <w14:schemeClr w14:val="tx1"/>
            </w14:solidFill>
          </w14:textFill>
        </w:rPr>
        <w:t>，考核每月1次，占当季考核得分的30%。</w:t>
      </w:r>
    </w:p>
    <w:p>
      <w:pPr>
        <w:widowControl/>
        <w:ind w:firstLine="420"/>
        <w:jc w:val="left"/>
        <w:rPr>
          <w:rFonts w:ascii="宋体" w:hAnsi="宋体" w:cs="宋体"/>
          <w:color w:val="000000" w:themeColor="text1"/>
          <w:kern w:val="0"/>
          <w:sz w:val="28"/>
          <w:szCs w:val="28"/>
          <w:highlight w:val="none"/>
          <w:lang w:bidi="ar"/>
          <w14:textFill>
            <w14:solidFill>
              <w14:schemeClr w14:val="tx1"/>
            </w14:solidFill>
          </w14:textFill>
        </w:rPr>
      </w:pPr>
      <w:r>
        <w:rPr>
          <w:rFonts w:hint="eastAsia" w:ascii="宋体" w:hAnsi="宋体" w:cs="宋体"/>
          <w:color w:val="000000" w:themeColor="text1"/>
          <w:kern w:val="0"/>
          <w:sz w:val="28"/>
          <w:szCs w:val="28"/>
          <w:highlight w:val="none"/>
          <w:lang w:bidi="ar"/>
          <w14:textFill>
            <w14:solidFill>
              <w14:schemeClr w14:val="tx1"/>
            </w14:solidFill>
          </w14:textFill>
        </w:rPr>
        <w:t>B、由各镇政府自行组织人员，考核每周1次，占当季考核得分的70%。</w:t>
      </w:r>
    </w:p>
    <w:p>
      <w:pPr>
        <w:widowControl/>
        <w:ind w:firstLine="420"/>
        <w:jc w:val="left"/>
        <w:rPr>
          <w:rFonts w:ascii="宋体" w:hAnsi="宋体" w:cs="宋体"/>
          <w:color w:val="000000" w:themeColor="text1"/>
          <w:kern w:val="0"/>
          <w:sz w:val="28"/>
          <w:szCs w:val="28"/>
          <w:highlight w:val="none"/>
          <w:lang w:bidi="ar"/>
          <w14:textFill>
            <w14:solidFill>
              <w14:schemeClr w14:val="tx1"/>
            </w14:solidFill>
          </w14:textFill>
        </w:rPr>
      </w:pPr>
      <w:r>
        <w:rPr>
          <w:rFonts w:hint="eastAsia" w:ascii="宋体" w:hAnsi="宋体" w:cs="宋体"/>
          <w:color w:val="000000" w:themeColor="text1"/>
          <w:kern w:val="0"/>
          <w:sz w:val="28"/>
          <w:szCs w:val="28"/>
          <w:highlight w:val="none"/>
          <w:lang w:bidi="ar"/>
          <w14:textFill>
            <w14:solidFill>
              <w14:schemeClr w14:val="tx1"/>
            </w14:solidFill>
          </w14:textFill>
        </w:rPr>
        <w:t>C、</w:t>
      </w:r>
      <w:r>
        <w:rPr>
          <w:rFonts w:hint="eastAsia" w:ascii="宋体" w:hAnsi="宋体" w:cs="宋体"/>
          <w:color w:val="000000"/>
          <w:kern w:val="0"/>
          <w:sz w:val="28"/>
          <w:szCs w:val="28"/>
          <w:highlight w:val="none"/>
          <w:lang w:bidi="ar"/>
        </w:rPr>
        <w:t>由区综合行政执法局（含区环境卫生管理局）</w:t>
      </w:r>
      <w:r>
        <w:rPr>
          <w:rFonts w:hint="eastAsia" w:ascii="宋体" w:hAnsi="宋体" w:cs="宋体"/>
          <w:color w:val="000000" w:themeColor="text1"/>
          <w:kern w:val="0"/>
          <w:sz w:val="28"/>
          <w:szCs w:val="28"/>
          <w:highlight w:val="none"/>
          <w:lang w:bidi="ar"/>
          <w14:textFill>
            <w14:solidFill>
              <w14:schemeClr w14:val="tx1"/>
            </w14:solidFill>
          </w14:textFill>
        </w:rPr>
        <w:t>根据12345热线投诉件、新闻媒体报道进行统计，考核每季度1次，未能完成整改的投诉件或报道，每件扣0.3分。</w:t>
      </w:r>
    </w:p>
    <w:p>
      <w:pPr>
        <w:widowControl/>
        <w:ind w:firstLine="420"/>
        <w:jc w:val="left"/>
        <w:rPr>
          <w:rFonts w:ascii="宋体" w:hAnsi="宋体" w:cs="宋体"/>
          <w:color w:val="000000" w:themeColor="text1"/>
          <w:kern w:val="0"/>
          <w:sz w:val="28"/>
          <w:szCs w:val="28"/>
          <w:highlight w:val="none"/>
          <w:lang w:bidi="ar"/>
          <w14:textFill>
            <w14:solidFill>
              <w14:schemeClr w14:val="tx1"/>
            </w14:solidFill>
          </w14:textFill>
        </w:rPr>
      </w:pPr>
      <w:r>
        <w:rPr>
          <w:rFonts w:hint="eastAsia" w:ascii="宋体" w:hAnsi="宋体" w:cs="宋体"/>
          <w:color w:val="000000" w:themeColor="text1"/>
          <w:kern w:val="0"/>
          <w:sz w:val="28"/>
          <w:szCs w:val="28"/>
          <w:highlight w:val="none"/>
          <w:lang w:bidi="ar"/>
          <w14:textFill>
            <w14:solidFill>
              <w14:schemeClr w14:val="tx1"/>
            </w14:solidFill>
          </w14:textFill>
        </w:rPr>
        <w:t>D、</w:t>
      </w:r>
      <w:r>
        <w:rPr>
          <w:rFonts w:hint="eastAsia" w:ascii="宋体" w:hAnsi="宋体" w:cs="宋体"/>
          <w:color w:val="000000"/>
          <w:kern w:val="0"/>
          <w:sz w:val="28"/>
          <w:szCs w:val="28"/>
          <w:highlight w:val="none"/>
          <w:lang w:bidi="ar"/>
        </w:rPr>
        <w:t>由区综合行政执法局（含区环境卫生管理局）</w:t>
      </w:r>
      <w:r>
        <w:rPr>
          <w:rFonts w:hint="eastAsia" w:ascii="宋体" w:hAnsi="宋体" w:cs="宋体"/>
          <w:color w:val="000000" w:themeColor="text1"/>
          <w:kern w:val="0"/>
          <w:sz w:val="28"/>
          <w:szCs w:val="28"/>
          <w:highlight w:val="none"/>
          <w:lang w:bidi="ar"/>
          <w14:textFill>
            <w14:solidFill>
              <w14:schemeClr w14:val="tx1"/>
            </w14:solidFill>
          </w14:textFill>
        </w:rPr>
        <w:t>根据市环卫局每季度下发的各镇环卫作业质量全市排名文件（作业范围内），每有一个镇在全市排名前三名中的，加5分，每有一个镇在全市排名倒数三名中的，扣5分。加分后当季考核最终得分超过100分的，按照当季考核最终得分100分处理。</w:t>
      </w:r>
    </w:p>
    <w:p>
      <w:pPr>
        <w:pStyle w:val="35"/>
        <w:spacing w:line="360" w:lineRule="auto"/>
        <w:ind w:firstLine="560"/>
        <w:outlineLvl w:val="1"/>
        <w:rPr>
          <w:rFonts w:ascii="仿宋" w:hAnsi="仿宋" w:cs="仿宋"/>
          <w:b/>
          <w:color w:val="000000" w:themeColor="text1"/>
          <w:sz w:val="28"/>
          <w:szCs w:val="28"/>
          <w:highlight w:val="none"/>
          <w14:textFill>
            <w14:solidFill>
              <w14:schemeClr w14:val="tx1"/>
            </w14:solidFill>
          </w14:textFill>
        </w:rPr>
      </w:pPr>
      <w:r>
        <w:rPr>
          <w:rFonts w:hint="eastAsia" w:ascii="宋体" w:hAnsi="宋体" w:eastAsia="宋体" w:cs="宋体"/>
          <w:b/>
          <w:bCs/>
          <w:sz w:val="28"/>
          <w:szCs w:val="28"/>
          <w:highlight w:val="none"/>
        </w:rPr>
        <w:t>2、</w:t>
      </w:r>
      <w:r>
        <w:rPr>
          <w:rFonts w:hint="eastAsia" w:ascii="宋体" w:hAnsi="宋体" w:eastAsia="宋体" w:cs="宋体"/>
          <w:b/>
          <w:bCs/>
          <w:color w:val="000000" w:themeColor="text1"/>
          <w:sz w:val="28"/>
          <w:szCs w:val="28"/>
          <w:highlight w:val="none"/>
          <w14:textFill>
            <w14:solidFill>
              <w14:schemeClr w14:val="tx1"/>
            </w14:solidFill>
          </w14:textFill>
        </w:rPr>
        <w:t>项目费用支付</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本项目服务费根据投标单位的投标报价确定，费用结合考核结果按季度支付。当季得分在88分或以上的，全额支付服务单位当季服务费。当季得分在88分以下的，按照实际得分情况计算核减当季服务费，计算公式为当季服务费=当季全额服务费× [1-(88-当季最终得分）/100]。</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themeColor="text1"/>
          <w:kern w:val="0"/>
          <w:sz w:val="28"/>
          <w:szCs w:val="28"/>
          <w:highlight w:val="none"/>
          <w:lang w:bidi="ar"/>
          <w14:textFill>
            <w14:solidFill>
              <w14:schemeClr w14:val="tx1"/>
            </w14:solidFill>
          </w14:textFill>
        </w:rPr>
        <w:t>在当季季度考核结果未下发前，服务单位可依据当季全额服务费的90%向</w:t>
      </w:r>
      <w:r>
        <w:rPr>
          <w:rFonts w:hint="eastAsia" w:ascii="宋体" w:hAnsi="宋体" w:cs="宋体"/>
          <w:color w:val="000000"/>
          <w:kern w:val="0"/>
          <w:sz w:val="28"/>
          <w:szCs w:val="28"/>
          <w:highlight w:val="none"/>
          <w:lang w:bidi="ar"/>
        </w:rPr>
        <w:t>环卫局</w:t>
      </w:r>
      <w:r>
        <w:rPr>
          <w:rFonts w:hint="eastAsia" w:ascii="宋体" w:hAnsi="宋体" w:cs="宋体"/>
          <w:color w:val="000000" w:themeColor="text1"/>
          <w:kern w:val="0"/>
          <w:sz w:val="28"/>
          <w:szCs w:val="28"/>
          <w:highlight w:val="none"/>
          <w:lang w:bidi="ar"/>
          <w14:textFill>
            <w14:solidFill>
              <w14:schemeClr w14:val="tx1"/>
            </w14:solidFill>
          </w14:textFill>
        </w:rPr>
        <w:t>申请支付当季服务费预拨款，剩余10%当季服务费作为质量考核保证金。</w:t>
      </w:r>
    </w:p>
    <w:p>
      <w:pPr>
        <w:widowControl/>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单季度考核得分在75分以下的，区环卫局有权要求服务单位限期整改，如服务单位未在规定时间内完成整改，区环卫局有权根据考核结果全额扣除当季服务费；累计5次季度考核得分在75分以下的，区环卫局有权向区政府申请终止本项目服务合同。</w:t>
      </w:r>
    </w:p>
    <w:p>
      <w:pPr>
        <w:pStyle w:val="35"/>
        <w:spacing w:line="360" w:lineRule="auto"/>
        <w:ind w:firstLine="560"/>
        <w:outlineLvl w:val="1"/>
        <w:rPr>
          <w:rFonts w:ascii="仿宋" w:hAnsi="仿宋" w:eastAsia="宋体" w:cs="仿宋"/>
          <w:b/>
          <w:color w:val="000000" w:themeColor="text1"/>
          <w:sz w:val="28"/>
          <w:szCs w:val="28"/>
          <w:highlight w:val="none"/>
          <w14:textFill>
            <w14:solidFill>
              <w14:schemeClr w14:val="tx1"/>
            </w14:solidFill>
          </w14:textFill>
        </w:rPr>
      </w:pPr>
      <w:r>
        <w:rPr>
          <w:rFonts w:hint="eastAsia" w:ascii="宋体" w:hAnsi="宋体" w:eastAsia="宋体" w:cs="宋体"/>
          <w:b/>
          <w:bCs/>
          <w:sz w:val="28"/>
          <w:szCs w:val="28"/>
          <w:highlight w:val="none"/>
        </w:rPr>
        <w:t>3、项目续签条件</w:t>
      </w:r>
    </w:p>
    <w:p>
      <w:pPr>
        <w:widowControl/>
        <w:spacing w:line="360" w:lineRule="auto"/>
        <w:ind w:firstLine="420"/>
        <w:jc w:val="left"/>
        <w:rPr>
          <w:rFonts w:ascii="宋体" w:hAnsi="宋体" w:cs="宋体"/>
          <w:color w:val="000000"/>
          <w:kern w:val="0"/>
          <w:sz w:val="28"/>
          <w:szCs w:val="28"/>
          <w:highlight w:val="none"/>
          <w:lang w:bidi="ar"/>
        </w:rPr>
      </w:pPr>
      <w:r>
        <w:rPr>
          <w:rFonts w:hint="eastAsia" w:ascii="宋体" w:hAnsi="宋体" w:cs="宋体"/>
          <w:color w:val="000000"/>
          <w:kern w:val="0"/>
          <w:sz w:val="28"/>
          <w:szCs w:val="28"/>
          <w:highlight w:val="none"/>
          <w:lang w:bidi="ar"/>
        </w:rPr>
        <w:t>本项目采购年限为3年，即采购服务合同年限为3年。但考虑项目设备资产投入经济性的原因（设备资产按8年折旧摊销），追加5年的续签期，整体采用“3+3+2”的合作年限模式。每3年服务期满后，若服务期内服务单位整体绩效考核平均分达到85分（含85分）以上时，政府可根据相关规定与原服务单位以合理合法合规的方式进行续签。如后续政府出台新的规定，则按最新规定执行。</w:t>
      </w:r>
    </w:p>
    <w:p>
      <w:pPr>
        <w:pStyle w:val="2"/>
        <w:ind w:left="420" w:firstLine="420"/>
        <w:rPr>
          <w:highlight w:val="none"/>
          <w:lang w:eastAsia="zh-CN"/>
        </w:rPr>
      </w:pPr>
    </w:p>
    <w:p>
      <w:pPr>
        <w:pStyle w:val="7"/>
        <w:ind w:firstLine="560"/>
        <w:rPr>
          <w:rFonts w:ascii="宋体" w:hAnsi="宋体" w:cs="宋体"/>
          <w:sz w:val="28"/>
          <w:szCs w:val="28"/>
          <w:highlight w:val="none"/>
        </w:rPr>
        <w:sectPr>
          <w:pgSz w:w="11906" w:h="16838"/>
          <w:pgMar w:top="1440" w:right="1800" w:bottom="1440" w:left="1800" w:header="851" w:footer="992" w:gutter="0"/>
          <w:cols w:space="425" w:num="1"/>
          <w:docGrid w:type="lines" w:linePitch="312" w:charSpace="0"/>
        </w:sectPr>
      </w:pPr>
    </w:p>
    <w:p>
      <w:pPr>
        <w:pStyle w:val="4"/>
        <w:jc w:val="center"/>
        <w:rPr>
          <w:highlight w:val="none"/>
        </w:rPr>
      </w:pPr>
      <w:bookmarkStart w:id="31" w:name="_Toc15160_WPSOffice_Level1"/>
      <w:r>
        <w:rPr>
          <w:rFonts w:hint="eastAsia"/>
          <w:highlight w:val="none"/>
        </w:rPr>
        <w:t>第四章 合同条款</w:t>
      </w:r>
      <w:bookmarkEnd w:id="31"/>
    </w:p>
    <w:p>
      <w:pPr>
        <w:rPr>
          <w:highlight w:val="none"/>
        </w:rPr>
      </w:pPr>
    </w:p>
    <w:p>
      <w:pPr>
        <w:ind w:left="149" w:leftChars="71"/>
        <w:jc w:val="center"/>
        <w:rPr>
          <w:rStyle w:val="19"/>
          <w:rFonts w:ascii="宋体" w:hAnsi="宋体" w:eastAsia="宋体" w:cs="宋体"/>
          <w:sz w:val="48"/>
          <w:highlight w:val="none"/>
        </w:rPr>
      </w:pPr>
      <w:r>
        <w:rPr>
          <w:rStyle w:val="19"/>
          <w:rFonts w:hint="eastAsia" w:ascii="宋体" w:hAnsi="宋体" w:eastAsia="宋体" w:cs="宋体"/>
          <w:sz w:val="48"/>
          <w:highlight w:val="none"/>
        </w:rPr>
        <w:t>海口市美兰区乡镇环卫一体化项目</w:t>
      </w:r>
    </w:p>
    <w:p>
      <w:pPr>
        <w:ind w:left="149" w:leftChars="71" w:firstLine="198" w:firstLineChars="41"/>
        <w:jc w:val="center"/>
        <w:rPr>
          <w:rStyle w:val="19"/>
          <w:rFonts w:ascii="宋体" w:hAnsi="宋体" w:eastAsia="宋体" w:cs="宋体"/>
          <w:sz w:val="48"/>
          <w:highlight w:val="none"/>
        </w:rPr>
      </w:pPr>
      <w:r>
        <w:rPr>
          <w:rStyle w:val="19"/>
          <w:rFonts w:hint="eastAsia" w:ascii="宋体" w:hAnsi="宋体" w:eastAsia="宋体" w:cs="宋体"/>
          <w:sz w:val="48"/>
          <w:highlight w:val="none"/>
        </w:rPr>
        <w:t>服务协议</w:t>
      </w:r>
    </w:p>
    <w:p>
      <w:pPr>
        <w:ind w:left="560" w:firstLine="960"/>
        <w:jc w:val="center"/>
        <w:rPr>
          <w:rStyle w:val="19"/>
          <w:sz w:val="48"/>
          <w:highlight w:val="none"/>
        </w:rPr>
      </w:pPr>
    </w:p>
    <w:p>
      <w:pPr>
        <w:ind w:left="560" w:firstLine="960"/>
        <w:jc w:val="center"/>
        <w:rPr>
          <w:rStyle w:val="19"/>
          <w:sz w:val="48"/>
          <w:highlight w:val="none"/>
        </w:rPr>
      </w:pPr>
    </w:p>
    <w:p>
      <w:pPr>
        <w:ind w:left="560" w:firstLine="960"/>
        <w:jc w:val="center"/>
        <w:rPr>
          <w:rStyle w:val="19"/>
          <w:sz w:val="48"/>
          <w:highlight w:val="none"/>
        </w:rPr>
      </w:pPr>
    </w:p>
    <w:p>
      <w:pPr>
        <w:ind w:left="560" w:firstLine="960"/>
        <w:jc w:val="center"/>
        <w:rPr>
          <w:rStyle w:val="19"/>
          <w:sz w:val="48"/>
          <w:highlight w:val="none"/>
        </w:rPr>
      </w:pPr>
    </w:p>
    <w:p>
      <w:pPr>
        <w:ind w:left="560" w:firstLine="960"/>
        <w:jc w:val="center"/>
        <w:rPr>
          <w:rStyle w:val="19"/>
          <w:sz w:val="48"/>
          <w:highlight w:val="none"/>
        </w:rPr>
      </w:pPr>
    </w:p>
    <w:p>
      <w:pPr>
        <w:ind w:left="149" w:leftChars="71" w:firstLine="198" w:firstLineChars="55"/>
        <w:jc w:val="center"/>
        <w:rPr>
          <w:rStyle w:val="19"/>
          <w:rFonts w:ascii="宋体" w:hAnsi="宋体" w:eastAsia="宋体" w:cs="宋体"/>
          <w:b w:val="0"/>
          <w:sz w:val="36"/>
          <w:szCs w:val="36"/>
          <w:highlight w:val="none"/>
        </w:rPr>
      </w:pPr>
      <w:r>
        <w:rPr>
          <w:rStyle w:val="19"/>
          <w:rFonts w:hint="eastAsia" w:ascii="宋体" w:hAnsi="宋体" w:eastAsia="宋体" w:cs="宋体"/>
          <w:b w:val="0"/>
          <w:sz w:val="36"/>
          <w:szCs w:val="36"/>
          <w:highlight w:val="none"/>
        </w:rPr>
        <w:t>甲方：海口市美兰区环境卫生管理局</w:t>
      </w:r>
    </w:p>
    <w:p>
      <w:pPr>
        <w:ind w:firstLine="1440" w:firstLineChars="400"/>
        <w:rPr>
          <w:rStyle w:val="19"/>
          <w:rFonts w:ascii="宋体" w:hAnsi="宋体" w:eastAsia="宋体" w:cs="宋体"/>
          <w:b w:val="0"/>
          <w:sz w:val="36"/>
          <w:szCs w:val="36"/>
          <w:highlight w:val="none"/>
        </w:rPr>
      </w:pPr>
      <w:r>
        <w:rPr>
          <w:rStyle w:val="19"/>
          <w:rFonts w:hint="eastAsia" w:ascii="宋体" w:hAnsi="宋体" w:eastAsia="宋体" w:cs="宋体"/>
          <w:b w:val="0"/>
          <w:sz w:val="36"/>
          <w:szCs w:val="36"/>
          <w:highlight w:val="none"/>
        </w:rPr>
        <w:t>乙方：</w:t>
      </w:r>
    </w:p>
    <w:p>
      <w:pPr>
        <w:ind w:left="560" w:firstLine="720"/>
        <w:jc w:val="center"/>
        <w:rPr>
          <w:rStyle w:val="19"/>
          <w:b w:val="0"/>
          <w:sz w:val="36"/>
          <w:szCs w:val="36"/>
          <w:highlight w:val="none"/>
        </w:rPr>
      </w:pPr>
    </w:p>
    <w:p>
      <w:pPr>
        <w:ind w:left="149" w:leftChars="71" w:firstLine="198" w:firstLineChars="55"/>
        <w:jc w:val="center"/>
        <w:rPr>
          <w:rStyle w:val="19"/>
          <w:rFonts w:ascii="宋体" w:hAnsi="宋体" w:eastAsia="宋体" w:cs="宋体"/>
          <w:b w:val="0"/>
          <w:sz w:val="36"/>
          <w:szCs w:val="36"/>
          <w:highlight w:val="none"/>
        </w:rPr>
      </w:pPr>
      <w:r>
        <w:rPr>
          <w:rStyle w:val="19"/>
          <w:rFonts w:hint="eastAsia" w:ascii="宋体" w:hAnsi="宋体" w:eastAsia="宋体" w:cs="宋体"/>
          <w:b w:val="0"/>
          <w:sz w:val="36"/>
          <w:szCs w:val="36"/>
          <w:highlight w:val="none"/>
        </w:rPr>
        <w:t>中国.海南.海口</w:t>
      </w:r>
    </w:p>
    <w:p>
      <w:pPr>
        <w:ind w:left="149" w:leftChars="71" w:firstLine="198" w:firstLineChars="55"/>
        <w:jc w:val="center"/>
        <w:rPr>
          <w:rStyle w:val="19"/>
          <w:rFonts w:ascii="宋体" w:hAnsi="宋体" w:eastAsia="宋体" w:cs="宋体"/>
          <w:b w:val="0"/>
          <w:sz w:val="36"/>
          <w:szCs w:val="36"/>
          <w:highlight w:val="none"/>
        </w:rPr>
      </w:pPr>
      <w:r>
        <w:rPr>
          <w:rStyle w:val="19"/>
          <w:rFonts w:hint="eastAsia" w:ascii="宋体" w:hAnsi="宋体" w:eastAsia="宋体" w:cs="宋体"/>
          <w:b w:val="0"/>
          <w:sz w:val="36"/>
          <w:szCs w:val="36"/>
          <w:highlight w:val="none"/>
        </w:rPr>
        <w:t>年   月</w:t>
      </w:r>
    </w:p>
    <w:p>
      <w:pPr>
        <w:widowControl/>
        <w:ind w:left="560" w:firstLine="720"/>
        <w:jc w:val="left"/>
        <w:rPr>
          <w:rStyle w:val="19"/>
          <w:b w:val="0"/>
          <w:sz w:val="36"/>
          <w:szCs w:val="36"/>
          <w:highlight w:val="none"/>
        </w:rPr>
      </w:pPr>
      <w:r>
        <w:rPr>
          <w:rStyle w:val="19"/>
          <w:b w:val="0"/>
          <w:sz w:val="36"/>
          <w:szCs w:val="36"/>
          <w:highlight w:val="none"/>
        </w:rPr>
        <w:br w:type="page"/>
      </w:r>
    </w:p>
    <w:p>
      <w:pPr>
        <w:ind w:left="560"/>
        <w:jc w:val="center"/>
        <w:rPr>
          <w:rStyle w:val="19"/>
          <w:rFonts w:ascii="宋体" w:hAnsi="宋体" w:eastAsia="宋体" w:cs="宋体"/>
          <w:b w:val="0"/>
          <w:sz w:val="32"/>
          <w:szCs w:val="36"/>
          <w:highlight w:val="none"/>
        </w:rPr>
      </w:pPr>
      <w:r>
        <w:rPr>
          <w:rStyle w:val="19"/>
          <w:rFonts w:hint="eastAsia" w:ascii="宋体" w:hAnsi="宋体" w:eastAsia="宋体" w:cs="宋体"/>
          <w:b w:val="0"/>
          <w:sz w:val="32"/>
          <w:szCs w:val="36"/>
          <w:highlight w:val="none"/>
        </w:rPr>
        <w:t>目 录</w:t>
      </w:r>
    </w:p>
    <w:p>
      <w:pPr>
        <w:pStyle w:val="14"/>
        <w:rPr>
          <w:rFonts w:ascii="宋体" w:hAnsi="宋体" w:cs="宋体"/>
          <w:sz w:val="24"/>
          <w:highlight w:val="none"/>
        </w:rPr>
      </w:pPr>
      <w:r>
        <w:rPr>
          <w:rStyle w:val="27"/>
          <w:rFonts w:hint="eastAsia" w:ascii="宋体" w:hAnsi="宋体" w:cs="宋体"/>
          <w:sz w:val="24"/>
          <w:highlight w:val="none"/>
        </w:rPr>
        <w:fldChar w:fldCharType="begin"/>
      </w:r>
      <w:r>
        <w:rPr>
          <w:rStyle w:val="27"/>
          <w:rFonts w:hint="eastAsia" w:ascii="宋体" w:hAnsi="宋体" w:cs="宋体"/>
          <w:sz w:val="24"/>
          <w:highlight w:val="none"/>
        </w:rPr>
        <w:instrText xml:space="preserve"> TOC \t "二级编号,1" </w:instrText>
      </w:r>
      <w:r>
        <w:rPr>
          <w:rStyle w:val="27"/>
          <w:rFonts w:hint="eastAsia" w:ascii="宋体" w:hAnsi="宋体" w:cs="宋体"/>
          <w:sz w:val="24"/>
          <w:highlight w:val="none"/>
        </w:rPr>
        <w:fldChar w:fldCharType="separate"/>
      </w:r>
      <w:r>
        <w:rPr>
          <w:rFonts w:hint="eastAsia" w:ascii="宋体" w:hAnsi="宋体" w:cs="宋体"/>
          <w:sz w:val="24"/>
          <w:highlight w:val="none"/>
        </w:rPr>
        <w:t>第1章</w:t>
      </w:r>
      <w:r>
        <w:rPr>
          <w:rFonts w:hint="eastAsia" w:ascii="宋体" w:hAnsi="宋体" w:cs="宋体"/>
          <w:sz w:val="24"/>
          <w:highlight w:val="none"/>
        </w:rPr>
        <w:tab/>
      </w:r>
      <w:r>
        <w:rPr>
          <w:rFonts w:hint="eastAsia" w:ascii="宋体" w:hAnsi="宋体" w:cs="宋体"/>
          <w:sz w:val="24"/>
          <w:highlight w:val="none"/>
        </w:rPr>
        <w:t>总 则</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_Toc15562877 \h </w:instrText>
      </w:r>
      <w:r>
        <w:rPr>
          <w:rFonts w:hint="eastAsia" w:ascii="宋体" w:hAnsi="宋体" w:cs="宋体"/>
          <w:sz w:val="24"/>
          <w:highlight w:val="none"/>
        </w:rPr>
        <w:fldChar w:fldCharType="separate"/>
      </w:r>
      <w:r>
        <w:rPr>
          <w:rFonts w:hint="eastAsia" w:ascii="宋体" w:hAnsi="宋体" w:cs="宋体"/>
          <w:sz w:val="24"/>
          <w:highlight w:val="none"/>
        </w:rPr>
        <w:t>43</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第2章</w:t>
      </w:r>
      <w:r>
        <w:rPr>
          <w:rFonts w:hint="eastAsia" w:ascii="宋体" w:hAnsi="宋体" w:cs="宋体"/>
          <w:sz w:val="24"/>
          <w:highlight w:val="none"/>
        </w:rPr>
        <w:tab/>
      </w:r>
      <w:r>
        <w:rPr>
          <w:rFonts w:hint="eastAsia" w:ascii="宋体" w:hAnsi="宋体" w:cs="宋体"/>
          <w:sz w:val="24"/>
          <w:highlight w:val="none"/>
        </w:rPr>
        <w:t>定义和解释</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_Toc15562879 \h </w:instrText>
      </w:r>
      <w:r>
        <w:rPr>
          <w:rFonts w:hint="eastAsia" w:ascii="宋体" w:hAnsi="宋体" w:cs="宋体"/>
          <w:sz w:val="24"/>
          <w:highlight w:val="none"/>
        </w:rPr>
        <w:fldChar w:fldCharType="separate"/>
      </w:r>
      <w:r>
        <w:rPr>
          <w:rFonts w:hint="eastAsia" w:ascii="宋体" w:hAnsi="宋体" w:cs="宋体"/>
          <w:sz w:val="24"/>
          <w:highlight w:val="none"/>
        </w:rPr>
        <w:t>43</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第3章</w:t>
      </w:r>
      <w:r>
        <w:rPr>
          <w:rFonts w:hint="eastAsia" w:ascii="宋体" w:hAnsi="宋体" w:cs="宋体"/>
          <w:sz w:val="24"/>
          <w:highlight w:val="none"/>
        </w:rPr>
        <w:tab/>
      </w:r>
      <w:r>
        <w:rPr>
          <w:rFonts w:hint="eastAsia" w:ascii="宋体" w:hAnsi="宋体" w:cs="宋体"/>
          <w:sz w:val="24"/>
          <w:highlight w:val="none"/>
        </w:rPr>
        <w:t>声明和保证</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_Toc15562884 \h </w:instrText>
      </w:r>
      <w:r>
        <w:rPr>
          <w:rFonts w:hint="eastAsia" w:ascii="宋体" w:hAnsi="宋体" w:cs="宋体"/>
          <w:sz w:val="24"/>
          <w:highlight w:val="none"/>
        </w:rPr>
        <w:fldChar w:fldCharType="separate"/>
      </w:r>
      <w:r>
        <w:rPr>
          <w:rFonts w:hint="eastAsia" w:ascii="宋体" w:hAnsi="宋体" w:cs="宋体"/>
          <w:sz w:val="24"/>
          <w:highlight w:val="none"/>
        </w:rPr>
        <w:t>45</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第4章</w:t>
      </w:r>
      <w:r>
        <w:rPr>
          <w:rFonts w:hint="eastAsia" w:ascii="宋体" w:hAnsi="宋体" w:cs="宋体"/>
          <w:sz w:val="24"/>
          <w:highlight w:val="none"/>
        </w:rPr>
        <w:tab/>
      </w:r>
      <w:r>
        <w:rPr>
          <w:rFonts w:hint="eastAsia" w:ascii="宋体" w:hAnsi="宋体" w:cs="宋体"/>
          <w:sz w:val="24"/>
          <w:highlight w:val="none"/>
        </w:rPr>
        <w:t>双方基本权利和义务</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_Toc15562888 \h </w:instrText>
      </w:r>
      <w:r>
        <w:rPr>
          <w:rFonts w:hint="eastAsia" w:ascii="宋体" w:hAnsi="宋体" w:cs="宋体"/>
          <w:sz w:val="24"/>
          <w:highlight w:val="none"/>
        </w:rPr>
        <w:fldChar w:fldCharType="separate"/>
      </w:r>
      <w:r>
        <w:rPr>
          <w:rFonts w:hint="eastAsia" w:ascii="宋体" w:hAnsi="宋体" w:cs="宋体"/>
          <w:sz w:val="24"/>
          <w:highlight w:val="none"/>
        </w:rPr>
        <w:t>46</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第5章</w:t>
      </w:r>
      <w:r>
        <w:rPr>
          <w:rFonts w:hint="eastAsia" w:ascii="宋体" w:hAnsi="宋体" w:cs="宋体"/>
          <w:sz w:val="24"/>
          <w:highlight w:val="none"/>
        </w:rPr>
        <w:tab/>
      </w:r>
      <w:r>
        <w:rPr>
          <w:rFonts w:hint="eastAsia" w:ascii="宋体" w:hAnsi="宋体" w:cs="宋体"/>
          <w:sz w:val="24"/>
          <w:highlight w:val="none"/>
        </w:rPr>
        <w:t>承包范围及事项</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_Toc15562920 \h </w:instrText>
      </w:r>
      <w:r>
        <w:rPr>
          <w:rFonts w:hint="eastAsia" w:ascii="宋体" w:hAnsi="宋体" w:cs="宋体"/>
          <w:sz w:val="24"/>
          <w:highlight w:val="none"/>
        </w:rPr>
        <w:fldChar w:fldCharType="separate"/>
      </w:r>
      <w:r>
        <w:rPr>
          <w:rFonts w:hint="eastAsia" w:ascii="宋体" w:hAnsi="宋体" w:cs="宋体"/>
          <w:sz w:val="24"/>
          <w:highlight w:val="none"/>
        </w:rPr>
        <w:t>48</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第6章</w:t>
      </w:r>
      <w:r>
        <w:rPr>
          <w:rFonts w:hint="eastAsia" w:ascii="宋体" w:hAnsi="宋体" w:cs="宋体"/>
          <w:sz w:val="24"/>
          <w:highlight w:val="none"/>
        </w:rPr>
        <w:tab/>
      </w:r>
      <w:r>
        <w:rPr>
          <w:rFonts w:hint="eastAsia" w:ascii="宋体" w:hAnsi="宋体" w:cs="宋体"/>
          <w:sz w:val="24"/>
          <w:highlight w:val="none"/>
        </w:rPr>
        <w:t>承包作业服务标准</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_Toc15562936 \h </w:instrText>
      </w:r>
      <w:r>
        <w:rPr>
          <w:rFonts w:hint="eastAsia" w:ascii="宋体" w:hAnsi="宋体" w:cs="宋体"/>
          <w:sz w:val="24"/>
          <w:highlight w:val="none"/>
        </w:rPr>
        <w:fldChar w:fldCharType="separate"/>
      </w:r>
      <w:r>
        <w:rPr>
          <w:rFonts w:hint="eastAsia" w:ascii="宋体" w:hAnsi="宋体" w:cs="宋体"/>
          <w:sz w:val="24"/>
          <w:highlight w:val="none"/>
        </w:rPr>
        <w:t>51</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第7章</w:t>
      </w:r>
      <w:r>
        <w:rPr>
          <w:rFonts w:hint="eastAsia" w:ascii="宋体" w:hAnsi="宋体" w:cs="宋体"/>
          <w:sz w:val="24"/>
          <w:highlight w:val="none"/>
        </w:rPr>
        <w:tab/>
      </w:r>
      <w:r>
        <w:rPr>
          <w:rFonts w:hint="eastAsia" w:ascii="宋体" w:hAnsi="宋体" w:cs="宋体"/>
          <w:sz w:val="24"/>
          <w:highlight w:val="none"/>
          <w:lang w:bidi="ar"/>
        </w:rPr>
        <w:t>服务承包期限</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_Toc15562967 \h </w:instrText>
      </w:r>
      <w:r>
        <w:rPr>
          <w:rFonts w:hint="eastAsia" w:ascii="宋体" w:hAnsi="宋体" w:cs="宋体"/>
          <w:sz w:val="24"/>
          <w:highlight w:val="none"/>
        </w:rPr>
        <w:fldChar w:fldCharType="separate"/>
      </w:r>
      <w:r>
        <w:rPr>
          <w:rFonts w:hint="eastAsia" w:ascii="宋体" w:hAnsi="宋体" w:cs="宋体"/>
          <w:sz w:val="24"/>
          <w:highlight w:val="none"/>
        </w:rPr>
        <w:t>54</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第8章</w:t>
      </w:r>
      <w:r>
        <w:rPr>
          <w:rFonts w:hint="eastAsia" w:ascii="宋体" w:hAnsi="宋体" w:cs="宋体"/>
          <w:sz w:val="24"/>
          <w:highlight w:val="none"/>
        </w:rPr>
        <w:tab/>
      </w:r>
      <w:r>
        <w:rPr>
          <w:rFonts w:hint="eastAsia" w:ascii="宋体" w:hAnsi="宋体" w:cs="宋体"/>
          <w:sz w:val="24"/>
          <w:highlight w:val="none"/>
        </w:rPr>
        <w:t>项目付费及绩效考核</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_Toc15562972 \h </w:instrText>
      </w:r>
      <w:r>
        <w:rPr>
          <w:rFonts w:hint="eastAsia" w:ascii="宋体" w:hAnsi="宋体" w:cs="宋体"/>
          <w:sz w:val="24"/>
          <w:highlight w:val="none"/>
        </w:rPr>
        <w:fldChar w:fldCharType="separate"/>
      </w:r>
      <w:r>
        <w:rPr>
          <w:rFonts w:hint="eastAsia" w:ascii="宋体" w:hAnsi="宋体" w:cs="宋体"/>
          <w:sz w:val="24"/>
          <w:highlight w:val="none"/>
        </w:rPr>
        <w:t>54</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第9章</w:t>
      </w:r>
      <w:r>
        <w:rPr>
          <w:rFonts w:hint="eastAsia" w:ascii="宋体" w:hAnsi="宋体" w:cs="宋体"/>
          <w:sz w:val="24"/>
          <w:highlight w:val="none"/>
        </w:rPr>
        <w:tab/>
      </w:r>
      <w:r>
        <w:rPr>
          <w:rFonts w:hint="eastAsia" w:ascii="宋体" w:hAnsi="宋体" w:cs="宋体"/>
          <w:sz w:val="24"/>
          <w:highlight w:val="none"/>
        </w:rPr>
        <w:t>工作质量保证金</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_Toc15562980 \h </w:instrText>
      </w:r>
      <w:r>
        <w:rPr>
          <w:rFonts w:hint="eastAsia" w:ascii="宋体" w:hAnsi="宋体" w:cs="宋体"/>
          <w:sz w:val="24"/>
          <w:highlight w:val="none"/>
        </w:rPr>
        <w:fldChar w:fldCharType="separate"/>
      </w:r>
      <w:r>
        <w:rPr>
          <w:rFonts w:hint="eastAsia" w:ascii="宋体" w:hAnsi="宋体" w:cs="宋体"/>
          <w:sz w:val="24"/>
          <w:highlight w:val="none"/>
        </w:rPr>
        <w:t>55</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第10章</w:t>
      </w:r>
      <w:r>
        <w:rPr>
          <w:rFonts w:hint="eastAsia" w:ascii="宋体" w:hAnsi="宋体" w:cs="宋体"/>
          <w:sz w:val="24"/>
          <w:highlight w:val="none"/>
        </w:rPr>
        <w:tab/>
      </w:r>
      <w:r>
        <w:rPr>
          <w:rFonts w:hint="eastAsia" w:ascii="宋体" w:hAnsi="宋体" w:cs="宋体"/>
          <w:sz w:val="24"/>
          <w:highlight w:val="none"/>
        </w:rPr>
        <w:t>不可抗力</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_Toc15562981 \h </w:instrText>
      </w:r>
      <w:r>
        <w:rPr>
          <w:rFonts w:hint="eastAsia" w:ascii="宋体" w:hAnsi="宋体" w:cs="宋体"/>
          <w:sz w:val="24"/>
          <w:highlight w:val="none"/>
        </w:rPr>
        <w:fldChar w:fldCharType="separate"/>
      </w:r>
      <w:r>
        <w:rPr>
          <w:rFonts w:hint="eastAsia" w:ascii="宋体" w:hAnsi="宋体" w:cs="宋体"/>
          <w:sz w:val="24"/>
          <w:highlight w:val="none"/>
        </w:rPr>
        <w:t>55</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第11章</w:t>
      </w:r>
      <w:r>
        <w:rPr>
          <w:rFonts w:hint="eastAsia" w:ascii="宋体" w:hAnsi="宋体" w:cs="宋体"/>
          <w:sz w:val="24"/>
          <w:highlight w:val="none"/>
        </w:rPr>
        <w:tab/>
      </w:r>
      <w:r>
        <w:rPr>
          <w:rFonts w:hint="eastAsia" w:ascii="宋体" w:hAnsi="宋体" w:cs="宋体"/>
          <w:sz w:val="24"/>
          <w:highlight w:val="none"/>
        </w:rPr>
        <w:t>强制保险</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_Toc15562994 \h </w:instrText>
      </w:r>
      <w:r>
        <w:rPr>
          <w:rFonts w:hint="eastAsia" w:ascii="宋体" w:hAnsi="宋体" w:cs="宋体"/>
          <w:sz w:val="24"/>
          <w:highlight w:val="none"/>
        </w:rPr>
        <w:fldChar w:fldCharType="separate"/>
      </w:r>
      <w:r>
        <w:rPr>
          <w:rFonts w:hint="eastAsia" w:ascii="宋体" w:hAnsi="宋体" w:cs="宋体"/>
          <w:sz w:val="24"/>
          <w:highlight w:val="none"/>
        </w:rPr>
        <w:t>56</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第12章</w:t>
      </w:r>
      <w:r>
        <w:rPr>
          <w:rFonts w:hint="eastAsia" w:ascii="宋体" w:hAnsi="宋体" w:cs="宋体"/>
          <w:sz w:val="24"/>
          <w:highlight w:val="none"/>
        </w:rPr>
        <w:tab/>
      </w:r>
      <w:r>
        <w:rPr>
          <w:rFonts w:hint="eastAsia" w:ascii="宋体" w:hAnsi="宋体" w:cs="宋体"/>
          <w:sz w:val="24"/>
          <w:highlight w:val="none"/>
        </w:rPr>
        <w:t>政府方的监督和介入</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_Toc15562995 \h </w:instrText>
      </w:r>
      <w:r>
        <w:rPr>
          <w:rFonts w:hint="eastAsia" w:ascii="宋体" w:hAnsi="宋体" w:cs="宋体"/>
          <w:sz w:val="24"/>
          <w:highlight w:val="none"/>
        </w:rPr>
        <w:fldChar w:fldCharType="separate"/>
      </w:r>
      <w:r>
        <w:rPr>
          <w:rFonts w:hint="eastAsia" w:ascii="宋体" w:hAnsi="宋体" w:cs="宋体"/>
          <w:sz w:val="24"/>
          <w:highlight w:val="none"/>
        </w:rPr>
        <w:t>57</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第13章</w:t>
      </w:r>
      <w:r>
        <w:rPr>
          <w:rFonts w:hint="eastAsia" w:ascii="宋体" w:hAnsi="宋体" w:cs="宋体"/>
          <w:sz w:val="24"/>
          <w:highlight w:val="none"/>
        </w:rPr>
        <w:tab/>
      </w:r>
      <w:r>
        <w:rPr>
          <w:rFonts w:hint="eastAsia" w:ascii="宋体" w:hAnsi="宋体" w:cs="宋体"/>
          <w:sz w:val="24"/>
          <w:highlight w:val="none"/>
        </w:rPr>
        <w:t>违约责任</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_Toc15563007 \h </w:instrText>
      </w:r>
      <w:r>
        <w:rPr>
          <w:rFonts w:hint="eastAsia" w:ascii="宋体" w:hAnsi="宋体" w:cs="宋体"/>
          <w:sz w:val="24"/>
          <w:highlight w:val="none"/>
        </w:rPr>
        <w:fldChar w:fldCharType="separate"/>
      </w:r>
      <w:r>
        <w:rPr>
          <w:rFonts w:hint="eastAsia" w:ascii="宋体" w:hAnsi="宋体" w:cs="宋体"/>
          <w:sz w:val="24"/>
          <w:highlight w:val="none"/>
        </w:rPr>
        <w:t>57</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第14章</w:t>
      </w:r>
      <w:r>
        <w:rPr>
          <w:rFonts w:hint="eastAsia" w:ascii="宋体" w:hAnsi="宋体" w:cs="宋体"/>
          <w:sz w:val="24"/>
          <w:highlight w:val="none"/>
        </w:rPr>
        <w:tab/>
      </w:r>
      <w:r>
        <w:rPr>
          <w:rFonts w:hint="eastAsia" w:ascii="宋体" w:hAnsi="宋体" w:cs="宋体"/>
          <w:sz w:val="24"/>
          <w:highlight w:val="none"/>
        </w:rPr>
        <w:t>协议的提前解除与终止</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_Toc15563017 \h </w:instrText>
      </w:r>
      <w:r>
        <w:rPr>
          <w:rFonts w:hint="eastAsia" w:ascii="宋体" w:hAnsi="宋体" w:cs="宋体"/>
          <w:sz w:val="24"/>
          <w:highlight w:val="none"/>
        </w:rPr>
        <w:fldChar w:fldCharType="separate"/>
      </w:r>
      <w:r>
        <w:rPr>
          <w:rFonts w:hint="eastAsia" w:ascii="宋体" w:hAnsi="宋体" w:cs="宋体"/>
          <w:sz w:val="24"/>
          <w:highlight w:val="none"/>
        </w:rPr>
        <w:t>58</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第15章</w:t>
      </w:r>
      <w:r>
        <w:rPr>
          <w:rFonts w:hint="eastAsia" w:ascii="宋体" w:hAnsi="宋体" w:cs="宋体"/>
          <w:sz w:val="24"/>
          <w:highlight w:val="none"/>
        </w:rPr>
        <w:tab/>
      </w:r>
      <w:r>
        <w:rPr>
          <w:rFonts w:hint="eastAsia" w:ascii="宋体" w:hAnsi="宋体" w:cs="宋体"/>
          <w:sz w:val="24"/>
          <w:highlight w:val="none"/>
        </w:rPr>
        <w:t>争议的解决</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_Toc15563021 \h </w:instrText>
      </w:r>
      <w:r>
        <w:rPr>
          <w:rFonts w:hint="eastAsia" w:ascii="宋体" w:hAnsi="宋体" w:cs="宋体"/>
          <w:sz w:val="24"/>
          <w:highlight w:val="none"/>
        </w:rPr>
        <w:fldChar w:fldCharType="separate"/>
      </w:r>
      <w:r>
        <w:rPr>
          <w:rFonts w:hint="eastAsia" w:ascii="宋体" w:hAnsi="宋体" w:cs="宋体"/>
          <w:sz w:val="24"/>
          <w:highlight w:val="none"/>
        </w:rPr>
        <w:t>59</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第16章</w:t>
      </w:r>
      <w:r>
        <w:rPr>
          <w:rFonts w:hint="eastAsia" w:ascii="宋体" w:hAnsi="宋体" w:cs="宋体"/>
          <w:sz w:val="24"/>
          <w:highlight w:val="none"/>
        </w:rPr>
        <w:tab/>
      </w:r>
      <w:r>
        <w:rPr>
          <w:rFonts w:hint="eastAsia" w:ascii="宋体" w:hAnsi="宋体" w:cs="宋体"/>
          <w:sz w:val="24"/>
          <w:highlight w:val="none"/>
        </w:rPr>
        <w:t>其他约定</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_Toc15563026 \h </w:instrText>
      </w:r>
      <w:r>
        <w:rPr>
          <w:rFonts w:hint="eastAsia" w:ascii="宋体" w:hAnsi="宋体" w:cs="宋体"/>
          <w:sz w:val="24"/>
          <w:highlight w:val="none"/>
        </w:rPr>
        <w:fldChar w:fldCharType="separate"/>
      </w:r>
      <w:r>
        <w:rPr>
          <w:rFonts w:hint="eastAsia" w:ascii="宋体" w:hAnsi="宋体" w:cs="宋体"/>
          <w:sz w:val="24"/>
          <w:highlight w:val="none"/>
        </w:rPr>
        <w:t>59</w:t>
      </w:r>
      <w:r>
        <w:rPr>
          <w:rFonts w:hint="eastAsia" w:ascii="宋体" w:hAnsi="宋体" w:cs="宋体"/>
          <w:sz w:val="24"/>
          <w:highlight w:val="none"/>
        </w:rPr>
        <w:fldChar w:fldCharType="end"/>
      </w:r>
    </w:p>
    <w:p>
      <w:pPr>
        <w:pStyle w:val="14"/>
        <w:rPr>
          <w:rFonts w:ascii="宋体" w:hAnsi="宋体" w:cs="宋体"/>
          <w:sz w:val="24"/>
          <w:highlight w:val="none"/>
        </w:rPr>
      </w:pPr>
      <w:r>
        <w:rPr>
          <w:rFonts w:hint="eastAsia" w:ascii="宋体" w:hAnsi="宋体" w:cs="宋体"/>
          <w:sz w:val="24"/>
          <w:highlight w:val="none"/>
        </w:rPr>
        <w:t>附件一：海口市美兰区乡镇环卫一体化绩效考核标准</w:t>
      </w:r>
      <w:r>
        <w:rPr>
          <w:rFonts w:hint="eastAsia" w:ascii="宋体" w:hAnsi="宋体" w:cs="宋体"/>
          <w:sz w:val="24"/>
          <w:highlight w:val="none"/>
        </w:rPr>
        <w:tab/>
      </w:r>
      <w:r>
        <w:rPr>
          <w:rFonts w:hint="eastAsia" w:ascii="宋体" w:hAnsi="宋体" w:cs="宋体"/>
          <w:sz w:val="24"/>
          <w:highlight w:val="none"/>
        </w:rPr>
        <w:fldChar w:fldCharType="begin"/>
      </w:r>
      <w:r>
        <w:rPr>
          <w:rFonts w:hint="eastAsia" w:ascii="宋体" w:hAnsi="宋体" w:cs="宋体"/>
          <w:sz w:val="24"/>
          <w:highlight w:val="none"/>
        </w:rPr>
        <w:instrText xml:space="preserve"> PAGEREF _Toc15563047 \h </w:instrText>
      </w:r>
      <w:r>
        <w:rPr>
          <w:rFonts w:hint="eastAsia" w:ascii="宋体" w:hAnsi="宋体" w:cs="宋体"/>
          <w:sz w:val="24"/>
          <w:highlight w:val="none"/>
        </w:rPr>
        <w:fldChar w:fldCharType="separate"/>
      </w:r>
      <w:r>
        <w:rPr>
          <w:rFonts w:hint="eastAsia" w:ascii="宋体" w:hAnsi="宋体" w:cs="宋体"/>
          <w:sz w:val="24"/>
          <w:highlight w:val="none"/>
        </w:rPr>
        <w:t>63</w:t>
      </w:r>
      <w:r>
        <w:rPr>
          <w:rFonts w:hint="eastAsia" w:ascii="宋体" w:hAnsi="宋体" w:cs="宋体"/>
          <w:sz w:val="24"/>
          <w:highlight w:val="none"/>
        </w:rPr>
        <w:fldChar w:fldCharType="end"/>
      </w:r>
    </w:p>
    <w:p>
      <w:pPr>
        <w:ind w:left="560"/>
        <w:jc w:val="center"/>
        <w:rPr>
          <w:rStyle w:val="27"/>
          <w:highlight w:val="none"/>
        </w:rPr>
        <w:sectPr>
          <w:headerReference r:id="rId6" w:type="first"/>
          <w:footerReference r:id="rId9" w:type="first"/>
          <w:headerReference r:id="rId4" w:type="default"/>
          <w:footerReference r:id="rId7" w:type="default"/>
          <w:headerReference r:id="rId5" w:type="even"/>
          <w:footerReference r:id="rId8" w:type="even"/>
          <w:pgSz w:w="11900" w:h="16840"/>
          <w:pgMar w:top="1440" w:right="1800" w:bottom="1440" w:left="1800" w:header="851" w:footer="992" w:gutter="0"/>
          <w:cols w:space="425" w:num="1"/>
          <w:docGrid w:type="lines" w:linePitch="423" w:charSpace="0"/>
        </w:sectPr>
      </w:pPr>
      <w:r>
        <w:rPr>
          <w:rStyle w:val="27"/>
          <w:rFonts w:hint="eastAsia" w:ascii="宋体" w:hAnsi="宋体" w:cs="宋体"/>
          <w:sz w:val="24"/>
          <w:highlight w:val="none"/>
        </w:rPr>
        <w:fldChar w:fldCharType="end"/>
      </w:r>
    </w:p>
    <w:p>
      <w:pPr>
        <w:ind w:left="149" w:leftChars="71" w:firstLine="199" w:firstLineChars="62"/>
        <w:jc w:val="center"/>
        <w:rPr>
          <w:rStyle w:val="19"/>
          <w:rFonts w:ascii="宋体" w:hAnsi="宋体" w:eastAsia="宋体" w:cs="宋体"/>
          <w:sz w:val="32"/>
          <w:szCs w:val="36"/>
          <w:highlight w:val="none"/>
        </w:rPr>
      </w:pPr>
      <w:r>
        <w:rPr>
          <w:rFonts w:hint="eastAsia" w:ascii="宋体" w:hAnsi="宋体" w:cs="宋体"/>
          <w:b/>
          <w:bCs/>
          <w:sz w:val="32"/>
          <w:szCs w:val="36"/>
          <w:highlight w:val="none"/>
        </w:rPr>
        <w:t>海口市美兰区乡镇环卫一体化项目</w:t>
      </w:r>
      <w:r>
        <w:rPr>
          <w:rStyle w:val="19"/>
          <w:rFonts w:hint="eastAsia" w:ascii="宋体" w:hAnsi="宋体" w:eastAsia="宋体" w:cs="宋体"/>
          <w:sz w:val="32"/>
          <w:szCs w:val="36"/>
          <w:highlight w:val="none"/>
        </w:rPr>
        <w:t>服务协议</w:t>
      </w:r>
    </w:p>
    <w:p>
      <w:pPr>
        <w:spacing w:before="120" w:beforeLines="50" w:line="440" w:lineRule="exact"/>
        <w:ind w:left="912" w:hanging="432"/>
        <w:rPr>
          <w:rFonts w:ascii="宋体" w:hAnsi="宋体" w:cs="宋体"/>
          <w:sz w:val="24"/>
          <w:highlight w:val="none"/>
        </w:rPr>
      </w:pPr>
      <w:r>
        <w:rPr>
          <w:rFonts w:hint="eastAsia" w:ascii="宋体" w:hAnsi="宋体" w:cs="宋体"/>
          <w:sz w:val="24"/>
          <w:highlight w:val="none"/>
        </w:rPr>
        <w:t>本协议由下列双方于     年   月   日在海南省海口市签署：</w:t>
      </w:r>
    </w:p>
    <w:p>
      <w:pPr>
        <w:spacing w:before="120" w:beforeLines="50" w:line="440" w:lineRule="exact"/>
        <w:ind w:left="912" w:hanging="432"/>
        <w:rPr>
          <w:rFonts w:ascii="宋体" w:hAnsi="宋体" w:cs="宋体"/>
          <w:sz w:val="24"/>
          <w:highlight w:val="none"/>
        </w:rPr>
      </w:pPr>
      <w:r>
        <w:rPr>
          <w:rFonts w:hint="eastAsia" w:ascii="宋体" w:hAnsi="宋体" w:cs="宋体"/>
          <w:sz w:val="24"/>
          <w:highlight w:val="none"/>
        </w:rPr>
        <w:t>甲方：海口市美兰区环境卫生管理局</w:t>
      </w:r>
    </w:p>
    <w:p>
      <w:pPr>
        <w:spacing w:before="120" w:beforeLines="50" w:line="440" w:lineRule="exact"/>
        <w:ind w:left="912" w:hanging="432"/>
        <w:rPr>
          <w:rFonts w:ascii="宋体" w:hAnsi="宋体" w:cs="宋体"/>
          <w:sz w:val="24"/>
          <w:highlight w:val="none"/>
        </w:rPr>
      </w:pPr>
      <w:r>
        <w:rPr>
          <w:rFonts w:hint="eastAsia" w:ascii="宋体" w:hAnsi="宋体" w:cs="宋体"/>
          <w:sz w:val="24"/>
          <w:highlight w:val="none"/>
        </w:rPr>
        <w:t xml:space="preserve">乙方： </w:t>
      </w:r>
    </w:p>
    <w:p>
      <w:pPr>
        <w:spacing w:before="120" w:beforeLines="50" w:after="211" w:line="440" w:lineRule="exact"/>
        <w:ind w:left="912" w:hanging="432"/>
        <w:rPr>
          <w:rFonts w:ascii="仿宋" w:hAnsi="仿宋" w:eastAsia="仿宋"/>
          <w:szCs w:val="28"/>
          <w:highlight w:val="none"/>
        </w:rPr>
      </w:pPr>
    </w:p>
    <w:p>
      <w:pPr>
        <w:spacing w:before="120" w:beforeLines="50" w:after="211" w:line="440" w:lineRule="exact"/>
        <w:ind w:left="912" w:hanging="432"/>
        <w:rPr>
          <w:rFonts w:ascii="宋体" w:hAnsi="宋体" w:cs="宋体"/>
          <w:b/>
          <w:sz w:val="24"/>
          <w:highlight w:val="none"/>
        </w:rPr>
      </w:pPr>
      <w:r>
        <w:rPr>
          <w:rFonts w:hint="eastAsia" w:ascii="宋体" w:hAnsi="宋体" w:cs="宋体"/>
          <w:b/>
          <w:sz w:val="24"/>
          <w:highlight w:val="none"/>
        </w:rPr>
        <w:t>鉴于：</w:t>
      </w:r>
    </w:p>
    <w:p>
      <w:pPr>
        <w:ind w:left="482" w:firstLine="560"/>
        <w:rPr>
          <w:rFonts w:ascii="宋体" w:hAnsi="宋体" w:cs="宋体"/>
          <w:sz w:val="24"/>
          <w:highlight w:val="none"/>
        </w:rPr>
      </w:pPr>
      <w:r>
        <w:rPr>
          <w:rFonts w:hint="eastAsia" w:ascii="宋体" w:hAnsi="宋体" w:cs="宋体"/>
          <w:sz w:val="24"/>
          <w:highlight w:val="none"/>
        </w:rPr>
        <w:t>为改善当地人居生产和生活环境，实现“生产发展、生态优美、生活幸福”，逐步拉近与主城区环境卫生质量的差距，实现美兰区下属乡镇范围内的环境卫生一体化作业全覆盖，甲方拟通过政府购买服务形式，引入专业化环卫服务单位负责本项目范围内的环卫作业，提高美兰区环境卫生整体水平和市容环境质量，最终达到环境净化、道路硬化、村庄绿化、村容美化“四化”目标。</w:t>
      </w:r>
    </w:p>
    <w:p>
      <w:pPr>
        <w:ind w:left="482" w:firstLine="560"/>
        <w:rPr>
          <w:rFonts w:ascii="宋体" w:hAnsi="宋体" w:cs="宋体"/>
          <w:sz w:val="24"/>
          <w:highlight w:val="none"/>
        </w:rPr>
      </w:pPr>
      <w:r>
        <w:rPr>
          <w:rFonts w:hint="eastAsia" w:ascii="宋体" w:hAnsi="宋体" w:cs="宋体"/>
          <w:sz w:val="24"/>
          <w:highlight w:val="none"/>
        </w:rPr>
        <w:t>为此甲乙双方达成如下协议，共同遵守执行：</w:t>
      </w:r>
    </w:p>
    <w:p>
      <w:pPr>
        <w:ind w:left="482" w:firstLine="560"/>
        <w:rPr>
          <w:rFonts w:ascii="仿宋" w:hAnsi="仿宋" w:eastAsia="仿宋"/>
          <w:szCs w:val="28"/>
          <w:highlight w:val="none"/>
        </w:rPr>
      </w:pPr>
    </w:p>
    <w:p>
      <w:pPr>
        <w:pStyle w:val="28"/>
        <w:jc w:val="center"/>
        <w:rPr>
          <w:rFonts w:ascii="宋体" w:hAnsi="宋体" w:cs="宋体"/>
          <w:sz w:val="24"/>
          <w:highlight w:val="none"/>
        </w:rPr>
      </w:pPr>
      <w:bookmarkStart w:id="32" w:name="_Toc15562877"/>
      <w:r>
        <w:rPr>
          <w:rFonts w:hint="eastAsia" w:ascii="宋体" w:hAnsi="宋体" w:cs="宋体"/>
          <w:sz w:val="24"/>
          <w:highlight w:val="none"/>
        </w:rPr>
        <w:t>总 则</w:t>
      </w:r>
      <w:bookmarkEnd w:id="32"/>
    </w:p>
    <w:p>
      <w:pPr>
        <w:ind w:left="560" w:firstLine="560"/>
        <w:rPr>
          <w:rFonts w:ascii="宋体" w:hAnsi="宋体" w:cs="宋体"/>
          <w:sz w:val="24"/>
          <w:highlight w:val="none"/>
        </w:rPr>
      </w:pPr>
    </w:p>
    <w:p>
      <w:pPr>
        <w:pStyle w:val="29"/>
        <w:numPr>
          <w:ilvl w:val="1"/>
          <w:numId w:val="1"/>
        </w:numPr>
        <w:ind w:left="1269"/>
        <w:rPr>
          <w:rFonts w:ascii="宋体" w:hAnsi="宋体" w:cs="宋体"/>
          <w:b/>
          <w:sz w:val="24"/>
          <w:highlight w:val="none"/>
        </w:rPr>
      </w:pPr>
      <w:r>
        <w:rPr>
          <w:rFonts w:hint="eastAsia" w:ascii="宋体" w:hAnsi="宋体" w:cs="宋体"/>
          <w:b/>
          <w:sz w:val="24"/>
          <w:highlight w:val="none"/>
        </w:rPr>
        <w:t>本协议当事人</w:t>
      </w:r>
    </w:p>
    <w:p>
      <w:pPr>
        <w:ind w:left="560"/>
        <w:rPr>
          <w:rFonts w:ascii="宋体" w:hAnsi="宋体" w:cs="宋体"/>
          <w:sz w:val="24"/>
          <w:highlight w:val="none"/>
        </w:rPr>
      </w:pPr>
      <w:r>
        <w:rPr>
          <w:rFonts w:hint="eastAsia" w:ascii="宋体" w:hAnsi="宋体" w:cs="宋体"/>
          <w:sz w:val="24"/>
          <w:highlight w:val="none"/>
        </w:rPr>
        <w:t>发包人：海口市美兰区环境卫生管理局（以下称“甲方”）</w:t>
      </w:r>
    </w:p>
    <w:p>
      <w:pPr>
        <w:ind w:left="560" w:firstLine="560"/>
        <w:rPr>
          <w:rFonts w:ascii="宋体" w:hAnsi="宋体" w:cs="宋体"/>
          <w:sz w:val="24"/>
          <w:highlight w:val="none"/>
        </w:rPr>
      </w:pPr>
      <w:r>
        <w:rPr>
          <w:rFonts w:hint="eastAsia" w:ascii="宋体" w:hAnsi="宋体" w:cs="宋体"/>
          <w:sz w:val="24"/>
          <w:highlight w:val="none"/>
        </w:rPr>
        <w:t>法定代表人：</w:t>
      </w:r>
    </w:p>
    <w:p>
      <w:pPr>
        <w:ind w:left="560" w:firstLine="560"/>
        <w:rPr>
          <w:rFonts w:ascii="宋体" w:hAnsi="宋体" w:cs="宋体"/>
          <w:sz w:val="24"/>
          <w:highlight w:val="none"/>
        </w:rPr>
      </w:pPr>
      <w:r>
        <w:rPr>
          <w:rFonts w:hint="eastAsia" w:ascii="宋体" w:hAnsi="宋体" w:cs="宋体"/>
          <w:sz w:val="24"/>
          <w:highlight w:val="none"/>
        </w:rPr>
        <w:t>地址：</w:t>
      </w:r>
    </w:p>
    <w:p>
      <w:pPr>
        <w:ind w:left="560" w:firstLine="560"/>
        <w:rPr>
          <w:rFonts w:ascii="宋体" w:hAnsi="宋体" w:cs="宋体"/>
          <w:sz w:val="24"/>
          <w:highlight w:val="none"/>
        </w:rPr>
      </w:pPr>
      <w:r>
        <w:rPr>
          <w:rFonts w:hint="eastAsia" w:ascii="宋体" w:hAnsi="宋体" w:cs="宋体"/>
          <w:sz w:val="24"/>
          <w:highlight w:val="none"/>
        </w:rPr>
        <w:t>联系电话：</w:t>
      </w:r>
    </w:p>
    <w:p>
      <w:pPr>
        <w:ind w:left="560" w:firstLine="560"/>
        <w:rPr>
          <w:rFonts w:ascii="宋体" w:hAnsi="宋体" w:cs="宋体"/>
          <w:sz w:val="24"/>
          <w:highlight w:val="none"/>
        </w:rPr>
      </w:pPr>
      <w:r>
        <w:rPr>
          <w:rFonts w:hint="eastAsia" w:ascii="宋体" w:hAnsi="宋体" w:cs="宋体"/>
          <w:sz w:val="24"/>
          <w:highlight w:val="none"/>
        </w:rPr>
        <w:t>承包人：      （以下称“乙方”）</w:t>
      </w:r>
    </w:p>
    <w:p>
      <w:pPr>
        <w:ind w:left="560" w:firstLine="560"/>
        <w:rPr>
          <w:rFonts w:ascii="宋体" w:hAnsi="宋体" w:cs="宋体"/>
          <w:sz w:val="24"/>
          <w:highlight w:val="none"/>
        </w:rPr>
      </w:pPr>
      <w:r>
        <w:rPr>
          <w:rFonts w:hint="eastAsia" w:ascii="宋体" w:hAnsi="宋体" w:cs="宋体"/>
          <w:sz w:val="24"/>
          <w:highlight w:val="none"/>
        </w:rPr>
        <w:t>法定代表人：</w:t>
      </w:r>
    </w:p>
    <w:p>
      <w:pPr>
        <w:ind w:left="560" w:firstLine="560"/>
        <w:rPr>
          <w:rFonts w:ascii="宋体" w:hAnsi="宋体" w:cs="宋体"/>
          <w:sz w:val="24"/>
          <w:highlight w:val="none"/>
        </w:rPr>
      </w:pPr>
      <w:r>
        <w:rPr>
          <w:rFonts w:hint="eastAsia" w:ascii="宋体" w:hAnsi="宋体" w:cs="宋体"/>
          <w:sz w:val="24"/>
          <w:highlight w:val="none"/>
        </w:rPr>
        <w:t>地址：</w:t>
      </w:r>
    </w:p>
    <w:p>
      <w:pPr>
        <w:ind w:left="560" w:firstLine="560"/>
        <w:rPr>
          <w:rFonts w:ascii="宋体" w:hAnsi="宋体" w:cs="宋体"/>
          <w:sz w:val="24"/>
          <w:highlight w:val="none"/>
        </w:rPr>
      </w:pPr>
      <w:r>
        <w:rPr>
          <w:rFonts w:hint="eastAsia" w:ascii="宋体" w:hAnsi="宋体" w:cs="宋体"/>
          <w:sz w:val="24"/>
          <w:highlight w:val="none"/>
        </w:rPr>
        <w:t>联系电话：</w:t>
      </w:r>
    </w:p>
    <w:p>
      <w:pPr>
        <w:pStyle w:val="28"/>
        <w:numPr>
          <w:ilvl w:val="1"/>
          <w:numId w:val="1"/>
        </w:numPr>
        <w:rPr>
          <w:rFonts w:ascii="宋体" w:hAnsi="宋体" w:cs="宋体"/>
          <w:sz w:val="24"/>
          <w:highlight w:val="none"/>
        </w:rPr>
      </w:pPr>
      <w:bookmarkStart w:id="33" w:name="_Toc15465893"/>
      <w:bookmarkStart w:id="34" w:name="_Toc15465622"/>
      <w:bookmarkStart w:id="35" w:name="_Toc15466107"/>
      <w:bookmarkStart w:id="36" w:name="_Toc15562878"/>
      <w:r>
        <w:rPr>
          <w:rFonts w:hint="eastAsia" w:ascii="宋体" w:hAnsi="宋体" w:cs="宋体"/>
          <w:sz w:val="24"/>
          <w:highlight w:val="none"/>
        </w:rPr>
        <w:t>法律适用</w:t>
      </w:r>
      <w:bookmarkEnd w:id="33"/>
      <w:bookmarkEnd w:id="34"/>
      <w:bookmarkEnd w:id="35"/>
      <w:bookmarkEnd w:id="36"/>
    </w:p>
    <w:p>
      <w:pPr>
        <w:ind w:left="560" w:firstLine="560"/>
        <w:rPr>
          <w:rFonts w:ascii="宋体" w:hAnsi="宋体" w:cs="宋体"/>
          <w:sz w:val="24"/>
          <w:highlight w:val="none"/>
        </w:rPr>
      </w:pPr>
      <w:r>
        <w:rPr>
          <w:rFonts w:hint="eastAsia" w:ascii="宋体" w:hAnsi="宋体" w:cs="宋体"/>
          <w:sz w:val="24"/>
          <w:highlight w:val="none"/>
        </w:rPr>
        <w:t>本协议条款的分析和解释均以中华人民共和国现行法律作为适用依据。</w:t>
      </w:r>
    </w:p>
    <w:p>
      <w:pPr>
        <w:pStyle w:val="28"/>
        <w:jc w:val="center"/>
        <w:rPr>
          <w:rFonts w:ascii="宋体" w:hAnsi="宋体" w:cs="宋体"/>
          <w:sz w:val="24"/>
          <w:highlight w:val="none"/>
        </w:rPr>
      </w:pPr>
      <w:bookmarkStart w:id="37" w:name="_Toc15562879"/>
      <w:r>
        <w:rPr>
          <w:rFonts w:hint="eastAsia" w:ascii="宋体" w:hAnsi="宋体" w:cs="宋体"/>
          <w:sz w:val="24"/>
          <w:highlight w:val="none"/>
        </w:rPr>
        <w:t>定义和解释</w:t>
      </w:r>
      <w:bookmarkEnd w:id="37"/>
    </w:p>
    <w:p>
      <w:pPr>
        <w:pStyle w:val="28"/>
        <w:numPr>
          <w:ilvl w:val="1"/>
          <w:numId w:val="5"/>
        </w:numPr>
        <w:rPr>
          <w:rFonts w:ascii="宋体" w:hAnsi="宋体" w:cs="宋体"/>
          <w:sz w:val="24"/>
          <w:highlight w:val="none"/>
        </w:rPr>
      </w:pPr>
      <w:bookmarkStart w:id="38" w:name="_Toc15466109"/>
      <w:bookmarkStart w:id="39" w:name="_Toc15465624"/>
      <w:bookmarkStart w:id="40" w:name="_Toc15562880"/>
      <w:bookmarkStart w:id="41" w:name="_Toc15465895"/>
      <w:r>
        <w:rPr>
          <w:rFonts w:hint="eastAsia" w:ascii="宋体" w:hAnsi="宋体" w:cs="宋体"/>
          <w:sz w:val="24"/>
          <w:highlight w:val="none"/>
        </w:rPr>
        <w:t>定义</w:t>
      </w:r>
      <w:bookmarkEnd w:id="38"/>
      <w:bookmarkEnd w:id="39"/>
      <w:bookmarkEnd w:id="40"/>
      <w:bookmarkEnd w:id="41"/>
    </w:p>
    <w:p>
      <w:pPr>
        <w:ind w:left="560" w:firstLine="560"/>
        <w:rPr>
          <w:rFonts w:ascii="宋体" w:hAnsi="宋体" w:cs="宋体"/>
          <w:highlight w:val="none"/>
        </w:rPr>
      </w:pPr>
      <w:r>
        <w:rPr>
          <w:rFonts w:hint="eastAsia" w:ascii="宋体" w:hAnsi="宋体" w:cs="宋体"/>
          <w:sz w:val="24"/>
          <w:highlight w:val="none"/>
        </w:rPr>
        <w:t>本协议中，除文件明示另有所指外，下列术语具有如下含义：</w:t>
      </w:r>
    </w:p>
    <w:tbl>
      <w:tblPr>
        <w:tblStyle w:val="16"/>
        <w:tblW w:w="8557"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6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atLeast"/>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本协议</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指由甲方与乙方签署的本《海口市美兰区乡镇环卫一体化项目协议》，包括全部附件，以及日后可能签署的任何本协议之补充修改协议和附件，每一部分都应视为本协议的一部分。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项目/本项目</w:t>
            </w:r>
          </w:p>
        </w:tc>
        <w:tc>
          <w:tcPr>
            <w:tcW w:w="6774" w:type="dxa"/>
          </w:tcPr>
          <w:p>
            <w:pPr>
              <w:snapToGrid w:val="0"/>
              <w:spacing w:line="440" w:lineRule="exact"/>
              <w:rPr>
                <w:rFonts w:ascii="宋体" w:hAnsi="宋体" w:cs="宋体"/>
                <w:szCs w:val="28"/>
                <w:highlight w:val="none"/>
              </w:rPr>
            </w:pPr>
            <w:r>
              <w:rPr>
                <w:rFonts w:hint="eastAsia" w:ascii="宋体" w:hAnsi="宋体" w:cs="宋体"/>
                <w:bCs/>
                <w:szCs w:val="28"/>
                <w:highlight w:val="none"/>
              </w:rPr>
              <w:t>指海口市美兰区乡镇环卫一体化项目。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环卫局</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海口市美兰区环境卫生管理局。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承包期限/承包期</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指本项目承包期限为叁（3）年，自2019年  月  日始至2022年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清扫保洁作业全覆盖</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指在清扫保洁环卫作业中，确保无卫生死角，达到在可清扫保洁的区域全部进行清扫保洁的效果。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全密闭化作业</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指在垃圾收集、运输全过程中，采用密闭的容器装运垃圾，同时作业工艺和流程保证垃圾不暴露的作业方式。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无主生活垃圾</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指一些拆迁、闲置未开发的空旷地或管理主体不明确的区域内，由于无专人定期管理，被他人丢弃而积存的生活垃圾。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垃圾转运站</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指本项目四个乡镇辖区范围内的垃圾集中地点。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二级转运站</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指为了减少垃圾清运过程的运输费用而在垃圾产地（或集中地点）至处理厂（场）之间所设的垃圾集中，再转运到大型的或其他运费较低的运载车辆中继续运往处理厂（场）。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8" w:hRule="atLeast"/>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适用法律</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所有适用的中华人民共和国法律、法规、规章、地方性法规、司法解释、政府部门颁布的标准、规范或其他适用的强制性要求、有法律约束力的规范性文件等。除非另有特别约定或文意另有所指，本协议中提及的“法律”均包括适用法律的全部定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政府行为</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指甲方的任何上级政府部门（区级及以上）的国有化、征收及征用等行为。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生效日</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指本协议甲乙双方盖章并由双方法定代表人或授权代表签字之日。如依照适用法律需要履行审批程序的，则在有权部门审批后生效。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工作日</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指除中国法定休息日和法定节日或假日以外的、各机构普遍工作的任何日期。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right"/>
        </w:trPr>
        <w:tc>
          <w:tcPr>
            <w:tcW w:w="1783" w:type="dxa"/>
          </w:tcPr>
          <w:p>
            <w:pPr>
              <w:snapToGrid w:val="0"/>
              <w:spacing w:line="440" w:lineRule="exact"/>
              <w:rPr>
                <w:rFonts w:ascii="宋体" w:hAnsi="宋体" w:cs="宋体"/>
                <w:b/>
                <w:szCs w:val="28"/>
                <w:highlight w:val="none"/>
              </w:rPr>
            </w:pPr>
            <w:r>
              <w:rPr>
                <w:rFonts w:hint="eastAsia" w:ascii="宋体" w:hAnsi="宋体" w:cs="宋体"/>
                <w:b/>
                <w:szCs w:val="28"/>
                <w:highlight w:val="none"/>
              </w:rPr>
              <w:t>终止日</w:t>
            </w:r>
          </w:p>
        </w:tc>
        <w:tc>
          <w:tcPr>
            <w:tcW w:w="6774" w:type="dxa"/>
          </w:tcPr>
          <w:p>
            <w:pPr>
              <w:snapToGrid w:val="0"/>
              <w:spacing w:line="440" w:lineRule="exact"/>
              <w:rPr>
                <w:rFonts w:ascii="宋体" w:hAnsi="宋体" w:cs="宋体"/>
                <w:szCs w:val="28"/>
                <w:highlight w:val="none"/>
              </w:rPr>
            </w:pPr>
            <w:r>
              <w:rPr>
                <w:rFonts w:hint="eastAsia" w:ascii="宋体" w:hAnsi="宋体" w:cs="宋体"/>
                <w:szCs w:val="28"/>
                <w:highlight w:val="none"/>
              </w:rPr>
              <w:t>指本协议提前终止的日期。</w:t>
            </w:r>
          </w:p>
        </w:tc>
      </w:tr>
    </w:tbl>
    <w:p>
      <w:pPr>
        <w:pStyle w:val="28"/>
        <w:numPr>
          <w:ilvl w:val="1"/>
          <w:numId w:val="1"/>
        </w:numPr>
        <w:rPr>
          <w:rFonts w:ascii="宋体" w:hAnsi="宋体" w:cs="宋体"/>
          <w:sz w:val="24"/>
          <w:highlight w:val="none"/>
        </w:rPr>
      </w:pPr>
      <w:bookmarkStart w:id="42" w:name="_Toc15465625"/>
      <w:bookmarkStart w:id="43" w:name="_Toc15466110"/>
      <w:bookmarkStart w:id="44" w:name="_Toc15465896"/>
      <w:bookmarkStart w:id="45" w:name="_Toc15562881"/>
      <w:r>
        <w:rPr>
          <w:rFonts w:hint="eastAsia" w:ascii="宋体" w:hAnsi="宋体" w:cs="宋体"/>
          <w:sz w:val="24"/>
          <w:highlight w:val="none"/>
        </w:rPr>
        <w:t>解释</w:t>
      </w:r>
      <w:bookmarkEnd w:id="42"/>
      <w:bookmarkEnd w:id="43"/>
      <w:bookmarkEnd w:id="44"/>
      <w:bookmarkEnd w:id="45"/>
    </w:p>
    <w:p>
      <w:pPr>
        <w:pStyle w:val="28"/>
        <w:numPr>
          <w:ilvl w:val="2"/>
          <w:numId w:val="1"/>
        </w:numPr>
        <w:rPr>
          <w:rFonts w:ascii="宋体" w:hAnsi="宋体" w:cs="宋体"/>
          <w:b w:val="0"/>
          <w:sz w:val="24"/>
          <w:highlight w:val="none"/>
        </w:rPr>
      </w:pPr>
      <w:bookmarkStart w:id="46" w:name="_Toc15466111"/>
      <w:bookmarkStart w:id="47" w:name="_Toc15465897"/>
      <w:bookmarkStart w:id="48" w:name="_Toc15562882"/>
      <w:bookmarkStart w:id="49" w:name="_Toc15465626"/>
      <w:r>
        <w:rPr>
          <w:rFonts w:hint="eastAsia" w:ascii="宋体" w:hAnsi="宋体" w:cs="宋体"/>
          <w:b w:val="0"/>
          <w:sz w:val="24"/>
          <w:highlight w:val="none"/>
        </w:rPr>
        <w:t>解释规则</w:t>
      </w:r>
      <w:bookmarkEnd w:id="46"/>
      <w:bookmarkEnd w:id="47"/>
      <w:bookmarkEnd w:id="48"/>
      <w:bookmarkEnd w:id="49"/>
    </w:p>
    <w:p>
      <w:pPr>
        <w:ind w:left="560" w:firstLine="560"/>
        <w:rPr>
          <w:rFonts w:ascii="宋体" w:hAnsi="宋体" w:cs="宋体"/>
          <w:sz w:val="24"/>
          <w:highlight w:val="none"/>
        </w:rPr>
      </w:pPr>
      <w:r>
        <w:rPr>
          <w:rFonts w:hint="eastAsia" w:ascii="宋体" w:hAnsi="宋体" w:cs="宋体"/>
          <w:sz w:val="24"/>
          <w:highlight w:val="none"/>
        </w:rPr>
        <w:t>（a）协议文件</w:t>
      </w:r>
    </w:p>
    <w:p>
      <w:pPr>
        <w:ind w:left="560" w:firstLine="560"/>
        <w:rPr>
          <w:rFonts w:ascii="宋体" w:hAnsi="宋体" w:cs="宋体"/>
          <w:sz w:val="24"/>
          <w:highlight w:val="none"/>
        </w:rPr>
      </w:pPr>
      <w:r>
        <w:rPr>
          <w:rFonts w:hint="eastAsia" w:ascii="宋体" w:hAnsi="宋体" w:cs="宋体"/>
          <w:sz w:val="24"/>
          <w:highlight w:val="none"/>
        </w:rPr>
        <w:t>本协议包括附件，每一份附件都应被视为本协议的一部分。</w:t>
      </w:r>
    </w:p>
    <w:p>
      <w:pPr>
        <w:ind w:left="560" w:firstLine="560"/>
        <w:rPr>
          <w:rFonts w:ascii="宋体" w:hAnsi="宋体" w:cs="宋体"/>
          <w:sz w:val="24"/>
          <w:highlight w:val="none"/>
        </w:rPr>
      </w:pPr>
      <w:r>
        <w:rPr>
          <w:rFonts w:hint="eastAsia" w:ascii="宋体" w:hAnsi="宋体" w:cs="宋体"/>
          <w:sz w:val="24"/>
          <w:highlight w:val="none"/>
        </w:rPr>
        <w:t>（b）完整的协议</w:t>
      </w:r>
    </w:p>
    <w:p>
      <w:pPr>
        <w:ind w:left="560" w:firstLine="560"/>
        <w:rPr>
          <w:rFonts w:ascii="宋体" w:hAnsi="宋体" w:cs="宋体"/>
          <w:sz w:val="24"/>
          <w:highlight w:val="none"/>
        </w:rPr>
      </w:pPr>
      <w:r>
        <w:rPr>
          <w:rFonts w:hint="eastAsia" w:ascii="宋体" w:hAnsi="宋体" w:cs="宋体"/>
          <w:sz w:val="24"/>
          <w:highlight w:val="none"/>
        </w:rPr>
        <w:t>本协议构成双方对本项目的完全的理解，代替双方以前所有的有关本项目的书面和口头陈述或安排。</w:t>
      </w:r>
    </w:p>
    <w:p>
      <w:pPr>
        <w:ind w:left="560" w:firstLine="560"/>
        <w:rPr>
          <w:rFonts w:ascii="宋体" w:hAnsi="宋体" w:cs="宋体"/>
          <w:sz w:val="24"/>
          <w:highlight w:val="none"/>
        </w:rPr>
      </w:pPr>
      <w:r>
        <w:rPr>
          <w:rFonts w:hint="eastAsia" w:ascii="宋体" w:hAnsi="宋体" w:cs="宋体"/>
          <w:sz w:val="24"/>
          <w:highlight w:val="none"/>
        </w:rPr>
        <w:t>（c）修改</w:t>
      </w:r>
    </w:p>
    <w:p>
      <w:pPr>
        <w:ind w:left="560" w:firstLine="560"/>
        <w:rPr>
          <w:rFonts w:ascii="宋体" w:hAnsi="宋体" w:cs="宋体"/>
          <w:sz w:val="24"/>
          <w:highlight w:val="none"/>
        </w:rPr>
      </w:pPr>
      <w:r>
        <w:rPr>
          <w:rFonts w:hint="eastAsia" w:ascii="宋体" w:hAnsi="宋体" w:cs="宋体"/>
          <w:sz w:val="24"/>
          <w:highlight w:val="none"/>
        </w:rPr>
        <w:t>本协议任何修改、补充或变更只有以书面形式并由双方授权代表签字盖章方可生效。</w:t>
      </w:r>
    </w:p>
    <w:p>
      <w:pPr>
        <w:ind w:left="560" w:firstLine="560"/>
        <w:rPr>
          <w:rFonts w:ascii="宋体" w:hAnsi="宋体" w:cs="宋体"/>
          <w:sz w:val="24"/>
          <w:highlight w:val="none"/>
        </w:rPr>
      </w:pPr>
      <w:r>
        <w:rPr>
          <w:rFonts w:hint="eastAsia" w:ascii="宋体" w:hAnsi="宋体" w:cs="宋体"/>
          <w:sz w:val="24"/>
          <w:highlight w:val="none"/>
        </w:rPr>
        <w:t>（d）可分割性</w:t>
      </w:r>
    </w:p>
    <w:p>
      <w:pPr>
        <w:ind w:left="560" w:firstLine="560"/>
        <w:rPr>
          <w:rFonts w:ascii="宋体" w:hAnsi="宋体" w:cs="宋体"/>
          <w:sz w:val="24"/>
          <w:highlight w:val="none"/>
        </w:rPr>
      </w:pPr>
      <w:r>
        <w:rPr>
          <w:rFonts w:hint="eastAsia" w:ascii="宋体" w:hAnsi="宋体" w:cs="宋体"/>
          <w:sz w:val="24"/>
          <w:highlight w:val="none"/>
        </w:rPr>
        <w:t>如果本协议任何部分被任何仲裁庭或法院宣布为无效，本协议其他部分仍然有效和可执行。</w:t>
      </w:r>
    </w:p>
    <w:p>
      <w:pPr>
        <w:ind w:left="560" w:firstLine="560"/>
        <w:rPr>
          <w:rFonts w:ascii="宋体" w:hAnsi="宋体" w:cs="宋体"/>
          <w:sz w:val="24"/>
          <w:highlight w:val="none"/>
        </w:rPr>
      </w:pPr>
      <w:r>
        <w:rPr>
          <w:rFonts w:hint="eastAsia" w:ascii="宋体" w:hAnsi="宋体" w:cs="宋体"/>
          <w:sz w:val="24"/>
          <w:highlight w:val="none"/>
        </w:rPr>
        <w:t>（e）本协议与附件的一致性</w:t>
      </w:r>
    </w:p>
    <w:p>
      <w:pPr>
        <w:ind w:left="560" w:firstLine="560"/>
        <w:rPr>
          <w:rFonts w:ascii="宋体" w:hAnsi="宋体" w:cs="宋体"/>
          <w:sz w:val="24"/>
          <w:highlight w:val="none"/>
        </w:rPr>
      </w:pPr>
      <w:r>
        <w:rPr>
          <w:rFonts w:hint="eastAsia" w:ascii="宋体" w:hAnsi="宋体" w:cs="宋体"/>
          <w:sz w:val="24"/>
          <w:highlight w:val="none"/>
        </w:rPr>
        <w:t>在承包期内，本协议附件的解释应与本协议保持一致。如果出现矛盾或不一致的地方，则应以本协议为准。</w:t>
      </w:r>
    </w:p>
    <w:p>
      <w:pPr>
        <w:pStyle w:val="28"/>
        <w:numPr>
          <w:ilvl w:val="2"/>
          <w:numId w:val="1"/>
        </w:numPr>
        <w:rPr>
          <w:rFonts w:ascii="宋体" w:hAnsi="宋体" w:cs="宋体"/>
          <w:b w:val="0"/>
          <w:sz w:val="24"/>
          <w:highlight w:val="none"/>
        </w:rPr>
      </w:pPr>
      <w:bookmarkStart w:id="50" w:name="_Toc15465898"/>
      <w:bookmarkStart w:id="51" w:name="_Toc15466112"/>
      <w:bookmarkStart w:id="52" w:name="_Toc15562883"/>
      <w:bookmarkStart w:id="53" w:name="_Toc15465627"/>
      <w:r>
        <w:rPr>
          <w:rFonts w:hint="eastAsia" w:ascii="宋体" w:hAnsi="宋体" w:cs="宋体"/>
          <w:b w:val="0"/>
          <w:sz w:val="24"/>
          <w:highlight w:val="none"/>
        </w:rPr>
        <w:t>解释规则</w:t>
      </w:r>
      <w:bookmarkEnd w:id="50"/>
      <w:bookmarkEnd w:id="51"/>
      <w:bookmarkEnd w:id="52"/>
      <w:bookmarkEnd w:id="53"/>
    </w:p>
    <w:p>
      <w:pPr>
        <w:ind w:left="560" w:firstLine="560"/>
        <w:rPr>
          <w:rFonts w:ascii="宋体" w:hAnsi="宋体" w:cs="宋体"/>
          <w:sz w:val="24"/>
          <w:highlight w:val="none"/>
        </w:rPr>
      </w:pPr>
      <w:r>
        <w:rPr>
          <w:rFonts w:hint="eastAsia" w:ascii="宋体" w:hAnsi="宋体" w:cs="宋体"/>
          <w:sz w:val="24"/>
          <w:highlight w:val="none"/>
        </w:rPr>
        <w:t>本协议中的标题仅为阅读方便所设，不应影响条文的解释。以下的规定同样适用于对本协议进行解释，除非其上下文明确显示其不适用。</w:t>
      </w:r>
    </w:p>
    <w:p>
      <w:pPr>
        <w:ind w:left="560" w:firstLine="560"/>
        <w:rPr>
          <w:rFonts w:ascii="宋体" w:hAnsi="宋体" w:cs="宋体"/>
          <w:sz w:val="24"/>
          <w:highlight w:val="none"/>
        </w:rPr>
      </w:pPr>
      <w:r>
        <w:rPr>
          <w:rFonts w:hint="eastAsia" w:ascii="宋体" w:hAnsi="宋体" w:cs="宋体"/>
          <w:sz w:val="24"/>
          <w:highlight w:val="none"/>
        </w:rPr>
        <w:t>在本协议中：</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（1）协议或文件包括经修订、更新、补充或替代后的该协议或文件；</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（2）“元”指人民币元；</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（3）条款或附件：指本协议的条款或附件；</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（4）一方、各方：指本协议的一方或双方或各方，并且包括经允许的替代该方的人或该方的受让人；</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（5）除非本协议另有明确约定，“包括”指包括但不限于；除本协议另有明确约定，“以上”、“以下”、“以内”或“内”均含本数，“超过”、“以外”不含本数；</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（6）除非本协议另有约定，提及的一方或双方或各方均为本协议的一方或双方或各方，并包括其各自合法的继任者或受让人；</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（7）所指的日、月和年均指公历的日、月和年；</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（8）本协议中的标题不应视为对本协议的当然解释，本协议的各个组成部分都具有同样的法律效力及同等的重要性；</w:t>
      </w:r>
    </w:p>
    <w:p>
      <w:pPr>
        <w:pStyle w:val="8"/>
        <w:overflowPunct w:val="0"/>
        <w:autoSpaceDE w:val="0"/>
        <w:autoSpaceDN w:val="0"/>
        <w:adjustRightInd w:val="0"/>
        <w:spacing w:before="120" w:beforeLines="50" w:after="0" w:line="440" w:lineRule="exact"/>
        <w:ind w:left="600" w:hanging="600" w:hangingChars="250"/>
        <w:jc w:val="left"/>
        <w:rPr>
          <w:rFonts w:ascii="宋体" w:hAnsi="宋体" w:cs="宋体"/>
          <w:kern w:val="0"/>
          <w:sz w:val="24"/>
          <w:highlight w:val="none"/>
        </w:rPr>
      </w:pPr>
      <w:r>
        <w:rPr>
          <w:rFonts w:hint="eastAsia" w:ascii="宋体" w:hAnsi="宋体" w:cs="宋体"/>
          <w:kern w:val="0"/>
          <w:sz w:val="24"/>
          <w:highlight w:val="none"/>
        </w:rPr>
        <w:t>（9）本协议并不限制或以其它方式影响甲方及其他政府部门行使其法定行政职权。在本协议有效期内，如果本协议项下的有关约定届时被纳入相关法律规范属于甲方或其他政府部门的行政职权，适用该等法律规定；</w:t>
      </w:r>
    </w:p>
    <w:p>
      <w:pPr>
        <w:pStyle w:val="8"/>
        <w:overflowPunct w:val="0"/>
        <w:autoSpaceDE w:val="0"/>
        <w:autoSpaceDN w:val="0"/>
        <w:adjustRightInd w:val="0"/>
        <w:spacing w:before="120" w:beforeLines="50" w:after="0" w:line="440" w:lineRule="exact"/>
        <w:ind w:left="600" w:hanging="600" w:hangingChars="250"/>
        <w:jc w:val="left"/>
        <w:rPr>
          <w:rFonts w:ascii="仿宋" w:hAnsi="仿宋" w:eastAsia="仿宋"/>
          <w:kern w:val="0"/>
          <w:szCs w:val="28"/>
          <w:highlight w:val="none"/>
        </w:rPr>
      </w:pPr>
      <w:r>
        <w:rPr>
          <w:rFonts w:hint="eastAsia" w:ascii="宋体" w:hAnsi="宋体" w:cs="宋体"/>
          <w:kern w:val="0"/>
          <w:sz w:val="24"/>
          <w:highlight w:val="none"/>
        </w:rPr>
        <w:t>（10）要求在某一非工作日付款：指该付款应在该日后的第一个工作日支付。</w:t>
      </w:r>
    </w:p>
    <w:p>
      <w:pPr>
        <w:pStyle w:val="28"/>
        <w:jc w:val="center"/>
        <w:rPr>
          <w:rFonts w:ascii="宋体" w:hAnsi="宋体" w:cs="宋体"/>
          <w:sz w:val="24"/>
          <w:highlight w:val="none"/>
        </w:rPr>
      </w:pPr>
      <w:bookmarkStart w:id="54" w:name="_Toc15562884"/>
      <w:r>
        <w:rPr>
          <w:rFonts w:hint="eastAsia" w:ascii="宋体" w:hAnsi="宋体" w:cs="宋体"/>
          <w:sz w:val="24"/>
          <w:highlight w:val="none"/>
        </w:rPr>
        <w:t>声明和保证</w:t>
      </w:r>
      <w:bookmarkEnd w:id="54"/>
    </w:p>
    <w:p>
      <w:pPr>
        <w:pStyle w:val="28"/>
        <w:numPr>
          <w:ilvl w:val="1"/>
          <w:numId w:val="6"/>
        </w:numPr>
        <w:rPr>
          <w:rFonts w:ascii="宋体" w:hAnsi="宋体" w:cs="宋体"/>
          <w:sz w:val="24"/>
          <w:highlight w:val="none"/>
        </w:rPr>
      </w:pPr>
      <w:bookmarkStart w:id="55" w:name="_Toc15465629"/>
      <w:bookmarkStart w:id="56" w:name="_Toc15562885"/>
      <w:bookmarkStart w:id="57" w:name="_Toc15465900"/>
      <w:bookmarkStart w:id="58" w:name="_Toc15466114"/>
      <w:r>
        <w:rPr>
          <w:rFonts w:hint="eastAsia" w:ascii="宋体" w:hAnsi="宋体" w:cs="宋体"/>
          <w:sz w:val="24"/>
          <w:highlight w:val="none"/>
        </w:rPr>
        <w:t>甲方的声明和保证</w:t>
      </w:r>
      <w:bookmarkEnd w:id="55"/>
      <w:bookmarkEnd w:id="56"/>
      <w:bookmarkEnd w:id="57"/>
      <w:bookmarkEnd w:id="58"/>
    </w:p>
    <w:p>
      <w:pPr>
        <w:ind w:left="560" w:firstLine="560"/>
        <w:rPr>
          <w:rFonts w:ascii="宋体" w:hAnsi="宋体" w:cs="宋体"/>
          <w:sz w:val="24"/>
          <w:highlight w:val="none"/>
        </w:rPr>
      </w:pPr>
      <w:r>
        <w:rPr>
          <w:rFonts w:hint="eastAsia" w:ascii="宋体" w:hAnsi="宋体" w:cs="宋体"/>
          <w:sz w:val="24"/>
          <w:highlight w:val="none"/>
        </w:rPr>
        <w:t>甲方在此声明，在生效日：</w:t>
      </w:r>
    </w:p>
    <w:p>
      <w:pPr>
        <w:pStyle w:val="8"/>
        <w:overflowPunct w:val="0"/>
        <w:autoSpaceDE w:val="0"/>
        <w:autoSpaceDN w:val="0"/>
        <w:adjustRightInd w:val="0"/>
        <w:spacing w:after="0"/>
        <w:ind w:left="600" w:hanging="600" w:hangingChars="250"/>
        <w:jc w:val="left"/>
        <w:rPr>
          <w:rFonts w:ascii="宋体" w:hAnsi="宋体" w:cs="宋体"/>
          <w:kern w:val="0"/>
          <w:sz w:val="24"/>
          <w:highlight w:val="none"/>
        </w:rPr>
      </w:pPr>
      <w:r>
        <w:rPr>
          <w:rFonts w:hint="eastAsia" w:ascii="宋体" w:hAnsi="宋体" w:cs="宋体"/>
          <w:kern w:val="0"/>
          <w:sz w:val="24"/>
          <w:highlight w:val="none"/>
        </w:rPr>
        <w:t>（1）甲方完全有权签署本协议，并有能力履行本协议项下义务。</w:t>
      </w:r>
    </w:p>
    <w:p>
      <w:pPr>
        <w:pStyle w:val="8"/>
        <w:overflowPunct w:val="0"/>
        <w:autoSpaceDE w:val="0"/>
        <w:autoSpaceDN w:val="0"/>
        <w:adjustRightInd w:val="0"/>
        <w:spacing w:after="0"/>
        <w:ind w:left="600" w:hanging="600" w:hangingChars="250"/>
        <w:jc w:val="left"/>
        <w:rPr>
          <w:rFonts w:ascii="宋体" w:hAnsi="宋体" w:cs="宋体"/>
          <w:kern w:val="0"/>
          <w:sz w:val="24"/>
          <w:highlight w:val="none"/>
        </w:rPr>
      </w:pPr>
      <w:r>
        <w:rPr>
          <w:rFonts w:hint="eastAsia" w:ascii="宋体" w:hAnsi="宋体" w:cs="宋体"/>
          <w:kern w:val="0"/>
          <w:sz w:val="24"/>
          <w:highlight w:val="none"/>
        </w:rPr>
        <w:t>（2）本合同一经签订，即对甲方具有完全的法律约束力，签订和履行本合同不会导致甲方违反对其具有约束力的任何法律、法规和合同性文件的规定，或者与之有利益冲突。</w:t>
      </w:r>
    </w:p>
    <w:p>
      <w:pPr>
        <w:pStyle w:val="8"/>
        <w:overflowPunct w:val="0"/>
        <w:autoSpaceDE w:val="0"/>
        <w:autoSpaceDN w:val="0"/>
        <w:adjustRightInd w:val="0"/>
        <w:spacing w:after="0"/>
        <w:ind w:left="600" w:hanging="600" w:hangingChars="250"/>
        <w:jc w:val="left"/>
        <w:rPr>
          <w:rFonts w:ascii="宋体" w:hAnsi="宋体" w:cs="宋体"/>
          <w:kern w:val="0"/>
          <w:sz w:val="24"/>
          <w:highlight w:val="none"/>
        </w:rPr>
      </w:pPr>
      <w:r>
        <w:rPr>
          <w:rFonts w:hint="eastAsia" w:ascii="宋体" w:hAnsi="宋体" w:cs="宋体"/>
          <w:kern w:val="0"/>
          <w:sz w:val="24"/>
          <w:highlight w:val="none"/>
        </w:rPr>
        <w:t>（3）不存在任何与本项目有关的由甲方作为一方签署、并可能对本项目、乙方或乙方产生重大不利影响的合同、协议和/或任何未决或即将进行的诉讼。</w:t>
      </w:r>
    </w:p>
    <w:p>
      <w:pPr>
        <w:pStyle w:val="8"/>
        <w:overflowPunct w:val="0"/>
        <w:autoSpaceDE w:val="0"/>
        <w:autoSpaceDN w:val="0"/>
        <w:adjustRightInd w:val="0"/>
        <w:spacing w:after="0"/>
        <w:ind w:left="600" w:hanging="600" w:hangingChars="250"/>
        <w:jc w:val="left"/>
        <w:rPr>
          <w:rFonts w:ascii="宋体" w:hAnsi="宋体" w:cs="宋体"/>
          <w:kern w:val="0"/>
          <w:sz w:val="24"/>
          <w:highlight w:val="none"/>
        </w:rPr>
      </w:pPr>
      <w:r>
        <w:rPr>
          <w:rFonts w:hint="eastAsia" w:ascii="宋体" w:hAnsi="宋体" w:cs="宋体"/>
          <w:kern w:val="0"/>
          <w:sz w:val="24"/>
          <w:highlight w:val="none"/>
        </w:rPr>
        <w:t>（4）对双方为本协议或其它协议实施之目的而应由甲方取得的审批文件或授权，甲方应积极办理；对乙方为本协议实施之目的所签订的、需其批准的其它协议、合同等，甲方应给予及时批准，不得无理拒绝。</w:t>
      </w:r>
    </w:p>
    <w:p>
      <w:pPr>
        <w:pStyle w:val="28"/>
        <w:numPr>
          <w:ilvl w:val="1"/>
          <w:numId w:val="1"/>
        </w:numPr>
        <w:ind w:left="200"/>
        <w:rPr>
          <w:rFonts w:ascii="宋体" w:hAnsi="宋体" w:cs="宋体"/>
          <w:sz w:val="24"/>
          <w:highlight w:val="none"/>
        </w:rPr>
      </w:pPr>
      <w:bookmarkStart w:id="59" w:name="_Toc15562886"/>
      <w:bookmarkStart w:id="60" w:name="_Toc15465630"/>
      <w:bookmarkStart w:id="61" w:name="_Toc15466115"/>
      <w:bookmarkStart w:id="62" w:name="_Toc15465901"/>
      <w:r>
        <w:rPr>
          <w:rFonts w:hint="eastAsia" w:ascii="宋体" w:hAnsi="宋体" w:cs="宋体"/>
          <w:sz w:val="24"/>
          <w:highlight w:val="none"/>
        </w:rPr>
        <w:t>乙方的声明和保证</w:t>
      </w:r>
      <w:bookmarkEnd w:id="59"/>
      <w:bookmarkEnd w:id="60"/>
      <w:bookmarkEnd w:id="61"/>
      <w:bookmarkEnd w:id="62"/>
    </w:p>
    <w:p>
      <w:pPr>
        <w:ind w:left="560" w:firstLine="560"/>
        <w:rPr>
          <w:rFonts w:ascii="宋体" w:hAnsi="宋体" w:cs="宋体"/>
          <w:sz w:val="24"/>
          <w:highlight w:val="none"/>
        </w:rPr>
      </w:pPr>
      <w:r>
        <w:rPr>
          <w:rFonts w:hint="eastAsia" w:ascii="宋体" w:hAnsi="宋体" w:cs="宋体"/>
          <w:sz w:val="24"/>
          <w:highlight w:val="none"/>
        </w:rPr>
        <w:t>乙方在此声明：</w:t>
      </w:r>
    </w:p>
    <w:p>
      <w:pPr>
        <w:pStyle w:val="8"/>
        <w:overflowPunct w:val="0"/>
        <w:autoSpaceDE w:val="0"/>
        <w:autoSpaceDN w:val="0"/>
        <w:adjustRightInd w:val="0"/>
        <w:spacing w:after="0"/>
        <w:ind w:left="600" w:hanging="600" w:hangingChars="250"/>
        <w:jc w:val="left"/>
        <w:rPr>
          <w:rFonts w:ascii="宋体" w:hAnsi="宋体" w:cs="宋体"/>
          <w:kern w:val="0"/>
          <w:sz w:val="24"/>
          <w:highlight w:val="none"/>
        </w:rPr>
      </w:pPr>
      <w:r>
        <w:rPr>
          <w:rFonts w:hint="eastAsia" w:ascii="宋体" w:hAnsi="宋体" w:cs="宋体"/>
          <w:kern w:val="0"/>
          <w:sz w:val="24"/>
          <w:highlight w:val="none"/>
        </w:rPr>
        <w:t>（1）乙方有权根据其批准文件、工商登记文件、章程性文件从事环卫作业，并履行本协议的每一项义务。</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kern w:val="0"/>
          <w:sz w:val="24"/>
          <w:highlight w:val="none"/>
        </w:rPr>
        <w:t>（2）乙方应明确</w:t>
      </w:r>
      <w:r>
        <w:rPr>
          <w:rFonts w:hint="eastAsia" w:ascii="宋体" w:hAnsi="宋体" w:cs="宋体"/>
          <w:sz w:val="24"/>
          <w:highlight w:val="none"/>
        </w:rPr>
        <w:t>有足够数量和经验的专业人员。专业人员数量不足或专业能力不足的，甲方有权要求乙方立即补充。</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sz w:val="24"/>
          <w:highlight w:val="none"/>
        </w:rPr>
        <w:t>（3）乙方已经取得了与签署和履行本协议有关的必要的授权和许可，并有能力履行本协议项下的义务。</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kern w:val="0"/>
          <w:sz w:val="24"/>
          <w:highlight w:val="none"/>
        </w:rPr>
        <w:t>（4）</w:t>
      </w:r>
      <w:r>
        <w:rPr>
          <w:rFonts w:hint="eastAsia" w:ascii="宋体" w:hAnsi="宋体" w:cs="宋体"/>
          <w:sz w:val="24"/>
          <w:highlight w:val="none"/>
        </w:rPr>
        <w:t>本协议一经签订，即对乙方具有完全的法律约束力，签订和履行本协议不会导致乙方违反对其具有约束力的任何法律、法规和合同性文件的规定，或者与之有利益冲突。</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sz w:val="24"/>
          <w:highlight w:val="none"/>
        </w:rPr>
        <w:t>（5）乙方不存在任何与本项目有关的由乙方作为一方签署、并可能对本项目或甲方产生重大不利影响的合同、协议和/或任何未决或即将进行的诉讼。</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sz w:val="24"/>
          <w:highlight w:val="none"/>
        </w:rPr>
        <w:t>（6）乙方具备相应的财务能力、营运能力、人力资源、技术支持和经验实施本项目并履行其在本协议下的每一项义务。</w:t>
      </w:r>
    </w:p>
    <w:p>
      <w:pPr>
        <w:pStyle w:val="8"/>
        <w:overflowPunct w:val="0"/>
        <w:autoSpaceDE w:val="0"/>
        <w:autoSpaceDN w:val="0"/>
        <w:adjustRightInd w:val="0"/>
        <w:spacing w:after="0"/>
        <w:ind w:left="600" w:hanging="600" w:hangingChars="250"/>
        <w:jc w:val="left"/>
        <w:rPr>
          <w:rFonts w:ascii="宋体" w:hAnsi="宋体" w:cs="宋体"/>
          <w:sz w:val="24"/>
          <w:highlight w:val="none"/>
        </w:rPr>
      </w:pPr>
      <w:r>
        <w:rPr>
          <w:rFonts w:hint="eastAsia" w:ascii="宋体" w:hAnsi="宋体" w:cs="宋体"/>
          <w:sz w:val="24"/>
          <w:highlight w:val="none"/>
        </w:rPr>
        <w:t>（7）本协议不限制甲方的法定权力，甲方有权根据法律、法规和本协议的约定对本项目进行监管。</w:t>
      </w:r>
    </w:p>
    <w:p>
      <w:pPr>
        <w:pStyle w:val="28"/>
        <w:numPr>
          <w:ilvl w:val="1"/>
          <w:numId w:val="1"/>
        </w:numPr>
        <w:rPr>
          <w:rFonts w:ascii="宋体" w:hAnsi="宋体" w:cs="宋体"/>
          <w:sz w:val="24"/>
          <w:highlight w:val="none"/>
        </w:rPr>
      </w:pPr>
      <w:bookmarkStart w:id="63" w:name="_Toc15466116"/>
      <w:bookmarkStart w:id="64" w:name="_Toc15562887"/>
      <w:bookmarkStart w:id="65" w:name="_Toc15465902"/>
      <w:bookmarkStart w:id="66" w:name="_Toc15465631"/>
      <w:r>
        <w:rPr>
          <w:rFonts w:hint="eastAsia" w:ascii="宋体" w:hAnsi="宋体" w:cs="宋体"/>
          <w:sz w:val="24"/>
          <w:highlight w:val="none"/>
        </w:rPr>
        <w:t>对虚假声明和保证的赔偿责任</w:t>
      </w:r>
      <w:bookmarkEnd w:id="63"/>
      <w:bookmarkEnd w:id="64"/>
      <w:bookmarkEnd w:id="65"/>
      <w:bookmarkEnd w:id="66"/>
    </w:p>
    <w:p>
      <w:pPr>
        <w:ind w:left="560" w:firstLine="560"/>
        <w:rPr>
          <w:rFonts w:ascii="宋体" w:hAnsi="宋体" w:cs="宋体"/>
          <w:sz w:val="24"/>
          <w:highlight w:val="none"/>
        </w:rPr>
      </w:pPr>
      <w:r>
        <w:rPr>
          <w:rFonts w:hint="eastAsia" w:ascii="宋体" w:hAnsi="宋体" w:cs="宋体"/>
          <w:sz w:val="24"/>
          <w:highlight w:val="none"/>
        </w:rPr>
        <w:t>在不影响本协议其他条款规定的情况下，如果任何一方在本章所作的声明和保证被证明在做出之时在实质方面不正确，另一方有权就其因此所受的任何损害获得赔偿。该等损害指任何一方在谈判、准备和终止本协议时产生的所有费用及开支。</w:t>
      </w:r>
    </w:p>
    <w:p>
      <w:pPr>
        <w:pStyle w:val="28"/>
        <w:jc w:val="center"/>
        <w:rPr>
          <w:rFonts w:ascii="宋体" w:hAnsi="宋体" w:cs="宋体"/>
          <w:sz w:val="24"/>
          <w:highlight w:val="none"/>
        </w:rPr>
      </w:pPr>
      <w:bookmarkStart w:id="67" w:name="_Toc15562888"/>
      <w:r>
        <w:rPr>
          <w:rFonts w:hint="eastAsia" w:ascii="宋体" w:hAnsi="宋体" w:cs="宋体"/>
          <w:sz w:val="24"/>
          <w:highlight w:val="none"/>
        </w:rPr>
        <w:t>双方基本权利和义务</w:t>
      </w:r>
      <w:bookmarkEnd w:id="67"/>
    </w:p>
    <w:p>
      <w:pPr>
        <w:pStyle w:val="28"/>
        <w:numPr>
          <w:ilvl w:val="1"/>
          <w:numId w:val="7"/>
        </w:numPr>
        <w:rPr>
          <w:rFonts w:ascii="宋体" w:hAnsi="宋体" w:cs="宋体"/>
          <w:sz w:val="24"/>
          <w:highlight w:val="none"/>
        </w:rPr>
      </w:pPr>
      <w:bookmarkStart w:id="68" w:name="_Toc15465633"/>
      <w:bookmarkStart w:id="69" w:name="_Toc15562889"/>
      <w:bookmarkStart w:id="70" w:name="_Toc15465904"/>
      <w:bookmarkStart w:id="71" w:name="_Toc15466118"/>
      <w:r>
        <w:rPr>
          <w:rFonts w:hint="eastAsia" w:ascii="宋体" w:hAnsi="宋体" w:cs="宋体"/>
          <w:sz w:val="24"/>
          <w:highlight w:val="none"/>
        </w:rPr>
        <w:t>甲方的权利与义务</w:t>
      </w:r>
      <w:bookmarkEnd w:id="68"/>
      <w:bookmarkEnd w:id="69"/>
      <w:bookmarkEnd w:id="70"/>
      <w:bookmarkEnd w:id="71"/>
    </w:p>
    <w:p>
      <w:pPr>
        <w:pStyle w:val="28"/>
        <w:numPr>
          <w:ilvl w:val="2"/>
          <w:numId w:val="1"/>
        </w:numPr>
        <w:rPr>
          <w:rFonts w:ascii="宋体" w:hAnsi="宋体" w:cs="宋体"/>
          <w:b w:val="0"/>
          <w:sz w:val="24"/>
          <w:highlight w:val="none"/>
        </w:rPr>
      </w:pPr>
      <w:bookmarkStart w:id="72" w:name="_Toc15465634"/>
      <w:bookmarkStart w:id="73" w:name="_Toc15465905"/>
      <w:bookmarkStart w:id="74" w:name="_Toc15562890"/>
      <w:bookmarkStart w:id="75" w:name="_Toc15466119"/>
      <w:r>
        <w:rPr>
          <w:rFonts w:hint="eastAsia" w:ascii="宋体" w:hAnsi="宋体" w:cs="宋体"/>
          <w:b w:val="0"/>
          <w:sz w:val="24"/>
          <w:highlight w:val="none"/>
        </w:rPr>
        <w:t>甲方应按本协议的约定支付项目服务费</w:t>
      </w:r>
      <w:bookmarkEnd w:id="72"/>
      <w:bookmarkEnd w:id="73"/>
      <w:bookmarkEnd w:id="74"/>
      <w:bookmarkEnd w:id="75"/>
    </w:p>
    <w:p>
      <w:pPr>
        <w:pStyle w:val="28"/>
        <w:numPr>
          <w:ilvl w:val="2"/>
          <w:numId w:val="1"/>
        </w:numPr>
        <w:rPr>
          <w:rFonts w:ascii="宋体" w:hAnsi="宋体" w:cs="宋体"/>
          <w:b w:val="0"/>
          <w:sz w:val="24"/>
          <w:highlight w:val="none"/>
        </w:rPr>
      </w:pPr>
      <w:bookmarkStart w:id="76" w:name="_Toc15466120"/>
      <w:bookmarkStart w:id="77" w:name="_Toc15465906"/>
      <w:bookmarkStart w:id="78" w:name="_Toc15562891"/>
      <w:bookmarkStart w:id="79" w:name="_Toc15465635"/>
      <w:r>
        <w:rPr>
          <w:rFonts w:hint="eastAsia" w:ascii="宋体" w:hAnsi="宋体" w:cs="宋体"/>
          <w:b w:val="0"/>
          <w:sz w:val="24"/>
          <w:highlight w:val="none"/>
        </w:rPr>
        <w:t>甲方及其上级环卫行政主管部门有权组织对乙方作业质量、文明、安全作业情况进行定期检查考评，有权查阅、复制本项目的有关文件和资料以及进入现场开展检查，但不得干扰乙方的正常作业。甲方应将每次检查考评情况通知乙方。检查考评结果作为每季度发放给乙方服务费考评扣罚的依据。</w:t>
      </w:r>
      <w:bookmarkEnd w:id="76"/>
      <w:bookmarkEnd w:id="77"/>
      <w:bookmarkEnd w:id="78"/>
      <w:bookmarkEnd w:id="79"/>
    </w:p>
    <w:p>
      <w:pPr>
        <w:pStyle w:val="28"/>
        <w:numPr>
          <w:ilvl w:val="2"/>
          <w:numId w:val="1"/>
        </w:numPr>
        <w:rPr>
          <w:rFonts w:ascii="宋体" w:hAnsi="宋体" w:cs="宋体"/>
          <w:b w:val="0"/>
          <w:sz w:val="24"/>
          <w:highlight w:val="none"/>
        </w:rPr>
      </w:pPr>
      <w:bookmarkStart w:id="80" w:name="_Toc15465636"/>
      <w:bookmarkStart w:id="81" w:name="_Toc15562892"/>
      <w:bookmarkStart w:id="82" w:name="_Toc15466121"/>
      <w:bookmarkStart w:id="83" w:name="_Toc15465907"/>
      <w:r>
        <w:rPr>
          <w:rFonts w:hint="eastAsia" w:ascii="宋体" w:hAnsi="宋体" w:cs="宋体"/>
          <w:b w:val="0"/>
          <w:sz w:val="24"/>
          <w:highlight w:val="none"/>
        </w:rPr>
        <w:t>因乙方经营管理不善，发生重大质量或安全生产事故，或乙方擅自停业歇业，不承担承包作业超过1天的，或乙方作业过程造成重大环境污染，或其他重大、紧急可能危及公干安全行为的，甲方可以指派他人临时接管乙方的承包项目。乙方必须赔偿因自己的责任所造成的经济损失。事故处理后是否恢复履行协议或解除协议由甲方决定。</w:t>
      </w:r>
      <w:bookmarkEnd w:id="80"/>
      <w:bookmarkEnd w:id="81"/>
      <w:bookmarkEnd w:id="82"/>
      <w:bookmarkEnd w:id="83"/>
    </w:p>
    <w:p>
      <w:pPr>
        <w:pStyle w:val="28"/>
        <w:numPr>
          <w:ilvl w:val="2"/>
          <w:numId w:val="1"/>
        </w:numPr>
        <w:rPr>
          <w:rFonts w:ascii="宋体" w:hAnsi="宋体" w:cs="宋体"/>
          <w:b w:val="0"/>
          <w:sz w:val="24"/>
          <w:highlight w:val="none"/>
        </w:rPr>
      </w:pPr>
      <w:bookmarkStart w:id="84" w:name="_Toc15465908"/>
      <w:bookmarkStart w:id="85" w:name="_Toc15466122"/>
      <w:bookmarkStart w:id="86" w:name="_Toc15562893"/>
      <w:bookmarkStart w:id="87" w:name="_Toc15465637"/>
      <w:r>
        <w:rPr>
          <w:rFonts w:hint="eastAsia" w:ascii="宋体" w:hAnsi="宋体" w:cs="宋体"/>
          <w:b w:val="0"/>
          <w:sz w:val="24"/>
          <w:highlight w:val="none"/>
        </w:rPr>
        <w:t>甲方有权协同劳动监察部门对乙方用工情况进行检查。甲方不承担任何由于乙方未办理员工劳动关系由此而产生的纠纷等责任。</w:t>
      </w:r>
      <w:bookmarkEnd w:id="84"/>
      <w:bookmarkEnd w:id="85"/>
      <w:bookmarkEnd w:id="86"/>
      <w:bookmarkEnd w:id="87"/>
    </w:p>
    <w:p>
      <w:pPr>
        <w:pStyle w:val="28"/>
        <w:numPr>
          <w:ilvl w:val="2"/>
          <w:numId w:val="1"/>
        </w:numPr>
        <w:rPr>
          <w:rFonts w:ascii="宋体" w:hAnsi="宋体" w:cs="宋体"/>
          <w:b w:val="0"/>
          <w:sz w:val="24"/>
          <w:highlight w:val="none"/>
        </w:rPr>
      </w:pPr>
      <w:bookmarkStart w:id="88" w:name="_Toc15465909"/>
      <w:bookmarkStart w:id="89" w:name="_Toc15562894"/>
      <w:bookmarkStart w:id="90" w:name="_Toc15466123"/>
      <w:bookmarkStart w:id="91" w:name="_Toc15465638"/>
      <w:r>
        <w:rPr>
          <w:rFonts w:hint="eastAsia" w:ascii="宋体" w:hAnsi="宋体" w:cs="宋体"/>
          <w:b w:val="0"/>
          <w:sz w:val="24"/>
          <w:highlight w:val="none"/>
        </w:rPr>
        <w:t>发生重大活动及突发事件等临时性保障事项时，要求乙方做出应急响应的权利，但甲方应及时通知乙方做好重点保洁保障工作。</w:t>
      </w:r>
      <w:bookmarkEnd w:id="88"/>
      <w:bookmarkEnd w:id="89"/>
      <w:bookmarkEnd w:id="90"/>
      <w:bookmarkEnd w:id="91"/>
    </w:p>
    <w:p>
      <w:pPr>
        <w:pStyle w:val="28"/>
        <w:numPr>
          <w:ilvl w:val="2"/>
          <w:numId w:val="1"/>
        </w:numPr>
        <w:rPr>
          <w:rFonts w:ascii="宋体" w:hAnsi="宋体" w:cs="宋体"/>
          <w:b w:val="0"/>
          <w:sz w:val="24"/>
          <w:highlight w:val="none"/>
        </w:rPr>
      </w:pPr>
      <w:bookmarkStart w:id="92" w:name="_Toc15465910"/>
      <w:bookmarkStart w:id="93" w:name="_Toc15562895"/>
      <w:bookmarkStart w:id="94" w:name="_Toc15465639"/>
      <w:bookmarkStart w:id="95" w:name="_Toc15466124"/>
      <w:r>
        <w:rPr>
          <w:rFonts w:hint="eastAsia" w:ascii="宋体" w:hAnsi="宋体" w:cs="宋体"/>
          <w:b w:val="0"/>
          <w:sz w:val="24"/>
          <w:highlight w:val="none"/>
        </w:rPr>
        <w:t>有权依据客观真实的社会经济环境和市域发展规划，对于项目服务内容及范围有进行变更的权利。</w:t>
      </w:r>
      <w:bookmarkEnd w:id="92"/>
      <w:bookmarkEnd w:id="93"/>
      <w:bookmarkEnd w:id="94"/>
      <w:bookmarkEnd w:id="95"/>
    </w:p>
    <w:p>
      <w:pPr>
        <w:pStyle w:val="28"/>
        <w:numPr>
          <w:ilvl w:val="2"/>
          <w:numId w:val="1"/>
        </w:numPr>
        <w:rPr>
          <w:rFonts w:ascii="宋体" w:hAnsi="宋体" w:cs="宋体"/>
          <w:b w:val="0"/>
          <w:sz w:val="24"/>
          <w:highlight w:val="none"/>
        </w:rPr>
      </w:pPr>
      <w:bookmarkStart w:id="96" w:name="_Toc15562896"/>
      <w:bookmarkStart w:id="97" w:name="_Toc15466125"/>
      <w:bookmarkStart w:id="98" w:name="_Toc15465640"/>
      <w:bookmarkStart w:id="99" w:name="_Toc15465911"/>
      <w:r>
        <w:rPr>
          <w:rFonts w:hint="eastAsia" w:ascii="宋体" w:hAnsi="宋体" w:cs="宋体"/>
          <w:b w:val="0"/>
          <w:sz w:val="24"/>
          <w:highlight w:val="none"/>
        </w:rPr>
        <w:t>有权要求本项目依法接受审计机关的审计监督。</w:t>
      </w:r>
      <w:bookmarkEnd w:id="96"/>
      <w:bookmarkEnd w:id="97"/>
      <w:bookmarkEnd w:id="98"/>
      <w:bookmarkEnd w:id="99"/>
    </w:p>
    <w:p>
      <w:pPr>
        <w:pStyle w:val="28"/>
        <w:numPr>
          <w:ilvl w:val="2"/>
          <w:numId w:val="1"/>
        </w:numPr>
        <w:rPr>
          <w:rFonts w:ascii="宋体" w:hAnsi="宋体" w:cs="宋体"/>
          <w:b w:val="0"/>
          <w:sz w:val="24"/>
          <w:highlight w:val="none"/>
        </w:rPr>
      </w:pPr>
      <w:bookmarkStart w:id="100" w:name="_Toc15562897"/>
      <w:bookmarkStart w:id="101" w:name="_Toc15465641"/>
      <w:bookmarkStart w:id="102" w:name="_Toc15466126"/>
      <w:bookmarkStart w:id="103" w:name="_Toc15465912"/>
      <w:r>
        <w:rPr>
          <w:rFonts w:hint="eastAsia" w:ascii="宋体" w:hAnsi="宋体" w:cs="宋体"/>
          <w:b w:val="0"/>
          <w:sz w:val="24"/>
          <w:highlight w:val="none"/>
        </w:rPr>
        <w:t>当乙方严重违约时，有权提前终止合作，终止本协议。</w:t>
      </w:r>
      <w:bookmarkEnd w:id="100"/>
      <w:bookmarkEnd w:id="101"/>
      <w:bookmarkEnd w:id="102"/>
      <w:bookmarkEnd w:id="103"/>
    </w:p>
    <w:p>
      <w:pPr>
        <w:pStyle w:val="28"/>
        <w:numPr>
          <w:ilvl w:val="2"/>
          <w:numId w:val="1"/>
        </w:numPr>
        <w:rPr>
          <w:rFonts w:ascii="宋体" w:hAnsi="宋体" w:cs="宋体"/>
          <w:b w:val="0"/>
          <w:sz w:val="24"/>
          <w:highlight w:val="none"/>
        </w:rPr>
      </w:pPr>
      <w:bookmarkStart w:id="104" w:name="_Toc15465642"/>
      <w:bookmarkStart w:id="105" w:name="_Toc15562898"/>
      <w:bookmarkStart w:id="106" w:name="_Toc15466127"/>
      <w:bookmarkStart w:id="107" w:name="_Toc15465913"/>
      <w:r>
        <w:rPr>
          <w:rFonts w:hint="eastAsia" w:ascii="宋体" w:hAnsi="宋体" w:cs="宋体"/>
          <w:b w:val="0"/>
          <w:sz w:val="24"/>
          <w:highlight w:val="none"/>
        </w:rPr>
        <w:t>甲方应积极协助乙方解决在承包期内出现的相关问题。</w:t>
      </w:r>
      <w:bookmarkEnd w:id="104"/>
      <w:bookmarkEnd w:id="105"/>
      <w:bookmarkEnd w:id="106"/>
      <w:bookmarkEnd w:id="107"/>
    </w:p>
    <w:p>
      <w:pPr>
        <w:pStyle w:val="28"/>
        <w:numPr>
          <w:ilvl w:val="2"/>
          <w:numId w:val="1"/>
        </w:numPr>
        <w:rPr>
          <w:rFonts w:ascii="宋体" w:hAnsi="宋体" w:cs="宋体"/>
          <w:b w:val="0"/>
          <w:sz w:val="24"/>
          <w:highlight w:val="none"/>
        </w:rPr>
      </w:pPr>
      <w:bookmarkStart w:id="108" w:name="_Toc15465643"/>
      <w:bookmarkStart w:id="109" w:name="_Toc15465914"/>
      <w:bookmarkStart w:id="110" w:name="_Toc15562899"/>
      <w:bookmarkStart w:id="111" w:name="_Toc15466128"/>
      <w:r>
        <w:rPr>
          <w:rFonts w:hint="eastAsia" w:ascii="宋体" w:hAnsi="宋体" w:cs="宋体"/>
          <w:b w:val="0"/>
          <w:sz w:val="24"/>
          <w:highlight w:val="none"/>
        </w:rPr>
        <w:t>本协议不限制甲方作为政府部门依据适用法律行使的法定权力。</w:t>
      </w:r>
      <w:bookmarkEnd w:id="108"/>
      <w:bookmarkEnd w:id="109"/>
      <w:bookmarkEnd w:id="110"/>
      <w:bookmarkEnd w:id="111"/>
    </w:p>
    <w:p>
      <w:pPr>
        <w:pStyle w:val="28"/>
        <w:numPr>
          <w:ilvl w:val="2"/>
          <w:numId w:val="1"/>
        </w:numPr>
        <w:rPr>
          <w:rFonts w:ascii="宋体" w:hAnsi="宋体" w:cs="宋体"/>
          <w:b w:val="0"/>
          <w:sz w:val="24"/>
          <w:highlight w:val="none"/>
        </w:rPr>
      </w:pPr>
      <w:bookmarkStart w:id="112" w:name="_Toc15466129"/>
      <w:bookmarkStart w:id="113" w:name="_Toc15465644"/>
      <w:bookmarkStart w:id="114" w:name="_Toc15465915"/>
      <w:bookmarkStart w:id="115" w:name="_Toc15562900"/>
      <w:r>
        <w:rPr>
          <w:rFonts w:hint="eastAsia" w:ascii="宋体" w:hAnsi="宋体" w:cs="宋体"/>
          <w:b w:val="0"/>
          <w:sz w:val="24"/>
          <w:highlight w:val="none"/>
        </w:rPr>
        <w:t>行使并履行使法律、法规、当地政府的政策文件及本协议约定的其他权利和义务。</w:t>
      </w:r>
      <w:bookmarkEnd w:id="112"/>
      <w:bookmarkEnd w:id="113"/>
      <w:bookmarkEnd w:id="114"/>
      <w:bookmarkEnd w:id="115"/>
    </w:p>
    <w:p>
      <w:pPr>
        <w:pStyle w:val="28"/>
        <w:numPr>
          <w:ilvl w:val="1"/>
          <w:numId w:val="1"/>
        </w:numPr>
        <w:rPr>
          <w:rFonts w:ascii="宋体" w:hAnsi="宋体" w:cs="宋体"/>
          <w:sz w:val="24"/>
          <w:highlight w:val="none"/>
        </w:rPr>
      </w:pPr>
      <w:bookmarkStart w:id="116" w:name="_Toc15465645"/>
      <w:bookmarkStart w:id="117" w:name="_Toc15465916"/>
      <w:bookmarkStart w:id="118" w:name="_Toc15562901"/>
      <w:bookmarkStart w:id="119" w:name="_Toc15466130"/>
      <w:r>
        <w:rPr>
          <w:rFonts w:hint="eastAsia" w:ascii="宋体" w:hAnsi="宋体" w:cs="宋体"/>
          <w:sz w:val="24"/>
          <w:highlight w:val="none"/>
        </w:rPr>
        <w:t>乙方的权利和义务</w:t>
      </w:r>
      <w:bookmarkEnd w:id="116"/>
      <w:bookmarkEnd w:id="117"/>
      <w:bookmarkEnd w:id="118"/>
      <w:bookmarkEnd w:id="119"/>
    </w:p>
    <w:p>
      <w:pPr>
        <w:pStyle w:val="28"/>
        <w:numPr>
          <w:ilvl w:val="2"/>
          <w:numId w:val="1"/>
        </w:numPr>
        <w:rPr>
          <w:rFonts w:ascii="宋体" w:hAnsi="宋体" w:cs="宋体"/>
          <w:b w:val="0"/>
          <w:sz w:val="24"/>
          <w:highlight w:val="none"/>
        </w:rPr>
      </w:pPr>
      <w:bookmarkStart w:id="120" w:name="_Toc15465917"/>
      <w:bookmarkStart w:id="121" w:name="_Toc15466131"/>
      <w:bookmarkStart w:id="122" w:name="_Toc15562902"/>
      <w:bookmarkStart w:id="123" w:name="_Toc15465646"/>
      <w:r>
        <w:rPr>
          <w:rFonts w:hint="eastAsia" w:ascii="宋体" w:hAnsi="宋体" w:cs="宋体"/>
          <w:b w:val="0"/>
          <w:sz w:val="24"/>
          <w:highlight w:val="none"/>
        </w:rPr>
        <w:t>在承包期内，乙方有权向甲方收取应得的服务费用。</w:t>
      </w:r>
      <w:bookmarkEnd w:id="120"/>
      <w:bookmarkEnd w:id="121"/>
      <w:bookmarkEnd w:id="122"/>
      <w:bookmarkEnd w:id="123"/>
    </w:p>
    <w:p>
      <w:pPr>
        <w:pStyle w:val="28"/>
        <w:numPr>
          <w:ilvl w:val="2"/>
          <w:numId w:val="1"/>
        </w:numPr>
        <w:rPr>
          <w:rFonts w:ascii="宋体" w:hAnsi="宋体" w:cs="宋体"/>
          <w:b w:val="0"/>
          <w:sz w:val="24"/>
          <w:highlight w:val="none"/>
        </w:rPr>
      </w:pPr>
      <w:bookmarkStart w:id="124" w:name="_Toc15562903"/>
      <w:bookmarkStart w:id="125" w:name="_Toc15465918"/>
      <w:bookmarkStart w:id="126" w:name="_Toc15466132"/>
      <w:bookmarkStart w:id="127" w:name="_Toc15465647"/>
      <w:r>
        <w:rPr>
          <w:rFonts w:hint="eastAsia" w:ascii="宋体" w:hAnsi="宋体" w:cs="宋体"/>
          <w:b w:val="0"/>
          <w:sz w:val="24"/>
          <w:highlight w:val="none"/>
        </w:rPr>
        <w:t>乙方必须按照国家、省、市、区、镇等相关规定及行业有关作业规范、作业质量标准，按时、保质、保量完成所承包作业项目范围、承包事项的工作。</w:t>
      </w:r>
      <w:bookmarkEnd w:id="124"/>
      <w:bookmarkEnd w:id="125"/>
      <w:bookmarkEnd w:id="126"/>
      <w:bookmarkEnd w:id="127"/>
    </w:p>
    <w:p>
      <w:pPr>
        <w:pStyle w:val="30"/>
        <w:numPr>
          <w:ilvl w:val="2"/>
          <w:numId w:val="1"/>
        </w:numPr>
        <w:tabs>
          <w:tab w:val="left" w:pos="1418"/>
          <w:tab w:val="clear" w:pos="2405"/>
        </w:tabs>
        <w:autoSpaceDE w:val="0"/>
        <w:autoSpaceDN w:val="0"/>
        <w:adjustRightInd w:val="0"/>
        <w:snapToGrid w:val="0"/>
        <w:spacing w:before="120" w:beforeLines="50" w:line="440" w:lineRule="exact"/>
        <w:rPr>
          <w:rFonts w:ascii="宋体" w:hAnsi="宋体" w:cs="宋体"/>
          <w:sz w:val="24"/>
          <w:highlight w:val="none"/>
        </w:rPr>
      </w:pPr>
      <w:r>
        <w:rPr>
          <w:rFonts w:hint="eastAsia" w:ascii="宋体" w:hAnsi="宋体" w:cs="宋体"/>
          <w:sz w:val="24"/>
          <w:highlight w:val="none"/>
        </w:rPr>
        <w:t>根据项目需要完善公司的机构设置，配备具备相应管理能力和经验的管理、技术等类别人员。</w:t>
      </w:r>
    </w:p>
    <w:p>
      <w:pPr>
        <w:pStyle w:val="28"/>
        <w:numPr>
          <w:ilvl w:val="2"/>
          <w:numId w:val="1"/>
        </w:numPr>
        <w:rPr>
          <w:rFonts w:ascii="宋体" w:hAnsi="宋体" w:cs="宋体"/>
          <w:b w:val="0"/>
          <w:sz w:val="24"/>
          <w:highlight w:val="none"/>
        </w:rPr>
      </w:pPr>
      <w:bookmarkStart w:id="128" w:name="_Toc15465919"/>
      <w:bookmarkStart w:id="129" w:name="_Toc15466133"/>
      <w:bookmarkStart w:id="130" w:name="_Toc15465648"/>
      <w:bookmarkStart w:id="131" w:name="_Toc15562904"/>
      <w:r>
        <w:rPr>
          <w:rFonts w:hint="eastAsia" w:ascii="宋体" w:hAnsi="宋体" w:cs="宋体"/>
          <w:b w:val="0"/>
          <w:sz w:val="24"/>
          <w:highlight w:val="none"/>
        </w:rPr>
        <w:t>乙方及其雇用的员工应严格遵守国家的法律、法规、村规民约，如果乙方及其所雇用的工人违反法律、法规和相关规定，所造成的后果由其自行负责。</w:t>
      </w:r>
      <w:bookmarkEnd w:id="128"/>
      <w:bookmarkEnd w:id="129"/>
      <w:bookmarkEnd w:id="130"/>
      <w:bookmarkEnd w:id="131"/>
    </w:p>
    <w:p>
      <w:pPr>
        <w:pStyle w:val="28"/>
        <w:numPr>
          <w:ilvl w:val="2"/>
          <w:numId w:val="1"/>
        </w:numPr>
        <w:rPr>
          <w:rFonts w:ascii="宋体" w:hAnsi="宋体" w:cs="宋体"/>
          <w:b w:val="0"/>
          <w:sz w:val="24"/>
          <w:highlight w:val="none"/>
        </w:rPr>
      </w:pPr>
      <w:bookmarkStart w:id="132" w:name="_Toc15465920"/>
      <w:bookmarkStart w:id="133" w:name="_Toc15465649"/>
      <w:bookmarkStart w:id="134" w:name="_Toc15562905"/>
      <w:bookmarkStart w:id="135" w:name="_Toc15466134"/>
      <w:r>
        <w:rPr>
          <w:rFonts w:hint="eastAsia" w:ascii="宋体" w:hAnsi="宋体" w:cs="宋体"/>
          <w:b w:val="0"/>
          <w:sz w:val="24"/>
          <w:highlight w:val="none"/>
        </w:rPr>
        <w:t>乙方必须根据国家、省、市、区、镇和行业主管部门颁布的各项环卫作业规范、安全规范、质量标准，建立自身的运营管理机制和质量检查机制、实行自查自纠；若出现严重的质量问题或安全事故，在采取措施补救的同时，当日应向甲方报告。</w:t>
      </w:r>
      <w:bookmarkEnd w:id="132"/>
      <w:bookmarkEnd w:id="133"/>
      <w:bookmarkEnd w:id="134"/>
      <w:bookmarkEnd w:id="135"/>
    </w:p>
    <w:p>
      <w:pPr>
        <w:pStyle w:val="28"/>
        <w:numPr>
          <w:ilvl w:val="2"/>
          <w:numId w:val="1"/>
        </w:numPr>
        <w:rPr>
          <w:rFonts w:ascii="宋体" w:hAnsi="宋体" w:cs="宋体"/>
          <w:b w:val="0"/>
          <w:sz w:val="24"/>
          <w:highlight w:val="none"/>
        </w:rPr>
      </w:pPr>
      <w:bookmarkStart w:id="136" w:name="_Toc15465921"/>
      <w:bookmarkStart w:id="137" w:name="_Toc15562906"/>
      <w:bookmarkStart w:id="138" w:name="_Toc15466135"/>
      <w:bookmarkStart w:id="139" w:name="_Toc15465650"/>
      <w:r>
        <w:rPr>
          <w:rFonts w:hint="eastAsia" w:ascii="宋体" w:hAnsi="宋体" w:cs="宋体"/>
          <w:b w:val="0"/>
          <w:sz w:val="24"/>
          <w:highlight w:val="none"/>
        </w:rPr>
        <w:t>乙方必须按照国家的劳动法律法规规定与企业员工确定合法的劳资关系，签订用工劳务合同。若员工发生事故，乙方必须按有关规定处理，一切经济损失和各项费用由乙方自理。乙方不得无故拖欠员工工资及福利待遇，如产生任何劳资纠纷均由乙方自行负责和解决处理，与甲方无关。</w:t>
      </w:r>
      <w:bookmarkEnd w:id="136"/>
      <w:bookmarkEnd w:id="137"/>
      <w:bookmarkEnd w:id="138"/>
      <w:bookmarkEnd w:id="139"/>
    </w:p>
    <w:p>
      <w:pPr>
        <w:pStyle w:val="28"/>
        <w:numPr>
          <w:ilvl w:val="2"/>
          <w:numId w:val="1"/>
        </w:numPr>
        <w:rPr>
          <w:rFonts w:ascii="宋体" w:hAnsi="宋体" w:cs="宋体"/>
          <w:b w:val="0"/>
          <w:sz w:val="24"/>
          <w:highlight w:val="none"/>
        </w:rPr>
      </w:pPr>
      <w:bookmarkStart w:id="140" w:name="_Toc15465651"/>
      <w:bookmarkStart w:id="141" w:name="_Toc15465922"/>
      <w:bookmarkStart w:id="142" w:name="_Toc15466136"/>
      <w:bookmarkStart w:id="143" w:name="_Toc15562907"/>
      <w:r>
        <w:rPr>
          <w:rFonts w:hint="eastAsia" w:ascii="宋体" w:hAnsi="宋体" w:cs="宋体"/>
          <w:b w:val="0"/>
          <w:sz w:val="24"/>
          <w:highlight w:val="none"/>
        </w:rPr>
        <w:t>乙方有义务参加甲方通知的相关作业会议，通报作业情况，完善作业措施，提高作业水平。</w:t>
      </w:r>
      <w:bookmarkEnd w:id="140"/>
      <w:bookmarkEnd w:id="141"/>
      <w:bookmarkEnd w:id="142"/>
      <w:bookmarkEnd w:id="143"/>
    </w:p>
    <w:p>
      <w:pPr>
        <w:pStyle w:val="28"/>
        <w:numPr>
          <w:ilvl w:val="2"/>
          <w:numId w:val="1"/>
        </w:numPr>
        <w:rPr>
          <w:rFonts w:ascii="宋体" w:hAnsi="宋体" w:cs="宋体"/>
          <w:b w:val="0"/>
          <w:sz w:val="24"/>
          <w:highlight w:val="none"/>
        </w:rPr>
      </w:pPr>
      <w:bookmarkStart w:id="144" w:name="_Toc15465923"/>
      <w:bookmarkStart w:id="145" w:name="_Toc15465652"/>
      <w:bookmarkStart w:id="146" w:name="_Toc15562908"/>
      <w:bookmarkStart w:id="147" w:name="_Toc15466137"/>
      <w:r>
        <w:rPr>
          <w:rFonts w:hint="eastAsia" w:ascii="宋体" w:hAnsi="宋体" w:cs="宋体"/>
          <w:b w:val="0"/>
          <w:sz w:val="24"/>
          <w:highlight w:val="none"/>
        </w:rPr>
        <w:t>乙方必须自觉接受甲方和劳动监察部门的管理、监督和检查，根据需要提供相关的检查文件和资料，以及作必要的解释和说明，乙方不得阻扰检查人员的检查工作。如遇突发事件或重大活动的突击任务，乙方须无条件服从甲方的安排。若不服从安排，甲方可将其作为不良记录，一年中如不服从安排达三次的，甲方有权解除协议并没收工作质量保证金。</w:t>
      </w:r>
      <w:bookmarkEnd w:id="144"/>
      <w:bookmarkEnd w:id="145"/>
      <w:bookmarkEnd w:id="146"/>
      <w:bookmarkEnd w:id="147"/>
    </w:p>
    <w:p>
      <w:pPr>
        <w:pStyle w:val="28"/>
        <w:numPr>
          <w:ilvl w:val="2"/>
          <w:numId w:val="1"/>
        </w:numPr>
        <w:rPr>
          <w:rFonts w:ascii="宋体" w:hAnsi="宋体" w:cs="宋体"/>
          <w:b w:val="0"/>
          <w:sz w:val="24"/>
          <w:highlight w:val="none"/>
        </w:rPr>
      </w:pPr>
      <w:bookmarkStart w:id="148" w:name="_Toc15562909"/>
      <w:bookmarkStart w:id="149" w:name="_Toc15465924"/>
      <w:bookmarkStart w:id="150" w:name="_Toc15466138"/>
      <w:bookmarkStart w:id="151" w:name="_Toc15465653"/>
      <w:r>
        <w:rPr>
          <w:rFonts w:hint="eastAsia" w:ascii="宋体" w:hAnsi="宋体" w:cs="宋体"/>
          <w:b w:val="0"/>
          <w:sz w:val="24"/>
          <w:highlight w:val="none"/>
        </w:rPr>
        <w:t>乙方必须对企业员工进行道德教育和工作培训。教育职工严格遵守国家法律法规及环卫作业操作规程。</w:t>
      </w:r>
      <w:bookmarkEnd w:id="148"/>
      <w:bookmarkEnd w:id="149"/>
      <w:bookmarkEnd w:id="150"/>
      <w:bookmarkEnd w:id="151"/>
    </w:p>
    <w:p>
      <w:pPr>
        <w:pStyle w:val="28"/>
        <w:numPr>
          <w:ilvl w:val="2"/>
          <w:numId w:val="1"/>
        </w:numPr>
        <w:rPr>
          <w:rFonts w:ascii="宋体" w:hAnsi="宋体" w:cs="宋体"/>
          <w:b w:val="0"/>
          <w:sz w:val="24"/>
          <w:highlight w:val="none"/>
        </w:rPr>
      </w:pPr>
      <w:bookmarkStart w:id="152" w:name="_Toc15562910"/>
      <w:bookmarkStart w:id="153" w:name="_Toc15465925"/>
      <w:bookmarkStart w:id="154" w:name="_Toc15466139"/>
      <w:bookmarkStart w:id="155" w:name="_Toc15465654"/>
      <w:r>
        <w:rPr>
          <w:rFonts w:hint="eastAsia" w:ascii="宋体" w:hAnsi="宋体" w:cs="宋体"/>
          <w:b w:val="0"/>
          <w:sz w:val="24"/>
          <w:highlight w:val="none"/>
        </w:rPr>
        <w:t>乙方应不断提高企业管理水平和作业能力，提高企业运营管理实力。</w:t>
      </w:r>
      <w:bookmarkEnd w:id="152"/>
      <w:bookmarkEnd w:id="153"/>
      <w:bookmarkEnd w:id="154"/>
      <w:bookmarkEnd w:id="155"/>
    </w:p>
    <w:p>
      <w:pPr>
        <w:pStyle w:val="28"/>
        <w:numPr>
          <w:ilvl w:val="2"/>
          <w:numId w:val="1"/>
        </w:numPr>
        <w:rPr>
          <w:rFonts w:ascii="宋体" w:hAnsi="宋体" w:cs="宋体"/>
          <w:b w:val="0"/>
          <w:sz w:val="24"/>
          <w:highlight w:val="none"/>
        </w:rPr>
      </w:pPr>
      <w:bookmarkStart w:id="156" w:name="_Toc15562911"/>
      <w:bookmarkStart w:id="157" w:name="_Toc15465926"/>
      <w:bookmarkStart w:id="158" w:name="_Toc15465655"/>
      <w:bookmarkStart w:id="159" w:name="_Toc15466140"/>
      <w:r>
        <w:rPr>
          <w:rFonts w:hint="eastAsia" w:ascii="宋体" w:hAnsi="宋体" w:cs="宋体"/>
          <w:b w:val="0"/>
          <w:sz w:val="24"/>
          <w:highlight w:val="none"/>
        </w:rPr>
        <w:t>乙方应按项目招标文件的要求无条件接受环卫站原有职工，同等条件下优先聘请原村级保洁员，并以资产评估价格购买原有环卫设备。</w:t>
      </w:r>
      <w:bookmarkEnd w:id="156"/>
      <w:bookmarkEnd w:id="157"/>
      <w:bookmarkEnd w:id="158"/>
      <w:bookmarkEnd w:id="159"/>
    </w:p>
    <w:p>
      <w:pPr>
        <w:pStyle w:val="30"/>
        <w:numPr>
          <w:ilvl w:val="2"/>
          <w:numId w:val="1"/>
        </w:numPr>
        <w:tabs>
          <w:tab w:val="left" w:pos="1418"/>
          <w:tab w:val="clear" w:pos="2405"/>
        </w:tabs>
        <w:autoSpaceDE w:val="0"/>
        <w:autoSpaceDN w:val="0"/>
        <w:adjustRightInd w:val="0"/>
        <w:snapToGrid w:val="0"/>
        <w:spacing w:before="120" w:beforeLines="50" w:line="440" w:lineRule="exact"/>
        <w:rPr>
          <w:rFonts w:ascii="宋体" w:hAnsi="宋体" w:cs="宋体"/>
          <w:sz w:val="24"/>
          <w:highlight w:val="none"/>
        </w:rPr>
      </w:pPr>
      <w:r>
        <w:rPr>
          <w:rFonts w:hint="eastAsia" w:ascii="宋体" w:hAnsi="宋体" w:cs="宋体"/>
          <w:sz w:val="24"/>
          <w:highlight w:val="none"/>
        </w:rPr>
        <w:t>接受国家和政府方按国家有关法律及法规规定对本项目进行的审计。</w:t>
      </w:r>
    </w:p>
    <w:p>
      <w:pPr>
        <w:pStyle w:val="28"/>
        <w:numPr>
          <w:ilvl w:val="2"/>
          <w:numId w:val="1"/>
        </w:numPr>
        <w:rPr>
          <w:rFonts w:ascii="宋体" w:hAnsi="宋体" w:cs="宋体"/>
          <w:b w:val="0"/>
          <w:sz w:val="24"/>
          <w:highlight w:val="none"/>
        </w:rPr>
      </w:pPr>
      <w:bookmarkStart w:id="160" w:name="_Toc15465927"/>
      <w:bookmarkStart w:id="161" w:name="_Toc15465656"/>
      <w:bookmarkStart w:id="162" w:name="_Toc15562912"/>
      <w:bookmarkStart w:id="163" w:name="_Toc15466141"/>
      <w:r>
        <w:rPr>
          <w:rFonts w:hint="eastAsia" w:ascii="宋体" w:hAnsi="宋体" w:cs="宋体"/>
          <w:b w:val="0"/>
          <w:sz w:val="24"/>
          <w:highlight w:val="none"/>
        </w:rPr>
        <w:t>完成重大活动及突发事件等临时性保障服务的义务，并在一（1）小时内做出实质响应。</w:t>
      </w:r>
      <w:bookmarkEnd w:id="160"/>
      <w:bookmarkEnd w:id="161"/>
      <w:bookmarkEnd w:id="162"/>
      <w:bookmarkEnd w:id="163"/>
    </w:p>
    <w:p>
      <w:pPr>
        <w:pStyle w:val="28"/>
        <w:numPr>
          <w:ilvl w:val="2"/>
          <w:numId w:val="1"/>
        </w:numPr>
        <w:rPr>
          <w:rFonts w:ascii="宋体" w:hAnsi="宋体" w:cs="宋体"/>
          <w:b w:val="0"/>
          <w:sz w:val="24"/>
          <w:highlight w:val="none"/>
        </w:rPr>
      </w:pPr>
      <w:bookmarkStart w:id="164" w:name="_Toc15562913"/>
      <w:bookmarkStart w:id="165" w:name="_Toc15466142"/>
      <w:bookmarkStart w:id="166" w:name="_Toc15465928"/>
      <w:bookmarkStart w:id="167" w:name="_Toc15465657"/>
      <w:r>
        <w:rPr>
          <w:rFonts w:hint="eastAsia" w:ascii="宋体" w:hAnsi="宋体" w:cs="宋体"/>
          <w:b w:val="0"/>
          <w:sz w:val="24"/>
          <w:highlight w:val="none"/>
        </w:rPr>
        <w:t>接受和配合镇政府相关部门和行业主管部门对本项目的监管，接受镇政府和行业主管部门对本项目实施的临时接管或征用。</w:t>
      </w:r>
      <w:bookmarkEnd w:id="164"/>
      <w:bookmarkEnd w:id="165"/>
      <w:bookmarkEnd w:id="166"/>
      <w:bookmarkEnd w:id="167"/>
    </w:p>
    <w:p>
      <w:pPr>
        <w:pStyle w:val="28"/>
        <w:numPr>
          <w:ilvl w:val="2"/>
          <w:numId w:val="1"/>
        </w:numPr>
        <w:rPr>
          <w:rFonts w:ascii="宋体" w:hAnsi="宋体" w:cs="宋体"/>
          <w:b w:val="0"/>
          <w:sz w:val="24"/>
          <w:highlight w:val="none"/>
        </w:rPr>
      </w:pPr>
      <w:bookmarkStart w:id="168" w:name="_Toc15562914"/>
      <w:bookmarkStart w:id="169" w:name="_Toc15465929"/>
      <w:bookmarkStart w:id="170" w:name="_Toc15466143"/>
      <w:bookmarkStart w:id="171" w:name="_Toc15465658"/>
      <w:r>
        <w:rPr>
          <w:rFonts w:hint="eastAsia" w:ascii="宋体" w:hAnsi="宋体" w:cs="宋体"/>
          <w:b w:val="0"/>
          <w:sz w:val="24"/>
          <w:highlight w:val="none"/>
        </w:rPr>
        <w:t>行使并履行法律、法规、当地政府的政策文件及本协议约定的其他权利和义务。</w:t>
      </w:r>
      <w:bookmarkEnd w:id="168"/>
      <w:bookmarkEnd w:id="169"/>
      <w:bookmarkEnd w:id="170"/>
      <w:bookmarkEnd w:id="171"/>
    </w:p>
    <w:p>
      <w:pPr>
        <w:pStyle w:val="28"/>
        <w:numPr>
          <w:ilvl w:val="2"/>
          <w:numId w:val="1"/>
        </w:numPr>
        <w:spacing w:before="24" w:after="24" w:line="560" w:lineRule="exact"/>
        <w:rPr>
          <w:rFonts w:ascii="宋体" w:hAnsi="宋体" w:cs="宋体"/>
          <w:b w:val="0"/>
          <w:sz w:val="24"/>
          <w:highlight w:val="none"/>
        </w:rPr>
      </w:pPr>
      <w:r>
        <w:rPr>
          <w:rFonts w:hint="eastAsia" w:ascii="宋体" w:hAnsi="宋体" w:cs="宋体"/>
          <w:b w:val="0"/>
          <w:sz w:val="24"/>
          <w:highlight w:val="none"/>
        </w:rPr>
        <w:t>有权在海口市注册成立独资或控股的项目公司，负责本项目具体运营管理，以提高本地化服务水平，届时由甲方、乙方及项目公司签订三方协议，明确各方的权利义务关系。</w:t>
      </w:r>
    </w:p>
    <w:p>
      <w:pPr>
        <w:pStyle w:val="28"/>
        <w:numPr>
          <w:ilvl w:val="1"/>
          <w:numId w:val="1"/>
        </w:numPr>
        <w:rPr>
          <w:rFonts w:ascii="宋体" w:hAnsi="宋体" w:cs="宋体"/>
          <w:sz w:val="24"/>
          <w:highlight w:val="none"/>
        </w:rPr>
      </w:pPr>
      <w:bookmarkStart w:id="172" w:name="_Toc15465930"/>
      <w:bookmarkStart w:id="173" w:name="_Toc15466144"/>
      <w:bookmarkStart w:id="174" w:name="_Toc15465659"/>
      <w:bookmarkStart w:id="175" w:name="_Toc15562915"/>
      <w:r>
        <w:rPr>
          <w:rFonts w:hint="eastAsia" w:ascii="宋体" w:hAnsi="宋体" w:cs="宋体"/>
          <w:sz w:val="24"/>
          <w:highlight w:val="none"/>
        </w:rPr>
        <w:t>双方共同的义务</w:t>
      </w:r>
      <w:bookmarkEnd w:id="172"/>
      <w:bookmarkEnd w:id="173"/>
      <w:bookmarkEnd w:id="174"/>
      <w:bookmarkEnd w:id="175"/>
    </w:p>
    <w:p>
      <w:pPr>
        <w:pStyle w:val="28"/>
        <w:numPr>
          <w:ilvl w:val="2"/>
          <w:numId w:val="1"/>
        </w:numPr>
        <w:rPr>
          <w:rFonts w:ascii="宋体" w:hAnsi="宋体" w:cs="宋体"/>
          <w:b w:val="0"/>
          <w:sz w:val="24"/>
          <w:highlight w:val="none"/>
        </w:rPr>
      </w:pPr>
      <w:bookmarkStart w:id="176" w:name="_Toc15465660"/>
      <w:bookmarkStart w:id="177" w:name="_Toc15466145"/>
      <w:bookmarkStart w:id="178" w:name="_Toc15562916"/>
      <w:bookmarkStart w:id="179" w:name="_Toc15465931"/>
      <w:r>
        <w:rPr>
          <w:rFonts w:hint="eastAsia" w:ascii="宋体" w:hAnsi="宋体" w:cs="宋体"/>
          <w:b w:val="0"/>
          <w:sz w:val="24"/>
          <w:highlight w:val="none"/>
        </w:rPr>
        <w:t>双方对本协议及依据本协议向对方提交的相关文件均负有保密责任，但甲方为充分满足政府和公共监督要求的情况除外。</w:t>
      </w:r>
      <w:bookmarkEnd w:id="176"/>
      <w:bookmarkEnd w:id="177"/>
      <w:bookmarkEnd w:id="178"/>
      <w:bookmarkEnd w:id="179"/>
    </w:p>
    <w:p>
      <w:pPr>
        <w:pStyle w:val="28"/>
        <w:numPr>
          <w:ilvl w:val="2"/>
          <w:numId w:val="1"/>
        </w:numPr>
        <w:rPr>
          <w:rFonts w:ascii="宋体" w:hAnsi="宋体" w:cs="宋体"/>
          <w:b w:val="0"/>
          <w:sz w:val="24"/>
          <w:highlight w:val="none"/>
        </w:rPr>
      </w:pPr>
      <w:bookmarkStart w:id="180" w:name="_Toc15465661"/>
      <w:bookmarkStart w:id="181" w:name="_Toc15562917"/>
      <w:bookmarkStart w:id="182" w:name="_Toc15465932"/>
      <w:bookmarkStart w:id="183" w:name="_Toc15466146"/>
      <w:r>
        <w:rPr>
          <w:rFonts w:hint="eastAsia" w:ascii="宋体" w:hAnsi="宋体" w:cs="宋体"/>
          <w:b w:val="0"/>
          <w:sz w:val="24"/>
          <w:highlight w:val="none"/>
        </w:rPr>
        <w:t>双方应相互合作以达到本协议的目的，并应善意地行使和履行其在本协议项下的权利和义务。在此前提下，双方同意：</w:t>
      </w:r>
      <w:bookmarkEnd w:id="180"/>
      <w:bookmarkEnd w:id="181"/>
      <w:bookmarkEnd w:id="182"/>
      <w:bookmarkEnd w:id="183"/>
    </w:p>
    <w:p>
      <w:pPr>
        <w:ind w:left="1260"/>
        <w:rPr>
          <w:rFonts w:ascii="宋体" w:hAnsi="宋体" w:cs="宋体"/>
          <w:sz w:val="24"/>
          <w:highlight w:val="none"/>
        </w:rPr>
      </w:pPr>
      <w:r>
        <w:rPr>
          <w:rFonts w:hint="eastAsia" w:ascii="宋体" w:hAnsi="宋体" w:cs="宋体"/>
          <w:sz w:val="24"/>
          <w:highlight w:val="none"/>
        </w:rPr>
        <w:t>（a）一方应当根据适用法律，为另一方履行本协议项下的义务给予必要的协助；</w:t>
      </w:r>
    </w:p>
    <w:p>
      <w:pPr>
        <w:ind w:left="1260"/>
        <w:rPr>
          <w:rFonts w:ascii="宋体" w:hAnsi="宋体" w:cs="宋体"/>
          <w:sz w:val="24"/>
          <w:highlight w:val="none"/>
        </w:rPr>
      </w:pPr>
      <w:r>
        <w:rPr>
          <w:rFonts w:hint="eastAsia" w:ascii="宋体" w:hAnsi="宋体" w:cs="宋体"/>
          <w:sz w:val="24"/>
          <w:highlight w:val="none"/>
        </w:rPr>
        <w:t>（b）当一方合理要求取得另一方的同意或批准时，被要求方不得无理拒绝或延迟给予该等同意或批准；</w:t>
      </w:r>
    </w:p>
    <w:p>
      <w:pPr>
        <w:ind w:left="1260"/>
        <w:rPr>
          <w:rFonts w:ascii="宋体" w:hAnsi="宋体" w:cs="宋体"/>
          <w:sz w:val="24"/>
          <w:highlight w:val="none"/>
        </w:rPr>
      </w:pPr>
      <w:r>
        <w:rPr>
          <w:rFonts w:hint="eastAsia" w:ascii="宋体" w:hAnsi="宋体" w:cs="宋体"/>
          <w:sz w:val="24"/>
          <w:highlight w:val="none"/>
        </w:rPr>
        <w:t>(c) 如果任何一方合理地预计某事件或情形将对另一方履行其本协议项下的义务或实施项目的能力造成重大不利影响，并且合理地预计另一方不能获悉该事件或情形时，该方应合理可行地尽快将该事件或情形通知另一方。</w:t>
      </w:r>
    </w:p>
    <w:p>
      <w:pPr>
        <w:pStyle w:val="28"/>
        <w:numPr>
          <w:ilvl w:val="1"/>
          <w:numId w:val="1"/>
        </w:numPr>
        <w:rPr>
          <w:rFonts w:ascii="宋体" w:hAnsi="宋体" w:cs="宋体"/>
          <w:sz w:val="24"/>
          <w:highlight w:val="none"/>
        </w:rPr>
      </w:pPr>
      <w:bookmarkStart w:id="184" w:name="_Toc15466147"/>
      <w:bookmarkStart w:id="185" w:name="_Toc15465662"/>
      <w:bookmarkStart w:id="186" w:name="_Toc15562918"/>
      <w:bookmarkStart w:id="187" w:name="_Toc15465933"/>
      <w:r>
        <w:rPr>
          <w:rFonts w:hint="eastAsia" w:ascii="宋体" w:hAnsi="宋体" w:cs="宋体"/>
          <w:sz w:val="24"/>
          <w:highlight w:val="none"/>
        </w:rPr>
        <w:t>项目安全保障</w:t>
      </w:r>
      <w:bookmarkEnd w:id="184"/>
      <w:bookmarkEnd w:id="185"/>
      <w:bookmarkEnd w:id="186"/>
      <w:bookmarkEnd w:id="187"/>
    </w:p>
    <w:p>
      <w:pPr>
        <w:pStyle w:val="30"/>
        <w:numPr>
          <w:ilvl w:val="2"/>
          <w:numId w:val="1"/>
        </w:numPr>
        <w:tabs>
          <w:tab w:val="left" w:pos="1418"/>
          <w:tab w:val="clear" w:pos="2405"/>
        </w:tabs>
        <w:autoSpaceDE w:val="0"/>
        <w:autoSpaceDN w:val="0"/>
        <w:spacing w:before="120" w:beforeLines="50" w:line="440" w:lineRule="exact"/>
        <w:rPr>
          <w:rFonts w:ascii="宋体" w:hAnsi="宋体" w:cs="宋体"/>
          <w:sz w:val="24"/>
          <w:highlight w:val="none"/>
        </w:rPr>
      </w:pPr>
      <w:r>
        <w:rPr>
          <w:rFonts w:hint="eastAsia" w:ascii="宋体" w:hAnsi="宋体" w:cs="宋体"/>
          <w:sz w:val="24"/>
          <w:highlight w:val="none"/>
        </w:rPr>
        <w:t>在承包期内，乙方应遵守法律、法规，建立、健全和完善安全生产制度及安全运行保障体系，确保项目设施安全运行，防止责任事故的发生。</w:t>
      </w:r>
    </w:p>
    <w:p>
      <w:pPr>
        <w:pStyle w:val="28"/>
        <w:numPr>
          <w:ilvl w:val="2"/>
          <w:numId w:val="1"/>
        </w:numPr>
        <w:rPr>
          <w:rFonts w:ascii="宋体" w:hAnsi="宋体" w:cs="宋体"/>
          <w:b w:val="0"/>
          <w:sz w:val="24"/>
          <w:highlight w:val="none"/>
        </w:rPr>
      </w:pPr>
      <w:bookmarkStart w:id="188" w:name="_Toc15465934"/>
      <w:bookmarkStart w:id="189" w:name="_Toc15562919"/>
      <w:bookmarkStart w:id="190" w:name="_Toc15466148"/>
      <w:bookmarkStart w:id="191" w:name="_Toc15465663"/>
      <w:r>
        <w:rPr>
          <w:rFonts w:hint="eastAsia" w:ascii="宋体" w:hAnsi="宋体" w:cs="宋体"/>
          <w:b w:val="0"/>
          <w:sz w:val="24"/>
          <w:highlight w:val="none"/>
        </w:rPr>
        <w:t>乙方应针对自然灾害、重特大事故、环境公害及人为破坏等突发情况建立相应的应急预案、设立相应的组织、提供相应的指挥和设备等保障体系，并保证在出现重大意外事件时其保障体系能够正常启动。当发生重大或紧急事故时，能随时启动响应机制，配合相关责任或实施主体，完成相应抢修、抢险责任等。</w:t>
      </w:r>
      <w:bookmarkEnd w:id="188"/>
      <w:bookmarkEnd w:id="189"/>
      <w:bookmarkEnd w:id="190"/>
      <w:bookmarkEnd w:id="191"/>
    </w:p>
    <w:p>
      <w:pPr>
        <w:pStyle w:val="28"/>
        <w:jc w:val="center"/>
        <w:rPr>
          <w:rFonts w:ascii="宋体" w:hAnsi="宋体" w:cs="宋体"/>
          <w:sz w:val="24"/>
          <w:highlight w:val="none"/>
        </w:rPr>
      </w:pPr>
      <w:bookmarkStart w:id="192" w:name="_Toc15562920"/>
      <w:r>
        <w:rPr>
          <w:rFonts w:hint="eastAsia" w:ascii="宋体" w:hAnsi="宋体" w:cs="宋体"/>
          <w:sz w:val="24"/>
          <w:highlight w:val="none"/>
        </w:rPr>
        <w:t>承包范围及事项</w:t>
      </w:r>
      <w:bookmarkEnd w:id="192"/>
    </w:p>
    <w:p>
      <w:pPr>
        <w:pStyle w:val="28"/>
        <w:numPr>
          <w:ilvl w:val="1"/>
          <w:numId w:val="8"/>
        </w:numPr>
        <w:rPr>
          <w:rFonts w:ascii="宋体" w:hAnsi="宋体" w:cs="宋体"/>
          <w:sz w:val="24"/>
          <w:highlight w:val="none"/>
        </w:rPr>
      </w:pPr>
      <w:bookmarkStart w:id="193" w:name="_Toc15562921"/>
      <w:r>
        <w:rPr>
          <w:rFonts w:hint="eastAsia" w:ascii="宋体" w:hAnsi="宋体" w:cs="宋体"/>
          <w:sz w:val="24"/>
          <w:highlight w:val="none"/>
        </w:rPr>
        <w:t>道路及公共区域清扫保洁范围及内容</w:t>
      </w:r>
      <w:bookmarkEnd w:id="193"/>
    </w:p>
    <w:p>
      <w:pPr>
        <w:pStyle w:val="28"/>
        <w:numPr>
          <w:ilvl w:val="2"/>
          <w:numId w:val="1"/>
        </w:numPr>
        <w:rPr>
          <w:rFonts w:ascii="宋体" w:hAnsi="宋体" w:cs="宋体"/>
          <w:b w:val="0"/>
          <w:sz w:val="24"/>
          <w:highlight w:val="none"/>
        </w:rPr>
      </w:pPr>
      <w:bookmarkStart w:id="194" w:name="_Toc15562922"/>
      <w:r>
        <w:rPr>
          <w:rFonts w:hint="eastAsia" w:ascii="宋体" w:hAnsi="宋体" w:cs="宋体"/>
          <w:b w:val="0"/>
          <w:sz w:val="24"/>
          <w:highlight w:val="none"/>
        </w:rPr>
        <w:t>保洁范围</w:t>
      </w:r>
      <w:bookmarkEnd w:id="194"/>
    </w:p>
    <w:p>
      <w:pPr>
        <w:ind w:left="560" w:firstLine="560"/>
        <w:rPr>
          <w:rFonts w:ascii="宋体" w:hAnsi="宋体" w:cs="宋体"/>
          <w:sz w:val="24"/>
          <w:highlight w:val="none"/>
        </w:rPr>
      </w:pPr>
      <w:r>
        <w:rPr>
          <w:rFonts w:hint="eastAsia" w:ascii="宋体" w:hAnsi="宋体" w:cs="宋体"/>
          <w:sz w:val="24"/>
          <w:highlight w:val="none"/>
        </w:rPr>
        <w:t>本项目作业范围:美兰区村镇范围内环境全覆盖的环卫一体化作业，包括灵山镇、演丰镇、三江镇（不含三江农场）、大致坡镇和三江镇所辖村域、村村通道路、水域作业面积和露天文化活动广告场所等，以及镇域范围内的国道省道等。(最终作业面积以项目服务合同约定的作业范围及第三方测量公司出具的测量报告为准)。</w:t>
      </w:r>
    </w:p>
    <w:p>
      <w:pPr>
        <w:ind w:left="560" w:firstLine="560"/>
        <w:rPr>
          <w:rFonts w:ascii="宋体" w:hAnsi="宋体" w:cs="宋体"/>
          <w:sz w:val="24"/>
          <w:highlight w:val="none"/>
        </w:rPr>
      </w:pPr>
      <w:r>
        <w:rPr>
          <w:rFonts w:hint="eastAsia" w:ascii="宋体" w:hAnsi="宋体" w:cs="宋体"/>
          <w:sz w:val="24"/>
          <w:highlight w:val="none"/>
        </w:rPr>
        <w:t>为明确外包作业范围及合理测算外包费用，美兰区环境卫生管理局委托测绘技术服务公司对项目区域内道路及公共区域的清扫保洁面积进行测量。</w:t>
      </w:r>
      <w:r>
        <w:rPr>
          <w:rFonts w:hint="eastAsia" w:ascii="宋体" w:hAnsi="宋体" w:cs="宋体"/>
          <w:sz w:val="28"/>
          <w:szCs w:val="28"/>
          <w:highlight w:val="none"/>
        </w:rPr>
        <w:t>根据测绘公司提供的测绘数据，本项目道路及公共区域的清扫保洁面积共计10，184，728.31平方米（不含三江农场），其中，镇墟范围道路面积899，351.99平方米，绿化面积1，115.80平方米、“墙到墙”面积796，664.22平方米、水域面积9，1803.03平方米、公共场所面积488902.40平方米；农村(除镇墟外)范围村村通道路面积3，311，422.75平方米、村域面积4，595，468.12平方米</w:t>
      </w:r>
      <w:r>
        <w:rPr>
          <w:rFonts w:hint="eastAsia" w:ascii="宋体" w:hAnsi="宋体" w:cs="宋体"/>
          <w:color w:val="000000"/>
          <w:kern w:val="0"/>
          <w:sz w:val="28"/>
          <w:szCs w:val="28"/>
          <w:highlight w:val="none"/>
          <w:lang w:bidi="ar"/>
        </w:rPr>
        <w:t xml:space="preserve"> </w:t>
      </w:r>
    </w:p>
    <w:p>
      <w:pPr>
        <w:pStyle w:val="28"/>
        <w:numPr>
          <w:ilvl w:val="2"/>
          <w:numId w:val="1"/>
        </w:numPr>
        <w:rPr>
          <w:rFonts w:ascii="宋体" w:hAnsi="宋体" w:cs="宋体"/>
          <w:sz w:val="24"/>
          <w:highlight w:val="none"/>
        </w:rPr>
      </w:pPr>
      <w:bookmarkStart w:id="195" w:name="_Toc15562923"/>
      <w:r>
        <w:rPr>
          <w:rFonts w:hint="eastAsia" w:ascii="宋体" w:hAnsi="宋体" w:cs="宋体"/>
          <w:sz w:val="24"/>
          <w:highlight w:val="none"/>
        </w:rPr>
        <w:t>保洁内容</w:t>
      </w:r>
      <w:bookmarkEnd w:id="195"/>
    </w:p>
    <w:p>
      <w:pPr>
        <w:ind w:left="560" w:firstLine="560"/>
        <w:rPr>
          <w:rFonts w:ascii="宋体" w:hAnsi="宋体" w:cs="宋体"/>
          <w:sz w:val="24"/>
          <w:highlight w:val="none"/>
        </w:rPr>
      </w:pPr>
      <w:r>
        <w:rPr>
          <w:rFonts w:hint="eastAsia" w:ascii="宋体" w:hAnsi="宋体" w:cs="宋体"/>
          <w:sz w:val="24"/>
          <w:highlight w:val="none"/>
          <w:lang w:bidi="ar"/>
        </w:rPr>
        <w:t xml:space="preserve">本项目作业内容主要为项目区域范围内道路及公共区域的清扫保洁，具体如下： </w:t>
      </w:r>
    </w:p>
    <w:p>
      <w:pPr>
        <w:ind w:left="360" w:hanging="360" w:hangingChars="150"/>
        <w:rPr>
          <w:rFonts w:ascii="宋体" w:hAnsi="宋体" w:cs="宋体"/>
          <w:sz w:val="24"/>
          <w:highlight w:val="none"/>
        </w:rPr>
      </w:pPr>
      <w:r>
        <w:rPr>
          <w:rFonts w:hint="eastAsia" w:ascii="宋体" w:hAnsi="宋体" w:cs="宋体"/>
          <w:sz w:val="24"/>
          <w:highlight w:val="none"/>
        </w:rPr>
        <w:t xml:space="preserve">1、主干道、次干道等机动车道、非机动车道、人行道、街巷路面和“墙到墙”区域、乡镇村庄内公共区域等清扫、清洗、保洁、洒水降尘及路面硬化范围内的杂草清理，道路绿化带的垃圾捡拾和保洁； </w:t>
      </w:r>
    </w:p>
    <w:p>
      <w:pPr>
        <w:ind w:left="360" w:hanging="360" w:hangingChars="150"/>
        <w:rPr>
          <w:rFonts w:ascii="宋体" w:hAnsi="宋体" w:cs="宋体"/>
          <w:sz w:val="24"/>
          <w:highlight w:val="none"/>
        </w:rPr>
      </w:pPr>
      <w:r>
        <w:rPr>
          <w:rFonts w:hint="eastAsia" w:ascii="宋体" w:hAnsi="宋体" w:cs="宋体"/>
          <w:sz w:val="24"/>
          <w:highlight w:val="none"/>
        </w:rPr>
        <w:t xml:space="preserve">2、道路“墙到墙”之间所有构筑物和构件两米以下范围内张贴和乱涂写的清理和保洁； </w:t>
      </w:r>
    </w:p>
    <w:p>
      <w:pPr>
        <w:ind w:left="360" w:hanging="360" w:hangingChars="150"/>
        <w:rPr>
          <w:rFonts w:ascii="宋体" w:hAnsi="宋体" w:cs="宋体"/>
          <w:sz w:val="24"/>
          <w:highlight w:val="none"/>
        </w:rPr>
      </w:pPr>
      <w:r>
        <w:rPr>
          <w:rFonts w:hint="eastAsia" w:ascii="宋体" w:hAnsi="宋体" w:cs="宋体"/>
          <w:sz w:val="24"/>
          <w:highlight w:val="none"/>
        </w:rPr>
        <w:t xml:space="preserve">3、范围内果皮箱、垃圾桶等垃圾收集容器的购置、清掏、清洗保洁、维护及更新； </w:t>
      </w:r>
    </w:p>
    <w:p>
      <w:pPr>
        <w:ind w:left="360" w:hanging="360" w:hangingChars="150"/>
        <w:rPr>
          <w:rFonts w:ascii="宋体" w:hAnsi="宋体" w:cs="宋体"/>
          <w:sz w:val="24"/>
          <w:highlight w:val="none"/>
        </w:rPr>
      </w:pPr>
      <w:r>
        <w:rPr>
          <w:rFonts w:hint="eastAsia" w:ascii="宋体" w:hAnsi="宋体" w:cs="宋体"/>
          <w:sz w:val="24"/>
          <w:highlight w:val="none"/>
        </w:rPr>
        <w:t xml:space="preserve">4、路名牌、指路牌、交通护栏等以及路灯杆、交通指示牌杆等两米以下部分的清洗保洁及雨水篦子的清掏； </w:t>
      </w:r>
    </w:p>
    <w:p>
      <w:pPr>
        <w:ind w:left="360" w:hanging="360" w:hangingChars="150"/>
        <w:rPr>
          <w:rFonts w:ascii="宋体" w:hAnsi="宋体" w:cs="宋体"/>
          <w:sz w:val="24"/>
          <w:highlight w:val="none"/>
        </w:rPr>
      </w:pPr>
      <w:r>
        <w:rPr>
          <w:rFonts w:hint="eastAsia" w:ascii="宋体" w:hAnsi="宋体" w:cs="宋体"/>
          <w:sz w:val="24"/>
          <w:highlight w:val="none"/>
        </w:rPr>
        <w:t xml:space="preserve">5、范围内（含水域、河道岸边）散落垃圾、畜禽粪污及农业生产废弃物的清理和捡拾； </w:t>
      </w:r>
    </w:p>
    <w:p>
      <w:pPr>
        <w:ind w:left="360" w:hanging="360" w:hangingChars="150"/>
        <w:rPr>
          <w:rFonts w:ascii="宋体" w:hAnsi="宋体" w:cs="宋体"/>
          <w:sz w:val="24"/>
          <w:highlight w:val="none"/>
        </w:rPr>
      </w:pPr>
      <w:r>
        <w:rPr>
          <w:rFonts w:hint="eastAsia" w:ascii="宋体" w:hAnsi="宋体" w:cs="宋体"/>
          <w:sz w:val="24"/>
          <w:highlight w:val="none"/>
        </w:rPr>
        <w:t xml:space="preserve">6、项目合作范围外，各村镇道路、水域保洁范围内应对可视范围内（如空旷地）的垃圾捡拾； </w:t>
      </w:r>
    </w:p>
    <w:p>
      <w:pPr>
        <w:ind w:left="360" w:hanging="360" w:hangingChars="150"/>
        <w:rPr>
          <w:rFonts w:ascii="宋体" w:hAnsi="宋体" w:cs="宋体"/>
          <w:color w:val="000000"/>
          <w:kern w:val="0"/>
          <w:sz w:val="24"/>
          <w:highlight w:val="none"/>
          <w:lang w:bidi="ar"/>
        </w:rPr>
      </w:pPr>
      <w:r>
        <w:rPr>
          <w:rFonts w:hint="eastAsia" w:ascii="宋体" w:hAnsi="宋体" w:cs="宋体"/>
          <w:sz w:val="24"/>
          <w:highlight w:val="none"/>
        </w:rPr>
        <w:t>7、配合甲方就门前“三包”责任单位和责任制的执行情况进行监督。环卫作业人员发现责任单位门前“三包”的情况执行不到位的，应立即通过拍照、视频等方式取证，并上报甲方。若责任单位在取证后15分钟内仍未整改，环卫作业人员应立即上报并配合相关部门执</w:t>
      </w:r>
      <w:r>
        <w:rPr>
          <w:rFonts w:hint="eastAsia" w:ascii="宋体" w:hAnsi="宋体" w:cs="宋体"/>
          <w:color w:val="000000"/>
          <w:kern w:val="0"/>
          <w:sz w:val="24"/>
          <w:highlight w:val="none"/>
          <w:lang w:bidi="ar"/>
        </w:rPr>
        <w:t>法取证。</w:t>
      </w:r>
    </w:p>
    <w:p>
      <w:pPr>
        <w:pStyle w:val="28"/>
        <w:numPr>
          <w:ilvl w:val="1"/>
          <w:numId w:val="1"/>
        </w:numPr>
        <w:rPr>
          <w:rFonts w:ascii="宋体" w:hAnsi="宋体" w:cs="宋体"/>
          <w:sz w:val="24"/>
          <w:highlight w:val="none"/>
        </w:rPr>
      </w:pPr>
      <w:bookmarkStart w:id="196" w:name="_Toc15562924"/>
      <w:r>
        <w:rPr>
          <w:rFonts w:hint="eastAsia" w:ascii="宋体" w:hAnsi="宋体" w:cs="宋体"/>
          <w:sz w:val="24"/>
          <w:highlight w:val="none"/>
        </w:rPr>
        <w:t>垃圾收集清运的范围及工作内容</w:t>
      </w:r>
      <w:bookmarkEnd w:id="196"/>
    </w:p>
    <w:p>
      <w:pPr>
        <w:pStyle w:val="28"/>
        <w:numPr>
          <w:ilvl w:val="2"/>
          <w:numId w:val="1"/>
        </w:numPr>
        <w:rPr>
          <w:rFonts w:ascii="宋体" w:hAnsi="宋体" w:cs="宋体"/>
          <w:sz w:val="24"/>
          <w:highlight w:val="none"/>
        </w:rPr>
      </w:pPr>
      <w:bookmarkStart w:id="197" w:name="_Toc15562925"/>
      <w:r>
        <w:rPr>
          <w:rFonts w:hint="eastAsia" w:ascii="宋体" w:hAnsi="宋体" w:cs="宋体"/>
          <w:sz w:val="24"/>
          <w:highlight w:val="none"/>
        </w:rPr>
        <w:t>清运范围</w:t>
      </w:r>
      <w:bookmarkEnd w:id="197"/>
    </w:p>
    <w:p>
      <w:pPr>
        <w:ind w:left="560" w:firstLine="560"/>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将美兰区四镇的生活垃圾（如有开展垃圾分类，则为垃圾分类后的其他垃圾）收集并全密闭运输至政府指定地点。项目范围内生活垃圾清运量约250吨/日，运输至指定地点（最终垃圾收集清运的作业量以每日实际计量结果为准）。</w:t>
      </w:r>
    </w:p>
    <w:p>
      <w:pPr>
        <w:pStyle w:val="28"/>
        <w:numPr>
          <w:ilvl w:val="2"/>
          <w:numId w:val="1"/>
        </w:numPr>
        <w:rPr>
          <w:rFonts w:ascii="宋体" w:hAnsi="宋体" w:cs="宋体"/>
          <w:sz w:val="24"/>
          <w:highlight w:val="none"/>
        </w:rPr>
      </w:pPr>
      <w:bookmarkStart w:id="198" w:name="_Toc15562926"/>
      <w:r>
        <w:rPr>
          <w:rFonts w:hint="eastAsia" w:ascii="宋体" w:hAnsi="宋体" w:cs="宋体"/>
          <w:sz w:val="24"/>
          <w:highlight w:val="none"/>
        </w:rPr>
        <w:t>作业内容</w:t>
      </w:r>
      <w:bookmarkEnd w:id="198"/>
    </w:p>
    <w:p>
      <w:pPr>
        <w:ind w:left="360" w:hanging="360" w:hangingChars="150"/>
        <w:rPr>
          <w:rFonts w:ascii="宋体" w:hAnsi="宋体" w:cs="宋体"/>
          <w:sz w:val="24"/>
          <w:highlight w:val="none"/>
        </w:rPr>
      </w:pPr>
      <w:r>
        <w:rPr>
          <w:rFonts w:hint="eastAsia" w:ascii="宋体" w:hAnsi="宋体" w:cs="宋体"/>
          <w:sz w:val="24"/>
          <w:highlight w:val="none"/>
          <w:lang w:bidi="ar"/>
        </w:rPr>
        <w:t>1、道路清扫作业和沿途垃圾收集容器清掏所产生生活垃圾的收集、清运；</w:t>
      </w:r>
    </w:p>
    <w:p>
      <w:pPr>
        <w:ind w:left="360" w:hanging="360" w:hangingChars="150"/>
        <w:rPr>
          <w:rFonts w:ascii="宋体" w:hAnsi="宋体" w:cs="宋体"/>
          <w:sz w:val="24"/>
          <w:highlight w:val="none"/>
        </w:rPr>
      </w:pPr>
      <w:r>
        <w:rPr>
          <w:rFonts w:hint="eastAsia" w:ascii="宋体" w:hAnsi="宋体" w:cs="宋体"/>
          <w:sz w:val="24"/>
          <w:highlight w:val="none"/>
          <w:lang w:bidi="ar"/>
        </w:rPr>
        <w:t>2、辖区内单位、居民小区、村庄产生的生活垃圾的收集、清运；</w:t>
      </w:r>
    </w:p>
    <w:p>
      <w:pPr>
        <w:ind w:left="360" w:hanging="360" w:hangingChars="150"/>
        <w:rPr>
          <w:rFonts w:ascii="宋体" w:hAnsi="宋体" w:cs="宋体"/>
          <w:sz w:val="24"/>
          <w:highlight w:val="none"/>
          <w:lang w:bidi="ar"/>
        </w:rPr>
      </w:pPr>
      <w:r>
        <w:rPr>
          <w:rFonts w:hint="eastAsia" w:ascii="宋体" w:hAnsi="宋体" w:cs="宋体"/>
          <w:sz w:val="24"/>
          <w:highlight w:val="none"/>
          <w:lang w:bidi="ar"/>
        </w:rPr>
        <w:t>3、辖区内无主生活垃圾、无主建筑垃圾的收集、清运。</w:t>
      </w:r>
    </w:p>
    <w:p>
      <w:pPr>
        <w:pStyle w:val="28"/>
        <w:numPr>
          <w:ilvl w:val="1"/>
          <w:numId w:val="1"/>
        </w:numPr>
        <w:rPr>
          <w:rFonts w:ascii="宋体" w:hAnsi="宋体" w:cs="宋体"/>
          <w:sz w:val="24"/>
          <w:highlight w:val="none"/>
        </w:rPr>
      </w:pPr>
      <w:bookmarkStart w:id="199" w:name="_Toc15562927"/>
      <w:r>
        <w:rPr>
          <w:rFonts w:hint="eastAsia" w:ascii="宋体" w:hAnsi="宋体" w:cs="宋体"/>
          <w:sz w:val="24"/>
          <w:highlight w:val="none"/>
        </w:rPr>
        <w:t>垃圾分类的范围及工作内容</w:t>
      </w:r>
      <w:bookmarkEnd w:id="199"/>
    </w:p>
    <w:p>
      <w:pPr>
        <w:pStyle w:val="28"/>
        <w:numPr>
          <w:ilvl w:val="2"/>
          <w:numId w:val="1"/>
        </w:numPr>
        <w:rPr>
          <w:rFonts w:ascii="宋体" w:hAnsi="宋体" w:cs="宋体"/>
          <w:sz w:val="24"/>
          <w:highlight w:val="none"/>
        </w:rPr>
      </w:pPr>
      <w:bookmarkStart w:id="200" w:name="_Toc15562928"/>
      <w:r>
        <w:rPr>
          <w:rFonts w:hint="eastAsia" w:ascii="宋体" w:hAnsi="宋体" w:cs="宋体"/>
          <w:sz w:val="24"/>
          <w:highlight w:val="none"/>
        </w:rPr>
        <w:t>分类范围</w:t>
      </w:r>
      <w:bookmarkEnd w:id="200"/>
    </w:p>
    <w:p>
      <w:pPr>
        <w:ind w:left="560" w:firstLine="560"/>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对美兰区演丰镇开展生活垃圾分类工作，暂进行四分类，即“有害”垃圾，可回收物（含大件垃圾），易腐（餐厨）垃圾，“其他垃圾”的收集、存放、处理、运输。（最终作业范围以项目服务合同中约定为准，作业面积以以第三方测量公司出具的测量报告为准）。</w:t>
      </w:r>
    </w:p>
    <w:p>
      <w:pPr>
        <w:pStyle w:val="28"/>
        <w:numPr>
          <w:ilvl w:val="2"/>
          <w:numId w:val="1"/>
        </w:numPr>
        <w:rPr>
          <w:rFonts w:ascii="宋体" w:hAnsi="宋体" w:cs="宋体"/>
          <w:sz w:val="24"/>
          <w:highlight w:val="none"/>
          <w:lang w:bidi="ar"/>
        </w:rPr>
      </w:pPr>
      <w:bookmarkStart w:id="201" w:name="_Toc15562929"/>
      <w:r>
        <w:rPr>
          <w:rFonts w:hint="eastAsia" w:ascii="宋体" w:hAnsi="宋体" w:cs="宋体"/>
          <w:sz w:val="24"/>
          <w:highlight w:val="none"/>
          <w:lang w:bidi="ar"/>
        </w:rPr>
        <w:t>作业内容</w:t>
      </w:r>
      <w:bookmarkEnd w:id="201"/>
    </w:p>
    <w:p>
      <w:pPr>
        <w:ind w:left="360" w:hanging="360" w:hangingChars="150"/>
        <w:rPr>
          <w:rFonts w:ascii="宋体" w:hAnsi="宋体" w:cs="宋体"/>
          <w:sz w:val="24"/>
          <w:highlight w:val="none"/>
        </w:rPr>
      </w:pPr>
      <w:r>
        <w:rPr>
          <w:rFonts w:hint="eastAsia" w:ascii="宋体" w:hAnsi="宋体" w:cs="宋体"/>
          <w:sz w:val="24"/>
          <w:highlight w:val="none"/>
          <w:lang w:bidi="ar"/>
        </w:rPr>
        <w:t xml:space="preserve">1、建立垃圾分类投放日常管理制度，充分利用各种媒介开展垃圾分类知识宣传。通过多种形式（如礼品兑换、上门回收等）鼓励、吸引群众参与垃圾分类活动；面向不同年龄人群团体提供一套针对性强、可操作性好的立体化、全方位、精准的宣教体系； </w:t>
      </w:r>
    </w:p>
    <w:p>
      <w:pPr>
        <w:ind w:left="360" w:hanging="360" w:hangingChars="150"/>
        <w:rPr>
          <w:rFonts w:ascii="宋体" w:hAnsi="宋体" w:cs="宋体"/>
          <w:sz w:val="24"/>
          <w:highlight w:val="none"/>
        </w:rPr>
      </w:pPr>
      <w:r>
        <w:rPr>
          <w:rFonts w:hint="eastAsia" w:ascii="宋体" w:hAnsi="宋体" w:cs="宋体"/>
          <w:sz w:val="24"/>
          <w:highlight w:val="none"/>
          <w:lang w:bidi="ar"/>
        </w:rPr>
        <w:t xml:space="preserve">2、监督垃圾分类投放行为，对不符合分类投放要求的行为，要求其改正；拒不改正的，报告区城市综合行政执法部门； </w:t>
      </w:r>
    </w:p>
    <w:p>
      <w:pPr>
        <w:ind w:left="360" w:hanging="360" w:hangingChars="150"/>
        <w:rPr>
          <w:rFonts w:ascii="宋体" w:hAnsi="宋体" w:cs="宋体"/>
          <w:sz w:val="24"/>
          <w:highlight w:val="none"/>
        </w:rPr>
      </w:pPr>
      <w:r>
        <w:rPr>
          <w:rFonts w:hint="eastAsia" w:ascii="宋体" w:hAnsi="宋体" w:cs="宋体"/>
          <w:sz w:val="24"/>
          <w:highlight w:val="none"/>
          <w:lang w:bidi="ar"/>
        </w:rPr>
        <w:t xml:space="preserve">3、组织垃圾分类投放，保持分类收集容器完好、整洁； </w:t>
      </w:r>
    </w:p>
    <w:p>
      <w:pPr>
        <w:ind w:left="360" w:hanging="360" w:hangingChars="150"/>
        <w:rPr>
          <w:rFonts w:ascii="宋体" w:hAnsi="宋体" w:cs="宋体"/>
          <w:sz w:val="24"/>
          <w:highlight w:val="none"/>
          <w:lang w:bidi="ar"/>
        </w:rPr>
      </w:pPr>
      <w:r>
        <w:rPr>
          <w:rFonts w:hint="eastAsia" w:ascii="宋体" w:hAnsi="宋体" w:cs="宋体"/>
          <w:sz w:val="24"/>
          <w:highlight w:val="none"/>
          <w:lang w:bidi="ar"/>
        </w:rPr>
        <w:t>4、将通过各种途径收集到的垃圾或者从细分类垃圾箱中收集到的垃圾进行统一收集，将可回收垃圾、有害垃圾及易腐垃圾运输至美兰区卫局与村镇指定的暂存点，并对易腐垃圾进行堆肥等资源化利用，将其他垃圾运输至政府指定地点。各镇政府需解决垃圾分类存放点的用地，并无偿提供给服务单位使用；开展垃圾分类的计量管理等工作。</w:t>
      </w:r>
    </w:p>
    <w:p>
      <w:pPr>
        <w:pStyle w:val="28"/>
        <w:numPr>
          <w:ilvl w:val="1"/>
          <w:numId w:val="1"/>
        </w:numPr>
        <w:rPr>
          <w:rFonts w:ascii="宋体" w:hAnsi="宋体" w:cs="宋体"/>
          <w:sz w:val="24"/>
          <w:highlight w:val="none"/>
        </w:rPr>
      </w:pPr>
      <w:bookmarkStart w:id="202" w:name="_Toc15562930"/>
      <w:r>
        <w:rPr>
          <w:rFonts w:hint="eastAsia" w:ascii="宋体" w:hAnsi="宋体" w:cs="宋体"/>
          <w:sz w:val="24"/>
          <w:highlight w:val="none"/>
        </w:rPr>
        <w:t>公厕运营管理的范围及作业内容</w:t>
      </w:r>
      <w:bookmarkEnd w:id="202"/>
    </w:p>
    <w:p>
      <w:pPr>
        <w:pStyle w:val="28"/>
        <w:numPr>
          <w:ilvl w:val="2"/>
          <w:numId w:val="1"/>
        </w:numPr>
        <w:rPr>
          <w:rFonts w:ascii="宋体" w:hAnsi="宋体" w:cs="宋体"/>
          <w:b w:val="0"/>
          <w:sz w:val="24"/>
          <w:highlight w:val="none"/>
        </w:rPr>
      </w:pPr>
      <w:bookmarkStart w:id="203" w:name="_Toc15562931"/>
      <w:r>
        <w:rPr>
          <w:rFonts w:hint="eastAsia" w:ascii="宋体" w:hAnsi="宋体" w:cs="宋体"/>
          <w:b w:val="0"/>
          <w:sz w:val="24"/>
          <w:highlight w:val="none"/>
        </w:rPr>
        <w:t>运营管理的范围</w:t>
      </w:r>
      <w:bookmarkEnd w:id="203"/>
    </w:p>
    <w:p>
      <w:pPr>
        <w:ind w:left="560" w:firstLine="560"/>
        <w:rPr>
          <w:highlight w:val="none"/>
        </w:rPr>
      </w:pPr>
      <w:r>
        <w:rPr>
          <w:rFonts w:hint="eastAsia" w:ascii="宋体" w:hAnsi="宋体" w:cs="宋体"/>
          <w:sz w:val="24"/>
          <w:highlight w:val="none"/>
        </w:rPr>
        <w:t>本次纳入本项目运营范围内的公厕共计10座，具体如下表5-2。</w:t>
      </w:r>
    </w:p>
    <w:p>
      <w:pPr>
        <w:ind w:left="560" w:firstLine="560"/>
        <w:jc w:val="center"/>
        <w:rPr>
          <w:rFonts w:ascii="宋体" w:hAnsi="宋体" w:cs="宋体"/>
          <w:b/>
          <w:sz w:val="24"/>
          <w:highlight w:val="none"/>
        </w:rPr>
      </w:pPr>
      <w:r>
        <w:rPr>
          <w:rFonts w:hint="eastAsia" w:ascii="宋体" w:hAnsi="宋体" w:cs="宋体"/>
          <w:b/>
          <w:sz w:val="24"/>
          <w:highlight w:val="none"/>
        </w:rPr>
        <w:t>表5-2 公厕数量及区域</w:t>
      </w:r>
    </w:p>
    <w:tbl>
      <w:tblPr>
        <w:tblStyle w:val="16"/>
        <w:tblW w:w="8326" w:type="dxa"/>
        <w:tblInd w:w="0" w:type="dxa"/>
        <w:tblLayout w:type="fixed"/>
        <w:tblCellMar>
          <w:top w:w="0" w:type="dxa"/>
          <w:left w:w="0" w:type="dxa"/>
          <w:bottom w:w="0" w:type="dxa"/>
          <w:right w:w="0" w:type="dxa"/>
        </w:tblCellMar>
      </w:tblPr>
      <w:tblGrid>
        <w:gridCol w:w="983"/>
        <w:gridCol w:w="1706"/>
        <w:gridCol w:w="4217"/>
        <w:gridCol w:w="1420"/>
      </w:tblGrid>
      <w:tr>
        <w:tblPrEx>
          <w:tblLayout w:type="fixed"/>
          <w:tblCellMar>
            <w:top w:w="0" w:type="dxa"/>
            <w:left w:w="0" w:type="dxa"/>
            <w:bottom w:w="0" w:type="dxa"/>
            <w:right w:w="0" w:type="dxa"/>
          </w:tblCellMar>
        </w:tblPrEx>
        <w:trPr>
          <w:trHeight w:val="30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序号</w:t>
            </w:r>
          </w:p>
        </w:tc>
        <w:tc>
          <w:tcPr>
            <w:tcW w:w="170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所在位置</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数量</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三江镇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三江镇墟</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灵山镇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爱群村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灵山镇</w:t>
            </w: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东河村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52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大致坡墟中心一横街</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（椰林居委会办公楼旁）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大致坡墟西环路（琼剧广场内）</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52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大致坡镇咸来墟文明街</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（原咸来工商所旁）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大致坡镇昌福村委会美篆村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大致坡镇大东村委会福山良村</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大致坡镇金堆村委会医疗室旁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w:t>
            </w:r>
          </w:p>
        </w:tc>
        <w:tc>
          <w:tcPr>
            <w:tcW w:w="4217"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大致坡镇昌福村委会村小学路口旁</w:t>
            </w: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r>
      <w:tr>
        <w:tblPrEx>
          <w:tblLayout w:type="fixed"/>
          <w:tblCellMar>
            <w:top w:w="0" w:type="dxa"/>
            <w:left w:w="0" w:type="dxa"/>
            <w:bottom w:w="0" w:type="dxa"/>
            <w:right w:w="0" w:type="dxa"/>
          </w:tblCellMar>
        </w:tblPrEx>
        <w:trPr>
          <w:trHeight w:val="280" w:hRule="atLeast"/>
        </w:trPr>
        <w:tc>
          <w:tcPr>
            <w:tcW w:w="983"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合计</w:t>
            </w:r>
          </w:p>
        </w:tc>
        <w:tc>
          <w:tcPr>
            <w:tcW w:w="170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b/>
                <w:color w:val="000000"/>
                <w:sz w:val="22"/>
                <w:szCs w:val="22"/>
                <w:highlight w:val="none"/>
              </w:rPr>
            </w:pPr>
          </w:p>
        </w:tc>
        <w:tc>
          <w:tcPr>
            <w:tcW w:w="421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b/>
                <w:color w:val="000000"/>
                <w:sz w:val="22"/>
                <w:szCs w:val="22"/>
                <w:highlight w:val="none"/>
              </w:rPr>
            </w:pPr>
          </w:p>
        </w:tc>
        <w:tc>
          <w:tcPr>
            <w:tcW w:w="14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ind w:left="560"/>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10</w:t>
            </w:r>
          </w:p>
        </w:tc>
      </w:tr>
    </w:tbl>
    <w:p>
      <w:pPr>
        <w:pStyle w:val="28"/>
        <w:numPr>
          <w:ilvl w:val="2"/>
          <w:numId w:val="1"/>
        </w:numPr>
        <w:rPr>
          <w:rFonts w:ascii="宋体" w:hAnsi="宋体" w:cs="宋体"/>
          <w:b w:val="0"/>
          <w:sz w:val="24"/>
          <w:highlight w:val="none"/>
        </w:rPr>
      </w:pPr>
      <w:bookmarkStart w:id="204" w:name="_Toc15562932"/>
      <w:r>
        <w:rPr>
          <w:rFonts w:hint="eastAsia" w:ascii="宋体" w:hAnsi="宋体" w:cs="宋体"/>
          <w:b w:val="0"/>
          <w:sz w:val="24"/>
          <w:highlight w:val="none"/>
        </w:rPr>
        <w:t>作业内容</w:t>
      </w:r>
      <w:bookmarkEnd w:id="204"/>
    </w:p>
    <w:p>
      <w:pPr>
        <w:ind w:firstLine="560"/>
        <w:rPr>
          <w:rFonts w:ascii="宋体" w:hAnsi="宋体" w:cs="宋体"/>
          <w:sz w:val="24"/>
          <w:highlight w:val="none"/>
        </w:rPr>
      </w:pPr>
      <w:r>
        <w:rPr>
          <w:rFonts w:hint="eastAsia" w:ascii="宋体" w:hAnsi="宋体" w:cs="宋体"/>
          <w:sz w:val="24"/>
          <w:highlight w:val="none"/>
        </w:rPr>
        <w:t>1、公厕有专人管理，向公众免费开放；</w:t>
      </w:r>
    </w:p>
    <w:p>
      <w:pPr>
        <w:ind w:firstLine="560"/>
        <w:rPr>
          <w:rFonts w:ascii="宋体" w:hAnsi="宋体" w:cs="宋体"/>
          <w:sz w:val="24"/>
          <w:highlight w:val="none"/>
        </w:rPr>
      </w:pPr>
      <w:r>
        <w:rPr>
          <w:rFonts w:hint="eastAsia" w:ascii="宋体" w:hAnsi="宋体" w:cs="宋体"/>
          <w:sz w:val="24"/>
          <w:highlight w:val="none"/>
        </w:rPr>
        <w:t>2、公厕配套设施设备的维护、更新与改造；</w:t>
      </w:r>
    </w:p>
    <w:p>
      <w:pPr>
        <w:ind w:firstLine="560"/>
        <w:rPr>
          <w:rFonts w:ascii="宋体" w:hAnsi="宋体" w:cs="宋体"/>
          <w:sz w:val="24"/>
          <w:highlight w:val="none"/>
        </w:rPr>
      </w:pPr>
      <w:r>
        <w:rPr>
          <w:rFonts w:hint="eastAsia" w:ascii="宋体" w:hAnsi="宋体" w:cs="宋体"/>
          <w:sz w:val="24"/>
          <w:highlight w:val="none"/>
        </w:rPr>
        <w:t>3、公厕化粪池的清掏，粪渣的清运。</w:t>
      </w:r>
    </w:p>
    <w:p>
      <w:pPr>
        <w:pStyle w:val="28"/>
        <w:numPr>
          <w:ilvl w:val="1"/>
          <w:numId w:val="1"/>
        </w:numPr>
        <w:rPr>
          <w:rFonts w:ascii="宋体" w:hAnsi="宋体" w:cs="宋体"/>
          <w:sz w:val="24"/>
          <w:highlight w:val="none"/>
        </w:rPr>
      </w:pPr>
      <w:bookmarkStart w:id="205" w:name="_Toc15562933"/>
      <w:r>
        <w:rPr>
          <w:rFonts w:hint="eastAsia" w:ascii="宋体" w:hAnsi="宋体" w:cs="宋体"/>
          <w:sz w:val="24"/>
          <w:highlight w:val="none"/>
        </w:rPr>
        <w:t>特殊环境下的环卫保障</w:t>
      </w:r>
      <w:bookmarkEnd w:id="205"/>
    </w:p>
    <w:p>
      <w:pPr>
        <w:ind w:left="360" w:hanging="360" w:hangingChars="150"/>
        <w:rPr>
          <w:rFonts w:ascii="宋体" w:hAnsi="宋体" w:cs="宋体"/>
          <w:sz w:val="24"/>
          <w:highlight w:val="none"/>
        </w:rPr>
      </w:pPr>
      <w:r>
        <w:rPr>
          <w:rFonts w:hint="eastAsia" w:ascii="宋体" w:hAnsi="宋体" w:cs="宋体"/>
          <w:sz w:val="24"/>
          <w:highlight w:val="none"/>
        </w:rPr>
        <w:t>1、突发应急事件或大型检查、重大活动保障等环卫应急保障；</w:t>
      </w:r>
    </w:p>
    <w:p>
      <w:pPr>
        <w:ind w:left="360" w:hanging="360" w:hangingChars="150"/>
        <w:rPr>
          <w:rFonts w:ascii="宋体" w:hAnsi="宋体" w:cs="宋体"/>
          <w:sz w:val="24"/>
          <w:highlight w:val="none"/>
        </w:rPr>
      </w:pPr>
      <w:r>
        <w:rPr>
          <w:rFonts w:hint="eastAsia" w:ascii="宋体" w:hAnsi="宋体" w:cs="宋体"/>
          <w:sz w:val="24"/>
          <w:highlight w:val="none"/>
        </w:rPr>
        <w:t>2、中心风力13级（不含13级）以下强台风期间、单日（24小时）内降水量低于100毫米（不含100毫米）暴雨期间环卫保障等。</w:t>
      </w:r>
    </w:p>
    <w:p>
      <w:pPr>
        <w:pStyle w:val="28"/>
        <w:numPr>
          <w:ilvl w:val="1"/>
          <w:numId w:val="1"/>
        </w:numPr>
        <w:rPr>
          <w:rFonts w:ascii="宋体" w:hAnsi="宋体" w:cs="宋体"/>
          <w:sz w:val="24"/>
          <w:highlight w:val="none"/>
        </w:rPr>
      </w:pPr>
      <w:bookmarkStart w:id="206" w:name="_Toc15562935"/>
      <w:r>
        <w:rPr>
          <w:rFonts w:hint="eastAsia" w:ascii="宋体" w:hAnsi="宋体" w:cs="宋体"/>
          <w:sz w:val="24"/>
          <w:highlight w:val="none"/>
        </w:rPr>
        <w:t>北港岛</w:t>
      </w:r>
      <w:bookmarkEnd w:id="206"/>
    </w:p>
    <w:p>
      <w:pPr>
        <w:ind w:left="560" w:firstLine="560"/>
        <w:rPr>
          <w:rFonts w:ascii="宋体" w:hAnsi="宋体" w:cs="宋体"/>
          <w:sz w:val="24"/>
          <w:highlight w:val="none"/>
        </w:rPr>
      </w:pPr>
      <w:r>
        <w:rPr>
          <w:rFonts w:hint="eastAsia" w:ascii="宋体" w:hAnsi="宋体" w:cs="宋体"/>
          <w:sz w:val="24"/>
          <w:highlight w:val="none"/>
        </w:rPr>
        <w:t>乙方需配备船舶对北港岛的垃圾进行清运。</w:t>
      </w:r>
    </w:p>
    <w:p>
      <w:pPr>
        <w:pStyle w:val="28"/>
        <w:jc w:val="center"/>
        <w:rPr>
          <w:rFonts w:ascii="宋体" w:hAnsi="宋体" w:cs="宋体"/>
          <w:sz w:val="24"/>
          <w:highlight w:val="none"/>
        </w:rPr>
      </w:pPr>
      <w:bookmarkStart w:id="207" w:name="_Toc15562936"/>
      <w:r>
        <w:rPr>
          <w:rFonts w:hint="eastAsia" w:ascii="宋体" w:hAnsi="宋体" w:cs="宋体"/>
          <w:sz w:val="24"/>
          <w:highlight w:val="none"/>
        </w:rPr>
        <w:t>承包作业服务标准</w:t>
      </w:r>
      <w:bookmarkEnd w:id="207"/>
    </w:p>
    <w:p>
      <w:pPr>
        <w:pStyle w:val="28"/>
        <w:numPr>
          <w:ilvl w:val="1"/>
          <w:numId w:val="9"/>
        </w:numPr>
        <w:rPr>
          <w:rFonts w:ascii="宋体" w:hAnsi="宋体" w:cs="宋体"/>
          <w:sz w:val="24"/>
          <w:highlight w:val="none"/>
        </w:rPr>
      </w:pPr>
      <w:bookmarkStart w:id="208" w:name="_Toc15562937"/>
      <w:r>
        <w:rPr>
          <w:rFonts w:hint="eastAsia" w:ascii="宋体" w:hAnsi="宋体" w:cs="宋体"/>
          <w:sz w:val="24"/>
          <w:highlight w:val="none"/>
        </w:rPr>
        <w:t>清扫保洁服务质量和要求</w:t>
      </w:r>
      <w:bookmarkEnd w:id="208"/>
    </w:p>
    <w:p>
      <w:pPr>
        <w:pStyle w:val="28"/>
        <w:numPr>
          <w:ilvl w:val="2"/>
          <w:numId w:val="1"/>
        </w:numPr>
        <w:rPr>
          <w:rFonts w:ascii="宋体" w:hAnsi="宋体" w:cs="宋体"/>
          <w:b w:val="0"/>
          <w:sz w:val="24"/>
          <w:highlight w:val="none"/>
        </w:rPr>
      </w:pPr>
      <w:bookmarkStart w:id="209" w:name="_Toc15562938"/>
      <w:bookmarkStart w:id="210" w:name="_Toc15465678"/>
      <w:bookmarkStart w:id="211" w:name="_Toc15465949"/>
      <w:bookmarkStart w:id="212" w:name="_Toc15466163"/>
      <w:bookmarkStart w:id="213" w:name="_Toc492603943"/>
      <w:r>
        <w:rPr>
          <w:rFonts w:hint="eastAsia" w:ascii="宋体" w:hAnsi="宋体" w:cs="宋体"/>
          <w:b w:val="0"/>
          <w:sz w:val="24"/>
          <w:highlight w:val="none"/>
        </w:rPr>
        <w:t>作业方式</w:t>
      </w:r>
      <w:bookmarkEnd w:id="209"/>
    </w:p>
    <w:p>
      <w:pPr>
        <w:pStyle w:val="28"/>
        <w:numPr>
          <w:ilvl w:val="0"/>
          <w:numId w:val="0"/>
        </w:numPr>
        <w:ind w:left="1276"/>
        <w:rPr>
          <w:rFonts w:ascii="宋体" w:hAnsi="宋体" w:cs="宋体"/>
          <w:b w:val="0"/>
          <w:sz w:val="24"/>
          <w:highlight w:val="none"/>
        </w:rPr>
      </w:pPr>
      <w:bookmarkStart w:id="214" w:name="_Toc15562939"/>
      <w:r>
        <w:rPr>
          <w:rFonts w:hint="eastAsia" w:ascii="宋体" w:hAnsi="宋体" w:cs="宋体"/>
          <w:b w:val="0"/>
          <w:sz w:val="24"/>
          <w:highlight w:val="none"/>
        </w:rPr>
        <w:t>作业方式采用普扫+保洁的的方式。</w:t>
      </w:r>
      <w:bookmarkEnd w:id="214"/>
    </w:p>
    <w:p>
      <w:pPr>
        <w:pStyle w:val="28"/>
        <w:numPr>
          <w:ilvl w:val="2"/>
          <w:numId w:val="1"/>
        </w:numPr>
        <w:rPr>
          <w:rFonts w:ascii="宋体" w:hAnsi="宋体" w:cs="宋体"/>
          <w:sz w:val="24"/>
          <w:highlight w:val="none"/>
        </w:rPr>
      </w:pPr>
      <w:bookmarkStart w:id="215" w:name="_Toc15562940"/>
      <w:r>
        <w:rPr>
          <w:rFonts w:hint="eastAsia" w:ascii="宋体" w:hAnsi="宋体" w:cs="宋体"/>
          <w:b w:val="0"/>
          <w:sz w:val="24"/>
          <w:highlight w:val="none"/>
        </w:rPr>
        <w:t>普扫时间及频次要求</w:t>
      </w:r>
      <w:bookmarkEnd w:id="215"/>
    </w:p>
    <w:p>
      <w:pPr>
        <w:ind w:left="560" w:firstLine="560"/>
        <w:rPr>
          <w:rFonts w:ascii="宋体" w:hAnsi="宋体" w:cs="宋体"/>
          <w:sz w:val="24"/>
          <w:highlight w:val="none"/>
        </w:rPr>
      </w:pPr>
      <w:r>
        <w:rPr>
          <w:rFonts w:hint="eastAsia" w:ascii="宋体" w:hAnsi="宋体" w:cs="宋体"/>
          <w:sz w:val="24"/>
          <w:highlight w:val="none"/>
        </w:rPr>
        <w:t>1、镇墟范围</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（1）人工清扫：工作时间应为6:00至8:00，每天在工作时间段完成一遍普扫；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（2）机械化清扫：工作时间应为5:00至8:00，每天在工作时间段内完成一遍普扫。 </w:t>
      </w:r>
    </w:p>
    <w:p>
      <w:pPr>
        <w:widowControl/>
        <w:ind w:left="560" w:firstLine="420"/>
        <w:jc w:val="left"/>
        <w:rPr>
          <w:rFonts w:ascii="宋体" w:hAnsi="宋体" w:cs="宋体"/>
          <w:sz w:val="24"/>
          <w:highlight w:val="none"/>
        </w:rPr>
      </w:pPr>
      <w:r>
        <w:rPr>
          <w:rFonts w:hint="eastAsia" w:ascii="宋体" w:hAnsi="宋体" w:cs="宋体"/>
          <w:color w:val="000000"/>
          <w:kern w:val="0"/>
          <w:sz w:val="24"/>
          <w:highlight w:val="none"/>
          <w:lang w:bidi="ar"/>
        </w:rPr>
        <w:t>2、农村范围</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（1）人工清扫：工作时间应为6:00至11:00，每天在工作时间段内完成一遍普扫；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（2）机械化清扫：工作时间应为6:00至11:00，每周在工作时间段内完成一遍普扫。</w:t>
      </w:r>
    </w:p>
    <w:p>
      <w:pPr>
        <w:pStyle w:val="28"/>
        <w:numPr>
          <w:ilvl w:val="2"/>
          <w:numId w:val="1"/>
        </w:numPr>
        <w:rPr>
          <w:rFonts w:ascii="宋体" w:hAnsi="宋体" w:cs="宋体"/>
          <w:b w:val="0"/>
          <w:sz w:val="24"/>
          <w:highlight w:val="none"/>
          <w:lang w:bidi="ar"/>
        </w:rPr>
      </w:pPr>
      <w:bookmarkStart w:id="216" w:name="_Toc15562941"/>
      <w:r>
        <w:rPr>
          <w:rFonts w:hint="eastAsia" w:ascii="宋体" w:hAnsi="宋体" w:cs="宋体"/>
          <w:b w:val="0"/>
          <w:sz w:val="24"/>
          <w:highlight w:val="none"/>
          <w:lang w:bidi="ar"/>
        </w:rPr>
        <w:t>普扫作业要求</w:t>
      </w:r>
      <w:bookmarkEnd w:id="216"/>
    </w:p>
    <w:p>
      <w:pPr>
        <w:widowControl/>
        <w:ind w:left="420" w:firstLine="420"/>
        <w:jc w:val="left"/>
        <w:rPr>
          <w:rFonts w:ascii="宋体" w:hAnsi="宋体" w:cs="宋体"/>
          <w:sz w:val="24"/>
          <w:highlight w:val="none"/>
        </w:rPr>
      </w:pPr>
      <w:r>
        <w:rPr>
          <w:rFonts w:hint="eastAsia" w:ascii="宋体" w:hAnsi="宋体" w:cs="宋体"/>
          <w:color w:val="000000"/>
          <w:kern w:val="0"/>
          <w:sz w:val="24"/>
          <w:highlight w:val="none"/>
          <w:lang w:bidi="ar"/>
        </w:rPr>
        <w:t>杜绝“干扫”，做到喷雾清扫不扬尘、不漏扫。</w:t>
      </w:r>
    </w:p>
    <w:p>
      <w:pPr>
        <w:pStyle w:val="28"/>
        <w:numPr>
          <w:ilvl w:val="2"/>
          <w:numId w:val="1"/>
        </w:numPr>
        <w:rPr>
          <w:rFonts w:ascii="宋体" w:hAnsi="宋体" w:cs="宋体"/>
          <w:b w:val="0"/>
          <w:sz w:val="24"/>
          <w:highlight w:val="none"/>
        </w:rPr>
      </w:pPr>
      <w:bookmarkStart w:id="217" w:name="_Toc15562942"/>
      <w:r>
        <w:rPr>
          <w:rFonts w:hint="eastAsia" w:ascii="宋体" w:hAnsi="宋体" w:cs="宋体"/>
          <w:b w:val="0"/>
          <w:sz w:val="24"/>
          <w:highlight w:val="none"/>
          <w:lang w:bidi="ar"/>
        </w:rPr>
        <w:t>保洁时间及频次要求</w:t>
      </w:r>
      <w:bookmarkEnd w:id="217"/>
      <w:r>
        <w:rPr>
          <w:rFonts w:hint="eastAsia" w:ascii="宋体" w:hAnsi="宋体" w:cs="宋体"/>
          <w:b w:val="0"/>
          <w:sz w:val="24"/>
          <w:highlight w:val="none"/>
          <w:lang w:bidi="ar"/>
        </w:rPr>
        <w:t xml:space="preserve">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1、镇墟范围：工作时间应为5:00至21:00，每天巡回保洁；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2、农村范围：工作时间应为6:00至18:00，每天巡回保洁。 </w:t>
      </w:r>
    </w:p>
    <w:p>
      <w:pPr>
        <w:pStyle w:val="28"/>
        <w:numPr>
          <w:ilvl w:val="2"/>
          <w:numId w:val="1"/>
        </w:numPr>
        <w:rPr>
          <w:rFonts w:ascii="宋体" w:hAnsi="宋体" w:cs="宋体"/>
          <w:b w:val="0"/>
          <w:sz w:val="24"/>
          <w:highlight w:val="none"/>
        </w:rPr>
      </w:pPr>
      <w:bookmarkStart w:id="218" w:name="_Toc15562943"/>
      <w:r>
        <w:rPr>
          <w:rFonts w:hint="eastAsia" w:ascii="宋体" w:hAnsi="宋体" w:cs="宋体"/>
          <w:b w:val="0"/>
          <w:sz w:val="24"/>
          <w:highlight w:val="none"/>
          <w:lang w:bidi="ar"/>
        </w:rPr>
        <w:t>保洁作业要求</w:t>
      </w:r>
      <w:bookmarkEnd w:id="218"/>
      <w:r>
        <w:rPr>
          <w:rFonts w:hint="eastAsia" w:ascii="宋体" w:hAnsi="宋体" w:cs="宋体"/>
          <w:b w:val="0"/>
          <w:sz w:val="24"/>
          <w:highlight w:val="none"/>
          <w:lang w:bidi="ar"/>
        </w:rPr>
        <w:t xml:space="preserve"> </w:t>
      </w:r>
    </w:p>
    <w:p>
      <w:pPr>
        <w:widowControl/>
        <w:ind w:left="560" w:firstLine="420"/>
        <w:jc w:val="left"/>
        <w:rPr>
          <w:rFonts w:ascii="宋体" w:hAnsi="宋体" w:cs="宋体"/>
          <w:sz w:val="24"/>
          <w:highlight w:val="none"/>
        </w:rPr>
      </w:pPr>
      <w:r>
        <w:rPr>
          <w:rFonts w:hint="eastAsia" w:ascii="宋体" w:hAnsi="宋体" w:cs="宋体"/>
          <w:color w:val="000000"/>
          <w:kern w:val="0"/>
          <w:sz w:val="24"/>
          <w:highlight w:val="none"/>
          <w:lang w:bidi="ar"/>
        </w:rPr>
        <w:t xml:space="preserve">1、保洁车辆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（1）保洁车辆应配挂安全标志牌；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（2）保洁车辆作业完毕，车箱内达到无残留垃圾杂物，干净整洁；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（3）保洁车辆应定期油饰和维修，保持完好无损。 </w:t>
      </w:r>
    </w:p>
    <w:p>
      <w:pPr>
        <w:widowControl/>
        <w:ind w:left="560" w:firstLine="420"/>
        <w:jc w:val="left"/>
        <w:rPr>
          <w:rFonts w:ascii="宋体" w:hAnsi="宋体" w:cs="宋体"/>
          <w:sz w:val="24"/>
          <w:highlight w:val="none"/>
        </w:rPr>
      </w:pPr>
      <w:r>
        <w:rPr>
          <w:rFonts w:hint="eastAsia" w:ascii="宋体" w:hAnsi="宋体" w:cs="宋体"/>
          <w:color w:val="000000"/>
          <w:kern w:val="0"/>
          <w:sz w:val="24"/>
          <w:highlight w:val="none"/>
          <w:lang w:bidi="ar"/>
        </w:rPr>
        <w:t xml:space="preserve">2、保洁作业人员服装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（1）保洁作业人员应安全作业，配备安全防护用品； </w:t>
      </w:r>
    </w:p>
    <w:p>
      <w:pPr>
        <w:widowControl/>
        <w:ind w:left="600" w:hanging="600" w:hangingChars="2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（2）保洁作业人员应统一工作服装，服装要色调明快、醒目，穿戴应整齐、干净。 </w:t>
      </w:r>
    </w:p>
    <w:p>
      <w:pPr>
        <w:pStyle w:val="28"/>
        <w:numPr>
          <w:ilvl w:val="2"/>
          <w:numId w:val="1"/>
        </w:numPr>
        <w:rPr>
          <w:rFonts w:ascii="宋体" w:hAnsi="宋体" w:cs="宋体"/>
          <w:b w:val="0"/>
          <w:sz w:val="24"/>
          <w:highlight w:val="none"/>
        </w:rPr>
      </w:pPr>
      <w:bookmarkStart w:id="219" w:name="_Toc15562944"/>
      <w:r>
        <w:rPr>
          <w:rFonts w:hint="eastAsia" w:ascii="宋体" w:hAnsi="宋体" w:cs="宋体"/>
          <w:b w:val="0"/>
          <w:sz w:val="24"/>
          <w:highlight w:val="none"/>
          <w:lang w:bidi="ar"/>
        </w:rPr>
        <w:t>冲洗时间及频次要求</w:t>
      </w:r>
      <w:bookmarkEnd w:id="219"/>
      <w:r>
        <w:rPr>
          <w:rFonts w:hint="eastAsia" w:ascii="宋体" w:hAnsi="宋体" w:cs="宋体"/>
          <w:b w:val="0"/>
          <w:sz w:val="24"/>
          <w:highlight w:val="none"/>
          <w:lang w:bidi="ar"/>
        </w:rPr>
        <w:t xml:space="preserve"> </w:t>
      </w:r>
    </w:p>
    <w:p>
      <w:pPr>
        <w:widowControl/>
        <w:ind w:left="360" w:hanging="360" w:hangingChars="150"/>
        <w:jc w:val="left"/>
        <w:rPr>
          <w:rFonts w:ascii="宋体" w:hAnsi="宋体" w:cs="宋体"/>
          <w:sz w:val="24"/>
          <w:highlight w:val="none"/>
        </w:rPr>
      </w:pPr>
      <w:r>
        <w:rPr>
          <w:rFonts w:hint="eastAsia" w:ascii="宋体" w:hAnsi="宋体" w:cs="宋体"/>
          <w:color w:val="000000"/>
          <w:kern w:val="0"/>
          <w:sz w:val="24"/>
          <w:highlight w:val="none"/>
          <w:lang w:bidi="ar"/>
        </w:rPr>
        <w:t>1、镇墟范围：工作时间应为5:00至8:00，每天完成一遍冲洗；</w:t>
      </w:r>
    </w:p>
    <w:p>
      <w:pPr>
        <w:widowControl/>
        <w:ind w:left="360" w:hanging="360" w:hangingChars="150"/>
        <w:jc w:val="left"/>
        <w:rPr>
          <w:rFonts w:ascii="宋体" w:hAnsi="宋体" w:cs="宋体"/>
          <w:sz w:val="24"/>
          <w:highlight w:val="none"/>
        </w:rPr>
      </w:pPr>
      <w:r>
        <w:rPr>
          <w:rFonts w:hint="eastAsia" w:ascii="宋体" w:hAnsi="宋体" w:cs="宋体"/>
          <w:color w:val="000000"/>
          <w:kern w:val="0"/>
          <w:sz w:val="24"/>
          <w:highlight w:val="none"/>
          <w:lang w:bidi="ar"/>
        </w:rPr>
        <w:t xml:space="preserve">2、农村范围：工作时间应为6:00至11:00，每周完成一遍冲洗。 </w:t>
      </w:r>
    </w:p>
    <w:p>
      <w:pPr>
        <w:pStyle w:val="28"/>
        <w:numPr>
          <w:ilvl w:val="2"/>
          <w:numId w:val="1"/>
        </w:numPr>
        <w:rPr>
          <w:rFonts w:ascii="宋体" w:hAnsi="宋体" w:cs="宋体"/>
          <w:b w:val="0"/>
          <w:sz w:val="24"/>
          <w:highlight w:val="none"/>
        </w:rPr>
      </w:pPr>
      <w:bookmarkStart w:id="220" w:name="_Toc15562945"/>
      <w:r>
        <w:rPr>
          <w:rFonts w:hint="eastAsia" w:ascii="宋体" w:hAnsi="宋体" w:cs="宋体"/>
          <w:b w:val="0"/>
          <w:sz w:val="24"/>
          <w:highlight w:val="none"/>
          <w:lang w:bidi="ar"/>
        </w:rPr>
        <w:t>冲洗作业要求：冲洗后路面应干净，下水口不堵塞；洒水车不得倒车洒水。</w:t>
      </w:r>
      <w:bookmarkEnd w:id="220"/>
      <w:r>
        <w:rPr>
          <w:rFonts w:hint="eastAsia" w:ascii="宋体" w:hAnsi="宋体" w:cs="宋体"/>
          <w:b w:val="0"/>
          <w:sz w:val="24"/>
          <w:highlight w:val="none"/>
          <w:lang w:bidi="ar"/>
        </w:rPr>
        <w:t xml:space="preserve"> </w:t>
      </w:r>
    </w:p>
    <w:p>
      <w:pPr>
        <w:pStyle w:val="28"/>
        <w:numPr>
          <w:ilvl w:val="2"/>
          <w:numId w:val="1"/>
        </w:numPr>
        <w:rPr>
          <w:rFonts w:ascii="宋体" w:hAnsi="宋体" w:cs="宋体"/>
          <w:b w:val="0"/>
          <w:sz w:val="24"/>
          <w:highlight w:val="none"/>
        </w:rPr>
      </w:pPr>
      <w:bookmarkStart w:id="221" w:name="_Toc15562946"/>
      <w:r>
        <w:rPr>
          <w:rFonts w:hint="eastAsia" w:ascii="宋体" w:hAnsi="宋体" w:cs="宋体"/>
          <w:b w:val="0"/>
          <w:sz w:val="24"/>
          <w:highlight w:val="none"/>
          <w:lang w:bidi="ar"/>
        </w:rPr>
        <w:t>道路及公共区域清扫保洁质量要求：</w:t>
      </w:r>
      <w:bookmarkEnd w:id="221"/>
      <w:r>
        <w:rPr>
          <w:rFonts w:hint="eastAsia" w:ascii="宋体" w:hAnsi="宋体" w:cs="宋体"/>
          <w:b w:val="0"/>
          <w:sz w:val="24"/>
          <w:highlight w:val="none"/>
          <w:lang w:bidi="ar"/>
        </w:rPr>
        <w:t xml:space="preserve">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1、道路路面、人行道、树池、绿化带等无堆积物，无果皮纸屑，无砖瓦土石，无烟蒂痰迹，无槟榔水污渍，无积泥积尘积水，无 人畜粪便呕吐物，无灰带和废弃物，构筑物无乱张贴和乱涂写现象。达到路面净、路沟净、墙根净、绿带净、下水篦净，道路无尘见本色，车过无扬尘；</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环卫作业服务单位对范围内道路按保洁时间要求实行全区域全时段作业。道路路面上的生活垃圾、建筑垃圾、大件废弃物、砖头瓦块、滴撒漏污物、雨水篦子夹藏的垃圾杂物等要及时组织清理。路沿石要定时清洗，人行道及树池杂草要及时清除；清扫的垃圾及时收运到指定的垃圾收集地点，不得将垃圾扫入雨水口、边沟、绿地，不得漏扫、甩扫，控制扬尘，不准随意倾倒，避免妨碍行人，不得焚烧垃圾；</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3、辖区清扫保洁范围内与居委会、小区物业、单位等有交叉争议的道路清扫保洁由服务单位负责，其产生的生活垃圾、无主建筑垃圾由服务单位负责清理、收集清运，不得遗留卫生死角；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4、道路污染要及时清理。夏季高温季节要适时对道路实施喷雾防暑降尘作业；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5、清扫作业时严格按规定使用清扫保洁工具和设备，清扫工具、设备存放在隐蔽位置，不得影响镇容村貌；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6、垃圾收集箱、果皮箱的垃圾每天至少清掏一次，每两天至少清洗一次，保持箱体干净；保持箱体密闭，放置垃圾袋，实行垃圾袋收集，箱体干净整洁、无污垢、无乱涂画张贴，箱体周围地面无洒落和污水；及时维修、油漆翻新陈旧、破损垃圾箱，及时更换无法使用的垃圾箱，完好率不低于99%；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7、道路两侧的建筑物外墙无明显污迹，无乱张贴、乱涂写和过时破损标语；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8、道路两侧路名牌、指路牌、交通护栏以及路灯杆、交通指示牌杆等两米以下部分无污迹、积尘；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9、公交站应保持整洁，其保洁质量应与道路保洁质量标准相同；</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 xml:space="preserve">10、道路两侧休闲椅、康体娱乐设施、雕塑（如有）等无积尘、无明显污迹； </w:t>
      </w:r>
    </w:p>
    <w:p>
      <w:pPr>
        <w:widowControl/>
        <w:ind w:left="360" w:hanging="360" w:hangingChars="15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11、保持水域表面整洁，无漂浮垃圾，无片状、带状的凤眼莲、浮萍等水生植物；堤岸坡面应保持清洁，无暴露垃圾。</w:t>
      </w:r>
    </w:p>
    <w:p>
      <w:pPr>
        <w:pStyle w:val="28"/>
        <w:numPr>
          <w:ilvl w:val="1"/>
          <w:numId w:val="1"/>
        </w:numPr>
        <w:rPr>
          <w:rFonts w:ascii="宋体" w:hAnsi="宋体" w:cs="宋体"/>
          <w:sz w:val="24"/>
          <w:highlight w:val="none"/>
        </w:rPr>
      </w:pPr>
      <w:bookmarkStart w:id="222" w:name="_Toc15562947"/>
      <w:r>
        <w:rPr>
          <w:rFonts w:hint="eastAsia" w:ascii="宋体" w:hAnsi="宋体" w:cs="宋体"/>
          <w:sz w:val="24"/>
          <w:highlight w:val="none"/>
        </w:rPr>
        <w:t>垃圾清运服务质量和要求</w:t>
      </w:r>
      <w:bookmarkEnd w:id="222"/>
    </w:p>
    <w:p>
      <w:pPr>
        <w:pStyle w:val="28"/>
        <w:numPr>
          <w:ilvl w:val="2"/>
          <w:numId w:val="1"/>
        </w:numPr>
        <w:rPr>
          <w:rFonts w:ascii="宋体" w:hAnsi="宋体" w:cs="宋体"/>
          <w:b w:val="0"/>
          <w:sz w:val="24"/>
          <w:highlight w:val="none"/>
        </w:rPr>
      </w:pPr>
      <w:bookmarkStart w:id="223" w:name="_Toc15562948"/>
      <w:r>
        <w:rPr>
          <w:rFonts w:hint="eastAsia" w:ascii="宋体" w:hAnsi="宋体" w:cs="宋体"/>
          <w:b w:val="0"/>
          <w:sz w:val="24"/>
          <w:highlight w:val="none"/>
          <w:lang w:bidi="ar"/>
        </w:rPr>
        <w:t>生活垃圾的收集工作，应做到定时定点、日产日清，不得堆积、滞留污染镇容村貌；</w:t>
      </w:r>
      <w:bookmarkEnd w:id="223"/>
      <w:r>
        <w:rPr>
          <w:rFonts w:hint="eastAsia" w:ascii="宋体" w:hAnsi="宋体" w:cs="宋体"/>
          <w:b w:val="0"/>
          <w:sz w:val="24"/>
          <w:highlight w:val="none"/>
          <w:lang w:bidi="ar"/>
        </w:rPr>
        <w:t xml:space="preserve"> </w:t>
      </w:r>
    </w:p>
    <w:p>
      <w:pPr>
        <w:pStyle w:val="28"/>
        <w:numPr>
          <w:ilvl w:val="2"/>
          <w:numId w:val="1"/>
        </w:numPr>
        <w:rPr>
          <w:rFonts w:ascii="宋体" w:hAnsi="宋体" w:cs="宋体"/>
          <w:b w:val="0"/>
          <w:sz w:val="24"/>
          <w:highlight w:val="none"/>
        </w:rPr>
      </w:pPr>
      <w:bookmarkStart w:id="224" w:name="_Toc15562949"/>
      <w:r>
        <w:rPr>
          <w:rFonts w:hint="eastAsia" w:ascii="宋体" w:hAnsi="宋体" w:cs="宋体"/>
          <w:b w:val="0"/>
          <w:sz w:val="24"/>
          <w:highlight w:val="none"/>
          <w:lang w:bidi="ar"/>
        </w:rPr>
        <w:t>垃圾收集容器应定位设置、摆放整齐，方便居民投放。收集点及周围5m内应整洁，无散落、留存垃圾和污水；</w:t>
      </w:r>
      <w:bookmarkEnd w:id="224"/>
      <w:r>
        <w:rPr>
          <w:rFonts w:hint="eastAsia" w:ascii="宋体" w:hAnsi="宋体" w:cs="宋体"/>
          <w:b w:val="0"/>
          <w:sz w:val="24"/>
          <w:highlight w:val="none"/>
          <w:lang w:bidi="ar"/>
        </w:rPr>
        <w:t xml:space="preserve"> </w:t>
      </w:r>
    </w:p>
    <w:p>
      <w:pPr>
        <w:pStyle w:val="28"/>
        <w:numPr>
          <w:ilvl w:val="2"/>
          <w:numId w:val="1"/>
        </w:numPr>
        <w:rPr>
          <w:rFonts w:ascii="宋体" w:hAnsi="宋体" w:cs="宋体"/>
          <w:sz w:val="24"/>
          <w:highlight w:val="none"/>
          <w:lang w:bidi="ar"/>
        </w:rPr>
      </w:pPr>
      <w:bookmarkStart w:id="225" w:name="_Toc15562950"/>
      <w:r>
        <w:rPr>
          <w:rFonts w:hint="eastAsia" w:ascii="宋体" w:hAnsi="宋体" w:cs="宋体"/>
          <w:b w:val="0"/>
          <w:sz w:val="24"/>
          <w:highlight w:val="none"/>
          <w:lang w:bidi="ar"/>
        </w:rPr>
        <w:t>垃圾收集采取密闭方式，逐步推行分类收集、垃圾收集容器应无残缺、破损，封闭性好，外体干净；构筑物内外墙面不得有明显积尘、污迹；</w:t>
      </w:r>
      <w:bookmarkEnd w:id="225"/>
    </w:p>
    <w:p>
      <w:pPr>
        <w:pStyle w:val="28"/>
        <w:numPr>
          <w:ilvl w:val="1"/>
          <w:numId w:val="1"/>
        </w:numPr>
        <w:rPr>
          <w:rFonts w:ascii="宋体" w:hAnsi="宋体" w:cs="宋体"/>
          <w:sz w:val="24"/>
          <w:highlight w:val="none"/>
        </w:rPr>
      </w:pPr>
      <w:bookmarkStart w:id="226" w:name="_Toc15562951"/>
      <w:r>
        <w:rPr>
          <w:rFonts w:hint="eastAsia" w:ascii="宋体" w:hAnsi="宋体" w:cs="宋体"/>
          <w:sz w:val="24"/>
          <w:highlight w:val="none"/>
        </w:rPr>
        <w:t>垃圾分类服务质量和要求</w:t>
      </w:r>
      <w:bookmarkEnd w:id="226"/>
    </w:p>
    <w:p>
      <w:pPr>
        <w:pStyle w:val="28"/>
        <w:numPr>
          <w:ilvl w:val="2"/>
          <w:numId w:val="1"/>
        </w:numPr>
        <w:rPr>
          <w:rFonts w:ascii="宋体" w:hAnsi="宋体" w:cs="宋体"/>
          <w:b w:val="0"/>
          <w:sz w:val="24"/>
          <w:highlight w:val="none"/>
        </w:rPr>
      </w:pPr>
      <w:bookmarkStart w:id="227" w:name="_Toc15562952"/>
      <w:r>
        <w:rPr>
          <w:rFonts w:hint="eastAsia" w:ascii="宋体" w:hAnsi="宋体" w:cs="宋体"/>
          <w:b w:val="0"/>
          <w:sz w:val="24"/>
          <w:highlight w:val="none"/>
          <w:lang w:bidi="ar"/>
        </w:rPr>
        <w:t>项目服务合同签订后，服务单位须在15个工作日内向区环卫局提交垃圾分类工作方案，经区环卫局批准同意后执行；</w:t>
      </w:r>
      <w:bookmarkEnd w:id="227"/>
    </w:p>
    <w:p>
      <w:pPr>
        <w:pStyle w:val="28"/>
        <w:numPr>
          <w:ilvl w:val="2"/>
          <w:numId w:val="1"/>
        </w:numPr>
        <w:rPr>
          <w:rFonts w:ascii="宋体" w:hAnsi="宋体" w:cs="宋体"/>
          <w:b w:val="0"/>
          <w:sz w:val="24"/>
          <w:highlight w:val="none"/>
        </w:rPr>
      </w:pPr>
      <w:bookmarkStart w:id="228" w:name="_Toc15562953"/>
      <w:r>
        <w:rPr>
          <w:rFonts w:hint="eastAsia" w:ascii="宋体" w:hAnsi="宋体" w:cs="宋体"/>
          <w:b w:val="0"/>
          <w:sz w:val="24"/>
          <w:highlight w:val="none"/>
          <w:lang w:bidi="ar"/>
        </w:rPr>
        <w:t>广泛发动党员干部、群众并结合村委参与垃圾分类管理工作，当好垃圾分类宣传员、督导员、志愿者；</w:t>
      </w:r>
      <w:bookmarkEnd w:id="228"/>
      <w:r>
        <w:rPr>
          <w:rFonts w:hint="eastAsia" w:ascii="宋体" w:hAnsi="宋体" w:cs="宋体"/>
          <w:b w:val="0"/>
          <w:sz w:val="24"/>
          <w:highlight w:val="none"/>
          <w:lang w:bidi="ar"/>
        </w:rPr>
        <w:t xml:space="preserve"> </w:t>
      </w:r>
    </w:p>
    <w:p>
      <w:pPr>
        <w:pStyle w:val="28"/>
        <w:numPr>
          <w:ilvl w:val="2"/>
          <w:numId w:val="1"/>
        </w:numPr>
        <w:rPr>
          <w:rFonts w:ascii="宋体" w:hAnsi="宋体" w:cs="宋体"/>
          <w:b w:val="0"/>
          <w:sz w:val="24"/>
          <w:highlight w:val="none"/>
        </w:rPr>
      </w:pPr>
      <w:bookmarkStart w:id="229" w:name="_Toc15562954"/>
      <w:r>
        <w:rPr>
          <w:rFonts w:hint="eastAsia" w:ascii="宋体" w:hAnsi="宋体" w:cs="宋体"/>
          <w:b w:val="0"/>
          <w:sz w:val="24"/>
          <w:highlight w:val="none"/>
          <w:lang w:bidi="ar"/>
        </w:rPr>
        <w:t>按照规定的时间、地点以及相关要求，实施分类投放、收集、运输作业，完成作业后及时将垃圾收集容器复位并清理作业场地；</w:t>
      </w:r>
      <w:bookmarkEnd w:id="229"/>
      <w:r>
        <w:rPr>
          <w:rFonts w:hint="eastAsia" w:ascii="宋体" w:hAnsi="宋体" w:cs="宋体"/>
          <w:b w:val="0"/>
          <w:sz w:val="24"/>
          <w:highlight w:val="none"/>
          <w:lang w:bidi="ar"/>
        </w:rPr>
        <w:t xml:space="preserve"> </w:t>
      </w:r>
    </w:p>
    <w:p>
      <w:pPr>
        <w:pStyle w:val="28"/>
        <w:numPr>
          <w:ilvl w:val="2"/>
          <w:numId w:val="1"/>
        </w:numPr>
        <w:rPr>
          <w:rFonts w:ascii="宋体" w:hAnsi="宋体" w:cs="宋体"/>
          <w:b w:val="0"/>
          <w:sz w:val="24"/>
          <w:highlight w:val="none"/>
        </w:rPr>
      </w:pPr>
      <w:bookmarkStart w:id="230" w:name="_Toc15562955"/>
      <w:r>
        <w:rPr>
          <w:rFonts w:hint="eastAsia" w:ascii="宋体" w:hAnsi="宋体" w:cs="宋体"/>
          <w:b w:val="0"/>
          <w:sz w:val="24"/>
          <w:highlight w:val="none"/>
          <w:lang w:bidi="ar"/>
        </w:rPr>
        <w:t>保证运输工具密闭、整洁、完好，不得飞扬、撒漏、吊挂生活垃圾；</w:t>
      </w:r>
      <w:bookmarkEnd w:id="230"/>
      <w:r>
        <w:rPr>
          <w:rFonts w:hint="eastAsia" w:ascii="宋体" w:hAnsi="宋体" w:cs="宋体"/>
          <w:b w:val="0"/>
          <w:sz w:val="24"/>
          <w:highlight w:val="none"/>
          <w:lang w:bidi="ar"/>
        </w:rPr>
        <w:t xml:space="preserve"> </w:t>
      </w:r>
    </w:p>
    <w:p>
      <w:pPr>
        <w:pStyle w:val="28"/>
        <w:numPr>
          <w:ilvl w:val="2"/>
          <w:numId w:val="1"/>
        </w:numPr>
        <w:rPr>
          <w:rFonts w:ascii="宋体" w:hAnsi="宋体" w:cs="宋体"/>
          <w:b w:val="0"/>
          <w:sz w:val="24"/>
          <w:highlight w:val="none"/>
          <w:lang w:bidi="ar"/>
        </w:rPr>
      </w:pPr>
      <w:bookmarkStart w:id="231" w:name="_Toc15562956"/>
      <w:r>
        <w:rPr>
          <w:rFonts w:hint="eastAsia" w:ascii="宋体" w:hAnsi="宋体" w:cs="宋体"/>
          <w:b w:val="0"/>
          <w:sz w:val="24"/>
          <w:highlight w:val="none"/>
          <w:lang w:bidi="ar"/>
        </w:rPr>
        <w:t>及时处理收集到的垃圾，避免二次污染。</w:t>
      </w:r>
      <w:bookmarkEnd w:id="231"/>
    </w:p>
    <w:p>
      <w:pPr>
        <w:pStyle w:val="28"/>
        <w:numPr>
          <w:ilvl w:val="1"/>
          <w:numId w:val="1"/>
        </w:numPr>
        <w:rPr>
          <w:rFonts w:ascii="宋体" w:hAnsi="宋体" w:cs="宋体"/>
          <w:sz w:val="24"/>
          <w:highlight w:val="none"/>
          <w:lang w:bidi="ar"/>
        </w:rPr>
      </w:pPr>
      <w:bookmarkStart w:id="232" w:name="_Toc15562957"/>
      <w:r>
        <w:rPr>
          <w:rFonts w:hint="eastAsia" w:ascii="宋体" w:hAnsi="宋体" w:cs="宋体"/>
          <w:sz w:val="24"/>
          <w:highlight w:val="none"/>
          <w:lang w:bidi="ar"/>
        </w:rPr>
        <w:t>公厕运营管理服务质量和要求</w:t>
      </w:r>
      <w:bookmarkEnd w:id="232"/>
    </w:p>
    <w:p>
      <w:pPr>
        <w:ind w:left="560" w:firstLine="560"/>
        <w:rPr>
          <w:rFonts w:ascii="宋体" w:hAnsi="宋体" w:cs="宋体"/>
          <w:sz w:val="24"/>
          <w:highlight w:val="none"/>
        </w:rPr>
      </w:pPr>
      <w:r>
        <w:rPr>
          <w:rFonts w:hint="eastAsia" w:ascii="宋体" w:hAnsi="宋体" w:cs="宋体"/>
          <w:sz w:val="24"/>
          <w:highlight w:val="none"/>
        </w:rPr>
        <w:t>公厕卫生标准必须达到或高于国家二类公厕标准。</w:t>
      </w:r>
    </w:p>
    <w:p>
      <w:pPr>
        <w:pStyle w:val="28"/>
        <w:numPr>
          <w:ilvl w:val="1"/>
          <w:numId w:val="1"/>
        </w:numPr>
        <w:rPr>
          <w:rFonts w:ascii="宋体" w:hAnsi="宋体" w:cs="宋体"/>
          <w:sz w:val="24"/>
          <w:highlight w:val="none"/>
          <w:lang w:bidi="ar"/>
        </w:rPr>
      </w:pPr>
      <w:bookmarkStart w:id="233" w:name="_Toc15562958"/>
      <w:r>
        <w:rPr>
          <w:rFonts w:hint="eastAsia" w:ascii="宋体" w:hAnsi="宋体" w:cs="宋体"/>
          <w:sz w:val="24"/>
          <w:highlight w:val="none"/>
          <w:lang w:bidi="ar"/>
        </w:rPr>
        <w:t>公厕的接收</w:t>
      </w:r>
      <w:bookmarkEnd w:id="233"/>
    </w:p>
    <w:p>
      <w:pPr>
        <w:ind w:left="560" w:firstLine="560"/>
        <w:rPr>
          <w:rFonts w:ascii="宋体" w:hAnsi="宋体" w:cs="宋体"/>
          <w:sz w:val="24"/>
          <w:highlight w:val="none"/>
        </w:rPr>
      </w:pPr>
      <w:r>
        <w:rPr>
          <w:rFonts w:hint="eastAsia" w:ascii="宋体" w:hAnsi="宋体" w:cs="宋体"/>
          <w:sz w:val="24"/>
          <w:highlight w:val="none"/>
        </w:rPr>
        <w:t>各镇移交至服务单位的公厕必须达到可作业的标准，服务单位最终运营管理公厕以其实际运营管理数量为准，并按座计费。</w:t>
      </w:r>
    </w:p>
    <w:p>
      <w:pPr>
        <w:pStyle w:val="28"/>
        <w:numPr>
          <w:ilvl w:val="1"/>
          <w:numId w:val="1"/>
        </w:numPr>
        <w:rPr>
          <w:rFonts w:ascii="宋体" w:hAnsi="宋体" w:cs="宋体"/>
          <w:sz w:val="24"/>
          <w:highlight w:val="none"/>
          <w:lang w:bidi="ar"/>
        </w:rPr>
      </w:pPr>
      <w:bookmarkStart w:id="234" w:name="_Toc15562959"/>
      <w:r>
        <w:rPr>
          <w:rFonts w:hint="eastAsia" w:ascii="宋体" w:hAnsi="宋体" w:cs="宋体"/>
          <w:sz w:val="24"/>
          <w:highlight w:val="none"/>
          <w:lang w:bidi="ar"/>
        </w:rPr>
        <w:t>原有资产</w:t>
      </w:r>
      <w:bookmarkEnd w:id="234"/>
    </w:p>
    <w:p>
      <w:pPr>
        <w:ind w:left="560" w:firstLine="560"/>
        <w:rPr>
          <w:rFonts w:ascii="宋体" w:hAnsi="宋体" w:cs="宋体"/>
          <w:sz w:val="24"/>
          <w:highlight w:val="none"/>
        </w:rPr>
      </w:pPr>
      <w:r>
        <w:rPr>
          <w:rFonts w:hint="eastAsia" w:ascii="宋体" w:hAnsi="宋体" w:cs="宋体"/>
          <w:sz w:val="24"/>
          <w:highlight w:val="none"/>
        </w:rPr>
        <w:t>原国有环卫作业设备，经区政府方和原设备产权归属单位进行资产评估后，由乙方以资产评估价进行购买。其中，无法继续使用的、无法办理过户手续的，以及已无法满足环卫作业标准（如四轮拖拉机）的设备除外。</w:t>
      </w:r>
    </w:p>
    <w:p>
      <w:pPr>
        <w:ind w:left="560" w:firstLine="560"/>
        <w:rPr>
          <w:rFonts w:ascii="宋体" w:hAnsi="宋体" w:cs="宋体"/>
          <w:sz w:val="24"/>
          <w:highlight w:val="none"/>
        </w:rPr>
      </w:pPr>
      <w:r>
        <w:rPr>
          <w:rFonts w:hint="eastAsia" w:ascii="宋体" w:hAnsi="宋体" w:cs="宋体"/>
          <w:sz w:val="24"/>
          <w:highlight w:val="none"/>
        </w:rPr>
        <w:t>为保证项目的连续运营，在服务期内，原有的环卫站（含垃圾站）内的设施设备由政府方提供给乙方无偿使用，但所有权仍归属政府方，乙方在服务期内自行对相关的设备设施进行维修维护。其中，若环卫站（含垃圾站）属于政府租赁土地建设的，在服务期内，仍由政府方支付环卫站（含垃圾站）的土地租赁费。</w:t>
      </w:r>
    </w:p>
    <w:p>
      <w:pPr>
        <w:ind w:left="560" w:firstLine="560"/>
        <w:rPr>
          <w:rFonts w:ascii="宋体" w:hAnsi="宋体" w:cs="宋体"/>
          <w:sz w:val="24"/>
          <w:highlight w:val="none"/>
        </w:rPr>
      </w:pPr>
      <w:r>
        <w:rPr>
          <w:rFonts w:hint="eastAsia" w:ascii="宋体" w:hAnsi="宋体" w:cs="宋体"/>
          <w:sz w:val="24"/>
          <w:highlight w:val="none"/>
        </w:rPr>
        <w:t>服务期满，乙方应将环卫站（含垃圾站）内相关的设施设备完好的移交给政府方。</w:t>
      </w:r>
    </w:p>
    <w:p>
      <w:pPr>
        <w:pStyle w:val="28"/>
        <w:numPr>
          <w:ilvl w:val="1"/>
          <w:numId w:val="1"/>
        </w:numPr>
        <w:rPr>
          <w:rFonts w:ascii="宋体" w:hAnsi="宋体" w:cs="宋体"/>
          <w:sz w:val="24"/>
          <w:highlight w:val="none"/>
        </w:rPr>
      </w:pPr>
      <w:bookmarkStart w:id="235" w:name="_Toc15562960"/>
      <w:r>
        <w:rPr>
          <w:rFonts w:hint="eastAsia" w:ascii="宋体" w:hAnsi="宋体" w:cs="宋体"/>
          <w:sz w:val="24"/>
          <w:highlight w:val="none"/>
        </w:rPr>
        <w:t>原有人员聘用</w:t>
      </w:r>
      <w:bookmarkEnd w:id="210"/>
      <w:bookmarkEnd w:id="211"/>
      <w:bookmarkEnd w:id="212"/>
      <w:bookmarkEnd w:id="235"/>
    </w:p>
    <w:p>
      <w:pPr>
        <w:pStyle w:val="28"/>
        <w:numPr>
          <w:ilvl w:val="2"/>
          <w:numId w:val="1"/>
        </w:numPr>
        <w:rPr>
          <w:rFonts w:ascii="宋体" w:hAnsi="宋体" w:cs="宋体"/>
          <w:b w:val="0"/>
          <w:sz w:val="24"/>
          <w:highlight w:val="none"/>
        </w:rPr>
      </w:pPr>
      <w:bookmarkStart w:id="236" w:name="_Toc15465950"/>
      <w:bookmarkStart w:id="237" w:name="_Toc15466164"/>
      <w:bookmarkStart w:id="238" w:name="_Toc15562961"/>
      <w:bookmarkStart w:id="239" w:name="_Toc15465679"/>
      <w:r>
        <w:rPr>
          <w:rFonts w:hint="eastAsia" w:ascii="宋体" w:hAnsi="宋体" w:cs="宋体"/>
          <w:b w:val="0"/>
          <w:sz w:val="24"/>
          <w:highlight w:val="none"/>
        </w:rPr>
        <w:t>乙方应无条件全员聘用原有环卫站普通职工，按《劳动合同法》重新签订不少于三年的劳动合同。</w:t>
      </w:r>
      <w:bookmarkEnd w:id="213"/>
      <w:bookmarkEnd w:id="236"/>
      <w:bookmarkEnd w:id="237"/>
      <w:bookmarkEnd w:id="238"/>
      <w:bookmarkEnd w:id="239"/>
    </w:p>
    <w:p>
      <w:pPr>
        <w:pStyle w:val="28"/>
        <w:numPr>
          <w:ilvl w:val="2"/>
          <w:numId w:val="1"/>
        </w:numPr>
        <w:rPr>
          <w:rFonts w:ascii="宋体" w:hAnsi="宋体" w:cs="宋体"/>
          <w:b w:val="0"/>
          <w:sz w:val="24"/>
          <w:highlight w:val="none"/>
          <w:lang w:bidi="ar"/>
        </w:rPr>
      </w:pPr>
      <w:bookmarkStart w:id="240" w:name="_Toc15465951"/>
      <w:bookmarkStart w:id="241" w:name="_Toc15465680"/>
      <w:bookmarkStart w:id="242" w:name="_Toc15466165"/>
      <w:bookmarkStart w:id="243" w:name="_Toc15562962"/>
      <w:r>
        <w:rPr>
          <w:rFonts w:hint="eastAsia" w:ascii="宋体" w:hAnsi="宋体" w:cs="宋体"/>
          <w:b w:val="0"/>
          <w:sz w:val="24"/>
          <w:highlight w:val="none"/>
          <w:lang w:bidi="ar"/>
        </w:rPr>
        <w:t>在原单位环卫工作年限累计达到10年或以上的，已签订无固定期限劳动合同或已连续签订二次固定期限劳动合同且未违反劳动法的职工，乙方均应签订无固定期限劳动合同。</w:t>
      </w:r>
      <w:bookmarkEnd w:id="240"/>
      <w:bookmarkEnd w:id="241"/>
      <w:bookmarkEnd w:id="242"/>
      <w:bookmarkEnd w:id="243"/>
    </w:p>
    <w:p>
      <w:pPr>
        <w:pStyle w:val="28"/>
        <w:numPr>
          <w:ilvl w:val="2"/>
          <w:numId w:val="1"/>
        </w:numPr>
        <w:rPr>
          <w:rFonts w:ascii="宋体" w:hAnsi="宋体" w:cs="宋体"/>
          <w:sz w:val="24"/>
          <w:highlight w:val="none"/>
          <w:lang w:bidi="ar"/>
        </w:rPr>
      </w:pPr>
      <w:bookmarkStart w:id="244" w:name="_Toc15465952"/>
      <w:bookmarkStart w:id="245" w:name="_Toc15562963"/>
      <w:bookmarkStart w:id="246" w:name="_Toc15465681"/>
      <w:bookmarkStart w:id="247" w:name="_Toc15466166"/>
      <w:r>
        <w:rPr>
          <w:rFonts w:hint="eastAsia" w:ascii="宋体" w:hAnsi="宋体" w:cs="宋体"/>
          <w:b w:val="0"/>
          <w:sz w:val="24"/>
          <w:highlight w:val="none"/>
          <w:lang w:bidi="ar"/>
        </w:rPr>
        <w:t>乙方招聘新员工时，应优先考虑招收原村级保洁员、辖区贫困人员，辅助政府优先解决贫困人员就业、支持扶贫工作。乙方应确保目前在册的且被服务单位聘用的普通职工（非事业编制）平均工资标准不低于1930元/月，同时保证原有人员的待遇标准不得低于现有水平，以后平均工资增长幅度不低于海口市的社会平均工资增长幅度并按照国家和海口市有关法律、法规、规章、政策和规范性文件的规定和要求，保障员工（包括事业编人员和合同制人员）的福利待遇（不得低于下表中标准）和法定的权益，包括但不限于为员工缴纳社会保险金（养老保险、医疗保险、失业保险、生育保险、工伤保险）和住房公积金，购买意外险，发放节假日补助、高温补贴及年终奖金，支付员工加班费，每年组织1次员工健康检查，至少一次组织优秀员工和业务骨干外出参观、学习和培训等</w:t>
      </w:r>
      <w:r>
        <w:rPr>
          <w:rFonts w:hint="eastAsia" w:ascii="宋体" w:hAnsi="宋体" w:cs="宋体"/>
          <w:sz w:val="24"/>
          <w:highlight w:val="none"/>
          <w:lang w:bidi="ar"/>
        </w:rPr>
        <w:t>。</w:t>
      </w:r>
      <w:bookmarkEnd w:id="244"/>
      <w:bookmarkEnd w:id="245"/>
      <w:bookmarkEnd w:id="246"/>
      <w:bookmarkEnd w:id="247"/>
    </w:p>
    <w:p>
      <w:pPr>
        <w:ind w:left="560" w:firstLine="560"/>
        <w:jc w:val="center"/>
        <w:rPr>
          <w:rFonts w:ascii="宋体" w:hAnsi="宋体" w:cs="宋体"/>
          <w:b/>
          <w:sz w:val="24"/>
          <w:highlight w:val="none"/>
          <w:lang w:bidi="ar"/>
        </w:rPr>
      </w:pPr>
      <w:r>
        <w:rPr>
          <w:rFonts w:hint="eastAsia" w:ascii="宋体" w:hAnsi="宋体" w:cs="宋体"/>
          <w:b/>
          <w:sz w:val="24"/>
          <w:highlight w:val="none"/>
          <w:lang w:bidi="ar"/>
        </w:rPr>
        <w:t>表6-1 环卫职工基本待遇标准表</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78"/>
        <w:gridCol w:w="4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00" w:type="dxa"/>
            <w:vAlign w:val="center"/>
          </w:tcPr>
          <w:p>
            <w:pPr>
              <w:pStyle w:val="7"/>
              <w:ind w:firstLine="0" w:firstLineChars="0"/>
              <w:rPr>
                <w:rFonts w:ascii="宋体" w:hAnsi="宋体" w:cs="宋体"/>
                <w:b/>
                <w:bCs/>
                <w:sz w:val="24"/>
                <w:highlight w:val="none"/>
              </w:rPr>
            </w:pPr>
            <w:r>
              <w:rPr>
                <w:rFonts w:hint="eastAsia" w:ascii="宋体" w:hAnsi="宋体" w:cs="宋体"/>
                <w:b/>
                <w:bCs/>
                <w:sz w:val="24"/>
                <w:highlight w:val="none"/>
              </w:rPr>
              <w:t>序号</w:t>
            </w:r>
          </w:p>
        </w:tc>
        <w:tc>
          <w:tcPr>
            <w:tcW w:w="2878" w:type="dxa"/>
            <w:vAlign w:val="center"/>
          </w:tcPr>
          <w:p>
            <w:pPr>
              <w:pStyle w:val="7"/>
              <w:ind w:firstLine="480"/>
              <w:jc w:val="center"/>
              <w:rPr>
                <w:rFonts w:ascii="宋体" w:hAnsi="宋体" w:cs="宋体"/>
                <w:b/>
                <w:bCs/>
                <w:sz w:val="24"/>
                <w:highlight w:val="none"/>
              </w:rPr>
            </w:pPr>
            <w:r>
              <w:rPr>
                <w:rFonts w:hint="eastAsia" w:ascii="宋体" w:hAnsi="宋体" w:cs="宋体"/>
                <w:b/>
                <w:bCs/>
                <w:sz w:val="24"/>
                <w:highlight w:val="none"/>
              </w:rPr>
              <w:t>项目</w:t>
            </w:r>
          </w:p>
        </w:tc>
        <w:tc>
          <w:tcPr>
            <w:tcW w:w="4744" w:type="dxa"/>
            <w:vAlign w:val="center"/>
          </w:tcPr>
          <w:p>
            <w:pPr>
              <w:pStyle w:val="7"/>
              <w:ind w:firstLine="480"/>
              <w:jc w:val="center"/>
              <w:rPr>
                <w:rFonts w:ascii="宋体" w:hAnsi="宋体" w:cs="宋体"/>
                <w:b/>
                <w:bCs/>
                <w:sz w:val="24"/>
                <w:highlight w:val="none"/>
              </w:rPr>
            </w:pPr>
            <w:r>
              <w:rPr>
                <w:rFonts w:hint="eastAsia" w:ascii="宋体" w:hAnsi="宋体" w:cs="宋体"/>
                <w:b/>
                <w:bCs/>
                <w:sz w:val="24"/>
                <w:highlight w:val="none"/>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1</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基本工资</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合同制人员：不低于 1930 元/月</w:t>
            </w:r>
          </w:p>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事业编制人员：不低于现有标准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2</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五险（养老、医疗、工伤、失业、生育）</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按最低缴费基数3453 元，养老19%、医疗 8%、工伤0.5%、事业1%、生育0.5%的比例缴纳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3</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住房公积金</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按月基本工资的 5%缴纳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4</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法定假日加班费</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按《中华人民共和国劳动法》执行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5</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高温补贴</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每人每年 2100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6</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年终奖</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每人每年不低于 2400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pStyle w:val="7"/>
              <w:ind w:firstLine="480"/>
              <w:jc w:val="center"/>
              <w:rPr>
                <w:rFonts w:ascii="宋体" w:hAnsi="宋体" w:cs="宋体"/>
                <w:sz w:val="24"/>
                <w:highlight w:val="none"/>
              </w:rPr>
            </w:pPr>
            <w:r>
              <w:rPr>
                <w:rFonts w:hint="eastAsia" w:ascii="宋体" w:hAnsi="宋体" w:cs="宋体"/>
                <w:sz w:val="24"/>
                <w:highlight w:val="none"/>
              </w:rPr>
              <w:t>7</w:t>
            </w:r>
          </w:p>
        </w:tc>
        <w:tc>
          <w:tcPr>
            <w:tcW w:w="2878"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意外保险</w:t>
            </w:r>
          </w:p>
        </w:tc>
        <w:tc>
          <w:tcPr>
            <w:tcW w:w="4744" w:type="dxa"/>
            <w:vAlign w:val="center"/>
          </w:tcPr>
          <w:p>
            <w:pPr>
              <w:widowControl/>
              <w:jc w:val="center"/>
              <w:rPr>
                <w:rFonts w:ascii="宋体" w:hAnsi="宋体" w:cs="宋体"/>
                <w:kern w:val="0"/>
                <w:sz w:val="24"/>
                <w:highlight w:val="none"/>
              </w:rPr>
            </w:pPr>
            <w:r>
              <w:rPr>
                <w:rFonts w:hint="eastAsia" w:ascii="宋体" w:hAnsi="宋体" w:cs="宋体"/>
                <w:color w:val="000000"/>
                <w:kern w:val="0"/>
                <w:sz w:val="24"/>
                <w:highlight w:val="none"/>
                <w:lang w:bidi="ar"/>
              </w:rPr>
              <w:t>每人每年 270 元</w:t>
            </w:r>
          </w:p>
        </w:tc>
      </w:tr>
    </w:tbl>
    <w:p>
      <w:pPr>
        <w:pStyle w:val="28"/>
        <w:numPr>
          <w:ilvl w:val="1"/>
          <w:numId w:val="1"/>
        </w:numPr>
        <w:rPr>
          <w:rFonts w:ascii="宋体" w:hAnsi="宋体" w:cs="宋体"/>
          <w:sz w:val="24"/>
          <w:highlight w:val="none"/>
          <w:lang w:bidi="ar"/>
        </w:rPr>
      </w:pPr>
      <w:bookmarkStart w:id="248" w:name="_Toc15465682"/>
      <w:bookmarkStart w:id="249" w:name="_Toc15466167"/>
      <w:bookmarkStart w:id="250" w:name="_Toc15465953"/>
      <w:bookmarkStart w:id="251" w:name="_Toc15562964"/>
      <w:r>
        <w:rPr>
          <w:rFonts w:hint="eastAsia" w:ascii="宋体" w:hAnsi="宋体" w:cs="宋体"/>
          <w:sz w:val="24"/>
          <w:highlight w:val="none"/>
          <w:lang w:bidi="ar"/>
        </w:rPr>
        <w:t>劳保用品设备的购置与更换</w:t>
      </w:r>
      <w:bookmarkEnd w:id="248"/>
      <w:bookmarkEnd w:id="249"/>
      <w:bookmarkEnd w:id="250"/>
      <w:bookmarkEnd w:id="251"/>
    </w:p>
    <w:p>
      <w:pPr>
        <w:ind w:left="560" w:firstLine="561"/>
        <w:rPr>
          <w:rFonts w:ascii="宋体" w:hAnsi="宋体" w:cs="宋体"/>
          <w:sz w:val="24"/>
          <w:highlight w:val="none"/>
        </w:rPr>
      </w:pPr>
      <w:bookmarkStart w:id="252" w:name="_Toc492603944"/>
      <w:r>
        <w:rPr>
          <w:rFonts w:hint="eastAsia" w:ascii="宋体" w:hAnsi="宋体" w:cs="宋体"/>
          <w:sz w:val="24"/>
          <w:highlight w:val="none"/>
        </w:rPr>
        <w:t>乙方为完成本项目所使用的劳动工具、劳保用品和环卫设备等，由乙方自行购买和负责，甲方对乙方购置、使用、维修及合同期满后的处置等概不负责。</w:t>
      </w:r>
      <w:bookmarkEnd w:id="252"/>
    </w:p>
    <w:p>
      <w:pPr>
        <w:pStyle w:val="28"/>
        <w:numPr>
          <w:ilvl w:val="1"/>
          <w:numId w:val="1"/>
        </w:numPr>
        <w:rPr>
          <w:rFonts w:ascii="宋体" w:hAnsi="宋体" w:cs="宋体"/>
          <w:sz w:val="24"/>
          <w:highlight w:val="none"/>
        </w:rPr>
      </w:pPr>
      <w:bookmarkStart w:id="253" w:name="_Toc15562965"/>
      <w:r>
        <w:rPr>
          <w:rFonts w:hint="eastAsia" w:ascii="宋体" w:hAnsi="宋体" w:cs="宋体"/>
          <w:sz w:val="24"/>
          <w:highlight w:val="none"/>
        </w:rPr>
        <w:t>前期费用</w:t>
      </w:r>
      <w:bookmarkEnd w:id="253"/>
    </w:p>
    <w:p>
      <w:pPr>
        <w:ind w:left="560" w:firstLine="560"/>
        <w:rPr>
          <w:rFonts w:ascii="宋体" w:hAnsi="宋体" w:cs="宋体"/>
          <w:sz w:val="24"/>
          <w:highlight w:val="none"/>
        </w:rPr>
      </w:pPr>
      <w:r>
        <w:rPr>
          <w:rFonts w:hint="eastAsia" w:ascii="宋体" w:hAnsi="宋体" w:cs="宋体"/>
          <w:sz w:val="24"/>
          <w:highlight w:val="none"/>
        </w:rPr>
        <w:t>本项目招标文件中约定的前期测绘费、资产评估费和咨询服务费已计入项目采购预算费用，由乙方承担并向相关单位支付。</w:t>
      </w:r>
    </w:p>
    <w:p>
      <w:pPr>
        <w:pStyle w:val="28"/>
        <w:numPr>
          <w:ilvl w:val="1"/>
          <w:numId w:val="1"/>
        </w:numPr>
        <w:rPr>
          <w:rFonts w:ascii="宋体" w:hAnsi="宋体" w:cs="宋体"/>
          <w:sz w:val="24"/>
          <w:highlight w:val="none"/>
        </w:rPr>
      </w:pPr>
      <w:bookmarkStart w:id="254" w:name="_Toc15562966"/>
      <w:r>
        <w:rPr>
          <w:rFonts w:hint="eastAsia" w:ascii="宋体" w:hAnsi="宋体" w:cs="宋体"/>
          <w:sz w:val="24"/>
          <w:highlight w:val="none"/>
        </w:rPr>
        <w:t>实际环卫作业服务范围与服务费用</w:t>
      </w:r>
      <w:bookmarkEnd w:id="254"/>
    </w:p>
    <w:p>
      <w:pPr>
        <w:ind w:left="560" w:firstLine="561"/>
        <w:rPr>
          <w:rFonts w:ascii="宋体" w:hAnsi="宋体" w:cs="宋体"/>
          <w:sz w:val="24"/>
          <w:highlight w:val="none"/>
        </w:rPr>
      </w:pPr>
      <w:r>
        <w:rPr>
          <w:rFonts w:hint="eastAsia" w:ascii="宋体" w:hAnsi="宋体" w:cs="宋体"/>
          <w:sz w:val="24"/>
          <w:highlight w:val="none"/>
        </w:rPr>
        <w:t>随着城市发展或市政规划调整，服务单位实际作业范围可能发生一定的变动，届时由甲方与乙方签订补充协议予以明确。</w:t>
      </w:r>
    </w:p>
    <w:p>
      <w:pPr>
        <w:ind w:left="560" w:firstLine="561"/>
        <w:rPr>
          <w:rFonts w:ascii="宋体" w:hAnsi="宋体" w:cs="宋体"/>
          <w:sz w:val="24"/>
          <w:highlight w:val="none"/>
        </w:rPr>
      </w:pPr>
      <w:r>
        <w:rPr>
          <w:rFonts w:hint="eastAsia" w:ascii="宋体" w:hAnsi="宋体" w:cs="宋体"/>
          <w:sz w:val="24"/>
          <w:highlight w:val="none"/>
        </w:rPr>
        <w:t>政府支付给乙方的实际环卫作业服务费，以服务单位实际作业范围为准。</w:t>
      </w:r>
    </w:p>
    <w:p>
      <w:pPr>
        <w:pStyle w:val="28"/>
        <w:jc w:val="center"/>
        <w:rPr>
          <w:rFonts w:ascii="宋体" w:hAnsi="宋体" w:cs="宋体"/>
          <w:sz w:val="24"/>
          <w:highlight w:val="none"/>
          <w:lang w:bidi="ar"/>
        </w:rPr>
      </w:pPr>
      <w:bookmarkStart w:id="255" w:name="_Toc15562967"/>
      <w:r>
        <w:rPr>
          <w:rFonts w:hint="eastAsia" w:ascii="宋体" w:hAnsi="宋体" w:cs="宋体"/>
          <w:sz w:val="24"/>
          <w:highlight w:val="none"/>
          <w:lang w:bidi="ar"/>
        </w:rPr>
        <w:t>服务承包期限</w:t>
      </w:r>
      <w:bookmarkEnd w:id="255"/>
    </w:p>
    <w:p>
      <w:pPr>
        <w:pStyle w:val="28"/>
        <w:numPr>
          <w:ilvl w:val="1"/>
          <w:numId w:val="10"/>
        </w:numPr>
        <w:rPr>
          <w:rFonts w:ascii="宋体" w:hAnsi="宋体" w:cs="宋体"/>
          <w:b w:val="0"/>
          <w:sz w:val="24"/>
          <w:highlight w:val="none"/>
        </w:rPr>
      </w:pPr>
      <w:bookmarkStart w:id="256" w:name="_Toc15465955"/>
      <w:bookmarkStart w:id="257" w:name="_Toc15562968"/>
      <w:bookmarkStart w:id="258" w:name="_Toc15465684"/>
      <w:bookmarkStart w:id="259" w:name="_Toc15466169"/>
      <w:r>
        <w:rPr>
          <w:rFonts w:hint="eastAsia" w:ascii="宋体" w:hAnsi="宋体" w:cs="宋体"/>
          <w:b w:val="0"/>
          <w:sz w:val="24"/>
          <w:highlight w:val="none"/>
          <w:lang w:bidi="ar"/>
        </w:rPr>
        <w:t>除非依据</w:t>
      </w:r>
      <w:r>
        <w:rPr>
          <w:rFonts w:hint="eastAsia" w:ascii="宋体" w:hAnsi="宋体" w:cs="宋体"/>
          <w:b w:val="0"/>
          <w:sz w:val="24"/>
          <w:highlight w:val="none"/>
        </w:rPr>
        <w:t>本协议的相关条款而终止，本项目承包期限为叁年（3）年，</w:t>
      </w:r>
      <w:r>
        <w:rPr>
          <w:rFonts w:hint="eastAsia" w:ascii="宋体" w:hAnsi="宋体" w:cs="宋体"/>
          <w:b w:val="0"/>
          <w:sz w:val="24"/>
          <w:highlight w:val="none"/>
        </w:rPr>
        <w:t>自2019年  月  日始至2022年 月  日止。</w:t>
      </w:r>
      <w:bookmarkEnd w:id="256"/>
      <w:bookmarkEnd w:id="257"/>
      <w:bookmarkEnd w:id="258"/>
      <w:bookmarkEnd w:id="259"/>
    </w:p>
    <w:p>
      <w:pPr>
        <w:pStyle w:val="28"/>
        <w:numPr>
          <w:ilvl w:val="1"/>
          <w:numId w:val="1"/>
        </w:numPr>
        <w:rPr>
          <w:rFonts w:ascii="宋体" w:hAnsi="宋体" w:cs="宋体"/>
          <w:b w:val="0"/>
          <w:sz w:val="24"/>
          <w:highlight w:val="none"/>
        </w:rPr>
      </w:pPr>
      <w:bookmarkStart w:id="260" w:name="_Toc15562969"/>
      <w:r>
        <w:rPr>
          <w:rFonts w:hint="eastAsia" w:ascii="宋体" w:hAnsi="宋体" w:cs="宋体"/>
          <w:b w:val="0"/>
          <w:sz w:val="24"/>
          <w:highlight w:val="none"/>
        </w:rPr>
        <w:t>本项目整体采用“3+3+2”的合作年限模式,即每3年服务期满后，若在服务期内乙方整体绩效考核平均分不低于85分时，甲方可根据相关规定与乙方以合理合法合规的方式进行续签。如后续政府出台新的规定，则按最新规定执行。</w:t>
      </w:r>
      <w:bookmarkEnd w:id="260"/>
    </w:p>
    <w:p>
      <w:pPr>
        <w:pStyle w:val="28"/>
        <w:numPr>
          <w:ilvl w:val="1"/>
          <w:numId w:val="1"/>
        </w:numPr>
        <w:rPr>
          <w:rFonts w:ascii="宋体" w:hAnsi="宋体" w:cs="宋体"/>
          <w:b w:val="0"/>
          <w:sz w:val="24"/>
          <w:highlight w:val="none"/>
        </w:rPr>
      </w:pPr>
      <w:bookmarkStart w:id="261" w:name="_Toc491377103"/>
      <w:bookmarkStart w:id="262" w:name="_Toc15466170"/>
      <w:bookmarkStart w:id="263" w:name="_Toc491558452"/>
      <w:bookmarkStart w:id="264" w:name="_Toc15465685"/>
      <w:bookmarkStart w:id="265" w:name="_Toc15562970"/>
      <w:bookmarkStart w:id="266" w:name="_Toc492603948"/>
      <w:bookmarkStart w:id="267" w:name="_Toc491376133"/>
      <w:bookmarkStart w:id="268" w:name="_Toc15465956"/>
      <w:r>
        <w:rPr>
          <w:rFonts w:hint="eastAsia" w:ascii="宋体" w:hAnsi="宋体" w:cs="宋体"/>
          <w:b w:val="0"/>
          <w:sz w:val="24"/>
          <w:highlight w:val="none"/>
        </w:rPr>
        <w:t>在满足续签条件的情况下，若因政策变更等非乙方原因，甲方未与乙方进行项目续签的，则甲方在选择后续环卫服务单位时，须要求后续服务单位以资产评估价购买乙方为本项目购置的环卫设备。</w:t>
      </w:r>
    </w:p>
    <w:p>
      <w:pPr>
        <w:pStyle w:val="28"/>
        <w:numPr>
          <w:ilvl w:val="1"/>
          <w:numId w:val="1"/>
        </w:numPr>
        <w:rPr>
          <w:rFonts w:ascii="宋体" w:hAnsi="宋体" w:cs="宋体"/>
          <w:b w:val="0"/>
          <w:sz w:val="24"/>
          <w:highlight w:val="none"/>
        </w:rPr>
      </w:pPr>
      <w:r>
        <w:rPr>
          <w:rFonts w:hint="eastAsia" w:ascii="宋体" w:hAnsi="宋体" w:cs="宋体"/>
          <w:b w:val="0"/>
          <w:sz w:val="24"/>
          <w:highlight w:val="none"/>
        </w:rPr>
        <w:t>未经甲方事先书面同意，乙方在承包期内任何情况下不得转让或以其他方式转移本协议下的权利和义务。</w:t>
      </w:r>
      <w:bookmarkEnd w:id="261"/>
      <w:bookmarkEnd w:id="262"/>
      <w:bookmarkEnd w:id="263"/>
      <w:bookmarkEnd w:id="264"/>
      <w:bookmarkEnd w:id="265"/>
      <w:bookmarkEnd w:id="266"/>
      <w:bookmarkEnd w:id="267"/>
      <w:bookmarkEnd w:id="268"/>
    </w:p>
    <w:p>
      <w:pPr>
        <w:pStyle w:val="28"/>
        <w:numPr>
          <w:ilvl w:val="1"/>
          <w:numId w:val="1"/>
        </w:numPr>
        <w:rPr>
          <w:rFonts w:ascii="宋体" w:hAnsi="宋体" w:cs="宋体"/>
          <w:b w:val="0"/>
          <w:sz w:val="24"/>
          <w:highlight w:val="none"/>
        </w:rPr>
      </w:pPr>
      <w:bookmarkStart w:id="269" w:name="_Toc15465957"/>
      <w:bookmarkStart w:id="270" w:name="_Toc15465686"/>
      <w:bookmarkStart w:id="271" w:name="_Toc15562971"/>
      <w:bookmarkStart w:id="272" w:name="_Toc15466171"/>
      <w:r>
        <w:rPr>
          <w:rFonts w:hint="eastAsia" w:ascii="宋体" w:hAnsi="宋体" w:cs="宋体"/>
          <w:b w:val="0"/>
          <w:sz w:val="24"/>
          <w:highlight w:val="none"/>
        </w:rPr>
        <w:t>当本项目叁（3）年承包期届满后，如乙方在服务期内整体绩效考核平均分不低于85分时，则在同等条件下享有优先权。如后续政府出台新的规定，则按最新规定执行。若乙方就承包事宜与政府或政府指定的其他机构未达成新的协议，或如需重新采购而乙方未获中标资格的，则乙方必须于承包期满无条件向甲方交出承包权，不得以任何理由阻止甲方接管本项目。</w:t>
      </w:r>
      <w:bookmarkEnd w:id="269"/>
      <w:bookmarkEnd w:id="270"/>
      <w:bookmarkEnd w:id="271"/>
      <w:bookmarkEnd w:id="272"/>
    </w:p>
    <w:p>
      <w:pPr>
        <w:pStyle w:val="28"/>
        <w:jc w:val="center"/>
        <w:rPr>
          <w:rFonts w:ascii="宋体" w:hAnsi="宋体" w:cs="宋体"/>
          <w:sz w:val="24"/>
          <w:highlight w:val="none"/>
        </w:rPr>
      </w:pPr>
      <w:bookmarkStart w:id="273" w:name="_Toc15562972"/>
      <w:r>
        <w:rPr>
          <w:rFonts w:hint="eastAsia" w:ascii="宋体" w:hAnsi="宋体" w:cs="宋体"/>
          <w:sz w:val="24"/>
          <w:highlight w:val="none"/>
        </w:rPr>
        <w:t>项目付费及绩效考核</w:t>
      </w:r>
      <w:bookmarkEnd w:id="273"/>
    </w:p>
    <w:p>
      <w:pPr>
        <w:pStyle w:val="28"/>
        <w:numPr>
          <w:ilvl w:val="1"/>
          <w:numId w:val="11"/>
        </w:numPr>
        <w:rPr>
          <w:rFonts w:ascii="宋体" w:hAnsi="宋体" w:cs="宋体"/>
          <w:b w:val="0"/>
          <w:sz w:val="24"/>
          <w:highlight w:val="none"/>
        </w:rPr>
      </w:pPr>
      <w:bookmarkStart w:id="274" w:name="_Toc492603951"/>
      <w:bookmarkStart w:id="275" w:name="_Toc491558455"/>
      <w:bookmarkStart w:id="276" w:name="_Toc15465688"/>
      <w:bookmarkStart w:id="277" w:name="_Toc15562973"/>
      <w:bookmarkStart w:id="278" w:name="_Toc15465959"/>
      <w:bookmarkStart w:id="279" w:name="_Toc15466173"/>
      <w:r>
        <w:rPr>
          <w:rFonts w:hint="eastAsia" w:ascii="宋体" w:hAnsi="宋体" w:cs="宋体"/>
          <w:b w:val="0"/>
          <w:sz w:val="24"/>
          <w:highlight w:val="none"/>
        </w:rPr>
        <w:t>本协议约定每年的</w:t>
      </w:r>
      <w:bookmarkEnd w:id="274"/>
      <w:bookmarkEnd w:id="275"/>
      <w:r>
        <w:rPr>
          <w:rFonts w:hint="eastAsia" w:ascii="宋体" w:hAnsi="宋体" w:cs="宋体"/>
          <w:b w:val="0"/>
          <w:sz w:val="24"/>
          <w:highlight w:val="none"/>
        </w:rPr>
        <w:t>道路及公共区域清扫保洁单价为   元/平方米；垃圾收集清运单价为   元/吨；演丰镇垃圾分类单价为  元/立方米）；公厕运营管理单价为   万元/座。</w:t>
      </w:r>
      <w:bookmarkEnd w:id="276"/>
      <w:bookmarkEnd w:id="277"/>
      <w:bookmarkEnd w:id="278"/>
      <w:bookmarkEnd w:id="279"/>
    </w:p>
    <w:p>
      <w:pPr>
        <w:pStyle w:val="28"/>
        <w:numPr>
          <w:ilvl w:val="1"/>
          <w:numId w:val="1"/>
        </w:numPr>
        <w:rPr>
          <w:rFonts w:ascii="宋体" w:hAnsi="宋体" w:cs="宋体"/>
          <w:b w:val="0"/>
          <w:sz w:val="24"/>
          <w:highlight w:val="none"/>
        </w:rPr>
      </w:pPr>
      <w:bookmarkStart w:id="280" w:name="_Toc491558456"/>
      <w:bookmarkStart w:id="281" w:name="_Toc15465960"/>
      <w:bookmarkStart w:id="282" w:name="_Toc15465689"/>
      <w:bookmarkStart w:id="283" w:name="_Toc15466174"/>
      <w:bookmarkStart w:id="284" w:name="_Toc15562974"/>
      <w:bookmarkStart w:id="285" w:name="_Toc492603952"/>
      <w:r>
        <w:rPr>
          <w:rFonts w:hint="eastAsia" w:ascii="宋体" w:hAnsi="宋体" w:cs="宋体"/>
          <w:b w:val="0"/>
          <w:sz w:val="24"/>
          <w:highlight w:val="none"/>
        </w:rPr>
        <w:t>甲方按照本协议约定的季度服务费金额结合乙方清扫保洁和垃圾收运运营管理的作业质量考核得分情况（具体考核办法见附件一）进行支付。</w:t>
      </w:r>
      <w:bookmarkEnd w:id="280"/>
      <w:r>
        <w:rPr>
          <w:rFonts w:hint="eastAsia" w:ascii="宋体" w:hAnsi="宋体" w:cs="宋体"/>
          <w:b w:val="0"/>
          <w:sz w:val="24"/>
          <w:highlight w:val="none"/>
        </w:rPr>
        <w:t>若国家、省、市、区出台具体考核办法，则考核办法中与之不一致的标准，以国家、省、市、区出台标准为准进行微调；若根据项目实际情况需要对考核办法进行修改调整的，在不违反相关规定的情况下，经甲乙双方协商一致可以进行适当修改调整。</w:t>
      </w:r>
      <w:bookmarkEnd w:id="281"/>
      <w:bookmarkEnd w:id="282"/>
      <w:bookmarkEnd w:id="283"/>
      <w:bookmarkEnd w:id="284"/>
      <w:bookmarkEnd w:id="285"/>
    </w:p>
    <w:p>
      <w:pPr>
        <w:pStyle w:val="28"/>
        <w:numPr>
          <w:ilvl w:val="1"/>
          <w:numId w:val="1"/>
        </w:numPr>
        <w:rPr>
          <w:rFonts w:ascii="宋体" w:hAnsi="宋体" w:cs="宋体"/>
          <w:b w:val="0"/>
          <w:sz w:val="24"/>
          <w:highlight w:val="none"/>
        </w:rPr>
      </w:pPr>
      <w:bookmarkStart w:id="286" w:name="_Toc15465690"/>
      <w:bookmarkStart w:id="287" w:name="_Toc15562975"/>
      <w:bookmarkStart w:id="288" w:name="_Toc15466175"/>
      <w:bookmarkStart w:id="289" w:name="_Toc15465961"/>
      <w:r>
        <w:rPr>
          <w:rFonts w:hint="eastAsia" w:ascii="宋体" w:hAnsi="宋体" w:cs="宋体"/>
          <w:b w:val="0"/>
          <w:sz w:val="24"/>
          <w:highlight w:val="none"/>
        </w:rPr>
        <w:t>甲方实际支付的当季服务费将根据服务单位的</w:t>
      </w:r>
      <w:r>
        <w:rPr>
          <w:rFonts w:hint="eastAsia" w:ascii="宋体" w:hAnsi="宋体" w:cs="宋体"/>
          <w:b w:val="0"/>
          <w:sz w:val="24"/>
          <w:highlight w:val="none"/>
        </w:rPr>
        <w:t>当季考核结果进行综合调整，各分项作业内容每季度服务费用计算如下：</w:t>
      </w:r>
      <w:bookmarkEnd w:id="286"/>
      <w:bookmarkEnd w:id="287"/>
      <w:bookmarkEnd w:id="288"/>
      <w:bookmarkEnd w:id="289"/>
    </w:p>
    <w:p>
      <w:pPr>
        <w:widowControl/>
        <w:ind w:left="1050" w:leftChars="500" w:firstLine="420"/>
        <w:jc w:val="left"/>
        <w:rPr>
          <w:rFonts w:ascii="宋体" w:hAnsi="宋体" w:cs="宋体"/>
          <w:color w:val="000000"/>
          <w:kern w:val="0"/>
          <w:sz w:val="24"/>
          <w:highlight w:val="none"/>
          <w:lang w:bidi="ar"/>
        </w:rPr>
      </w:pPr>
      <w:r>
        <w:rPr>
          <w:rFonts w:hint="eastAsia" w:ascii="宋体" w:hAnsi="宋体" w:cs="宋体"/>
          <w:sz w:val="24"/>
          <w:highlight w:val="none"/>
        </w:rPr>
        <w:t>当季服务费=</w:t>
      </w:r>
      <w:r>
        <w:rPr>
          <w:rFonts w:hint="eastAsia" w:ascii="宋体" w:hAnsi="宋体" w:cs="宋体"/>
          <w:color w:val="000000"/>
          <w:kern w:val="0"/>
          <w:sz w:val="24"/>
          <w:highlight w:val="none"/>
          <w:lang w:bidi="ar"/>
        </w:rPr>
        <w:t>当季道路及公共区域清扫保洁费用+当季垃圾收集清运费用+当季垃圾分类费用+当季公厕运营管理费用。</w:t>
      </w:r>
    </w:p>
    <w:p>
      <w:pPr>
        <w:widowControl/>
        <w:ind w:left="1650" w:leftChars="500" w:hanging="600" w:hangingChars="250"/>
        <w:jc w:val="left"/>
        <w:rPr>
          <w:rFonts w:ascii="宋体" w:hAnsi="宋体" w:cs="宋体"/>
          <w:color w:val="000000"/>
          <w:kern w:val="0"/>
          <w:sz w:val="24"/>
          <w:highlight w:val="none"/>
          <w:lang w:bidi="ar"/>
        </w:rPr>
      </w:pPr>
      <w:r>
        <w:rPr>
          <w:rFonts w:hint="eastAsia" w:ascii="宋体" w:hAnsi="宋体" w:cs="宋体"/>
          <w:sz w:val="24"/>
          <w:highlight w:val="none"/>
        </w:rPr>
        <w:t>（a）当季道路</w:t>
      </w:r>
      <w:r>
        <w:rPr>
          <w:rFonts w:hint="eastAsia" w:ascii="宋体" w:hAnsi="宋体" w:cs="宋体"/>
          <w:color w:val="000000"/>
          <w:kern w:val="0"/>
          <w:sz w:val="24"/>
          <w:highlight w:val="none"/>
          <w:lang w:bidi="ar"/>
        </w:rPr>
        <w:t>及公共区域清扫保洁费用=中标单价×作业面积/4；</w:t>
      </w:r>
    </w:p>
    <w:p>
      <w:pPr>
        <w:widowControl/>
        <w:ind w:left="1650" w:leftChars="500" w:hanging="600" w:hangingChars="250"/>
        <w:jc w:val="left"/>
        <w:rPr>
          <w:rFonts w:ascii="宋体" w:hAnsi="宋体" w:cs="宋体"/>
          <w:sz w:val="24"/>
          <w:highlight w:val="none"/>
        </w:rPr>
      </w:pPr>
      <w:r>
        <w:rPr>
          <w:rFonts w:hint="eastAsia" w:ascii="宋体" w:hAnsi="宋体" w:cs="宋体"/>
          <w:sz w:val="24"/>
          <w:highlight w:val="none"/>
        </w:rPr>
        <w:t>（b）当季垃圾收集清运费用=中标单价×当季实际垃圾收集清运量；</w:t>
      </w:r>
    </w:p>
    <w:p>
      <w:pPr>
        <w:widowControl/>
        <w:ind w:left="1650" w:leftChars="500" w:hanging="600" w:hangingChars="250"/>
        <w:jc w:val="left"/>
        <w:rPr>
          <w:rFonts w:ascii="宋体" w:hAnsi="宋体" w:cs="宋体"/>
          <w:color w:val="000000"/>
          <w:kern w:val="0"/>
          <w:sz w:val="24"/>
          <w:highlight w:val="none"/>
          <w:lang w:bidi="ar"/>
        </w:rPr>
      </w:pPr>
      <w:r>
        <w:rPr>
          <w:rFonts w:hint="eastAsia" w:ascii="宋体" w:hAnsi="宋体" w:cs="宋体"/>
          <w:sz w:val="24"/>
          <w:highlight w:val="none"/>
        </w:rPr>
        <w:t>（c）</w:t>
      </w:r>
      <w:r>
        <w:rPr>
          <w:rFonts w:hint="eastAsia" w:ascii="宋体" w:hAnsi="宋体" w:cs="宋体"/>
          <w:color w:val="000000"/>
          <w:kern w:val="0"/>
          <w:sz w:val="24"/>
          <w:highlight w:val="none"/>
          <w:lang w:bidi="ar"/>
        </w:rPr>
        <w:t>当季垃圾分类费用=中标单价×作业面积/4；</w:t>
      </w:r>
    </w:p>
    <w:p>
      <w:pPr>
        <w:widowControl/>
        <w:ind w:left="1650" w:leftChars="500" w:hanging="600" w:hangingChars="250"/>
        <w:jc w:val="left"/>
        <w:rPr>
          <w:rFonts w:ascii="宋体" w:hAnsi="宋体" w:cs="宋体"/>
          <w:sz w:val="24"/>
          <w:highlight w:val="none"/>
        </w:rPr>
      </w:pPr>
      <w:r>
        <w:rPr>
          <w:rFonts w:hint="eastAsia" w:ascii="宋体" w:hAnsi="宋体" w:cs="宋体"/>
          <w:color w:val="000000"/>
          <w:kern w:val="0"/>
          <w:sz w:val="24"/>
          <w:highlight w:val="none"/>
          <w:lang w:bidi="ar"/>
        </w:rPr>
        <w:t>（d）当季公厕运营管理费用=中标单价×作业公厕数量/4。</w:t>
      </w:r>
    </w:p>
    <w:p>
      <w:pPr>
        <w:pStyle w:val="28"/>
        <w:numPr>
          <w:ilvl w:val="1"/>
          <w:numId w:val="1"/>
        </w:numPr>
        <w:rPr>
          <w:rFonts w:ascii="宋体" w:hAnsi="宋体" w:cs="宋体"/>
          <w:b w:val="0"/>
          <w:sz w:val="24"/>
          <w:highlight w:val="none"/>
        </w:rPr>
      </w:pPr>
      <w:bookmarkStart w:id="290" w:name="_Toc491558457"/>
      <w:bookmarkStart w:id="291" w:name="_Toc492603953"/>
      <w:bookmarkStart w:id="292" w:name="_Toc15465691"/>
      <w:bookmarkStart w:id="293" w:name="_Toc15562976"/>
      <w:bookmarkStart w:id="294" w:name="_Toc15465962"/>
      <w:bookmarkStart w:id="295" w:name="_Toc15466176"/>
      <w:r>
        <w:rPr>
          <w:rFonts w:hint="eastAsia" w:ascii="宋体" w:hAnsi="宋体" w:cs="宋体"/>
          <w:b w:val="0"/>
          <w:sz w:val="24"/>
          <w:highlight w:val="none"/>
        </w:rPr>
        <w:t>服务费的支付与乙方作业质量的考核得分情况挂钩的具体标准为：</w:t>
      </w:r>
      <w:bookmarkEnd w:id="290"/>
      <w:bookmarkEnd w:id="291"/>
      <w:r>
        <w:rPr>
          <w:rFonts w:hint="eastAsia" w:ascii="宋体" w:hAnsi="宋体" w:cs="宋体"/>
          <w:b w:val="0"/>
          <w:sz w:val="24"/>
          <w:highlight w:val="none"/>
        </w:rPr>
        <w:t>当乙方作业质量当季考核得分达到88分（含88分）以上时，则不扣减当季服务费；当作业质量当季考核得分未达到88分时，则甲方按不达标扣款比例对乙方扣减该部分当季服务费。计算公式：当季服务费＝本当季全额服务费×[1－（88－当季最终得分）/100]，如本季度考核得分不足75分（不含75分）。甲方有权根据考核结果全额扣除当季服务费，如乙方累计5次得分不足75分（不含75分），甲方有权进行临时接管，并有权终止本协议。</w:t>
      </w:r>
      <w:bookmarkEnd w:id="292"/>
      <w:bookmarkEnd w:id="293"/>
      <w:bookmarkEnd w:id="294"/>
      <w:bookmarkEnd w:id="295"/>
    </w:p>
    <w:p>
      <w:pPr>
        <w:pStyle w:val="28"/>
        <w:numPr>
          <w:ilvl w:val="1"/>
          <w:numId w:val="1"/>
        </w:numPr>
        <w:rPr>
          <w:rFonts w:ascii="宋体" w:hAnsi="宋体" w:cs="宋体"/>
          <w:b w:val="0"/>
          <w:sz w:val="24"/>
          <w:highlight w:val="none"/>
        </w:rPr>
      </w:pPr>
      <w:bookmarkStart w:id="296" w:name="_Toc15562977"/>
      <w:r>
        <w:rPr>
          <w:rFonts w:hint="eastAsia" w:ascii="宋体" w:hAnsi="宋体" w:cs="宋体"/>
          <w:b w:val="0"/>
          <w:sz w:val="24"/>
          <w:highlight w:val="none"/>
          <w:lang w:bidi="ar"/>
        </w:rPr>
        <w:t>对于服务费价格的调整，根据经济环境变化与市场趋势变化，参考通货膨胀率等因素，将设立定期调价公式的方式进行双向调节。原则上服务期前三年内不作调整，若发生续签，则每次续签当年进行一次调整。每次调价工作自价格调整年前一年开始，由服务单位向区环卫局以书面形式提交调价申请文件，经区政府批准后，调整后新的服务费单价报区政府批准后，自单价调整年的1月1日起执行。 续签后第一年对服务费进行第 1 次调价。第n次调价公式如下：</w:t>
      </w:r>
      <w:bookmarkEnd w:id="296"/>
      <w:r>
        <w:rPr>
          <w:rFonts w:hint="eastAsia" w:ascii="宋体" w:hAnsi="宋体" w:cs="宋体"/>
          <w:b w:val="0"/>
          <w:sz w:val="24"/>
          <w:highlight w:val="none"/>
          <w:lang w:bidi="ar"/>
        </w:rPr>
        <w:t xml:space="preserve"> </w:t>
      </w:r>
    </w:p>
    <w:p>
      <w:pPr>
        <w:ind w:left="945" w:leftChars="450"/>
        <w:rPr>
          <w:rFonts w:ascii="宋体" w:hAnsi="宋体" w:cs="宋体"/>
          <w:sz w:val="24"/>
          <w:highlight w:val="none"/>
        </w:rPr>
      </w:pPr>
      <w:r>
        <w:rPr>
          <w:rFonts w:hint="eastAsia" w:ascii="宋体" w:hAnsi="宋体" w:cs="宋体"/>
          <w:sz w:val="24"/>
          <w:highlight w:val="none"/>
          <w:lang w:bidi="ar"/>
        </w:rPr>
        <w:t xml:space="preserve">P2n+2=P2n×{C1×(PPI2n+1×PPI2n)+C2×(CPI2n+1×CPI2n)} </w:t>
      </w:r>
    </w:p>
    <w:p>
      <w:pPr>
        <w:ind w:left="945" w:leftChars="450"/>
        <w:rPr>
          <w:rFonts w:ascii="宋体" w:hAnsi="宋体" w:cs="宋体"/>
          <w:sz w:val="24"/>
          <w:highlight w:val="none"/>
        </w:rPr>
      </w:pPr>
      <w:r>
        <w:rPr>
          <w:rFonts w:hint="eastAsia" w:ascii="宋体" w:hAnsi="宋体" w:cs="宋体"/>
          <w:sz w:val="24"/>
          <w:highlight w:val="none"/>
          <w:lang w:bidi="ar"/>
        </w:rPr>
        <w:t xml:space="preserve">（n=1,2,3,……,n） 其中： </w:t>
      </w:r>
    </w:p>
    <w:p>
      <w:pPr>
        <w:ind w:left="945" w:leftChars="450"/>
        <w:rPr>
          <w:rFonts w:ascii="宋体" w:hAnsi="宋体" w:cs="宋体"/>
          <w:sz w:val="24"/>
          <w:highlight w:val="none"/>
        </w:rPr>
      </w:pPr>
      <w:r>
        <w:rPr>
          <w:rFonts w:hint="eastAsia" w:ascii="宋体" w:hAnsi="宋体" w:cs="宋体"/>
          <w:sz w:val="24"/>
          <w:highlight w:val="none"/>
          <w:lang w:bidi="ar"/>
        </w:rPr>
        <w:t xml:space="preserve">P2n 表示上期调整后服务费； </w:t>
      </w:r>
    </w:p>
    <w:p>
      <w:pPr>
        <w:ind w:left="945" w:leftChars="450"/>
        <w:rPr>
          <w:rFonts w:ascii="宋体" w:hAnsi="宋体" w:cs="宋体"/>
          <w:sz w:val="24"/>
          <w:highlight w:val="none"/>
        </w:rPr>
      </w:pPr>
      <w:r>
        <w:rPr>
          <w:rFonts w:hint="eastAsia" w:ascii="宋体" w:hAnsi="宋体" w:cs="宋体"/>
          <w:sz w:val="24"/>
          <w:highlight w:val="none"/>
          <w:lang w:bidi="ar"/>
        </w:rPr>
        <w:t xml:space="preserve">P2n+2 表示当期调整后服务费； </w:t>
      </w:r>
    </w:p>
    <w:p>
      <w:pPr>
        <w:ind w:left="945" w:leftChars="450"/>
        <w:rPr>
          <w:rFonts w:ascii="宋体" w:hAnsi="宋体" w:cs="宋体"/>
          <w:sz w:val="24"/>
          <w:highlight w:val="none"/>
        </w:rPr>
      </w:pPr>
      <w:r>
        <w:rPr>
          <w:rFonts w:hint="eastAsia" w:ascii="宋体" w:hAnsi="宋体" w:cs="宋体"/>
          <w:sz w:val="24"/>
          <w:highlight w:val="none"/>
          <w:lang w:bidi="ar"/>
        </w:rPr>
        <w:t xml:space="preserve">调价系数 C1=50%， C2=1-C1。PPI、CPI 分别指的是生产者价格 </w:t>
      </w:r>
    </w:p>
    <w:p>
      <w:pPr>
        <w:ind w:left="945" w:leftChars="450"/>
        <w:rPr>
          <w:rFonts w:ascii="宋体" w:hAnsi="宋体" w:cs="宋体"/>
          <w:sz w:val="24"/>
          <w:highlight w:val="none"/>
        </w:rPr>
      </w:pPr>
      <w:r>
        <w:rPr>
          <w:rFonts w:hint="eastAsia" w:ascii="宋体" w:hAnsi="宋体" w:cs="宋体"/>
          <w:sz w:val="24"/>
          <w:highlight w:val="none"/>
          <w:lang w:bidi="ar"/>
        </w:rPr>
        <w:t>指数、居民消费价格指数（上年同期为 100%）。</w:t>
      </w:r>
    </w:p>
    <w:p>
      <w:pPr>
        <w:pStyle w:val="28"/>
        <w:numPr>
          <w:ilvl w:val="1"/>
          <w:numId w:val="1"/>
        </w:numPr>
        <w:rPr>
          <w:rFonts w:ascii="宋体" w:hAnsi="宋体" w:cs="宋体"/>
          <w:b w:val="0"/>
          <w:sz w:val="24"/>
          <w:highlight w:val="none"/>
        </w:rPr>
      </w:pPr>
      <w:bookmarkStart w:id="297" w:name="_Toc15465692"/>
      <w:bookmarkStart w:id="298" w:name="_Toc15562978"/>
      <w:bookmarkStart w:id="299" w:name="_Toc491558458"/>
      <w:bookmarkStart w:id="300" w:name="_Toc15466177"/>
      <w:bookmarkStart w:id="301" w:name="_Toc15465963"/>
      <w:bookmarkStart w:id="302" w:name="_Toc492603954"/>
      <w:r>
        <w:rPr>
          <w:rFonts w:hint="eastAsia" w:ascii="宋体" w:hAnsi="宋体" w:cs="宋体"/>
          <w:b w:val="0"/>
          <w:sz w:val="24"/>
          <w:highlight w:val="none"/>
        </w:rPr>
        <w:t>在经费到位情况下，甲方应于每季度15日前支付上季度的服务费。</w:t>
      </w:r>
      <w:bookmarkStart w:id="303" w:name="_Toc491376138"/>
      <w:bookmarkStart w:id="304" w:name="_Toc491377108"/>
      <w:r>
        <w:rPr>
          <w:rFonts w:hint="eastAsia" w:ascii="宋体" w:hAnsi="宋体" w:cs="宋体"/>
          <w:b w:val="0"/>
          <w:sz w:val="24"/>
          <w:highlight w:val="none"/>
        </w:rPr>
        <w:t>如因政策影响，拨款未能及时到位，乙方不得以此为由不履行本协议规定的义务</w:t>
      </w:r>
      <w:r>
        <w:rPr>
          <w:rFonts w:hint="eastAsia" w:ascii="宋体" w:hAnsi="宋体" w:cs="宋体"/>
          <w:b w:val="0"/>
          <w:sz w:val="24"/>
          <w:highlight w:val="none"/>
        </w:rPr>
        <w:t>。</w:t>
      </w:r>
      <w:bookmarkEnd w:id="297"/>
      <w:bookmarkEnd w:id="298"/>
      <w:bookmarkEnd w:id="299"/>
      <w:bookmarkEnd w:id="300"/>
      <w:bookmarkEnd w:id="301"/>
      <w:bookmarkEnd w:id="302"/>
      <w:bookmarkEnd w:id="303"/>
      <w:bookmarkEnd w:id="304"/>
    </w:p>
    <w:p>
      <w:pPr>
        <w:pStyle w:val="28"/>
        <w:numPr>
          <w:ilvl w:val="1"/>
          <w:numId w:val="1"/>
        </w:numPr>
        <w:rPr>
          <w:rFonts w:ascii="宋体" w:hAnsi="宋体" w:cs="宋体"/>
          <w:b w:val="0"/>
          <w:sz w:val="24"/>
          <w:highlight w:val="none"/>
        </w:rPr>
      </w:pPr>
      <w:bookmarkStart w:id="305" w:name="_Toc492603956"/>
      <w:bookmarkStart w:id="306" w:name="_Toc15466178"/>
      <w:bookmarkStart w:id="307" w:name="_Toc491558460"/>
      <w:bookmarkStart w:id="308" w:name="_Toc15562979"/>
      <w:bookmarkStart w:id="309" w:name="_Toc491377109"/>
      <w:bookmarkStart w:id="310" w:name="_Toc491376139"/>
      <w:bookmarkStart w:id="311" w:name="_Toc15465964"/>
      <w:bookmarkStart w:id="312" w:name="_Toc15465693"/>
      <w:r>
        <w:rPr>
          <w:rFonts w:hint="eastAsia" w:ascii="宋体" w:hAnsi="宋体" w:cs="宋体"/>
          <w:b w:val="0"/>
          <w:sz w:val="24"/>
          <w:highlight w:val="none"/>
        </w:rPr>
        <w:t>承包费实行包干制，承包费包括但不限于人工费（含环卫工人工资、奖金、劳保福利、养老保险、失业保险、医疗保险、生育保险、工伤保险、住房公积金、教育培训费、加班费、高温补贴、人身意外保险及处理一切伤亡事故等费用）、机械使用费、劳保费、水电费、工具材料费、垃圾清运费、安全文明生产装备费（含环卫工人工作服、反光衣、安全筒、警示牌等）、企业应缴税金和合理利润、行政管理费和应急处理费等费用。</w:t>
      </w:r>
      <w:bookmarkEnd w:id="305"/>
      <w:bookmarkEnd w:id="306"/>
      <w:bookmarkEnd w:id="307"/>
      <w:bookmarkEnd w:id="308"/>
      <w:bookmarkEnd w:id="309"/>
      <w:bookmarkEnd w:id="310"/>
      <w:bookmarkEnd w:id="311"/>
      <w:bookmarkEnd w:id="312"/>
    </w:p>
    <w:p>
      <w:pPr>
        <w:pStyle w:val="28"/>
        <w:jc w:val="center"/>
        <w:rPr>
          <w:rFonts w:ascii="宋体" w:hAnsi="宋体" w:cs="宋体"/>
          <w:sz w:val="24"/>
          <w:highlight w:val="none"/>
        </w:rPr>
      </w:pPr>
      <w:bookmarkStart w:id="313" w:name="_Toc15562980"/>
      <w:r>
        <w:rPr>
          <w:rFonts w:hint="eastAsia" w:ascii="宋体" w:hAnsi="宋体" w:cs="宋体"/>
          <w:sz w:val="24"/>
          <w:highlight w:val="none"/>
        </w:rPr>
        <w:t>工作质量保证金</w:t>
      </w:r>
      <w:bookmarkEnd w:id="313"/>
    </w:p>
    <w:p>
      <w:pPr>
        <w:ind w:left="560" w:firstLine="560"/>
        <w:rPr>
          <w:rFonts w:ascii="宋体" w:hAnsi="宋体" w:cs="宋体"/>
          <w:sz w:val="24"/>
          <w:highlight w:val="none"/>
          <w:lang w:bidi="ar"/>
        </w:rPr>
      </w:pPr>
      <w:r>
        <w:rPr>
          <w:rFonts w:hint="eastAsia" w:ascii="宋体" w:hAnsi="宋体" w:cs="宋体"/>
          <w:sz w:val="24"/>
          <w:highlight w:val="none"/>
          <w:lang w:bidi="ar"/>
        </w:rPr>
        <w:t>在当季季度考核结果未下发前，服务单位可依据当季全额服务费的90%向环卫局申请支付当季服务费预拨款，剩余10%当季服务费作为质量考核保证金，待当季季度考核结果出来后，双方根据考核结果进行结算，如服务单位可获得全部当季服务费，则服务单位向环卫局申请支付剩余10%当季服务费，如服务单位获得的当季服务费需根据考核结果进行扣减，则从剩余10%当季服务费中进行扣减，每季度一次，扣减金额超过10%当季服务费的，在下一季度预拨款中进行差额补齐。</w:t>
      </w:r>
    </w:p>
    <w:p>
      <w:pPr>
        <w:pStyle w:val="28"/>
        <w:jc w:val="center"/>
        <w:rPr>
          <w:rFonts w:ascii="宋体" w:hAnsi="宋体" w:cs="宋体"/>
          <w:sz w:val="24"/>
          <w:highlight w:val="none"/>
        </w:rPr>
      </w:pPr>
      <w:bookmarkStart w:id="314" w:name="_Toc15562981"/>
      <w:r>
        <w:rPr>
          <w:rFonts w:hint="eastAsia" w:ascii="宋体" w:hAnsi="宋体" w:cs="宋体"/>
          <w:sz w:val="24"/>
          <w:highlight w:val="none"/>
        </w:rPr>
        <w:t>不可抗力</w:t>
      </w:r>
      <w:bookmarkEnd w:id="314"/>
    </w:p>
    <w:p>
      <w:pPr>
        <w:pStyle w:val="28"/>
        <w:numPr>
          <w:ilvl w:val="1"/>
          <w:numId w:val="12"/>
        </w:numPr>
        <w:rPr>
          <w:rFonts w:ascii="宋体" w:hAnsi="宋体" w:cs="宋体"/>
          <w:sz w:val="24"/>
          <w:highlight w:val="none"/>
        </w:rPr>
      </w:pPr>
      <w:bookmarkStart w:id="315" w:name="_Toc15466181"/>
      <w:bookmarkStart w:id="316" w:name="_Toc15465967"/>
      <w:bookmarkStart w:id="317" w:name="_Toc15562982"/>
      <w:bookmarkStart w:id="318" w:name="_Toc15465696"/>
      <w:r>
        <w:rPr>
          <w:rFonts w:hint="eastAsia" w:ascii="宋体" w:hAnsi="宋体" w:cs="宋体"/>
          <w:sz w:val="24"/>
          <w:highlight w:val="none"/>
        </w:rPr>
        <w:t>不可抗力事件</w:t>
      </w:r>
      <w:bookmarkEnd w:id="315"/>
      <w:bookmarkEnd w:id="316"/>
      <w:bookmarkEnd w:id="317"/>
      <w:bookmarkEnd w:id="318"/>
    </w:p>
    <w:p>
      <w:pPr>
        <w:ind w:left="560" w:firstLine="560"/>
        <w:rPr>
          <w:rFonts w:ascii="宋体" w:hAnsi="宋体" w:cs="宋体"/>
          <w:sz w:val="24"/>
          <w:highlight w:val="none"/>
        </w:rPr>
      </w:pPr>
      <w:r>
        <w:rPr>
          <w:rFonts w:hint="eastAsia" w:ascii="宋体" w:hAnsi="宋体" w:cs="宋体"/>
          <w:sz w:val="24"/>
          <w:highlight w:val="none"/>
        </w:rPr>
        <w:t>不可抗力是指在生效日时不能合理预见的，并且声称遭受不可抗力影响的一方对该事件及其后果不能克服和不能避免。</w:t>
      </w:r>
    </w:p>
    <w:p>
      <w:pPr>
        <w:ind w:left="560" w:firstLine="560"/>
        <w:rPr>
          <w:rFonts w:ascii="宋体" w:hAnsi="宋体" w:cs="宋体"/>
          <w:sz w:val="24"/>
          <w:highlight w:val="none"/>
        </w:rPr>
      </w:pPr>
      <w:r>
        <w:rPr>
          <w:rFonts w:hint="eastAsia" w:ascii="宋体" w:hAnsi="宋体" w:cs="宋体"/>
          <w:sz w:val="24"/>
          <w:highlight w:val="none"/>
        </w:rPr>
        <w:t>不可抗力事件应包括下列事件：</w:t>
      </w:r>
    </w:p>
    <w:p>
      <w:pPr>
        <w:ind w:left="600" w:hanging="600" w:hangingChars="250"/>
        <w:rPr>
          <w:rFonts w:ascii="宋体" w:hAnsi="宋体" w:cs="宋体"/>
          <w:sz w:val="24"/>
          <w:highlight w:val="none"/>
        </w:rPr>
      </w:pPr>
      <w:r>
        <w:rPr>
          <w:rFonts w:hint="eastAsia" w:ascii="宋体" w:hAnsi="宋体" w:cs="宋体"/>
          <w:sz w:val="24"/>
          <w:highlight w:val="none"/>
        </w:rPr>
        <w:t>（1）雷电、干旱、地震、火山爆发、滑坡、水灾、暴风雨、海啸、洪水、台风、龙卷风或任何其它天灾。</w:t>
      </w:r>
    </w:p>
    <w:p>
      <w:pPr>
        <w:ind w:left="600" w:hanging="600" w:hangingChars="250"/>
        <w:rPr>
          <w:rFonts w:ascii="宋体" w:hAnsi="宋体" w:cs="宋体"/>
          <w:sz w:val="24"/>
          <w:highlight w:val="none"/>
        </w:rPr>
      </w:pPr>
      <w:r>
        <w:rPr>
          <w:rFonts w:hint="eastAsia" w:ascii="宋体" w:hAnsi="宋体" w:cs="宋体"/>
          <w:sz w:val="24"/>
          <w:highlight w:val="none"/>
        </w:rPr>
        <w:t>（2）大规模流行病、饥荒或瘟疫。</w:t>
      </w:r>
    </w:p>
    <w:p>
      <w:pPr>
        <w:ind w:left="600" w:hanging="600" w:hangingChars="250"/>
        <w:rPr>
          <w:rFonts w:ascii="宋体" w:hAnsi="宋体" w:cs="宋体"/>
          <w:sz w:val="24"/>
          <w:highlight w:val="none"/>
        </w:rPr>
      </w:pPr>
      <w:r>
        <w:rPr>
          <w:rFonts w:hint="eastAsia" w:ascii="宋体" w:hAnsi="宋体" w:cs="宋体"/>
          <w:sz w:val="24"/>
          <w:highlight w:val="none"/>
        </w:rPr>
        <w:t>（3）战争行为（无论是宣战的或未宣战的）、入侵、武装冲突或敌对行为、封锁、暴乱、恐怖行为或军事力量的使用。</w:t>
      </w:r>
    </w:p>
    <w:p>
      <w:pPr>
        <w:ind w:left="600" w:hanging="600" w:hangingChars="250"/>
        <w:rPr>
          <w:rFonts w:ascii="宋体" w:hAnsi="宋体" w:cs="宋体"/>
          <w:sz w:val="24"/>
          <w:highlight w:val="none"/>
        </w:rPr>
      </w:pPr>
      <w:r>
        <w:rPr>
          <w:rFonts w:hint="eastAsia" w:ascii="宋体" w:hAnsi="宋体" w:cs="宋体"/>
          <w:sz w:val="24"/>
          <w:highlight w:val="none"/>
        </w:rPr>
        <w:t>（4）全国性、地区性或行业性罢工。</w:t>
      </w:r>
    </w:p>
    <w:p>
      <w:pPr>
        <w:ind w:left="600" w:hanging="600" w:hangingChars="250"/>
        <w:rPr>
          <w:rFonts w:ascii="宋体" w:hAnsi="宋体" w:cs="宋体"/>
          <w:sz w:val="24"/>
          <w:highlight w:val="none"/>
        </w:rPr>
      </w:pPr>
      <w:r>
        <w:rPr>
          <w:rFonts w:hint="eastAsia" w:ascii="宋体" w:hAnsi="宋体" w:cs="宋体"/>
          <w:sz w:val="24"/>
          <w:highlight w:val="none"/>
        </w:rPr>
        <w:t>（5）市级及以上任何政府部门对项目设施或其任何部分实行的征收、征用、国有化。</w:t>
      </w:r>
    </w:p>
    <w:p>
      <w:pPr>
        <w:ind w:left="600" w:hanging="600" w:hangingChars="250"/>
        <w:rPr>
          <w:rFonts w:ascii="宋体" w:hAnsi="宋体" w:cs="宋体"/>
          <w:sz w:val="24"/>
          <w:highlight w:val="none"/>
        </w:rPr>
      </w:pPr>
      <w:r>
        <w:rPr>
          <w:rFonts w:hint="eastAsia" w:ascii="宋体" w:hAnsi="宋体" w:cs="宋体"/>
          <w:sz w:val="24"/>
          <w:highlight w:val="none"/>
        </w:rPr>
        <w:t>（6）政府部门实施进口限制、配额或分配限制。</w:t>
      </w:r>
    </w:p>
    <w:p>
      <w:pPr>
        <w:pStyle w:val="28"/>
        <w:numPr>
          <w:ilvl w:val="1"/>
          <w:numId w:val="1"/>
        </w:numPr>
        <w:rPr>
          <w:rFonts w:ascii="宋体" w:hAnsi="宋体" w:cs="宋体"/>
          <w:sz w:val="24"/>
          <w:highlight w:val="none"/>
        </w:rPr>
      </w:pPr>
      <w:bookmarkStart w:id="319" w:name="_Toc15466182"/>
      <w:bookmarkStart w:id="320" w:name="_Toc15465697"/>
      <w:bookmarkStart w:id="321" w:name="_Toc15465968"/>
      <w:bookmarkStart w:id="322" w:name="_Toc15562983"/>
      <w:r>
        <w:rPr>
          <w:rFonts w:hint="eastAsia" w:ascii="宋体" w:hAnsi="宋体" w:cs="宋体"/>
          <w:sz w:val="24"/>
          <w:highlight w:val="none"/>
        </w:rPr>
        <w:t>免于履行</w:t>
      </w:r>
      <w:bookmarkEnd w:id="319"/>
      <w:bookmarkEnd w:id="320"/>
      <w:bookmarkEnd w:id="321"/>
      <w:bookmarkEnd w:id="322"/>
    </w:p>
    <w:p>
      <w:pPr>
        <w:ind w:left="560" w:firstLine="560"/>
        <w:rPr>
          <w:rFonts w:ascii="宋体" w:hAnsi="宋体" w:cs="宋体"/>
          <w:sz w:val="24"/>
          <w:highlight w:val="none"/>
        </w:rPr>
      </w:pPr>
      <w:r>
        <w:rPr>
          <w:rFonts w:hint="eastAsia" w:ascii="宋体" w:hAnsi="宋体" w:cs="宋体"/>
          <w:sz w:val="24"/>
          <w:highlight w:val="none"/>
        </w:rPr>
        <w:t>当生效日起发生的不可抗力事件全部地或部分地阻碍一方履行其在本协议项下的义务时，可在不可抗力影响的范围内，全部或部分免除该方在本协议项下的相应义务。</w:t>
      </w:r>
    </w:p>
    <w:p>
      <w:pPr>
        <w:pStyle w:val="28"/>
        <w:numPr>
          <w:ilvl w:val="1"/>
          <w:numId w:val="1"/>
        </w:numPr>
        <w:rPr>
          <w:rFonts w:ascii="宋体" w:hAnsi="宋体" w:cs="宋体"/>
          <w:sz w:val="24"/>
          <w:highlight w:val="none"/>
        </w:rPr>
      </w:pPr>
      <w:bookmarkStart w:id="323" w:name="_Toc15465698"/>
      <w:bookmarkStart w:id="324" w:name="_Toc15465969"/>
      <w:bookmarkStart w:id="325" w:name="_Toc15466183"/>
      <w:bookmarkStart w:id="326" w:name="_Toc15562984"/>
      <w:r>
        <w:rPr>
          <w:rFonts w:hint="eastAsia" w:ascii="宋体" w:hAnsi="宋体" w:cs="宋体"/>
          <w:sz w:val="24"/>
          <w:highlight w:val="none"/>
        </w:rPr>
        <w:t>不可抗力发生后的处理程序</w:t>
      </w:r>
      <w:bookmarkEnd w:id="323"/>
      <w:bookmarkEnd w:id="324"/>
      <w:bookmarkEnd w:id="325"/>
      <w:bookmarkEnd w:id="326"/>
    </w:p>
    <w:p>
      <w:pPr>
        <w:pStyle w:val="28"/>
        <w:numPr>
          <w:ilvl w:val="2"/>
          <w:numId w:val="1"/>
        </w:numPr>
        <w:rPr>
          <w:rFonts w:ascii="宋体" w:hAnsi="宋体" w:cs="宋体"/>
          <w:b w:val="0"/>
          <w:sz w:val="24"/>
          <w:highlight w:val="none"/>
        </w:rPr>
      </w:pPr>
      <w:bookmarkStart w:id="327" w:name="_Toc15465970"/>
      <w:bookmarkStart w:id="328" w:name="_Toc15562985"/>
      <w:bookmarkStart w:id="329" w:name="_Toc15466184"/>
      <w:bookmarkStart w:id="330" w:name="_Toc15465699"/>
      <w:r>
        <w:rPr>
          <w:rFonts w:hint="eastAsia" w:ascii="宋体" w:hAnsi="宋体" w:cs="宋体"/>
          <w:b w:val="0"/>
          <w:sz w:val="24"/>
          <w:highlight w:val="none"/>
        </w:rPr>
        <w:t>声称受到不可抗力影响的一方应在知道不可抗力之后十（10）个工作日内书面通知另一方，详细描述不可抗力的发生情况和可能导致的后果，并根据对方要求提供证明；</w:t>
      </w:r>
      <w:bookmarkEnd w:id="327"/>
      <w:bookmarkEnd w:id="328"/>
      <w:bookmarkEnd w:id="329"/>
      <w:bookmarkEnd w:id="330"/>
    </w:p>
    <w:p>
      <w:pPr>
        <w:pStyle w:val="28"/>
        <w:numPr>
          <w:ilvl w:val="2"/>
          <w:numId w:val="1"/>
        </w:numPr>
        <w:rPr>
          <w:rFonts w:ascii="宋体" w:hAnsi="宋体" w:cs="宋体"/>
          <w:b w:val="0"/>
          <w:sz w:val="24"/>
          <w:highlight w:val="none"/>
        </w:rPr>
      </w:pPr>
      <w:bookmarkStart w:id="331" w:name="_Toc15465700"/>
      <w:bookmarkStart w:id="332" w:name="_Toc15466185"/>
      <w:bookmarkStart w:id="333" w:name="_Toc15562986"/>
      <w:bookmarkStart w:id="334" w:name="_Toc15465971"/>
      <w:r>
        <w:rPr>
          <w:rFonts w:hint="eastAsia" w:ascii="宋体" w:hAnsi="宋体" w:cs="宋体"/>
          <w:b w:val="0"/>
          <w:sz w:val="24"/>
          <w:highlight w:val="none"/>
        </w:rPr>
        <w:t>损失承担原则。发生不可抗力时，双方应各自承担由于不可抗力对其造成的损失；</w:t>
      </w:r>
      <w:bookmarkEnd w:id="331"/>
      <w:bookmarkEnd w:id="332"/>
      <w:bookmarkEnd w:id="333"/>
      <w:bookmarkEnd w:id="334"/>
    </w:p>
    <w:p>
      <w:pPr>
        <w:pStyle w:val="28"/>
        <w:numPr>
          <w:ilvl w:val="2"/>
          <w:numId w:val="1"/>
        </w:numPr>
        <w:rPr>
          <w:rFonts w:ascii="宋体" w:hAnsi="宋体" w:cs="宋体"/>
          <w:b w:val="0"/>
          <w:sz w:val="24"/>
          <w:highlight w:val="none"/>
        </w:rPr>
      </w:pPr>
      <w:bookmarkStart w:id="335" w:name="_Toc15465701"/>
      <w:bookmarkStart w:id="336" w:name="_Toc15466186"/>
      <w:bookmarkStart w:id="337" w:name="_Toc15562987"/>
      <w:bookmarkStart w:id="338" w:name="_Toc15465972"/>
      <w:r>
        <w:rPr>
          <w:rFonts w:hint="eastAsia" w:ascii="宋体" w:hAnsi="宋体" w:cs="宋体"/>
          <w:b w:val="0"/>
          <w:sz w:val="24"/>
          <w:highlight w:val="none"/>
        </w:rPr>
        <w:t>减少损失的责任和协商。受到不可抗力影响的一方应努力减少不可抗力的影响。双方应协商采取合理的补救措施尽量减少不可抗力给各方带来的损失；</w:t>
      </w:r>
      <w:bookmarkEnd w:id="335"/>
      <w:bookmarkEnd w:id="336"/>
      <w:bookmarkEnd w:id="337"/>
      <w:bookmarkEnd w:id="338"/>
    </w:p>
    <w:p>
      <w:pPr>
        <w:pStyle w:val="28"/>
        <w:numPr>
          <w:ilvl w:val="2"/>
          <w:numId w:val="1"/>
        </w:numPr>
        <w:rPr>
          <w:rFonts w:ascii="宋体" w:hAnsi="宋体" w:cs="宋体"/>
          <w:b w:val="0"/>
          <w:sz w:val="24"/>
          <w:highlight w:val="none"/>
        </w:rPr>
      </w:pPr>
      <w:bookmarkStart w:id="339" w:name="_Toc15466187"/>
      <w:bookmarkStart w:id="340" w:name="_Toc15465702"/>
      <w:bookmarkStart w:id="341" w:name="_Toc15562988"/>
      <w:bookmarkStart w:id="342" w:name="_Toc15465973"/>
      <w:r>
        <w:rPr>
          <w:rFonts w:hint="eastAsia" w:ascii="宋体" w:hAnsi="宋体" w:cs="宋体"/>
          <w:b w:val="0"/>
          <w:sz w:val="24"/>
          <w:highlight w:val="none"/>
        </w:rPr>
        <w:t>不可抗力造成的终止。当不可抗力事件阻止一方履行其义务的时间持续九十(90)日以上时，双方应协商决定继续履行本协议的条件或者终止本协议。如果自不可抗力发生后一百八十(180)日之内双方不能就继续履行的条件或终止本协议达成一致意见，任何一方有权给予另一方书面通知后立即终止本协议。</w:t>
      </w:r>
      <w:bookmarkEnd w:id="339"/>
      <w:bookmarkEnd w:id="340"/>
      <w:bookmarkEnd w:id="341"/>
      <w:bookmarkEnd w:id="342"/>
    </w:p>
    <w:p>
      <w:pPr>
        <w:pStyle w:val="28"/>
        <w:numPr>
          <w:ilvl w:val="1"/>
          <w:numId w:val="1"/>
        </w:numPr>
        <w:rPr>
          <w:rFonts w:ascii="宋体" w:hAnsi="宋体" w:cs="宋体"/>
          <w:sz w:val="24"/>
          <w:highlight w:val="none"/>
        </w:rPr>
      </w:pPr>
      <w:bookmarkStart w:id="343" w:name="_Toc15562989"/>
      <w:bookmarkStart w:id="344" w:name="_Toc15466188"/>
      <w:bookmarkStart w:id="345" w:name="_Toc15465703"/>
      <w:bookmarkStart w:id="346" w:name="_Toc15465974"/>
      <w:r>
        <w:rPr>
          <w:rFonts w:hint="eastAsia" w:ascii="宋体" w:hAnsi="宋体" w:cs="宋体"/>
          <w:sz w:val="24"/>
          <w:highlight w:val="none"/>
        </w:rPr>
        <w:t>不可抗力事件发生期间各方权利和义务</w:t>
      </w:r>
      <w:bookmarkEnd w:id="343"/>
      <w:bookmarkEnd w:id="344"/>
      <w:bookmarkEnd w:id="345"/>
      <w:bookmarkEnd w:id="346"/>
    </w:p>
    <w:p>
      <w:pPr>
        <w:pStyle w:val="28"/>
        <w:numPr>
          <w:ilvl w:val="2"/>
          <w:numId w:val="1"/>
        </w:numPr>
        <w:rPr>
          <w:rFonts w:ascii="宋体" w:hAnsi="宋体" w:cs="宋体"/>
          <w:b w:val="0"/>
          <w:sz w:val="24"/>
          <w:highlight w:val="none"/>
        </w:rPr>
      </w:pPr>
      <w:bookmarkStart w:id="347" w:name="_Toc15465704"/>
      <w:bookmarkStart w:id="348" w:name="_Toc15465975"/>
      <w:bookmarkStart w:id="349" w:name="_Toc15466189"/>
      <w:bookmarkStart w:id="350" w:name="_Toc15562990"/>
      <w:r>
        <w:rPr>
          <w:rFonts w:hint="eastAsia" w:ascii="宋体" w:hAnsi="宋体" w:cs="宋体"/>
          <w:b w:val="0"/>
          <w:sz w:val="24"/>
          <w:highlight w:val="none"/>
        </w:rPr>
        <w:t>本协议任何一方由于不可抗力不能履行全部或部分本协议义务的，根据不可抗力的影响，免除其全部或部分责任，但应在条件允许下采取一切必要措施以减少因不可抗力造成的损失。任何一方在违约行为之后发生不可抗力情形的，不免除该方违约责任。</w:t>
      </w:r>
      <w:bookmarkEnd w:id="347"/>
      <w:bookmarkEnd w:id="348"/>
      <w:bookmarkEnd w:id="349"/>
      <w:bookmarkEnd w:id="350"/>
    </w:p>
    <w:p>
      <w:pPr>
        <w:pStyle w:val="28"/>
        <w:numPr>
          <w:ilvl w:val="2"/>
          <w:numId w:val="1"/>
        </w:numPr>
        <w:rPr>
          <w:rFonts w:ascii="宋体" w:hAnsi="宋体" w:cs="宋体"/>
          <w:b w:val="0"/>
          <w:sz w:val="24"/>
          <w:highlight w:val="none"/>
        </w:rPr>
      </w:pPr>
      <w:bookmarkStart w:id="351" w:name="_Toc15562991"/>
      <w:bookmarkStart w:id="352" w:name="_Toc15465705"/>
      <w:bookmarkStart w:id="353" w:name="_Toc15465976"/>
      <w:bookmarkStart w:id="354" w:name="_Toc15466190"/>
      <w:r>
        <w:rPr>
          <w:rFonts w:hint="eastAsia" w:ascii="宋体" w:hAnsi="宋体" w:cs="宋体"/>
          <w:b w:val="0"/>
          <w:sz w:val="24"/>
          <w:highlight w:val="none"/>
        </w:rPr>
        <w:t>发生不可抗力的一方在不可抗力影响消除后应当继续履行本协议。</w:t>
      </w:r>
      <w:bookmarkEnd w:id="351"/>
      <w:bookmarkEnd w:id="352"/>
      <w:bookmarkEnd w:id="353"/>
      <w:bookmarkEnd w:id="354"/>
    </w:p>
    <w:p>
      <w:pPr>
        <w:pStyle w:val="28"/>
        <w:numPr>
          <w:ilvl w:val="2"/>
          <w:numId w:val="1"/>
        </w:numPr>
        <w:rPr>
          <w:rFonts w:ascii="宋体" w:hAnsi="宋体" w:cs="宋体"/>
          <w:b w:val="0"/>
          <w:sz w:val="24"/>
          <w:highlight w:val="none"/>
        </w:rPr>
      </w:pPr>
      <w:bookmarkStart w:id="355" w:name="_Toc15562992"/>
      <w:bookmarkStart w:id="356" w:name="_Toc15465706"/>
      <w:bookmarkStart w:id="357" w:name="_Toc15466191"/>
      <w:bookmarkStart w:id="358" w:name="_Toc15465977"/>
      <w:r>
        <w:rPr>
          <w:rFonts w:hint="eastAsia" w:ascii="宋体" w:hAnsi="宋体" w:cs="宋体"/>
          <w:b w:val="0"/>
          <w:sz w:val="24"/>
          <w:highlight w:val="none"/>
        </w:rPr>
        <w:t>发生政治不可抗力事件，乙方有权要求延长承包期、获得额外补偿或延长承包期限。</w:t>
      </w:r>
      <w:bookmarkEnd w:id="355"/>
      <w:bookmarkEnd w:id="356"/>
      <w:bookmarkEnd w:id="357"/>
      <w:bookmarkEnd w:id="358"/>
    </w:p>
    <w:p>
      <w:pPr>
        <w:pStyle w:val="28"/>
        <w:numPr>
          <w:ilvl w:val="2"/>
          <w:numId w:val="1"/>
        </w:numPr>
        <w:rPr>
          <w:rFonts w:ascii="宋体" w:hAnsi="宋体" w:cs="宋体"/>
          <w:b w:val="0"/>
          <w:sz w:val="24"/>
          <w:highlight w:val="none"/>
        </w:rPr>
      </w:pPr>
      <w:bookmarkStart w:id="359" w:name="_Toc15465978"/>
      <w:bookmarkStart w:id="360" w:name="_Toc15466192"/>
      <w:bookmarkStart w:id="361" w:name="_Toc15562993"/>
      <w:bookmarkStart w:id="362" w:name="_Toc15465707"/>
      <w:r>
        <w:rPr>
          <w:rFonts w:hint="eastAsia" w:ascii="宋体" w:hAnsi="宋体" w:cs="宋体"/>
          <w:b w:val="0"/>
          <w:sz w:val="24"/>
          <w:highlight w:val="none"/>
        </w:rPr>
        <w:t>如不可抗力发生在承包期内，则乙方有权根据不可抗力的影响期间申请延长项目承包期限。</w:t>
      </w:r>
      <w:bookmarkEnd w:id="359"/>
      <w:bookmarkEnd w:id="360"/>
      <w:bookmarkEnd w:id="361"/>
      <w:bookmarkEnd w:id="362"/>
    </w:p>
    <w:p>
      <w:pPr>
        <w:pStyle w:val="28"/>
        <w:jc w:val="center"/>
        <w:rPr>
          <w:rFonts w:ascii="宋体" w:hAnsi="宋体" w:cs="宋体"/>
          <w:sz w:val="24"/>
          <w:highlight w:val="none"/>
        </w:rPr>
      </w:pPr>
      <w:bookmarkStart w:id="363" w:name="_Toc15562994"/>
      <w:r>
        <w:rPr>
          <w:rFonts w:hint="eastAsia" w:ascii="宋体" w:hAnsi="宋体" w:cs="宋体"/>
          <w:sz w:val="24"/>
          <w:highlight w:val="none"/>
        </w:rPr>
        <w:t>强制保险</w:t>
      </w:r>
      <w:bookmarkEnd w:id="363"/>
    </w:p>
    <w:p>
      <w:pPr>
        <w:ind w:left="560" w:firstLine="560"/>
        <w:rPr>
          <w:rFonts w:ascii="宋体" w:hAnsi="宋体" w:cs="宋体"/>
          <w:sz w:val="24"/>
          <w:highlight w:val="none"/>
        </w:rPr>
      </w:pPr>
      <w:r>
        <w:rPr>
          <w:rFonts w:hint="eastAsia" w:ascii="宋体" w:hAnsi="宋体" w:cs="宋体"/>
          <w:sz w:val="24"/>
          <w:highlight w:val="none"/>
        </w:rPr>
        <w:t>项目运营期间可能遇到不可预期或者是不可控制的风险，服务单位应该按照行业国家管理规定办理和维持合理的运营保险，从而实现本项目合作期内风险控制的目的，降低政府和服务单位的风险。</w:t>
      </w:r>
    </w:p>
    <w:p>
      <w:pPr>
        <w:ind w:left="560" w:firstLine="560"/>
        <w:rPr>
          <w:rFonts w:ascii="宋体" w:hAnsi="宋体" w:cs="宋体"/>
          <w:sz w:val="24"/>
          <w:highlight w:val="none"/>
        </w:rPr>
      </w:pPr>
      <w:r>
        <w:rPr>
          <w:rFonts w:hint="eastAsia" w:ascii="宋体" w:hAnsi="宋体" w:cs="宋体"/>
          <w:sz w:val="24"/>
          <w:highlight w:val="none"/>
        </w:rPr>
        <w:t>在项目运营期应投险种主要包括财产一切险和第三者责任险。除上述强制险种以外，服务单位应该根据谨慎运营惯例购买相应险种。</w:t>
      </w:r>
    </w:p>
    <w:p>
      <w:pPr>
        <w:pStyle w:val="28"/>
        <w:jc w:val="center"/>
        <w:rPr>
          <w:rFonts w:ascii="宋体" w:hAnsi="宋体" w:cs="宋体"/>
          <w:sz w:val="24"/>
          <w:highlight w:val="none"/>
        </w:rPr>
      </w:pPr>
      <w:bookmarkStart w:id="364" w:name="_Toc15562995"/>
      <w:r>
        <w:rPr>
          <w:rFonts w:hint="eastAsia" w:ascii="宋体" w:hAnsi="宋体" w:cs="宋体"/>
          <w:sz w:val="24"/>
          <w:highlight w:val="none"/>
        </w:rPr>
        <w:t>政府方的监督和介入</w:t>
      </w:r>
      <w:bookmarkEnd w:id="364"/>
    </w:p>
    <w:p>
      <w:pPr>
        <w:pStyle w:val="28"/>
        <w:numPr>
          <w:ilvl w:val="1"/>
          <w:numId w:val="13"/>
        </w:numPr>
        <w:rPr>
          <w:rFonts w:ascii="宋体" w:hAnsi="宋体" w:cs="宋体"/>
          <w:sz w:val="24"/>
          <w:highlight w:val="none"/>
        </w:rPr>
      </w:pPr>
      <w:bookmarkStart w:id="365" w:name="_Toc15562996"/>
      <w:bookmarkStart w:id="366" w:name="_Toc15465980"/>
      <w:bookmarkStart w:id="367" w:name="_Toc15465709"/>
      <w:bookmarkStart w:id="368" w:name="_Toc15466194"/>
      <w:r>
        <w:rPr>
          <w:rFonts w:hint="eastAsia" w:ascii="宋体" w:hAnsi="宋体" w:cs="宋体"/>
          <w:sz w:val="24"/>
          <w:highlight w:val="none"/>
        </w:rPr>
        <w:t>甲方的监督与检查</w:t>
      </w:r>
      <w:bookmarkEnd w:id="365"/>
      <w:bookmarkEnd w:id="366"/>
      <w:bookmarkEnd w:id="367"/>
      <w:bookmarkEnd w:id="368"/>
    </w:p>
    <w:p>
      <w:pPr>
        <w:pStyle w:val="28"/>
        <w:numPr>
          <w:ilvl w:val="2"/>
          <w:numId w:val="1"/>
        </w:numPr>
        <w:rPr>
          <w:rFonts w:ascii="宋体" w:hAnsi="宋体" w:cs="宋体"/>
          <w:b w:val="0"/>
          <w:sz w:val="24"/>
          <w:highlight w:val="none"/>
        </w:rPr>
      </w:pPr>
      <w:bookmarkStart w:id="369" w:name="_Toc15562997"/>
      <w:bookmarkStart w:id="370" w:name="_Toc15465981"/>
      <w:bookmarkStart w:id="371" w:name="_Toc15466195"/>
      <w:bookmarkStart w:id="372" w:name="_Toc15465710"/>
      <w:r>
        <w:rPr>
          <w:rFonts w:hint="eastAsia" w:ascii="宋体" w:hAnsi="宋体" w:cs="宋体"/>
          <w:b w:val="0"/>
          <w:sz w:val="24"/>
          <w:highlight w:val="none"/>
        </w:rPr>
        <w:t>甲方有权对本项目进行全程监管，在不干扰乙方正常运作的前提下，政府有权对项目进行抽查、检验、检查、监督等活动。甲方有权在任何时间检查乙方作业情况。</w:t>
      </w:r>
      <w:bookmarkEnd w:id="369"/>
      <w:bookmarkEnd w:id="370"/>
      <w:bookmarkEnd w:id="371"/>
      <w:bookmarkEnd w:id="372"/>
    </w:p>
    <w:p>
      <w:pPr>
        <w:pStyle w:val="28"/>
        <w:numPr>
          <w:ilvl w:val="2"/>
          <w:numId w:val="1"/>
        </w:numPr>
        <w:rPr>
          <w:rFonts w:ascii="宋体" w:hAnsi="宋体" w:cs="宋体"/>
          <w:b w:val="0"/>
          <w:sz w:val="24"/>
          <w:highlight w:val="none"/>
        </w:rPr>
      </w:pPr>
      <w:bookmarkStart w:id="373" w:name="_Toc15466196"/>
      <w:bookmarkStart w:id="374" w:name="_Toc15562998"/>
      <w:bookmarkStart w:id="375" w:name="_Toc15465982"/>
      <w:bookmarkStart w:id="376" w:name="_Toc15465711"/>
      <w:r>
        <w:rPr>
          <w:rFonts w:hint="eastAsia" w:ascii="宋体" w:hAnsi="宋体" w:cs="宋体"/>
          <w:b w:val="0"/>
          <w:sz w:val="24"/>
          <w:highlight w:val="none"/>
        </w:rPr>
        <w:t>在承包期内，甲方有权派代表进入项目场地，检查乙方相关的作业记录及其他资料，监督项目的作业计划实施情况，乙方应对此等检查和监督提供完全的协助，并提供甲方所需的信息和资料。</w:t>
      </w:r>
      <w:bookmarkEnd w:id="373"/>
      <w:bookmarkEnd w:id="374"/>
      <w:bookmarkEnd w:id="375"/>
      <w:bookmarkEnd w:id="376"/>
    </w:p>
    <w:p>
      <w:pPr>
        <w:pStyle w:val="28"/>
        <w:numPr>
          <w:ilvl w:val="2"/>
          <w:numId w:val="1"/>
        </w:numPr>
        <w:rPr>
          <w:rFonts w:ascii="宋体" w:hAnsi="宋体" w:cs="宋体"/>
          <w:b w:val="0"/>
          <w:sz w:val="24"/>
          <w:highlight w:val="none"/>
        </w:rPr>
      </w:pPr>
      <w:bookmarkStart w:id="377" w:name="_Toc15562999"/>
      <w:bookmarkStart w:id="378" w:name="_Toc15465712"/>
      <w:bookmarkStart w:id="379" w:name="_Toc15466197"/>
      <w:bookmarkStart w:id="380" w:name="_Toc15465983"/>
      <w:r>
        <w:rPr>
          <w:rFonts w:hint="eastAsia" w:ascii="宋体" w:hAnsi="宋体" w:cs="宋体"/>
          <w:b w:val="0"/>
          <w:sz w:val="24"/>
          <w:highlight w:val="none"/>
        </w:rPr>
        <w:t>承包期内，甲方有权联合相关职能部门对乙方的作业费用以及计划投入情况进行审计，乙方应提供必要的配合。</w:t>
      </w:r>
      <w:bookmarkEnd w:id="377"/>
      <w:bookmarkEnd w:id="378"/>
      <w:bookmarkEnd w:id="379"/>
      <w:bookmarkEnd w:id="380"/>
    </w:p>
    <w:p>
      <w:pPr>
        <w:pStyle w:val="28"/>
        <w:numPr>
          <w:ilvl w:val="2"/>
          <w:numId w:val="1"/>
        </w:numPr>
        <w:rPr>
          <w:rFonts w:ascii="宋体" w:hAnsi="宋体" w:cs="宋体"/>
          <w:b w:val="0"/>
          <w:sz w:val="24"/>
          <w:highlight w:val="none"/>
        </w:rPr>
      </w:pPr>
      <w:bookmarkStart w:id="381" w:name="_Toc15465713"/>
      <w:bookmarkStart w:id="382" w:name="_Toc15465984"/>
      <w:bookmarkStart w:id="383" w:name="_Toc15466198"/>
      <w:bookmarkStart w:id="384" w:name="_Toc15563000"/>
      <w:r>
        <w:rPr>
          <w:rFonts w:hint="eastAsia" w:ascii="宋体" w:hAnsi="宋体" w:cs="宋体"/>
          <w:b w:val="0"/>
          <w:sz w:val="24"/>
          <w:highlight w:val="none"/>
        </w:rPr>
        <w:t>甲方根据本协议的约定对乙方环卫作业服务进行监管考核。</w:t>
      </w:r>
      <w:bookmarkEnd w:id="381"/>
      <w:bookmarkEnd w:id="382"/>
      <w:bookmarkEnd w:id="383"/>
      <w:bookmarkEnd w:id="384"/>
    </w:p>
    <w:p>
      <w:pPr>
        <w:pStyle w:val="28"/>
        <w:numPr>
          <w:ilvl w:val="1"/>
          <w:numId w:val="1"/>
        </w:numPr>
        <w:rPr>
          <w:rFonts w:ascii="宋体" w:hAnsi="宋体" w:cs="宋体"/>
          <w:sz w:val="24"/>
          <w:highlight w:val="none"/>
        </w:rPr>
      </w:pPr>
      <w:bookmarkStart w:id="385" w:name="_Toc15465714"/>
      <w:bookmarkStart w:id="386" w:name="_Toc15466199"/>
      <w:bookmarkStart w:id="387" w:name="_Toc15563001"/>
      <w:bookmarkStart w:id="388" w:name="_Toc15465985"/>
      <w:r>
        <w:rPr>
          <w:rFonts w:hint="eastAsia" w:ascii="宋体" w:hAnsi="宋体" w:cs="宋体"/>
          <w:sz w:val="24"/>
          <w:highlight w:val="none"/>
        </w:rPr>
        <w:t>临时接管</w:t>
      </w:r>
      <w:bookmarkEnd w:id="385"/>
      <w:bookmarkEnd w:id="386"/>
      <w:bookmarkEnd w:id="387"/>
      <w:bookmarkEnd w:id="388"/>
    </w:p>
    <w:p>
      <w:pPr>
        <w:pStyle w:val="30"/>
        <w:numPr>
          <w:ilvl w:val="2"/>
          <w:numId w:val="1"/>
        </w:numPr>
        <w:tabs>
          <w:tab w:val="left" w:pos="1418"/>
          <w:tab w:val="clear" w:pos="2405"/>
        </w:tabs>
        <w:autoSpaceDE w:val="0"/>
        <w:autoSpaceDN w:val="0"/>
        <w:adjustRightInd w:val="0"/>
        <w:snapToGrid w:val="0"/>
        <w:spacing w:before="120" w:beforeLines="50" w:line="440" w:lineRule="exact"/>
        <w:rPr>
          <w:rFonts w:ascii="宋体" w:hAnsi="宋体" w:cs="宋体"/>
          <w:sz w:val="24"/>
          <w:highlight w:val="none"/>
        </w:rPr>
      </w:pPr>
      <w:r>
        <w:rPr>
          <w:rFonts w:hint="eastAsia" w:ascii="宋体" w:hAnsi="宋体" w:cs="宋体"/>
          <w:sz w:val="24"/>
          <w:highlight w:val="none"/>
        </w:rPr>
        <w:t>承包期内，如乙方出现下列行为之一严重影响项目运营的，经甲方上级主管部门批准，甲方有权对项目实施临时接管：</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（1）擅自将本协议的承包事项转包或肢解分包给第三人；</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（2）因管理不善、发生重大质量、环境卫生、生产安全事故或重大劳资纠纷的；</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（4）擅自停业、歇业，严重影响到社会公共利益和安全的；</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（5）存在重大安全隐患且拒不整改，危及或者可能危及公共利益、公共安全的；</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（6）被依法吊销、注销、关停的；</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 xml:space="preserve">（7）其他严重影响环卫作业服务的事件； </w:t>
      </w:r>
    </w:p>
    <w:p>
      <w:pPr>
        <w:pStyle w:val="8"/>
        <w:overflowPunct w:val="0"/>
        <w:spacing w:before="164"/>
        <w:ind w:left="1440" w:leftChars="400" w:hanging="600" w:hangingChars="250"/>
        <w:rPr>
          <w:rFonts w:ascii="宋体" w:hAnsi="宋体" w:cs="宋体"/>
          <w:sz w:val="24"/>
          <w:highlight w:val="none"/>
        </w:rPr>
      </w:pPr>
      <w:r>
        <w:rPr>
          <w:rFonts w:hint="eastAsia" w:ascii="宋体" w:hAnsi="宋体" w:cs="宋体"/>
          <w:sz w:val="24"/>
          <w:highlight w:val="none"/>
        </w:rPr>
        <w:t>（8）法律、法规禁止的其他行为。</w:t>
      </w:r>
    </w:p>
    <w:p>
      <w:pPr>
        <w:pStyle w:val="28"/>
        <w:numPr>
          <w:ilvl w:val="2"/>
          <w:numId w:val="1"/>
        </w:numPr>
        <w:rPr>
          <w:rFonts w:ascii="宋体" w:hAnsi="宋体" w:cs="宋体"/>
          <w:b w:val="0"/>
          <w:sz w:val="24"/>
          <w:highlight w:val="none"/>
        </w:rPr>
      </w:pPr>
      <w:bookmarkStart w:id="389" w:name="_Toc15465715"/>
      <w:bookmarkStart w:id="390" w:name="_Toc15563002"/>
      <w:bookmarkStart w:id="391" w:name="_Toc15466200"/>
      <w:bookmarkStart w:id="392" w:name="_Toc15465986"/>
      <w:r>
        <w:rPr>
          <w:rFonts w:hint="eastAsia" w:ascii="宋体" w:hAnsi="宋体" w:cs="宋体"/>
          <w:b w:val="0"/>
          <w:sz w:val="24"/>
          <w:highlight w:val="none"/>
        </w:rPr>
        <w:t>甲方有权在决定临时接管之日起临时接管本项目，可指定第三人临时提供本项目服务。临时接管期间发生的成本、人工工资、管理费用等均由乙方承担，乙方应向甲方支付接管费。</w:t>
      </w:r>
      <w:bookmarkEnd w:id="389"/>
      <w:bookmarkEnd w:id="390"/>
      <w:bookmarkEnd w:id="391"/>
      <w:bookmarkEnd w:id="392"/>
    </w:p>
    <w:p>
      <w:pPr>
        <w:pStyle w:val="28"/>
        <w:numPr>
          <w:ilvl w:val="2"/>
          <w:numId w:val="1"/>
        </w:numPr>
        <w:rPr>
          <w:rFonts w:ascii="宋体" w:hAnsi="宋体" w:cs="宋体"/>
          <w:b w:val="0"/>
          <w:sz w:val="24"/>
          <w:highlight w:val="none"/>
        </w:rPr>
      </w:pPr>
      <w:bookmarkStart w:id="393" w:name="_Toc15466201"/>
      <w:bookmarkStart w:id="394" w:name="_Toc15465716"/>
      <w:bookmarkStart w:id="395" w:name="_Toc15563003"/>
      <w:bookmarkStart w:id="396" w:name="_Toc15465987"/>
      <w:r>
        <w:rPr>
          <w:rFonts w:hint="eastAsia" w:ascii="宋体" w:hAnsi="宋体" w:cs="宋体"/>
          <w:b w:val="0"/>
          <w:sz w:val="24"/>
          <w:highlight w:val="none"/>
        </w:rPr>
        <w:t>临时接管期间，乙方必须服从甲方对其工作人员、设施、生产物资的调配，保障正常运营。</w:t>
      </w:r>
      <w:bookmarkEnd w:id="393"/>
      <w:bookmarkEnd w:id="394"/>
      <w:bookmarkEnd w:id="395"/>
      <w:bookmarkEnd w:id="396"/>
    </w:p>
    <w:p>
      <w:pPr>
        <w:pStyle w:val="28"/>
        <w:numPr>
          <w:ilvl w:val="2"/>
          <w:numId w:val="1"/>
        </w:numPr>
        <w:rPr>
          <w:rFonts w:ascii="宋体" w:hAnsi="宋体" w:cs="宋体"/>
          <w:b w:val="0"/>
          <w:sz w:val="24"/>
          <w:highlight w:val="none"/>
        </w:rPr>
      </w:pPr>
      <w:bookmarkStart w:id="397" w:name="_Toc15465988"/>
      <w:bookmarkStart w:id="398" w:name="_Toc15563004"/>
      <w:bookmarkStart w:id="399" w:name="_Toc15465717"/>
      <w:bookmarkStart w:id="400" w:name="_Toc15466202"/>
      <w:r>
        <w:rPr>
          <w:rFonts w:hint="eastAsia" w:ascii="宋体" w:hAnsi="宋体" w:cs="宋体"/>
          <w:b w:val="0"/>
          <w:sz w:val="24"/>
          <w:highlight w:val="none"/>
        </w:rPr>
        <w:t>经乙方纠正引致临时接管的违约行为，并经乙方书面申请，甲方应当终止临时接管。</w:t>
      </w:r>
      <w:bookmarkEnd w:id="397"/>
      <w:bookmarkEnd w:id="398"/>
      <w:bookmarkEnd w:id="399"/>
      <w:bookmarkEnd w:id="400"/>
    </w:p>
    <w:p>
      <w:pPr>
        <w:pStyle w:val="28"/>
        <w:numPr>
          <w:ilvl w:val="2"/>
          <w:numId w:val="1"/>
        </w:numPr>
        <w:rPr>
          <w:rFonts w:ascii="宋体" w:hAnsi="宋体" w:cs="宋体"/>
          <w:b w:val="0"/>
          <w:sz w:val="24"/>
          <w:highlight w:val="none"/>
        </w:rPr>
      </w:pPr>
      <w:bookmarkStart w:id="401" w:name="_Toc15465718"/>
      <w:bookmarkStart w:id="402" w:name="_Toc15465989"/>
      <w:bookmarkStart w:id="403" w:name="_Toc15563005"/>
      <w:bookmarkStart w:id="404" w:name="_Toc15466203"/>
      <w:r>
        <w:rPr>
          <w:rFonts w:hint="eastAsia" w:ascii="宋体" w:hAnsi="宋体" w:cs="宋体"/>
          <w:b w:val="0"/>
          <w:sz w:val="24"/>
          <w:highlight w:val="none"/>
        </w:rPr>
        <w:t>如乙方不能配合甲方介入运营或在介入运营过程中设置障碍或拒绝支付相关费用，则视为乙方违约，甲方有权解除本协议。</w:t>
      </w:r>
      <w:bookmarkEnd w:id="401"/>
      <w:bookmarkEnd w:id="402"/>
      <w:bookmarkEnd w:id="403"/>
      <w:bookmarkEnd w:id="404"/>
    </w:p>
    <w:p>
      <w:pPr>
        <w:pStyle w:val="28"/>
        <w:numPr>
          <w:ilvl w:val="2"/>
          <w:numId w:val="1"/>
        </w:numPr>
        <w:rPr>
          <w:rFonts w:ascii="宋体" w:hAnsi="宋体" w:cs="宋体"/>
          <w:b w:val="0"/>
          <w:sz w:val="24"/>
          <w:highlight w:val="none"/>
        </w:rPr>
      </w:pPr>
      <w:bookmarkStart w:id="405" w:name="_Toc15563006"/>
      <w:bookmarkStart w:id="406" w:name="_Toc15466204"/>
      <w:bookmarkStart w:id="407" w:name="_Toc15465990"/>
      <w:bookmarkStart w:id="408" w:name="_Toc15465719"/>
      <w:r>
        <w:rPr>
          <w:rFonts w:hint="eastAsia" w:ascii="宋体" w:hAnsi="宋体" w:cs="宋体"/>
          <w:b w:val="0"/>
          <w:sz w:val="24"/>
          <w:highlight w:val="none"/>
        </w:rPr>
        <w:t>临时接管持续超过六十（60）日，甲方有权提前解除本协议。</w:t>
      </w:r>
      <w:bookmarkEnd w:id="405"/>
      <w:bookmarkEnd w:id="406"/>
      <w:bookmarkEnd w:id="407"/>
      <w:bookmarkEnd w:id="408"/>
    </w:p>
    <w:p>
      <w:pPr>
        <w:pStyle w:val="28"/>
        <w:jc w:val="center"/>
        <w:rPr>
          <w:rFonts w:ascii="宋体" w:hAnsi="宋体" w:cs="宋体"/>
          <w:sz w:val="24"/>
          <w:highlight w:val="none"/>
        </w:rPr>
      </w:pPr>
      <w:bookmarkStart w:id="409" w:name="_Toc15563007"/>
      <w:r>
        <w:rPr>
          <w:rFonts w:hint="eastAsia" w:ascii="宋体" w:hAnsi="宋体" w:cs="宋体"/>
          <w:sz w:val="24"/>
          <w:highlight w:val="none"/>
        </w:rPr>
        <w:t>违约责任</w:t>
      </w:r>
      <w:bookmarkEnd w:id="409"/>
    </w:p>
    <w:p>
      <w:pPr>
        <w:pStyle w:val="28"/>
        <w:numPr>
          <w:ilvl w:val="1"/>
          <w:numId w:val="14"/>
        </w:numPr>
        <w:rPr>
          <w:rFonts w:ascii="宋体" w:hAnsi="宋体" w:cs="宋体"/>
          <w:sz w:val="24"/>
          <w:highlight w:val="none"/>
        </w:rPr>
      </w:pPr>
      <w:bookmarkStart w:id="410" w:name="_Toc15563008"/>
      <w:bookmarkStart w:id="411" w:name="_Toc15465992"/>
      <w:bookmarkStart w:id="412" w:name="_Toc15466206"/>
      <w:bookmarkStart w:id="413" w:name="_Toc15465721"/>
      <w:r>
        <w:rPr>
          <w:rFonts w:hint="eastAsia" w:ascii="宋体" w:hAnsi="宋体" w:cs="宋体"/>
          <w:sz w:val="24"/>
          <w:highlight w:val="none"/>
        </w:rPr>
        <w:t>甲方的违约责任</w:t>
      </w:r>
      <w:bookmarkEnd w:id="410"/>
      <w:bookmarkEnd w:id="411"/>
      <w:bookmarkEnd w:id="412"/>
      <w:bookmarkEnd w:id="413"/>
    </w:p>
    <w:p>
      <w:pPr>
        <w:pStyle w:val="28"/>
        <w:numPr>
          <w:ilvl w:val="2"/>
          <w:numId w:val="1"/>
        </w:numPr>
        <w:rPr>
          <w:rFonts w:ascii="宋体" w:hAnsi="宋体" w:cs="宋体"/>
          <w:b w:val="0"/>
          <w:sz w:val="24"/>
          <w:highlight w:val="none"/>
        </w:rPr>
      </w:pPr>
      <w:bookmarkStart w:id="414" w:name="_Toc15466207"/>
      <w:bookmarkStart w:id="415" w:name="_Toc15465722"/>
      <w:bookmarkStart w:id="416" w:name="_Toc15465993"/>
      <w:bookmarkStart w:id="417" w:name="_Toc15563009"/>
      <w:r>
        <w:rPr>
          <w:rFonts w:hint="eastAsia" w:ascii="宋体" w:hAnsi="宋体" w:cs="宋体"/>
          <w:b w:val="0"/>
          <w:sz w:val="24"/>
          <w:highlight w:val="none"/>
        </w:rPr>
        <w:t>甲方无正当理由提前终止本协议的，按乙方上一年承包费（不满一年按第一年全年承包费总额计算）总额的百分之十（10%）补偿乙方损失。</w:t>
      </w:r>
      <w:bookmarkEnd w:id="414"/>
      <w:bookmarkEnd w:id="415"/>
      <w:bookmarkEnd w:id="416"/>
      <w:bookmarkEnd w:id="417"/>
    </w:p>
    <w:p>
      <w:pPr>
        <w:pStyle w:val="28"/>
        <w:numPr>
          <w:ilvl w:val="2"/>
          <w:numId w:val="1"/>
        </w:numPr>
        <w:rPr>
          <w:rFonts w:ascii="宋体" w:hAnsi="宋体" w:cs="宋体"/>
          <w:b w:val="0"/>
          <w:sz w:val="24"/>
          <w:highlight w:val="none"/>
        </w:rPr>
      </w:pPr>
      <w:bookmarkStart w:id="418" w:name="_Toc15466208"/>
      <w:bookmarkStart w:id="419" w:name="_Toc15563010"/>
      <w:bookmarkStart w:id="420" w:name="_Toc15465994"/>
      <w:bookmarkStart w:id="421" w:name="_Toc15465723"/>
      <w:r>
        <w:rPr>
          <w:rFonts w:hint="eastAsia" w:ascii="宋体" w:hAnsi="宋体" w:cs="宋体"/>
          <w:b w:val="0"/>
          <w:sz w:val="24"/>
          <w:highlight w:val="none"/>
        </w:rPr>
        <w:t>在经费到位情况下，甲方逾期未支付上季度承包费用的，从逾期之日起每日按应支付金额计息，违约利率为当时适用的中国人民银行规定的一年期贷款利率。</w:t>
      </w:r>
      <w:bookmarkEnd w:id="418"/>
      <w:bookmarkEnd w:id="419"/>
      <w:bookmarkEnd w:id="420"/>
      <w:bookmarkEnd w:id="421"/>
    </w:p>
    <w:p>
      <w:pPr>
        <w:pStyle w:val="28"/>
        <w:numPr>
          <w:ilvl w:val="1"/>
          <w:numId w:val="1"/>
        </w:numPr>
        <w:rPr>
          <w:rFonts w:ascii="宋体" w:hAnsi="宋体" w:cs="宋体"/>
          <w:sz w:val="24"/>
          <w:highlight w:val="none"/>
        </w:rPr>
      </w:pPr>
      <w:bookmarkStart w:id="422" w:name="_Toc15465995"/>
      <w:bookmarkStart w:id="423" w:name="_Toc15466209"/>
      <w:bookmarkStart w:id="424" w:name="_Toc15563011"/>
      <w:bookmarkStart w:id="425" w:name="_Toc15465724"/>
      <w:r>
        <w:rPr>
          <w:rFonts w:hint="eastAsia" w:ascii="宋体" w:hAnsi="宋体" w:cs="宋体"/>
          <w:sz w:val="24"/>
          <w:highlight w:val="none"/>
        </w:rPr>
        <w:t>乙方的违约责任</w:t>
      </w:r>
      <w:bookmarkEnd w:id="422"/>
      <w:bookmarkEnd w:id="423"/>
      <w:bookmarkEnd w:id="424"/>
      <w:bookmarkEnd w:id="425"/>
    </w:p>
    <w:p>
      <w:pPr>
        <w:pStyle w:val="28"/>
        <w:numPr>
          <w:ilvl w:val="2"/>
          <w:numId w:val="1"/>
        </w:numPr>
        <w:rPr>
          <w:rFonts w:ascii="宋体" w:hAnsi="宋体" w:cs="宋体"/>
          <w:b w:val="0"/>
          <w:sz w:val="24"/>
          <w:highlight w:val="none"/>
        </w:rPr>
      </w:pPr>
      <w:bookmarkStart w:id="426" w:name="_Toc15465725"/>
      <w:bookmarkStart w:id="427" w:name="_Toc15563012"/>
      <w:bookmarkStart w:id="428" w:name="_Toc15465996"/>
      <w:bookmarkStart w:id="429" w:name="_Toc15466210"/>
      <w:r>
        <w:rPr>
          <w:rFonts w:hint="eastAsia" w:ascii="宋体" w:hAnsi="宋体" w:cs="宋体"/>
          <w:b w:val="0"/>
          <w:sz w:val="24"/>
          <w:highlight w:val="none"/>
        </w:rPr>
        <w:t>乙方在履行协议过程中，发生重大质量事故或安全事故的，依据情节严重程度，甲方在取得上级主管单位的同意后，有权临时接管乙方承包的项目，并终止本协议，由此造成的损失由乙方承担。</w:t>
      </w:r>
      <w:bookmarkEnd w:id="426"/>
      <w:bookmarkEnd w:id="427"/>
      <w:bookmarkEnd w:id="428"/>
      <w:bookmarkEnd w:id="429"/>
    </w:p>
    <w:p>
      <w:pPr>
        <w:pStyle w:val="28"/>
        <w:numPr>
          <w:ilvl w:val="2"/>
          <w:numId w:val="1"/>
        </w:numPr>
        <w:rPr>
          <w:rFonts w:ascii="宋体" w:hAnsi="宋体" w:cs="宋体"/>
          <w:b w:val="0"/>
          <w:sz w:val="24"/>
          <w:highlight w:val="none"/>
        </w:rPr>
      </w:pPr>
      <w:bookmarkStart w:id="430" w:name="_Toc15465726"/>
      <w:bookmarkStart w:id="431" w:name="_Toc15563013"/>
      <w:bookmarkStart w:id="432" w:name="_Toc15466211"/>
      <w:bookmarkStart w:id="433" w:name="_Toc491376151"/>
      <w:bookmarkStart w:id="434" w:name="_Toc491558472"/>
      <w:bookmarkStart w:id="435" w:name="_Toc15465997"/>
      <w:bookmarkStart w:id="436" w:name="_Toc491377121"/>
      <w:r>
        <w:rPr>
          <w:rFonts w:hint="eastAsia" w:ascii="宋体" w:hAnsi="宋体" w:cs="宋体"/>
          <w:b w:val="0"/>
          <w:sz w:val="24"/>
          <w:highlight w:val="none"/>
        </w:rPr>
        <w:t>由于乙方自身的原因，乙方未能保持承包本项目的资格条件，甲方有权终止本协议，乙方应赔偿甲方由此产生的全部经济损失。</w:t>
      </w:r>
      <w:bookmarkEnd w:id="430"/>
      <w:bookmarkEnd w:id="431"/>
      <w:bookmarkEnd w:id="432"/>
      <w:bookmarkEnd w:id="433"/>
      <w:bookmarkEnd w:id="434"/>
      <w:bookmarkEnd w:id="435"/>
      <w:bookmarkEnd w:id="436"/>
    </w:p>
    <w:p>
      <w:pPr>
        <w:pStyle w:val="28"/>
        <w:numPr>
          <w:ilvl w:val="2"/>
          <w:numId w:val="1"/>
        </w:numPr>
        <w:rPr>
          <w:rFonts w:ascii="宋体" w:hAnsi="宋体" w:cs="宋体"/>
          <w:b w:val="0"/>
          <w:sz w:val="24"/>
          <w:highlight w:val="none"/>
        </w:rPr>
      </w:pPr>
      <w:bookmarkStart w:id="437" w:name="_Toc491376152"/>
      <w:bookmarkStart w:id="438" w:name="_Toc15465998"/>
      <w:bookmarkStart w:id="439" w:name="_Toc15563014"/>
      <w:bookmarkStart w:id="440" w:name="_Toc491377122"/>
      <w:bookmarkStart w:id="441" w:name="_Toc15466212"/>
      <w:bookmarkStart w:id="442" w:name="_Toc491558473"/>
      <w:bookmarkStart w:id="443" w:name="_Toc15465727"/>
      <w:r>
        <w:rPr>
          <w:rFonts w:hint="eastAsia" w:ascii="宋体" w:hAnsi="宋体" w:cs="宋体"/>
          <w:b w:val="0"/>
          <w:sz w:val="24"/>
          <w:highlight w:val="none"/>
        </w:rPr>
        <w:t>乙方违反本协议的规定，将本协议的承包事项转包或肢解分包给第三人，甲方有权没收工作质量保证金，并终止本协议，乙方按上一年承包费总额（不满一年按第一年全年承包费总额计算）的百分之十（10%）向甲方支付违约金，且乙方应赔偿甲方由此产生的全部经济损失。</w:t>
      </w:r>
      <w:bookmarkEnd w:id="437"/>
      <w:bookmarkEnd w:id="438"/>
      <w:bookmarkEnd w:id="439"/>
      <w:bookmarkEnd w:id="440"/>
      <w:bookmarkEnd w:id="441"/>
      <w:bookmarkEnd w:id="442"/>
      <w:bookmarkEnd w:id="443"/>
    </w:p>
    <w:p>
      <w:pPr>
        <w:pStyle w:val="28"/>
        <w:numPr>
          <w:ilvl w:val="2"/>
          <w:numId w:val="1"/>
        </w:numPr>
        <w:rPr>
          <w:rFonts w:ascii="宋体" w:hAnsi="宋体" w:cs="宋体"/>
          <w:b w:val="0"/>
          <w:sz w:val="24"/>
          <w:highlight w:val="none"/>
        </w:rPr>
      </w:pPr>
      <w:bookmarkStart w:id="444" w:name="_Toc15466213"/>
      <w:bookmarkStart w:id="445" w:name="_Toc15465999"/>
      <w:bookmarkStart w:id="446" w:name="_Toc15465728"/>
      <w:bookmarkStart w:id="447" w:name="_Toc15563015"/>
      <w:bookmarkStart w:id="448" w:name="_Toc491558474"/>
      <w:r>
        <w:rPr>
          <w:rFonts w:hint="eastAsia" w:ascii="宋体" w:hAnsi="宋体" w:cs="宋体"/>
          <w:b w:val="0"/>
          <w:sz w:val="24"/>
          <w:highlight w:val="none"/>
        </w:rPr>
        <w:t>乙方因分立、合并、解散等特殊原因无法履行协议而需终止协议的，须提前三（3）个月通知甲方，并征得甲方同意方可终止协议，乙方赔偿由此给甲方带来的损失，甲方有权没收工作质量保证金。</w:t>
      </w:r>
      <w:bookmarkEnd w:id="444"/>
      <w:bookmarkEnd w:id="445"/>
      <w:bookmarkEnd w:id="446"/>
      <w:bookmarkEnd w:id="447"/>
      <w:bookmarkEnd w:id="448"/>
    </w:p>
    <w:p>
      <w:pPr>
        <w:pStyle w:val="28"/>
        <w:numPr>
          <w:ilvl w:val="2"/>
          <w:numId w:val="1"/>
        </w:numPr>
        <w:rPr>
          <w:rFonts w:ascii="宋体" w:hAnsi="宋体" w:cs="宋体"/>
          <w:b w:val="0"/>
          <w:sz w:val="24"/>
          <w:highlight w:val="none"/>
        </w:rPr>
      </w:pPr>
      <w:bookmarkStart w:id="449" w:name="_Toc15466214"/>
      <w:bookmarkStart w:id="450" w:name="_Toc15466000"/>
      <w:bookmarkStart w:id="451" w:name="_Toc15563016"/>
      <w:bookmarkStart w:id="452" w:name="_Toc15465729"/>
      <w:bookmarkStart w:id="453" w:name="_Toc491558475"/>
      <w:r>
        <w:rPr>
          <w:rFonts w:hint="eastAsia" w:ascii="宋体" w:hAnsi="宋体" w:cs="宋体"/>
          <w:b w:val="0"/>
          <w:sz w:val="24"/>
          <w:highlight w:val="none"/>
        </w:rPr>
        <w:t>乙方的作业质量不能达到本协议约定标准的，甲方有权要求乙方进行整改，并按照考核评分标准相对应的扣款比例扣除相应的承包费。整改时间以甲方通知为准。</w:t>
      </w:r>
      <w:bookmarkEnd w:id="449"/>
      <w:bookmarkEnd w:id="450"/>
      <w:bookmarkEnd w:id="451"/>
      <w:bookmarkEnd w:id="452"/>
      <w:bookmarkEnd w:id="453"/>
    </w:p>
    <w:p>
      <w:pPr>
        <w:rPr>
          <w:highlight w:val="none"/>
        </w:rPr>
      </w:pPr>
    </w:p>
    <w:p>
      <w:pPr>
        <w:pStyle w:val="28"/>
        <w:jc w:val="center"/>
        <w:rPr>
          <w:rFonts w:ascii="宋体" w:hAnsi="宋体" w:cs="宋体"/>
          <w:sz w:val="24"/>
          <w:highlight w:val="none"/>
        </w:rPr>
      </w:pPr>
      <w:bookmarkStart w:id="454" w:name="_Toc15563017"/>
      <w:r>
        <w:rPr>
          <w:rFonts w:hint="eastAsia" w:ascii="宋体" w:hAnsi="宋体" w:cs="宋体"/>
          <w:sz w:val="24"/>
          <w:highlight w:val="none"/>
        </w:rPr>
        <w:t>协议的提前解除与终止</w:t>
      </w:r>
      <w:bookmarkEnd w:id="454"/>
    </w:p>
    <w:p>
      <w:pPr>
        <w:pStyle w:val="28"/>
        <w:numPr>
          <w:ilvl w:val="1"/>
          <w:numId w:val="15"/>
        </w:numPr>
        <w:rPr>
          <w:rFonts w:ascii="宋体" w:hAnsi="宋体" w:cs="宋体"/>
          <w:b w:val="0"/>
          <w:sz w:val="24"/>
          <w:highlight w:val="none"/>
        </w:rPr>
      </w:pPr>
      <w:bookmarkStart w:id="455" w:name="_Toc15466002"/>
      <w:bookmarkStart w:id="456" w:name="_Toc491376155"/>
      <w:bookmarkStart w:id="457" w:name="_Toc15465731"/>
      <w:bookmarkStart w:id="458" w:name="_Toc15563018"/>
      <w:bookmarkStart w:id="459" w:name="_Toc491377125"/>
      <w:bookmarkStart w:id="460" w:name="_Toc491558477"/>
      <w:bookmarkStart w:id="461" w:name="_Toc15466216"/>
      <w:bookmarkStart w:id="462" w:name="_Toc492603970"/>
      <w:r>
        <w:rPr>
          <w:rFonts w:hint="eastAsia" w:ascii="宋体" w:hAnsi="宋体" w:cs="宋体"/>
          <w:b w:val="0"/>
          <w:sz w:val="24"/>
          <w:highlight w:val="none"/>
        </w:rPr>
        <w:t>由于政策的变化和其他甲乙双方之外的原因使协议不能继续履行，协议提前解除，双方均不构成违约。协议提前解除后，乙方应及时、妥善做好本项目的移交工作，按甲方的要求做好善后清理工作。甲方应为乙方撤离现场提供必要的条件。</w:t>
      </w:r>
      <w:bookmarkEnd w:id="455"/>
      <w:bookmarkEnd w:id="456"/>
      <w:bookmarkEnd w:id="457"/>
      <w:bookmarkEnd w:id="458"/>
      <w:bookmarkEnd w:id="459"/>
      <w:bookmarkEnd w:id="460"/>
      <w:bookmarkEnd w:id="461"/>
      <w:bookmarkEnd w:id="462"/>
    </w:p>
    <w:p>
      <w:pPr>
        <w:numPr>
          <w:ilvl w:val="1"/>
          <w:numId w:val="15"/>
        </w:numPr>
        <w:tabs>
          <w:tab w:val="left" w:pos="567"/>
          <w:tab w:val="left" w:pos="1135"/>
          <w:tab w:val="left" w:pos="1418"/>
        </w:tabs>
        <w:autoSpaceDE w:val="0"/>
        <w:autoSpaceDN w:val="0"/>
        <w:adjustRightInd w:val="0"/>
        <w:snapToGrid w:val="0"/>
        <w:spacing w:before="120" w:beforeLines="50" w:line="440" w:lineRule="exact"/>
        <w:outlineLvl w:val="1"/>
        <w:rPr>
          <w:rFonts w:ascii="宋体" w:hAnsi="宋体" w:cs="宋体"/>
          <w:b/>
          <w:sz w:val="24"/>
          <w:highlight w:val="none"/>
        </w:rPr>
      </w:pPr>
      <w:bookmarkStart w:id="463" w:name="_Toc491558478"/>
      <w:bookmarkStart w:id="464" w:name="_Toc492603971"/>
      <w:bookmarkStart w:id="465" w:name="_Toc491377126"/>
      <w:bookmarkStart w:id="466" w:name="_Toc491376156"/>
      <w:r>
        <w:rPr>
          <w:rFonts w:hint="eastAsia" w:ascii="宋体" w:hAnsi="宋体" w:cs="宋体"/>
          <w:b/>
          <w:sz w:val="24"/>
          <w:highlight w:val="none"/>
        </w:rPr>
        <w:t>发生下列情形之一的，本协议终止：</w:t>
      </w:r>
      <w:bookmarkEnd w:id="463"/>
      <w:bookmarkEnd w:id="464"/>
      <w:bookmarkEnd w:id="465"/>
      <w:bookmarkEnd w:id="466"/>
    </w:p>
    <w:p>
      <w:pPr>
        <w:ind w:left="600" w:hanging="600" w:hangingChars="250"/>
        <w:rPr>
          <w:rFonts w:ascii="宋体" w:hAnsi="宋体" w:cs="宋体"/>
          <w:sz w:val="24"/>
          <w:highlight w:val="none"/>
        </w:rPr>
      </w:pPr>
      <w:r>
        <w:rPr>
          <w:rFonts w:hint="eastAsia" w:ascii="宋体" w:hAnsi="宋体" w:cs="宋体"/>
          <w:sz w:val="24"/>
          <w:highlight w:val="none"/>
        </w:rPr>
        <w:t>（1）服务单位发生违约事件时，区环卫局有权发出终止协议的意向通知, 要求改正，直至发出终止协议意向通知；</w:t>
      </w:r>
    </w:p>
    <w:p>
      <w:pPr>
        <w:ind w:left="600" w:hanging="600" w:hangingChars="250"/>
        <w:rPr>
          <w:rFonts w:ascii="宋体" w:hAnsi="宋体" w:cs="宋体"/>
          <w:sz w:val="24"/>
          <w:highlight w:val="none"/>
        </w:rPr>
      </w:pPr>
      <w:r>
        <w:rPr>
          <w:rFonts w:hint="eastAsia" w:ascii="宋体" w:hAnsi="宋体" w:cs="宋体"/>
          <w:sz w:val="24"/>
          <w:highlight w:val="none"/>
        </w:rPr>
        <w:t>（2）区环卫局或其他政府部门有违约情形时，服务单位有权发出书面通知，要求改正，直至发出终止协议的意向通知；</w:t>
      </w:r>
    </w:p>
    <w:p>
      <w:pPr>
        <w:ind w:left="600" w:hanging="600" w:hangingChars="250"/>
        <w:rPr>
          <w:rFonts w:ascii="宋体" w:hAnsi="宋体" w:cs="宋体"/>
          <w:sz w:val="24"/>
          <w:highlight w:val="none"/>
        </w:rPr>
      </w:pPr>
      <w:r>
        <w:rPr>
          <w:rFonts w:hint="eastAsia" w:ascii="宋体" w:hAnsi="宋体" w:cs="宋体"/>
          <w:sz w:val="24"/>
          <w:highlight w:val="none"/>
        </w:rPr>
        <w:t>（3）项目签署签订后，发生不可抗力时，双方无法协商一致继续履行各自义务，双方均有权向对方发出终止协议的书面通知。</w:t>
      </w:r>
    </w:p>
    <w:p>
      <w:pPr>
        <w:ind w:left="600" w:hanging="600" w:hangingChars="250"/>
        <w:rPr>
          <w:rFonts w:ascii="宋体" w:hAnsi="宋体" w:cs="宋体"/>
          <w:sz w:val="24"/>
          <w:highlight w:val="none"/>
        </w:rPr>
      </w:pPr>
      <w:r>
        <w:rPr>
          <w:rFonts w:hint="eastAsia" w:ascii="宋体" w:hAnsi="宋体" w:cs="宋体"/>
          <w:sz w:val="24"/>
          <w:highlight w:val="none"/>
        </w:rPr>
        <w:t>（4）区环卫局基于公共利益需要或维护政府法定权益需要可单方变更或终止本项目。</w:t>
      </w:r>
    </w:p>
    <w:p>
      <w:pPr>
        <w:pStyle w:val="28"/>
        <w:numPr>
          <w:ilvl w:val="1"/>
          <w:numId w:val="1"/>
        </w:numPr>
        <w:rPr>
          <w:rFonts w:ascii="宋体" w:hAnsi="宋体" w:cs="宋体"/>
          <w:b w:val="0"/>
          <w:bCs/>
          <w:sz w:val="24"/>
          <w:highlight w:val="none"/>
        </w:rPr>
      </w:pPr>
      <w:bookmarkStart w:id="467" w:name="_Toc15466217"/>
      <w:bookmarkStart w:id="468" w:name="_Toc491558479"/>
      <w:bookmarkStart w:id="469" w:name="_Toc15563019"/>
      <w:bookmarkStart w:id="470" w:name="_Toc15466003"/>
      <w:bookmarkStart w:id="471" w:name="_Toc492603972"/>
      <w:bookmarkStart w:id="472" w:name="_Toc15465732"/>
      <w:r>
        <w:rPr>
          <w:rFonts w:hint="eastAsia" w:ascii="宋体" w:hAnsi="宋体" w:cs="宋体"/>
          <w:b w:val="0"/>
          <w:bCs/>
          <w:sz w:val="24"/>
          <w:highlight w:val="none"/>
        </w:rPr>
        <w:t>承包期满，如乙方在承包期内没有发生违约，乙方将承包权移交甲方后十个工作日内，甲方无息退还乙方工作质量保证金。</w:t>
      </w:r>
      <w:bookmarkEnd w:id="467"/>
      <w:bookmarkEnd w:id="468"/>
      <w:bookmarkEnd w:id="469"/>
      <w:bookmarkEnd w:id="470"/>
      <w:bookmarkEnd w:id="471"/>
      <w:bookmarkEnd w:id="472"/>
    </w:p>
    <w:p>
      <w:pPr>
        <w:pStyle w:val="28"/>
        <w:numPr>
          <w:ilvl w:val="1"/>
          <w:numId w:val="1"/>
        </w:numPr>
        <w:rPr>
          <w:rFonts w:ascii="宋体" w:hAnsi="宋体" w:cs="宋体"/>
          <w:sz w:val="24"/>
          <w:highlight w:val="none"/>
        </w:rPr>
      </w:pPr>
      <w:bookmarkStart w:id="473" w:name="_Toc15563020"/>
      <w:r>
        <w:rPr>
          <w:rFonts w:hint="eastAsia" w:ascii="宋体" w:hAnsi="宋体" w:cs="宋体"/>
          <w:sz w:val="24"/>
          <w:highlight w:val="none"/>
        </w:rPr>
        <w:t>项目提前终止补偿</w:t>
      </w:r>
      <w:bookmarkEnd w:id="473"/>
    </w:p>
    <w:p>
      <w:pPr>
        <w:ind w:left="560" w:firstLine="560"/>
        <w:rPr>
          <w:rFonts w:ascii="宋体" w:hAnsi="宋体" w:cs="宋体"/>
          <w:sz w:val="24"/>
          <w:highlight w:val="none"/>
        </w:rPr>
      </w:pPr>
      <w:r>
        <w:rPr>
          <w:rFonts w:hint="eastAsia" w:ascii="宋体" w:hAnsi="宋体" w:cs="宋体"/>
          <w:sz w:val="24"/>
          <w:highlight w:val="none"/>
        </w:rPr>
        <w:t>项目合同提前终止，美兰区人民政府指定单位应按照《政府采购服务协议》的约定接收服务单位的资产</w:t>
      </w:r>
      <w:r>
        <w:rPr>
          <w:rFonts w:hint="eastAsia" w:ascii="宋体" w:hAnsi="宋体" w:cs="宋体"/>
          <w:bCs/>
          <w:sz w:val="24"/>
          <w:highlight w:val="none"/>
        </w:rPr>
        <w:t>（经资产评估后）</w:t>
      </w:r>
      <w:r>
        <w:rPr>
          <w:rFonts w:hint="eastAsia" w:ascii="宋体" w:hAnsi="宋体" w:cs="宋体"/>
          <w:sz w:val="24"/>
          <w:highlight w:val="none"/>
        </w:rPr>
        <w:t>，支付乙方相应补偿，具体的补偿原则和补偿标准如下：</w:t>
      </w:r>
    </w:p>
    <w:tbl>
      <w:tblPr>
        <w:tblStyle w:val="16"/>
        <w:tblW w:w="87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363"/>
        <w:gridCol w:w="52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088" w:type="dxa"/>
            <w:vAlign w:val="center"/>
          </w:tcPr>
          <w:p>
            <w:pPr>
              <w:adjustRightInd w:val="0"/>
              <w:snapToGrid w:val="0"/>
              <w:spacing w:line="360" w:lineRule="exact"/>
              <w:jc w:val="center"/>
              <w:rPr>
                <w:rFonts w:ascii="宋体" w:hAnsi="宋体" w:cs="宋体"/>
                <w:b/>
                <w:sz w:val="24"/>
                <w:highlight w:val="none"/>
              </w:rPr>
            </w:pPr>
            <w:r>
              <w:rPr>
                <w:rFonts w:hint="eastAsia" w:ascii="宋体" w:hAnsi="宋体" w:cs="宋体"/>
                <w:b/>
                <w:sz w:val="24"/>
                <w:highlight w:val="none"/>
              </w:rPr>
              <w:t>项次</w:t>
            </w:r>
          </w:p>
        </w:tc>
        <w:tc>
          <w:tcPr>
            <w:tcW w:w="2363" w:type="dxa"/>
            <w:vAlign w:val="center"/>
          </w:tcPr>
          <w:p>
            <w:pPr>
              <w:adjustRightInd w:val="0"/>
              <w:snapToGrid w:val="0"/>
              <w:spacing w:line="360" w:lineRule="exact"/>
              <w:jc w:val="center"/>
              <w:rPr>
                <w:rFonts w:ascii="宋体" w:hAnsi="宋体" w:cs="宋体"/>
                <w:b/>
                <w:sz w:val="24"/>
                <w:highlight w:val="none"/>
              </w:rPr>
            </w:pPr>
            <w:r>
              <w:rPr>
                <w:rFonts w:hint="eastAsia" w:ascii="宋体" w:hAnsi="宋体" w:cs="宋体"/>
                <w:b/>
                <w:sz w:val="24"/>
                <w:highlight w:val="none"/>
              </w:rPr>
              <w:t>协议提前终止原因</w:t>
            </w:r>
          </w:p>
        </w:tc>
        <w:tc>
          <w:tcPr>
            <w:tcW w:w="5269" w:type="dxa"/>
            <w:vAlign w:val="center"/>
          </w:tcPr>
          <w:p>
            <w:pPr>
              <w:adjustRightInd w:val="0"/>
              <w:snapToGrid w:val="0"/>
              <w:spacing w:line="360" w:lineRule="exact"/>
              <w:jc w:val="center"/>
              <w:rPr>
                <w:rFonts w:ascii="宋体" w:hAnsi="宋体" w:cs="宋体"/>
                <w:b/>
                <w:sz w:val="24"/>
                <w:highlight w:val="none"/>
              </w:rPr>
            </w:pPr>
            <w:r>
              <w:rPr>
                <w:rFonts w:hint="eastAsia" w:ascii="宋体" w:hAnsi="宋体" w:cs="宋体"/>
                <w:b/>
                <w:sz w:val="24"/>
                <w:highlight w:val="none"/>
              </w:rPr>
              <w:t>终止补偿金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088"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一</w:t>
            </w:r>
          </w:p>
        </w:tc>
        <w:tc>
          <w:tcPr>
            <w:tcW w:w="2363"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服务单位违约</w:t>
            </w:r>
          </w:p>
        </w:tc>
        <w:tc>
          <w:tcPr>
            <w:tcW w:w="5269"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当季度应支付的服务费的50%和向政府购买的原有资产的价值（经资产评估后）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088"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二</w:t>
            </w:r>
          </w:p>
        </w:tc>
        <w:tc>
          <w:tcPr>
            <w:tcW w:w="2363"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区环卫局或其他政府部门违约</w:t>
            </w:r>
          </w:p>
        </w:tc>
        <w:tc>
          <w:tcPr>
            <w:tcW w:w="5269"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当季度应支付的服务费的150%和向政府购买的原有资产的价值（经资产评估后）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88"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三</w:t>
            </w:r>
          </w:p>
        </w:tc>
        <w:tc>
          <w:tcPr>
            <w:tcW w:w="2363"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不可抗力事件</w:t>
            </w:r>
          </w:p>
        </w:tc>
        <w:tc>
          <w:tcPr>
            <w:tcW w:w="5269"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向政府购买的原有资产的价值（经资产评估后）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088"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四</w:t>
            </w:r>
          </w:p>
        </w:tc>
        <w:tc>
          <w:tcPr>
            <w:tcW w:w="2363"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基于公共利益终止</w:t>
            </w:r>
          </w:p>
        </w:tc>
        <w:tc>
          <w:tcPr>
            <w:tcW w:w="5269" w:type="dxa"/>
            <w:vAlign w:val="center"/>
          </w:tcPr>
          <w:p>
            <w:pPr>
              <w:adjustRightInd w:val="0"/>
              <w:snapToGrid w:val="0"/>
              <w:spacing w:line="360" w:lineRule="exact"/>
              <w:jc w:val="center"/>
              <w:rPr>
                <w:rFonts w:ascii="宋体" w:hAnsi="宋体" w:cs="宋体"/>
                <w:bCs/>
                <w:sz w:val="24"/>
                <w:highlight w:val="none"/>
              </w:rPr>
            </w:pPr>
            <w:r>
              <w:rPr>
                <w:rFonts w:hint="eastAsia" w:ascii="宋体" w:hAnsi="宋体" w:cs="宋体"/>
                <w:bCs/>
                <w:sz w:val="24"/>
                <w:highlight w:val="none"/>
              </w:rPr>
              <w:t>向政府购买的原有资产的价值（经资产评估后）</w:t>
            </w:r>
          </w:p>
        </w:tc>
      </w:tr>
    </w:tbl>
    <w:p>
      <w:pPr>
        <w:ind w:left="560" w:firstLine="560"/>
        <w:rPr>
          <w:highlight w:val="none"/>
        </w:rPr>
      </w:pPr>
    </w:p>
    <w:p>
      <w:pPr>
        <w:pStyle w:val="28"/>
        <w:jc w:val="center"/>
        <w:rPr>
          <w:rFonts w:ascii="宋体" w:hAnsi="宋体" w:cs="宋体"/>
          <w:sz w:val="24"/>
          <w:highlight w:val="none"/>
        </w:rPr>
      </w:pPr>
      <w:bookmarkStart w:id="474" w:name="_Toc15563021"/>
      <w:r>
        <w:rPr>
          <w:rFonts w:hint="eastAsia" w:ascii="宋体" w:hAnsi="宋体" w:cs="宋体"/>
          <w:sz w:val="24"/>
          <w:highlight w:val="none"/>
        </w:rPr>
        <w:t>争议的解决</w:t>
      </w:r>
      <w:bookmarkEnd w:id="474"/>
    </w:p>
    <w:p>
      <w:pPr>
        <w:pStyle w:val="28"/>
        <w:numPr>
          <w:ilvl w:val="1"/>
          <w:numId w:val="16"/>
        </w:numPr>
        <w:rPr>
          <w:rFonts w:ascii="宋体" w:hAnsi="宋体" w:cs="宋体"/>
          <w:b w:val="0"/>
          <w:sz w:val="24"/>
          <w:highlight w:val="none"/>
        </w:rPr>
      </w:pPr>
      <w:bookmarkStart w:id="475" w:name="_Toc15563022"/>
      <w:r>
        <w:rPr>
          <w:rFonts w:hint="eastAsia" w:ascii="宋体" w:hAnsi="宋体" w:cs="宋体"/>
          <w:b w:val="0"/>
          <w:sz w:val="24"/>
          <w:highlight w:val="none"/>
        </w:rPr>
        <w:t>甲方和乙方就项目运营服务协议履行发生争议的，应当协商解决。协商达成一致的，应当签订补充协议并遵照执行。</w:t>
      </w:r>
      <w:bookmarkEnd w:id="475"/>
    </w:p>
    <w:p>
      <w:pPr>
        <w:pStyle w:val="28"/>
        <w:numPr>
          <w:ilvl w:val="1"/>
          <w:numId w:val="1"/>
        </w:numPr>
        <w:rPr>
          <w:rFonts w:ascii="宋体" w:hAnsi="宋体" w:cs="宋体"/>
          <w:sz w:val="24"/>
          <w:highlight w:val="none"/>
        </w:rPr>
      </w:pPr>
      <w:bookmarkStart w:id="476" w:name="_Toc15563023"/>
      <w:r>
        <w:rPr>
          <w:rFonts w:hint="eastAsia" w:ascii="宋体" w:hAnsi="宋体" w:cs="宋体"/>
          <w:b w:val="0"/>
          <w:sz w:val="24"/>
          <w:highlight w:val="none"/>
        </w:rPr>
        <w:t>甲方和乙方就项目运营服务协议中的专业技术问题发生争议的，可以共同聘请专家或第三方机构进行调解。调解达成一致的，应当签订补充协议并遵照执行</w:t>
      </w:r>
      <w:r>
        <w:rPr>
          <w:rFonts w:hint="eastAsia" w:ascii="宋体" w:hAnsi="宋体" w:cs="宋体"/>
          <w:sz w:val="24"/>
          <w:highlight w:val="none"/>
        </w:rPr>
        <w:t>。</w:t>
      </w:r>
      <w:bookmarkEnd w:id="476"/>
    </w:p>
    <w:p>
      <w:pPr>
        <w:pStyle w:val="28"/>
        <w:numPr>
          <w:ilvl w:val="1"/>
          <w:numId w:val="1"/>
        </w:numPr>
        <w:rPr>
          <w:rFonts w:ascii="宋体" w:hAnsi="宋体" w:cs="宋体"/>
          <w:b w:val="0"/>
          <w:sz w:val="24"/>
          <w:highlight w:val="none"/>
        </w:rPr>
      </w:pPr>
      <w:bookmarkStart w:id="477" w:name="_Toc15563024"/>
      <w:r>
        <w:rPr>
          <w:rFonts w:hint="eastAsia" w:ascii="宋体" w:hAnsi="宋体" w:cs="宋体"/>
          <w:b w:val="0"/>
          <w:sz w:val="24"/>
          <w:highlight w:val="none"/>
        </w:rPr>
        <w:t>服务单位认为行政机关作出的具体行政行为侵犯其合法权益的，有陈述、申辩的权利，并可以依法提起行政复议或者向最初作出行政行为的行政机关所在地人民法院提起行政诉讼。</w:t>
      </w:r>
      <w:bookmarkEnd w:id="477"/>
    </w:p>
    <w:p>
      <w:pPr>
        <w:pStyle w:val="28"/>
        <w:numPr>
          <w:ilvl w:val="1"/>
          <w:numId w:val="1"/>
        </w:numPr>
        <w:rPr>
          <w:rFonts w:ascii="宋体" w:hAnsi="宋体" w:cs="宋体"/>
          <w:b w:val="0"/>
          <w:sz w:val="24"/>
          <w:highlight w:val="none"/>
        </w:rPr>
      </w:pPr>
      <w:bookmarkStart w:id="478" w:name="_Toc15563025"/>
      <w:r>
        <w:rPr>
          <w:rFonts w:hint="eastAsia" w:ascii="宋体" w:hAnsi="宋体" w:cs="宋体"/>
          <w:b w:val="0"/>
          <w:sz w:val="24"/>
          <w:highlight w:val="none"/>
        </w:rPr>
        <w:t>运营服务协议存续期间发生争议，当事各方在争议解决过程中，应当继续履行运营服务协议的义务，以保证公共服务的持续性和稳定性。</w:t>
      </w:r>
      <w:bookmarkEnd w:id="478"/>
    </w:p>
    <w:p>
      <w:pPr>
        <w:pStyle w:val="28"/>
        <w:jc w:val="center"/>
        <w:rPr>
          <w:rFonts w:ascii="宋体" w:hAnsi="宋体" w:cs="宋体"/>
          <w:sz w:val="24"/>
          <w:highlight w:val="none"/>
        </w:rPr>
      </w:pPr>
      <w:bookmarkStart w:id="479" w:name="_Toc15563026"/>
      <w:r>
        <w:rPr>
          <w:rFonts w:hint="eastAsia" w:ascii="宋体" w:hAnsi="宋体" w:cs="宋体"/>
          <w:sz w:val="24"/>
          <w:highlight w:val="none"/>
        </w:rPr>
        <w:t>其他约定</w:t>
      </w:r>
      <w:bookmarkEnd w:id="479"/>
    </w:p>
    <w:p>
      <w:pPr>
        <w:pStyle w:val="28"/>
        <w:numPr>
          <w:ilvl w:val="1"/>
          <w:numId w:val="17"/>
        </w:numPr>
        <w:rPr>
          <w:rFonts w:ascii="宋体" w:hAnsi="宋体" w:cs="宋体"/>
          <w:sz w:val="24"/>
          <w:highlight w:val="none"/>
        </w:rPr>
      </w:pPr>
      <w:bookmarkStart w:id="480" w:name="_Toc15563027"/>
      <w:bookmarkStart w:id="481" w:name="_Toc15466222"/>
      <w:bookmarkStart w:id="482" w:name="_Toc15465737"/>
      <w:r>
        <w:rPr>
          <w:rFonts w:hint="eastAsia" w:ascii="宋体" w:hAnsi="宋体" w:cs="宋体"/>
          <w:sz w:val="24"/>
          <w:highlight w:val="none"/>
        </w:rPr>
        <w:t>协议生效</w:t>
      </w:r>
      <w:bookmarkEnd w:id="480"/>
      <w:bookmarkEnd w:id="481"/>
      <w:bookmarkEnd w:id="482"/>
    </w:p>
    <w:p>
      <w:pPr>
        <w:ind w:left="560" w:firstLine="560"/>
        <w:rPr>
          <w:rFonts w:ascii="宋体" w:hAnsi="宋体" w:cs="宋体"/>
          <w:sz w:val="24"/>
          <w:highlight w:val="none"/>
        </w:rPr>
      </w:pPr>
      <w:r>
        <w:rPr>
          <w:rFonts w:hint="eastAsia" w:ascii="宋体" w:hAnsi="宋体" w:cs="宋体"/>
          <w:sz w:val="24"/>
          <w:highlight w:val="none"/>
        </w:rPr>
        <w:t>本协议自双方签字并加盖公章之日起生效。</w:t>
      </w:r>
    </w:p>
    <w:p>
      <w:pPr>
        <w:pStyle w:val="28"/>
        <w:numPr>
          <w:ilvl w:val="1"/>
          <w:numId w:val="1"/>
        </w:numPr>
        <w:rPr>
          <w:rFonts w:ascii="宋体" w:hAnsi="宋体" w:cs="宋体"/>
          <w:sz w:val="24"/>
          <w:highlight w:val="none"/>
        </w:rPr>
      </w:pPr>
      <w:bookmarkStart w:id="483" w:name="_Toc15465738"/>
      <w:bookmarkStart w:id="484" w:name="_Toc15466223"/>
      <w:bookmarkStart w:id="485" w:name="_Toc15563028"/>
      <w:r>
        <w:rPr>
          <w:rFonts w:hint="eastAsia" w:ascii="宋体" w:hAnsi="宋体" w:cs="宋体"/>
          <w:sz w:val="24"/>
          <w:highlight w:val="none"/>
        </w:rPr>
        <w:t>协议文件构成及优先顺序</w:t>
      </w:r>
      <w:bookmarkEnd w:id="483"/>
      <w:bookmarkEnd w:id="484"/>
      <w:bookmarkEnd w:id="485"/>
    </w:p>
    <w:p>
      <w:pPr>
        <w:pStyle w:val="28"/>
        <w:numPr>
          <w:ilvl w:val="2"/>
          <w:numId w:val="1"/>
        </w:numPr>
        <w:rPr>
          <w:rFonts w:ascii="宋体" w:hAnsi="宋体" w:cs="宋体"/>
          <w:b w:val="0"/>
          <w:sz w:val="24"/>
          <w:highlight w:val="none"/>
        </w:rPr>
      </w:pPr>
      <w:bookmarkStart w:id="486" w:name="_Toc15465739"/>
      <w:bookmarkStart w:id="487" w:name="_Toc15466224"/>
      <w:bookmarkStart w:id="488" w:name="_Toc15563029"/>
      <w:r>
        <w:rPr>
          <w:rFonts w:hint="eastAsia" w:ascii="宋体" w:hAnsi="宋体" w:cs="宋体"/>
          <w:b w:val="0"/>
          <w:sz w:val="24"/>
          <w:highlight w:val="none"/>
        </w:rPr>
        <w:t>本协议包括全部附件，每一份附件都应被视为本协议的一部分。本协议的任何规定与本协议的附件之间有任何冲突的，应以本协议的规定为准。</w:t>
      </w:r>
      <w:bookmarkEnd w:id="486"/>
      <w:bookmarkEnd w:id="487"/>
      <w:bookmarkEnd w:id="488"/>
    </w:p>
    <w:p>
      <w:pPr>
        <w:pStyle w:val="28"/>
        <w:numPr>
          <w:ilvl w:val="2"/>
          <w:numId w:val="1"/>
        </w:numPr>
        <w:rPr>
          <w:rFonts w:ascii="宋体" w:hAnsi="宋体" w:cs="宋体"/>
          <w:b w:val="0"/>
          <w:sz w:val="24"/>
          <w:highlight w:val="none"/>
        </w:rPr>
      </w:pPr>
      <w:bookmarkStart w:id="489" w:name="_Toc15563030"/>
      <w:bookmarkStart w:id="490" w:name="_Toc15465740"/>
      <w:bookmarkStart w:id="491" w:name="_Toc15466225"/>
      <w:r>
        <w:rPr>
          <w:rFonts w:hint="eastAsia" w:ascii="宋体" w:hAnsi="宋体" w:cs="宋体"/>
          <w:b w:val="0"/>
          <w:sz w:val="24"/>
          <w:highlight w:val="none"/>
        </w:rPr>
        <w:t>本协议构成双方对项目的完全理解，取代双方以前所有的有关项目的书面和口头陈述、协议或安排。</w:t>
      </w:r>
      <w:bookmarkEnd w:id="489"/>
      <w:bookmarkEnd w:id="490"/>
      <w:bookmarkEnd w:id="491"/>
    </w:p>
    <w:p>
      <w:pPr>
        <w:pStyle w:val="28"/>
        <w:numPr>
          <w:ilvl w:val="1"/>
          <w:numId w:val="1"/>
        </w:numPr>
        <w:rPr>
          <w:rFonts w:ascii="宋体" w:hAnsi="宋体" w:cs="宋体"/>
          <w:sz w:val="24"/>
          <w:highlight w:val="none"/>
        </w:rPr>
      </w:pPr>
      <w:bookmarkStart w:id="492" w:name="_Toc15466226"/>
      <w:bookmarkStart w:id="493" w:name="_Toc15465741"/>
      <w:bookmarkStart w:id="494" w:name="_Toc15563031"/>
      <w:r>
        <w:rPr>
          <w:rFonts w:hint="eastAsia" w:ascii="宋体" w:hAnsi="宋体" w:cs="宋体"/>
          <w:sz w:val="24"/>
          <w:highlight w:val="none"/>
        </w:rPr>
        <w:t>协议的修改</w:t>
      </w:r>
      <w:bookmarkEnd w:id="492"/>
      <w:bookmarkEnd w:id="493"/>
      <w:bookmarkEnd w:id="494"/>
    </w:p>
    <w:p>
      <w:pPr>
        <w:pStyle w:val="28"/>
        <w:numPr>
          <w:ilvl w:val="2"/>
          <w:numId w:val="1"/>
        </w:numPr>
        <w:rPr>
          <w:rFonts w:ascii="宋体" w:hAnsi="宋体" w:cs="宋体"/>
          <w:b w:val="0"/>
          <w:sz w:val="24"/>
          <w:highlight w:val="none"/>
        </w:rPr>
      </w:pPr>
      <w:bookmarkStart w:id="495" w:name="_Toc15466227"/>
      <w:bookmarkStart w:id="496" w:name="_Toc15563032"/>
      <w:bookmarkStart w:id="497" w:name="_Toc15465742"/>
      <w:r>
        <w:rPr>
          <w:rFonts w:hint="eastAsia" w:ascii="宋体" w:hAnsi="宋体" w:cs="宋体"/>
          <w:b w:val="0"/>
          <w:sz w:val="24"/>
          <w:highlight w:val="none"/>
        </w:rPr>
        <w:t>本协议履行期间，双方可根据届时有效的相关法律或法规的规定，对本协议的某一部分进行修改、补充或变更；双方确认的对本协议的有效的修改、补充或变更的书面文件，均与本协议具有同等法律效力。如其内容与本协议存在冲突或矛盾的部分，以修改、补充或变更的内容为准。</w:t>
      </w:r>
      <w:bookmarkEnd w:id="495"/>
      <w:bookmarkEnd w:id="496"/>
      <w:bookmarkEnd w:id="497"/>
    </w:p>
    <w:p>
      <w:pPr>
        <w:pStyle w:val="28"/>
        <w:numPr>
          <w:ilvl w:val="2"/>
          <w:numId w:val="1"/>
        </w:numPr>
        <w:rPr>
          <w:rFonts w:ascii="宋体" w:hAnsi="宋体" w:cs="宋体"/>
          <w:b w:val="0"/>
          <w:sz w:val="24"/>
          <w:highlight w:val="none"/>
        </w:rPr>
      </w:pPr>
      <w:bookmarkStart w:id="498" w:name="_Toc15465743"/>
      <w:bookmarkStart w:id="499" w:name="_Toc15563033"/>
      <w:bookmarkStart w:id="500" w:name="_Toc15466228"/>
      <w:r>
        <w:rPr>
          <w:rFonts w:hint="eastAsia" w:ascii="宋体" w:hAnsi="宋体" w:cs="宋体"/>
          <w:b w:val="0"/>
          <w:sz w:val="24"/>
          <w:highlight w:val="none"/>
        </w:rPr>
        <w:t>本协议任何修改、补充或变更必须经双方协商一致并签字盖章后方具有法律约束力。如果根据届时有效的相关法律或法规的规定而需要政府有关部门审查批准的，则自政府有关部门审查批准之日起对甲乙双方产生约束力。</w:t>
      </w:r>
      <w:bookmarkEnd w:id="498"/>
      <w:bookmarkEnd w:id="499"/>
      <w:bookmarkEnd w:id="500"/>
    </w:p>
    <w:p>
      <w:pPr>
        <w:pStyle w:val="28"/>
        <w:numPr>
          <w:ilvl w:val="1"/>
          <w:numId w:val="1"/>
        </w:numPr>
        <w:rPr>
          <w:rFonts w:ascii="宋体" w:hAnsi="宋体" w:cs="宋体"/>
          <w:sz w:val="24"/>
          <w:highlight w:val="none"/>
        </w:rPr>
      </w:pPr>
      <w:bookmarkStart w:id="501" w:name="_Toc15466229"/>
      <w:bookmarkStart w:id="502" w:name="_Toc15465744"/>
      <w:bookmarkStart w:id="503" w:name="_Toc15563034"/>
      <w:r>
        <w:rPr>
          <w:rFonts w:hint="eastAsia" w:ascii="宋体" w:hAnsi="宋体" w:cs="宋体"/>
          <w:sz w:val="24"/>
          <w:highlight w:val="none"/>
        </w:rPr>
        <w:t>双方往来文件的权属</w:t>
      </w:r>
      <w:bookmarkEnd w:id="501"/>
      <w:bookmarkEnd w:id="502"/>
      <w:bookmarkEnd w:id="503"/>
    </w:p>
    <w:p>
      <w:pPr>
        <w:pStyle w:val="28"/>
        <w:numPr>
          <w:ilvl w:val="2"/>
          <w:numId w:val="1"/>
        </w:numPr>
        <w:rPr>
          <w:rFonts w:ascii="宋体" w:hAnsi="宋体" w:cs="宋体"/>
          <w:b w:val="0"/>
          <w:sz w:val="24"/>
          <w:highlight w:val="none"/>
        </w:rPr>
      </w:pPr>
      <w:bookmarkStart w:id="504" w:name="_Toc15465745"/>
      <w:bookmarkStart w:id="505" w:name="_Toc15466230"/>
      <w:bookmarkStart w:id="506" w:name="_Toc15563035"/>
      <w:r>
        <w:rPr>
          <w:rFonts w:hint="eastAsia" w:ascii="宋体" w:hAnsi="宋体" w:cs="宋体"/>
          <w:b w:val="0"/>
          <w:sz w:val="24"/>
          <w:highlight w:val="none"/>
        </w:rPr>
        <w:t>由甲方向乙方提供的文件和计算机程序及其他一切文件，或者主要在这些文件和计算机程序的基础上制作的文件和程序，应属于甲方的财产。这一规定适用于上述文件和计算机的程序的所有复制件。这些文件、计算机程序或其复制件只能由乙方用于项目之目的。除非甲方和乙方另有协议，否则这类文件、计算机程序或复制件应在项目承包期结束之际归还甲方。</w:t>
      </w:r>
      <w:bookmarkEnd w:id="504"/>
      <w:bookmarkEnd w:id="505"/>
      <w:bookmarkEnd w:id="506"/>
    </w:p>
    <w:p>
      <w:pPr>
        <w:pStyle w:val="30"/>
        <w:numPr>
          <w:ilvl w:val="2"/>
          <w:numId w:val="1"/>
        </w:numPr>
        <w:tabs>
          <w:tab w:val="left" w:pos="1418"/>
          <w:tab w:val="clear" w:pos="2405"/>
        </w:tabs>
        <w:autoSpaceDE w:val="0"/>
        <w:autoSpaceDN w:val="0"/>
        <w:adjustRightInd w:val="0"/>
        <w:snapToGrid w:val="0"/>
        <w:spacing w:before="120" w:beforeLines="50" w:line="440" w:lineRule="exact"/>
        <w:rPr>
          <w:rFonts w:ascii="宋体" w:hAnsi="宋体" w:cs="宋体"/>
          <w:sz w:val="24"/>
          <w:highlight w:val="none"/>
        </w:rPr>
      </w:pPr>
      <w:r>
        <w:rPr>
          <w:rFonts w:hint="eastAsia" w:ascii="宋体" w:hAnsi="宋体" w:cs="宋体"/>
          <w:sz w:val="24"/>
          <w:highlight w:val="none"/>
        </w:rPr>
        <w:t>由乙方向甲方提供的文件和计算机程序及其他文件，应属于乙方的财产。这些文件、计算机程序或其复制件只能由甲方用于项目之目的。</w:t>
      </w:r>
    </w:p>
    <w:p>
      <w:pPr>
        <w:pStyle w:val="28"/>
        <w:numPr>
          <w:ilvl w:val="1"/>
          <w:numId w:val="1"/>
        </w:numPr>
        <w:rPr>
          <w:rFonts w:ascii="宋体" w:hAnsi="宋体" w:cs="宋体"/>
          <w:sz w:val="24"/>
          <w:highlight w:val="none"/>
        </w:rPr>
      </w:pPr>
      <w:bookmarkStart w:id="507" w:name="_Toc15466231"/>
      <w:bookmarkStart w:id="508" w:name="_Toc15465746"/>
      <w:bookmarkStart w:id="509" w:name="_Toc15563036"/>
      <w:r>
        <w:rPr>
          <w:rFonts w:hint="eastAsia" w:ascii="宋体" w:hAnsi="宋体" w:cs="宋体"/>
          <w:sz w:val="24"/>
          <w:highlight w:val="none"/>
        </w:rPr>
        <w:t>保密</w:t>
      </w:r>
      <w:bookmarkEnd w:id="507"/>
      <w:bookmarkEnd w:id="508"/>
      <w:bookmarkEnd w:id="509"/>
    </w:p>
    <w:p>
      <w:pPr>
        <w:pStyle w:val="28"/>
        <w:numPr>
          <w:ilvl w:val="2"/>
          <w:numId w:val="1"/>
        </w:numPr>
        <w:rPr>
          <w:rFonts w:ascii="宋体" w:hAnsi="宋体" w:cs="宋体"/>
          <w:b w:val="0"/>
          <w:sz w:val="24"/>
          <w:highlight w:val="none"/>
        </w:rPr>
      </w:pPr>
      <w:bookmarkStart w:id="510" w:name="_Toc15465747"/>
      <w:bookmarkStart w:id="511" w:name="_Toc15563037"/>
      <w:bookmarkStart w:id="512" w:name="_Toc15466232"/>
      <w:r>
        <w:rPr>
          <w:rFonts w:hint="eastAsia" w:ascii="宋体" w:hAnsi="宋体" w:cs="宋体"/>
          <w:b w:val="0"/>
          <w:sz w:val="24"/>
          <w:highlight w:val="none"/>
        </w:rPr>
        <w:t>任何一方或其雇员、承包商、顾问或代理人获得的所有资料和文件（不论是财务、技术或其他方面），未经另一方事先书面同意，在项目终止之后的三（3）年期间不得向第三方透露或公开，但是法律要求的除外。</w:t>
      </w:r>
      <w:bookmarkEnd w:id="510"/>
      <w:bookmarkEnd w:id="511"/>
      <w:bookmarkEnd w:id="512"/>
    </w:p>
    <w:p>
      <w:pPr>
        <w:pStyle w:val="28"/>
        <w:numPr>
          <w:ilvl w:val="2"/>
          <w:numId w:val="1"/>
        </w:numPr>
        <w:rPr>
          <w:rFonts w:ascii="宋体" w:hAnsi="宋体" w:cs="宋体"/>
          <w:b w:val="0"/>
          <w:sz w:val="24"/>
          <w:highlight w:val="none"/>
        </w:rPr>
      </w:pPr>
      <w:bookmarkStart w:id="513" w:name="_Toc15466233"/>
      <w:bookmarkStart w:id="514" w:name="_Toc15563038"/>
      <w:bookmarkStart w:id="515" w:name="_Toc15465748"/>
      <w:r>
        <w:rPr>
          <w:rFonts w:hint="eastAsia" w:ascii="宋体" w:hAnsi="宋体" w:cs="宋体"/>
          <w:b w:val="0"/>
          <w:sz w:val="24"/>
          <w:highlight w:val="none"/>
        </w:rPr>
        <w:t>双方应确保各自接触到这些文件、计算机程序及其复制件的有关雇员遵守本协议相关的保密规定。</w:t>
      </w:r>
      <w:bookmarkEnd w:id="513"/>
      <w:bookmarkEnd w:id="514"/>
      <w:bookmarkEnd w:id="515"/>
    </w:p>
    <w:p>
      <w:pPr>
        <w:pStyle w:val="28"/>
        <w:numPr>
          <w:ilvl w:val="1"/>
          <w:numId w:val="1"/>
        </w:numPr>
        <w:rPr>
          <w:rFonts w:ascii="宋体" w:hAnsi="宋体" w:cs="宋体"/>
          <w:sz w:val="24"/>
          <w:highlight w:val="none"/>
        </w:rPr>
      </w:pPr>
      <w:bookmarkStart w:id="516" w:name="_Toc15465749"/>
      <w:bookmarkStart w:id="517" w:name="_Toc15466234"/>
      <w:bookmarkStart w:id="518" w:name="_Toc15563039"/>
      <w:r>
        <w:rPr>
          <w:rFonts w:hint="eastAsia" w:ascii="宋体" w:hAnsi="宋体" w:cs="宋体"/>
          <w:sz w:val="24"/>
          <w:highlight w:val="none"/>
        </w:rPr>
        <w:t>通知的送达</w:t>
      </w:r>
      <w:bookmarkEnd w:id="516"/>
      <w:bookmarkEnd w:id="517"/>
      <w:bookmarkEnd w:id="518"/>
    </w:p>
    <w:p>
      <w:pPr>
        <w:pStyle w:val="28"/>
        <w:numPr>
          <w:ilvl w:val="2"/>
          <w:numId w:val="1"/>
        </w:numPr>
        <w:rPr>
          <w:rFonts w:ascii="宋体" w:hAnsi="宋体" w:cs="宋体"/>
          <w:b w:val="0"/>
          <w:sz w:val="24"/>
          <w:highlight w:val="none"/>
        </w:rPr>
      </w:pPr>
      <w:bookmarkStart w:id="519" w:name="_Toc15465750"/>
      <w:bookmarkStart w:id="520" w:name="_Toc15563040"/>
      <w:bookmarkStart w:id="521" w:name="_Toc15466235"/>
      <w:r>
        <w:rPr>
          <w:rFonts w:hint="eastAsia" w:ascii="宋体" w:hAnsi="宋体" w:cs="宋体"/>
          <w:b w:val="0"/>
          <w:sz w:val="24"/>
          <w:highlight w:val="none"/>
        </w:rPr>
        <w:t>甲、乙双方因履行本协议而需由一方发给对方的任何通知应以书面方式发出。该通知可以专人送达、传真、特快专递或挂号方式送达的方式发出。所有的通知应送达本协议项下对方当事人的地址或该方事先通知的其他地址或传真号码（该地址或传真号码有变动的，应至少提前三日通知对方）；</w:t>
      </w:r>
      <w:bookmarkEnd w:id="519"/>
      <w:bookmarkEnd w:id="520"/>
      <w:bookmarkEnd w:id="521"/>
    </w:p>
    <w:p>
      <w:pPr>
        <w:ind w:left="560" w:firstLine="560"/>
        <w:rPr>
          <w:rFonts w:ascii="宋体" w:hAnsi="宋体" w:cs="宋体"/>
          <w:sz w:val="24"/>
          <w:highlight w:val="none"/>
        </w:rPr>
      </w:pPr>
      <w:r>
        <w:rPr>
          <w:rFonts w:hint="eastAsia" w:ascii="宋体" w:hAnsi="宋体" w:cs="宋体"/>
          <w:sz w:val="24"/>
          <w:highlight w:val="none"/>
        </w:rPr>
        <w:t>（a）甲方：海口市美兰区环境卫生管理局</w:t>
      </w:r>
    </w:p>
    <w:p>
      <w:pPr>
        <w:ind w:left="945" w:leftChars="450" w:firstLine="560"/>
        <w:rPr>
          <w:rFonts w:ascii="宋体" w:hAnsi="宋体" w:cs="宋体"/>
          <w:sz w:val="24"/>
          <w:highlight w:val="none"/>
        </w:rPr>
      </w:pPr>
      <w:r>
        <w:rPr>
          <w:rFonts w:hint="eastAsia" w:ascii="宋体" w:hAnsi="宋体" w:cs="宋体"/>
          <w:sz w:val="24"/>
          <w:highlight w:val="none"/>
        </w:rPr>
        <w:t>地址：</w:t>
      </w:r>
    </w:p>
    <w:p>
      <w:pPr>
        <w:ind w:left="945" w:leftChars="450" w:firstLine="560"/>
        <w:rPr>
          <w:rFonts w:ascii="宋体" w:hAnsi="宋体" w:cs="宋体"/>
          <w:sz w:val="24"/>
          <w:highlight w:val="none"/>
        </w:rPr>
      </w:pPr>
      <w:r>
        <w:rPr>
          <w:rFonts w:hint="eastAsia" w:ascii="宋体" w:hAnsi="宋体" w:cs="宋体"/>
          <w:sz w:val="24"/>
          <w:highlight w:val="none"/>
        </w:rPr>
        <w:t>收件人:</w:t>
      </w:r>
    </w:p>
    <w:p>
      <w:pPr>
        <w:ind w:left="945" w:leftChars="450" w:firstLine="560"/>
        <w:rPr>
          <w:rFonts w:ascii="宋体" w:hAnsi="宋体" w:cs="宋体"/>
          <w:sz w:val="24"/>
          <w:highlight w:val="none"/>
        </w:rPr>
      </w:pPr>
      <w:r>
        <w:rPr>
          <w:rFonts w:hint="eastAsia" w:ascii="宋体" w:hAnsi="宋体" w:cs="宋体"/>
          <w:sz w:val="24"/>
          <w:highlight w:val="none"/>
        </w:rPr>
        <w:t>邮编:</w:t>
      </w:r>
    </w:p>
    <w:p>
      <w:pPr>
        <w:ind w:left="945" w:leftChars="450" w:firstLine="560"/>
        <w:rPr>
          <w:rFonts w:ascii="宋体" w:hAnsi="宋体" w:cs="宋体"/>
          <w:sz w:val="24"/>
          <w:highlight w:val="none"/>
        </w:rPr>
      </w:pPr>
      <w:r>
        <w:rPr>
          <w:rFonts w:hint="eastAsia" w:ascii="宋体" w:hAnsi="宋体" w:cs="宋体"/>
          <w:sz w:val="24"/>
          <w:highlight w:val="none"/>
        </w:rPr>
        <w:t>传真：</w:t>
      </w:r>
    </w:p>
    <w:p>
      <w:pPr>
        <w:ind w:left="560" w:firstLine="560"/>
        <w:rPr>
          <w:rFonts w:ascii="宋体" w:hAnsi="宋体" w:cs="宋体"/>
          <w:sz w:val="24"/>
          <w:highlight w:val="none"/>
        </w:rPr>
      </w:pPr>
      <w:r>
        <w:rPr>
          <w:rFonts w:hint="eastAsia" w:ascii="宋体" w:hAnsi="宋体" w:cs="宋体"/>
          <w:sz w:val="24"/>
          <w:highlight w:val="none"/>
        </w:rPr>
        <w:t>（b）乙方：</w:t>
      </w:r>
    </w:p>
    <w:p>
      <w:pPr>
        <w:ind w:left="945" w:leftChars="450" w:firstLine="560"/>
        <w:rPr>
          <w:rFonts w:ascii="宋体" w:hAnsi="宋体" w:cs="宋体"/>
          <w:sz w:val="24"/>
          <w:highlight w:val="none"/>
        </w:rPr>
      </w:pPr>
      <w:r>
        <w:rPr>
          <w:rFonts w:hint="eastAsia" w:ascii="宋体" w:hAnsi="宋体" w:cs="宋体"/>
          <w:sz w:val="24"/>
          <w:highlight w:val="none"/>
        </w:rPr>
        <w:t>地址：</w:t>
      </w:r>
    </w:p>
    <w:p>
      <w:pPr>
        <w:ind w:left="945" w:leftChars="450" w:firstLine="560"/>
        <w:rPr>
          <w:rFonts w:ascii="宋体" w:hAnsi="宋体" w:cs="宋体"/>
          <w:sz w:val="24"/>
          <w:highlight w:val="none"/>
        </w:rPr>
      </w:pPr>
      <w:r>
        <w:rPr>
          <w:rFonts w:hint="eastAsia" w:ascii="宋体" w:hAnsi="宋体" w:cs="宋体"/>
          <w:sz w:val="24"/>
          <w:highlight w:val="none"/>
        </w:rPr>
        <w:t>收件人：</w:t>
      </w:r>
    </w:p>
    <w:p>
      <w:pPr>
        <w:ind w:left="945" w:leftChars="450" w:firstLine="560"/>
        <w:rPr>
          <w:rFonts w:ascii="宋体" w:hAnsi="宋体" w:cs="宋体"/>
          <w:sz w:val="24"/>
          <w:highlight w:val="none"/>
        </w:rPr>
      </w:pPr>
      <w:r>
        <w:rPr>
          <w:rFonts w:hint="eastAsia" w:ascii="宋体" w:hAnsi="宋体" w:cs="宋体"/>
          <w:sz w:val="24"/>
          <w:highlight w:val="none"/>
        </w:rPr>
        <w:t>邮编：</w:t>
      </w:r>
    </w:p>
    <w:p>
      <w:pPr>
        <w:ind w:left="945" w:leftChars="450" w:firstLine="560"/>
        <w:rPr>
          <w:rFonts w:ascii="宋体" w:hAnsi="宋体" w:cs="宋体"/>
          <w:sz w:val="24"/>
          <w:highlight w:val="none"/>
        </w:rPr>
      </w:pPr>
      <w:r>
        <w:rPr>
          <w:rFonts w:hint="eastAsia" w:ascii="宋体" w:hAnsi="宋体" w:cs="宋体"/>
          <w:sz w:val="24"/>
          <w:highlight w:val="none"/>
        </w:rPr>
        <w:t>传真：</w:t>
      </w:r>
    </w:p>
    <w:p>
      <w:pPr>
        <w:pStyle w:val="28"/>
        <w:numPr>
          <w:ilvl w:val="2"/>
          <w:numId w:val="1"/>
        </w:numPr>
        <w:rPr>
          <w:rFonts w:ascii="宋体" w:hAnsi="宋体" w:cs="宋体"/>
          <w:b w:val="0"/>
          <w:sz w:val="24"/>
          <w:highlight w:val="none"/>
        </w:rPr>
      </w:pPr>
      <w:bookmarkStart w:id="522" w:name="_Toc15465751"/>
      <w:bookmarkStart w:id="523" w:name="_Toc15563041"/>
      <w:bookmarkStart w:id="524" w:name="_Toc15466236"/>
      <w:r>
        <w:rPr>
          <w:rFonts w:hint="eastAsia" w:ascii="宋体" w:hAnsi="宋体" w:cs="宋体"/>
          <w:b w:val="0"/>
          <w:sz w:val="24"/>
          <w:highlight w:val="none"/>
        </w:rPr>
        <w:t>上述通知、要求或信息，以专人送达的，以接受方在送达回执上的签收时间为送达日；以传真方式送达的，以发送之日为送达日；以特快专递或挂号方式送达的，以接受方在相应邮寄凭证上签收之日为送达日。</w:t>
      </w:r>
      <w:bookmarkEnd w:id="522"/>
      <w:bookmarkEnd w:id="523"/>
      <w:bookmarkEnd w:id="524"/>
    </w:p>
    <w:p>
      <w:pPr>
        <w:pStyle w:val="28"/>
        <w:numPr>
          <w:ilvl w:val="2"/>
          <w:numId w:val="1"/>
        </w:numPr>
        <w:rPr>
          <w:rFonts w:ascii="宋体" w:hAnsi="宋体" w:cs="宋体"/>
          <w:b w:val="0"/>
          <w:sz w:val="24"/>
          <w:highlight w:val="none"/>
        </w:rPr>
      </w:pPr>
      <w:bookmarkStart w:id="525" w:name="_Toc15465752"/>
      <w:bookmarkStart w:id="526" w:name="_Toc15563042"/>
      <w:bookmarkStart w:id="527" w:name="_Toc15466237"/>
      <w:r>
        <w:rPr>
          <w:rFonts w:hint="eastAsia" w:ascii="宋体" w:hAnsi="宋体" w:cs="宋体"/>
          <w:b w:val="0"/>
          <w:sz w:val="24"/>
          <w:highlight w:val="none"/>
        </w:rPr>
        <w:t>在本项目承包期内，双方应各自指派一名日常事务代表，代表双方与对方进行日常事务的联系和沟通。双方应将自己的日常事务代表书面通知对方，若需变更，则应提前十（10）日将继任人书面通知对方，否则视为未变更。</w:t>
      </w:r>
      <w:bookmarkEnd w:id="525"/>
      <w:bookmarkEnd w:id="526"/>
      <w:bookmarkEnd w:id="527"/>
    </w:p>
    <w:p>
      <w:pPr>
        <w:pStyle w:val="28"/>
        <w:numPr>
          <w:ilvl w:val="1"/>
          <w:numId w:val="1"/>
        </w:numPr>
        <w:rPr>
          <w:rFonts w:ascii="宋体" w:hAnsi="宋体" w:cs="宋体"/>
          <w:sz w:val="24"/>
          <w:highlight w:val="none"/>
        </w:rPr>
      </w:pPr>
      <w:bookmarkStart w:id="528" w:name="_Toc15465753"/>
      <w:bookmarkStart w:id="529" w:name="_Toc15466238"/>
      <w:bookmarkStart w:id="530" w:name="_Toc15563043"/>
      <w:r>
        <w:rPr>
          <w:rFonts w:hint="eastAsia" w:ascii="宋体" w:hAnsi="宋体" w:cs="宋体"/>
          <w:sz w:val="24"/>
          <w:highlight w:val="none"/>
        </w:rPr>
        <w:t>不弃权</w:t>
      </w:r>
      <w:bookmarkEnd w:id="528"/>
      <w:bookmarkEnd w:id="529"/>
      <w:bookmarkEnd w:id="530"/>
    </w:p>
    <w:p>
      <w:pPr>
        <w:ind w:left="560" w:firstLine="560"/>
        <w:rPr>
          <w:rFonts w:ascii="宋体" w:hAnsi="宋体" w:cs="宋体"/>
          <w:sz w:val="24"/>
          <w:highlight w:val="none"/>
        </w:rPr>
      </w:pPr>
      <w:r>
        <w:rPr>
          <w:rFonts w:hint="eastAsia" w:ascii="宋体" w:hAnsi="宋体" w:cs="宋体"/>
          <w:sz w:val="24"/>
          <w:highlight w:val="none"/>
        </w:rPr>
        <w:t>除非另有规定，一方未行使或迟延行使本协议项下的权利、权力或特权并不构成放弃这些权利、权力和特权，而单一或部分行使这些权利、权力和特权并不排斥行使任何其他权利、权力和特权。</w:t>
      </w:r>
    </w:p>
    <w:p>
      <w:pPr>
        <w:pStyle w:val="28"/>
        <w:numPr>
          <w:ilvl w:val="1"/>
          <w:numId w:val="1"/>
        </w:numPr>
        <w:rPr>
          <w:rFonts w:ascii="宋体" w:hAnsi="宋体" w:cs="宋体"/>
          <w:sz w:val="24"/>
          <w:highlight w:val="none"/>
        </w:rPr>
      </w:pPr>
      <w:bookmarkStart w:id="531" w:name="_Toc15563044"/>
      <w:bookmarkStart w:id="532" w:name="_Toc15465754"/>
      <w:bookmarkStart w:id="533" w:name="_Toc15466239"/>
      <w:r>
        <w:rPr>
          <w:rFonts w:hint="eastAsia" w:ascii="宋体" w:hAnsi="宋体" w:cs="宋体"/>
          <w:sz w:val="24"/>
          <w:highlight w:val="none"/>
        </w:rPr>
        <w:t>可分割性</w:t>
      </w:r>
      <w:bookmarkEnd w:id="531"/>
      <w:bookmarkEnd w:id="532"/>
      <w:bookmarkEnd w:id="533"/>
    </w:p>
    <w:p>
      <w:pPr>
        <w:ind w:left="560" w:firstLine="560"/>
        <w:rPr>
          <w:rFonts w:ascii="宋体" w:hAnsi="宋体" w:cs="宋体"/>
          <w:sz w:val="24"/>
          <w:highlight w:val="none"/>
        </w:rPr>
      </w:pPr>
      <w:r>
        <w:rPr>
          <w:rFonts w:hint="eastAsia" w:ascii="宋体" w:hAnsi="宋体" w:cs="宋体"/>
          <w:sz w:val="24"/>
          <w:highlight w:val="none"/>
        </w:rPr>
        <w:t>本协议任何一条款非法、无效或被撤销，并不影响本协议其他条款的有效性及可强制执行性。</w:t>
      </w:r>
    </w:p>
    <w:p>
      <w:pPr>
        <w:pStyle w:val="28"/>
        <w:numPr>
          <w:ilvl w:val="1"/>
          <w:numId w:val="1"/>
        </w:numPr>
        <w:rPr>
          <w:rFonts w:ascii="宋体" w:hAnsi="宋体" w:cs="宋体"/>
          <w:sz w:val="24"/>
          <w:highlight w:val="none"/>
        </w:rPr>
      </w:pPr>
      <w:bookmarkStart w:id="534" w:name="_Toc15466240"/>
      <w:bookmarkStart w:id="535" w:name="_Toc15465755"/>
      <w:bookmarkStart w:id="536" w:name="_Toc15563045"/>
      <w:r>
        <w:rPr>
          <w:rFonts w:hint="eastAsia" w:ascii="宋体" w:hAnsi="宋体" w:cs="宋体"/>
          <w:sz w:val="24"/>
          <w:highlight w:val="none"/>
        </w:rPr>
        <w:t>信息披露</w:t>
      </w:r>
      <w:bookmarkEnd w:id="534"/>
      <w:bookmarkEnd w:id="535"/>
      <w:bookmarkEnd w:id="536"/>
    </w:p>
    <w:p>
      <w:pPr>
        <w:ind w:left="560" w:firstLine="560"/>
        <w:rPr>
          <w:rFonts w:ascii="宋体" w:hAnsi="宋体" w:cs="宋体"/>
          <w:sz w:val="24"/>
          <w:highlight w:val="none"/>
        </w:rPr>
      </w:pPr>
      <w:r>
        <w:rPr>
          <w:rFonts w:hint="eastAsia" w:ascii="宋体" w:hAnsi="宋体" w:cs="宋体"/>
          <w:sz w:val="24"/>
          <w:highlight w:val="none"/>
        </w:rPr>
        <w:t>为维护公共利益、促进依法行政、提高项目透明度，协议各方有义务按照法律法规和本协议约定，向对方或社会披露法律法规要求披露的信息。</w:t>
      </w:r>
    </w:p>
    <w:p>
      <w:pPr>
        <w:pStyle w:val="28"/>
        <w:numPr>
          <w:ilvl w:val="1"/>
          <w:numId w:val="1"/>
        </w:numPr>
        <w:rPr>
          <w:rFonts w:ascii="宋体" w:hAnsi="宋体" w:cs="宋体"/>
          <w:sz w:val="24"/>
          <w:highlight w:val="none"/>
        </w:rPr>
      </w:pPr>
      <w:bookmarkStart w:id="537" w:name="_Toc15466241"/>
      <w:bookmarkStart w:id="538" w:name="_Toc15465756"/>
      <w:bookmarkStart w:id="539" w:name="_Toc15563046"/>
      <w:r>
        <w:rPr>
          <w:rFonts w:hint="eastAsia" w:ascii="宋体" w:hAnsi="宋体" w:cs="宋体"/>
          <w:sz w:val="24"/>
          <w:highlight w:val="none"/>
        </w:rPr>
        <w:t>协议份数</w:t>
      </w:r>
      <w:bookmarkEnd w:id="537"/>
      <w:bookmarkEnd w:id="538"/>
      <w:bookmarkEnd w:id="539"/>
    </w:p>
    <w:p>
      <w:pPr>
        <w:ind w:left="560" w:firstLine="560"/>
        <w:rPr>
          <w:rFonts w:ascii="宋体" w:hAnsi="宋体" w:cs="宋体"/>
          <w:sz w:val="24"/>
          <w:highlight w:val="none"/>
        </w:rPr>
      </w:pPr>
      <w:r>
        <w:rPr>
          <w:rFonts w:hint="eastAsia" w:ascii="宋体" w:hAnsi="宋体" w:cs="宋体"/>
          <w:sz w:val="24"/>
          <w:highlight w:val="none"/>
        </w:rPr>
        <w:t>本协议一式玖（九）份，甲乙双方各执叁（三）份，其余份数用于办理相关审批、核准、备案、登记或其他手续。各份具有同等法律效力。</w:t>
      </w:r>
    </w:p>
    <w:p>
      <w:pPr>
        <w:ind w:left="560" w:firstLine="560"/>
        <w:rPr>
          <w:rFonts w:ascii="宋体" w:hAnsi="宋体" w:cs="宋体"/>
          <w:sz w:val="24"/>
          <w:highlight w:val="none"/>
        </w:rPr>
      </w:pPr>
      <w:r>
        <w:rPr>
          <w:rFonts w:hint="eastAsia" w:ascii="宋体" w:hAnsi="宋体" w:cs="宋体"/>
          <w:sz w:val="24"/>
          <w:highlight w:val="none"/>
        </w:rPr>
        <w:t xml:space="preserve">       （以下无正文，为签署页）</w:t>
      </w:r>
    </w:p>
    <w:p>
      <w:pPr>
        <w:widowControl/>
        <w:jc w:val="left"/>
        <w:rPr>
          <w:rFonts w:ascii="宋体" w:hAnsi="宋体" w:cs="宋体"/>
          <w:sz w:val="24"/>
          <w:highlight w:val="none"/>
        </w:rPr>
      </w:pPr>
      <w:r>
        <w:rPr>
          <w:rFonts w:hint="eastAsia" w:ascii="宋体" w:hAnsi="宋体" w:cs="宋体"/>
          <w:sz w:val="24"/>
          <w:highlight w:val="none"/>
        </w:rPr>
        <w:br w:type="page"/>
      </w:r>
    </w:p>
    <w:p>
      <w:pPr>
        <w:snapToGrid w:val="0"/>
        <w:spacing w:before="50" w:line="440" w:lineRule="exact"/>
        <w:rPr>
          <w:rFonts w:ascii="宋体" w:hAnsi="宋体" w:cs="宋体"/>
          <w:sz w:val="24"/>
          <w:highlight w:val="none"/>
        </w:rPr>
      </w:pPr>
      <w:r>
        <w:rPr>
          <w:rFonts w:hint="eastAsia" w:ascii="宋体" w:hAnsi="宋体" w:cs="宋体"/>
          <w:sz w:val="24"/>
          <w:highlight w:val="none"/>
        </w:rPr>
        <w:t>（本页无正文，为《</w:t>
      </w:r>
      <w:r>
        <w:rPr>
          <w:rFonts w:hint="eastAsia" w:ascii="宋体" w:hAnsi="宋体" w:cs="宋体"/>
          <w:bCs/>
          <w:sz w:val="24"/>
          <w:highlight w:val="none"/>
        </w:rPr>
        <w:t>海口市美兰区乡镇环卫一体化项目服务协议</w:t>
      </w:r>
      <w:r>
        <w:rPr>
          <w:rFonts w:hint="eastAsia" w:ascii="宋体" w:hAnsi="宋体" w:cs="宋体"/>
          <w:sz w:val="24"/>
          <w:highlight w:val="none"/>
        </w:rPr>
        <w:t>》之签署页）</w:t>
      </w:r>
    </w:p>
    <w:p>
      <w:pPr>
        <w:snapToGrid w:val="0"/>
        <w:spacing w:before="50" w:line="440" w:lineRule="exact"/>
        <w:rPr>
          <w:rFonts w:ascii="仿宋" w:hAnsi="仿宋" w:eastAsia="仿宋"/>
          <w:szCs w:val="28"/>
          <w:highlight w:val="none"/>
        </w:rPr>
      </w:pPr>
    </w:p>
    <w:p>
      <w:pPr>
        <w:spacing w:before="120" w:beforeLines="50" w:line="440" w:lineRule="exact"/>
        <w:rPr>
          <w:rFonts w:ascii="仿宋" w:hAnsi="仿宋" w:eastAsia="仿宋"/>
          <w:szCs w:val="28"/>
          <w:highlight w:val="none"/>
        </w:rPr>
      </w:pPr>
    </w:p>
    <w:tbl>
      <w:tblPr>
        <w:tblStyle w:val="16"/>
        <w:tblW w:w="9149" w:type="dxa"/>
        <w:jc w:val="center"/>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574"/>
        <w:gridCol w:w="457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574" w:type="dxa"/>
          </w:tcPr>
          <w:p>
            <w:pPr>
              <w:snapToGrid w:val="0"/>
              <w:spacing w:line="440" w:lineRule="exact"/>
              <w:rPr>
                <w:rFonts w:ascii="宋体" w:hAnsi="宋体" w:cs="宋体"/>
                <w:bCs/>
                <w:sz w:val="24"/>
                <w:highlight w:val="none"/>
              </w:rPr>
            </w:pPr>
            <w:r>
              <w:rPr>
                <w:rFonts w:hint="eastAsia" w:ascii="宋体" w:hAnsi="宋体" w:cs="宋体"/>
                <w:bCs/>
                <w:sz w:val="24"/>
                <w:highlight w:val="none"/>
              </w:rPr>
              <w:t>甲方：海口市美兰区环境卫生管理局</w:t>
            </w:r>
          </w:p>
          <w:p>
            <w:pPr>
              <w:snapToGrid w:val="0"/>
              <w:spacing w:line="440" w:lineRule="exact"/>
              <w:rPr>
                <w:rFonts w:ascii="宋体" w:hAnsi="宋体" w:cs="宋体"/>
                <w:bCs/>
                <w:sz w:val="24"/>
                <w:highlight w:val="none"/>
              </w:rPr>
            </w:pPr>
            <w:r>
              <w:rPr>
                <w:rFonts w:hint="eastAsia" w:ascii="宋体" w:hAnsi="宋体" w:cs="宋体"/>
                <w:bCs/>
                <w:sz w:val="24"/>
                <w:highlight w:val="none"/>
              </w:rPr>
              <w:t>（公章）</w:t>
            </w:r>
          </w:p>
          <w:p>
            <w:pPr>
              <w:snapToGrid w:val="0"/>
              <w:spacing w:line="440" w:lineRule="exact"/>
              <w:rPr>
                <w:rFonts w:ascii="宋体" w:hAnsi="宋体" w:cs="宋体"/>
                <w:bCs/>
                <w:sz w:val="24"/>
                <w:highlight w:val="none"/>
              </w:rPr>
            </w:pPr>
          </w:p>
        </w:tc>
        <w:tc>
          <w:tcPr>
            <w:tcW w:w="4575" w:type="dxa"/>
          </w:tcPr>
          <w:p>
            <w:pPr>
              <w:snapToGrid w:val="0"/>
              <w:spacing w:line="440" w:lineRule="exact"/>
              <w:rPr>
                <w:rFonts w:ascii="宋体" w:hAnsi="宋体" w:cs="宋体"/>
                <w:bCs/>
                <w:sz w:val="24"/>
                <w:highlight w:val="none"/>
              </w:rPr>
            </w:pPr>
            <w:r>
              <w:rPr>
                <w:rFonts w:hint="eastAsia" w:ascii="宋体" w:hAnsi="宋体" w:cs="宋体"/>
                <w:bCs/>
                <w:sz w:val="24"/>
                <w:highlight w:val="none"/>
              </w:rPr>
              <w:t xml:space="preserve">乙方： </w:t>
            </w:r>
          </w:p>
          <w:p>
            <w:pPr>
              <w:snapToGrid w:val="0"/>
              <w:spacing w:line="440" w:lineRule="exact"/>
              <w:rPr>
                <w:rFonts w:ascii="宋体" w:hAnsi="宋体" w:cs="宋体"/>
                <w:bCs/>
                <w:sz w:val="24"/>
                <w:highlight w:val="none"/>
              </w:rPr>
            </w:pPr>
            <w:r>
              <w:rPr>
                <w:rFonts w:hint="eastAsia" w:ascii="宋体" w:hAnsi="宋体" w:cs="宋体"/>
                <w:bCs/>
                <w:sz w:val="24"/>
                <w:highlight w:val="none"/>
              </w:rPr>
              <w:t>（公章）</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574" w:type="dxa"/>
          </w:tcPr>
          <w:p>
            <w:pPr>
              <w:snapToGrid w:val="0"/>
              <w:spacing w:line="440" w:lineRule="exact"/>
              <w:rPr>
                <w:rFonts w:ascii="宋体" w:hAnsi="宋体" w:cs="宋体"/>
                <w:bCs/>
                <w:sz w:val="24"/>
                <w:highlight w:val="none"/>
              </w:rPr>
            </w:pPr>
            <w:r>
              <w:rPr>
                <w:rFonts w:hint="eastAsia" w:ascii="宋体" w:hAnsi="宋体" w:cs="宋体"/>
                <w:bCs/>
                <w:sz w:val="24"/>
                <w:highlight w:val="none"/>
              </w:rPr>
              <w:t>法定代表人/授权代表（签字）:</w:t>
            </w:r>
          </w:p>
          <w:p>
            <w:pPr>
              <w:snapToGrid w:val="0"/>
              <w:spacing w:line="440" w:lineRule="exact"/>
              <w:rPr>
                <w:rFonts w:ascii="宋体" w:hAnsi="宋体" w:cs="宋体"/>
                <w:bCs/>
                <w:sz w:val="24"/>
                <w:highlight w:val="none"/>
              </w:rPr>
            </w:pPr>
          </w:p>
          <w:p>
            <w:pPr>
              <w:snapToGrid w:val="0"/>
              <w:spacing w:line="440" w:lineRule="exact"/>
              <w:rPr>
                <w:rFonts w:ascii="宋体" w:hAnsi="宋体" w:cs="宋体"/>
                <w:bCs/>
                <w:sz w:val="24"/>
                <w:highlight w:val="none"/>
              </w:rPr>
            </w:pPr>
            <w:r>
              <w:rPr>
                <w:rFonts w:hint="eastAsia" w:ascii="宋体" w:hAnsi="宋体" w:cs="宋体"/>
                <w:bCs/>
                <w:sz w:val="24"/>
                <w:highlight w:val="none"/>
              </w:rPr>
              <w:t>职务：</w:t>
            </w:r>
          </w:p>
          <w:p>
            <w:pPr>
              <w:snapToGrid w:val="0"/>
              <w:spacing w:line="440" w:lineRule="exact"/>
              <w:rPr>
                <w:rFonts w:ascii="宋体" w:hAnsi="宋体" w:cs="宋体"/>
                <w:bCs/>
                <w:sz w:val="24"/>
                <w:highlight w:val="none"/>
              </w:rPr>
            </w:pPr>
          </w:p>
          <w:p>
            <w:pPr>
              <w:snapToGrid w:val="0"/>
              <w:spacing w:line="440" w:lineRule="exact"/>
              <w:rPr>
                <w:rFonts w:ascii="宋体" w:hAnsi="宋体" w:cs="宋体"/>
                <w:bCs/>
                <w:sz w:val="24"/>
                <w:highlight w:val="none"/>
              </w:rPr>
            </w:pPr>
            <w:r>
              <w:rPr>
                <w:rFonts w:hint="eastAsia" w:ascii="宋体" w:hAnsi="宋体" w:cs="宋体"/>
                <w:bCs/>
                <w:sz w:val="24"/>
                <w:highlight w:val="none"/>
              </w:rPr>
              <w:t>联系方式：</w:t>
            </w:r>
          </w:p>
        </w:tc>
        <w:tc>
          <w:tcPr>
            <w:tcW w:w="4575" w:type="dxa"/>
          </w:tcPr>
          <w:p>
            <w:pPr>
              <w:snapToGrid w:val="0"/>
              <w:spacing w:line="440" w:lineRule="exact"/>
              <w:rPr>
                <w:rFonts w:ascii="宋体" w:hAnsi="宋体" w:cs="宋体"/>
                <w:bCs/>
                <w:sz w:val="24"/>
                <w:highlight w:val="none"/>
              </w:rPr>
            </w:pPr>
            <w:r>
              <w:rPr>
                <w:rFonts w:hint="eastAsia" w:ascii="宋体" w:hAnsi="宋体" w:cs="宋体"/>
                <w:bCs/>
                <w:sz w:val="24"/>
                <w:highlight w:val="none"/>
              </w:rPr>
              <w:t>法定代表人/授权代表（签字）:</w:t>
            </w:r>
          </w:p>
          <w:p>
            <w:pPr>
              <w:snapToGrid w:val="0"/>
              <w:spacing w:line="440" w:lineRule="exact"/>
              <w:rPr>
                <w:rFonts w:ascii="宋体" w:hAnsi="宋体" w:cs="宋体"/>
                <w:bCs/>
                <w:sz w:val="24"/>
                <w:highlight w:val="none"/>
              </w:rPr>
            </w:pPr>
          </w:p>
          <w:p>
            <w:pPr>
              <w:snapToGrid w:val="0"/>
              <w:spacing w:line="440" w:lineRule="exact"/>
              <w:rPr>
                <w:rFonts w:ascii="宋体" w:hAnsi="宋体" w:cs="宋体"/>
                <w:bCs/>
                <w:sz w:val="24"/>
                <w:highlight w:val="none"/>
              </w:rPr>
            </w:pPr>
            <w:r>
              <w:rPr>
                <w:rFonts w:hint="eastAsia" w:ascii="宋体" w:hAnsi="宋体" w:cs="宋体"/>
                <w:bCs/>
                <w:sz w:val="24"/>
                <w:highlight w:val="none"/>
              </w:rPr>
              <w:t>职务：</w:t>
            </w:r>
          </w:p>
          <w:p>
            <w:pPr>
              <w:snapToGrid w:val="0"/>
              <w:spacing w:line="440" w:lineRule="exact"/>
              <w:rPr>
                <w:rFonts w:ascii="宋体" w:hAnsi="宋体" w:cs="宋体"/>
                <w:bCs/>
                <w:sz w:val="24"/>
                <w:highlight w:val="none"/>
              </w:rPr>
            </w:pPr>
          </w:p>
          <w:p>
            <w:pPr>
              <w:snapToGrid w:val="0"/>
              <w:spacing w:line="440" w:lineRule="exact"/>
              <w:rPr>
                <w:rFonts w:ascii="宋体" w:hAnsi="宋体" w:cs="宋体"/>
                <w:bCs/>
                <w:sz w:val="24"/>
                <w:highlight w:val="none"/>
              </w:rPr>
            </w:pPr>
            <w:r>
              <w:rPr>
                <w:rFonts w:hint="eastAsia" w:ascii="宋体" w:hAnsi="宋体" w:cs="宋体"/>
                <w:bCs/>
                <w:sz w:val="24"/>
                <w:highlight w:val="none"/>
              </w:rPr>
              <w:t>联系方式：</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574" w:type="dxa"/>
          </w:tcPr>
          <w:p>
            <w:pPr>
              <w:snapToGrid w:val="0"/>
              <w:spacing w:line="440" w:lineRule="exact"/>
              <w:rPr>
                <w:rFonts w:ascii="宋体" w:hAnsi="宋体" w:cs="宋体"/>
                <w:bCs/>
                <w:sz w:val="24"/>
                <w:highlight w:val="none"/>
              </w:rPr>
            </w:pPr>
          </w:p>
        </w:tc>
        <w:tc>
          <w:tcPr>
            <w:tcW w:w="4575" w:type="dxa"/>
          </w:tcPr>
          <w:p>
            <w:pPr>
              <w:snapToGrid w:val="0"/>
              <w:spacing w:line="440" w:lineRule="exact"/>
              <w:rPr>
                <w:rFonts w:ascii="宋体" w:hAnsi="宋体" w:cs="宋体"/>
                <w:bCs/>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jc w:val="center"/>
        </w:trPr>
        <w:tc>
          <w:tcPr>
            <w:tcW w:w="4574" w:type="dxa"/>
          </w:tcPr>
          <w:p>
            <w:pPr>
              <w:snapToGrid w:val="0"/>
              <w:spacing w:line="440" w:lineRule="exact"/>
              <w:rPr>
                <w:rFonts w:ascii="宋体" w:hAnsi="宋体" w:cs="宋体"/>
                <w:b/>
                <w:bCs/>
                <w:sz w:val="24"/>
                <w:highlight w:val="none"/>
              </w:rPr>
            </w:pPr>
          </w:p>
          <w:p>
            <w:pPr>
              <w:snapToGrid w:val="0"/>
              <w:spacing w:line="440" w:lineRule="exact"/>
              <w:rPr>
                <w:rFonts w:ascii="宋体" w:hAnsi="宋体" w:cs="宋体"/>
                <w:b/>
                <w:bCs/>
                <w:sz w:val="24"/>
                <w:highlight w:val="none"/>
              </w:rPr>
            </w:pPr>
          </w:p>
          <w:p>
            <w:pPr>
              <w:snapToGrid w:val="0"/>
              <w:spacing w:line="440" w:lineRule="exact"/>
              <w:rPr>
                <w:rFonts w:ascii="宋体" w:hAnsi="宋体" w:cs="宋体"/>
                <w:b/>
                <w:bCs/>
                <w:sz w:val="24"/>
                <w:highlight w:val="none"/>
              </w:rPr>
            </w:pPr>
          </w:p>
          <w:p>
            <w:pPr>
              <w:snapToGrid w:val="0"/>
              <w:spacing w:line="440" w:lineRule="exact"/>
              <w:rPr>
                <w:rFonts w:ascii="宋体" w:hAnsi="宋体" w:cs="宋体"/>
                <w:b/>
                <w:bCs/>
                <w:sz w:val="24"/>
                <w:highlight w:val="none"/>
              </w:rPr>
            </w:pPr>
          </w:p>
        </w:tc>
        <w:tc>
          <w:tcPr>
            <w:tcW w:w="4575" w:type="dxa"/>
          </w:tcPr>
          <w:p>
            <w:pPr>
              <w:snapToGrid w:val="0"/>
              <w:spacing w:line="440" w:lineRule="exact"/>
              <w:rPr>
                <w:rFonts w:ascii="宋体" w:hAnsi="宋体" w:cs="宋体"/>
                <w:b/>
                <w:bCs/>
                <w:sz w:val="24"/>
                <w:highlight w:val="none"/>
              </w:rPr>
            </w:pPr>
          </w:p>
          <w:p>
            <w:pPr>
              <w:snapToGrid w:val="0"/>
              <w:spacing w:line="440" w:lineRule="exact"/>
              <w:rPr>
                <w:rFonts w:ascii="宋体" w:hAnsi="宋体" w:cs="宋体"/>
                <w:b/>
                <w:bCs/>
                <w:sz w:val="24"/>
                <w:highlight w:val="none"/>
              </w:rPr>
            </w:pPr>
          </w:p>
        </w:tc>
      </w:tr>
    </w:tbl>
    <w:p>
      <w:pPr>
        <w:spacing w:before="120" w:line="440" w:lineRule="exact"/>
        <w:rPr>
          <w:rFonts w:ascii="宋体" w:hAnsi="宋体" w:cs="宋体"/>
          <w:sz w:val="24"/>
          <w:highlight w:val="none"/>
        </w:rPr>
      </w:pPr>
      <w:r>
        <w:rPr>
          <w:rFonts w:hint="eastAsia" w:ascii="宋体" w:hAnsi="宋体" w:cs="宋体"/>
          <w:sz w:val="24"/>
          <w:highlight w:val="none"/>
        </w:rPr>
        <w:t>签约地点：中国海南省海口市</w:t>
      </w:r>
    </w:p>
    <w:p>
      <w:pPr>
        <w:spacing w:before="120" w:line="440" w:lineRule="exact"/>
        <w:rPr>
          <w:rFonts w:ascii="宋体" w:hAnsi="宋体" w:cs="宋体"/>
          <w:bCs/>
          <w:sz w:val="24"/>
          <w:highlight w:val="none"/>
        </w:rPr>
        <w:sectPr>
          <w:footerReference r:id="rId11" w:type="first"/>
          <w:footerReference r:id="rId10" w:type="default"/>
          <w:pgSz w:w="11907" w:h="16860"/>
          <w:pgMar w:top="1440" w:right="1800" w:bottom="1440" w:left="1800" w:header="1134" w:footer="680" w:gutter="0"/>
          <w:cols w:space="720" w:num="1"/>
          <w:titlePg/>
          <w:docGrid w:linePitch="326" w:charSpace="0"/>
        </w:sectPr>
      </w:pPr>
      <w:r>
        <w:rPr>
          <w:rFonts w:hint="eastAsia" w:ascii="宋体" w:hAnsi="宋体" w:cs="宋体"/>
          <w:sz w:val="24"/>
          <w:highlight w:val="none"/>
        </w:rPr>
        <w:t xml:space="preserve">签约时间：      </w:t>
      </w:r>
      <w:r>
        <w:rPr>
          <w:rFonts w:hint="eastAsia" w:ascii="宋体" w:hAnsi="宋体" w:cs="宋体"/>
          <w:bCs/>
          <w:sz w:val="24"/>
          <w:highlight w:val="none"/>
        </w:rPr>
        <w:t>年    月    日</w:t>
      </w:r>
    </w:p>
    <w:p>
      <w:pPr>
        <w:pStyle w:val="28"/>
        <w:numPr>
          <w:ilvl w:val="0"/>
          <w:numId w:val="0"/>
        </w:numPr>
        <w:jc w:val="center"/>
        <w:rPr>
          <w:rFonts w:ascii="宋体" w:hAnsi="宋体" w:cs="宋体"/>
          <w:sz w:val="24"/>
          <w:highlight w:val="none"/>
        </w:rPr>
      </w:pPr>
      <w:bookmarkStart w:id="540" w:name="_Toc15563047"/>
      <w:r>
        <w:rPr>
          <w:rFonts w:hint="eastAsia" w:ascii="宋体" w:hAnsi="宋体" w:cs="宋体"/>
          <w:sz w:val="24"/>
          <w:highlight w:val="none"/>
        </w:rPr>
        <w:t>附件一：海口市美兰区乡镇环卫一体化绩效考核标准</w:t>
      </w:r>
      <w:bookmarkEnd w:id="540"/>
    </w:p>
    <w:p>
      <w:pPr>
        <w:pStyle w:val="7"/>
        <w:ind w:firstLine="480"/>
        <w:rPr>
          <w:rFonts w:ascii="宋体" w:hAnsi="宋体" w:cs="宋体"/>
          <w:bCs/>
          <w:color w:val="434343"/>
          <w:sz w:val="24"/>
          <w:highlight w:val="none"/>
        </w:rPr>
      </w:pPr>
    </w:p>
    <w:p>
      <w:pPr>
        <w:pStyle w:val="7"/>
        <w:spacing w:line="360" w:lineRule="auto"/>
        <w:ind w:firstLine="480"/>
        <w:rPr>
          <w:rFonts w:ascii="宋体" w:hAnsi="宋体" w:cs="宋体"/>
          <w:bCs/>
          <w:sz w:val="24"/>
          <w:highlight w:val="none"/>
        </w:rPr>
      </w:pPr>
      <w:r>
        <w:rPr>
          <w:rFonts w:hint="eastAsia" w:ascii="宋体" w:hAnsi="宋体" w:cs="宋体"/>
          <w:bCs/>
          <w:color w:val="434343"/>
          <w:sz w:val="24"/>
          <w:highlight w:val="none"/>
        </w:rPr>
        <w:t>绩效考核指根据设定的绩效目标，运用科学合理的绩效评价指标和评价方法，对预算支出的经济性、效率性、效益性等进行客观、公正的评价。</w:t>
      </w:r>
      <w:r>
        <w:rPr>
          <w:rFonts w:hint="eastAsia" w:ascii="宋体" w:hAnsi="宋体" w:cs="宋体"/>
          <w:bCs/>
          <w:sz w:val="24"/>
          <w:highlight w:val="none"/>
        </w:rPr>
        <w:t>定期</w:t>
      </w:r>
      <w:r>
        <w:rPr>
          <w:rFonts w:hint="eastAsia" w:ascii="宋体" w:hAnsi="宋体" w:cs="宋体"/>
          <w:bCs/>
          <w:color w:val="434343"/>
          <w:sz w:val="24"/>
          <w:highlight w:val="none"/>
        </w:rPr>
        <w:t>开展项目绩效评价，有利于改善政府支出绩效，提高政府资金使用效率，降低政府参与</w:t>
      </w:r>
      <w:r>
        <w:rPr>
          <w:rFonts w:hint="eastAsia" w:ascii="宋体" w:hAnsi="宋体" w:cs="宋体"/>
          <w:bCs/>
          <w:sz w:val="24"/>
          <w:highlight w:val="none"/>
        </w:rPr>
        <w:t>本项目</w:t>
      </w:r>
      <w:r>
        <w:rPr>
          <w:rFonts w:hint="eastAsia" w:ascii="宋体" w:hAnsi="宋体" w:cs="宋体"/>
          <w:bCs/>
          <w:color w:val="434343"/>
          <w:sz w:val="24"/>
          <w:highlight w:val="none"/>
        </w:rPr>
        <w:t>中因信息不对称所造成的风险损失，</w:t>
      </w:r>
      <w:r>
        <w:rPr>
          <w:rFonts w:hint="eastAsia" w:ascii="宋体" w:hAnsi="宋体" w:cs="宋体"/>
          <w:bCs/>
          <w:sz w:val="24"/>
          <w:highlight w:val="none"/>
        </w:rPr>
        <w:t>提高服务单位的服务质量。</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（一）考核范围</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本项目服务合同规定的全部环境卫生服务作业内容。</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（二）考核主体</w:t>
      </w:r>
    </w:p>
    <w:p>
      <w:pPr>
        <w:widowControl/>
        <w:spacing w:line="360" w:lineRule="auto"/>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由美兰区综合行政执法局（含区环境卫生管理局）牵头，协调组织区农业农村局与各镇政府共同组成考核小组，负责组织实施本项目环境卫生作业质量检查考评工作。</w:t>
      </w:r>
    </w:p>
    <w:p>
      <w:pPr>
        <w:pStyle w:val="7"/>
        <w:ind w:firstLine="480"/>
        <w:rPr>
          <w:rFonts w:ascii="宋体" w:hAnsi="宋体" w:cs="宋体"/>
          <w:bCs/>
          <w:color w:val="434343"/>
          <w:sz w:val="24"/>
          <w:highlight w:val="none"/>
        </w:rPr>
      </w:pPr>
      <w:r>
        <w:rPr>
          <w:rFonts w:hint="eastAsia" w:ascii="宋体" w:hAnsi="宋体" w:cs="宋体"/>
          <w:bCs/>
          <w:color w:val="434343"/>
          <w:sz w:val="24"/>
          <w:highlight w:val="none"/>
        </w:rPr>
        <w:t>（三）考核内容</w:t>
      </w:r>
    </w:p>
    <w:p>
      <w:pPr>
        <w:pStyle w:val="7"/>
        <w:ind w:left="420" w:firstLine="480"/>
        <w:rPr>
          <w:rFonts w:ascii="宋体" w:hAnsi="宋体" w:cs="宋体"/>
          <w:bCs/>
          <w:color w:val="434343"/>
          <w:sz w:val="24"/>
          <w:highlight w:val="none"/>
        </w:rPr>
      </w:pPr>
      <w:r>
        <w:rPr>
          <w:rFonts w:hint="eastAsia" w:ascii="宋体" w:hAnsi="宋体" w:cs="宋体"/>
          <w:bCs/>
          <w:color w:val="434343"/>
          <w:sz w:val="24"/>
          <w:highlight w:val="none"/>
        </w:rPr>
        <w:t>1、对乡镇环境卫生考核</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（1）主干道、次干道等机动车道、非机动车道、人行道、街巷路面、“墙到墙”等区域、乡镇村庄内公共区域的清扫、清洗、保洁、洒水降尘及路面硬化范围内的杂草清理、道路绿化带的垃圾捡拾和保洁；</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（2）道路“墙到墙”之间所有构筑物和构件两米以下范围内张贴和乱涂写的清理和保洁； </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（3）果皮箱、垃圾桶等垃圾收集容器的购置、清掏、清洗保洁、维护及更新； </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（4）路名牌、指路牌、交通护栏等以及路灯杆、交通指示牌杆等两米以下部分的清洗保洁及雨水篦子的清掏； </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（5）对水域、河道岸边散落垃圾、畜禽粪污及农业生产废弃物的清理和捡拾； </w:t>
      </w:r>
    </w:p>
    <w:p>
      <w:pPr>
        <w:widowControl/>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（6）对各村镇道路、水域保洁范围内应对可视范围内的垃圾进行捡拾。</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2、对垃圾清运考核</w:t>
      </w:r>
    </w:p>
    <w:p>
      <w:pPr>
        <w:widowControl/>
        <w:spacing w:line="360" w:lineRule="auto"/>
        <w:ind w:left="560"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每日对镇墟和村域范围内的生活垃圾进行清运，实现“日产日清”。</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3、对垃圾分类考核</w:t>
      </w:r>
    </w:p>
    <w:p>
      <w:pPr>
        <w:pStyle w:val="7"/>
        <w:numPr>
          <w:ilvl w:val="0"/>
          <w:numId w:val="18"/>
        </w:numPr>
        <w:spacing w:line="360" w:lineRule="auto"/>
        <w:ind w:left="560" w:firstLine="480"/>
        <w:rPr>
          <w:rFonts w:ascii="宋体" w:hAnsi="宋体" w:cs="宋体"/>
          <w:bCs/>
          <w:color w:val="434343"/>
          <w:sz w:val="24"/>
          <w:highlight w:val="none"/>
        </w:rPr>
      </w:pPr>
      <w:r>
        <w:rPr>
          <w:rFonts w:hint="eastAsia" w:ascii="宋体" w:hAnsi="宋体" w:cs="宋体"/>
          <w:bCs/>
          <w:color w:val="434343"/>
          <w:sz w:val="24"/>
          <w:highlight w:val="none"/>
        </w:rPr>
        <w:t>按照生活垃圾四分类的标准对镇墟和村域的生活垃圾进行分类收集和运输；</w:t>
      </w:r>
    </w:p>
    <w:p>
      <w:pPr>
        <w:pStyle w:val="7"/>
        <w:numPr>
          <w:ilvl w:val="0"/>
          <w:numId w:val="18"/>
        </w:numPr>
        <w:spacing w:line="360" w:lineRule="auto"/>
        <w:ind w:left="560" w:firstLine="480"/>
        <w:rPr>
          <w:rFonts w:ascii="宋体" w:hAnsi="宋体" w:cs="宋体"/>
          <w:bCs/>
          <w:color w:val="434343"/>
          <w:sz w:val="24"/>
          <w:highlight w:val="none"/>
        </w:rPr>
      </w:pPr>
      <w:r>
        <w:rPr>
          <w:rFonts w:hint="eastAsia" w:ascii="宋体" w:hAnsi="宋体" w:cs="宋体"/>
          <w:bCs/>
          <w:color w:val="434343"/>
          <w:sz w:val="24"/>
          <w:highlight w:val="none"/>
        </w:rPr>
        <w:t>开展生活垃圾分类知识宣传、监督生活垃圾分类投放行为等。</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4、对公厕运营管理考核</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公厕卫生标准必须达到或高于国家二类公厕标准。</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5、考核体系</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考核体系分为常规考核和临时考核。详细考核内容见附表1-2。最终的绩效考核方案以海口市市政府和美兰区政府印发的考核标准为准。</w:t>
      </w:r>
    </w:p>
    <w:p>
      <w:pPr>
        <w:pStyle w:val="7"/>
        <w:spacing w:line="360" w:lineRule="auto"/>
        <w:ind w:firstLine="480"/>
        <w:rPr>
          <w:rFonts w:ascii="宋体" w:hAnsi="宋体" w:cs="宋体"/>
          <w:bCs/>
          <w:color w:val="434343"/>
          <w:sz w:val="24"/>
          <w:highlight w:val="none"/>
        </w:rPr>
      </w:pPr>
      <w:r>
        <w:rPr>
          <w:rFonts w:hint="eastAsia" w:ascii="宋体" w:hAnsi="宋体" w:cs="宋体"/>
          <w:bCs/>
          <w:color w:val="434343"/>
          <w:sz w:val="24"/>
          <w:highlight w:val="none"/>
        </w:rPr>
        <w:t>（1）常规考核</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常规考核每季度统计一次，根据常规考评体系形成当季考核得分。 </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常规环卫作业考评体系由以下四部分组成： </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A、由区综合行政执法局（含区环境卫生管理局）与农业农村局共同组成联合小组，按照附表1-2考核打分细则，对服务单位的环卫作业质量进行百分制打分，每月1次，季度总分A为各月平均分，季度考核总分占当季考核最终得分的30%。 </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B、由各镇政府自行组织人员，按照附表1-2考核打分细则，对服务单位的环卫作业质量进行百分制打分，每周1次，月度得分为各周平均分，季度总分B为各月平均分，季度考核总分占当季考核最终得分的70%。 </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 xml:space="preserve">C、由区综合行政执法局（含区环境卫生管理局）根据12345热线投诉件、新闻媒体报道进行统计，每季度1次，每个投诉件或报道在获悉后一日内得到整改，经区环卫局核实后不作扣分处理。如核实后未能完成整改，则每有一个投诉件或报道扣减当季考核最终得分0.3分。 </w:t>
      </w:r>
    </w:p>
    <w:p>
      <w:pPr>
        <w:widowControl/>
        <w:spacing w:line="360" w:lineRule="auto"/>
        <w:ind w:firstLine="420"/>
        <w:jc w:val="left"/>
        <w:rPr>
          <w:rFonts w:ascii="宋体" w:hAnsi="宋体" w:cs="宋体"/>
          <w:bCs/>
          <w:color w:val="434343"/>
          <w:kern w:val="0"/>
          <w:sz w:val="24"/>
          <w:highlight w:val="none"/>
        </w:rPr>
      </w:pPr>
      <w:r>
        <w:rPr>
          <w:rFonts w:hint="eastAsia" w:ascii="宋体" w:hAnsi="宋体" w:cs="宋体"/>
          <w:bCs/>
          <w:color w:val="434343"/>
          <w:kern w:val="0"/>
          <w:sz w:val="24"/>
          <w:highlight w:val="none"/>
        </w:rPr>
        <w:t>D、由区综合行政执法局（含区环境卫生管理局）根据市环卫局每季度下发的各镇环卫作业质量全市排名文件（作业范围内），每有一个镇在全市排名前三名中的，当季考核最终得分加5分，每有一个镇在全市排名倒数三名中的，当季考核最终得分扣5分。满分超过100分的按100分计。</w:t>
      </w:r>
    </w:p>
    <w:p>
      <w:pPr>
        <w:widowControl/>
        <w:spacing w:line="360" w:lineRule="auto"/>
        <w:ind w:firstLine="420"/>
        <w:jc w:val="left"/>
        <w:rPr>
          <w:rFonts w:ascii="宋体" w:hAnsi="宋体" w:cs="宋体"/>
          <w:color w:val="000000"/>
          <w:kern w:val="0"/>
          <w:sz w:val="24"/>
          <w:highlight w:val="none"/>
          <w:lang w:bidi="ar"/>
        </w:rPr>
      </w:pPr>
      <w:r>
        <w:rPr>
          <w:rFonts w:hint="eastAsia" w:ascii="宋体" w:hAnsi="宋体" w:cs="宋体"/>
          <w:bCs/>
          <w:color w:val="434343"/>
          <w:kern w:val="0"/>
          <w:sz w:val="24"/>
          <w:highlight w:val="none"/>
        </w:rPr>
        <w:t>当季考核最终得分=A×30%+B×70%-C+D</w:t>
      </w:r>
    </w:p>
    <w:p>
      <w:pPr>
        <w:widowControl/>
        <w:ind w:left="560" w:firstLine="420"/>
        <w:jc w:val="center"/>
        <w:rPr>
          <w:rFonts w:ascii="宋体" w:hAnsi="宋体" w:cs="宋体"/>
          <w:b/>
          <w:bCs/>
          <w:color w:val="000000"/>
          <w:kern w:val="0"/>
          <w:sz w:val="24"/>
          <w:highlight w:val="none"/>
          <w:lang w:bidi="ar"/>
        </w:rPr>
      </w:pPr>
      <w:r>
        <w:rPr>
          <w:rFonts w:hint="eastAsia" w:ascii="宋体" w:hAnsi="宋体" w:cs="宋体"/>
          <w:b/>
          <w:bCs/>
          <w:color w:val="000000"/>
          <w:kern w:val="0"/>
          <w:sz w:val="24"/>
          <w:highlight w:val="none"/>
          <w:lang w:bidi="ar"/>
        </w:rPr>
        <w:t>附表1-1  常规考评体系表</w:t>
      </w:r>
    </w:p>
    <w:tbl>
      <w:tblPr>
        <w:tblStyle w:val="16"/>
        <w:tblW w:w="8660" w:type="dxa"/>
        <w:tblInd w:w="0" w:type="dxa"/>
        <w:tblLayout w:type="fixed"/>
        <w:tblCellMar>
          <w:top w:w="0" w:type="dxa"/>
          <w:left w:w="0" w:type="dxa"/>
          <w:bottom w:w="0" w:type="dxa"/>
          <w:right w:w="0" w:type="dxa"/>
        </w:tblCellMar>
      </w:tblPr>
      <w:tblGrid>
        <w:gridCol w:w="560"/>
        <w:gridCol w:w="1510"/>
        <w:gridCol w:w="2776"/>
        <w:gridCol w:w="1189"/>
        <w:gridCol w:w="1115"/>
        <w:gridCol w:w="1510"/>
      </w:tblGrid>
      <w:tr>
        <w:tblPrEx>
          <w:tblLayout w:type="fixed"/>
          <w:tblCellMar>
            <w:top w:w="0" w:type="dxa"/>
            <w:left w:w="0" w:type="dxa"/>
            <w:bottom w:w="0" w:type="dxa"/>
            <w:right w:w="0" w:type="dxa"/>
          </w:tblCellMar>
        </w:tblPrEx>
        <w:trPr>
          <w:trHeight w:val="560" w:hRule="atLeast"/>
        </w:trPr>
        <w:tc>
          <w:tcPr>
            <w:tcW w:w="5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序号</w:t>
            </w:r>
          </w:p>
        </w:tc>
        <w:tc>
          <w:tcPr>
            <w:tcW w:w="15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考评主体</w:t>
            </w:r>
          </w:p>
        </w:tc>
        <w:tc>
          <w:tcPr>
            <w:tcW w:w="277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考评内容</w:t>
            </w:r>
          </w:p>
        </w:tc>
        <w:tc>
          <w:tcPr>
            <w:tcW w:w="118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考评频次</w:t>
            </w:r>
          </w:p>
        </w:tc>
        <w:tc>
          <w:tcPr>
            <w:tcW w:w="11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考评形式</w:t>
            </w:r>
          </w:p>
        </w:tc>
        <w:tc>
          <w:tcPr>
            <w:tcW w:w="1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b/>
                <w:color w:val="000000"/>
                <w:sz w:val="22"/>
                <w:szCs w:val="22"/>
                <w:highlight w:val="none"/>
              </w:rPr>
            </w:pPr>
            <w:r>
              <w:rPr>
                <w:rFonts w:hint="eastAsia" w:ascii="宋体" w:hAnsi="宋体" w:cs="宋体"/>
                <w:b/>
                <w:color w:val="000000"/>
                <w:kern w:val="0"/>
                <w:sz w:val="22"/>
                <w:szCs w:val="22"/>
                <w:highlight w:val="none"/>
                <w:lang w:bidi="ar"/>
              </w:rPr>
              <w:t>考评分值</w:t>
            </w:r>
            <w:r>
              <w:rPr>
                <w:rFonts w:hint="eastAsia" w:ascii="宋体" w:hAnsi="宋体" w:cs="宋体"/>
                <w:b/>
                <w:color w:val="000000"/>
                <w:kern w:val="0"/>
                <w:sz w:val="22"/>
                <w:szCs w:val="22"/>
                <w:highlight w:val="none"/>
                <w:lang w:bidi="ar"/>
              </w:rPr>
              <w:br w:type="textWrapping"/>
            </w:r>
            <w:r>
              <w:rPr>
                <w:rFonts w:hint="eastAsia" w:ascii="宋体" w:hAnsi="宋体" w:cs="宋体"/>
                <w:b/>
                <w:color w:val="000000"/>
                <w:kern w:val="0"/>
                <w:sz w:val="22"/>
                <w:szCs w:val="22"/>
                <w:highlight w:val="none"/>
                <w:lang w:bidi="ar"/>
              </w:rPr>
              <w:t>占比</w:t>
            </w:r>
          </w:p>
        </w:tc>
      </w:tr>
      <w:tr>
        <w:tblPrEx>
          <w:tblLayout w:type="fixed"/>
          <w:tblCellMar>
            <w:top w:w="0" w:type="dxa"/>
            <w:left w:w="0" w:type="dxa"/>
            <w:bottom w:w="0" w:type="dxa"/>
            <w:right w:w="0" w:type="dxa"/>
          </w:tblCellMar>
        </w:tblPrEx>
        <w:trPr>
          <w:trHeight w:val="840" w:hRule="atLeast"/>
        </w:trPr>
        <w:tc>
          <w:tcPr>
            <w:tcW w:w="5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区综合行政执法局（含区环境卫生管理局）+农业农</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村局联合小组</w:t>
            </w:r>
          </w:p>
        </w:tc>
        <w:tc>
          <w:tcPr>
            <w:tcW w:w="277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按照考评打分细则，对环卫作业质量进行打分</w:t>
            </w:r>
          </w:p>
        </w:tc>
        <w:tc>
          <w:tcPr>
            <w:tcW w:w="118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每月1次</w:t>
            </w:r>
          </w:p>
        </w:tc>
        <w:tc>
          <w:tcPr>
            <w:tcW w:w="11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实地考评</w:t>
            </w:r>
          </w:p>
        </w:tc>
        <w:tc>
          <w:tcPr>
            <w:tcW w:w="15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30%</w:t>
            </w:r>
          </w:p>
        </w:tc>
      </w:tr>
      <w:tr>
        <w:tblPrEx>
          <w:tblLayout w:type="fixed"/>
          <w:tblCellMar>
            <w:top w:w="0" w:type="dxa"/>
            <w:left w:w="0" w:type="dxa"/>
            <w:bottom w:w="0" w:type="dxa"/>
            <w:right w:w="0" w:type="dxa"/>
          </w:tblCellMar>
        </w:tblPrEx>
        <w:trPr>
          <w:trHeight w:val="840" w:hRule="atLeast"/>
        </w:trPr>
        <w:tc>
          <w:tcPr>
            <w:tcW w:w="5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5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各镇政府</w:t>
            </w:r>
          </w:p>
        </w:tc>
        <w:tc>
          <w:tcPr>
            <w:tcW w:w="277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按照考评打分细则，对各镇辖区内环卫作业质量进行打分</w:t>
            </w:r>
          </w:p>
        </w:tc>
        <w:tc>
          <w:tcPr>
            <w:tcW w:w="118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每周1次</w:t>
            </w:r>
          </w:p>
        </w:tc>
        <w:tc>
          <w:tcPr>
            <w:tcW w:w="11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实地考评 </w:t>
            </w:r>
          </w:p>
        </w:tc>
        <w:tc>
          <w:tcPr>
            <w:tcW w:w="15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70%</w:t>
            </w:r>
          </w:p>
        </w:tc>
      </w:tr>
      <w:tr>
        <w:tblPrEx>
          <w:tblLayout w:type="fixed"/>
          <w:tblCellMar>
            <w:top w:w="0" w:type="dxa"/>
            <w:left w:w="0" w:type="dxa"/>
            <w:bottom w:w="0" w:type="dxa"/>
            <w:right w:w="0" w:type="dxa"/>
          </w:tblCellMar>
        </w:tblPrEx>
        <w:trPr>
          <w:trHeight w:val="560" w:hRule="atLeast"/>
        </w:trPr>
        <w:tc>
          <w:tcPr>
            <w:tcW w:w="5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lang w:bidi="ar"/>
              </w:rPr>
            </w:pPr>
            <w:r>
              <w:rPr>
                <w:rFonts w:hint="eastAsia" w:ascii="宋体" w:hAnsi="宋体" w:cs="宋体"/>
                <w:color w:val="000000"/>
                <w:kern w:val="0"/>
                <w:sz w:val="22"/>
                <w:szCs w:val="22"/>
                <w:highlight w:val="none"/>
                <w:lang w:bidi="ar"/>
              </w:rPr>
              <w:t>区综合行政执法局（含区环境卫生管理局）</w:t>
            </w:r>
          </w:p>
        </w:tc>
        <w:tc>
          <w:tcPr>
            <w:tcW w:w="277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12345 热线投诉件、新闻媒体报道</w:t>
            </w:r>
          </w:p>
        </w:tc>
        <w:tc>
          <w:tcPr>
            <w:tcW w:w="118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每季度1次</w:t>
            </w:r>
          </w:p>
        </w:tc>
        <w:tc>
          <w:tcPr>
            <w:tcW w:w="11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平台统计</w:t>
            </w:r>
          </w:p>
        </w:tc>
        <w:tc>
          <w:tcPr>
            <w:tcW w:w="151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扣分指标</w:t>
            </w:r>
          </w:p>
        </w:tc>
      </w:tr>
      <w:tr>
        <w:tblPrEx>
          <w:tblLayout w:type="fixed"/>
          <w:tblCellMar>
            <w:top w:w="0" w:type="dxa"/>
            <w:left w:w="0" w:type="dxa"/>
            <w:bottom w:w="0" w:type="dxa"/>
            <w:right w:w="0" w:type="dxa"/>
          </w:tblCellMar>
        </w:tblPrEx>
        <w:trPr>
          <w:trHeight w:val="840" w:hRule="atLeast"/>
        </w:trPr>
        <w:tc>
          <w:tcPr>
            <w:tcW w:w="56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区综合行政执法局（含区环境卫生管理局）</w:t>
            </w:r>
          </w:p>
        </w:tc>
        <w:tc>
          <w:tcPr>
            <w:tcW w:w="277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市环卫局组织的各镇环卫作业质量全市排名（作业范围内）</w:t>
            </w:r>
          </w:p>
        </w:tc>
        <w:tc>
          <w:tcPr>
            <w:tcW w:w="118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每季度1次</w:t>
            </w:r>
          </w:p>
        </w:tc>
        <w:tc>
          <w:tcPr>
            <w:tcW w:w="111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排名统计</w:t>
            </w:r>
          </w:p>
        </w:tc>
        <w:tc>
          <w:tcPr>
            <w:tcW w:w="151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奖励/扣分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指标</w:t>
            </w:r>
          </w:p>
        </w:tc>
      </w:tr>
    </w:tbl>
    <w:p>
      <w:pPr>
        <w:widowControl/>
        <w:ind w:left="560" w:firstLine="420"/>
        <w:jc w:val="left"/>
        <w:rPr>
          <w:rFonts w:ascii="宋体" w:hAnsi="宋体" w:cs="宋体"/>
          <w:sz w:val="24"/>
          <w:highlight w:val="none"/>
        </w:rPr>
      </w:pPr>
      <w:r>
        <w:rPr>
          <w:rFonts w:hint="eastAsia" w:ascii="宋体" w:hAnsi="宋体" w:cs="宋体"/>
          <w:color w:val="000000"/>
          <w:kern w:val="0"/>
          <w:sz w:val="24"/>
          <w:highlight w:val="none"/>
          <w:lang w:bidi="ar"/>
        </w:rPr>
        <w:t>量分的考核检查要对存在问题的扣分点拍照取证，不能拍照取证的要有被考核单位指定的人员在场签名确认，否则扣分无效；环卫作业服务单位要指定专人具体负责配合检查考核工作，以便与考核单位的沟通协调；检查考核中发现存在的问题，要及时通知服务单位整改。服务单位要在第一时间进行整改处置，拖延或不予整改的加倍扣分。</w:t>
      </w:r>
    </w:p>
    <w:p>
      <w:pPr>
        <w:widowControl/>
        <w:ind w:left="560" w:firstLine="420"/>
        <w:jc w:val="left"/>
        <w:rPr>
          <w:rFonts w:ascii="宋体" w:hAnsi="宋体" w:cs="宋体"/>
          <w:sz w:val="24"/>
          <w:highlight w:val="none"/>
        </w:rPr>
      </w:pPr>
      <w:r>
        <w:rPr>
          <w:rFonts w:hint="eastAsia" w:ascii="宋体" w:hAnsi="宋体" w:cs="宋体"/>
          <w:color w:val="000000"/>
          <w:kern w:val="0"/>
          <w:sz w:val="24"/>
          <w:highlight w:val="none"/>
          <w:lang w:bidi="ar"/>
        </w:rPr>
        <w:t xml:space="preserve">（2）临时考核 </w:t>
      </w:r>
    </w:p>
    <w:p>
      <w:pPr>
        <w:widowControl/>
        <w:ind w:left="560" w:firstLine="420"/>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区环卫局可随时自行考核服务单位的作业质量，如发现质量缺陷，则需在24小时内以书面形式通知服务单位在整改时间内完成整改；服务单位在接到书面通知后，应在书面通知要求的时间内对缺陷内容进行整改。</w:t>
      </w:r>
    </w:p>
    <w:p>
      <w:pPr>
        <w:widowControl/>
        <w:ind w:left="560" w:firstLine="420"/>
        <w:jc w:val="left"/>
        <w:rPr>
          <w:rFonts w:ascii="宋体" w:hAnsi="宋体" w:cs="宋体"/>
          <w:color w:val="000000"/>
          <w:kern w:val="0"/>
          <w:sz w:val="24"/>
          <w:highlight w:val="none"/>
          <w:lang w:bidi="ar"/>
        </w:rPr>
        <w:sectPr>
          <w:pgSz w:w="11900" w:h="16840"/>
          <w:pgMar w:top="1440" w:right="1800" w:bottom="1440" w:left="1800" w:header="851" w:footer="992" w:gutter="0"/>
          <w:cols w:space="425" w:num="1"/>
          <w:docGrid w:type="lines" w:linePitch="423" w:charSpace="0"/>
        </w:sectPr>
      </w:pPr>
      <w:r>
        <w:rPr>
          <w:rFonts w:hint="eastAsia" w:ascii="宋体" w:hAnsi="宋体" w:cs="宋体"/>
          <w:color w:val="000000"/>
          <w:kern w:val="0"/>
          <w:sz w:val="24"/>
          <w:highlight w:val="none"/>
          <w:lang w:bidi="ar"/>
        </w:rPr>
        <w:t>临时考核结果一般不作为服务单位处罚情形处理，除非服务单位拒绝在要求时间内完成质量缺陷的整改。</w:t>
      </w:r>
    </w:p>
    <w:p>
      <w:pPr>
        <w:widowControl/>
        <w:ind w:left="560" w:firstLine="560"/>
        <w:jc w:val="center"/>
        <w:rPr>
          <w:rFonts w:ascii="宋体" w:hAnsi="宋体" w:cs="宋体"/>
          <w:b/>
          <w:bCs/>
          <w:color w:val="000000"/>
          <w:kern w:val="0"/>
          <w:sz w:val="24"/>
          <w:highlight w:val="none"/>
          <w:lang w:bidi="ar"/>
        </w:rPr>
      </w:pPr>
      <w:r>
        <w:rPr>
          <w:rFonts w:hint="eastAsia" w:ascii="宋体" w:hAnsi="宋体" w:cs="宋体"/>
          <w:b/>
          <w:bCs/>
          <w:sz w:val="24"/>
          <w:highlight w:val="none"/>
        </w:rPr>
        <w:t xml:space="preserve">表1-2 </w:t>
      </w:r>
      <w:r>
        <w:rPr>
          <w:rFonts w:hint="eastAsia" w:ascii="宋体" w:hAnsi="宋体" w:cs="宋体"/>
          <w:b/>
          <w:bCs/>
          <w:color w:val="000000"/>
          <w:kern w:val="0"/>
          <w:sz w:val="24"/>
          <w:highlight w:val="none"/>
          <w:lang w:bidi="ar"/>
        </w:rPr>
        <w:t>考核打分细则</w:t>
      </w:r>
    </w:p>
    <w:tbl>
      <w:tblPr>
        <w:tblStyle w:val="16"/>
        <w:tblW w:w="13978" w:type="dxa"/>
        <w:tblInd w:w="0" w:type="dxa"/>
        <w:tblLayout w:type="fixed"/>
        <w:tblCellMar>
          <w:top w:w="0" w:type="dxa"/>
          <w:left w:w="0" w:type="dxa"/>
          <w:bottom w:w="0" w:type="dxa"/>
          <w:right w:w="0" w:type="dxa"/>
        </w:tblCellMar>
      </w:tblPr>
      <w:tblGrid>
        <w:gridCol w:w="649"/>
        <w:gridCol w:w="2821"/>
        <w:gridCol w:w="1256"/>
        <w:gridCol w:w="2440"/>
        <w:gridCol w:w="4338"/>
        <w:gridCol w:w="2474"/>
      </w:tblGrid>
      <w:tr>
        <w:tblPrEx>
          <w:tblLayout w:type="fixed"/>
          <w:tblCellMar>
            <w:top w:w="0" w:type="dxa"/>
            <w:left w:w="0" w:type="dxa"/>
            <w:bottom w:w="0" w:type="dxa"/>
            <w:right w:w="0" w:type="dxa"/>
          </w:tblCellMar>
        </w:tblPrEx>
        <w:trPr>
          <w:trHeight w:val="350" w:hRule="atLeast"/>
        </w:trPr>
        <w:tc>
          <w:tcPr>
            <w:tcW w:w="1397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Cs w:val="28"/>
                <w:highlight w:val="none"/>
              </w:rPr>
            </w:pPr>
            <w:r>
              <w:rPr>
                <w:rFonts w:hint="eastAsia" w:ascii="宋体" w:hAnsi="宋体" w:cs="宋体"/>
                <w:b/>
                <w:color w:val="000000"/>
                <w:kern w:val="0"/>
                <w:szCs w:val="28"/>
                <w:highlight w:val="none"/>
                <w:lang w:bidi="ar"/>
              </w:rPr>
              <w:t>道路及公共区域清扫保洁（40分）</w:t>
            </w:r>
          </w:p>
        </w:tc>
      </w:tr>
      <w:tr>
        <w:tblPrEx>
          <w:tblLayout w:type="fixed"/>
          <w:tblCellMar>
            <w:top w:w="0" w:type="dxa"/>
            <w:left w:w="0" w:type="dxa"/>
            <w:bottom w:w="0" w:type="dxa"/>
            <w:right w:w="0" w:type="dxa"/>
          </w:tblCellMar>
        </w:tblPrEx>
        <w:trPr>
          <w:trHeight w:val="28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序号</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考核内容</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分值</w:t>
            </w:r>
          </w:p>
        </w:tc>
        <w:tc>
          <w:tcPr>
            <w:tcW w:w="2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样本及数量</w:t>
            </w:r>
          </w:p>
        </w:tc>
        <w:tc>
          <w:tcPr>
            <w:tcW w:w="4338"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管理要求</w:t>
            </w:r>
          </w:p>
        </w:tc>
        <w:tc>
          <w:tcPr>
            <w:tcW w:w="247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评分标准</w:t>
            </w:r>
          </w:p>
        </w:tc>
      </w:tr>
      <w:tr>
        <w:tblPrEx>
          <w:tblLayout w:type="fixed"/>
          <w:tblCellMar>
            <w:top w:w="0" w:type="dxa"/>
            <w:left w:w="0" w:type="dxa"/>
            <w:bottom w:w="0" w:type="dxa"/>
            <w:right w:w="0" w:type="dxa"/>
          </w:tblCellMar>
        </w:tblPrEx>
        <w:trPr>
          <w:trHeight w:val="298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道路清扫作业</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镇墟道路15-25条，农村道路10-20条；镇墟人工清扫考核</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面积不小于20%，农村人工清扫考核面积不小于10%。</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（1）镇墟范围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①人工清扫：工作时间应为6:00至8:00，每天工作时间段完成一遍普扫；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②机械化清扫：工作时间应为5:00至8:00，每天在工作时间段内完成一遍普扫。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（2）农村范围</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①人工清扫：工作时间应为6:00至11:00，每天在工作时间段内完成一遍普扫；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②机械化清扫：工作时间应为6:00至11:00，每周在工作时间段内完成一遍普扫。</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未按规定进行普扫作业的，每发现一处扣0.5分。</w:t>
            </w:r>
          </w:p>
        </w:tc>
      </w:tr>
      <w:tr>
        <w:tblPrEx>
          <w:tblLayout w:type="fixed"/>
          <w:tblCellMar>
            <w:top w:w="0" w:type="dxa"/>
            <w:left w:w="0" w:type="dxa"/>
            <w:bottom w:w="0" w:type="dxa"/>
            <w:right w:w="0" w:type="dxa"/>
          </w:tblCellMar>
        </w:tblPrEx>
        <w:trPr>
          <w:trHeight w:val="10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道路保洁作业</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（1）镇墟范围：5:00至21:00，每天保洁；</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（2）农村范围：6:00至18:00，每天保洁。</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未按规定进行保洁作业的，每发现一处扣0.5分。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82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道路冲洗和洒水作业</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 xml:space="preserve"> 冲洗和洒水</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①镇墟范围：工作时间应为5:00至8:00，每天完成一遍冲洗；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②农村范围：工作时间应为6:00至11:00，每周完成一遍冲洗。</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未按规定进行道路冲洗和洒水作业的，每车次扣 0.5分。（注：路面污染应急作业除外）</w:t>
            </w:r>
          </w:p>
        </w:tc>
      </w:tr>
      <w:tr>
        <w:tblPrEx>
          <w:tblLayout w:type="fixed"/>
          <w:tblCellMar>
            <w:top w:w="0" w:type="dxa"/>
            <w:left w:w="0" w:type="dxa"/>
            <w:bottom w:w="0" w:type="dxa"/>
            <w:right w:w="0" w:type="dxa"/>
          </w:tblCellMar>
        </w:tblPrEx>
        <w:trPr>
          <w:trHeight w:val="22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82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道路路面及公共区域环卫作业质量</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路面、人行道、排水沟、下水口、绿化带、公共区域及村域公共场所等干净整洁，路面无积尘、积灰见本色。路面废弃物不得超过规定数量。即：每1000平方米内果皮、纸屑、塑膜、烟蒂、痰迹、槟榔水污渍等存量数分别少于8个（片），垃圾存留时间不超过30分钟。</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发现道路路面废弃物超过规定数量，每发现一处扣0.5分。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282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道路两侧建筑物外墙及构筑物</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道路两侧的建筑物外墙和构筑物两米以下部分无明显污迹，无乱张贴和乱涂写。</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发现任何一项不合格，每发现一处扣0.2分。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282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道路公共设施清洗及维修</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道路两侧路名牌、指路牌、交通护栏以及路灯杆、交通指示牌杆等两米以下部分无污迹、无积尘、无乱张贴。</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发现任何一项不合格，每发现一处扣0.2分。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公交候车站</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公交车站10座</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公交候车站应保持整洁，其保洁质量应与所在道路保洁质量标准相同，无乱张贴、乱涂画。</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发现任何一项不合格，每发现一处扣0.2分。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公共绿地保洁</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考核面积不小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于20%</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绿地各部位整洁，无垃圾、土渣、污水、烟头、纸屑、瓜果皮核、人畜粪便及其他污物。</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发现任何一项不合格，每发现一处扣0.3分。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水域保洁</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考核面积不小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于30%</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应保持水面整洁；应无漂浮垃圾，无片状、带状的凤眼莲、浮萍等水生植物。堤岸坡面无暴露垃圾。</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发现任何一项不合格，每发现一处扣0.3分。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2821"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车辆管理及维修</w:t>
            </w:r>
          </w:p>
        </w:tc>
        <w:tc>
          <w:tcPr>
            <w:tcW w:w="1256"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环卫车队停车</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场和作业现场，</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查看车辆15辆</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清扫保洁车辆作业完毕后车厢内无残留垃圾杂物，车容干净整洁，号牌清晰。（2 分）</w:t>
            </w:r>
          </w:p>
        </w:tc>
        <w:tc>
          <w:tcPr>
            <w:tcW w:w="2474"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发现任何一项不合格，每发现一辆扣0.2分。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清扫保洁车辆定期油饰和维修，保持完好无损。（2分）</w:t>
            </w:r>
          </w:p>
        </w:tc>
        <w:tc>
          <w:tcPr>
            <w:tcW w:w="2474"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4"/>
                <w:highlight w:val="none"/>
              </w:rPr>
            </w:pPr>
          </w:p>
        </w:tc>
      </w:tr>
      <w:tr>
        <w:tblPrEx>
          <w:tblLayout w:type="fixed"/>
          <w:tblCellMar>
            <w:top w:w="0" w:type="dxa"/>
            <w:left w:w="0" w:type="dxa"/>
            <w:bottom w:w="0" w:type="dxa"/>
            <w:right w:w="0" w:type="dxa"/>
          </w:tblCellMar>
        </w:tblPrEx>
        <w:trPr>
          <w:trHeight w:val="168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果皮箱管理</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镇墟道路15-25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条，农村15 个</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自然村</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按间隔100-200m设置。公交站点要单独设置果皮箱，人流量大的站点要设置两个果皮箱。果皮箱应无残缺、破损，内桶应套垃圾袋，箱体周围地面无抛洒、暴露垃圾，箱内垃圾无满溢。</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不按照规定标准设置的，每处扣0.2分。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13</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垃圾桶管理</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镇墟道路15-25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条，农村 15 个</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自然村</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垃圾桶应定位设置，摆放整齐。垃圾桶应无残缺、破损，封闭性好，外体干净。垃圾桶及周围2-3m内应整洁，无散落垃圾和污水。</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不按规定设置的，每处扣 0.2分。</w:t>
            </w:r>
          </w:p>
        </w:tc>
      </w:tr>
      <w:tr>
        <w:tblPrEx>
          <w:tblLayout w:type="fixed"/>
          <w:tblCellMar>
            <w:top w:w="0" w:type="dxa"/>
            <w:left w:w="0" w:type="dxa"/>
            <w:bottom w:w="0" w:type="dxa"/>
            <w:right w:w="0" w:type="dxa"/>
          </w:tblCellMar>
        </w:tblPrEx>
        <w:trPr>
          <w:trHeight w:val="140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14</w:t>
            </w:r>
          </w:p>
        </w:tc>
        <w:tc>
          <w:tcPr>
            <w:tcW w:w="2821"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安全生产</w:t>
            </w:r>
          </w:p>
        </w:tc>
        <w:tc>
          <w:tcPr>
            <w:tcW w:w="1256"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考评时间内，上</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路随机考核</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机械化清扫、冲洗、洒水等作业车辆作业时应开警示灯。（2 分）</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凡发现不按规定开警示灯的，该作业车辆扣0.2分。发生安全生产伤亡责任事故，每一起从当次考核总分中扣10分。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15</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环卫工人作业时应穿着带反光条的工作制服。（2分）</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凡发现工人不按规定穿着带反光条的工作制服的，该名工人扣0.2分。</w:t>
            </w:r>
          </w:p>
        </w:tc>
      </w:tr>
      <w:tr>
        <w:tblPrEx>
          <w:tblLayout w:type="fixed"/>
          <w:tblCellMar>
            <w:top w:w="0" w:type="dxa"/>
            <w:left w:w="0" w:type="dxa"/>
            <w:bottom w:w="0" w:type="dxa"/>
            <w:right w:w="0" w:type="dxa"/>
          </w:tblCellMar>
        </w:tblPrEx>
        <w:trPr>
          <w:trHeight w:val="350" w:hRule="atLeast"/>
        </w:trPr>
        <w:tc>
          <w:tcPr>
            <w:tcW w:w="1397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Cs w:val="28"/>
                <w:highlight w:val="none"/>
              </w:rPr>
            </w:pPr>
            <w:r>
              <w:rPr>
                <w:rFonts w:hint="eastAsia" w:ascii="宋体" w:hAnsi="宋体" w:cs="宋体"/>
                <w:b/>
                <w:color w:val="000000"/>
                <w:kern w:val="0"/>
                <w:szCs w:val="28"/>
                <w:highlight w:val="none"/>
                <w:lang w:bidi="ar"/>
              </w:rPr>
              <w:t>垃圾收集清运（25分）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垃圾收集</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2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随机</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定时定点收集，日产日清，不得堆积、滞留；无主生活垃圾应及时收集、清运。凡发现任何一项不合格，每个收集点扣0.5分。</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凡发现任何一项不合格，每个收集点扣0.5分。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垃圾运输</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垃圾清运车辆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20-30 辆</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运送垃圾的过程应覆盖密闭，实行“垃圾不落地”作业，不得有滴冒撒漏现象。</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凡发现任何一项不合格，该作业车辆扣0.5分。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821"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垃圾清运车车辆管理及维修</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垃圾清运车辆车容整洁，车况良好，车牌号码完整，不得遮挡。垃圾清运车辆定期油饰和维修，保持完好无损。</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凡发现任何车辆不合格，该作业车辆扣0.3分。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小型垃圾转运站管理</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所有小型垃圾-</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运站</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小型垃圾转运站应定期清洗、喷洒消毒、灭蚊蝇药物。在可视范围内，苍蝇应少于3只/次，并无</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活鼠等；装运作业时应避免扰民。</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140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安全生产</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440"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考评时间内，上</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路随机考核</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垃圾清运司机和操作工人应穿反光衣，车道作业设有安全防范措施。</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凡发现任何一项不合格，扣0.2分。发生任何安全生产伤亡责任事故，每一起从当次考核总分中扣10分。</w:t>
            </w:r>
          </w:p>
        </w:tc>
      </w:tr>
      <w:tr>
        <w:tblPrEx>
          <w:tblLayout w:type="fixed"/>
          <w:tblCellMar>
            <w:top w:w="0" w:type="dxa"/>
            <w:left w:w="0" w:type="dxa"/>
            <w:bottom w:w="0" w:type="dxa"/>
            <w:right w:w="0" w:type="dxa"/>
          </w:tblCellMar>
        </w:tblPrEx>
        <w:trPr>
          <w:trHeight w:val="350" w:hRule="atLeast"/>
        </w:trPr>
        <w:tc>
          <w:tcPr>
            <w:tcW w:w="1397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Cs w:val="28"/>
                <w:highlight w:val="none"/>
              </w:rPr>
            </w:pPr>
            <w:r>
              <w:rPr>
                <w:rFonts w:hint="eastAsia" w:ascii="宋体" w:hAnsi="宋体" w:cs="宋体"/>
                <w:b/>
                <w:color w:val="000000"/>
                <w:kern w:val="0"/>
                <w:szCs w:val="28"/>
                <w:highlight w:val="none"/>
                <w:lang w:bidi="ar"/>
              </w:rPr>
              <w:t>垃圾分类（20分）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垃圾分类宣传</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镇墟道路15-25条，农村15个，自然村随机</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设置垃圾分类知识宣传栏、分发宣传手册或运用APP、网络宣传手段，对垃圾分类知识进行宣贯。</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发现垃圾分类宣传不到位，未普及垃圾分类知识的，每发现一处扣0.5分。</w:t>
            </w:r>
          </w:p>
        </w:tc>
      </w:tr>
      <w:tr>
        <w:tblPrEx>
          <w:tblLayout w:type="fixed"/>
          <w:tblCellMar>
            <w:top w:w="0" w:type="dxa"/>
            <w:left w:w="0" w:type="dxa"/>
            <w:bottom w:w="0" w:type="dxa"/>
            <w:right w:w="0" w:type="dxa"/>
          </w:tblCellMar>
        </w:tblPrEx>
        <w:trPr>
          <w:trHeight w:val="11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垃圾分类设施投放</w:t>
            </w:r>
          </w:p>
        </w:tc>
        <w:tc>
          <w:tcPr>
            <w:tcW w:w="1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8</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设置四分类垃圾亭、分类垃圾桶、可计量垃圾袋、称重设备、每个镇设置一个堆肥系统。保持垃圾分类收集容器完好、整洁</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发现垃圾分类设施投放不到位，影响垃圾分类工作进展的，每发现一处扣0.4分。</w:t>
            </w:r>
          </w:p>
        </w:tc>
      </w:tr>
      <w:tr>
        <w:tblPrEx>
          <w:tblLayout w:type="fixed"/>
          <w:tblCellMar>
            <w:top w:w="0" w:type="dxa"/>
            <w:left w:w="0" w:type="dxa"/>
            <w:bottom w:w="0" w:type="dxa"/>
            <w:right w:w="0" w:type="dxa"/>
          </w:tblCellMar>
        </w:tblPrEx>
        <w:trPr>
          <w:trHeight w:val="84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垃圾分类督导管理</w:t>
            </w:r>
          </w:p>
        </w:tc>
        <w:tc>
          <w:tcPr>
            <w:tcW w:w="1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2</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各镇设置专门的督导小组，在垃圾投放高峰时段对民众投放垃圾进行指导、监督</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发现未有设置督导人员的，每发现一处扣0.2分。</w:t>
            </w:r>
          </w:p>
        </w:tc>
      </w:tr>
      <w:tr>
        <w:tblPrEx>
          <w:tblLayout w:type="fixed"/>
          <w:tblCellMar>
            <w:top w:w="0" w:type="dxa"/>
            <w:left w:w="0" w:type="dxa"/>
            <w:bottom w:w="0" w:type="dxa"/>
            <w:right w:w="0" w:type="dxa"/>
          </w:tblCellMar>
        </w:tblPrEx>
        <w:trPr>
          <w:trHeight w:val="252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821"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垃圾分类运输</w:t>
            </w:r>
          </w:p>
        </w:tc>
        <w:tc>
          <w:tcPr>
            <w:tcW w:w="1256"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4"/>
                <w:highlight w:val="none"/>
              </w:rPr>
            </w:pPr>
            <w:r>
              <w:rPr>
                <w:rFonts w:hint="eastAsia" w:ascii="宋体" w:hAnsi="宋体" w:cs="宋体"/>
                <w:color w:val="000000"/>
                <w:kern w:val="0"/>
                <w:sz w:val="24"/>
                <w:highlight w:val="none"/>
                <w:lang w:bidi="ar"/>
              </w:rPr>
              <w:t>5</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通过各种途径收集到的垃圾或者从细分类垃圾箱中收集到的垃圾进行统一收集，将可回收垃圾、有害垃圾及易腐垃圾运输至区环卫局与村镇指定的暂存点，并对易腐垃圾进行堆肥等资源化利用，将其他垃圾运输至政府指定地点。保证运输工具密闭、整洁、完好不得飞扬、撒漏、吊挂生活垃圾。</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凡发现任何一项未按规定运输或暂存的，扣0.5分。</w:t>
            </w:r>
          </w:p>
        </w:tc>
      </w:tr>
      <w:tr>
        <w:tblPrEx>
          <w:tblLayout w:type="fixed"/>
          <w:tblCellMar>
            <w:top w:w="0" w:type="dxa"/>
            <w:left w:w="0" w:type="dxa"/>
            <w:bottom w:w="0" w:type="dxa"/>
            <w:right w:w="0" w:type="dxa"/>
          </w:tblCellMar>
        </w:tblPrEx>
        <w:trPr>
          <w:trHeight w:val="350" w:hRule="atLeast"/>
        </w:trPr>
        <w:tc>
          <w:tcPr>
            <w:tcW w:w="13978" w:type="dxa"/>
            <w:gridSpan w:val="6"/>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b/>
                <w:color w:val="000000"/>
                <w:szCs w:val="28"/>
                <w:highlight w:val="none"/>
              </w:rPr>
            </w:pPr>
            <w:r>
              <w:rPr>
                <w:rFonts w:hint="eastAsia" w:ascii="宋体" w:hAnsi="宋体" w:cs="宋体"/>
                <w:b/>
                <w:color w:val="000000"/>
                <w:kern w:val="0"/>
                <w:szCs w:val="28"/>
                <w:highlight w:val="none"/>
                <w:lang w:bidi="ar"/>
              </w:rPr>
              <w:t>公厕运营管理（15分）</w:t>
            </w:r>
          </w:p>
        </w:tc>
      </w:tr>
      <w:tr>
        <w:tblPrEx>
          <w:tblLayout w:type="fixed"/>
          <w:tblCellMar>
            <w:top w:w="0" w:type="dxa"/>
            <w:left w:w="0" w:type="dxa"/>
            <w:bottom w:w="0" w:type="dxa"/>
            <w:right w:w="0" w:type="dxa"/>
          </w:tblCellMar>
        </w:tblPrEx>
        <w:trPr>
          <w:trHeight w:val="81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821"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公厕管理</w:t>
            </w: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vMerge w:val="restart"/>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随机抽查，考核数量不低于50%</w:t>
            </w: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公共厕所内无臭味、蚊蝇，地面无痰迹、烟头、污物，公厕每天应全面冲洗两次以上并随时保洁。</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厕内墙面、门窗、隔离板等洁净，无积尘，污迹、蛛网。</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吸粪车清吸作业后，及时盖好井盖，化粪井周围整洁无粪迹。</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108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保洁工具使用完毕应整齐存放在不显眼的位置或存放在工具房（箱）内；不得将保洁工具放在便器、洗手盆或楼梯。</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定期清除公厕贮（化）粪池内的粪便或粪渣，粪水不溢。</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81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公厕内地面应保持整洁，粪槽、便槽和管道应无破损，内外墙应无剥落。</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公厕四周</w:t>
            </w:r>
            <w:r>
              <w:rPr>
                <w:rStyle w:val="31"/>
                <w:rFonts w:hint="eastAsia" w:ascii="宋体" w:hAnsi="宋体" w:cs="宋体"/>
                <w:highlight w:val="none"/>
                <w:lang w:bidi="ar"/>
              </w:rPr>
              <w:t>3</w:t>
            </w:r>
            <w:r>
              <w:rPr>
                <w:rStyle w:val="32"/>
                <w:rFonts w:hint="default" w:ascii="宋体" w:hAnsi="宋体" w:eastAsia="宋体" w:cs="宋体"/>
                <w:highlight w:val="none"/>
                <w:lang w:bidi="ar"/>
              </w:rPr>
              <w:t>—</w:t>
            </w:r>
            <w:r>
              <w:rPr>
                <w:rStyle w:val="31"/>
                <w:rFonts w:hint="eastAsia" w:ascii="宋体" w:hAnsi="宋体" w:cs="宋体"/>
                <w:highlight w:val="none"/>
                <w:lang w:bidi="ar"/>
              </w:rPr>
              <w:t>5m</w:t>
            </w:r>
            <w:r>
              <w:rPr>
                <w:rStyle w:val="32"/>
                <w:rFonts w:hint="default" w:ascii="宋体" w:hAnsi="宋体" w:eastAsia="宋体" w:cs="宋体"/>
                <w:highlight w:val="none"/>
                <w:lang w:bidi="ar"/>
              </w:rPr>
              <w:t>范围内，应无垃圾、粪便、污水等污物。</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81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公厕内自然通气良好，自然光线充足，有照明设施，厕内设施完好无缺损。</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公厕标识牌整洁、规范，设置明显。</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81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公厕内水管、笼头、冲水器损坏，及时维修，厕内灯具、洗手盆（池）损坏，及时维修。</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108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公共厕所管理人员保持衣冠整齐，管理人员办公室整洁美观，有明显所属单位标志；文明作业、礼貌服务。</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r>
        <w:tblPrEx>
          <w:tblLayout w:type="fixed"/>
          <w:tblCellMar>
            <w:top w:w="0" w:type="dxa"/>
            <w:left w:w="0" w:type="dxa"/>
            <w:bottom w:w="0" w:type="dxa"/>
            <w:right w:w="0" w:type="dxa"/>
          </w:tblCellMar>
        </w:tblPrEx>
        <w:trPr>
          <w:trHeight w:val="560" w:hRule="atLeast"/>
        </w:trPr>
        <w:tc>
          <w:tcPr>
            <w:tcW w:w="64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c>
          <w:tcPr>
            <w:tcW w:w="2821" w:type="dxa"/>
            <w:vMerge w:val="continue"/>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125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440" w:type="dxa"/>
            <w:vMerge w:val="continue"/>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adjustRightInd w:val="0"/>
              <w:snapToGrid w:val="0"/>
              <w:jc w:val="center"/>
              <w:rPr>
                <w:rFonts w:ascii="宋体" w:hAnsi="宋体" w:cs="宋体"/>
                <w:color w:val="000000"/>
                <w:sz w:val="22"/>
                <w:szCs w:val="22"/>
                <w:highlight w:val="none"/>
              </w:rPr>
            </w:pPr>
          </w:p>
        </w:tc>
        <w:tc>
          <w:tcPr>
            <w:tcW w:w="4338"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Cs w:val="21"/>
                <w:highlight w:val="none"/>
              </w:rPr>
            </w:pPr>
            <w:r>
              <w:rPr>
                <w:rFonts w:hint="eastAsia" w:ascii="宋体" w:hAnsi="宋体" w:cs="宋体"/>
                <w:color w:val="000000"/>
                <w:kern w:val="0"/>
                <w:szCs w:val="21"/>
                <w:highlight w:val="none"/>
                <w:lang w:bidi="ar"/>
              </w:rPr>
              <w:t>不得占用或妨碍残疾人公共厕所的正常使用。</w:t>
            </w:r>
          </w:p>
        </w:tc>
        <w:tc>
          <w:tcPr>
            <w:tcW w:w="2474"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adjustRightInd w:val="0"/>
              <w:snapToGrid w:val="0"/>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凡发现任何一项不合格，该站扣0.5分。</w:t>
            </w:r>
          </w:p>
        </w:tc>
      </w:tr>
    </w:tbl>
    <w:p>
      <w:pPr>
        <w:pStyle w:val="7"/>
        <w:rPr>
          <w:highlight w:val="none"/>
        </w:rPr>
        <w:sectPr>
          <w:pgSz w:w="16840" w:h="11900" w:orient="landscape"/>
          <w:pgMar w:top="1800" w:right="1440" w:bottom="1800" w:left="1440" w:header="851" w:footer="992" w:gutter="0"/>
          <w:cols w:space="425" w:num="1"/>
          <w:docGrid w:type="lines" w:linePitch="423" w:charSpace="0"/>
        </w:sectPr>
      </w:pPr>
    </w:p>
    <w:p>
      <w:pPr>
        <w:pStyle w:val="4"/>
        <w:jc w:val="center"/>
        <w:rPr>
          <w:highlight w:val="none"/>
        </w:rPr>
      </w:pPr>
      <w:bookmarkStart w:id="541" w:name="_Toc3580"/>
      <w:bookmarkStart w:id="542" w:name="_Toc4165_WPSOffice_Level1"/>
      <w:r>
        <w:rPr>
          <w:rFonts w:hint="eastAsia"/>
          <w:highlight w:val="none"/>
        </w:rPr>
        <w:t>第五章 投标文件内容和格式</w:t>
      </w:r>
      <w:bookmarkEnd w:id="541"/>
      <w:bookmarkEnd w:id="542"/>
    </w:p>
    <w:p>
      <w:pPr>
        <w:rPr>
          <w:rFonts w:ascii="宋体" w:hAnsi="宋体" w:cs="宋体"/>
          <w:highlight w:val="none"/>
        </w:rPr>
      </w:pPr>
    </w:p>
    <w:p>
      <w:pPr>
        <w:spacing w:line="600" w:lineRule="exact"/>
        <w:jc w:val="center"/>
        <w:rPr>
          <w:rFonts w:ascii="宋体" w:hAnsi="宋体" w:cs="宋体"/>
          <w:b/>
          <w:sz w:val="28"/>
          <w:szCs w:val="28"/>
          <w:highlight w:val="none"/>
        </w:rPr>
      </w:pPr>
      <w:r>
        <w:rPr>
          <w:rFonts w:hint="eastAsia" w:ascii="宋体" w:hAnsi="宋体" w:cs="宋体"/>
          <w:b/>
          <w:sz w:val="24"/>
          <w:highlight w:val="none"/>
        </w:rPr>
        <w:t xml:space="preserve">                                              </w:t>
      </w:r>
      <w:r>
        <w:rPr>
          <w:rFonts w:hint="eastAsia" w:ascii="宋体" w:hAnsi="宋体" w:cs="宋体"/>
          <w:b/>
          <w:sz w:val="28"/>
          <w:szCs w:val="28"/>
          <w:highlight w:val="none"/>
        </w:rPr>
        <w:t xml:space="preserve">   正本或副本</w:t>
      </w:r>
    </w:p>
    <w:p>
      <w:pPr>
        <w:ind w:firstLine="420"/>
        <w:rPr>
          <w:rFonts w:ascii="宋体" w:hAnsi="宋体" w:cs="宋体"/>
          <w:b/>
          <w:bCs/>
          <w:sz w:val="52"/>
          <w:szCs w:val="52"/>
          <w:highlight w:val="none"/>
        </w:rPr>
      </w:pPr>
      <w:r>
        <w:rPr>
          <w:rFonts w:hint="eastAsia" w:ascii="宋体" w:hAnsi="宋体" w:cs="宋体"/>
          <w:b/>
          <w:bCs/>
          <w:sz w:val="52"/>
          <w:szCs w:val="52"/>
          <w:highlight w:val="none"/>
        </w:rPr>
        <w:t>海口市美兰区乡镇环卫一体化项目</w:t>
      </w:r>
    </w:p>
    <w:p>
      <w:pPr>
        <w:ind w:firstLine="420"/>
        <w:rPr>
          <w:rFonts w:ascii="宋体" w:hAnsi="宋体" w:cs="宋体"/>
          <w:b/>
          <w:bCs/>
          <w:sz w:val="52"/>
          <w:szCs w:val="52"/>
          <w:highlight w:val="none"/>
        </w:rPr>
      </w:pPr>
    </w:p>
    <w:p>
      <w:pPr>
        <w:spacing w:line="600" w:lineRule="exact"/>
        <w:jc w:val="center"/>
        <w:rPr>
          <w:rFonts w:ascii="宋体" w:hAnsi="宋体" w:cs="宋体"/>
          <w:b/>
          <w:bCs/>
          <w:sz w:val="36"/>
          <w:szCs w:val="36"/>
          <w:highlight w:val="none"/>
        </w:rPr>
      </w:pPr>
      <w:r>
        <w:rPr>
          <w:rFonts w:hint="eastAsia" w:ascii="宋体" w:hAnsi="宋体" w:cs="宋体"/>
          <w:b/>
          <w:bCs/>
          <w:sz w:val="36"/>
          <w:szCs w:val="36"/>
          <w:highlight w:val="none"/>
        </w:rPr>
        <w:t xml:space="preserve">   </w:t>
      </w:r>
    </w:p>
    <w:p>
      <w:pPr>
        <w:spacing w:line="600" w:lineRule="exact"/>
        <w:jc w:val="center"/>
        <w:rPr>
          <w:rFonts w:ascii="宋体" w:hAnsi="宋体" w:cs="宋体"/>
          <w:b/>
          <w:sz w:val="28"/>
          <w:szCs w:val="28"/>
          <w:highlight w:val="none"/>
        </w:rPr>
      </w:pPr>
      <w:r>
        <w:rPr>
          <w:rFonts w:hint="eastAsia" w:ascii="宋体" w:hAnsi="宋体" w:cs="宋体"/>
          <w:b/>
          <w:bCs/>
          <w:sz w:val="28"/>
          <w:szCs w:val="28"/>
          <w:highlight w:val="none"/>
        </w:rPr>
        <w:t xml:space="preserve"> </w:t>
      </w:r>
      <w:r>
        <w:rPr>
          <w:rFonts w:hint="eastAsia" w:ascii="宋体" w:hAnsi="宋体" w:cs="宋体"/>
          <w:b/>
          <w:sz w:val="28"/>
          <w:szCs w:val="28"/>
          <w:highlight w:val="none"/>
        </w:rPr>
        <w:t xml:space="preserve">采购编号：WDSZ2019003 </w:t>
      </w:r>
    </w:p>
    <w:p>
      <w:pPr>
        <w:spacing w:line="600" w:lineRule="exact"/>
        <w:jc w:val="center"/>
        <w:rPr>
          <w:rFonts w:ascii="宋体" w:hAnsi="宋体" w:cs="宋体"/>
          <w:b/>
          <w:sz w:val="28"/>
          <w:szCs w:val="28"/>
          <w:highlight w:val="none"/>
        </w:rPr>
      </w:pPr>
    </w:p>
    <w:p>
      <w:pPr>
        <w:spacing w:line="600" w:lineRule="exact"/>
        <w:jc w:val="center"/>
        <w:rPr>
          <w:rFonts w:ascii="宋体" w:hAnsi="宋体" w:cs="宋体"/>
          <w:b/>
          <w:sz w:val="28"/>
          <w:szCs w:val="28"/>
          <w:highlight w:val="none"/>
        </w:rPr>
      </w:pPr>
    </w:p>
    <w:p>
      <w:pPr>
        <w:jc w:val="center"/>
        <w:rPr>
          <w:rFonts w:ascii="宋体" w:hAnsi="宋体" w:cs="宋体"/>
          <w:b/>
          <w:sz w:val="44"/>
          <w:szCs w:val="44"/>
          <w:highlight w:val="none"/>
        </w:rPr>
      </w:pPr>
      <w:r>
        <w:rPr>
          <w:rFonts w:hint="eastAsia" w:ascii="宋体" w:hAnsi="宋体" w:cs="宋体"/>
          <w:b/>
          <w:sz w:val="44"/>
          <w:szCs w:val="44"/>
          <w:highlight w:val="none"/>
        </w:rPr>
        <w:t>投 标 文 件</w:t>
      </w:r>
    </w:p>
    <w:p>
      <w:pPr>
        <w:spacing w:line="600" w:lineRule="exact"/>
        <w:jc w:val="center"/>
        <w:rPr>
          <w:rFonts w:ascii="宋体" w:hAnsi="宋体" w:cs="宋体"/>
          <w:b/>
          <w:sz w:val="28"/>
          <w:szCs w:val="28"/>
          <w:highlight w:val="none"/>
        </w:rPr>
      </w:pPr>
    </w:p>
    <w:p>
      <w:pPr>
        <w:spacing w:line="600" w:lineRule="exact"/>
        <w:jc w:val="center"/>
        <w:rPr>
          <w:rFonts w:ascii="宋体" w:hAnsi="宋体" w:cs="宋体"/>
          <w:b/>
          <w:sz w:val="28"/>
          <w:szCs w:val="28"/>
          <w:highlight w:val="none"/>
        </w:rPr>
      </w:pPr>
    </w:p>
    <w:p>
      <w:pPr>
        <w:spacing w:line="600" w:lineRule="exact"/>
        <w:jc w:val="center"/>
        <w:rPr>
          <w:rFonts w:ascii="宋体" w:hAnsi="宋体" w:cs="宋体"/>
          <w:b/>
          <w:sz w:val="28"/>
          <w:szCs w:val="28"/>
          <w:highlight w:val="none"/>
        </w:rPr>
      </w:pPr>
    </w:p>
    <w:p>
      <w:pPr>
        <w:spacing w:line="600" w:lineRule="exact"/>
        <w:rPr>
          <w:rFonts w:ascii="宋体" w:hAnsi="宋体" w:cs="宋体"/>
          <w:b/>
          <w:sz w:val="28"/>
          <w:szCs w:val="28"/>
          <w:highlight w:val="none"/>
        </w:rPr>
      </w:pPr>
    </w:p>
    <w:p>
      <w:pPr>
        <w:spacing w:line="600" w:lineRule="exact"/>
        <w:ind w:firstLine="1968" w:firstLineChars="700"/>
        <w:rPr>
          <w:rFonts w:ascii="宋体" w:hAnsi="宋体" w:cs="宋体"/>
          <w:b/>
          <w:sz w:val="28"/>
          <w:szCs w:val="28"/>
          <w:highlight w:val="none"/>
        </w:rPr>
      </w:pPr>
      <w:r>
        <w:rPr>
          <w:rFonts w:hint="eastAsia" w:ascii="宋体" w:hAnsi="宋体" w:cs="宋体"/>
          <w:b/>
          <w:sz w:val="28"/>
          <w:szCs w:val="28"/>
          <w:highlight w:val="none"/>
        </w:rPr>
        <w:t>投标人：</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(单位盖章)</w:t>
      </w:r>
    </w:p>
    <w:p>
      <w:pPr>
        <w:spacing w:line="600" w:lineRule="exact"/>
        <w:ind w:firstLine="1968" w:firstLineChars="700"/>
        <w:rPr>
          <w:rFonts w:ascii="宋体" w:hAnsi="宋体" w:cs="宋体"/>
          <w:b/>
          <w:sz w:val="28"/>
          <w:szCs w:val="28"/>
          <w:highlight w:val="none"/>
        </w:rPr>
      </w:pPr>
      <w:r>
        <w:rPr>
          <w:rFonts w:hint="eastAsia" w:ascii="宋体" w:hAnsi="宋体" w:cs="宋体"/>
          <w:b/>
          <w:sz w:val="28"/>
          <w:szCs w:val="28"/>
          <w:highlight w:val="none"/>
        </w:rPr>
        <w:t>法定代表人或其授权代表：</w:t>
      </w:r>
      <w:r>
        <w:rPr>
          <w:rFonts w:hint="eastAsia" w:ascii="宋体" w:hAnsi="宋体" w:cs="宋体"/>
          <w:b/>
          <w:sz w:val="28"/>
          <w:szCs w:val="28"/>
          <w:highlight w:val="none"/>
          <w:u w:val="single"/>
        </w:rPr>
        <w:t xml:space="preserve">               </w:t>
      </w:r>
      <w:r>
        <w:rPr>
          <w:rFonts w:hint="eastAsia" w:ascii="宋体" w:hAnsi="宋体" w:cs="宋体"/>
          <w:b/>
          <w:sz w:val="28"/>
          <w:szCs w:val="28"/>
          <w:highlight w:val="none"/>
        </w:rPr>
        <w:t>(签字)</w:t>
      </w:r>
    </w:p>
    <w:p>
      <w:pPr>
        <w:spacing w:line="600" w:lineRule="exact"/>
        <w:rPr>
          <w:rFonts w:ascii="宋体" w:hAnsi="宋体" w:cs="宋体"/>
          <w:b/>
          <w:sz w:val="28"/>
          <w:szCs w:val="28"/>
          <w:highlight w:val="none"/>
          <w:u w:val="single"/>
        </w:rPr>
      </w:pPr>
      <w:r>
        <w:rPr>
          <w:rFonts w:hint="eastAsia" w:ascii="宋体" w:hAnsi="宋体" w:cs="宋体"/>
          <w:b/>
          <w:sz w:val="28"/>
          <w:szCs w:val="28"/>
          <w:highlight w:val="none"/>
        </w:rPr>
        <w:t xml:space="preserve">              投标人地址：</w:t>
      </w:r>
      <w:r>
        <w:rPr>
          <w:rFonts w:hint="eastAsia" w:ascii="宋体" w:hAnsi="宋体" w:cs="宋体"/>
          <w:b/>
          <w:sz w:val="28"/>
          <w:szCs w:val="28"/>
          <w:highlight w:val="none"/>
          <w:u w:val="single"/>
        </w:rPr>
        <w:t xml:space="preserve">                        </w:t>
      </w:r>
    </w:p>
    <w:p>
      <w:pPr>
        <w:spacing w:line="600" w:lineRule="exact"/>
        <w:rPr>
          <w:rFonts w:ascii="宋体" w:hAnsi="宋体" w:cs="宋体"/>
          <w:b/>
          <w:sz w:val="28"/>
          <w:szCs w:val="28"/>
          <w:highlight w:val="none"/>
          <w:u w:val="single"/>
        </w:rPr>
      </w:pPr>
      <w:r>
        <w:rPr>
          <w:rFonts w:hint="eastAsia" w:ascii="宋体" w:hAnsi="宋体" w:cs="宋体"/>
          <w:b/>
          <w:sz w:val="28"/>
          <w:szCs w:val="28"/>
          <w:highlight w:val="none"/>
        </w:rPr>
        <w:t xml:space="preserve">              电   话：</w:t>
      </w:r>
      <w:r>
        <w:rPr>
          <w:rFonts w:hint="eastAsia" w:ascii="宋体" w:hAnsi="宋体" w:cs="宋体"/>
          <w:b/>
          <w:sz w:val="28"/>
          <w:szCs w:val="28"/>
          <w:highlight w:val="none"/>
          <w:u w:val="single"/>
        </w:rPr>
        <w:t xml:space="preserve">                       </w:t>
      </w:r>
    </w:p>
    <w:p>
      <w:pPr>
        <w:spacing w:line="600" w:lineRule="exact"/>
        <w:ind w:firstLine="3092" w:firstLineChars="1100"/>
        <w:rPr>
          <w:rFonts w:ascii="宋体" w:hAnsi="宋体" w:cs="宋体"/>
          <w:b/>
          <w:sz w:val="28"/>
          <w:szCs w:val="28"/>
          <w:highlight w:val="none"/>
        </w:rPr>
      </w:pPr>
      <w:r>
        <w:rPr>
          <w:rFonts w:hint="eastAsia" w:ascii="宋体" w:hAnsi="宋体" w:cs="宋体"/>
          <w:b/>
          <w:sz w:val="28"/>
          <w:szCs w:val="28"/>
          <w:highlight w:val="none"/>
        </w:rPr>
        <w:t>二〇一九年  月  日</w:t>
      </w:r>
    </w:p>
    <w:p>
      <w:pPr>
        <w:rPr>
          <w:highlight w:val="none"/>
        </w:rPr>
        <w:sectPr>
          <w:pgSz w:w="11906" w:h="16838"/>
          <w:pgMar w:top="1440" w:right="1800" w:bottom="1440" w:left="1800" w:header="851" w:footer="992" w:gutter="0"/>
          <w:cols w:space="425" w:num="1"/>
          <w:docGrid w:type="lines" w:linePitch="312" w:charSpace="0"/>
        </w:sectPr>
      </w:pPr>
    </w:p>
    <w:p>
      <w:pPr>
        <w:spacing w:line="600" w:lineRule="exact"/>
        <w:jc w:val="center"/>
        <w:rPr>
          <w:rFonts w:ascii="宋体" w:hAnsi="宋体" w:cs="宋体"/>
          <w:b/>
          <w:sz w:val="28"/>
          <w:szCs w:val="28"/>
          <w:highlight w:val="none"/>
        </w:rPr>
      </w:pPr>
      <w:r>
        <w:rPr>
          <w:rFonts w:hint="eastAsia" w:ascii="宋体" w:hAnsi="宋体" w:cs="宋体"/>
          <w:b/>
          <w:sz w:val="30"/>
          <w:szCs w:val="30"/>
          <w:highlight w:val="none"/>
        </w:rPr>
        <w:t>目录</w:t>
      </w:r>
    </w:p>
    <w:p>
      <w:pPr>
        <w:spacing w:line="600" w:lineRule="exact"/>
        <w:rPr>
          <w:rFonts w:ascii="宋体" w:hAnsi="宋体" w:cs="宋体"/>
          <w:sz w:val="28"/>
          <w:szCs w:val="28"/>
          <w:highlight w:val="none"/>
        </w:rPr>
      </w:pPr>
      <w:r>
        <w:rPr>
          <w:rFonts w:hint="eastAsia" w:ascii="宋体" w:hAnsi="宋体" w:cs="宋体"/>
          <w:sz w:val="28"/>
          <w:szCs w:val="28"/>
          <w:highlight w:val="none"/>
        </w:rPr>
        <w:t>1、投标函</w:t>
      </w:r>
    </w:p>
    <w:p>
      <w:pPr>
        <w:spacing w:line="600" w:lineRule="exact"/>
        <w:rPr>
          <w:rFonts w:ascii="宋体" w:hAnsi="宋体" w:cs="宋体"/>
          <w:sz w:val="28"/>
          <w:szCs w:val="28"/>
          <w:highlight w:val="none"/>
        </w:rPr>
      </w:pPr>
      <w:r>
        <w:rPr>
          <w:rFonts w:hint="eastAsia" w:ascii="宋体" w:hAnsi="宋体" w:cs="宋体"/>
          <w:sz w:val="28"/>
          <w:szCs w:val="28"/>
          <w:highlight w:val="none"/>
        </w:rPr>
        <w:t>2、开标一览表</w:t>
      </w:r>
    </w:p>
    <w:p>
      <w:pPr>
        <w:spacing w:line="600" w:lineRule="exact"/>
        <w:rPr>
          <w:rFonts w:ascii="宋体" w:hAnsi="宋体" w:cs="宋体"/>
          <w:sz w:val="28"/>
          <w:szCs w:val="28"/>
          <w:highlight w:val="none"/>
        </w:rPr>
      </w:pPr>
      <w:r>
        <w:rPr>
          <w:rFonts w:hint="eastAsia" w:ascii="宋体" w:hAnsi="宋体" w:cs="宋体"/>
          <w:sz w:val="28"/>
          <w:szCs w:val="28"/>
          <w:highlight w:val="none"/>
        </w:rPr>
        <w:t>3、授权委托书（附上法人代表、授权代表身份证复印件加盖公章）</w:t>
      </w:r>
    </w:p>
    <w:p>
      <w:pPr>
        <w:spacing w:line="600" w:lineRule="exact"/>
        <w:rPr>
          <w:rFonts w:ascii="宋体" w:hAnsi="宋体" w:cs="宋体"/>
          <w:sz w:val="28"/>
          <w:szCs w:val="28"/>
          <w:highlight w:val="none"/>
        </w:rPr>
      </w:pPr>
      <w:r>
        <w:rPr>
          <w:rFonts w:hint="eastAsia" w:ascii="宋体" w:hAnsi="宋体" w:cs="宋体"/>
          <w:sz w:val="28"/>
          <w:szCs w:val="28"/>
          <w:highlight w:val="none"/>
        </w:rPr>
        <w:t>4、投标人资格证明材料</w:t>
      </w:r>
    </w:p>
    <w:p>
      <w:pPr>
        <w:spacing w:line="600" w:lineRule="exact"/>
        <w:rPr>
          <w:rFonts w:ascii="宋体" w:hAnsi="宋体" w:cs="宋体"/>
          <w:bCs/>
          <w:sz w:val="28"/>
          <w:szCs w:val="28"/>
          <w:highlight w:val="none"/>
        </w:rPr>
      </w:pPr>
      <w:r>
        <w:rPr>
          <w:rFonts w:hint="eastAsia" w:ascii="宋体" w:hAnsi="宋体" w:cs="宋体"/>
          <w:bCs/>
          <w:sz w:val="28"/>
          <w:szCs w:val="28"/>
          <w:highlight w:val="none"/>
        </w:rPr>
        <w:t>5、用户需求响应表</w:t>
      </w:r>
    </w:p>
    <w:p>
      <w:pPr>
        <w:spacing w:line="600" w:lineRule="exact"/>
        <w:rPr>
          <w:rFonts w:ascii="宋体" w:hAnsi="宋体" w:cs="宋体"/>
          <w:bCs/>
          <w:sz w:val="28"/>
          <w:szCs w:val="28"/>
          <w:highlight w:val="none"/>
        </w:rPr>
      </w:pPr>
      <w:r>
        <w:rPr>
          <w:rFonts w:hint="eastAsia" w:ascii="宋体" w:hAnsi="宋体" w:cs="宋体"/>
          <w:bCs/>
          <w:sz w:val="28"/>
          <w:szCs w:val="28"/>
          <w:highlight w:val="none"/>
        </w:rPr>
        <w:t>6、企业资信情况</w:t>
      </w:r>
    </w:p>
    <w:p>
      <w:pPr>
        <w:spacing w:line="600" w:lineRule="exact"/>
        <w:rPr>
          <w:rFonts w:ascii="宋体" w:hAnsi="宋体" w:cs="宋体"/>
          <w:bCs/>
          <w:sz w:val="28"/>
          <w:szCs w:val="28"/>
          <w:highlight w:val="none"/>
        </w:rPr>
      </w:pPr>
      <w:r>
        <w:rPr>
          <w:rFonts w:hint="eastAsia" w:ascii="宋体" w:hAnsi="宋体" w:cs="宋体"/>
          <w:bCs/>
          <w:sz w:val="28"/>
          <w:szCs w:val="28"/>
          <w:highlight w:val="none"/>
        </w:rPr>
        <w:t>7、企业荣誉</w:t>
      </w:r>
    </w:p>
    <w:p>
      <w:pPr>
        <w:spacing w:line="600" w:lineRule="exact"/>
        <w:rPr>
          <w:rFonts w:ascii="宋体" w:hAnsi="宋体" w:cs="宋体"/>
          <w:bCs/>
          <w:sz w:val="28"/>
          <w:szCs w:val="28"/>
          <w:highlight w:val="none"/>
        </w:rPr>
      </w:pPr>
      <w:r>
        <w:rPr>
          <w:rFonts w:hint="eastAsia" w:ascii="宋体" w:hAnsi="宋体" w:cs="宋体"/>
          <w:bCs/>
          <w:sz w:val="28"/>
          <w:szCs w:val="28"/>
          <w:highlight w:val="none"/>
        </w:rPr>
        <w:t>8、企业业绩</w:t>
      </w:r>
    </w:p>
    <w:p>
      <w:pPr>
        <w:pStyle w:val="7"/>
        <w:ind w:firstLine="0" w:firstLineChars="0"/>
        <w:rPr>
          <w:rFonts w:hAnsi="宋体" w:cs="宋体"/>
          <w:bCs/>
          <w:sz w:val="28"/>
          <w:szCs w:val="28"/>
          <w:highlight w:val="none"/>
        </w:rPr>
      </w:pPr>
      <w:r>
        <w:rPr>
          <w:rFonts w:hint="eastAsia" w:hAnsi="宋体" w:cs="宋体"/>
          <w:bCs/>
          <w:sz w:val="28"/>
          <w:szCs w:val="28"/>
          <w:highlight w:val="none"/>
        </w:rPr>
        <w:t>9、服务整体方案</w:t>
      </w:r>
    </w:p>
    <w:p>
      <w:pPr>
        <w:pStyle w:val="7"/>
        <w:ind w:firstLine="0" w:firstLineChars="0"/>
        <w:rPr>
          <w:rFonts w:hAnsi="宋体" w:cs="宋体"/>
          <w:bCs/>
          <w:sz w:val="28"/>
          <w:szCs w:val="28"/>
          <w:highlight w:val="none"/>
        </w:rPr>
      </w:pPr>
      <w:r>
        <w:rPr>
          <w:rFonts w:hint="eastAsia" w:hAnsi="宋体" w:cs="宋体"/>
          <w:bCs/>
          <w:sz w:val="28"/>
          <w:szCs w:val="28"/>
          <w:highlight w:val="none"/>
        </w:rPr>
        <w:t>10、车辆设备配置方案</w:t>
      </w:r>
    </w:p>
    <w:p>
      <w:pPr>
        <w:pStyle w:val="7"/>
        <w:ind w:firstLine="0" w:firstLineChars="0"/>
        <w:rPr>
          <w:rFonts w:hAnsi="宋体" w:cs="宋体"/>
          <w:bCs/>
          <w:sz w:val="28"/>
          <w:szCs w:val="28"/>
          <w:highlight w:val="none"/>
        </w:rPr>
      </w:pPr>
      <w:r>
        <w:rPr>
          <w:rFonts w:hint="eastAsia" w:hAnsi="宋体" w:cs="宋体"/>
          <w:bCs/>
          <w:sz w:val="28"/>
          <w:szCs w:val="28"/>
          <w:highlight w:val="none"/>
        </w:rPr>
        <w:t>11、人员配置方案</w:t>
      </w:r>
    </w:p>
    <w:p>
      <w:pPr>
        <w:pStyle w:val="7"/>
        <w:ind w:firstLine="0" w:firstLineChars="0"/>
        <w:rPr>
          <w:rFonts w:hAnsi="宋体" w:cs="宋体"/>
          <w:bCs/>
          <w:sz w:val="28"/>
          <w:szCs w:val="28"/>
          <w:highlight w:val="none"/>
        </w:rPr>
      </w:pPr>
      <w:r>
        <w:rPr>
          <w:rFonts w:hint="eastAsia" w:hAnsi="宋体" w:cs="宋体"/>
          <w:bCs/>
          <w:sz w:val="28"/>
          <w:szCs w:val="28"/>
          <w:highlight w:val="none"/>
        </w:rPr>
        <w:t>12、智能化管理方案</w:t>
      </w:r>
    </w:p>
    <w:p>
      <w:pPr>
        <w:pStyle w:val="7"/>
        <w:ind w:firstLine="0" w:firstLineChars="0"/>
        <w:rPr>
          <w:rFonts w:hAnsi="宋体" w:cs="宋体"/>
          <w:bCs/>
          <w:sz w:val="28"/>
          <w:szCs w:val="28"/>
          <w:highlight w:val="none"/>
        </w:rPr>
      </w:pPr>
      <w:r>
        <w:rPr>
          <w:rFonts w:hint="eastAsia" w:hAnsi="宋体" w:cs="宋体"/>
          <w:bCs/>
          <w:sz w:val="28"/>
          <w:szCs w:val="28"/>
          <w:highlight w:val="none"/>
        </w:rPr>
        <w:t>13、应急保障方案</w:t>
      </w:r>
    </w:p>
    <w:p>
      <w:pPr>
        <w:pStyle w:val="7"/>
        <w:ind w:firstLine="0" w:firstLineChars="0"/>
        <w:rPr>
          <w:rFonts w:hAnsi="宋体" w:cs="宋体"/>
          <w:bCs/>
          <w:sz w:val="28"/>
          <w:szCs w:val="28"/>
          <w:highlight w:val="none"/>
        </w:rPr>
      </w:pPr>
      <w:r>
        <w:rPr>
          <w:rFonts w:hint="eastAsia" w:hAnsi="宋体" w:cs="宋体"/>
          <w:bCs/>
          <w:sz w:val="28"/>
          <w:szCs w:val="28"/>
          <w:highlight w:val="none"/>
        </w:rPr>
        <w:t>14、项目质量的保障措施及服务承诺</w:t>
      </w:r>
    </w:p>
    <w:p>
      <w:pPr>
        <w:pStyle w:val="7"/>
        <w:ind w:firstLine="0" w:firstLineChars="0"/>
        <w:rPr>
          <w:rFonts w:hAnsi="宋体" w:cs="宋体"/>
          <w:bCs/>
          <w:sz w:val="28"/>
          <w:szCs w:val="28"/>
          <w:highlight w:val="none"/>
        </w:rPr>
      </w:pPr>
      <w:r>
        <w:rPr>
          <w:rFonts w:hint="eastAsia" w:hAnsi="宋体" w:cs="宋体"/>
          <w:bCs/>
          <w:sz w:val="28"/>
          <w:szCs w:val="28"/>
          <w:highlight w:val="none"/>
        </w:rPr>
        <w:t>15、垃圾分类实施方案</w:t>
      </w:r>
    </w:p>
    <w:p>
      <w:pPr>
        <w:pStyle w:val="7"/>
        <w:ind w:firstLine="0" w:firstLineChars="0"/>
        <w:rPr>
          <w:rFonts w:ascii="宋体" w:hAnsi="宋体" w:cs="宋体"/>
          <w:sz w:val="28"/>
          <w:szCs w:val="28"/>
          <w:highlight w:val="none"/>
        </w:rPr>
      </w:pPr>
      <w:r>
        <w:rPr>
          <w:rFonts w:hint="eastAsia" w:hAnsi="宋体" w:cs="宋体"/>
          <w:sz w:val="28"/>
          <w:szCs w:val="28"/>
          <w:highlight w:val="none"/>
        </w:rPr>
        <w:t>16、</w:t>
      </w:r>
      <w:r>
        <w:rPr>
          <w:rFonts w:hint="eastAsia" w:ascii="宋体" w:hAnsi="宋体" w:cs="宋体"/>
          <w:sz w:val="28"/>
          <w:szCs w:val="28"/>
          <w:highlight w:val="none"/>
        </w:rPr>
        <w:t>招标文件要求的其他材料及投标人认为需要的其他材料</w:t>
      </w:r>
    </w:p>
    <w:p>
      <w:pPr>
        <w:spacing w:line="600" w:lineRule="exact"/>
        <w:ind w:firstLine="482" w:firstLineChars="200"/>
        <w:rPr>
          <w:rFonts w:ascii="宋体" w:hAnsi="宋体" w:cs="宋体"/>
          <w:b/>
          <w:sz w:val="24"/>
          <w:highlight w:val="none"/>
        </w:rPr>
      </w:pPr>
    </w:p>
    <w:p>
      <w:pPr>
        <w:spacing w:line="600" w:lineRule="exact"/>
        <w:ind w:firstLine="482" w:firstLineChars="200"/>
        <w:rPr>
          <w:rFonts w:ascii="宋体" w:hAnsi="宋体" w:cs="宋体"/>
          <w:b/>
          <w:sz w:val="24"/>
          <w:highlight w:val="none"/>
        </w:rPr>
      </w:pPr>
      <w:r>
        <w:rPr>
          <w:rFonts w:hint="eastAsia" w:ascii="宋体" w:hAnsi="宋体" w:cs="宋体"/>
          <w:b/>
          <w:sz w:val="24"/>
          <w:highlight w:val="none"/>
        </w:rPr>
        <w:t>注：请投标人添加索引页码，否则可能将影响对投标文件的评价。</w:t>
      </w:r>
    </w:p>
    <w:p>
      <w:pPr>
        <w:rPr>
          <w:highlight w:val="none"/>
        </w:rPr>
        <w:sectPr>
          <w:pgSz w:w="11906" w:h="16838"/>
          <w:pgMar w:top="1440" w:right="1800" w:bottom="1440" w:left="1800" w:header="851" w:footer="992" w:gutter="0"/>
          <w:cols w:space="425" w:num="1"/>
          <w:docGrid w:type="lines" w:linePitch="312" w:charSpace="0"/>
        </w:sectPr>
      </w:pPr>
    </w:p>
    <w:p>
      <w:pPr>
        <w:spacing w:line="600" w:lineRule="exact"/>
        <w:jc w:val="left"/>
        <w:rPr>
          <w:rFonts w:ascii="宋体" w:hAnsi="宋体" w:cs="宋体"/>
          <w:b/>
          <w:sz w:val="30"/>
          <w:szCs w:val="30"/>
          <w:highlight w:val="none"/>
        </w:rPr>
      </w:pPr>
      <w:r>
        <w:rPr>
          <w:rFonts w:hint="eastAsia" w:ascii="宋体" w:hAnsi="宋体" w:cs="宋体"/>
          <w:b/>
          <w:sz w:val="30"/>
          <w:szCs w:val="30"/>
          <w:highlight w:val="none"/>
        </w:rPr>
        <w:t>1、投标函</w:t>
      </w:r>
    </w:p>
    <w:p>
      <w:pPr>
        <w:spacing w:line="600" w:lineRule="exact"/>
        <w:rPr>
          <w:rFonts w:ascii="宋体" w:hAnsi="宋体" w:cs="宋体"/>
          <w:b/>
          <w:sz w:val="24"/>
          <w:highlight w:val="none"/>
        </w:rPr>
      </w:pPr>
      <w:r>
        <w:rPr>
          <w:rFonts w:hint="eastAsia" w:ascii="宋体" w:hAnsi="宋体" w:cs="宋体"/>
          <w:b/>
          <w:sz w:val="24"/>
          <w:highlight w:val="none"/>
        </w:rPr>
        <w:t>致：深圳市万德公共咨询有限公司</w:t>
      </w:r>
    </w:p>
    <w:p>
      <w:pPr>
        <w:spacing w:line="600" w:lineRule="exact"/>
        <w:ind w:firstLine="480" w:firstLineChars="200"/>
        <w:rPr>
          <w:rFonts w:ascii="宋体" w:hAnsi="宋体" w:cs="宋体"/>
          <w:sz w:val="24"/>
          <w:highlight w:val="none"/>
        </w:rPr>
      </w:pPr>
      <w:r>
        <w:rPr>
          <w:rFonts w:hint="eastAsia" w:ascii="宋体" w:hAnsi="宋体" w:cs="宋体"/>
          <w:sz w:val="24"/>
          <w:highlight w:val="none"/>
        </w:rPr>
        <w:t>根据贵单位</w:t>
      </w:r>
      <w:r>
        <w:rPr>
          <w:rFonts w:hint="eastAsia" w:ascii="宋体" w:hAnsi="宋体" w:cs="宋体"/>
          <w:bCs/>
          <w:sz w:val="24"/>
          <w:highlight w:val="none"/>
          <w:u w:val="single"/>
        </w:rPr>
        <w:t xml:space="preserve"> 海口市美兰区乡镇环卫一体化项目</w:t>
      </w:r>
      <w:r>
        <w:rPr>
          <w:rFonts w:hint="eastAsia" w:ascii="宋体" w:hAnsi="宋体" w:cs="宋体"/>
          <w:sz w:val="24"/>
          <w:highlight w:val="none"/>
        </w:rPr>
        <w:t>（采购编号为WDSZ2019003）的招标文件要求，正式授权下述签字人</w:t>
      </w:r>
      <w:r>
        <w:rPr>
          <w:rFonts w:hint="eastAsia" w:ascii="宋体" w:hAnsi="宋体" w:cs="宋体"/>
          <w:sz w:val="24"/>
          <w:highlight w:val="none"/>
          <w:u w:val="single"/>
        </w:rPr>
        <w:t xml:space="preserve">           </w:t>
      </w:r>
      <w:r>
        <w:rPr>
          <w:rFonts w:hint="eastAsia" w:ascii="宋体" w:hAnsi="宋体" w:cs="宋体"/>
          <w:sz w:val="24"/>
          <w:highlight w:val="none"/>
        </w:rPr>
        <w:t>（姓名和职务）代表投标人</w:t>
      </w:r>
      <w:r>
        <w:rPr>
          <w:rFonts w:hint="eastAsia" w:ascii="宋体" w:hAnsi="宋体" w:cs="宋体"/>
          <w:sz w:val="24"/>
          <w:highlight w:val="none"/>
          <w:u w:val="single"/>
        </w:rPr>
        <w:t xml:space="preserve">     </w:t>
      </w:r>
      <w:r>
        <w:rPr>
          <w:rFonts w:hint="eastAsia" w:ascii="宋体" w:hAnsi="宋体" w:cs="宋体"/>
          <w:sz w:val="24"/>
          <w:highlight w:val="none"/>
        </w:rPr>
        <w:t>（投标单位名称），提交投标文件。根据此函，我们宣布同意如下：</w:t>
      </w:r>
    </w:p>
    <w:p>
      <w:pPr>
        <w:spacing w:line="600" w:lineRule="exact"/>
        <w:rPr>
          <w:rFonts w:ascii="宋体" w:hAnsi="宋体" w:cs="宋体"/>
          <w:sz w:val="24"/>
          <w:highlight w:val="none"/>
        </w:rPr>
      </w:pPr>
      <w:r>
        <w:rPr>
          <w:rFonts w:hint="eastAsia" w:ascii="宋体" w:hAnsi="宋体" w:cs="宋体"/>
          <w:sz w:val="24"/>
          <w:highlight w:val="none"/>
        </w:rPr>
        <w:t>1、我方接受招标文件的所有的条款和规定。</w:t>
      </w:r>
    </w:p>
    <w:p>
      <w:pPr>
        <w:spacing w:line="600" w:lineRule="exact"/>
        <w:rPr>
          <w:rFonts w:ascii="宋体" w:hAnsi="宋体" w:cs="宋体"/>
          <w:sz w:val="24"/>
          <w:highlight w:val="none"/>
        </w:rPr>
      </w:pPr>
      <w:r>
        <w:rPr>
          <w:rFonts w:hint="eastAsia" w:ascii="宋体" w:hAnsi="宋体" w:cs="宋体"/>
          <w:sz w:val="24"/>
          <w:highlight w:val="none"/>
        </w:rPr>
        <w:t>2、我方同意按照招标文件第二章“投标人须知”的规定，本投标文件的有效期为从投标截止之日起计算的</w:t>
      </w:r>
      <w:r>
        <w:rPr>
          <w:rFonts w:hint="eastAsia" w:ascii="宋体" w:hAnsi="宋体" w:cs="宋体"/>
          <w:sz w:val="24"/>
          <w:highlight w:val="none"/>
          <w:u w:val="single"/>
        </w:rPr>
        <w:t xml:space="preserve"> 60 </w:t>
      </w:r>
      <w:r>
        <w:rPr>
          <w:rFonts w:hint="eastAsia" w:ascii="宋体" w:hAnsi="宋体" w:cs="宋体"/>
          <w:sz w:val="24"/>
          <w:highlight w:val="none"/>
        </w:rPr>
        <w:t>天，在此期间，本投标文件将始终对我方具有约束力，并可随时被接受。</w:t>
      </w:r>
    </w:p>
    <w:p>
      <w:pPr>
        <w:spacing w:line="600" w:lineRule="exact"/>
        <w:rPr>
          <w:rFonts w:ascii="宋体" w:hAnsi="宋体" w:cs="宋体"/>
          <w:sz w:val="24"/>
          <w:highlight w:val="none"/>
        </w:rPr>
      </w:pPr>
      <w:r>
        <w:rPr>
          <w:rFonts w:hint="eastAsia" w:ascii="宋体" w:hAnsi="宋体" w:cs="宋体"/>
          <w:sz w:val="24"/>
          <w:highlight w:val="none"/>
        </w:rPr>
        <w:t>3、以</w:t>
      </w:r>
      <w:r>
        <w:rPr>
          <w:rFonts w:hint="eastAsia" w:ascii="宋体" w:hAnsi="宋体" w:cs="宋体"/>
          <w:sz w:val="24"/>
          <w:highlight w:val="none"/>
          <w:u w:val="single"/>
        </w:rPr>
        <w:t xml:space="preserve">     </w:t>
      </w:r>
      <w:r>
        <w:rPr>
          <w:rFonts w:hint="eastAsia" w:ascii="宋体" w:hAnsi="宋体" w:cs="宋体"/>
          <w:sz w:val="24"/>
          <w:highlight w:val="none"/>
        </w:rPr>
        <w:t>形式提交的投标保证金，金额为人民币</w:t>
      </w:r>
      <w:r>
        <w:rPr>
          <w:rFonts w:hint="eastAsia" w:ascii="宋体" w:hAnsi="宋体" w:cs="宋体"/>
          <w:sz w:val="24"/>
          <w:highlight w:val="none"/>
          <w:u w:val="single"/>
        </w:rPr>
        <w:t>　</w:t>
      </w:r>
      <w:r>
        <w:rPr>
          <w:rFonts w:hint="eastAsia" w:ascii="宋体" w:hAnsi="宋体" w:cs="宋体"/>
          <w:b/>
          <w:i/>
          <w:sz w:val="24"/>
          <w:highlight w:val="none"/>
          <w:u w:val="single"/>
        </w:rPr>
        <w:t>（大写）</w:t>
      </w:r>
      <w:r>
        <w:rPr>
          <w:rFonts w:hint="eastAsia" w:ascii="宋体" w:hAnsi="宋体" w:cs="宋体"/>
          <w:sz w:val="24"/>
          <w:highlight w:val="none"/>
          <w:u w:val="single"/>
        </w:rPr>
        <w:t>　</w:t>
      </w:r>
      <w:r>
        <w:rPr>
          <w:rFonts w:hint="eastAsia" w:ascii="宋体" w:hAnsi="宋体" w:cs="宋体"/>
          <w:sz w:val="24"/>
          <w:highlight w:val="none"/>
        </w:rPr>
        <w:t>元（￥</w:t>
      </w:r>
      <w:r>
        <w:rPr>
          <w:rFonts w:hint="eastAsia" w:ascii="宋体" w:hAnsi="宋体" w:cs="宋体"/>
          <w:b/>
          <w:i/>
          <w:sz w:val="24"/>
          <w:highlight w:val="none"/>
          <w:u w:val="single"/>
        </w:rPr>
        <w:t>（小写）</w:t>
      </w:r>
      <w:r>
        <w:rPr>
          <w:rFonts w:hint="eastAsia" w:ascii="宋体" w:hAnsi="宋体" w:cs="宋体"/>
          <w:sz w:val="24"/>
          <w:highlight w:val="none"/>
        </w:rPr>
        <w:t>元）。</w:t>
      </w:r>
    </w:p>
    <w:p>
      <w:pPr>
        <w:spacing w:line="600" w:lineRule="exact"/>
        <w:rPr>
          <w:rFonts w:ascii="宋体" w:hAnsi="宋体" w:cs="宋体"/>
          <w:sz w:val="24"/>
          <w:highlight w:val="none"/>
        </w:rPr>
      </w:pPr>
      <w:r>
        <w:rPr>
          <w:rFonts w:hint="eastAsia" w:ascii="宋体" w:hAnsi="宋体" w:cs="宋体"/>
          <w:sz w:val="24"/>
          <w:highlight w:val="none"/>
        </w:rPr>
        <w:t>4、我们同意提供贵单位要求的有关本次招标的所有资料或证据。</w:t>
      </w:r>
    </w:p>
    <w:p>
      <w:pPr>
        <w:spacing w:line="600" w:lineRule="exact"/>
        <w:rPr>
          <w:rFonts w:ascii="宋体" w:hAnsi="宋体" w:cs="宋体"/>
          <w:sz w:val="24"/>
          <w:highlight w:val="none"/>
        </w:rPr>
      </w:pPr>
      <w:r>
        <w:rPr>
          <w:rFonts w:hint="eastAsia" w:ascii="宋体" w:hAnsi="宋体" w:cs="宋体"/>
          <w:sz w:val="24"/>
          <w:highlight w:val="none"/>
        </w:rPr>
        <w:t>5、我方完全理解贵方不一定要接受最低报价的投标报价，即最低报价不是中标的保证。</w:t>
      </w:r>
    </w:p>
    <w:p>
      <w:pPr>
        <w:spacing w:line="600" w:lineRule="exact"/>
        <w:rPr>
          <w:rFonts w:ascii="宋体" w:hAnsi="宋体" w:cs="宋体"/>
          <w:sz w:val="24"/>
          <w:highlight w:val="none"/>
        </w:rPr>
      </w:pPr>
      <w:r>
        <w:rPr>
          <w:rFonts w:hint="eastAsia" w:ascii="宋体" w:hAnsi="宋体" w:cs="宋体"/>
          <w:sz w:val="24"/>
          <w:highlight w:val="none"/>
        </w:rPr>
        <w:t>6、如果我方中标，我们将根据招标文件的规定严格履行自己的责任和义务。</w:t>
      </w:r>
    </w:p>
    <w:p>
      <w:pPr>
        <w:spacing w:line="600" w:lineRule="exact"/>
        <w:rPr>
          <w:rFonts w:ascii="宋体" w:hAnsi="宋体" w:cs="宋体"/>
          <w:sz w:val="24"/>
          <w:highlight w:val="none"/>
        </w:rPr>
      </w:pPr>
      <w:r>
        <w:rPr>
          <w:rFonts w:hint="eastAsia" w:ascii="宋体" w:hAnsi="宋体" w:cs="宋体"/>
          <w:sz w:val="24"/>
          <w:highlight w:val="none"/>
        </w:rPr>
        <w:t xml:space="preserve">   投标人名称：</w:t>
      </w:r>
      <w:r>
        <w:rPr>
          <w:rFonts w:hint="eastAsia" w:ascii="宋体" w:hAnsi="宋体" w:cs="宋体"/>
          <w:sz w:val="24"/>
          <w:highlight w:val="none"/>
          <w:u w:val="single"/>
        </w:rPr>
        <w:t xml:space="preserve">                  </w:t>
      </w:r>
      <w:r>
        <w:rPr>
          <w:rFonts w:hint="eastAsia" w:ascii="宋体" w:hAnsi="宋体" w:cs="宋体"/>
          <w:sz w:val="24"/>
          <w:highlight w:val="none"/>
        </w:rPr>
        <w:t xml:space="preserve">（公章）   </w:t>
      </w:r>
    </w:p>
    <w:p>
      <w:pPr>
        <w:spacing w:line="600" w:lineRule="exact"/>
        <w:rPr>
          <w:rFonts w:ascii="宋体" w:hAnsi="宋体" w:cs="宋体"/>
          <w:sz w:val="24"/>
          <w:highlight w:val="none"/>
          <w:u w:val="single"/>
        </w:rPr>
      </w:pPr>
      <w:r>
        <w:rPr>
          <w:rFonts w:hint="eastAsia" w:ascii="宋体" w:hAnsi="宋体" w:cs="宋体"/>
          <w:sz w:val="24"/>
          <w:highlight w:val="none"/>
        </w:rPr>
        <w:t xml:space="preserve">   地址：                            邮编：</w:t>
      </w:r>
    </w:p>
    <w:p>
      <w:pPr>
        <w:spacing w:line="600" w:lineRule="exact"/>
        <w:rPr>
          <w:rFonts w:ascii="宋体" w:hAnsi="宋体" w:cs="宋体"/>
          <w:sz w:val="24"/>
          <w:highlight w:val="none"/>
          <w:u w:val="single"/>
        </w:rPr>
      </w:pPr>
      <w:r>
        <w:rPr>
          <w:rFonts w:hint="eastAsia" w:ascii="宋体" w:hAnsi="宋体" w:cs="宋体"/>
          <w:sz w:val="24"/>
          <w:highlight w:val="none"/>
        </w:rPr>
        <w:t xml:space="preserve">   电话：                            传真：</w:t>
      </w:r>
    </w:p>
    <w:p>
      <w:pPr>
        <w:spacing w:line="600" w:lineRule="exact"/>
        <w:rPr>
          <w:rFonts w:ascii="宋体" w:hAnsi="宋体" w:cs="宋体"/>
          <w:sz w:val="24"/>
          <w:highlight w:val="none"/>
        </w:rPr>
      </w:pPr>
      <w:r>
        <w:rPr>
          <w:rFonts w:hint="eastAsia" w:ascii="宋体" w:hAnsi="宋体" w:cs="宋体"/>
          <w:sz w:val="24"/>
          <w:highlight w:val="none"/>
        </w:rPr>
        <w:t xml:space="preserve">   被授权代表签字：                  职务：</w:t>
      </w:r>
    </w:p>
    <w:p>
      <w:pPr>
        <w:spacing w:line="600" w:lineRule="exact"/>
        <w:ind w:firstLine="480" w:firstLineChars="200"/>
        <w:jc w:val="center"/>
        <w:rPr>
          <w:rFonts w:ascii="宋体" w:hAnsi="宋体" w:cs="宋体"/>
          <w:sz w:val="24"/>
          <w:highlight w:val="none"/>
        </w:rPr>
      </w:pPr>
      <w:r>
        <w:rPr>
          <w:rFonts w:hint="eastAsia" w:ascii="宋体" w:hAnsi="宋体" w:cs="宋体"/>
          <w:sz w:val="24"/>
          <w:highlight w:val="none"/>
        </w:rPr>
        <w:t xml:space="preserve">    </w:t>
      </w:r>
    </w:p>
    <w:p>
      <w:pPr>
        <w:spacing w:line="600" w:lineRule="exact"/>
        <w:ind w:firstLine="480" w:firstLineChars="200"/>
        <w:jc w:val="center"/>
        <w:rPr>
          <w:rFonts w:ascii="宋体" w:hAnsi="宋体" w:cs="宋体"/>
          <w:sz w:val="24"/>
          <w:highlight w:val="none"/>
          <w:u w:val="single"/>
        </w:rPr>
      </w:pPr>
      <w:r>
        <w:rPr>
          <w:rFonts w:hint="eastAsia" w:ascii="宋体" w:hAnsi="宋体" w:cs="宋体"/>
          <w:sz w:val="24"/>
          <w:highlight w:val="none"/>
        </w:rPr>
        <w:t xml:space="preserve">                            日期：</w:t>
      </w:r>
    </w:p>
    <w:p>
      <w:pPr>
        <w:numPr>
          <w:ilvl w:val="0"/>
          <w:numId w:val="19"/>
        </w:numPr>
        <w:spacing w:line="600" w:lineRule="exact"/>
        <w:jc w:val="left"/>
        <w:rPr>
          <w:rFonts w:ascii="宋体" w:hAnsi="宋体" w:cs="宋体"/>
          <w:b/>
          <w:sz w:val="30"/>
          <w:szCs w:val="30"/>
          <w:highlight w:val="none"/>
        </w:rPr>
      </w:pPr>
      <w:r>
        <w:rPr>
          <w:rFonts w:hint="eastAsia" w:ascii="宋体" w:hAnsi="宋体" w:cs="宋体"/>
          <w:sz w:val="24"/>
          <w:highlight w:val="none"/>
          <w:u w:val="single"/>
        </w:rPr>
        <w:br w:type="page"/>
      </w:r>
      <w:bookmarkStart w:id="543" w:name="_Toc171325099"/>
      <w:r>
        <w:rPr>
          <w:rFonts w:hint="eastAsia" w:ascii="宋体" w:hAnsi="宋体" w:cs="宋体"/>
          <w:b/>
          <w:sz w:val="30"/>
          <w:szCs w:val="30"/>
          <w:highlight w:val="none"/>
        </w:rPr>
        <w:t>开标一览表</w:t>
      </w:r>
    </w:p>
    <w:p>
      <w:pPr>
        <w:spacing w:line="600" w:lineRule="exact"/>
        <w:jc w:val="center"/>
        <w:rPr>
          <w:rFonts w:ascii="宋体" w:hAnsi="宋体" w:cs="宋体"/>
          <w:b/>
          <w:sz w:val="28"/>
          <w:szCs w:val="28"/>
          <w:highlight w:val="none"/>
        </w:rPr>
      </w:pPr>
      <w:r>
        <w:rPr>
          <w:rFonts w:hint="eastAsia" w:ascii="宋体" w:hAnsi="宋体" w:cs="宋体"/>
          <w:b/>
          <w:sz w:val="30"/>
          <w:szCs w:val="30"/>
          <w:highlight w:val="none"/>
        </w:rPr>
        <w:t>2.1报价一览表</w:t>
      </w:r>
      <w:bookmarkEnd w:id="543"/>
    </w:p>
    <w:p>
      <w:pPr>
        <w:rPr>
          <w:rFonts w:ascii="宋体" w:hAnsi="宋体" w:cs="宋体"/>
          <w:sz w:val="30"/>
          <w:szCs w:val="30"/>
          <w:highlight w:val="none"/>
        </w:rPr>
      </w:pPr>
      <w:r>
        <w:rPr>
          <w:rFonts w:hint="eastAsia" w:ascii="宋体" w:hAnsi="宋体" w:cs="宋体"/>
          <w:b/>
          <w:bCs/>
          <w:sz w:val="30"/>
          <w:szCs w:val="30"/>
          <w:highlight w:val="none"/>
        </w:rPr>
        <w:t>采购编号</w:t>
      </w:r>
      <w:r>
        <w:rPr>
          <w:rFonts w:hint="eastAsia" w:ascii="宋体" w:hAnsi="宋体" w:cs="宋体"/>
          <w:sz w:val="30"/>
          <w:szCs w:val="30"/>
          <w:highlight w:val="none"/>
        </w:rPr>
        <w:t>：WDSZ2019003</w:t>
      </w:r>
      <w:r>
        <w:rPr>
          <w:rFonts w:hint="eastAsia" w:ascii="宋体" w:hAnsi="宋体" w:cs="宋体"/>
          <w:b/>
          <w:bCs/>
          <w:szCs w:val="32"/>
          <w:highlight w:val="none"/>
        </w:rPr>
        <w:t xml:space="preserve">                            </w:t>
      </w:r>
    </w:p>
    <w:tbl>
      <w:tblPr>
        <w:tblStyle w:val="16"/>
        <w:tblW w:w="85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153"/>
        <w:gridCol w:w="2346"/>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015" w:type="dxa"/>
            <w:vAlign w:val="center"/>
          </w:tcPr>
          <w:p>
            <w:pPr>
              <w:jc w:val="center"/>
              <w:rPr>
                <w:rFonts w:ascii="宋体" w:hAnsi="宋体" w:cs="宋体"/>
                <w:sz w:val="24"/>
                <w:highlight w:val="none"/>
              </w:rPr>
            </w:pPr>
            <w:r>
              <w:rPr>
                <w:rFonts w:hint="eastAsia" w:ascii="宋体" w:hAnsi="宋体" w:cs="宋体"/>
                <w:sz w:val="24"/>
                <w:highlight w:val="none"/>
              </w:rPr>
              <w:t>序号</w:t>
            </w:r>
          </w:p>
        </w:tc>
        <w:tc>
          <w:tcPr>
            <w:tcW w:w="2153" w:type="dxa"/>
            <w:vAlign w:val="center"/>
          </w:tcPr>
          <w:p>
            <w:pPr>
              <w:jc w:val="center"/>
              <w:rPr>
                <w:rFonts w:ascii="宋体" w:hAnsi="宋体" w:cs="宋体"/>
                <w:sz w:val="24"/>
                <w:highlight w:val="none"/>
              </w:rPr>
            </w:pPr>
            <w:r>
              <w:rPr>
                <w:rFonts w:hint="eastAsia" w:ascii="宋体" w:hAnsi="宋体" w:cs="宋体"/>
                <w:sz w:val="24"/>
                <w:highlight w:val="none"/>
              </w:rPr>
              <w:t>项目名称</w:t>
            </w:r>
          </w:p>
        </w:tc>
        <w:tc>
          <w:tcPr>
            <w:tcW w:w="2346" w:type="dxa"/>
            <w:vAlign w:val="center"/>
          </w:tcPr>
          <w:p>
            <w:pPr>
              <w:jc w:val="center"/>
              <w:rPr>
                <w:rFonts w:ascii="宋体" w:hAnsi="宋体" w:cs="宋体"/>
                <w:sz w:val="24"/>
                <w:highlight w:val="none"/>
              </w:rPr>
            </w:pPr>
            <w:r>
              <w:rPr>
                <w:rFonts w:hint="eastAsia" w:ascii="宋体" w:hAnsi="宋体" w:cs="宋体"/>
                <w:sz w:val="24"/>
                <w:highlight w:val="none"/>
              </w:rPr>
              <w:t>金额（元/年）</w:t>
            </w:r>
          </w:p>
        </w:tc>
        <w:tc>
          <w:tcPr>
            <w:tcW w:w="3071" w:type="dxa"/>
            <w:vAlign w:val="center"/>
          </w:tcPr>
          <w:p>
            <w:pPr>
              <w:jc w:val="center"/>
              <w:rPr>
                <w:rFonts w:ascii="宋体" w:hAnsi="宋体" w:cs="宋体"/>
                <w:sz w:val="24"/>
                <w:highlight w:val="none"/>
              </w:rPr>
            </w:pPr>
            <w:r>
              <w:rPr>
                <w:rFonts w:hint="eastAsia" w:ascii="宋体" w:hAnsi="宋体" w:cs="宋体"/>
                <w:sz w:val="24"/>
                <w:highlight w:val="none"/>
              </w:rPr>
              <w:t>运营时间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0" w:hRule="atLeast"/>
        </w:trPr>
        <w:tc>
          <w:tcPr>
            <w:tcW w:w="1015" w:type="dxa"/>
            <w:tcBorders>
              <w:bottom w:val="single" w:color="auto" w:sz="4" w:space="0"/>
            </w:tcBorders>
            <w:vAlign w:val="center"/>
          </w:tcPr>
          <w:p>
            <w:pPr>
              <w:rPr>
                <w:rFonts w:ascii="宋体" w:hAnsi="宋体" w:cs="宋体"/>
                <w:sz w:val="24"/>
                <w:highlight w:val="none"/>
              </w:rPr>
            </w:pPr>
            <w:r>
              <w:rPr>
                <w:rFonts w:hint="eastAsia" w:ascii="宋体" w:hAnsi="宋体" w:cs="宋体"/>
                <w:sz w:val="24"/>
                <w:highlight w:val="none"/>
              </w:rPr>
              <w:t>1</w:t>
            </w:r>
          </w:p>
        </w:tc>
        <w:tc>
          <w:tcPr>
            <w:tcW w:w="2153" w:type="dxa"/>
            <w:vAlign w:val="center"/>
          </w:tcPr>
          <w:p>
            <w:pPr>
              <w:rPr>
                <w:rFonts w:ascii="宋体" w:hAnsi="宋体" w:cs="宋体"/>
                <w:sz w:val="32"/>
                <w:szCs w:val="32"/>
                <w:highlight w:val="none"/>
              </w:rPr>
            </w:pPr>
            <w:r>
              <w:rPr>
                <w:rFonts w:hint="eastAsia" w:ascii="宋体" w:hAnsi="宋体" w:cs="宋体"/>
                <w:b/>
                <w:szCs w:val="21"/>
                <w:highlight w:val="none"/>
              </w:rPr>
              <w:t xml:space="preserve"> </w:t>
            </w:r>
          </w:p>
        </w:tc>
        <w:tc>
          <w:tcPr>
            <w:tcW w:w="2346" w:type="dxa"/>
            <w:vAlign w:val="center"/>
          </w:tcPr>
          <w:p>
            <w:pPr>
              <w:rPr>
                <w:rFonts w:ascii="宋体" w:hAnsi="宋体" w:cs="宋体"/>
                <w:sz w:val="24"/>
                <w:highlight w:val="none"/>
              </w:rPr>
            </w:pPr>
          </w:p>
        </w:tc>
        <w:tc>
          <w:tcPr>
            <w:tcW w:w="3071" w:type="dxa"/>
            <w:vAlign w:val="center"/>
          </w:tcPr>
          <w:p>
            <w:pPr>
              <w:spacing w:line="360" w:lineRule="auto"/>
              <w:rPr>
                <w:rFonts w:ascii="宋体" w:hAnsi="宋体" w:cs="宋体"/>
                <w:sz w:val="24"/>
                <w:highlight w:val="none"/>
              </w:rPr>
            </w:pPr>
            <w:r>
              <w:rPr>
                <w:rFonts w:hint="eastAsia" w:ascii="宋体" w:hAnsi="宋体" w:cs="宋体"/>
                <w:sz w:val="24"/>
                <w:highlight w:val="none"/>
              </w:rPr>
              <w:t xml:space="preserve">    签订合同后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62" w:hRule="atLeast"/>
        </w:trPr>
        <w:tc>
          <w:tcPr>
            <w:tcW w:w="858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highlight w:val="none"/>
              </w:rPr>
            </w:pPr>
            <w:r>
              <w:rPr>
                <w:rFonts w:hint="eastAsia" w:ascii="宋体" w:hAnsi="宋体" w:cs="宋体"/>
                <w:sz w:val="24"/>
                <w:highlight w:val="none"/>
              </w:rPr>
              <w:t>项目地点：</w:t>
            </w:r>
          </w:p>
          <w:p>
            <w:pPr>
              <w:rPr>
                <w:rFonts w:ascii="宋体" w:hAnsi="宋体" w:cs="宋体"/>
                <w:b/>
                <w:bCs/>
                <w:sz w:val="24"/>
                <w:highlight w:val="none"/>
              </w:rPr>
            </w:pPr>
          </w:p>
          <w:p>
            <w:pPr>
              <w:rPr>
                <w:rFonts w:ascii="宋体" w:hAnsi="宋体" w:cs="宋体"/>
                <w:b/>
                <w:bCs/>
                <w:sz w:val="28"/>
                <w:szCs w:val="28"/>
                <w:highlight w:val="none"/>
                <w:u w:val="single"/>
              </w:rPr>
            </w:pPr>
            <w:r>
              <w:rPr>
                <w:rFonts w:hint="eastAsia" w:ascii="宋体" w:hAnsi="宋体" w:cs="宋体"/>
                <w:b/>
                <w:bCs/>
                <w:sz w:val="24"/>
                <w:highlight w:val="none"/>
              </w:rPr>
              <w:t>报价总计：￥</w:t>
            </w:r>
            <w:r>
              <w:rPr>
                <w:rFonts w:hint="eastAsia" w:ascii="宋体" w:hAnsi="宋体" w:cs="宋体"/>
                <w:b/>
                <w:bCs/>
                <w:sz w:val="28"/>
                <w:szCs w:val="28"/>
                <w:highlight w:val="none"/>
                <w:u w:val="single"/>
              </w:rPr>
              <w:t xml:space="preserve">                         </w:t>
            </w:r>
          </w:p>
          <w:p>
            <w:pPr>
              <w:rPr>
                <w:rFonts w:ascii="宋体" w:hAnsi="宋体" w:cs="宋体"/>
                <w:b/>
                <w:bCs/>
                <w:sz w:val="24"/>
                <w:highlight w:val="none"/>
              </w:rPr>
            </w:pPr>
          </w:p>
          <w:p>
            <w:pPr>
              <w:rPr>
                <w:rFonts w:ascii="宋体" w:hAnsi="宋体" w:cs="宋体"/>
                <w:b/>
                <w:bCs/>
                <w:sz w:val="24"/>
                <w:highlight w:val="none"/>
                <w:u w:val="single"/>
              </w:rPr>
            </w:pPr>
            <w:r>
              <w:rPr>
                <w:rFonts w:hint="eastAsia" w:ascii="宋体" w:hAnsi="宋体" w:cs="宋体"/>
                <w:b/>
                <w:bCs/>
                <w:sz w:val="24"/>
                <w:highlight w:val="none"/>
              </w:rPr>
              <w:t>人民币（大写）</w:t>
            </w:r>
            <w:r>
              <w:rPr>
                <w:rFonts w:hint="eastAsia" w:ascii="宋体" w:hAnsi="宋体" w:cs="宋体"/>
                <w:b/>
                <w:bCs/>
                <w:sz w:val="24"/>
                <w:highlight w:val="none"/>
                <w:u w:val="single"/>
              </w:rPr>
              <w:t xml:space="preserve">                               </w:t>
            </w:r>
          </w:p>
        </w:tc>
      </w:tr>
    </w:tbl>
    <w:p>
      <w:pPr>
        <w:topLinePunct/>
        <w:snapToGrid w:val="0"/>
        <w:spacing w:before="4" w:line="360" w:lineRule="auto"/>
        <w:rPr>
          <w:rFonts w:ascii="宋体" w:hAnsi="宋体" w:cs="宋体"/>
          <w:sz w:val="30"/>
          <w:szCs w:val="30"/>
          <w:highlight w:val="none"/>
        </w:rPr>
      </w:pPr>
    </w:p>
    <w:p>
      <w:pPr>
        <w:topLinePunct/>
        <w:snapToGrid w:val="0"/>
        <w:spacing w:before="4" w:line="360" w:lineRule="auto"/>
        <w:rPr>
          <w:rFonts w:ascii="宋体" w:hAnsi="宋体" w:cs="宋体"/>
          <w:b/>
          <w:bCs/>
          <w:sz w:val="28"/>
          <w:szCs w:val="28"/>
          <w:highlight w:val="none"/>
        </w:rPr>
      </w:pPr>
    </w:p>
    <w:p>
      <w:pPr>
        <w:topLinePunct/>
        <w:snapToGrid w:val="0"/>
        <w:spacing w:before="4" w:line="360" w:lineRule="auto"/>
        <w:rPr>
          <w:rFonts w:ascii="宋体" w:hAnsi="宋体" w:cs="宋体"/>
          <w:b/>
          <w:bCs/>
          <w:sz w:val="28"/>
          <w:szCs w:val="28"/>
          <w:highlight w:val="none"/>
          <w:u w:val="single"/>
        </w:rPr>
      </w:pPr>
      <w:r>
        <w:rPr>
          <w:rFonts w:hint="eastAsia" w:ascii="宋体" w:hAnsi="宋体" w:cs="宋体"/>
          <w:b/>
          <w:bCs/>
          <w:sz w:val="28"/>
          <w:szCs w:val="28"/>
          <w:highlight w:val="none"/>
        </w:rPr>
        <w:t>投标人名称（公章 ）：</w:t>
      </w:r>
      <w:r>
        <w:rPr>
          <w:rFonts w:hint="eastAsia" w:ascii="宋体" w:hAnsi="宋体" w:cs="宋体"/>
          <w:b/>
          <w:bCs/>
          <w:sz w:val="28"/>
          <w:szCs w:val="28"/>
          <w:highlight w:val="none"/>
          <w:u w:val="single"/>
        </w:rPr>
        <w:t xml:space="preserve">            </w:t>
      </w:r>
    </w:p>
    <w:p>
      <w:pPr>
        <w:topLinePunct/>
        <w:snapToGrid w:val="0"/>
        <w:spacing w:before="4" w:line="360" w:lineRule="auto"/>
        <w:rPr>
          <w:rFonts w:ascii="宋体" w:hAnsi="宋体" w:cs="宋体"/>
          <w:b/>
          <w:bCs/>
          <w:sz w:val="28"/>
          <w:szCs w:val="28"/>
          <w:highlight w:val="none"/>
        </w:rPr>
      </w:pPr>
    </w:p>
    <w:p>
      <w:pPr>
        <w:topLinePunct/>
        <w:snapToGrid w:val="0"/>
        <w:spacing w:before="4" w:line="360" w:lineRule="auto"/>
        <w:rPr>
          <w:rFonts w:ascii="宋体" w:hAnsi="宋体" w:cs="宋体"/>
          <w:b/>
          <w:bCs/>
          <w:sz w:val="28"/>
          <w:szCs w:val="28"/>
          <w:highlight w:val="none"/>
        </w:rPr>
      </w:pPr>
      <w:r>
        <w:rPr>
          <w:rFonts w:hint="eastAsia" w:ascii="宋体" w:hAnsi="宋体" w:cs="宋体"/>
          <w:b/>
          <w:bCs/>
          <w:sz w:val="28"/>
          <w:szCs w:val="28"/>
          <w:highlight w:val="none"/>
        </w:rPr>
        <w:t>法定代表人或被授权人（签字）</w:t>
      </w:r>
      <w:r>
        <w:rPr>
          <w:rFonts w:hint="eastAsia" w:ascii="宋体" w:hAnsi="宋体" w:cs="宋体"/>
          <w:b/>
          <w:bCs/>
          <w:sz w:val="28"/>
          <w:szCs w:val="28"/>
          <w:highlight w:val="none"/>
          <w:u w:val="single"/>
        </w:rPr>
        <w:t xml:space="preserve">             </w:t>
      </w:r>
    </w:p>
    <w:p>
      <w:pPr>
        <w:tabs>
          <w:tab w:val="left" w:pos="360"/>
        </w:tabs>
        <w:snapToGrid w:val="0"/>
        <w:spacing w:before="67" w:line="360" w:lineRule="auto"/>
        <w:ind w:left="864" w:leftChars="215" w:right="-360" w:hanging="413" w:hangingChars="147"/>
        <w:rPr>
          <w:rFonts w:ascii="宋体" w:hAnsi="宋体" w:cs="宋体"/>
          <w:bCs/>
          <w:sz w:val="28"/>
          <w:szCs w:val="28"/>
          <w:highlight w:val="none"/>
        </w:rPr>
      </w:pPr>
      <w:r>
        <w:rPr>
          <w:rFonts w:hint="eastAsia" w:ascii="宋体" w:hAnsi="宋体" w:cs="宋体"/>
          <w:b/>
          <w:bCs/>
          <w:sz w:val="28"/>
          <w:szCs w:val="28"/>
          <w:highlight w:val="none"/>
        </w:rPr>
        <w:t>注:</w:t>
      </w:r>
      <w:r>
        <w:rPr>
          <w:rFonts w:hint="eastAsia" w:ascii="宋体" w:hAnsi="宋体" w:cs="宋体"/>
          <w:bCs/>
          <w:sz w:val="28"/>
          <w:szCs w:val="28"/>
          <w:highlight w:val="none"/>
        </w:rPr>
        <w:t xml:space="preserve">①报价应包括招标文件所规定的采购范围的全部内容；      </w:t>
      </w:r>
    </w:p>
    <w:p>
      <w:pPr>
        <w:topLinePunct/>
        <w:snapToGrid w:val="0"/>
        <w:spacing w:line="600" w:lineRule="exact"/>
        <w:ind w:left="420" w:firstLine="420"/>
        <w:rPr>
          <w:rFonts w:ascii="宋体" w:hAnsi="宋体" w:cs="宋体"/>
          <w:sz w:val="28"/>
          <w:szCs w:val="28"/>
          <w:highlight w:val="none"/>
        </w:rPr>
      </w:pPr>
      <w:r>
        <w:rPr>
          <w:rFonts w:hint="eastAsia" w:ascii="宋体" w:hAnsi="宋体" w:cs="宋体"/>
          <w:bCs/>
          <w:sz w:val="28"/>
          <w:szCs w:val="28"/>
          <w:highlight w:val="none"/>
        </w:rPr>
        <w:t xml:space="preserve">② </w:t>
      </w:r>
      <w:r>
        <w:rPr>
          <w:rFonts w:hint="eastAsia" w:ascii="宋体" w:hAnsi="宋体" w:cs="宋体"/>
          <w:sz w:val="28"/>
          <w:szCs w:val="28"/>
          <w:highlight w:val="none"/>
        </w:rPr>
        <w:t>报价总计包括一切相关费用。</w:t>
      </w:r>
    </w:p>
    <w:p>
      <w:pPr>
        <w:topLinePunct/>
        <w:snapToGrid w:val="0"/>
        <w:spacing w:line="600" w:lineRule="exact"/>
        <w:ind w:left="420" w:firstLine="420"/>
        <w:rPr>
          <w:rFonts w:ascii="宋体" w:hAnsi="宋体" w:cs="宋体"/>
          <w:sz w:val="28"/>
          <w:szCs w:val="28"/>
          <w:highlight w:val="none"/>
        </w:rPr>
      </w:pPr>
      <w:r>
        <w:rPr>
          <w:rFonts w:hint="eastAsia" w:ascii="宋体" w:hAnsi="宋体" w:cs="宋体"/>
          <w:sz w:val="28"/>
          <w:szCs w:val="28"/>
          <w:highlight w:val="none"/>
        </w:rPr>
        <w:t xml:space="preserve">③ 报价金额不得超过7777.34万元/年，超过将做废标处理。 </w:t>
      </w:r>
    </w:p>
    <w:p>
      <w:pPr>
        <w:spacing w:line="600" w:lineRule="exact"/>
        <w:rPr>
          <w:rFonts w:ascii="宋体" w:hAnsi="宋体" w:cs="宋体"/>
          <w:b/>
          <w:sz w:val="32"/>
          <w:szCs w:val="32"/>
          <w:highlight w:val="none"/>
        </w:rPr>
      </w:pPr>
      <w:bookmarkStart w:id="544" w:name="_Toc171325101"/>
      <w:bookmarkStart w:id="545" w:name="_Toc171325107"/>
      <w:bookmarkStart w:id="546" w:name="_Toc168282804"/>
    </w:p>
    <w:p>
      <w:pPr>
        <w:pStyle w:val="7"/>
        <w:ind w:firstLine="640"/>
        <w:rPr>
          <w:rFonts w:ascii="宋体" w:hAnsi="宋体" w:cs="宋体"/>
          <w:b/>
          <w:sz w:val="32"/>
          <w:szCs w:val="32"/>
          <w:highlight w:val="none"/>
        </w:rPr>
      </w:pPr>
    </w:p>
    <w:p>
      <w:pPr>
        <w:pStyle w:val="7"/>
        <w:ind w:firstLine="640"/>
        <w:rPr>
          <w:rFonts w:ascii="宋体" w:hAnsi="宋体" w:cs="宋体"/>
          <w:b/>
          <w:sz w:val="32"/>
          <w:szCs w:val="32"/>
          <w:highlight w:val="none"/>
        </w:rPr>
      </w:pPr>
    </w:p>
    <w:p>
      <w:pPr>
        <w:tabs>
          <w:tab w:val="left" w:pos="360"/>
        </w:tabs>
        <w:snapToGrid w:val="0"/>
        <w:spacing w:before="67" w:line="360" w:lineRule="auto"/>
        <w:ind w:left="864" w:leftChars="215" w:right="-360" w:hanging="413" w:hangingChars="147"/>
        <w:jc w:val="center"/>
        <w:rPr>
          <w:rFonts w:ascii="宋体" w:hAnsi="宋体" w:cs="宋体"/>
          <w:b/>
          <w:sz w:val="28"/>
          <w:szCs w:val="28"/>
          <w:highlight w:val="none"/>
        </w:rPr>
      </w:pPr>
      <w:r>
        <w:rPr>
          <w:rFonts w:hint="eastAsia" w:ascii="宋体" w:hAnsi="宋体" w:cs="宋体"/>
          <w:b/>
          <w:sz w:val="28"/>
          <w:szCs w:val="28"/>
          <w:highlight w:val="none"/>
        </w:rPr>
        <w:t>2.2分项报价表</w:t>
      </w:r>
    </w:p>
    <w:p>
      <w:pPr>
        <w:tabs>
          <w:tab w:val="left" w:pos="360"/>
        </w:tabs>
        <w:snapToGrid w:val="0"/>
        <w:spacing w:before="67" w:line="360" w:lineRule="auto"/>
        <w:ind w:right="-360"/>
        <w:rPr>
          <w:rFonts w:ascii="宋体" w:hAnsi="宋体" w:cs="宋体"/>
          <w:b/>
          <w:sz w:val="28"/>
          <w:szCs w:val="28"/>
          <w:highlight w:val="none"/>
        </w:rPr>
      </w:pPr>
    </w:p>
    <w:tbl>
      <w:tblPr>
        <w:tblStyle w:val="16"/>
        <w:tblW w:w="836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1"/>
        <w:gridCol w:w="1557"/>
        <w:gridCol w:w="1815"/>
        <w:gridCol w:w="1740"/>
        <w:gridCol w:w="1283"/>
        <w:gridCol w:w="14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6" w:hRule="atLeast"/>
        </w:trPr>
        <w:tc>
          <w:tcPr>
            <w:tcW w:w="571" w:type="dxa"/>
            <w:vAlign w:val="center"/>
          </w:tcPr>
          <w:p>
            <w:pPr>
              <w:spacing w:line="360" w:lineRule="auto"/>
              <w:rPr>
                <w:rFonts w:ascii="宋体" w:hAnsi="宋体" w:cs="宋体"/>
                <w:szCs w:val="21"/>
                <w:highlight w:val="none"/>
              </w:rPr>
            </w:pPr>
            <w:r>
              <w:rPr>
                <w:rFonts w:hint="eastAsia" w:ascii="宋体" w:hAnsi="宋体" w:cs="宋体"/>
                <w:szCs w:val="21"/>
                <w:highlight w:val="none"/>
              </w:rPr>
              <w:t>序号</w:t>
            </w:r>
          </w:p>
        </w:tc>
        <w:tc>
          <w:tcPr>
            <w:tcW w:w="1557" w:type="dxa"/>
            <w:vAlign w:val="center"/>
          </w:tcPr>
          <w:p>
            <w:pPr>
              <w:spacing w:line="360" w:lineRule="auto"/>
              <w:ind w:firstLine="92"/>
              <w:jc w:val="center"/>
              <w:rPr>
                <w:rFonts w:ascii="宋体" w:hAnsi="宋体" w:cs="宋体"/>
                <w:szCs w:val="21"/>
                <w:highlight w:val="none"/>
              </w:rPr>
            </w:pPr>
            <w:r>
              <w:rPr>
                <w:rFonts w:hint="eastAsia" w:ascii="宋体" w:hAnsi="宋体" w:cs="宋体"/>
                <w:szCs w:val="21"/>
                <w:highlight w:val="none"/>
              </w:rPr>
              <w:t>项目</w:t>
            </w:r>
          </w:p>
        </w:tc>
        <w:tc>
          <w:tcPr>
            <w:tcW w:w="1815" w:type="dxa"/>
            <w:vAlign w:val="center"/>
          </w:tcPr>
          <w:p>
            <w:pPr>
              <w:spacing w:line="360" w:lineRule="auto"/>
              <w:ind w:firstLine="92"/>
              <w:jc w:val="center"/>
              <w:rPr>
                <w:rFonts w:ascii="宋体" w:hAnsi="宋体" w:cs="宋体"/>
                <w:szCs w:val="21"/>
                <w:highlight w:val="none"/>
              </w:rPr>
            </w:pPr>
            <w:r>
              <w:rPr>
                <w:rFonts w:hint="eastAsia" w:ascii="宋体" w:hAnsi="宋体" w:cs="宋体"/>
                <w:szCs w:val="21"/>
                <w:highlight w:val="none"/>
              </w:rPr>
              <w:t>年度经费</w:t>
            </w:r>
          </w:p>
        </w:tc>
        <w:tc>
          <w:tcPr>
            <w:tcW w:w="1740" w:type="dxa"/>
            <w:vAlign w:val="center"/>
          </w:tcPr>
          <w:p>
            <w:pPr>
              <w:spacing w:line="360" w:lineRule="auto"/>
              <w:ind w:firstLine="92"/>
              <w:jc w:val="center"/>
              <w:rPr>
                <w:rFonts w:ascii="宋体" w:hAnsi="宋体" w:cs="宋体"/>
                <w:szCs w:val="21"/>
                <w:highlight w:val="none"/>
              </w:rPr>
            </w:pPr>
            <w:r>
              <w:rPr>
                <w:rFonts w:hint="eastAsia" w:ascii="宋体" w:hAnsi="宋体" w:cs="宋体"/>
                <w:szCs w:val="21"/>
                <w:highlight w:val="none"/>
              </w:rPr>
              <w:t>数量</w:t>
            </w:r>
          </w:p>
        </w:tc>
        <w:tc>
          <w:tcPr>
            <w:tcW w:w="1283" w:type="dxa"/>
            <w:tcBorders>
              <w:left w:val="single" w:color="auto" w:sz="4" w:space="0"/>
              <w:right w:val="single" w:color="auto" w:sz="4" w:space="0"/>
            </w:tcBorders>
            <w:vAlign w:val="center"/>
          </w:tcPr>
          <w:p>
            <w:pPr>
              <w:spacing w:line="360" w:lineRule="auto"/>
              <w:jc w:val="center"/>
              <w:rPr>
                <w:rFonts w:ascii="宋体" w:hAnsi="宋体" w:cs="宋体"/>
                <w:szCs w:val="21"/>
                <w:highlight w:val="none"/>
              </w:rPr>
            </w:pPr>
            <w:r>
              <w:rPr>
                <w:rFonts w:hint="eastAsia" w:ascii="宋体" w:hAnsi="宋体" w:cs="宋体"/>
                <w:szCs w:val="21"/>
                <w:highlight w:val="none"/>
              </w:rPr>
              <w:t>单价</w:t>
            </w:r>
          </w:p>
        </w:tc>
        <w:tc>
          <w:tcPr>
            <w:tcW w:w="1402" w:type="dxa"/>
            <w:tcBorders>
              <w:left w:val="single" w:color="auto" w:sz="4" w:space="0"/>
            </w:tcBorders>
            <w:vAlign w:val="center"/>
          </w:tcPr>
          <w:p>
            <w:pPr>
              <w:pStyle w:val="26"/>
              <w:widowControl w:val="0"/>
              <w:spacing w:before="0" w:beforeAutospacing="0" w:after="0" w:afterAutospacing="0" w:line="360" w:lineRule="auto"/>
              <w:ind w:firstLine="416"/>
              <w:rPr>
                <w:rFonts w:ascii="宋体" w:hAnsi="宋体" w:eastAsia="宋体" w:cs="宋体"/>
                <w:kern w:val="2"/>
                <w:sz w:val="21"/>
                <w:szCs w:val="21"/>
                <w:highlight w:val="none"/>
              </w:rPr>
            </w:pPr>
            <w:r>
              <w:rPr>
                <w:rFonts w:hint="eastAsia" w:ascii="宋体" w:hAnsi="宋体" w:eastAsia="宋体" w:cs="宋体"/>
                <w:kern w:val="2"/>
                <w:sz w:val="21"/>
                <w:szCs w:val="21"/>
                <w:highlight w:val="none"/>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85" w:hRule="atLeast"/>
        </w:trPr>
        <w:tc>
          <w:tcPr>
            <w:tcW w:w="571" w:type="dxa"/>
            <w:vAlign w:val="center"/>
          </w:tcPr>
          <w:p>
            <w:pPr>
              <w:pStyle w:val="9"/>
              <w:ind w:firstLine="199" w:firstLineChars="95"/>
              <w:rPr>
                <w:rFonts w:hAnsi="宋体" w:cs="宋体"/>
                <w:szCs w:val="21"/>
                <w:highlight w:val="none"/>
              </w:rPr>
            </w:pPr>
            <w:r>
              <w:rPr>
                <w:rFonts w:hint="eastAsia" w:hAnsi="宋体" w:cs="宋体"/>
                <w:szCs w:val="21"/>
                <w:highlight w:val="none"/>
              </w:rPr>
              <w:t>1</w:t>
            </w:r>
          </w:p>
        </w:tc>
        <w:tc>
          <w:tcPr>
            <w:tcW w:w="1557" w:type="dxa"/>
            <w:vAlign w:val="center"/>
          </w:tcPr>
          <w:p>
            <w:pPr>
              <w:pStyle w:val="9"/>
              <w:ind w:firstLine="0" w:firstLineChars="0"/>
              <w:rPr>
                <w:rFonts w:hAnsi="宋体" w:cs="宋体"/>
                <w:szCs w:val="21"/>
                <w:highlight w:val="none"/>
              </w:rPr>
            </w:pPr>
            <w:r>
              <w:rPr>
                <w:rFonts w:hint="eastAsia" w:hAnsi="宋体" w:cs="宋体"/>
                <w:szCs w:val="21"/>
                <w:highlight w:val="none"/>
              </w:rPr>
              <w:t>环卫清扫保洁</w:t>
            </w:r>
          </w:p>
        </w:tc>
        <w:tc>
          <w:tcPr>
            <w:tcW w:w="1815" w:type="dxa"/>
            <w:vAlign w:val="center"/>
          </w:tcPr>
          <w:p>
            <w:pPr>
              <w:pStyle w:val="9"/>
              <w:ind w:left="416" w:firstLine="735" w:firstLineChars="350"/>
              <w:rPr>
                <w:rFonts w:hAnsi="宋体" w:cs="宋体"/>
                <w:szCs w:val="21"/>
                <w:highlight w:val="none"/>
              </w:rPr>
            </w:pPr>
          </w:p>
        </w:tc>
        <w:tc>
          <w:tcPr>
            <w:tcW w:w="1740" w:type="dxa"/>
            <w:vAlign w:val="center"/>
          </w:tcPr>
          <w:p>
            <w:pPr>
              <w:pStyle w:val="9"/>
              <w:ind w:firstLine="0" w:firstLineChars="0"/>
              <w:rPr>
                <w:rFonts w:hAnsi="宋体" w:cs="宋体"/>
                <w:szCs w:val="21"/>
                <w:highlight w:val="none"/>
              </w:rPr>
            </w:pPr>
            <w:r>
              <w:rPr>
                <w:rFonts w:hint="eastAsia" w:hAnsi="宋体" w:cs="宋体"/>
                <w:szCs w:val="21"/>
                <w:highlight w:val="none"/>
              </w:rPr>
              <w:t>10184728.31㎡</w:t>
            </w:r>
          </w:p>
        </w:tc>
        <w:tc>
          <w:tcPr>
            <w:tcW w:w="1283" w:type="dxa"/>
            <w:tcBorders>
              <w:left w:val="single" w:color="auto" w:sz="4" w:space="0"/>
              <w:right w:val="single" w:color="auto" w:sz="4" w:space="0"/>
            </w:tcBorders>
            <w:vAlign w:val="center"/>
          </w:tcPr>
          <w:p>
            <w:pPr>
              <w:spacing w:line="360" w:lineRule="auto"/>
              <w:jc w:val="center"/>
              <w:rPr>
                <w:rFonts w:ascii="宋体" w:hAnsi="宋体" w:cs="宋体"/>
                <w:szCs w:val="21"/>
                <w:highlight w:val="none"/>
              </w:rPr>
            </w:pPr>
          </w:p>
        </w:tc>
        <w:tc>
          <w:tcPr>
            <w:tcW w:w="1402" w:type="dxa"/>
            <w:tcBorders>
              <w:left w:val="single" w:color="auto" w:sz="4" w:space="0"/>
            </w:tcBorders>
            <w:vAlign w:val="center"/>
          </w:tcPr>
          <w:p>
            <w:pPr>
              <w:spacing w:line="360" w:lineRule="auto"/>
              <w:jc w:val="center"/>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6" w:hRule="atLeast"/>
        </w:trPr>
        <w:tc>
          <w:tcPr>
            <w:tcW w:w="571" w:type="dxa"/>
            <w:vAlign w:val="center"/>
          </w:tcPr>
          <w:p>
            <w:pPr>
              <w:pStyle w:val="9"/>
              <w:ind w:firstLine="199" w:firstLineChars="95"/>
              <w:rPr>
                <w:rFonts w:hAnsi="宋体" w:cs="宋体"/>
                <w:szCs w:val="21"/>
                <w:highlight w:val="none"/>
              </w:rPr>
            </w:pPr>
            <w:r>
              <w:rPr>
                <w:rFonts w:hint="eastAsia" w:hAnsi="宋体" w:cs="宋体"/>
                <w:szCs w:val="21"/>
                <w:highlight w:val="none"/>
              </w:rPr>
              <w:t>2</w:t>
            </w:r>
          </w:p>
        </w:tc>
        <w:tc>
          <w:tcPr>
            <w:tcW w:w="1557"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垃圾清运</w:t>
            </w:r>
          </w:p>
        </w:tc>
        <w:tc>
          <w:tcPr>
            <w:tcW w:w="1815" w:type="dxa"/>
            <w:vAlign w:val="center"/>
          </w:tcPr>
          <w:p>
            <w:pPr>
              <w:pStyle w:val="9"/>
              <w:ind w:left="416" w:firstLine="396"/>
              <w:rPr>
                <w:rFonts w:hAnsi="宋体" w:cs="宋体"/>
                <w:spacing w:val="-6"/>
                <w:szCs w:val="21"/>
                <w:highlight w:val="none"/>
              </w:rPr>
            </w:pPr>
          </w:p>
        </w:tc>
        <w:tc>
          <w:tcPr>
            <w:tcW w:w="1740"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250吨/日</w:t>
            </w:r>
          </w:p>
        </w:tc>
        <w:tc>
          <w:tcPr>
            <w:tcW w:w="1283" w:type="dxa"/>
            <w:tcBorders>
              <w:left w:val="single" w:color="auto" w:sz="4" w:space="0"/>
              <w:right w:val="single" w:color="auto" w:sz="4" w:space="0"/>
            </w:tcBorders>
            <w:vAlign w:val="center"/>
          </w:tcPr>
          <w:p>
            <w:pPr>
              <w:spacing w:line="360" w:lineRule="auto"/>
              <w:jc w:val="center"/>
              <w:rPr>
                <w:rFonts w:ascii="宋体" w:hAnsi="宋体" w:cs="宋体"/>
                <w:szCs w:val="21"/>
                <w:highlight w:val="none"/>
              </w:rPr>
            </w:pPr>
          </w:p>
        </w:tc>
        <w:tc>
          <w:tcPr>
            <w:tcW w:w="1402" w:type="dxa"/>
            <w:tcBorders>
              <w:left w:val="single" w:color="auto" w:sz="4" w:space="0"/>
            </w:tcBorders>
            <w:vAlign w:val="center"/>
          </w:tcPr>
          <w:p>
            <w:pPr>
              <w:spacing w:line="360" w:lineRule="auto"/>
              <w:jc w:val="center"/>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6" w:hRule="atLeast"/>
        </w:trPr>
        <w:tc>
          <w:tcPr>
            <w:tcW w:w="571" w:type="dxa"/>
            <w:vAlign w:val="center"/>
          </w:tcPr>
          <w:p>
            <w:pPr>
              <w:pStyle w:val="9"/>
              <w:ind w:firstLine="199" w:firstLineChars="95"/>
              <w:rPr>
                <w:rFonts w:hAnsi="宋体" w:cs="宋体"/>
                <w:szCs w:val="21"/>
                <w:highlight w:val="none"/>
              </w:rPr>
            </w:pPr>
            <w:r>
              <w:rPr>
                <w:rFonts w:hint="eastAsia" w:hAnsi="宋体" w:cs="宋体"/>
                <w:szCs w:val="21"/>
                <w:highlight w:val="none"/>
              </w:rPr>
              <w:t>3</w:t>
            </w:r>
          </w:p>
        </w:tc>
        <w:tc>
          <w:tcPr>
            <w:tcW w:w="1557"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垃圾分类</w:t>
            </w:r>
          </w:p>
        </w:tc>
        <w:tc>
          <w:tcPr>
            <w:tcW w:w="1815" w:type="dxa"/>
            <w:vAlign w:val="center"/>
          </w:tcPr>
          <w:p>
            <w:pPr>
              <w:pStyle w:val="9"/>
              <w:ind w:left="416" w:firstLine="396"/>
              <w:rPr>
                <w:rFonts w:hAnsi="宋体" w:cs="宋体"/>
                <w:spacing w:val="-6"/>
                <w:szCs w:val="21"/>
                <w:highlight w:val="none"/>
              </w:rPr>
            </w:pPr>
          </w:p>
        </w:tc>
        <w:tc>
          <w:tcPr>
            <w:tcW w:w="1740"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2，335，607.90㎡</w:t>
            </w:r>
          </w:p>
        </w:tc>
        <w:tc>
          <w:tcPr>
            <w:tcW w:w="1283" w:type="dxa"/>
            <w:tcBorders>
              <w:left w:val="single" w:color="auto" w:sz="4" w:space="0"/>
              <w:right w:val="single" w:color="auto" w:sz="4" w:space="0"/>
            </w:tcBorders>
            <w:vAlign w:val="center"/>
          </w:tcPr>
          <w:p>
            <w:pPr>
              <w:spacing w:line="360" w:lineRule="auto"/>
              <w:jc w:val="center"/>
              <w:rPr>
                <w:rFonts w:ascii="宋体" w:hAnsi="宋体" w:cs="宋体"/>
                <w:szCs w:val="21"/>
                <w:highlight w:val="none"/>
              </w:rPr>
            </w:pPr>
          </w:p>
        </w:tc>
        <w:tc>
          <w:tcPr>
            <w:tcW w:w="1402" w:type="dxa"/>
            <w:tcBorders>
              <w:left w:val="single" w:color="auto" w:sz="4" w:space="0"/>
            </w:tcBorders>
            <w:vAlign w:val="center"/>
          </w:tcPr>
          <w:p>
            <w:pPr>
              <w:spacing w:line="360" w:lineRule="auto"/>
              <w:jc w:val="center"/>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66" w:hRule="atLeast"/>
        </w:trPr>
        <w:tc>
          <w:tcPr>
            <w:tcW w:w="571" w:type="dxa"/>
            <w:vAlign w:val="center"/>
          </w:tcPr>
          <w:p>
            <w:pPr>
              <w:pStyle w:val="9"/>
              <w:ind w:firstLine="199" w:firstLineChars="95"/>
              <w:rPr>
                <w:rFonts w:hAnsi="宋体" w:cs="宋体"/>
                <w:szCs w:val="21"/>
                <w:highlight w:val="none"/>
              </w:rPr>
            </w:pPr>
            <w:r>
              <w:rPr>
                <w:rFonts w:hint="eastAsia" w:hAnsi="宋体" w:cs="宋体"/>
                <w:szCs w:val="21"/>
                <w:highlight w:val="none"/>
              </w:rPr>
              <w:t>4</w:t>
            </w:r>
          </w:p>
        </w:tc>
        <w:tc>
          <w:tcPr>
            <w:tcW w:w="1557"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公厕运营</w:t>
            </w:r>
          </w:p>
        </w:tc>
        <w:tc>
          <w:tcPr>
            <w:tcW w:w="1815" w:type="dxa"/>
            <w:vAlign w:val="center"/>
          </w:tcPr>
          <w:p>
            <w:pPr>
              <w:pStyle w:val="9"/>
              <w:ind w:left="416" w:firstLine="396"/>
              <w:rPr>
                <w:rFonts w:hAnsi="宋体" w:cs="宋体"/>
                <w:spacing w:val="-6"/>
                <w:szCs w:val="21"/>
                <w:highlight w:val="none"/>
              </w:rPr>
            </w:pPr>
          </w:p>
        </w:tc>
        <w:tc>
          <w:tcPr>
            <w:tcW w:w="1740" w:type="dxa"/>
            <w:vAlign w:val="center"/>
          </w:tcPr>
          <w:p>
            <w:pPr>
              <w:pStyle w:val="9"/>
              <w:ind w:firstLine="0" w:firstLineChars="0"/>
              <w:rPr>
                <w:rFonts w:hAnsi="宋体" w:cs="宋体"/>
                <w:spacing w:val="-6"/>
                <w:szCs w:val="21"/>
                <w:highlight w:val="none"/>
              </w:rPr>
            </w:pPr>
            <w:r>
              <w:rPr>
                <w:rFonts w:hint="eastAsia" w:hAnsi="宋体" w:cs="宋体"/>
                <w:spacing w:val="-6"/>
                <w:szCs w:val="21"/>
                <w:highlight w:val="none"/>
              </w:rPr>
              <w:t>10座</w:t>
            </w:r>
          </w:p>
        </w:tc>
        <w:tc>
          <w:tcPr>
            <w:tcW w:w="1283" w:type="dxa"/>
            <w:tcBorders>
              <w:left w:val="single" w:color="auto" w:sz="4" w:space="0"/>
              <w:right w:val="single" w:color="auto" w:sz="4" w:space="0"/>
            </w:tcBorders>
            <w:vAlign w:val="center"/>
          </w:tcPr>
          <w:p>
            <w:pPr>
              <w:spacing w:line="360" w:lineRule="auto"/>
              <w:jc w:val="center"/>
              <w:rPr>
                <w:rFonts w:ascii="宋体" w:hAnsi="宋体" w:cs="宋体"/>
                <w:szCs w:val="21"/>
                <w:highlight w:val="none"/>
              </w:rPr>
            </w:pPr>
          </w:p>
        </w:tc>
        <w:tc>
          <w:tcPr>
            <w:tcW w:w="1402" w:type="dxa"/>
            <w:tcBorders>
              <w:left w:val="single" w:color="auto" w:sz="4" w:space="0"/>
            </w:tcBorders>
            <w:vAlign w:val="center"/>
          </w:tcPr>
          <w:p>
            <w:pPr>
              <w:spacing w:line="360" w:lineRule="auto"/>
              <w:jc w:val="center"/>
              <w:rPr>
                <w:rFonts w:ascii="宋体" w:hAnsi="宋体" w:cs="宋体"/>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70" w:hRule="atLeast"/>
        </w:trPr>
        <w:tc>
          <w:tcPr>
            <w:tcW w:w="5683" w:type="dxa"/>
            <w:gridSpan w:val="4"/>
            <w:vAlign w:val="center"/>
          </w:tcPr>
          <w:p>
            <w:pPr>
              <w:spacing w:line="360" w:lineRule="auto"/>
              <w:ind w:firstLine="92"/>
              <w:jc w:val="center"/>
              <w:rPr>
                <w:rFonts w:ascii="宋体" w:hAnsi="宋体" w:cs="宋体"/>
                <w:szCs w:val="21"/>
                <w:highlight w:val="none"/>
              </w:rPr>
            </w:pPr>
            <w:r>
              <w:rPr>
                <w:rFonts w:hint="eastAsia" w:ascii="宋体" w:hAnsi="宋体" w:cs="宋体"/>
                <w:szCs w:val="21"/>
                <w:highlight w:val="none"/>
              </w:rPr>
              <w:t>总 价（元/年）</w:t>
            </w:r>
          </w:p>
        </w:tc>
        <w:tc>
          <w:tcPr>
            <w:tcW w:w="2685" w:type="dxa"/>
            <w:gridSpan w:val="2"/>
            <w:tcBorders>
              <w:left w:val="single" w:color="auto" w:sz="4" w:space="0"/>
            </w:tcBorders>
            <w:vAlign w:val="center"/>
          </w:tcPr>
          <w:p>
            <w:pPr>
              <w:spacing w:line="360" w:lineRule="auto"/>
              <w:jc w:val="center"/>
              <w:rPr>
                <w:rFonts w:ascii="宋体" w:hAnsi="宋体" w:cs="宋体"/>
                <w:szCs w:val="21"/>
                <w:highlight w:val="none"/>
              </w:rPr>
            </w:pPr>
          </w:p>
        </w:tc>
      </w:tr>
    </w:tbl>
    <w:p>
      <w:pPr>
        <w:spacing w:line="360" w:lineRule="auto"/>
        <w:ind w:firstLine="2" w:firstLineChars="1"/>
        <w:rPr>
          <w:rFonts w:ascii="宋体" w:hAnsi="宋体" w:cs="宋体"/>
          <w:sz w:val="24"/>
          <w:highlight w:val="none"/>
        </w:rPr>
      </w:pPr>
      <w:r>
        <w:rPr>
          <w:rFonts w:hint="eastAsia" w:ascii="宋体" w:hAnsi="宋体" w:cs="宋体"/>
          <w:sz w:val="24"/>
          <w:highlight w:val="none"/>
        </w:rPr>
        <w:t>注：</w:t>
      </w:r>
    </w:p>
    <w:p>
      <w:pPr>
        <w:spacing w:line="360" w:lineRule="auto"/>
        <w:ind w:firstLine="2" w:firstLineChars="1"/>
        <w:rPr>
          <w:rFonts w:ascii="宋体" w:hAnsi="宋体" w:cs="宋体"/>
          <w:sz w:val="24"/>
          <w:highlight w:val="none"/>
        </w:rPr>
      </w:pPr>
      <w:r>
        <w:rPr>
          <w:rFonts w:hint="eastAsia" w:ascii="宋体" w:hAnsi="宋体" w:cs="宋体"/>
          <w:sz w:val="24"/>
          <w:highlight w:val="none"/>
        </w:rPr>
        <w:t>1.表格长度可根据需要自行调整，表中所列内容为必须填写项目，投标人可根据自身情况增加内容。</w:t>
      </w:r>
    </w:p>
    <w:p>
      <w:pPr>
        <w:spacing w:line="360" w:lineRule="auto"/>
        <w:ind w:firstLine="2" w:firstLineChars="1"/>
        <w:rPr>
          <w:rFonts w:ascii="宋体" w:hAnsi="宋体" w:cs="宋体"/>
          <w:sz w:val="24"/>
          <w:highlight w:val="none"/>
        </w:rPr>
      </w:pPr>
      <w:r>
        <w:rPr>
          <w:rFonts w:hint="eastAsia" w:ascii="宋体" w:hAnsi="宋体" w:cs="宋体"/>
          <w:sz w:val="24"/>
          <w:highlight w:val="none"/>
        </w:rPr>
        <w:t>2.上述报价中，总价报价金额不得超过7777.34万元/年。</w:t>
      </w:r>
    </w:p>
    <w:p>
      <w:pPr>
        <w:spacing w:line="360" w:lineRule="auto"/>
        <w:ind w:firstLine="2" w:firstLineChars="1"/>
        <w:rPr>
          <w:rFonts w:ascii="宋体" w:hAnsi="宋体" w:cs="宋体"/>
          <w:sz w:val="24"/>
          <w:highlight w:val="none"/>
        </w:rPr>
      </w:pPr>
      <w:r>
        <w:rPr>
          <w:rFonts w:hint="eastAsia" w:ascii="宋体" w:hAnsi="宋体" w:cs="宋体"/>
          <w:sz w:val="24"/>
          <w:highlight w:val="none"/>
        </w:rPr>
        <w:t>3.上述各分项报价中，环卫清扫保洁年度运营经费不得超过5950.98万元，单价不得超过5.84元/㎡；垃圾清运年度经费不得超过1402.22万元，单价不得超过153.67元/吨；垃圾分类年度经费不得超过293.10万元，单价不得超过1.255元/㎡；公厕运营年度经费不得超过131.04万元，单价不得超过13.10万元/座。</w:t>
      </w:r>
    </w:p>
    <w:p>
      <w:pPr>
        <w:spacing w:line="360" w:lineRule="auto"/>
        <w:ind w:firstLine="2" w:firstLineChars="1"/>
        <w:rPr>
          <w:rFonts w:ascii="宋体" w:hAnsi="宋体" w:cs="宋体"/>
          <w:sz w:val="24"/>
          <w:highlight w:val="none"/>
        </w:rPr>
      </w:pPr>
      <w:r>
        <w:rPr>
          <w:rFonts w:hint="eastAsia" w:ascii="宋体" w:hAnsi="宋体" w:cs="宋体"/>
          <w:sz w:val="24"/>
          <w:highlight w:val="none"/>
        </w:rPr>
        <w:t>4.采购人向中标人实际支付的服务费将按照中标人实际作业面积与范围并结合各分项单价进行计算。</w:t>
      </w:r>
    </w:p>
    <w:p>
      <w:pPr>
        <w:topLinePunct/>
        <w:snapToGrid w:val="0"/>
        <w:spacing w:before="4" w:line="360" w:lineRule="auto"/>
        <w:rPr>
          <w:rFonts w:ascii="宋体" w:hAnsi="宋体" w:cs="宋体"/>
          <w:b/>
          <w:bCs/>
          <w:sz w:val="28"/>
          <w:szCs w:val="28"/>
          <w:highlight w:val="none"/>
        </w:rPr>
      </w:pPr>
    </w:p>
    <w:p>
      <w:pPr>
        <w:topLinePunct/>
        <w:snapToGrid w:val="0"/>
        <w:spacing w:before="4" w:line="360" w:lineRule="auto"/>
        <w:rPr>
          <w:rFonts w:ascii="宋体" w:hAnsi="宋体" w:cs="宋体"/>
          <w:b/>
          <w:bCs/>
          <w:sz w:val="28"/>
          <w:szCs w:val="28"/>
          <w:highlight w:val="none"/>
        </w:rPr>
      </w:pPr>
    </w:p>
    <w:p>
      <w:pPr>
        <w:topLinePunct/>
        <w:snapToGrid w:val="0"/>
        <w:spacing w:before="4" w:line="360" w:lineRule="auto"/>
        <w:rPr>
          <w:rFonts w:ascii="宋体" w:hAnsi="宋体" w:cs="宋体"/>
          <w:b/>
          <w:bCs/>
          <w:sz w:val="28"/>
          <w:szCs w:val="28"/>
          <w:highlight w:val="none"/>
          <w:u w:val="single"/>
        </w:rPr>
      </w:pPr>
      <w:r>
        <w:rPr>
          <w:rFonts w:hint="eastAsia" w:ascii="宋体" w:hAnsi="宋体" w:cs="宋体"/>
          <w:b/>
          <w:bCs/>
          <w:sz w:val="28"/>
          <w:szCs w:val="28"/>
          <w:highlight w:val="none"/>
        </w:rPr>
        <w:t>投标人名称（公章 ）：</w:t>
      </w:r>
      <w:r>
        <w:rPr>
          <w:rFonts w:hint="eastAsia" w:ascii="宋体" w:hAnsi="宋体" w:cs="宋体"/>
          <w:b/>
          <w:bCs/>
          <w:sz w:val="28"/>
          <w:szCs w:val="28"/>
          <w:highlight w:val="none"/>
          <w:u w:val="single"/>
        </w:rPr>
        <w:t xml:space="preserve">            </w:t>
      </w:r>
    </w:p>
    <w:p>
      <w:pPr>
        <w:topLinePunct/>
        <w:snapToGrid w:val="0"/>
        <w:spacing w:before="4" w:line="360" w:lineRule="auto"/>
        <w:rPr>
          <w:rFonts w:ascii="宋体" w:hAnsi="宋体" w:cs="宋体"/>
          <w:b/>
          <w:bCs/>
          <w:sz w:val="28"/>
          <w:szCs w:val="28"/>
          <w:highlight w:val="none"/>
        </w:rPr>
      </w:pPr>
    </w:p>
    <w:p>
      <w:pPr>
        <w:pStyle w:val="7"/>
        <w:ind w:firstLine="0" w:firstLineChars="0"/>
        <w:rPr>
          <w:rFonts w:ascii="宋体" w:hAnsi="宋体" w:cs="宋体"/>
          <w:b/>
          <w:sz w:val="32"/>
          <w:szCs w:val="32"/>
          <w:highlight w:val="none"/>
        </w:rPr>
      </w:pPr>
      <w:r>
        <w:rPr>
          <w:rFonts w:hint="eastAsia" w:ascii="宋体" w:hAnsi="宋体" w:cs="宋体"/>
          <w:b/>
          <w:bCs/>
          <w:sz w:val="28"/>
          <w:szCs w:val="28"/>
          <w:highlight w:val="none"/>
        </w:rPr>
        <w:t>法定代表人或被授权人（签字）</w:t>
      </w:r>
      <w:r>
        <w:rPr>
          <w:rFonts w:hint="eastAsia" w:ascii="宋体" w:hAnsi="宋体" w:cs="宋体"/>
          <w:b/>
          <w:bCs/>
          <w:sz w:val="28"/>
          <w:szCs w:val="28"/>
          <w:highlight w:val="none"/>
          <w:u w:val="single"/>
        </w:rPr>
        <w:t xml:space="preserve">       </w:t>
      </w:r>
    </w:p>
    <w:p>
      <w:pPr>
        <w:spacing w:line="600" w:lineRule="exact"/>
        <w:jc w:val="center"/>
        <w:rPr>
          <w:rFonts w:ascii="宋体" w:hAnsi="宋体" w:cs="宋体"/>
          <w:b/>
          <w:sz w:val="30"/>
          <w:szCs w:val="30"/>
          <w:highlight w:val="none"/>
        </w:rPr>
      </w:pPr>
    </w:p>
    <w:p>
      <w:pPr>
        <w:spacing w:line="600" w:lineRule="exact"/>
        <w:jc w:val="center"/>
        <w:rPr>
          <w:rFonts w:ascii="宋体" w:hAnsi="宋体" w:cs="宋体"/>
          <w:b/>
          <w:sz w:val="30"/>
          <w:szCs w:val="30"/>
          <w:highlight w:val="none"/>
        </w:rPr>
      </w:pPr>
    </w:p>
    <w:p>
      <w:pPr>
        <w:spacing w:line="600" w:lineRule="exact"/>
        <w:rPr>
          <w:rFonts w:ascii="宋体" w:hAnsi="宋体" w:cs="宋体"/>
          <w:b/>
          <w:sz w:val="30"/>
          <w:szCs w:val="30"/>
          <w:highlight w:val="none"/>
        </w:rPr>
      </w:pPr>
      <w:r>
        <w:rPr>
          <w:rFonts w:hint="eastAsia" w:ascii="宋体" w:hAnsi="宋体" w:cs="宋体"/>
          <w:b/>
          <w:sz w:val="30"/>
          <w:szCs w:val="30"/>
          <w:highlight w:val="none"/>
        </w:rPr>
        <w:t>3、授权委托书</w:t>
      </w:r>
    </w:p>
    <w:p>
      <w:pPr>
        <w:spacing w:line="360" w:lineRule="auto"/>
        <w:rPr>
          <w:rFonts w:hAnsi="宋体" w:cs="宋体"/>
          <w:b/>
          <w:bCs/>
          <w:sz w:val="28"/>
          <w:szCs w:val="28"/>
          <w:highlight w:val="none"/>
        </w:rPr>
      </w:pPr>
      <w:r>
        <w:rPr>
          <w:rFonts w:hint="eastAsia" w:hAnsi="宋体" w:cs="宋体"/>
          <w:b/>
          <w:bCs/>
          <w:sz w:val="28"/>
          <w:szCs w:val="28"/>
          <w:highlight w:val="none"/>
          <w:lang w:val="zh-CN"/>
        </w:rPr>
        <w:t>致：</w:t>
      </w:r>
      <w:r>
        <w:rPr>
          <w:rFonts w:hint="eastAsia" w:hAnsi="宋体" w:cs="宋体"/>
          <w:b/>
          <w:bCs/>
          <w:sz w:val="28"/>
          <w:szCs w:val="28"/>
          <w:highlight w:val="none"/>
        </w:rPr>
        <w:t>深圳市万德公共咨询有限公司</w:t>
      </w:r>
    </w:p>
    <w:p>
      <w:pPr>
        <w:spacing w:line="360" w:lineRule="auto"/>
        <w:ind w:firstLine="562" w:firstLineChars="200"/>
        <w:rPr>
          <w:rFonts w:hAnsi="宋体" w:cs="宋体"/>
          <w:sz w:val="28"/>
          <w:szCs w:val="28"/>
          <w:highlight w:val="none"/>
          <w:lang w:val="en-GB"/>
        </w:rPr>
      </w:pPr>
      <w:r>
        <w:rPr>
          <w:rFonts w:hint="eastAsia" w:hAnsi="宋体" w:cs="宋体"/>
          <w:b/>
          <w:bCs/>
          <w:sz w:val="28"/>
          <w:szCs w:val="28"/>
          <w:highlight w:val="none"/>
          <w:u w:val="single"/>
          <w:lang w:val="zh-CN"/>
        </w:rPr>
        <w:t>（投标人名称）</w:t>
      </w:r>
      <w:r>
        <w:rPr>
          <w:rFonts w:hint="eastAsia" w:hAnsi="宋体" w:cs="宋体"/>
          <w:sz w:val="28"/>
          <w:szCs w:val="28"/>
          <w:highlight w:val="none"/>
          <w:lang w:val="zh-CN"/>
        </w:rPr>
        <w:t>在下面签字的</w:t>
      </w:r>
      <w:r>
        <w:rPr>
          <w:rFonts w:hint="eastAsia" w:hAnsi="宋体" w:cs="宋体"/>
          <w:sz w:val="28"/>
          <w:szCs w:val="28"/>
          <w:highlight w:val="none"/>
          <w:u w:val="single"/>
          <w:lang w:val="zh-CN"/>
        </w:rPr>
        <w:t>（法定代表人）</w:t>
      </w:r>
      <w:r>
        <w:rPr>
          <w:rFonts w:hint="eastAsia" w:hAnsi="宋体" w:cs="宋体"/>
          <w:b/>
          <w:bCs/>
          <w:sz w:val="28"/>
          <w:szCs w:val="28"/>
          <w:highlight w:val="none"/>
          <w:u w:val="single"/>
          <w:lang w:val="zh-CN"/>
        </w:rPr>
        <w:t>姓名：</w:t>
      </w:r>
      <w:r>
        <w:rPr>
          <w:rFonts w:hint="eastAsia" w:hAnsi="宋体" w:cs="宋体"/>
          <w:b/>
          <w:bCs/>
          <w:sz w:val="28"/>
          <w:szCs w:val="28"/>
          <w:highlight w:val="none"/>
          <w:u w:val="single"/>
        </w:rPr>
        <w:t xml:space="preserve">        </w:t>
      </w:r>
      <w:r>
        <w:rPr>
          <w:rFonts w:hint="eastAsia" w:hAnsi="宋体" w:cs="宋体"/>
          <w:b/>
          <w:bCs/>
          <w:sz w:val="28"/>
          <w:szCs w:val="28"/>
          <w:highlight w:val="none"/>
          <w:u w:val="single"/>
          <w:lang w:val="zh-CN"/>
        </w:rPr>
        <w:t>职务：</w:t>
      </w:r>
      <w:r>
        <w:rPr>
          <w:rFonts w:hint="eastAsia" w:hAnsi="宋体" w:cs="宋体"/>
          <w:b/>
          <w:bCs/>
          <w:sz w:val="28"/>
          <w:szCs w:val="28"/>
          <w:highlight w:val="none"/>
          <w:u w:val="single"/>
        </w:rPr>
        <w:t xml:space="preserve">        </w:t>
      </w:r>
      <w:r>
        <w:rPr>
          <w:rFonts w:hint="eastAsia" w:hAnsi="宋体" w:cs="宋体"/>
          <w:sz w:val="28"/>
          <w:szCs w:val="28"/>
          <w:highlight w:val="none"/>
          <w:lang w:val="zh-CN"/>
        </w:rPr>
        <w:t>代表本公司授权下面签字的</w:t>
      </w:r>
      <w:r>
        <w:rPr>
          <w:rFonts w:hint="eastAsia" w:hAnsi="宋体" w:cs="宋体"/>
          <w:sz w:val="28"/>
          <w:szCs w:val="28"/>
          <w:highlight w:val="none"/>
          <w:u w:val="single"/>
          <w:lang w:val="zh-CN"/>
        </w:rPr>
        <w:t>（被授权代表）</w:t>
      </w:r>
      <w:r>
        <w:rPr>
          <w:rFonts w:hint="eastAsia" w:hAnsi="宋体" w:cs="宋体"/>
          <w:b/>
          <w:bCs/>
          <w:sz w:val="28"/>
          <w:szCs w:val="28"/>
          <w:highlight w:val="none"/>
          <w:u w:val="single"/>
          <w:lang w:val="zh-CN"/>
        </w:rPr>
        <w:t>姓名：</w:t>
      </w:r>
      <w:r>
        <w:rPr>
          <w:rFonts w:hint="eastAsia" w:hAnsi="宋体" w:cs="宋体"/>
          <w:b/>
          <w:bCs/>
          <w:sz w:val="28"/>
          <w:szCs w:val="28"/>
          <w:highlight w:val="none"/>
          <w:u w:val="single"/>
        </w:rPr>
        <w:t xml:space="preserve">        </w:t>
      </w:r>
      <w:r>
        <w:rPr>
          <w:rFonts w:hint="eastAsia" w:hAnsi="宋体" w:cs="宋体"/>
          <w:b/>
          <w:bCs/>
          <w:sz w:val="28"/>
          <w:szCs w:val="28"/>
          <w:highlight w:val="none"/>
          <w:u w:val="single"/>
          <w:lang w:val="zh-CN"/>
        </w:rPr>
        <w:t>职务：</w:t>
      </w:r>
      <w:r>
        <w:rPr>
          <w:rFonts w:hint="eastAsia" w:hAnsi="宋体" w:cs="宋体"/>
          <w:b/>
          <w:bCs/>
          <w:sz w:val="28"/>
          <w:szCs w:val="28"/>
          <w:highlight w:val="none"/>
          <w:u w:val="single"/>
        </w:rPr>
        <w:t xml:space="preserve">        </w:t>
      </w:r>
      <w:r>
        <w:rPr>
          <w:rFonts w:hint="eastAsia" w:hAnsi="宋体" w:cs="宋体"/>
          <w:sz w:val="28"/>
          <w:szCs w:val="28"/>
          <w:highlight w:val="none"/>
          <w:lang w:val="zh-CN"/>
        </w:rPr>
        <w:t>为本公司的合法代理人，就</w:t>
      </w:r>
      <w:r>
        <w:rPr>
          <w:rFonts w:hint="eastAsia" w:hAnsi="宋体" w:cs="宋体"/>
          <w:b/>
          <w:bCs/>
          <w:sz w:val="28"/>
          <w:szCs w:val="28"/>
          <w:highlight w:val="none"/>
          <w:u w:val="single"/>
          <w:lang w:val="zh-CN"/>
        </w:rPr>
        <w:t>项目名称：               （招标编号：</w:t>
      </w:r>
      <w:r>
        <w:rPr>
          <w:rFonts w:hAnsi="宋体" w:cs="宋体"/>
          <w:b/>
          <w:bCs/>
          <w:sz w:val="28"/>
          <w:szCs w:val="28"/>
          <w:highlight w:val="none"/>
          <w:u w:val="single"/>
        </w:rPr>
        <w:t xml:space="preserve">       </w:t>
      </w:r>
      <w:r>
        <w:rPr>
          <w:rFonts w:hint="eastAsia" w:hAnsi="宋体" w:cs="宋体"/>
          <w:b/>
          <w:bCs/>
          <w:sz w:val="28"/>
          <w:szCs w:val="28"/>
          <w:highlight w:val="none"/>
          <w:u w:val="single"/>
          <w:lang w:val="zh-CN"/>
        </w:rPr>
        <w:t>）</w:t>
      </w:r>
      <w:r>
        <w:rPr>
          <w:rFonts w:hint="eastAsia" w:hAnsi="宋体" w:cs="宋体"/>
          <w:sz w:val="28"/>
          <w:szCs w:val="28"/>
          <w:highlight w:val="none"/>
          <w:lang w:val="zh-CN"/>
        </w:rPr>
        <w:t>进行投标，以本公司的名义处理一切与之相关的事务</w:t>
      </w:r>
      <w:r>
        <w:rPr>
          <w:rFonts w:hint="eastAsia" w:hAnsi="宋体" w:cs="宋体"/>
          <w:sz w:val="28"/>
          <w:szCs w:val="28"/>
          <w:highlight w:val="none"/>
          <w:lang w:val="en-GB"/>
        </w:rPr>
        <w:t>。</w:t>
      </w:r>
    </w:p>
    <w:p>
      <w:pPr>
        <w:spacing w:line="360" w:lineRule="auto"/>
        <w:ind w:firstLine="560" w:firstLineChars="200"/>
        <w:rPr>
          <w:rFonts w:hAnsi="宋体" w:cs="宋体"/>
          <w:sz w:val="28"/>
          <w:szCs w:val="28"/>
          <w:highlight w:val="none"/>
          <w:lang w:val="en-GB"/>
        </w:rPr>
      </w:pPr>
      <w:r>
        <w:rPr>
          <w:rFonts w:hint="eastAsia" w:hAnsi="宋体" w:cs="宋体"/>
          <w:sz w:val="28"/>
          <w:szCs w:val="28"/>
          <w:highlight w:val="none"/>
          <w:lang w:val="en-GB"/>
        </w:rPr>
        <w:t>本授权书自</w:t>
      </w:r>
      <w:r>
        <w:rPr>
          <w:rFonts w:hint="eastAsia" w:hAnsi="宋体" w:cs="宋体"/>
          <w:sz w:val="28"/>
          <w:szCs w:val="28"/>
          <w:highlight w:val="none"/>
          <w:u w:val="single"/>
        </w:rPr>
        <w:t xml:space="preserve">      </w:t>
      </w:r>
      <w:r>
        <w:rPr>
          <w:rFonts w:hint="eastAsia" w:hAnsi="宋体" w:cs="宋体"/>
          <w:sz w:val="28"/>
          <w:szCs w:val="28"/>
          <w:highlight w:val="none"/>
          <w:lang w:val="en-GB"/>
        </w:rPr>
        <w:t>年</w:t>
      </w:r>
      <w:r>
        <w:rPr>
          <w:rFonts w:hint="eastAsia" w:hAnsi="宋体" w:cs="宋体"/>
          <w:sz w:val="28"/>
          <w:szCs w:val="28"/>
          <w:highlight w:val="none"/>
          <w:u w:val="single"/>
        </w:rPr>
        <w:t xml:space="preserve">    </w:t>
      </w:r>
      <w:r>
        <w:rPr>
          <w:rFonts w:hint="eastAsia" w:hAnsi="宋体" w:cs="宋体"/>
          <w:sz w:val="28"/>
          <w:szCs w:val="28"/>
          <w:highlight w:val="none"/>
          <w:lang w:val="en-GB"/>
        </w:rPr>
        <w:t>月</w:t>
      </w:r>
      <w:r>
        <w:rPr>
          <w:rFonts w:hint="eastAsia" w:hAnsi="宋体" w:cs="宋体"/>
          <w:sz w:val="28"/>
          <w:szCs w:val="28"/>
          <w:highlight w:val="none"/>
          <w:u w:val="single"/>
        </w:rPr>
        <w:t xml:space="preserve">    </w:t>
      </w:r>
      <w:r>
        <w:rPr>
          <w:rFonts w:hint="eastAsia" w:hAnsi="宋体" w:cs="宋体"/>
          <w:sz w:val="28"/>
          <w:szCs w:val="28"/>
          <w:highlight w:val="none"/>
          <w:lang w:val="en-GB"/>
        </w:rPr>
        <w:t>日至</w:t>
      </w:r>
      <w:r>
        <w:rPr>
          <w:rFonts w:hint="eastAsia" w:hAnsi="宋体" w:cs="宋体"/>
          <w:sz w:val="28"/>
          <w:szCs w:val="28"/>
          <w:highlight w:val="none"/>
          <w:u w:val="single"/>
        </w:rPr>
        <w:t xml:space="preserve">      </w:t>
      </w:r>
      <w:r>
        <w:rPr>
          <w:rFonts w:hint="eastAsia" w:hAnsi="宋体" w:cs="宋体"/>
          <w:sz w:val="28"/>
          <w:szCs w:val="28"/>
          <w:highlight w:val="none"/>
          <w:lang w:val="en-GB"/>
        </w:rPr>
        <w:t>年</w:t>
      </w:r>
      <w:r>
        <w:rPr>
          <w:rFonts w:hint="eastAsia" w:hAnsi="宋体" w:cs="宋体"/>
          <w:sz w:val="28"/>
          <w:szCs w:val="28"/>
          <w:highlight w:val="none"/>
          <w:u w:val="single"/>
        </w:rPr>
        <w:t xml:space="preserve">    </w:t>
      </w:r>
      <w:r>
        <w:rPr>
          <w:rFonts w:hint="eastAsia" w:hAnsi="宋体" w:cs="宋体"/>
          <w:sz w:val="28"/>
          <w:szCs w:val="28"/>
          <w:highlight w:val="none"/>
          <w:lang w:val="en-GB"/>
        </w:rPr>
        <w:t>月</w:t>
      </w:r>
      <w:r>
        <w:rPr>
          <w:rFonts w:hint="eastAsia" w:hAnsi="宋体" w:cs="宋体"/>
          <w:sz w:val="28"/>
          <w:szCs w:val="28"/>
          <w:highlight w:val="none"/>
          <w:u w:val="single"/>
        </w:rPr>
        <w:t xml:space="preserve">    </w:t>
      </w:r>
      <w:r>
        <w:rPr>
          <w:rFonts w:hint="eastAsia" w:hAnsi="宋体" w:cs="宋体"/>
          <w:sz w:val="28"/>
          <w:szCs w:val="28"/>
          <w:highlight w:val="none"/>
          <w:lang w:val="en-GB"/>
        </w:rPr>
        <w:t>日内签字有效，特此声明（本授权书有效期须与投标有效期一致）。</w:t>
      </w:r>
    </w:p>
    <w:p>
      <w:pPr>
        <w:spacing w:before="312" w:beforeLines="100" w:after="312" w:afterLines="100" w:line="360" w:lineRule="auto"/>
        <w:rPr>
          <w:rFonts w:hAnsi="宋体" w:cs="宋体"/>
          <w:sz w:val="28"/>
          <w:szCs w:val="28"/>
          <w:highlight w:val="none"/>
          <w:lang w:val="en-GB"/>
        </w:rPr>
      </w:pPr>
      <w:r>
        <w:rPr>
          <w:rFonts w:hint="eastAsia" w:hAnsi="宋体" w:cs="宋体"/>
          <w:sz w:val="28"/>
          <w:szCs w:val="28"/>
          <w:highlight w:val="none"/>
          <w:lang w:val="en-GB"/>
        </w:rPr>
        <w:t>法定代表人：</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bCs/>
          <w:sz w:val="28"/>
          <w:szCs w:val="28"/>
          <w:highlight w:val="none"/>
          <w:u w:val="single"/>
          <w:lang w:val="en-GB"/>
        </w:rPr>
        <w:t>（亲笔签名）</w:t>
      </w:r>
      <w:r>
        <w:rPr>
          <w:rFonts w:hint="eastAsia" w:hAnsi="宋体" w:cs="宋体"/>
          <w:sz w:val="28"/>
          <w:szCs w:val="28"/>
          <w:highlight w:val="none"/>
          <w:lang w:val="en-GB"/>
        </w:rPr>
        <w:t xml:space="preserve">  </w:t>
      </w:r>
      <w:r>
        <w:rPr>
          <w:rFonts w:hint="eastAsia" w:hAnsi="宋体" w:cs="宋体"/>
          <w:sz w:val="28"/>
          <w:szCs w:val="28"/>
          <w:highlight w:val="none"/>
        </w:rPr>
        <w:t xml:space="preserve">  </w:t>
      </w:r>
      <w:r>
        <w:rPr>
          <w:rFonts w:hint="eastAsia" w:hAnsi="宋体" w:cs="宋体"/>
          <w:sz w:val="28"/>
          <w:szCs w:val="28"/>
          <w:highlight w:val="none"/>
          <w:lang w:val="en-GB"/>
        </w:rPr>
        <w:t>联系电话：</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p>
    <w:p>
      <w:pPr>
        <w:spacing w:before="312" w:beforeLines="100" w:after="312" w:afterLines="100" w:line="360" w:lineRule="auto"/>
        <w:rPr>
          <w:rFonts w:hAnsi="宋体" w:cs="宋体"/>
          <w:sz w:val="28"/>
          <w:szCs w:val="28"/>
          <w:highlight w:val="none"/>
          <w:lang w:val="en-GB"/>
        </w:rPr>
      </w:pPr>
      <w:r>
        <w:rPr>
          <w:rFonts w:hint="eastAsia" w:hAnsi="宋体" w:cs="宋体"/>
          <w:sz w:val="28"/>
          <w:szCs w:val="28"/>
          <w:highlight w:val="none"/>
          <w:lang w:val="en-GB"/>
        </w:rPr>
        <w:t>职    务：</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lang w:val="en-GB"/>
        </w:rPr>
        <w:t xml:space="preserve">  </w:t>
      </w:r>
      <w:r>
        <w:rPr>
          <w:rFonts w:hint="eastAsia" w:hAnsi="宋体" w:cs="宋体"/>
          <w:sz w:val="28"/>
          <w:szCs w:val="28"/>
          <w:highlight w:val="none"/>
        </w:rPr>
        <w:t xml:space="preserve">  </w:t>
      </w:r>
      <w:r>
        <w:rPr>
          <w:rFonts w:hint="eastAsia" w:hAnsi="宋体" w:cs="宋体"/>
          <w:sz w:val="28"/>
          <w:szCs w:val="28"/>
          <w:highlight w:val="none"/>
          <w:lang w:val="en-GB"/>
        </w:rPr>
        <w:t>身份证号码：</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p>
    <w:p>
      <w:pPr>
        <w:spacing w:before="312" w:beforeLines="100" w:after="312" w:afterLines="100" w:line="360" w:lineRule="auto"/>
        <w:rPr>
          <w:rFonts w:hAnsi="宋体" w:cs="宋体"/>
          <w:sz w:val="28"/>
          <w:szCs w:val="28"/>
          <w:highlight w:val="none"/>
        </w:rPr>
      </w:pPr>
      <w:r>
        <w:rPr>
          <w:rFonts w:hint="eastAsia" w:hAnsi="宋体" w:cs="宋体"/>
          <w:sz w:val="28"/>
          <w:szCs w:val="28"/>
          <w:highlight w:val="none"/>
          <w:lang w:val="en-GB"/>
        </w:rPr>
        <w:t>公司名称：</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（公章）</w:t>
      </w:r>
      <w:r>
        <w:rPr>
          <w:rFonts w:hint="eastAsia" w:hAnsi="宋体" w:cs="宋体"/>
          <w:sz w:val="28"/>
          <w:szCs w:val="28"/>
          <w:highlight w:val="none"/>
          <w:lang w:val="en-GB"/>
        </w:rPr>
        <w:t xml:space="preserve">  </w:t>
      </w:r>
      <w:r>
        <w:rPr>
          <w:rFonts w:hint="eastAsia" w:hAnsi="宋体" w:cs="宋体"/>
          <w:sz w:val="28"/>
          <w:szCs w:val="28"/>
          <w:highlight w:val="none"/>
        </w:rPr>
        <w:t xml:space="preserve">  </w:t>
      </w:r>
    </w:p>
    <w:p>
      <w:pPr>
        <w:spacing w:before="312" w:beforeLines="100" w:after="312" w:afterLines="100" w:line="360" w:lineRule="auto"/>
        <w:rPr>
          <w:rFonts w:hAnsi="宋体" w:cs="宋体"/>
          <w:sz w:val="28"/>
          <w:szCs w:val="28"/>
          <w:highlight w:val="none"/>
          <w:lang w:val="en-GB"/>
        </w:rPr>
      </w:pPr>
      <w:r>
        <w:rPr>
          <w:rFonts w:hint="eastAsia" w:hAnsi="宋体" w:cs="宋体"/>
          <w:sz w:val="28"/>
          <w:szCs w:val="28"/>
          <w:highlight w:val="none"/>
          <w:lang w:val="en-GB"/>
        </w:rPr>
        <w:t>营业执照号码：</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p>
    <w:p>
      <w:pPr>
        <w:spacing w:before="312" w:beforeLines="100" w:after="312" w:afterLines="100" w:line="360" w:lineRule="auto"/>
        <w:rPr>
          <w:rFonts w:hAnsi="宋体" w:cs="宋体"/>
          <w:sz w:val="28"/>
          <w:szCs w:val="28"/>
          <w:highlight w:val="none"/>
          <w:u w:val="single"/>
          <w:lang w:val="en-GB"/>
        </w:rPr>
      </w:pPr>
      <w:r>
        <w:rPr>
          <w:rFonts w:hint="eastAsia" w:hAnsi="宋体" w:cs="宋体"/>
          <w:sz w:val="28"/>
          <w:szCs w:val="28"/>
          <w:highlight w:val="none"/>
          <w:lang w:val="en-GB"/>
        </w:rPr>
        <w:t>被授权人：</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bCs/>
          <w:sz w:val="28"/>
          <w:szCs w:val="28"/>
          <w:highlight w:val="none"/>
          <w:u w:val="single"/>
          <w:lang w:val="en-GB"/>
        </w:rPr>
        <w:t>（亲笔签名）</w:t>
      </w:r>
      <w:r>
        <w:rPr>
          <w:rFonts w:hint="eastAsia" w:hAnsi="宋体" w:cs="宋体"/>
          <w:sz w:val="28"/>
          <w:szCs w:val="28"/>
          <w:highlight w:val="none"/>
          <w:lang w:val="en-GB"/>
        </w:rPr>
        <w:t xml:space="preserve">  </w:t>
      </w:r>
      <w:r>
        <w:rPr>
          <w:rFonts w:hint="eastAsia" w:hAnsi="宋体" w:cs="宋体"/>
          <w:sz w:val="28"/>
          <w:szCs w:val="28"/>
          <w:highlight w:val="none"/>
        </w:rPr>
        <w:t xml:space="preserve">  </w:t>
      </w:r>
      <w:r>
        <w:rPr>
          <w:rFonts w:hint="eastAsia" w:hAnsi="宋体" w:cs="宋体"/>
          <w:sz w:val="28"/>
          <w:szCs w:val="28"/>
          <w:highlight w:val="none"/>
          <w:lang w:val="en-GB"/>
        </w:rPr>
        <w:t>联系电话：</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p>
    <w:p>
      <w:pPr>
        <w:spacing w:before="312" w:beforeLines="100" w:after="312" w:afterLines="100" w:line="360" w:lineRule="auto"/>
        <w:rPr>
          <w:rFonts w:hAnsi="宋体" w:cs="宋体"/>
          <w:sz w:val="28"/>
          <w:szCs w:val="28"/>
          <w:highlight w:val="none"/>
          <w:lang w:val="en-GB"/>
        </w:rPr>
      </w:pPr>
      <w:r>
        <w:rPr>
          <w:rFonts w:hint="eastAsia" w:hAnsi="宋体" w:cs="宋体"/>
          <w:sz w:val="28"/>
          <w:szCs w:val="28"/>
          <w:highlight w:val="none"/>
          <w:lang w:val="en-GB"/>
        </w:rPr>
        <w:t>职    务：</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lang w:val="en-GB"/>
        </w:rPr>
        <w:t xml:space="preserve">  </w:t>
      </w:r>
      <w:r>
        <w:rPr>
          <w:rFonts w:hint="eastAsia" w:hAnsi="宋体" w:cs="宋体"/>
          <w:sz w:val="28"/>
          <w:szCs w:val="28"/>
          <w:highlight w:val="none"/>
        </w:rPr>
        <w:t xml:space="preserve">  </w:t>
      </w:r>
      <w:r>
        <w:rPr>
          <w:rFonts w:hint="eastAsia" w:hAnsi="宋体" w:cs="宋体"/>
          <w:sz w:val="28"/>
          <w:szCs w:val="28"/>
          <w:highlight w:val="none"/>
          <w:lang w:val="en-GB"/>
        </w:rPr>
        <w:t>身份证号码：</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p>
    <w:p>
      <w:pPr>
        <w:spacing w:before="312" w:beforeLines="100" w:after="312" w:afterLines="100" w:line="360" w:lineRule="auto"/>
        <w:rPr>
          <w:rFonts w:hAnsi="宋体" w:cs="宋体"/>
          <w:sz w:val="28"/>
          <w:szCs w:val="28"/>
          <w:highlight w:val="none"/>
          <w:lang w:val="en-GB"/>
        </w:rPr>
      </w:pPr>
      <w:r>
        <w:rPr>
          <w:rFonts w:hint="eastAsia" w:hAnsi="宋体" w:cs="宋体"/>
          <w:sz w:val="28"/>
          <w:szCs w:val="28"/>
          <w:highlight w:val="none"/>
          <w:lang w:val="en-GB"/>
        </w:rPr>
        <w:t>生效日期：</w:t>
      </w:r>
      <w:r>
        <w:rPr>
          <w:rFonts w:hint="eastAsia" w:hAnsi="宋体" w:cs="宋体"/>
          <w:sz w:val="28"/>
          <w:szCs w:val="28"/>
          <w:highlight w:val="none"/>
          <w:u w:val="single"/>
          <w:lang w:val="en-GB"/>
        </w:rPr>
        <w:t xml:space="preserve">    </w:t>
      </w:r>
      <w:r>
        <w:rPr>
          <w:rFonts w:hint="eastAsia" w:hAnsi="宋体" w:cs="宋体"/>
          <w:sz w:val="28"/>
          <w:szCs w:val="28"/>
          <w:highlight w:val="none"/>
          <w:u w:val="single"/>
        </w:rPr>
        <w:t xml:space="preserve"> </w:t>
      </w:r>
      <w:r>
        <w:rPr>
          <w:rFonts w:hint="eastAsia" w:hAnsi="宋体" w:cs="宋体"/>
          <w:sz w:val="28"/>
          <w:szCs w:val="28"/>
          <w:highlight w:val="none"/>
          <w:u w:val="single"/>
          <w:lang w:val="en-GB"/>
        </w:rPr>
        <w:t xml:space="preserve"> </w:t>
      </w:r>
      <w:r>
        <w:rPr>
          <w:rFonts w:hint="eastAsia" w:hAnsi="宋体" w:cs="宋体"/>
          <w:sz w:val="28"/>
          <w:szCs w:val="28"/>
          <w:highlight w:val="none"/>
          <w:lang w:val="en-GB"/>
        </w:rPr>
        <w:t>年</w:t>
      </w:r>
      <w:r>
        <w:rPr>
          <w:rFonts w:hint="eastAsia" w:hAnsi="宋体" w:cs="宋体"/>
          <w:sz w:val="28"/>
          <w:szCs w:val="28"/>
          <w:highlight w:val="none"/>
          <w:u w:val="single"/>
          <w:lang w:val="en-GB"/>
        </w:rPr>
        <w:t xml:space="preserve">    </w:t>
      </w:r>
      <w:r>
        <w:rPr>
          <w:rFonts w:hint="eastAsia" w:hAnsi="宋体" w:cs="宋体"/>
          <w:sz w:val="28"/>
          <w:szCs w:val="28"/>
          <w:highlight w:val="none"/>
          <w:lang w:val="en-GB"/>
        </w:rPr>
        <w:t>月</w:t>
      </w:r>
      <w:r>
        <w:rPr>
          <w:rFonts w:hint="eastAsia" w:hAnsi="宋体" w:cs="宋体"/>
          <w:sz w:val="28"/>
          <w:szCs w:val="28"/>
          <w:highlight w:val="none"/>
          <w:u w:val="single"/>
          <w:lang w:val="en-GB"/>
        </w:rPr>
        <w:t xml:space="preserve">    </w:t>
      </w:r>
      <w:r>
        <w:rPr>
          <w:rFonts w:hint="eastAsia" w:hAnsi="宋体" w:cs="宋体"/>
          <w:sz w:val="28"/>
          <w:szCs w:val="28"/>
          <w:highlight w:val="none"/>
          <w:lang w:val="en-GB"/>
        </w:rPr>
        <w:t>日</w:t>
      </w:r>
    </w:p>
    <w:p>
      <w:pPr>
        <w:pStyle w:val="7"/>
        <w:ind w:firstLine="560"/>
        <w:rPr>
          <w:rFonts w:hAnsi="宋体" w:cs="宋体"/>
          <w:sz w:val="28"/>
          <w:szCs w:val="28"/>
          <w:highlight w:val="none"/>
          <w:lang w:val="en-GB"/>
        </w:rPr>
      </w:pPr>
    </w:p>
    <w:p>
      <w:pPr>
        <w:pStyle w:val="7"/>
        <w:ind w:firstLine="560"/>
        <w:rPr>
          <w:rFonts w:hAnsi="宋体" w:cs="宋体"/>
          <w:sz w:val="28"/>
          <w:szCs w:val="28"/>
          <w:highlight w:val="none"/>
          <w:lang w:val="en-GB"/>
        </w:rPr>
      </w:pPr>
    </w:p>
    <w:p>
      <w:pPr>
        <w:spacing w:line="360" w:lineRule="auto"/>
        <w:ind w:firstLine="560" w:firstLineChars="200"/>
        <w:rPr>
          <w:rFonts w:hAnsi="宋体" w:cs="宋体"/>
          <w:sz w:val="28"/>
          <w:szCs w:val="28"/>
          <w:highlight w:val="none"/>
          <w:lang w:val="en-GB"/>
        </w:rPr>
      </w:pPr>
      <w:r>
        <w:rPr>
          <w:rFonts w:hAnsi="宋体" w:cs="宋体"/>
          <w:sz w:val="28"/>
          <w:szCs w:val="28"/>
          <w:highlight w:val="none"/>
        </w:rPr>
        <mc:AlternateContent>
          <mc:Choice Requires="wps">
            <w:drawing>
              <wp:anchor distT="0" distB="0" distL="114300" distR="114300" simplePos="0" relativeHeight="251658240" behindDoc="0" locked="0" layoutInCell="1" allowOverlap="1">
                <wp:simplePos x="0" y="0"/>
                <wp:positionH relativeFrom="column">
                  <wp:posOffset>3129280</wp:posOffset>
                </wp:positionH>
                <wp:positionV relativeFrom="paragraph">
                  <wp:posOffset>130810</wp:posOffset>
                </wp:positionV>
                <wp:extent cx="3090545" cy="2006600"/>
                <wp:effectExtent l="4445" t="4445" r="10160" b="8255"/>
                <wp:wrapNone/>
                <wp:docPr id="2" name="矩形 2"/>
                <wp:cNvGraphicFramePr/>
                <a:graphic xmlns:a="http://schemas.openxmlformats.org/drawingml/2006/main">
                  <a:graphicData uri="http://schemas.microsoft.com/office/word/2010/wordprocessingShape">
                    <wps:wsp>
                      <wps:cNvSpPr/>
                      <wps:spPr>
                        <a:xfrm>
                          <a:off x="0" y="0"/>
                          <a:ext cx="3090545" cy="20066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eastAsia="黑体"/>
                                <w:b/>
                                <w:sz w:val="30"/>
                              </w:rPr>
                            </w:pPr>
                          </w:p>
                          <w:p>
                            <w:pPr>
                              <w:jc w:val="center"/>
                              <w:rPr>
                                <w:rFonts w:hAnsi="宋体"/>
                                <w:b/>
                                <w:sz w:val="28"/>
                              </w:rPr>
                            </w:pPr>
                            <w:r>
                              <w:rPr>
                                <w:rFonts w:hint="eastAsia" w:hAnsi="宋体"/>
                                <w:b/>
                                <w:sz w:val="28"/>
                              </w:rPr>
                              <w:t>被授权人</w:t>
                            </w:r>
                          </w:p>
                          <w:p>
                            <w:pPr>
                              <w:jc w:val="center"/>
                              <w:rPr>
                                <w:rFonts w:hAnsi="宋体"/>
                                <w:sz w:val="28"/>
                              </w:rPr>
                            </w:pPr>
                            <w:r>
                              <w:rPr>
                                <w:rFonts w:hint="eastAsia" w:hAnsi="宋体"/>
                                <w:b/>
                                <w:sz w:val="28"/>
                              </w:rPr>
                              <w:t>居民身份证复印件粘贴处</w:t>
                            </w:r>
                          </w:p>
                        </w:txbxContent>
                      </wps:txbx>
                      <wps:bodyPr upright="1"/>
                    </wps:wsp>
                  </a:graphicData>
                </a:graphic>
              </wp:anchor>
            </w:drawing>
          </mc:Choice>
          <mc:Fallback>
            <w:pict>
              <v:rect id="_x0000_s1026" o:spid="_x0000_s1026" o:spt="1" style="position:absolute;left:0pt;margin-left:246.4pt;margin-top:10.3pt;height:158pt;width:243.35pt;z-index:251658240;mso-width-relative:page;mso-height-relative:page;" fillcolor="#FFFFFF" filled="t" stroked="t" coordsize="21600,21600" o:gfxdata="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L0YddgAAAAKAQAADwAAAAAAAAABACAAAAAiAAAAZHJzL2Rvd25yZXYueG1sUEsBAhQAFAAAAAgA&#10;h07iQKS1XnbsAQAA6gMAAA4AAAAAAAAAAQAgAAAAJwEAAGRycy9lMm9Eb2MueG1sUEsFBgAAAAAG&#10;AAYAWQEAAIUFAAAAAA==&#10;">
                <v:fill on="t" focussize="0,0"/>
                <v:stroke color="#000000" joinstyle="miter"/>
                <v:imagedata o:title=""/>
                <o:lock v:ext="edit" aspectratio="f"/>
                <v:textbox>
                  <w:txbxContent>
                    <w:p>
                      <w:pPr>
                        <w:rPr>
                          <w:rFonts w:eastAsia="黑体"/>
                          <w:b/>
                          <w:sz w:val="30"/>
                        </w:rPr>
                      </w:pPr>
                    </w:p>
                    <w:p>
                      <w:pPr>
                        <w:jc w:val="center"/>
                        <w:rPr>
                          <w:rFonts w:hAnsi="宋体"/>
                          <w:b/>
                          <w:sz w:val="28"/>
                        </w:rPr>
                      </w:pPr>
                      <w:r>
                        <w:rPr>
                          <w:rFonts w:hint="eastAsia" w:hAnsi="宋体"/>
                          <w:b/>
                          <w:sz w:val="28"/>
                        </w:rPr>
                        <w:t>被授权人</w:t>
                      </w:r>
                    </w:p>
                    <w:p>
                      <w:pPr>
                        <w:jc w:val="center"/>
                        <w:rPr>
                          <w:rFonts w:hAnsi="宋体"/>
                          <w:sz w:val="28"/>
                        </w:rPr>
                      </w:pPr>
                      <w:r>
                        <w:rPr>
                          <w:rFonts w:hint="eastAsia" w:hAnsi="宋体"/>
                          <w:b/>
                          <w:sz w:val="28"/>
                        </w:rPr>
                        <w:t>居民身份证复印件粘贴处</w:t>
                      </w:r>
                    </w:p>
                  </w:txbxContent>
                </v:textbox>
              </v:rect>
            </w:pict>
          </mc:Fallback>
        </mc:AlternateContent>
      </w:r>
      <w:r>
        <w:rPr>
          <w:rFonts w:hAnsi="宋体" w:cs="宋体"/>
          <w:sz w:val="28"/>
          <w:szCs w:val="28"/>
          <w:highlight w:val="none"/>
        </w:rPr>
        <mc:AlternateContent>
          <mc:Choice Requires="wps">
            <w:drawing>
              <wp:anchor distT="0" distB="0" distL="114300" distR="114300" simplePos="0" relativeHeight="251657216" behindDoc="0" locked="0" layoutInCell="1" allowOverlap="1">
                <wp:simplePos x="0" y="0"/>
                <wp:positionH relativeFrom="column">
                  <wp:posOffset>-289560</wp:posOffset>
                </wp:positionH>
                <wp:positionV relativeFrom="paragraph">
                  <wp:posOffset>146685</wp:posOffset>
                </wp:positionV>
                <wp:extent cx="3138170" cy="2000250"/>
                <wp:effectExtent l="5080" t="4445" r="19050" b="14605"/>
                <wp:wrapNone/>
                <wp:docPr id="3" name="矩形 3"/>
                <wp:cNvGraphicFramePr/>
                <a:graphic xmlns:a="http://schemas.openxmlformats.org/drawingml/2006/main">
                  <a:graphicData uri="http://schemas.microsoft.com/office/word/2010/wordprocessingShape">
                    <wps:wsp>
                      <wps:cNvSpPr/>
                      <wps:spPr>
                        <a:xfrm>
                          <a:off x="0" y="0"/>
                          <a:ext cx="3138170" cy="20002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left="-1079" w:leftChars="-514"/>
                              <w:jc w:val="center"/>
                              <w:rPr>
                                <w:rFonts w:eastAsia="黑体"/>
                                <w:b/>
                                <w:sz w:val="30"/>
                              </w:rPr>
                            </w:pPr>
                          </w:p>
                          <w:p>
                            <w:pPr>
                              <w:ind w:left="-1079" w:leftChars="-514"/>
                              <w:jc w:val="center"/>
                              <w:rPr>
                                <w:rFonts w:hAnsi="宋体"/>
                                <w:b/>
                                <w:sz w:val="28"/>
                              </w:rPr>
                            </w:pPr>
                            <w:r>
                              <w:rPr>
                                <w:rFonts w:eastAsia="华文中宋"/>
                                <w:b/>
                                <w:sz w:val="28"/>
                              </w:rPr>
                              <w:t xml:space="preserve">  </w:t>
                            </w:r>
                            <w:r>
                              <w:rPr>
                                <w:rFonts w:hAnsi="宋体"/>
                                <w:b/>
                                <w:sz w:val="28"/>
                              </w:rPr>
                              <w:t xml:space="preserve">   </w:t>
                            </w:r>
                            <w:r>
                              <w:rPr>
                                <w:rFonts w:hint="eastAsia" w:hAnsi="宋体"/>
                                <w:b/>
                                <w:sz w:val="28"/>
                              </w:rPr>
                              <w:t>法定代表人</w:t>
                            </w:r>
                          </w:p>
                          <w:p>
                            <w:pPr>
                              <w:ind w:left="-1079" w:leftChars="-514"/>
                              <w:jc w:val="center"/>
                              <w:rPr>
                                <w:rFonts w:hAnsi="宋体"/>
                                <w:sz w:val="28"/>
                              </w:rPr>
                            </w:pPr>
                            <w:r>
                              <w:rPr>
                                <w:rFonts w:hAnsi="宋体"/>
                                <w:b/>
                                <w:sz w:val="28"/>
                              </w:rPr>
                              <w:t xml:space="preserve">     </w:t>
                            </w:r>
                            <w:r>
                              <w:rPr>
                                <w:rFonts w:hint="eastAsia" w:hAnsi="宋体"/>
                                <w:b/>
                                <w:sz w:val="28"/>
                              </w:rPr>
                              <w:t>居民身份证复印件粘贴处</w:t>
                            </w:r>
                          </w:p>
                        </w:txbxContent>
                      </wps:txbx>
                      <wps:bodyPr upright="1"/>
                    </wps:wsp>
                  </a:graphicData>
                </a:graphic>
              </wp:anchor>
            </w:drawing>
          </mc:Choice>
          <mc:Fallback>
            <w:pict>
              <v:rect id="_x0000_s1026" o:spid="_x0000_s1026" o:spt="1" style="position:absolute;left:0pt;margin-left:-22.8pt;margin-top:11.55pt;height:157.5pt;width:247.1pt;z-index:251657216;mso-width-relative:page;mso-height-relative:page;" fillcolor="#FFFFFF" filled="t" stroked="t" coordsize="21600,21600" o:gfxdata="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KwM3PZAAAACgEAAA8AAAAAAAAAAQAgAAAAIgAAAGRycy9kb3ducmV2LnhtbFBLAQIUABQA&#10;AAAIAIdO4kC2CLLJ7wEAAOoDAAAOAAAAAAAAAAEAIAAAACgBAABkcnMvZTJvRG9jLnhtbFBLBQYA&#10;AAAABgAGAFkBAACJBQAAAAA=&#10;">
                <v:fill on="t" focussize="0,0"/>
                <v:stroke color="#000000" joinstyle="miter"/>
                <v:imagedata o:title=""/>
                <o:lock v:ext="edit" aspectratio="f"/>
                <v:textbox>
                  <w:txbxContent>
                    <w:p>
                      <w:pPr>
                        <w:ind w:left="-1079" w:leftChars="-514"/>
                        <w:jc w:val="center"/>
                        <w:rPr>
                          <w:rFonts w:eastAsia="黑体"/>
                          <w:b/>
                          <w:sz w:val="30"/>
                        </w:rPr>
                      </w:pPr>
                    </w:p>
                    <w:p>
                      <w:pPr>
                        <w:ind w:left="-1079" w:leftChars="-514"/>
                        <w:jc w:val="center"/>
                        <w:rPr>
                          <w:rFonts w:hAnsi="宋体"/>
                          <w:b/>
                          <w:sz w:val="28"/>
                        </w:rPr>
                      </w:pPr>
                      <w:r>
                        <w:rPr>
                          <w:rFonts w:eastAsia="华文中宋"/>
                          <w:b/>
                          <w:sz w:val="28"/>
                        </w:rPr>
                        <w:t xml:space="preserve">  </w:t>
                      </w:r>
                      <w:r>
                        <w:rPr>
                          <w:rFonts w:hAnsi="宋体"/>
                          <w:b/>
                          <w:sz w:val="28"/>
                        </w:rPr>
                        <w:t xml:space="preserve">   </w:t>
                      </w:r>
                      <w:r>
                        <w:rPr>
                          <w:rFonts w:hint="eastAsia" w:hAnsi="宋体"/>
                          <w:b/>
                          <w:sz w:val="28"/>
                        </w:rPr>
                        <w:t>法定代表人</w:t>
                      </w:r>
                    </w:p>
                    <w:p>
                      <w:pPr>
                        <w:ind w:left="-1079" w:leftChars="-514"/>
                        <w:jc w:val="center"/>
                        <w:rPr>
                          <w:rFonts w:hAnsi="宋体"/>
                          <w:sz w:val="28"/>
                        </w:rPr>
                      </w:pPr>
                      <w:r>
                        <w:rPr>
                          <w:rFonts w:hAnsi="宋体"/>
                          <w:b/>
                          <w:sz w:val="28"/>
                        </w:rPr>
                        <w:t xml:space="preserve">     </w:t>
                      </w:r>
                      <w:r>
                        <w:rPr>
                          <w:rFonts w:hint="eastAsia" w:hAnsi="宋体"/>
                          <w:b/>
                          <w:sz w:val="28"/>
                        </w:rPr>
                        <w:t>居民身份证复印件粘贴处</w:t>
                      </w:r>
                    </w:p>
                  </w:txbxContent>
                </v:textbox>
              </v:rect>
            </w:pict>
          </mc:Fallback>
        </mc:AlternateContent>
      </w:r>
    </w:p>
    <w:p>
      <w:pPr>
        <w:spacing w:line="360" w:lineRule="auto"/>
        <w:ind w:firstLine="560" w:firstLineChars="200"/>
        <w:rPr>
          <w:rFonts w:hAnsi="宋体" w:cs="宋体"/>
          <w:sz w:val="28"/>
          <w:szCs w:val="28"/>
          <w:highlight w:val="none"/>
          <w:lang w:val="en-GB"/>
        </w:rPr>
      </w:pPr>
    </w:p>
    <w:p>
      <w:pPr>
        <w:spacing w:line="360" w:lineRule="auto"/>
        <w:ind w:firstLine="560" w:firstLineChars="200"/>
        <w:rPr>
          <w:rFonts w:hAnsi="宋体" w:cs="宋体"/>
          <w:sz w:val="28"/>
          <w:szCs w:val="28"/>
          <w:highlight w:val="none"/>
          <w:lang w:val="en-GB"/>
        </w:rPr>
      </w:pPr>
    </w:p>
    <w:p>
      <w:pPr>
        <w:spacing w:line="360" w:lineRule="auto"/>
        <w:ind w:firstLine="560" w:firstLineChars="200"/>
        <w:rPr>
          <w:rFonts w:hAnsi="宋体" w:cs="宋体"/>
          <w:sz w:val="28"/>
          <w:szCs w:val="28"/>
          <w:highlight w:val="none"/>
          <w:lang w:val="en-GB"/>
        </w:rPr>
      </w:pPr>
    </w:p>
    <w:p>
      <w:pPr>
        <w:spacing w:line="360" w:lineRule="auto"/>
        <w:ind w:firstLine="560" w:firstLineChars="200"/>
        <w:rPr>
          <w:rFonts w:hAnsi="宋体" w:cs="宋体"/>
          <w:sz w:val="28"/>
          <w:szCs w:val="28"/>
          <w:highlight w:val="none"/>
          <w:lang w:val="en-GB"/>
        </w:rPr>
      </w:pPr>
    </w:p>
    <w:p>
      <w:pPr>
        <w:spacing w:line="360" w:lineRule="auto"/>
        <w:ind w:firstLine="560" w:firstLineChars="200"/>
        <w:rPr>
          <w:rFonts w:hAnsi="宋体" w:cs="宋体"/>
          <w:sz w:val="28"/>
          <w:szCs w:val="28"/>
          <w:highlight w:val="none"/>
          <w:lang w:val="en-GB"/>
        </w:rPr>
      </w:pPr>
    </w:p>
    <w:p>
      <w:pPr>
        <w:spacing w:line="360" w:lineRule="auto"/>
        <w:ind w:firstLine="1968" w:firstLineChars="700"/>
        <w:rPr>
          <w:rFonts w:ascii="宋体" w:hAnsi="宋体" w:cs="宋体"/>
          <w:sz w:val="28"/>
          <w:szCs w:val="28"/>
          <w:highlight w:val="none"/>
        </w:rPr>
      </w:pPr>
      <w:r>
        <w:rPr>
          <w:rFonts w:hint="eastAsia" w:hAnsi="宋体" w:cs="宋体"/>
          <w:b/>
          <w:bCs/>
          <w:sz w:val="28"/>
          <w:szCs w:val="28"/>
          <w:highlight w:val="none"/>
          <w:lang w:val="en-GB"/>
        </w:rPr>
        <w:t>注：本授权书内容不得擅自修改。</w:t>
      </w:r>
    </w:p>
    <w:p>
      <w:pPr>
        <w:spacing w:line="360" w:lineRule="auto"/>
        <w:ind w:firstLine="5280" w:firstLineChars="2200"/>
        <w:rPr>
          <w:rFonts w:ascii="宋体" w:hAnsi="宋体" w:cs="宋体"/>
          <w:sz w:val="24"/>
          <w:highlight w:val="none"/>
        </w:rPr>
      </w:pPr>
    </w:p>
    <w:p>
      <w:pPr>
        <w:spacing w:line="360" w:lineRule="auto"/>
        <w:ind w:firstLine="5280" w:firstLineChars="2200"/>
        <w:jc w:val="right"/>
        <w:rPr>
          <w:rFonts w:ascii="宋体" w:hAnsi="宋体" w:cs="宋体"/>
          <w:sz w:val="24"/>
          <w:highlight w:val="none"/>
        </w:rPr>
      </w:pPr>
    </w:p>
    <w:p>
      <w:pPr>
        <w:spacing w:line="600" w:lineRule="exact"/>
        <w:jc w:val="center"/>
        <w:rPr>
          <w:rFonts w:ascii="宋体" w:hAnsi="宋体" w:cs="宋体"/>
          <w:b/>
          <w:sz w:val="32"/>
          <w:szCs w:val="32"/>
          <w:highlight w:val="none"/>
        </w:rPr>
      </w:pPr>
      <w:r>
        <w:rPr>
          <w:rFonts w:hint="eastAsia" w:ascii="宋体" w:hAnsi="宋体" w:cs="宋体"/>
          <w:b/>
          <w:sz w:val="32"/>
          <w:szCs w:val="32"/>
          <w:highlight w:val="none"/>
        </w:rPr>
        <w:br w:type="page"/>
      </w:r>
    </w:p>
    <w:p>
      <w:pPr>
        <w:spacing w:line="600" w:lineRule="exact"/>
        <w:rPr>
          <w:rFonts w:ascii="宋体" w:hAnsi="宋体" w:cs="宋体"/>
          <w:b/>
          <w:sz w:val="30"/>
          <w:szCs w:val="30"/>
          <w:highlight w:val="none"/>
        </w:rPr>
      </w:pPr>
      <w:r>
        <w:rPr>
          <w:rFonts w:hint="eastAsia" w:ascii="宋体" w:hAnsi="宋体" w:cs="宋体"/>
          <w:b/>
          <w:sz w:val="30"/>
          <w:szCs w:val="30"/>
          <w:highlight w:val="none"/>
        </w:rPr>
        <w:t>4、投标人资格证明材料</w:t>
      </w:r>
    </w:p>
    <w:bookmarkEnd w:id="544"/>
    <w:bookmarkEnd w:id="545"/>
    <w:bookmarkEnd w:id="546"/>
    <w:p>
      <w:pPr>
        <w:spacing w:line="600" w:lineRule="exact"/>
        <w:ind w:firstLine="218" w:firstLineChars="91"/>
        <w:rPr>
          <w:rStyle w:val="24"/>
          <w:rFonts w:ascii="宋体" w:hAnsi="宋体" w:cs="宋体"/>
          <w:sz w:val="24"/>
          <w:highlight w:val="none"/>
        </w:rPr>
      </w:pPr>
    </w:p>
    <w:p>
      <w:pPr>
        <w:spacing w:line="600" w:lineRule="exact"/>
        <w:rPr>
          <w:rFonts w:ascii="宋体" w:hAnsi="宋体" w:cs="宋体"/>
          <w:bCs/>
          <w:sz w:val="24"/>
          <w:highlight w:val="none"/>
        </w:rPr>
      </w:pPr>
    </w:p>
    <w:p>
      <w:pPr>
        <w:spacing w:line="600" w:lineRule="exact"/>
        <w:ind w:firstLine="240" w:firstLineChars="100"/>
        <w:rPr>
          <w:rFonts w:ascii="宋体" w:hAnsi="宋体" w:cs="宋体"/>
          <w:bCs/>
          <w:sz w:val="24"/>
          <w:highlight w:val="none"/>
        </w:rPr>
      </w:pPr>
    </w:p>
    <w:p>
      <w:pPr>
        <w:spacing w:line="600" w:lineRule="exact"/>
        <w:ind w:firstLine="218" w:firstLineChars="91"/>
        <w:rPr>
          <w:rStyle w:val="24"/>
          <w:rFonts w:ascii="宋体" w:hAnsi="宋体" w:cs="宋体"/>
          <w:sz w:val="24"/>
          <w:highlight w:val="none"/>
        </w:rPr>
      </w:pPr>
    </w:p>
    <w:p>
      <w:pPr>
        <w:spacing w:line="600" w:lineRule="exact"/>
        <w:rPr>
          <w:rFonts w:ascii="宋体" w:hAnsi="宋体" w:cs="宋体"/>
          <w:b/>
          <w:color w:val="000000"/>
          <w:sz w:val="28"/>
          <w:szCs w:val="28"/>
          <w:highlight w:val="none"/>
        </w:rPr>
      </w:pPr>
      <w:r>
        <w:rPr>
          <w:rFonts w:hint="eastAsia" w:ascii="宋体" w:hAnsi="宋体" w:cs="宋体"/>
          <w:b/>
          <w:color w:val="000000"/>
          <w:sz w:val="28"/>
          <w:szCs w:val="28"/>
          <w:highlight w:val="none"/>
        </w:rPr>
        <w:t xml:space="preserve">          </w:t>
      </w:r>
    </w:p>
    <w:p>
      <w:pPr>
        <w:snapToGrid w:val="0"/>
        <w:spacing w:line="360" w:lineRule="auto"/>
        <w:jc w:val="center"/>
        <w:rPr>
          <w:rFonts w:ascii="宋体" w:hAnsi="宋体" w:cs="宋体"/>
          <w:b/>
          <w:color w:val="000000"/>
          <w:szCs w:val="21"/>
          <w:highlight w:val="none"/>
        </w:rPr>
      </w:pPr>
    </w:p>
    <w:p>
      <w:pPr>
        <w:spacing w:line="360" w:lineRule="auto"/>
        <w:jc w:val="center"/>
        <w:outlineLvl w:val="1"/>
        <w:rPr>
          <w:rFonts w:ascii="宋体" w:hAnsi="宋体" w:cs="宋体"/>
          <w:sz w:val="32"/>
          <w:szCs w:val="32"/>
          <w:highlight w:val="none"/>
        </w:rPr>
      </w:pPr>
      <w:bookmarkStart w:id="547" w:name="_Toc25218"/>
      <w:r>
        <w:rPr>
          <w:rFonts w:hint="eastAsia" w:ascii="宋体" w:hAnsi="宋体" w:cs="宋体"/>
          <w:b/>
          <w:sz w:val="32"/>
          <w:szCs w:val="32"/>
          <w:highlight w:val="none"/>
        </w:rPr>
        <w:br w:type="page"/>
      </w:r>
      <w:r>
        <w:rPr>
          <w:rFonts w:hint="eastAsia" w:ascii="宋体" w:hAnsi="宋体" w:cs="宋体"/>
          <w:b/>
          <w:sz w:val="32"/>
          <w:szCs w:val="32"/>
          <w:highlight w:val="none"/>
        </w:rPr>
        <w:t>5、用户需求响应表</w:t>
      </w:r>
      <w:bookmarkEnd w:id="547"/>
    </w:p>
    <w:p>
      <w:pPr>
        <w:spacing w:line="500" w:lineRule="exact"/>
        <w:ind w:firstLine="480" w:firstLineChars="200"/>
        <w:rPr>
          <w:rFonts w:ascii="宋体" w:hAnsi="宋体" w:cs="宋体"/>
          <w:sz w:val="24"/>
          <w:highlight w:val="none"/>
        </w:rPr>
      </w:pPr>
      <w:r>
        <w:rPr>
          <w:rFonts w:hint="eastAsia" w:ascii="宋体" w:hAnsi="宋体" w:cs="宋体"/>
          <w:sz w:val="24"/>
          <w:highlight w:val="none"/>
        </w:rPr>
        <w:t>说明：供应商必须仔细阅读招标文件中所有用户需求，并对所有要求列入下表，不满足将加大扣分。</w:t>
      </w:r>
    </w:p>
    <w:tbl>
      <w:tblPr>
        <w:tblStyle w:val="16"/>
        <w:tblW w:w="969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74"/>
        <w:gridCol w:w="1787"/>
        <w:gridCol w:w="2098"/>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cs="宋体"/>
                <w:sz w:val="24"/>
                <w:highlight w:val="none"/>
              </w:rPr>
            </w:pPr>
            <w:r>
              <w:rPr>
                <w:rFonts w:hint="eastAsia" w:ascii="宋体" w:hAnsi="宋体" w:cs="宋体"/>
                <w:sz w:val="24"/>
                <w:highlight w:val="none"/>
              </w:rPr>
              <w:t>序号</w:t>
            </w:r>
          </w:p>
        </w:tc>
        <w:tc>
          <w:tcPr>
            <w:tcW w:w="24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cs="宋体"/>
                <w:sz w:val="24"/>
                <w:highlight w:val="none"/>
              </w:rPr>
            </w:pPr>
            <w:r>
              <w:rPr>
                <w:rFonts w:hint="eastAsia" w:ascii="宋体" w:hAnsi="宋体" w:cs="宋体"/>
                <w:sz w:val="24"/>
                <w:highlight w:val="none"/>
              </w:rPr>
              <w:t>要求内容</w:t>
            </w: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cs="宋体"/>
                <w:sz w:val="24"/>
                <w:highlight w:val="none"/>
              </w:rPr>
            </w:pPr>
            <w:r>
              <w:rPr>
                <w:rFonts w:hint="eastAsia" w:ascii="宋体" w:hAnsi="宋体" w:cs="宋体"/>
                <w:sz w:val="24"/>
                <w:highlight w:val="none"/>
              </w:rPr>
              <w:t>偏离情况</w:t>
            </w: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cs="宋体"/>
                <w:sz w:val="24"/>
                <w:highlight w:val="none"/>
              </w:rPr>
            </w:pPr>
            <w:r>
              <w:rPr>
                <w:rFonts w:hint="eastAsia" w:ascii="宋体" w:hAnsi="宋体" w:cs="宋体"/>
                <w:sz w:val="24"/>
                <w:highlight w:val="none"/>
              </w:rPr>
              <w:t>偏离情况说明</w:t>
            </w: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1</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2</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3</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4</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5</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6</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7</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8</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9</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r>
              <w:rPr>
                <w:rFonts w:hint="eastAsia" w:ascii="宋体" w:hAnsi="宋体" w:cs="宋体"/>
                <w:sz w:val="24"/>
                <w:highlight w:val="none"/>
              </w:rPr>
              <w:t>10</w:t>
            </w: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blHeader/>
        </w:trPr>
        <w:tc>
          <w:tcPr>
            <w:tcW w:w="12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cs="宋体"/>
                <w:sz w:val="24"/>
                <w:highlight w:val="none"/>
              </w:rPr>
            </w:pPr>
          </w:p>
        </w:tc>
        <w:tc>
          <w:tcPr>
            <w:tcW w:w="2474"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r>
              <w:rPr>
                <w:rFonts w:hint="eastAsia" w:ascii="宋体" w:hAnsi="宋体" w:cs="宋体"/>
                <w:sz w:val="24"/>
                <w:highlight w:val="none"/>
              </w:rPr>
              <w:t>…</w:t>
            </w:r>
          </w:p>
        </w:tc>
        <w:tc>
          <w:tcPr>
            <w:tcW w:w="178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cs="宋体"/>
                <w:sz w:val="24"/>
                <w:highlight w:val="none"/>
              </w:rPr>
            </w:pPr>
          </w:p>
        </w:tc>
        <w:tc>
          <w:tcPr>
            <w:tcW w:w="209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cs="宋体"/>
                <w:sz w:val="24"/>
                <w:highlight w:val="none"/>
              </w:rPr>
            </w:pPr>
          </w:p>
        </w:tc>
      </w:tr>
    </w:tbl>
    <w:p>
      <w:pPr>
        <w:spacing w:line="500" w:lineRule="exact"/>
        <w:rPr>
          <w:rFonts w:ascii="宋体" w:hAnsi="宋体" w:cs="宋体"/>
          <w:sz w:val="28"/>
          <w:szCs w:val="28"/>
          <w:highlight w:val="none"/>
        </w:rPr>
      </w:pPr>
      <w:r>
        <w:rPr>
          <w:rFonts w:hint="eastAsia" w:ascii="宋体" w:hAnsi="宋体" w:cs="宋体"/>
          <w:sz w:val="28"/>
          <w:szCs w:val="28"/>
          <w:highlight w:val="none"/>
        </w:rPr>
        <w:t xml:space="preserve">供应商全称：（公章）                      </w:t>
      </w:r>
    </w:p>
    <w:p>
      <w:pPr>
        <w:spacing w:line="500" w:lineRule="exact"/>
        <w:rPr>
          <w:rFonts w:ascii="宋体" w:hAnsi="宋体" w:cs="宋体"/>
          <w:sz w:val="28"/>
          <w:szCs w:val="28"/>
          <w:highlight w:val="none"/>
        </w:rPr>
      </w:pPr>
      <w:r>
        <w:rPr>
          <w:rFonts w:hint="eastAsia" w:ascii="宋体" w:hAnsi="宋体" w:cs="宋体"/>
          <w:sz w:val="28"/>
          <w:szCs w:val="28"/>
          <w:highlight w:val="none"/>
        </w:rPr>
        <w:t>授权代理人：（签字或私章）</w:t>
      </w:r>
    </w:p>
    <w:p>
      <w:pPr>
        <w:spacing w:line="480" w:lineRule="exact"/>
        <w:rPr>
          <w:rFonts w:ascii="宋体" w:hAnsi="宋体" w:cs="宋体"/>
          <w:b/>
          <w:sz w:val="28"/>
          <w:szCs w:val="28"/>
          <w:highlight w:val="none"/>
        </w:rPr>
      </w:pPr>
      <w:r>
        <w:rPr>
          <w:rFonts w:hint="eastAsia" w:ascii="宋体" w:hAnsi="宋体" w:cs="宋体"/>
          <w:sz w:val="28"/>
          <w:szCs w:val="28"/>
          <w:highlight w:val="none"/>
        </w:rPr>
        <w:t>注：</w:t>
      </w:r>
      <w:r>
        <w:rPr>
          <w:rFonts w:hint="eastAsia" w:ascii="宋体" w:hAnsi="宋体" w:cs="宋体"/>
          <w:b/>
          <w:sz w:val="28"/>
          <w:szCs w:val="28"/>
          <w:highlight w:val="none"/>
        </w:rPr>
        <w:t>1、此表为表样，行数可自行添加，但表式不变；</w:t>
      </w:r>
    </w:p>
    <w:p>
      <w:pPr>
        <w:numPr>
          <w:ilvl w:val="0"/>
          <w:numId w:val="20"/>
        </w:numPr>
        <w:spacing w:line="480" w:lineRule="exact"/>
        <w:ind w:firstLine="562" w:firstLineChars="200"/>
        <w:rPr>
          <w:rFonts w:ascii="宋体" w:hAnsi="宋体" w:cs="宋体"/>
          <w:b/>
          <w:sz w:val="28"/>
          <w:szCs w:val="28"/>
          <w:highlight w:val="none"/>
        </w:rPr>
      </w:pPr>
      <w:r>
        <w:rPr>
          <w:rFonts w:hint="eastAsia" w:ascii="宋体" w:hAnsi="宋体" w:cs="宋体"/>
          <w:b/>
          <w:sz w:val="28"/>
          <w:szCs w:val="28"/>
          <w:highlight w:val="none"/>
        </w:rPr>
        <w:t>投标人须对响应项的真实性负责，如获中标，</w:t>
      </w:r>
      <w:r>
        <w:rPr>
          <w:rFonts w:ascii="宋体" w:hAnsi="宋体" w:cs="宋体"/>
          <w:b/>
          <w:sz w:val="28"/>
          <w:szCs w:val="28"/>
          <w:highlight w:val="none"/>
        </w:rPr>
        <w:t>采购人</w:t>
      </w:r>
      <w:r>
        <w:rPr>
          <w:rFonts w:hint="eastAsia" w:ascii="宋体" w:hAnsi="宋体" w:cs="宋体"/>
          <w:b/>
          <w:sz w:val="28"/>
          <w:szCs w:val="28"/>
          <w:highlight w:val="none"/>
        </w:rPr>
        <w:t>将对其响应项复核，如核查发现投标人存在虚假响应的情况将对其作废标处理并不予退还保证金，同时上报采购监管部门。</w:t>
      </w:r>
    </w:p>
    <w:p>
      <w:pPr>
        <w:rPr>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28"/>
          <w:szCs w:val="28"/>
          <w:highlight w:val="none"/>
        </w:rPr>
        <w:t>3、须提供无虚假应标承诺函，如不提供将视为无效投标。</w:t>
      </w:r>
    </w:p>
    <w:p>
      <w:pPr>
        <w:spacing w:line="360" w:lineRule="auto"/>
        <w:outlineLvl w:val="1"/>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32"/>
          <w:szCs w:val="32"/>
          <w:highlight w:val="none"/>
        </w:rPr>
        <w:t>6、企业资信情况</w:t>
      </w: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7、企业荣誉</w:t>
      </w:r>
    </w:p>
    <w:p>
      <w:pPr>
        <w:pStyle w:val="7"/>
        <w:rPr>
          <w:highlight w:val="none"/>
        </w:rPr>
        <w:sectPr>
          <w:pgSz w:w="11906" w:h="16838"/>
          <w:pgMar w:top="1440" w:right="1800" w:bottom="1440" w:left="1800" w:header="851" w:footer="992" w:gutter="0"/>
          <w:cols w:space="425" w:num="1"/>
          <w:docGrid w:type="lines" w:linePitch="312" w:charSpace="0"/>
        </w:sectPr>
      </w:pPr>
    </w:p>
    <w:p>
      <w:pPr>
        <w:spacing w:line="360" w:lineRule="auto"/>
        <w:outlineLvl w:val="1"/>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32"/>
          <w:szCs w:val="32"/>
          <w:highlight w:val="none"/>
        </w:rPr>
        <w:t>8、企业业绩</w:t>
      </w:r>
    </w:p>
    <w:p>
      <w:pPr>
        <w:spacing w:line="360" w:lineRule="auto"/>
        <w:outlineLvl w:val="1"/>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32"/>
          <w:szCs w:val="32"/>
          <w:highlight w:val="none"/>
        </w:rPr>
        <w:t>9、服务整体方案</w:t>
      </w: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10、车辆设备配置方案</w:t>
      </w:r>
    </w:p>
    <w:p>
      <w:pPr>
        <w:pStyle w:val="7"/>
        <w:rPr>
          <w:highlight w:val="none"/>
        </w:rPr>
        <w:sectPr>
          <w:pgSz w:w="11906" w:h="16838"/>
          <w:pgMar w:top="1440" w:right="1800" w:bottom="1440" w:left="1800" w:header="851" w:footer="992" w:gutter="0"/>
          <w:cols w:space="425" w:num="1"/>
          <w:docGrid w:type="lines" w:linePitch="312" w:charSpace="0"/>
        </w:sectPr>
      </w:pP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11、人员配置方案</w:t>
      </w:r>
    </w:p>
    <w:p>
      <w:pPr>
        <w:pStyle w:val="7"/>
        <w:rPr>
          <w:highlight w:val="none"/>
        </w:rPr>
        <w:sectPr>
          <w:pgSz w:w="11906" w:h="16838"/>
          <w:pgMar w:top="1440" w:right="1800" w:bottom="1440" w:left="1800" w:header="851" w:footer="992" w:gutter="0"/>
          <w:cols w:space="425" w:num="1"/>
          <w:docGrid w:type="lines" w:linePitch="312" w:charSpace="0"/>
        </w:sectPr>
      </w:pPr>
    </w:p>
    <w:p>
      <w:pPr>
        <w:spacing w:line="360" w:lineRule="auto"/>
        <w:outlineLvl w:val="1"/>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32"/>
          <w:szCs w:val="32"/>
          <w:highlight w:val="none"/>
        </w:rPr>
        <w:t>12、智能化管理方案</w:t>
      </w: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13、应急保障方案</w:t>
      </w:r>
    </w:p>
    <w:p>
      <w:pPr>
        <w:pStyle w:val="7"/>
        <w:rPr>
          <w:highlight w:val="none"/>
        </w:rPr>
        <w:sectPr>
          <w:pgSz w:w="11906" w:h="16838"/>
          <w:pgMar w:top="1440" w:right="1800" w:bottom="1440" w:left="1800" w:header="851" w:footer="992" w:gutter="0"/>
          <w:cols w:space="425" w:num="1"/>
          <w:docGrid w:type="lines" w:linePitch="312" w:charSpace="0"/>
        </w:sectPr>
      </w:pP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14、项目质量的保障措施及服务承诺</w:t>
      </w:r>
    </w:p>
    <w:p>
      <w:pPr>
        <w:spacing w:line="360" w:lineRule="auto"/>
        <w:outlineLvl w:val="1"/>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p>
    <w:p>
      <w:pPr>
        <w:spacing w:line="360" w:lineRule="auto"/>
        <w:outlineLvl w:val="1"/>
        <w:rPr>
          <w:rFonts w:ascii="宋体" w:hAnsi="宋体" w:cs="宋体"/>
          <w:b/>
          <w:sz w:val="32"/>
          <w:szCs w:val="32"/>
          <w:highlight w:val="none"/>
        </w:rPr>
      </w:pPr>
      <w:r>
        <w:rPr>
          <w:rFonts w:hint="eastAsia" w:ascii="宋体" w:hAnsi="宋体" w:cs="宋体"/>
          <w:b/>
          <w:sz w:val="32"/>
          <w:szCs w:val="32"/>
          <w:highlight w:val="none"/>
        </w:rPr>
        <w:t>15、垃圾分类实施方案</w:t>
      </w:r>
    </w:p>
    <w:p>
      <w:pPr>
        <w:pStyle w:val="7"/>
        <w:rPr>
          <w:highlight w:val="none"/>
        </w:rPr>
        <w:sectPr>
          <w:pgSz w:w="11906" w:h="16838"/>
          <w:pgMar w:top="1440" w:right="1800" w:bottom="1440" w:left="1800" w:header="851" w:footer="992" w:gutter="0"/>
          <w:cols w:space="425" w:num="1"/>
          <w:docGrid w:type="lines" w:linePitch="312" w:charSpace="0"/>
        </w:sectPr>
      </w:pPr>
    </w:p>
    <w:p>
      <w:pPr>
        <w:pStyle w:val="7"/>
        <w:ind w:firstLine="0" w:firstLineChars="0"/>
        <w:rPr>
          <w:rFonts w:ascii="宋体" w:hAnsi="宋体" w:cs="宋体"/>
          <w:b/>
          <w:sz w:val="32"/>
          <w:szCs w:val="32"/>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b/>
          <w:sz w:val="32"/>
          <w:szCs w:val="32"/>
          <w:highlight w:val="none"/>
        </w:rPr>
        <w:t>16、招标文件要求的其他材料及投标人认为需要的其他材料</w:t>
      </w:r>
    </w:p>
    <w:p>
      <w:pPr>
        <w:pStyle w:val="5"/>
        <w:jc w:val="center"/>
        <w:rPr>
          <w:rFonts w:ascii="宋体" w:hAnsi="宋体" w:eastAsia="宋体" w:cs="宋体"/>
          <w:highlight w:val="none"/>
        </w:rPr>
      </w:pPr>
      <w:bookmarkStart w:id="548" w:name="_Toc4486_WPSOffice_Level1"/>
      <w:bookmarkStart w:id="549" w:name="_Toc25656"/>
      <w:r>
        <w:rPr>
          <w:rStyle w:val="34"/>
          <w:rFonts w:hint="eastAsia" w:ascii="宋体" w:hAnsi="宋体" w:eastAsia="宋体" w:cs="宋体"/>
          <w:b/>
          <w:szCs w:val="44"/>
          <w:highlight w:val="none"/>
        </w:rPr>
        <w:t>第六章  评标办法</w:t>
      </w:r>
      <w:bookmarkEnd w:id="548"/>
      <w:bookmarkEnd w:id="549"/>
      <w:r>
        <w:rPr>
          <w:rFonts w:hint="eastAsia" w:ascii="宋体" w:hAnsi="宋体" w:eastAsia="宋体" w:cs="宋体"/>
          <w:highlight w:val="none"/>
        </w:rPr>
        <w:t xml:space="preserve"> </w:t>
      </w:r>
    </w:p>
    <w:p>
      <w:pPr>
        <w:rPr>
          <w:rStyle w:val="19"/>
          <w:rFonts w:cs="宋体"/>
          <w:highlight w:val="none"/>
        </w:rPr>
      </w:pPr>
      <w:r>
        <w:rPr>
          <w:rFonts w:hint="eastAsia"/>
          <w:b/>
          <w:bCs/>
          <w:sz w:val="28"/>
          <w:szCs w:val="28"/>
          <w:highlight w:val="none"/>
        </w:rPr>
        <w:t>一、评标办法和步骤</w:t>
      </w:r>
    </w:p>
    <w:p>
      <w:pPr>
        <w:rPr>
          <w:rFonts w:ascii="宋体" w:hAnsi="宋体" w:cs="宋体"/>
          <w:sz w:val="28"/>
          <w:szCs w:val="28"/>
          <w:highlight w:val="none"/>
        </w:rPr>
      </w:pPr>
      <w:r>
        <w:rPr>
          <w:rFonts w:hint="eastAsia" w:ascii="宋体" w:hAnsi="宋体" w:cs="宋体"/>
          <w:sz w:val="28"/>
          <w:szCs w:val="28"/>
          <w:highlight w:val="none"/>
        </w:rPr>
        <w:t>（一）评标规则</w:t>
      </w:r>
    </w:p>
    <w:p>
      <w:pPr>
        <w:rPr>
          <w:rFonts w:ascii="宋体" w:hAnsi="宋体" w:cs="宋体"/>
          <w:sz w:val="28"/>
          <w:szCs w:val="28"/>
          <w:highlight w:val="none"/>
        </w:rPr>
      </w:pPr>
      <w:r>
        <w:rPr>
          <w:rFonts w:hint="eastAsia" w:ascii="宋体" w:hAnsi="宋体" w:cs="宋体"/>
          <w:sz w:val="28"/>
          <w:szCs w:val="28"/>
          <w:highlight w:val="none"/>
        </w:rPr>
        <w:t>1、本次评标办法采用综合评分法。</w:t>
      </w:r>
    </w:p>
    <w:p>
      <w:pPr>
        <w:rPr>
          <w:rFonts w:ascii="宋体" w:hAnsi="宋体" w:cs="宋体"/>
          <w:sz w:val="28"/>
          <w:szCs w:val="28"/>
          <w:highlight w:val="none"/>
        </w:rPr>
      </w:pPr>
      <w:r>
        <w:rPr>
          <w:rFonts w:hint="eastAsia" w:ascii="宋体" w:hAnsi="宋体" w:cs="宋体"/>
          <w:sz w:val="28"/>
          <w:szCs w:val="28"/>
          <w:highlight w:val="none"/>
        </w:rPr>
        <w:t>2、综合评分法评标步骤：先进行资格评标，然后由评标委员会进行符合性审查以及技术、商务的详细评标。初步评标采用“一项否决”的原则，只有全部符合要求的才能通过初步评标。只有通过初步评标（资格审查及符合性审查）的投标人才能进入详细评标。</w:t>
      </w:r>
    </w:p>
    <w:p>
      <w:pPr>
        <w:rPr>
          <w:rFonts w:ascii="宋体" w:hAnsi="宋体" w:cs="宋体"/>
          <w:sz w:val="28"/>
          <w:szCs w:val="28"/>
          <w:highlight w:val="none"/>
        </w:rPr>
      </w:pPr>
      <w:r>
        <w:rPr>
          <w:rFonts w:hint="eastAsia" w:ascii="宋体" w:hAnsi="宋体" w:cs="宋体"/>
          <w:sz w:val="28"/>
          <w:szCs w:val="28"/>
          <w:highlight w:val="none"/>
        </w:rPr>
        <w:t>3、综合评分及其统计：按照评标程序、评分标准以及分值分配的规定，评标委员会成员分别就各投标人的技术、商务状况，其对招标文件要求的投标情况进行评议和比较，评出各投标人的总分，评分的算术平均值即为该投标人的合计得分。合计得分与投标报价分（投标报价的分值计算由采购代理机构工作人员负责计算）相加得出综合得分。综合得分相同的，按投标报价由低到高顺序排列。综合得分和投标报价均相同的，由采购人抽签决定。综合得分最高的投标人为第一中标候选人，综合得分次高的投标人为第二中标候选人，以此类推，评标委员会推荐出一至三名中标候选人。</w:t>
      </w:r>
    </w:p>
    <w:p>
      <w:pPr>
        <w:rPr>
          <w:rFonts w:ascii="宋体" w:hAnsi="宋体" w:cs="宋体"/>
          <w:sz w:val="28"/>
          <w:szCs w:val="28"/>
          <w:highlight w:val="none"/>
        </w:rPr>
      </w:pPr>
      <w:r>
        <w:rPr>
          <w:rFonts w:hint="eastAsia" w:ascii="宋体" w:hAnsi="宋体" w:cs="宋体"/>
          <w:sz w:val="28"/>
          <w:szCs w:val="28"/>
          <w:highlight w:val="none"/>
        </w:rPr>
        <w:t>4、涉及详细评标的数值均保留小数点后两位，小数点后第三位“四舍五入”。</w:t>
      </w:r>
    </w:p>
    <w:p>
      <w:pPr>
        <w:rPr>
          <w:rFonts w:ascii="宋体" w:hAnsi="宋体" w:cs="宋体"/>
          <w:sz w:val="28"/>
          <w:szCs w:val="28"/>
          <w:highlight w:val="none"/>
        </w:rPr>
      </w:pPr>
      <w:r>
        <w:rPr>
          <w:rFonts w:hint="eastAsia" w:ascii="宋体" w:hAnsi="宋体" w:cs="宋体"/>
          <w:sz w:val="28"/>
          <w:szCs w:val="28"/>
          <w:highlight w:val="none"/>
        </w:rPr>
        <w:t>（二）资格审查</w:t>
      </w:r>
    </w:p>
    <w:p>
      <w:pPr>
        <w:rPr>
          <w:rFonts w:ascii="宋体" w:hAnsi="宋体" w:cs="宋体"/>
          <w:sz w:val="28"/>
          <w:szCs w:val="28"/>
          <w:highlight w:val="none"/>
        </w:rPr>
      </w:pPr>
      <w:r>
        <w:rPr>
          <w:rFonts w:hint="eastAsia" w:ascii="宋体" w:hAnsi="宋体" w:cs="宋体"/>
          <w:sz w:val="28"/>
          <w:szCs w:val="28"/>
          <w:highlight w:val="none"/>
        </w:rPr>
        <w:t>1、根据财政部87号令第四十四条的规定，采购人、采购代理机构根据投标人递交的投标文件对投标人的资格进行审查。只有对资格审查表（附表一）所列出各项作出实质性投标的投标文件才能通过资格审查。若通过资格审查的投标单位数量不足三家，则本次招标失败。</w:t>
      </w:r>
    </w:p>
    <w:p>
      <w:pPr>
        <w:rPr>
          <w:rFonts w:ascii="宋体" w:hAnsi="宋体" w:cs="宋体"/>
          <w:sz w:val="28"/>
          <w:szCs w:val="28"/>
          <w:highlight w:val="none"/>
        </w:rPr>
      </w:pPr>
      <w:r>
        <w:rPr>
          <w:rFonts w:hint="eastAsia" w:ascii="宋体" w:hAnsi="宋体" w:cs="宋体"/>
          <w:sz w:val="28"/>
          <w:szCs w:val="28"/>
          <w:highlight w:val="none"/>
        </w:rPr>
        <w:t>（三）符合性审查</w:t>
      </w:r>
    </w:p>
    <w:p>
      <w:pPr>
        <w:rPr>
          <w:rFonts w:ascii="宋体" w:hAnsi="宋体" w:cs="宋体"/>
          <w:sz w:val="28"/>
          <w:szCs w:val="28"/>
          <w:highlight w:val="none"/>
        </w:rPr>
      </w:pPr>
      <w:r>
        <w:rPr>
          <w:rFonts w:hint="eastAsia" w:ascii="宋体" w:hAnsi="宋体" w:cs="宋体"/>
          <w:sz w:val="28"/>
          <w:szCs w:val="28"/>
          <w:highlight w:val="none"/>
        </w:rPr>
        <w:t>1、评标委员会根据“符合性审查表”（附表2）对通过资格审查的投标文件进行符合性评标，只有对“符合性审查表”所列各项作出实质性投标的投标文件才能通过符合性审查。对是否实质性投标招标文件的要求有争议的投标内容，评标委员会将以记名方式表决，得票超过半数的投标人有资格进入下一阶段的评标，否则将被淘汰。通过符合性审查的投标人不足三家，本次招标失败。</w:t>
      </w:r>
    </w:p>
    <w:p>
      <w:pPr>
        <w:rPr>
          <w:rFonts w:ascii="宋体" w:hAnsi="宋体" w:cs="宋体"/>
          <w:sz w:val="28"/>
          <w:szCs w:val="28"/>
          <w:highlight w:val="none"/>
        </w:rPr>
      </w:pPr>
      <w:r>
        <w:rPr>
          <w:rFonts w:hint="eastAsia" w:ascii="宋体" w:hAnsi="宋体" w:cs="宋体"/>
          <w:sz w:val="28"/>
          <w:szCs w:val="28"/>
          <w:highlight w:val="none"/>
        </w:rPr>
        <w:t>2、评标委员会在符合性审查中，对算术错误的修正原则如下：</w:t>
      </w:r>
    </w:p>
    <w:p>
      <w:pPr>
        <w:rPr>
          <w:rFonts w:ascii="宋体" w:hAnsi="宋体" w:cs="宋体"/>
          <w:sz w:val="28"/>
          <w:szCs w:val="28"/>
          <w:highlight w:val="none"/>
        </w:rPr>
      </w:pPr>
      <w:r>
        <w:rPr>
          <w:rFonts w:hint="eastAsia" w:ascii="宋体" w:hAnsi="宋体" w:cs="宋体"/>
          <w:sz w:val="28"/>
          <w:szCs w:val="28"/>
          <w:highlight w:val="none"/>
        </w:rPr>
        <w:t>（1）投标文件中开标一览表（报价表）内容与投标文件中相应内容不一致的，以开标一览表（报价表）为准；</w:t>
      </w:r>
    </w:p>
    <w:p>
      <w:pPr>
        <w:rPr>
          <w:rFonts w:ascii="宋体" w:hAnsi="宋体" w:cs="宋体"/>
          <w:sz w:val="28"/>
          <w:szCs w:val="28"/>
          <w:highlight w:val="none"/>
        </w:rPr>
      </w:pPr>
      <w:r>
        <w:rPr>
          <w:rFonts w:hint="eastAsia" w:ascii="宋体" w:hAnsi="宋体" w:cs="宋体"/>
          <w:sz w:val="28"/>
          <w:szCs w:val="28"/>
          <w:highlight w:val="none"/>
        </w:rPr>
        <w:t>（2）大写金额和小写金额不一致的，以大写金额为准；</w:t>
      </w:r>
    </w:p>
    <w:p>
      <w:pPr>
        <w:rPr>
          <w:rFonts w:ascii="宋体" w:hAnsi="宋体" w:cs="宋体"/>
          <w:sz w:val="28"/>
          <w:szCs w:val="28"/>
          <w:highlight w:val="none"/>
        </w:rPr>
      </w:pPr>
      <w:r>
        <w:rPr>
          <w:rFonts w:hint="eastAsia" w:ascii="宋体" w:hAnsi="宋体" w:cs="宋体"/>
          <w:sz w:val="28"/>
          <w:szCs w:val="28"/>
          <w:highlight w:val="none"/>
        </w:rPr>
        <w:t>（3）单价金额小数点或者百分比有明显错位的，以开标一览表的总价为准，并修改单价；</w:t>
      </w:r>
    </w:p>
    <w:p>
      <w:pPr>
        <w:rPr>
          <w:rFonts w:ascii="宋体" w:hAnsi="宋体" w:cs="宋体"/>
          <w:sz w:val="28"/>
          <w:szCs w:val="28"/>
          <w:highlight w:val="none"/>
        </w:rPr>
      </w:pPr>
      <w:r>
        <w:rPr>
          <w:rFonts w:hint="eastAsia" w:ascii="宋体" w:hAnsi="宋体" w:cs="宋体"/>
          <w:sz w:val="28"/>
          <w:szCs w:val="28"/>
          <w:highlight w:val="none"/>
        </w:rPr>
        <w:t>（4）总价金额与按单价汇总金额不一致的，以单价金额计算结果为准。</w:t>
      </w:r>
    </w:p>
    <w:p>
      <w:pPr>
        <w:rPr>
          <w:rFonts w:ascii="宋体" w:hAnsi="宋体" w:cs="宋体"/>
          <w:sz w:val="28"/>
          <w:szCs w:val="28"/>
          <w:highlight w:val="none"/>
        </w:rPr>
      </w:pPr>
      <w:r>
        <w:rPr>
          <w:rFonts w:hint="eastAsia" w:ascii="宋体" w:hAnsi="宋体" w:cs="宋体"/>
          <w:sz w:val="28"/>
          <w:szCs w:val="28"/>
          <w:highlight w:val="none"/>
        </w:rPr>
        <w:t>（5 ）若投标人不同意以上修正，投标文件将视为无效投标。</w:t>
      </w:r>
    </w:p>
    <w:p>
      <w:pPr>
        <w:rPr>
          <w:rFonts w:ascii="宋体" w:hAnsi="宋体" w:cs="宋体"/>
          <w:sz w:val="28"/>
          <w:szCs w:val="28"/>
          <w:highlight w:val="none"/>
        </w:rPr>
      </w:pPr>
      <w:r>
        <w:rPr>
          <w:rFonts w:hint="eastAsia" w:ascii="宋体" w:hAnsi="宋体" w:cs="宋体"/>
          <w:sz w:val="28"/>
          <w:szCs w:val="28"/>
          <w:highlight w:val="none"/>
        </w:rPr>
        <w:t>3、评标委员会认为投标人的报价明显低于其他通过符合性审查投标人的报价，有可能影响产品质量或者不能诚信履约的，将要求其在评标现场接到通知20分钟内提供书面说明，必要时提交相关证明材料。投标人不能证明其报价合理性的，评标委员会将作为无效投标处理。</w:t>
      </w:r>
    </w:p>
    <w:p>
      <w:pPr>
        <w:rPr>
          <w:rFonts w:ascii="宋体" w:hAnsi="宋体" w:cs="宋体"/>
          <w:sz w:val="28"/>
          <w:szCs w:val="28"/>
          <w:highlight w:val="none"/>
        </w:rPr>
      </w:pPr>
      <w:r>
        <w:rPr>
          <w:rFonts w:hint="eastAsia" w:ascii="宋体" w:hAnsi="宋体" w:cs="宋体"/>
          <w:sz w:val="28"/>
          <w:szCs w:val="28"/>
          <w:highlight w:val="none"/>
        </w:rPr>
        <w:t>（四）详细评标</w:t>
      </w:r>
    </w:p>
    <w:p>
      <w:pPr>
        <w:rPr>
          <w:rFonts w:ascii="宋体" w:hAnsi="宋体" w:cs="宋体"/>
          <w:sz w:val="28"/>
          <w:szCs w:val="28"/>
          <w:highlight w:val="none"/>
        </w:rPr>
      </w:pPr>
      <w:r>
        <w:rPr>
          <w:rFonts w:hint="eastAsia" w:ascii="宋体" w:hAnsi="宋体" w:cs="宋体"/>
          <w:sz w:val="28"/>
          <w:szCs w:val="28"/>
          <w:highlight w:val="none"/>
        </w:rPr>
        <w:t>1、评标委员会根据评标办法对通过初步审查的投标文件进行详细，并进行技术和商务的评标打分</w:t>
      </w:r>
    </w:p>
    <w:p>
      <w:pPr>
        <w:rPr>
          <w:rFonts w:ascii="宋体" w:hAnsi="宋体" w:cs="宋体"/>
          <w:sz w:val="28"/>
          <w:szCs w:val="28"/>
          <w:highlight w:val="none"/>
        </w:rPr>
      </w:pPr>
      <w:r>
        <w:rPr>
          <w:rFonts w:hint="eastAsia" w:ascii="宋体" w:hAnsi="宋体" w:cs="宋体"/>
          <w:sz w:val="28"/>
          <w:szCs w:val="28"/>
          <w:highlight w:val="none"/>
        </w:rPr>
        <w:t>2、技术、商务评分：具体评标的内容详见（附件3）</w:t>
      </w:r>
    </w:p>
    <w:p>
      <w:pPr>
        <w:rPr>
          <w:rFonts w:ascii="宋体" w:hAnsi="宋体" w:cs="宋体"/>
          <w:sz w:val="28"/>
          <w:szCs w:val="28"/>
          <w:highlight w:val="none"/>
        </w:rPr>
      </w:pPr>
      <w:r>
        <w:rPr>
          <w:rFonts w:hint="eastAsia" w:ascii="宋体" w:hAnsi="宋体" w:cs="宋体"/>
          <w:sz w:val="28"/>
          <w:szCs w:val="28"/>
          <w:highlight w:val="none"/>
        </w:rPr>
        <w:t>3、价格分统一采用低价优先法计算，将通过初步审查的所有投标人最低的投标报价格，即满足招标文件要求且价格最低的投标报价为基准价，其价格分为满分。其他投标人的价格分统一按照下列公式计算：投标报价得分=(评标基准价／投标报价)×15分。</w:t>
      </w:r>
    </w:p>
    <w:p>
      <w:pPr>
        <w:spacing w:line="600" w:lineRule="exact"/>
        <w:rPr>
          <w:rFonts w:ascii="宋体" w:hAnsi="宋体" w:cs="宋体"/>
          <w:sz w:val="28"/>
          <w:szCs w:val="28"/>
          <w:highlight w:val="none"/>
        </w:rPr>
      </w:pPr>
      <w:r>
        <w:rPr>
          <w:rFonts w:hint="eastAsia" w:ascii="宋体" w:hAnsi="宋体" w:cs="宋体"/>
          <w:sz w:val="28"/>
          <w:szCs w:val="28"/>
          <w:highlight w:val="none"/>
        </w:rPr>
        <w:t>4、如投标人满足第三章“七、关于政策性加分”规定的，应按该条规定对投标人的评标价格进行调整。</w:t>
      </w:r>
    </w:p>
    <w:p>
      <w:pPr>
        <w:spacing w:line="600" w:lineRule="exact"/>
        <w:ind w:firstLine="560" w:firstLineChars="200"/>
        <w:rPr>
          <w:rFonts w:ascii="宋体" w:hAnsi="宋体" w:cs="宋体"/>
          <w:b/>
          <w:sz w:val="24"/>
          <w:highlight w:val="none"/>
        </w:rPr>
      </w:pPr>
      <w:r>
        <w:rPr>
          <w:rFonts w:hint="eastAsia" w:ascii="宋体" w:hAnsi="宋体" w:cs="宋体"/>
          <w:sz w:val="28"/>
          <w:szCs w:val="28"/>
          <w:highlight w:val="none"/>
        </w:rPr>
        <w:t>本项目采用如下综合打分法，总分为100分，具体打分方法如下：</w:t>
      </w:r>
    </w:p>
    <w:tbl>
      <w:tblPr>
        <w:tblStyle w:val="16"/>
        <w:tblW w:w="898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23"/>
        <w:gridCol w:w="2365"/>
        <w:gridCol w:w="2204"/>
        <w:gridCol w:w="21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2223" w:type="dxa"/>
            <w:shd w:val="clear" w:color="auto" w:fill="BFBFBF"/>
            <w:vAlign w:val="center"/>
          </w:tcPr>
          <w:p>
            <w:pPr>
              <w:spacing w:line="600" w:lineRule="exact"/>
              <w:jc w:val="center"/>
              <w:rPr>
                <w:rFonts w:ascii="宋体" w:hAnsi="宋体" w:cs="宋体"/>
                <w:b/>
                <w:sz w:val="24"/>
                <w:highlight w:val="none"/>
              </w:rPr>
            </w:pPr>
            <w:r>
              <w:rPr>
                <w:rFonts w:hint="eastAsia" w:ascii="宋体" w:hAnsi="宋体" w:cs="宋体"/>
                <w:b/>
                <w:sz w:val="24"/>
                <w:highlight w:val="none"/>
              </w:rPr>
              <w:t>序号</w:t>
            </w:r>
          </w:p>
        </w:tc>
        <w:tc>
          <w:tcPr>
            <w:tcW w:w="2365" w:type="dxa"/>
            <w:shd w:val="clear" w:color="auto" w:fill="BFBFBF"/>
            <w:vAlign w:val="center"/>
          </w:tcPr>
          <w:p>
            <w:pPr>
              <w:spacing w:line="600" w:lineRule="exact"/>
              <w:jc w:val="center"/>
              <w:rPr>
                <w:rFonts w:ascii="宋体" w:hAnsi="宋体" w:cs="宋体"/>
                <w:b/>
                <w:sz w:val="24"/>
                <w:highlight w:val="none"/>
              </w:rPr>
            </w:pPr>
            <w:r>
              <w:rPr>
                <w:rFonts w:hint="eastAsia" w:ascii="宋体" w:hAnsi="宋体" w:cs="宋体"/>
                <w:b/>
                <w:sz w:val="24"/>
                <w:highlight w:val="none"/>
              </w:rPr>
              <w:t>评分项目</w:t>
            </w:r>
          </w:p>
        </w:tc>
        <w:tc>
          <w:tcPr>
            <w:tcW w:w="2204" w:type="dxa"/>
            <w:shd w:val="clear" w:color="auto" w:fill="BFBFBF"/>
            <w:vAlign w:val="center"/>
          </w:tcPr>
          <w:p>
            <w:pPr>
              <w:spacing w:line="600" w:lineRule="exact"/>
              <w:jc w:val="center"/>
              <w:rPr>
                <w:rFonts w:ascii="宋体" w:hAnsi="宋体" w:cs="宋体"/>
                <w:b/>
                <w:sz w:val="24"/>
                <w:highlight w:val="none"/>
              </w:rPr>
            </w:pPr>
            <w:r>
              <w:rPr>
                <w:rFonts w:hint="eastAsia" w:ascii="宋体" w:hAnsi="宋体" w:cs="宋体"/>
                <w:b/>
                <w:sz w:val="24"/>
                <w:highlight w:val="none"/>
              </w:rPr>
              <w:t>技术商务评分</w:t>
            </w:r>
          </w:p>
        </w:tc>
        <w:tc>
          <w:tcPr>
            <w:tcW w:w="2196" w:type="dxa"/>
            <w:shd w:val="clear" w:color="auto" w:fill="BFBFBF"/>
            <w:vAlign w:val="center"/>
          </w:tcPr>
          <w:p>
            <w:pPr>
              <w:spacing w:line="600" w:lineRule="exact"/>
              <w:jc w:val="center"/>
              <w:rPr>
                <w:rFonts w:ascii="宋体" w:hAnsi="宋体" w:cs="宋体"/>
                <w:b/>
                <w:sz w:val="24"/>
                <w:highlight w:val="none"/>
              </w:rPr>
            </w:pPr>
            <w:r>
              <w:rPr>
                <w:rFonts w:hint="eastAsia" w:ascii="宋体" w:hAnsi="宋体" w:cs="宋体"/>
                <w:b/>
                <w:sz w:val="24"/>
                <w:highlight w:val="none"/>
              </w:rPr>
              <w:t>价格评分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223" w:type="dxa"/>
            <w:vAlign w:val="center"/>
          </w:tcPr>
          <w:p>
            <w:pPr>
              <w:spacing w:line="600" w:lineRule="exact"/>
              <w:jc w:val="center"/>
              <w:rPr>
                <w:rFonts w:ascii="宋体" w:hAnsi="宋体" w:cs="宋体"/>
                <w:sz w:val="24"/>
                <w:highlight w:val="none"/>
              </w:rPr>
            </w:pPr>
            <w:r>
              <w:rPr>
                <w:rFonts w:hint="eastAsia" w:ascii="宋体" w:hAnsi="宋体" w:cs="宋体"/>
                <w:sz w:val="24"/>
                <w:highlight w:val="none"/>
              </w:rPr>
              <w:t>1</w:t>
            </w:r>
          </w:p>
        </w:tc>
        <w:tc>
          <w:tcPr>
            <w:tcW w:w="2365" w:type="dxa"/>
            <w:vAlign w:val="center"/>
          </w:tcPr>
          <w:p>
            <w:pPr>
              <w:spacing w:line="600" w:lineRule="exact"/>
              <w:jc w:val="center"/>
              <w:rPr>
                <w:rFonts w:ascii="宋体" w:hAnsi="宋体" w:cs="宋体"/>
                <w:sz w:val="24"/>
                <w:highlight w:val="none"/>
              </w:rPr>
            </w:pPr>
            <w:r>
              <w:rPr>
                <w:rFonts w:hint="eastAsia" w:ascii="宋体" w:hAnsi="宋体" w:cs="宋体"/>
                <w:sz w:val="24"/>
                <w:highlight w:val="none"/>
              </w:rPr>
              <w:t xml:space="preserve">权重 </w:t>
            </w:r>
          </w:p>
        </w:tc>
        <w:tc>
          <w:tcPr>
            <w:tcW w:w="2204" w:type="dxa"/>
            <w:vAlign w:val="center"/>
          </w:tcPr>
          <w:p>
            <w:pPr>
              <w:spacing w:line="600" w:lineRule="exact"/>
              <w:jc w:val="center"/>
              <w:rPr>
                <w:rFonts w:ascii="宋体" w:hAnsi="宋体" w:cs="宋体"/>
                <w:sz w:val="24"/>
                <w:highlight w:val="none"/>
              </w:rPr>
            </w:pPr>
            <w:r>
              <w:rPr>
                <w:rFonts w:hint="eastAsia" w:ascii="宋体" w:hAnsi="宋体" w:cs="宋体"/>
                <w:sz w:val="24"/>
                <w:highlight w:val="none"/>
              </w:rPr>
              <w:t>85%</w:t>
            </w:r>
          </w:p>
        </w:tc>
        <w:tc>
          <w:tcPr>
            <w:tcW w:w="2196" w:type="dxa"/>
            <w:vAlign w:val="center"/>
          </w:tcPr>
          <w:p>
            <w:pPr>
              <w:spacing w:line="600" w:lineRule="exact"/>
              <w:jc w:val="center"/>
              <w:rPr>
                <w:rFonts w:ascii="宋体" w:hAnsi="宋体" w:cs="宋体"/>
                <w:sz w:val="24"/>
                <w:highlight w:val="none"/>
              </w:rPr>
            </w:pPr>
            <w:r>
              <w:rPr>
                <w:rFonts w:hint="eastAsia" w:ascii="宋体" w:hAnsi="宋体" w:cs="宋体"/>
                <w:sz w:val="24"/>
                <w:highlight w:val="none"/>
              </w:rPr>
              <w:t>15%</w:t>
            </w:r>
          </w:p>
        </w:tc>
      </w:tr>
    </w:tbl>
    <w:p>
      <w:pPr>
        <w:spacing w:line="600" w:lineRule="exact"/>
        <w:rPr>
          <w:rFonts w:ascii="宋体" w:hAnsi="宋体" w:cs="宋体"/>
          <w:sz w:val="28"/>
          <w:szCs w:val="28"/>
          <w:highlight w:val="none"/>
        </w:rPr>
      </w:pPr>
      <w:r>
        <w:rPr>
          <w:rFonts w:hint="eastAsia" w:ascii="宋体" w:hAnsi="宋体" w:cs="宋体"/>
          <w:sz w:val="28"/>
          <w:szCs w:val="28"/>
          <w:highlight w:val="none"/>
        </w:rPr>
        <w:t>5、 综合评分及其统计：按照评标程序、评分标准以及分值分配的规定，评标委员会成员分别就各个投标人的技术、商务状况，其对招标文件要求的投标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600" w:lineRule="exact"/>
        <w:rPr>
          <w:rFonts w:ascii="宋体" w:hAnsi="宋体" w:cs="宋体"/>
          <w:sz w:val="24"/>
          <w:highlight w:val="none"/>
        </w:rPr>
      </w:pPr>
    </w:p>
    <w:p>
      <w:pPr>
        <w:tabs>
          <w:tab w:val="left" w:pos="540"/>
        </w:tabs>
        <w:spacing w:line="600" w:lineRule="exact"/>
        <w:rPr>
          <w:rFonts w:ascii="宋体" w:hAnsi="宋体" w:cs="宋体"/>
          <w:sz w:val="28"/>
          <w:szCs w:val="28"/>
          <w:highlight w:val="none"/>
        </w:rPr>
      </w:pPr>
      <w:r>
        <w:rPr>
          <w:rFonts w:hint="eastAsia" w:ascii="宋体" w:hAnsi="宋体" w:cs="宋体"/>
          <w:b/>
          <w:sz w:val="28"/>
          <w:szCs w:val="28"/>
          <w:highlight w:val="none"/>
        </w:rPr>
        <w:br w:type="page"/>
      </w:r>
      <w:r>
        <w:rPr>
          <w:rFonts w:hint="eastAsia" w:ascii="宋体" w:hAnsi="宋体" w:cs="宋体"/>
          <w:b/>
          <w:sz w:val="22"/>
          <w:highlight w:val="none"/>
        </w:rPr>
        <w:t>附表一</w:t>
      </w:r>
    </w:p>
    <w:p>
      <w:pPr>
        <w:pStyle w:val="8"/>
        <w:spacing w:before="12"/>
        <w:rPr>
          <w:b/>
          <w:sz w:val="5"/>
          <w:highlight w:val="none"/>
        </w:rPr>
      </w:pPr>
    </w:p>
    <w:p>
      <w:pPr>
        <w:spacing w:line="538" w:lineRule="exact"/>
        <w:jc w:val="center"/>
        <w:rPr>
          <w:rFonts w:ascii="宋体" w:hAnsi="宋体" w:cs="宋体"/>
          <w:b/>
          <w:sz w:val="32"/>
          <w:highlight w:val="none"/>
        </w:rPr>
      </w:pPr>
      <w:r>
        <w:rPr>
          <w:rFonts w:hint="eastAsia" w:ascii="宋体" w:hAnsi="宋体" w:cs="宋体"/>
          <w:b/>
          <w:sz w:val="32"/>
          <w:highlight w:val="none"/>
        </w:rPr>
        <w:t>资格审查表</w:t>
      </w:r>
    </w:p>
    <w:p>
      <w:pPr>
        <w:pStyle w:val="8"/>
        <w:spacing w:before="7"/>
        <w:rPr>
          <w:b/>
          <w:sz w:val="41"/>
          <w:highlight w:val="none"/>
        </w:rPr>
      </w:pPr>
    </w:p>
    <w:p>
      <w:pPr>
        <w:pStyle w:val="8"/>
        <w:spacing w:after="5" w:line="362" w:lineRule="auto"/>
        <w:ind w:right="106"/>
        <w:rPr>
          <w:b/>
          <w:bCs/>
          <w:sz w:val="28"/>
          <w:szCs w:val="28"/>
          <w:highlight w:val="none"/>
        </w:rPr>
      </w:pPr>
      <w:r>
        <w:rPr>
          <w:rFonts w:hint="eastAsia"/>
          <w:sz w:val="28"/>
          <w:szCs w:val="28"/>
          <w:highlight w:val="none"/>
        </w:rPr>
        <w:t>项目名称：</w:t>
      </w:r>
      <w:r>
        <w:rPr>
          <w:rFonts w:hint="eastAsia"/>
          <w:sz w:val="28"/>
          <w:szCs w:val="28"/>
          <w:highlight w:val="none"/>
          <w:u w:val="single"/>
        </w:rPr>
        <w:t>海口市美兰区乡镇环卫一体化项目</w:t>
      </w:r>
    </w:p>
    <w:p>
      <w:pPr>
        <w:pStyle w:val="8"/>
        <w:spacing w:after="5" w:line="362" w:lineRule="auto"/>
        <w:ind w:right="106"/>
        <w:rPr>
          <w:highlight w:val="none"/>
        </w:rPr>
      </w:pPr>
      <w:r>
        <w:rPr>
          <w:rFonts w:hint="eastAsia"/>
          <w:sz w:val="28"/>
          <w:szCs w:val="28"/>
          <w:highlight w:val="none"/>
        </w:rPr>
        <w:t>项目编号：</w:t>
      </w:r>
      <w:r>
        <w:rPr>
          <w:rStyle w:val="24"/>
          <w:rFonts w:hint="eastAsia" w:ascii="宋体" w:hAnsi="宋体" w:cs="宋体"/>
          <w:sz w:val="28"/>
          <w:szCs w:val="28"/>
          <w:highlight w:val="none"/>
          <w:u w:val="single"/>
        </w:rPr>
        <w:t>WDSZ2019003</w:t>
      </w:r>
      <w:r>
        <w:rPr>
          <w:rFonts w:hint="eastAsia" w:ascii="宋体" w:hAnsi="宋体" w:cs="宋体"/>
          <w:sz w:val="28"/>
          <w:szCs w:val="28"/>
          <w:highlight w:val="none"/>
          <w:u w:val="single"/>
        </w:rPr>
        <w:t xml:space="preserve"> </w:t>
      </w:r>
    </w:p>
    <w:tbl>
      <w:tblPr>
        <w:tblStyle w:val="16"/>
        <w:tblW w:w="8235"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7"/>
        <w:gridCol w:w="1798"/>
        <w:gridCol w:w="2568"/>
        <w:gridCol w:w="904"/>
        <w:gridCol w:w="904"/>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7" w:hRule="atLeast"/>
        </w:trPr>
        <w:tc>
          <w:tcPr>
            <w:tcW w:w="1157" w:type="dxa"/>
          </w:tcPr>
          <w:p>
            <w:pPr>
              <w:pStyle w:val="33"/>
              <w:spacing w:before="152"/>
              <w:ind w:left="93" w:right="84"/>
              <w:jc w:val="center"/>
              <w:rPr>
                <w:b/>
                <w:szCs w:val="21"/>
                <w:highlight w:val="none"/>
              </w:rPr>
            </w:pPr>
            <w:r>
              <w:rPr>
                <w:rFonts w:hint="eastAsia"/>
                <w:b/>
                <w:szCs w:val="21"/>
                <w:highlight w:val="none"/>
              </w:rPr>
              <w:t>序号</w:t>
            </w:r>
          </w:p>
        </w:tc>
        <w:tc>
          <w:tcPr>
            <w:tcW w:w="1798" w:type="dxa"/>
          </w:tcPr>
          <w:p>
            <w:pPr>
              <w:pStyle w:val="33"/>
              <w:spacing w:before="152"/>
              <w:ind w:left="477"/>
              <w:rPr>
                <w:b/>
                <w:szCs w:val="21"/>
                <w:highlight w:val="none"/>
              </w:rPr>
            </w:pPr>
            <w:r>
              <w:rPr>
                <w:rFonts w:hint="eastAsia"/>
                <w:b/>
                <w:szCs w:val="21"/>
                <w:highlight w:val="none"/>
              </w:rPr>
              <w:t>审查项目</w:t>
            </w:r>
          </w:p>
        </w:tc>
        <w:tc>
          <w:tcPr>
            <w:tcW w:w="2568" w:type="dxa"/>
          </w:tcPr>
          <w:p>
            <w:pPr>
              <w:pStyle w:val="33"/>
              <w:spacing w:before="152"/>
              <w:ind w:left="236"/>
              <w:rPr>
                <w:szCs w:val="21"/>
                <w:highlight w:val="none"/>
              </w:rPr>
            </w:pPr>
            <w:r>
              <w:rPr>
                <w:rFonts w:hint="eastAsia"/>
                <w:b/>
                <w:szCs w:val="21"/>
                <w:highlight w:val="none"/>
              </w:rPr>
              <w:t>评议内容</w:t>
            </w:r>
            <w:r>
              <w:rPr>
                <w:rFonts w:hint="eastAsia"/>
                <w:szCs w:val="21"/>
                <w:highlight w:val="none"/>
              </w:rPr>
              <w:t>（无效投标认定条件）</w:t>
            </w:r>
          </w:p>
        </w:tc>
        <w:tc>
          <w:tcPr>
            <w:tcW w:w="904" w:type="dxa"/>
          </w:tcPr>
          <w:p>
            <w:pPr>
              <w:pStyle w:val="33"/>
              <w:spacing w:before="13"/>
              <w:ind w:left="142"/>
              <w:rPr>
                <w:b/>
                <w:szCs w:val="21"/>
                <w:highlight w:val="none"/>
              </w:rPr>
            </w:pPr>
            <w:r>
              <w:rPr>
                <w:rFonts w:hint="eastAsia"/>
                <w:b/>
                <w:szCs w:val="21"/>
                <w:highlight w:val="none"/>
              </w:rPr>
              <w:t xml:space="preserve">投标人1 </w:t>
            </w:r>
          </w:p>
        </w:tc>
        <w:tc>
          <w:tcPr>
            <w:tcW w:w="904" w:type="dxa"/>
          </w:tcPr>
          <w:p>
            <w:pPr>
              <w:pStyle w:val="33"/>
              <w:spacing w:before="13"/>
              <w:ind w:left="142"/>
              <w:rPr>
                <w:b/>
                <w:szCs w:val="21"/>
                <w:highlight w:val="none"/>
              </w:rPr>
            </w:pPr>
            <w:r>
              <w:rPr>
                <w:rFonts w:hint="eastAsia"/>
                <w:b/>
                <w:szCs w:val="21"/>
                <w:highlight w:val="none"/>
              </w:rPr>
              <w:t>投标人 2</w:t>
            </w:r>
          </w:p>
        </w:tc>
        <w:tc>
          <w:tcPr>
            <w:tcW w:w="904" w:type="dxa"/>
          </w:tcPr>
          <w:p>
            <w:pPr>
              <w:pStyle w:val="33"/>
              <w:spacing w:before="13"/>
              <w:ind w:left="140"/>
              <w:rPr>
                <w:b/>
                <w:szCs w:val="21"/>
                <w:highlight w:val="none"/>
              </w:rPr>
            </w:pPr>
            <w:r>
              <w:rPr>
                <w:rFonts w:hint="eastAsia"/>
                <w:b/>
                <w:szCs w:val="21"/>
                <w:highlight w:val="none"/>
              </w:rPr>
              <w:t>投标人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4" w:hRule="atLeast"/>
        </w:trPr>
        <w:tc>
          <w:tcPr>
            <w:tcW w:w="1157" w:type="dxa"/>
          </w:tcPr>
          <w:p>
            <w:pPr>
              <w:pStyle w:val="33"/>
              <w:spacing w:before="177"/>
              <w:ind w:left="9"/>
              <w:jc w:val="center"/>
              <w:rPr>
                <w:sz w:val="24"/>
                <w:highlight w:val="none"/>
              </w:rPr>
            </w:pPr>
            <w:r>
              <w:rPr>
                <w:rFonts w:hint="eastAsia"/>
                <w:sz w:val="24"/>
                <w:highlight w:val="none"/>
              </w:rPr>
              <w:t>1</w:t>
            </w:r>
          </w:p>
        </w:tc>
        <w:tc>
          <w:tcPr>
            <w:tcW w:w="1798" w:type="dxa"/>
          </w:tcPr>
          <w:p>
            <w:pPr>
              <w:pStyle w:val="33"/>
              <w:spacing w:before="177"/>
              <w:ind w:left="107"/>
              <w:rPr>
                <w:sz w:val="24"/>
                <w:highlight w:val="none"/>
              </w:rPr>
            </w:pPr>
            <w:r>
              <w:rPr>
                <w:rFonts w:hint="eastAsia"/>
                <w:sz w:val="24"/>
                <w:highlight w:val="none"/>
              </w:rPr>
              <w:t>投标人的资格</w:t>
            </w:r>
          </w:p>
        </w:tc>
        <w:tc>
          <w:tcPr>
            <w:tcW w:w="2568" w:type="dxa"/>
          </w:tcPr>
          <w:p>
            <w:pPr>
              <w:pStyle w:val="33"/>
              <w:spacing w:before="177"/>
              <w:ind w:left="107"/>
              <w:rPr>
                <w:sz w:val="24"/>
                <w:highlight w:val="none"/>
              </w:rPr>
            </w:pPr>
            <w:r>
              <w:rPr>
                <w:rFonts w:hint="eastAsia"/>
                <w:sz w:val="24"/>
                <w:highlight w:val="none"/>
              </w:rPr>
              <w:t>是否符合投标人资格要求</w:t>
            </w:r>
          </w:p>
        </w:tc>
        <w:tc>
          <w:tcPr>
            <w:tcW w:w="904" w:type="dxa"/>
          </w:tcPr>
          <w:p>
            <w:pPr>
              <w:pStyle w:val="33"/>
              <w:rPr>
                <w:sz w:val="24"/>
                <w:highlight w:val="none"/>
              </w:rPr>
            </w:pPr>
          </w:p>
        </w:tc>
        <w:tc>
          <w:tcPr>
            <w:tcW w:w="904" w:type="dxa"/>
          </w:tcPr>
          <w:p>
            <w:pPr>
              <w:pStyle w:val="33"/>
              <w:rPr>
                <w:sz w:val="24"/>
                <w:highlight w:val="none"/>
              </w:rPr>
            </w:pPr>
          </w:p>
        </w:tc>
        <w:tc>
          <w:tcPr>
            <w:tcW w:w="904" w:type="dxa"/>
          </w:tcPr>
          <w:p>
            <w:pPr>
              <w:pStyle w:val="3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0" w:hRule="atLeast"/>
        </w:trPr>
        <w:tc>
          <w:tcPr>
            <w:tcW w:w="1157" w:type="dxa"/>
          </w:tcPr>
          <w:p>
            <w:pPr>
              <w:pStyle w:val="33"/>
              <w:spacing w:before="173"/>
              <w:ind w:left="9"/>
              <w:jc w:val="center"/>
              <w:rPr>
                <w:sz w:val="24"/>
                <w:highlight w:val="none"/>
              </w:rPr>
            </w:pPr>
            <w:r>
              <w:rPr>
                <w:rFonts w:hint="eastAsia"/>
                <w:sz w:val="24"/>
                <w:highlight w:val="none"/>
                <w:lang w:val="en-US"/>
              </w:rPr>
              <w:t>2</w:t>
            </w:r>
          </w:p>
        </w:tc>
        <w:tc>
          <w:tcPr>
            <w:tcW w:w="1798" w:type="dxa"/>
          </w:tcPr>
          <w:p>
            <w:pPr>
              <w:pStyle w:val="33"/>
              <w:spacing w:before="173"/>
              <w:ind w:left="107"/>
              <w:rPr>
                <w:sz w:val="24"/>
                <w:highlight w:val="none"/>
              </w:rPr>
            </w:pPr>
            <w:r>
              <w:rPr>
                <w:rFonts w:hint="eastAsia"/>
                <w:sz w:val="24"/>
                <w:highlight w:val="none"/>
              </w:rPr>
              <w:t>投标有效期</w:t>
            </w:r>
          </w:p>
        </w:tc>
        <w:tc>
          <w:tcPr>
            <w:tcW w:w="2568" w:type="dxa"/>
          </w:tcPr>
          <w:p>
            <w:pPr>
              <w:pStyle w:val="33"/>
              <w:spacing w:before="173"/>
              <w:ind w:left="107"/>
              <w:rPr>
                <w:sz w:val="24"/>
                <w:highlight w:val="none"/>
              </w:rPr>
            </w:pPr>
            <w:r>
              <w:rPr>
                <w:rFonts w:hint="eastAsia"/>
                <w:sz w:val="24"/>
                <w:highlight w:val="none"/>
              </w:rPr>
              <w:t>是否满足招标文件要求</w:t>
            </w:r>
          </w:p>
        </w:tc>
        <w:tc>
          <w:tcPr>
            <w:tcW w:w="904" w:type="dxa"/>
          </w:tcPr>
          <w:p>
            <w:pPr>
              <w:pStyle w:val="33"/>
              <w:rPr>
                <w:sz w:val="24"/>
                <w:highlight w:val="none"/>
              </w:rPr>
            </w:pPr>
          </w:p>
        </w:tc>
        <w:tc>
          <w:tcPr>
            <w:tcW w:w="904" w:type="dxa"/>
          </w:tcPr>
          <w:p>
            <w:pPr>
              <w:pStyle w:val="33"/>
              <w:rPr>
                <w:sz w:val="24"/>
                <w:highlight w:val="none"/>
              </w:rPr>
            </w:pPr>
          </w:p>
        </w:tc>
        <w:tc>
          <w:tcPr>
            <w:tcW w:w="904" w:type="dxa"/>
          </w:tcPr>
          <w:p>
            <w:pPr>
              <w:pStyle w:val="3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61" w:hRule="atLeast"/>
        </w:trPr>
        <w:tc>
          <w:tcPr>
            <w:tcW w:w="1157" w:type="dxa"/>
          </w:tcPr>
          <w:p>
            <w:pPr>
              <w:pStyle w:val="33"/>
              <w:spacing w:before="174"/>
              <w:ind w:left="9"/>
              <w:jc w:val="center"/>
              <w:rPr>
                <w:sz w:val="24"/>
                <w:highlight w:val="none"/>
                <w:lang w:val="en-US"/>
              </w:rPr>
            </w:pPr>
            <w:r>
              <w:rPr>
                <w:rFonts w:hint="eastAsia"/>
                <w:sz w:val="24"/>
                <w:highlight w:val="none"/>
                <w:lang w:val="en-US"/>
              </w:rPr>
              <w:t>3</w:t>
            </w:r>
          </w:p>
        </w:tc>
        <w:tc>
          <w:tcPr>
            <w:tcW w:w="1798" w:type="dxa"/>
            <w:tcBorders>
              <w:right w:val="single" w:color="auto" w:sz="4" w:space="0"/>
            </w:tcBorders>
          </w:tcPr>
          <w:p>
            <w:pPr>
              <w:pStyle w:val="33"/>
              <w:spacing w:before="174"/>
              <w:ind w:left="107"/>
              <w:rPr>
                <w:rFonts w:hint="eastAsia" w:eastAsia="宋体"/>
                <w:sz w:val="24"/>
                <w:highlight w:val="none"/>
                <w:lang w:eastAsia="zh-CN"/>
              </w:rPr>
            </w:pPr>
            <w:r>
              <w:rPr>
                <w:rFonts w:hint="eastAsia"/>
                <w:sz w:val="24"/>
                <w:highlight w:val="none"/>
              </w:rPr>
              <w:t>投标保证金</w:t>
            </w:r>
            <w:r>
              <w:rPr>
                <w:rFonts w:hint="eastAsia"/>
                <w:sz w:val="24"/>
                <w:highlight w:val="none"/>
                <w:lang w:eastAsia="zh-CN"/>
              </w:rPr>
              <w:t>（保函或建设工程投标保险）</w:t>
            </w:r>
          </w:p>
        </w:tc>
        <w:tc>
          <w:tcPr>
            <w:tcW w:w="2568" w:type="dxa"/>
            <w:tcBorders>
              <w:left w:val="single" w:color="auto" w:sz="4" w:space="0"/>
            </w:tcBorders>
          </w:tcPr>
          <w:p>
            <w:pPr>
              <w:pStyle w:val="33"/>
              <w:spacing w:before="174"/>
              <w:ind w:left="107"/>
              <w:rPr>
                <w:rFonts w:hint="eastAsia" w:eastAsia="宋体"/>
                <w:sz w:val="24"/>
                <w:highlight w:val="none"/>
                <w:lang w:eastAsia="zh-CN"/>
              </w:rPr>
            </w:pPr>
            <w:r>
              <w:rPr>
                <w:rFonts w:hint="eastAsia"/>
                <w:sz w:val="24"/>
                <w:highlight w:val="none"/>
              </w:rPr>
              <w:t>是否缴纳投标保证金</w:t>
            </w:r>
            <w:r>
              <w:rPr>
                <w:rFonts w:hint="eastAsia"/>
                <w:sz w:val="24"/>
                <w:highlight w:val="none"/>
                <w:lang w:eastAsia="zh-CN"/>
              </w:rPr>
              <w:t>（保函或建设工程投标保险）</w:t>
            </w:r>
          </w:p>
        </w:tc>
        <w:tc>
          <w:tcPr>
            <w:tcW w:w="904" w:type="dxa"/>
          </w:tcPr>
          <w:p>
            <w:pPr>
              <w:pStyle w:val="33"/>
              <w:rPr>
                <w:sz w:val="24"/>
                <w:highlight w:val="none"/>
              </w:rPr>
            </w:pPr>
          </w:p>
        </w:tc>
        <w:tc>
          <w:tcPr>
            <w:tcW w:w="904" w:type="dxa"/>
          </w:tcPr>
          <w:p>
            <w:pPr>
              <w:pStyle w:val="33"/>
              <w:rPr>
                <w:sz w:val="24"/>
                <w:highlight w:val="none"/>
              </w:rPr>
            </w:pPr>
          </w:p>
        </w:tc>
        <w:tc>
          <w:tcPr>
            <w:tcW w:w="904" w:type="dxa"/>
          </w:tcPr>
          <w:p>
            <w:pPr>
              <w:pStyle w:val="33"/>
              <w:rPr>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5" w:hRule="atLeast"/>
        </w:trPr>
        <w:tc>
          <w:tcPr>
            <w:tcW w:w="5523" w:type="dxa"/>
            <w:gridSpan w:val="3"/>
          </w:tcPr>
          <w:p>
            <w:pPr>
              <w:pStyle w:val="33"/>
              <w:tabs>
                <w:tab w:val="left" w:pos="1159"/>
              </w:tabs>
              <w:spacing w:before="104" w:line="355" w:lineRule="exact"/>
              <w:ind w:right="489"/>
              <w:jc w:val="center"/>
              <w:rPr>
                <w:b/>
                <w:szCs w:val="21"/>
                <w:highlight w:val="none"/>
              </w:rPr>
            </w:pPr>
            <w:r>
              <w:rPr>
                <w:rFonts w:hint="eastAsia"/>
                <w:b/>
                <w:szCs w:val="21"/>
                <w:highlight w:val="none"/>
              </w:rPr>
              <w:t>结</w:t>
            </w:r>
            <w:r>
              <w:rPr>
                <w:rFonts w:hint="eastAsia"/>
                <w:b/>
                <w:szCs w:val="21"/>
                <w:highlight w:val="none"/>
              </w:rPr>
              <w:tab/>
            </w:r>
            <w:r>
              <w:rPr>
                <w:rFonts w:hint="eastAsia"/>
                <w:b/>
                <w:szCs w:val="21"/>
                <w:highlight w:val="none"/>
              </w:rPr>
              <w:t>论</w:t>
            </w:r>
          </w:p>
        </w:tc>
        <w:tc>
          <w:tcPr>
            <w:tcW w:w="904" w:type="dxa"/>
          </w:tcPr>
          <w:p>
            <w:pPr>
              <w:pStyle w:val="33"/>
              <w:rPr>
                <w:szCs w:val="21"/>
                <w:highlight w:val="none"/>
              </w:rPr>
            </w:pPr>
          </w:p>
        </w:tc>
        <w:tc>
          <w:tcPr>
            <w:tcW w:w="904" w:type="dxa"/>
          </w:tcPr>
          <w:p>
            <w:pPr>
              <w:pStyle w:val="33"/>
              <w:rPr>
                <w:szCs w:val="21"/>
                <w:highlight w:val="none"/>
              </w:rPr>
            </w:pPr>
          </w:p>
        </w:tc>
        <w:tc>
          <w:tcPr>
            <w:tcW w:w="904" w:type="dxa"/>
          </w:tcPr>
          <w:p>
            <w:pPr>
              <w:pStyle w:val="33"/>
              <w:rPr>
                <w:szCs w:val="21"/>
                <w:highlight w:val="none"/>
              </w:rPr>
            </w:pPr>
          </w:p>
        </w:tc>
      </w:tr>
    </w:tbl>
    <w:p>
      <w:pPr>
        <w:spacing w:before="187"/>
        <w:rPr>
          <w:rFonts w:ascii="宋体" w:hAnsi="宋体" w:cs="宋体"/>
          <w:sz w:val="24"/>
          <w:highlight w:val="none"/>
        </w:rPr>
      </w:pPr>
      <w:r>
        <w:rPr>
          <w:rFonts w:hint="eastAsia" w:ascii="宋体" w:hAnsi="宋体" w:cs="宋体"/>
          <w:sz w:val="24"/>
          <w:highlight w:val="none"/>
        </w:rPr>
        <w:t>注：  1、表中只需填写“√/通过”或“×/不通过”。</w:t>
      </w:r>
    </w:p>
    <w:p>
      <w:pPr>
        <w:spacing w:line="427" w:lineRule="auto"/>
        <w:ind w:left="754" w:right="754"/>
        <w:rPr>
          <w:rFonts w:ascii="宋体" w:hAnsi="宋体" w:cs="宋体"/>
          <w:sz w:val="24"/>
          <w:highlight w:val="none"/>
        </w:rPr>
      </w:pPr>
      <w:r>
        <w:rPr>
          <w:rFonts w:hint="eastAsia" w:ascii="宋体" w:hAnsi="宋体" w:cs="宋体"/>
          <w:sz w:val="24"/>
          <w:highlight w:val="none"/>
        </w:rPr>
        <w:t>2</w:t>
      </w:r>
      <w:r>
        <w:rPr>
          <w:rFonts w:hint="eastAsia" w:ascii="宋体" w:hAnsi="宋体" w:cs="宋体"/>
          <w:spacing w:val="-7"/>
          <w:sz w:val="24"/>
          <w:highlight w:val="none"/>
        </w:rPr>
        <w:t>、在结论中按“一项否决”的原则，只有全部是√</w:t>
      </w:r>
      <w:r>
        <w:rPr>
          <w:rFonts w:hint="eastAsia" w:ascii="宋体" w:hAnsi="宋体" w:cs="宋体"/>
          <w:sz w:val="24"/>
          <w:highlight w:val="none"/>
        </w:rPr>
        <w:t>/</w:t>
      </w:r>
      <w:r>
        <w:rPr>
          <w:rFonts w:hint="eastAsia" w:ascii="宋体" w:hAnsi="宋体" w:cs="宋体"/>
          <w:spacing w:val="-6"/>
          <w:sz w:val="24"/>
          <w:highlight w:val="none"/>
        </w:rPr>
        <w:t>通过的，填写“合格”；只要其中有一项是×</w:t>
      </w:r>
      <w:r>
        <w:rPr>
          <w:rFonts w:hint="eastAsia" w:ascii="宋体" w:hAnsi="宋体" w:cs="宋体"/>
          <w:sz w:val="24"/>
          <w:highlight w:val="none"/>
        </w:rPr>
        <w:t xml:space="preserve">/ </w:t>
      </w:r>
      <w:r>
        <w:rPr>
          <w:rFonts w:hint="eastAsia" w:ascii="宋体" w:hAnsi="宋体" w:cs="宋体"/>
          <w:spacing w:val="-3"/>
          <w:sz w:val="24"/>
          <w:highlight w:val="none"/>
        </w:rPr>
        <w:t>不通过的，填写“不合格”。</w:t>
      </w:r>
    </w:p>
    <w:p>
      <w:pPr>
        <w:spacing w:before="2"/>
        <w:ind w:left="754"/>
        <w:rPr>
          <w:rFonts w:ascii="宋体" w:hAnsi="宋体" w:cs="宋体"/>
          <w:sz w:val="24"/>
          <w:highlight w:val="none"/>
        </w:rPr>
      </w:pPr>
      <w:r>
        <w:rPr>
          <w:rFonts w:hint="eastAsia" w:ascii="宋体" w:hAnsi="宋体" w:cs="宋体"/>
          <w:sz w:val="24"/>
          <w:highlight w:val="none"/>
        </w:rPr>
        <w:t>3、结论是合格的，才能进入下一轮；不合格的被淘汰。</w:t>
      </w:r>
    </w:p>
    <w:p>
      <w:pPr>
        <w:rPr>
          <w:rFonts w:ascii="宋体" w:hAnsi="宋体" w:cs="宋体"/>
          <w:b/>
          <w:sz w:val="24"/>
          <w:highlight w:val="none"/>
        </w:rPr>
      </w:pPr>
    </w:p>
    <w:p>
      <w:pPr>
        <w:rPr>
          <w:rFonts w:ascii="宋体" w:hAnsi="宋体" w:cs="宋体"/>
          <w:sz w:val="24"/>
          <w:highlight w:val="none"/>
        </w:rPr>
      </w:pPr>
    </w:p>
    <w:p>
      <w:pPr>
        <w:ind w:firstLine="240" w:firstLineChars="100"/>
        <w:rPr>
          <w:rFonts w:ascii="宋体" w:hAnsi="宋体" w:cs="宋体"/>
          <w:sz w:val="24"/>
          <w:highlight w:val="none"/>
        </w:rPr>
      </w:pPr>
      <w:r>
        <w:rPr>
          <w:rFonts w:ascii="宋体" w:hAnsi="宋体" w:cs="宋体"/>
          <w:sz w:val="24"/>
          <w:highlight w:val="none"/>
        </w:rPr>
        <w:t>采购人</w:t>
      </w:r>
      <w:r>
        <w:rPr>
          <w:rFonts w:hint="eastAsia" w:ascii="宋体" w:hAnsi="宋体" w:cs="宋体"/>
          <w:sz w:val="24"/>
          <w:highlight w:val="none"/>
        </w:rPr>
        <w:t xml:space="preserve">：                              </w:t>
      </w:r>
      <w:r>
        <w:rPr>
          <w:rFonts w:ascii="宋体" w:hAnsi="宋体" w:cs="宋体"/>
          <w:sz w:val="24"/>
          <w:highlight w:val="none"/>
        </w:rPr>
        <w:t>采购代理</w:t>
      </w:r>
      <w:r>
        <w:rPr>
          <w:rFonts w:hint="eastAsia" w:ascii="宋体" w:hAnsi="宋体" w:cs="宋体"/>
          <w:sz w:val="24"/>
          <w:highlight w:val="none"/>
        </w:rPr>
        <w:t xml:space="preserve">机构：   </w:t>
      </w:r>
    </w:p>
    <w:p>
      <w:pPr>
        <w:ind w:firstLine="240" w:firstLineChars="100"/>
        <w:rPr>
          <w:rFonts w:ascii="宋体" w:hAnsi="宋体" w:cs="宋体"/>
          <w:sz w:val="24"/>
          <w:highlight w:val="none"/>
        </w:rPr>
      </w:pPr>
    </w:p>
    <w:p>
      <w:pPr>
        <w:ind w:firstLine="240" w:firstLineChars="100"/>
        <w:rPr>
          <w:rFonts w:ascii="宋体" w:hAnsi="宋体" w:cs="宋体"/>
          <w:sz w:val="24"/>
          <w:highlight w:val="none"/>
        </w:rPr>
      </w:pPr>
    </w:p>
    <w:p>
      <w:pPr>
        <w:ind w:firstLine="240" w:firstLineChars="100"/>
        <w:jc w:val="center"/>
        <w:rPr>
          <w:rFonts w:ascii="宋体" w:hAnsi="宋体" w:cs="宋体"/>
          <w:sz w:val="24"/>
          <w:highlight w:val="none"/>
        </w:rPr>
      </w:pPr>
      <w:r>
        <w:rPr>
          <w:rFonts w:hint="eastAsia" w:ascii="宋体" w:hAnsi="宋体" w:cs="宋体"/>
          <w:sz w:val="24"/>
          <w:highlight w:val="none"/>
        </w:rPr>
        <w:t>日期：      年    月    日</w:t>
      </w:r>
    </w:p>
    <w:p>
      <w:pPr>
        <w:spacing w:line="600" w:lineRule="exact"/>
        <w:jc w:val="center"/>
        <w:rPr>
          <w:rFonts w:ascii="宋体" w:hAnsi="宋体" w:cs="宋体"/>
          <w:sz w:val="28"/>
          <w:szCs w:val="28"/>
          <w:highlight w:val="none"/>
        </w:rPr>
      </w:pPr>
      <w:r>
        <w:rPr>
          <w:rFonts w:hint="eastAsia" w:ascii="宋体" w:hAnsi="宋体" w:cs="宋体"/>
          <w:sz w:val="28"/>
          <w:szCs w:val="28"/>
          <w:highlight w:val="none"/>
        </w:rPr>
        <w:br w:type="page"/>
      </w:r>
    </w:p>
    <w:p>
      <w:pPr>
        <w:spacing w:line="600" w:lineRule="exact"/>
        <w:rPr>
          <w:rFonts w:ascii="宋体" w:hAnsi="宋体" w:cs="宋体"/>
          <w:b/>
          <w:sz w:val="24"/>
          <w:highlight w:val="none"/>
        </w:rPr>
      </w:pPr>
      <w:r>
        <w:rPr>
          <w:rFonts w:hint="eastAsia" w:ascii="宋体" w:hAnsi="宋体" w:cs="宋体"/>
          <w:b/>
          <w:sz w:val="24"/>
          <w:highlight w:val="none"/>
        </w:rPr>
        <w:t>附表二</w:t>
      </w:r>
    </w:p>
    <w:p>
      <w:pPr>
        <w:spacing w:line="600" w:lineRule="exact"/>
        <w:ind w:firstLine="3855" w:firstLineChars="1200"/>
        <w:rPr>
          <w:rFonts w:ascii="宋体" w:hAnsi="宋体" w:cs="宋体"/>
          <w:sz w:val="24"/>
          <w:highlight w:val="none"/>
        </w:rPr>
      </w:pPr>
      <w:bookmarkStart w:id="550" w:name="_Toc15927_WPSOffice_Level1"/>
      <w:bookmarkStart w:id="551" w:name="_Toc4728_WPSOffice_Level1"/>
      <w:r>
        <w:rPr>
          <w:rFonts w:hint="eastAsia" w:ascii="宋体" w:hAnsi="宋体" w:cs="宋体"/>
          <w:b/>
          <w:sz w:val="32"/>
          <w:szCs w:val="32"/>
          <w:highlight w:val="none"/>
        </w:rPr>
        <w:t>符合性审查表</w:t>
      </w:r>
      <w:bookmarkEnd w:id="550"/>
      <w:bookmarkEnd w:id="551"/>
    </w:p>
    <w:p>
      <w:pPr>
        <w:pStyle w:val="8"/>
        <w:spacing w:after="5" w:line="362" w:lineRule="auto"/>
        <w:ind w:left="132" w:right="-314" w:hanging="131" w:hangingChars="47"/>
        <w:rPr>
          <w:sz w:val="28"/>
          <w:szCs w:val="28"/>
          <w:highlight w:val="none"/>
        </w:rPr>
      </w:pPr>
      <w:r>
        <w:rPr>
          <w:rFonts w:hint="eastAsia"/>
          <w:sz w:val="28"/>
          <w:szCs w:val="28"/>
          <w:highlight w:val="none"/>
        </w:rPr>
        <w:t>项目名称：</w:t>
      </w:r>
      <w:r>
        <w:rPr>
          <w:rFonts w:hint="eastAsia"/>
          <w:sz w:val="28"/>
          <w:szCs w:val="28"/>
          <w:highlight w:val="none"/>
          <w:u w:val="single"/>
        </w:rPr>
        <w:t>海口市美兰区乡镇环卫一体化项目</w:t>
      </w:r>
      <w:r>
        <w:rPr>
          <w:rFonts w:hint="eastAsia"/>
          <w:sz w:val="28"/>
          <w:szCs w:val="28"/>
          <w:highlight w:val="none"/>
        </w:rPr>
        <w:t xml:space="preserve">      </w:t>
      </w:r>
    </w:p>
    <w:p>
      <w:pPr>
        <w:spacing w:line="600" w:lineRule="exact"/>
        <w:rPr>
          <w:rFonts w:ascii="宋体" w:hAnsi="宋体" w:cs="宋体"/>
          <w:sz w:val="24"/>
          <w:highlight w:val="none"/>
          <w:u w:val="single"/>
        </w:rPr>
      </w:pPr>
      <w:r>
        <w:rPr>
          <w:rFonts w:hint="eastAsia" w:ascii="宋体" w:hAnsi="宋体" w:cs="宋体"/>
          <w:sz w:val="28"/>
          <w:szCs w:val="28"/>
          <w:highlight w:val="none"/>
        </w:rPr>
        <w:t>项目编号：</w:t>
      </w:r>
      <w:r>
        <w:rPr>
          <w:rStyle w:val="24"/>
          <w:rFonts w:hint="eastAsia" w:ascii="宋体" w:hAnsi="宋体" w:cs="宋体"/>
          <w:sz w:val="28"/>
          <w:szCs w:val="28"/>
          <w:highlight w:val="none"/>
          <w:u w:val="single"/>
        </w:rPr>
        <w:t>WDSZ2019003</w:t>
      </w:r>
      <w:r>
        <w:rPr>
          <w:rFonts w:hint="eastAsia" w:ascii="宋体" w:hAnsi="宋体" w:cs="宋体"/>
          <w:sz w:val="28"/>
          <w:szCs w:val="28"/>
          <w:highlight w:val="none"/>
          <w:u w:val="single"/>
        </w:rPr>
        <w:t xml:space="preserve"> </w:t>
      </w:r>
    </w:p>
    <w:tbl>
      <w:tblPr>
        <w:tblStyle w:val="16"/>
        <w:tblW w:w="93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3"/>
        <w:gridCol w:w="2257"/>
        <w:gridCol w:w="3552"/>
        <w:gridCol w:w="990"/>
        <w:gridCol w:w="975"/>
        <w:gridCol w:w="1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1" w:hRule="atLeast"/>
          <w:jc w:val="center"/>
        </w:trPr>
        <w:tc>
          <w:tcPr>
            <w:tcW w:w="573" w:type="dxa"/>
            <w:tcBorders>
              <w:top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r>
              <w:rPr>
                <w:rFonts w:hint="eastAsia" w:ascii="宋体" w:hAnsi="宋体" w:cs="宋体"/>
                <w:b/>
                <w:sz w:val="24"/>
                <w:highlight w:val="none"/>
              </w:rPr>
              <w:t>序号</w:t>
            </w:r>
          </w:p>
        </w:tc>
        <w:tc>
          <w:tcPr>
            <w:tcW w:w="2257"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r>
              <w:rPr>
                <w:rFonts w:hint="eastAsia" w:ascii="宋体" w:hAnsi="宋体" w:cs="宋体"/>
                <w:b/>
                <w:sz w:val="24"/>
                <w:highlight w:val="none"/>
              </w:rPr>
              <w:t>审查项目</w:t>
            </w:r>
          </w:p>
        </w:tc>
        <w:tc>
          <w:tcPr>
            <w:tcW w:w="355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r>
              <w:rPr>
                <w:rFonts w:hint="eastAsia" w:ascii="宋体" w:hAnsi="宋体" w:cs="宋体"/>
                <w:b/>
                <w:sz w:val="24"/>
                <w:highlight w:val="none"/>
              </w:rPr>
              <w:t>评议内容</w:t>
            </w:r>
            <w:r>
              <w:rPr>
                <w:rFonts w:hint="eastAsia" w:ascii="宋体" w:hAnsi="宋体" w:cs="宋体"/>
                <w:sz w:val="24"/>
                <w:highlight w:val="none"/>
              </w:rPr>
              <w:t>（无效投标认定条件）</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ind w:left="240" w:hanging="241" w:hangingChars="100"/>
              <w:rPr>
                <w:rFonts w:ascii="宋体" w:hAnsi="宋体" w:cs="宋体"/>
                <w:b/>
                <w:sz w:val="24"/>
                <w:highlight w:val="none"/>
              </w:rPr>
            </w:pPr>
            <w:r>
              <w:rPr>
                <w:rFonts w:hint="eastAsia" w:ascii="宋体" w:hAnsi="宋体" w:cs="宋体"/>
                <w:b/>
                <w:sz w:val="24"/>
                <w:highlight w:val="none"/>
              </w:rPr>
              <w:t>投标人1</w:t>
            </w:r>
          </w:p>
        </w:tc>
        <w:tc>
          <w:tcPr>
            <w:tcW w:w="975" w:type="dxa"/>
            <w:tcBorders>
              <w:top w:val="single" w:color="auto" w:sz="4" w:space="0"/>
              <w:left w:val="single" w:color="auto" w:sz="4" w:space="0"/>
              <w:bottom w:val="single" w:color="auto" w:sz="4" w:space="0"/>
              <w:right w:val="single" w:color="auto" w:sz="4" w:space="0"/>
            </w:tcBorders>
            <w:vAlign w:val="center"/>
          </w:tcPr>
          <w:p>
            <w:pPr>
              <w:spacing w:line="600" w:lineRule="exact"/>
              <w:ind w:left="240" w:hanging="241" w:hangingChars="100"/>
              <w:rPr>
                <w:rFonts w:ascii="宋体" w:hAnsi="宋体" w:cs="宋体"/>
                <w:b/>
                <w:sz w:val="24"/>
                <w:highlight w:val="none"/>
              </w:rPr>
            </w:pPr>
            <w:r>
              <w:rPr>
                <w:rFonts w:hint="eastAsia" w:ascii="宋体" w:hAnsi="宋体" w:cs="宋体"/>
                <w:b/>
                <w:sz w:val="24"/>
                <w:highlight w:val="none"/>
              </w:rPr>
              <w:t>投标人2</w:t>
            </w:r>
          </w:p>
        </w:tc>
        <w:tc>
          <w:tcPr>
            <w:tcW w:w="1033" w:type="dxa"/>
            <w:tcBorders>
              <w:top w:val="single" w:color="auto" w:sz="4" w:space="0"/>
              <w:left w:val="single" w:color="auto" w:sz="4" w:space="0"/>
              <w:bottom w:val="single" w:color="auto" w:sz="4" w:space="0"/>
            </w:tcBorders>
            <w:vAlign w:val="center"/>
          </w:tcPr>
          <w:p>
            <w:pPr>
              <w:spacing w:line="600" w:lineRule="exact"/>
              <w:ind w:left="240" w:hanging="241" w:hangingChars="100"/>
              <w:rPr>
                <w:rFonts w:ascii="宋体" w:hAnsi="宋体" w:cs="宋体"/>
                <w:b/>
                <w:sz w:val="24"/>
                <w:highlight w:val="none"/>
              </w:rPr>
            </w:pPr>
            <w:r>
              <w:rPr>
                <w:rFonts w:hint="eastAsia" w:ascii="宋体" w:hAnsi="宋体" w:cs="宋体"/>
                <w:b/>
                <w:sz w:val="24"/>
                <w:highlight w:val="none"/>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6" w:hRule="atLeast"/>
          <w:jc w:val="center"/>
        </w:trPr>
        <w:tc>
          <w:tcPr>
            <w:tcW w:w="573" w:type="dxa"/>
            <w:tcBorders>
              <w:top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1</w:t>
            </w:r>
          </w:p>
        </w:tc>
        <w:tc>
          <w:tcPr>
            <w:tcW w:w="22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投标文件的有效性、完整性</w:t>
            </w:r>
          </w:p>
        </w:tc>
        <w:tc>
          <w:tcPr>
            <w:tcW w:w="355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highlight w:val="none"/>
              </w:rPr>
            </w:pPr>
            <w:r>
              <w:rPr>
                <w:rFonts w:hint="eastAsia" w:ascii="宋体" w:hAnsi="宋体" w:cs="宋体"/>
                <w:sz w:val="24"/>
                <w:highlight w:val="none"/>
              </w:rPr>
              <w:t>是否符合招标文件中的式样和签署要求,且内容完整无缺漏</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1033" w:type="dxa"/>
            <w:tcBorders>
              <w:top w:val="single" w:color="auto" w:sz="4" w:space="0"/>
              <w:left w:val="single" w:color="auto" w:sz="4" w:space="0"/>
              <w:bottom w:val="single" w:color="auto" w:sz="4" w:space="0"/>
            </w:tcBorders>
            <w:vAlign w:val="center"/>
          </w:tcPr>
          <w:p>
            <w:pPr>
              <w:spacing w:line="600" w:lineRule="exact"/>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573" w:type="dxa"/>
            <w:tcBorders>
              <w:top w:val="single" w:color="auto" w:sz="4" w:space="0"/>
              <w:bottom w:val="single" w:color="auto" w:sz="4" w:space="0"/>
              <w:right w:val="single" w:color="auto" w:sz="4" w:space="0"/>
            </w:tcBorders>
            <w:vAlign w:val="center"/>
          </w:tcPr>
          <w:p>
            <w:pPr>
              <w:pStyle w:val="33"/>
              <w:spacing w:before="173"/>
              <w:ind w:left="107"/>
              <w:jc w:val="center"/>
              <w:rPr>
                <w:sz w:val="24"/>
                <w:highlight w:val="none"/>
                <w:lang w:val="en-US"/>
              </w:rPr>
            </w:pPr>
            <w:r>
              <w:rPr>
                <w:rFonts w:hint="eastAsia"/>
                <w:sz w:val="24"/>
                <w:highlight w:val="none"/>
                <w:lang w:val="en-US"/>
              </w:rPr>
              <w:t>2</w:t>
            </w:r>
          </w:p>
        </w:tc>
        <w:tc>
          <w:tcPr>
            <w:tcW w:w="2257" w:type="dxa"/>
            <w:tcBorders>
              <w:top w:val="single" w:color="auto" w:sz="4" w:space="0"/>
              <w:left w:val="single" w:color="auto" w:sz="4" w:space="0"/>
              <w:bottom w:val="single" w:color="auto" w:sz="4" w:space="0"/>
              <w:right w:val="single" w:color="auto" w:sz="4" w:space="0"/>
            </w:tcBorders>
            <w:vAlign w:val="center"/>
          </w:tcPr>
          <w:p>
            <w:pPr>
              <w:pStyle w:val="33"/>
              <w:spacing w:before="173"/>
              <w:ind w:left="107"/>
              <w:jc w:val="center"/>
              <w:rPr>
                <w:sz w:val="24"/>
                <w:highlight w:val="none"/>
              </w:rPr>
            </w:pPr>
            <w:r>
              <w:rPr>
                <w:rFonts w:hint="eastAsia"/>
                <w:sz w:val="24"/>
                <w:highlight w:val="none"/>
                <w:lang w:val="en-US"/>
              </w:rPr>
              <w:t>服务</w:t>
            </w:r>
            <w:r>
              <w:rPr>
                <w:rFonts w:hint="eastAsia"/>
                <w:sz w:val="24"/>
                <w:highlight w:val="none"/>
              </w:rPr>
              <w:t>周期</w:t>
            </w:r>
          </w:p>
        </w:tc>
        <w:tc>
          <w:tcPr>
            <w:tcW w:w="3552" w:type="dxa"/>
            <w:tcBorders>
              <w:top w:val="single" w:color="auto" w:sz="4" w:space="0"/>
              <w:left w:val="single" w:color="auto" w:sz="4" w:space="0"/>
              <w:bottom w:val="single" w:color="auto" w:sz="4" w:space="0"/>
              <w:right w:val="single" w:color="auto" w:sz="4" w:space="0"/>
            </w:tcBorders>
            <w:vAlign w:val="center"/>
          </w:tcPr>
          <w:p>
            <w:pPr>
              <w:pStyle w:val="33"/>
              <w:spacing w:before="173"/>
              <w:ind w:left="107"/>
              <w:rPr>
                <w:sz w:val="24"/>
                <w:highlight w:val="none"/>
              </w:rPr>
            </w:pPr>
            <w:r>
              <w:rPr>
                <w:rFonts w:hint="eastAsia"/>
                <w:sz w:val="24"/>
                <w:highlight w:val="none"/>
              </w:rPr>
              <w:t>是否满足招标文件要求</w:t>
            </w:r>
          </w:p>
        </w:tc>
        <w:tc>
          <w:tcPr>
            <w:tcW w:w="990" w:type="dxa"/>
            <w:tcBorders>
              <w:top w:val="single" w:color="auto" w:sz="4" w:space="0"/>
              <w:left w:val="single" w:color="auto" w:sz="4" w:space="0"/>
              <w:bottom w:val="single" w:color="auto" w:sz="4" w:space="0"/>
              <w:right w:val="single" w:color="auto" w:sz="4" w:space="0"/>
            </w:tcBorders>
          </w:tcPr>
          <w:p>
            <w:pPr>
              <w:pStyle w:val="33"/>
              <w:rPr>
                <w:b/>
                <w:sz w:val="24"/>
                <w:highlight w:val="none"/>
              </w:rPr>
            </w:pPr>
          </w:p>
        </w:tc>
        <w:tc>
          <w:tcPr>
            <w:tcW w:w="975" w:type="dxa"/>
            <w:tcBorders>
              <w:top w:val="single" w:color="auto" w:sz="4" w:space="0"/>
              <w:left w:val="single" w:color="auto" w:sz="4" w:space="0"/>
              <w:bottom w:val="single" w:color="auto" w:sz="4" w:space="0"/>
              <w:right w:val="single" w:color="auto" w:sz="4" w:space="0"/>
            </w:tcBorders>
          </w:tcPr>
          <w:p>
            <w:pPr>
              <w:pStyle w:val="33"/>
              <w:rPr>
                <w:b/>
                <w:sz w:val="24"/>
                <w:highlight w:val="none"/>
              </w:rPr>
            </w:pPr>
          </w:p>
        </w:tc>
        <w:tc>
          <w:tcPr>
            <w:tcW w:w="1033" w:type="dxa"/>
            <w:tcBorders>
              <w:top w:val="single" w:color="auto" w:sz="4" w:space="0"/>
              <w:left w:val="single" w:color="auto" w:sz="4" w:space="0"/>
              <w:bottom w:val="single" w:color="auto" w:sz="4" w:space="0"/>
            </w:tcBorders>
          </w:tcPr>
          <w:p>
            <w:pPr>
              <w:pStyle w:val="33"/>
              <w:rPr>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573" w:type="dxa"/>
            <w:tcBorders>
              <w:top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3</w:t>
            </w:r>
          </w:p>
        </w:tc>
        <w:tc>
          <w:tcPr>
            <w:tcW w:w="22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有效投标报价</w:t>
            </w:r>
          </w:p>
        </w:tc>
        <w:tc>
          <w:tcPr>
            <w:tcW w:w="355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highlight w:val="none"/>
              </w:rPr>
            </w:pPr>
            <w:r>
              <w:rPr>
                <w:rFonts w:hint="eastAsia" w:ascii="宋体" w:hAnsi="宋体" w:cs="宋体"/>
                <w:sz w:val="24"/>
                <w:highlight w:val="none"/>
              </w:rPr>
              <w:t>具有唯一性且不超过控制价</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1033" w:type="dxa"/>
            <w:tcBorders>
              <w:top w:val="single" w:color="auto" w:sz="4" w:space="0"/>
              <w:left w:val="single" w:color="auto" w:sz="4" w:space="0"/>
              <w:bottom w:val="single" w:color="auto" w:sz="4" w:space="0"/>
            </w:tcBorders>
            <w:vAlign w:val="center"/>
          </w:tcPr>
          <w:p>
            <w:pPr>
              <w:spacing w:line="600" w:lineRule="exact"/>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jc w:val="center"/>
        </w:trPr>
        <w:tc>
          <w:tcPr>
            <w:tcW w:w="573" w:type="dxa"/>
            <w:tcBorders>
              <w:top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4</w:t>
            </w:r>
          </w:p>
        </w:tc>
        <w:tc>
          <w:tcPr>
            <w:tcW w:w="2257"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cs="宋体"/>
                <w:sz w:val="24"/>
                <w:highlight w:val="none"/>
              </w:rPr>
            </w:pPr>
            <w:r>
              <w:rPr>
                <w:rFonts w:hint="eastAsia" w:ascii="宋体" w:hAnsi="宋体" w:cs="宋体"/>
                <w:sz w:val="24"/>
                <w:highlight w:val="none"/>
              </w:rPr>
              <w:t>其它</w:t>
            </w:r>
          </w:p>
        </w:tc>
        <w:tc>
          <w:tcPr>
            <w:tcW w:w="3552"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sz w:val="24"/>
                <w:highlight w:val="none"/>
              </w:rPr>
            </w:pPr>
            <w:r>
              <w:rPr>
                <w:rFonts w:hint="eastAsia" w:ascii="宋体" w:hAnsi="宋体" w:cs="宋体"/>
                <w:sz w:val="24"/>
                <w:highlight w:val="none"/>
              </w:rPr>
              <w:t>无其它符合招标文件中无效投标认定条件</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1033" w:type="dxa"/>
            <w:tcBorders>
              <w:top w:val="single" w:color="auto" w:sz="4" w:space="0"/>
              <w:left w:val="single" w:color="auto" w:sz="4" w:space="0"/>
              <w:bottom w:val="single" w:color="auto" w:sz="4" w:space="0"/>
            </w:tcBorders>
            <w:vAlign w:val="center"/>
          </w:tcPr>
          <w:p>
            <w:pPr>
              <w:spacing w:line="600" w:lineRule="exact"/>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6382" w:type="dxa"/>
            <w:gridSpan w:val="3"/>
            <w:tcBorders>
              <w:top w:val="single" w:color="auto" w:sz="4" w:space="0"/>
              <w:bottom w:val="single" w:color="auto" w:sz="4" w:space="0"/>
              <w:right w:val="single" w:color="auto" w:sz="4" w:space="0"/>
            </w:tcBorders>
            <w:vAlign w:val="center"/>
          </w:tcPr>
          <w:p>
            <w:pPr>
              <w:spacing w:line="600" w:lineRule="exact"/>
              <w:rPr>
                <w:rFonts w:ascii="宋体" w:hAnsi="宋体" w:cs="宋体"/>
                <w:sz w:val="24"/>
                <w:highlight w:val="none"/>
              </w:rPr>
            </w:pPr>
            <w:r>
              <w:rPr>
                <w:rFonts w:hint="eastAsia" w:ascii="宋体" w:hAnsi="宋体" w:cs="宋体"/>
                <w:b/>
                <w:sz w:val="24"/>
                <w:highlight w:val="none"/>
              </w:rPr>
              <w:t>结      论</w:t>
            </w:r>
          </w:p>
        </w:tc>
        <w:tc>
          <w:tcPr>
            <w:tcW w:w="990"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975"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宋体" w:hAnsi="宋体" w:cs="宋体"/>
                <w:b/>
                <w:sz w:val="24"/>
                <w:highlight w:val="none"/>
              </w:rPr>
            </w:pPr>
          </w:p>
        </w:tc>
        <w:tc>
          <w:tcPr>
            <w:tcW w:w="1033" w:type="dxa"/>
            <w:tcBorders>
              <w:top w:val="single" w:color="auto" w:sz="4" w:space="0"/>
              <w:left w:val="single" w:color="auto" w:sz="4" w:space="0"/>
              <w:bottom w:val="single" w:color="auto" w:sz="4" w:space="0"/>
            </w:tcBorders>
            <w:vAlign w:val="center"/>
          </w:tcPr>
          <w:p>
            <w:pPr>
              <w:spacing w:line="600" w:lineRule="exact"/>
              <w:rPr>
                <w:rFonts w:ascii="宋体" w:hAnsi="宋体" w:cs="宋体"/>
                <w:b/>
                <w:sz w:val="24"/>
                <w:highlight w:val="none"/>
              </w:rPr>
            </w:pPr>
          </w:p>
        </w:tc>
      </w:tr>
    </w:tbl>
    <w:p>
      <w:pPr>
        <w:rPr>
          <w:rFonts w:ascii="宋体" w:hAnsi="宋体" w:cs="宋体"/>
          <w:bCs/>
          <w:sz w:val="24"/>
          <w:highlight w:val="none"/>
        </w:rPr>
      </w:pPr>
      <w:r>
        <w:rPr>
          <w:rFonts w:hint="eastAsia" w:ascii="宋体" w:hAnsi="宋体" w:cs="宋体"/>
          <w:bCs/>
          <w:sz w:val="24"/>
          <w:highlight w:val="none"/>
        </w:rPr>
        <w:t>1、表中只需填写“√/通过”或“×/不通过”。</w:t>
      </w:r>
    </w:p>
    <w:p>
      <w:pPr>
        <w:rPr>
          <w:rFonts w:ascii="宋体" w:hAnsi="宋体" w:cs="宋体"/>
          <w:bCs/>
          <w:sz w:val="24"/>
          <w:highlight w:val="none"/>
        </w:rPr>
      </w:pPr>
      <w:r>
        <w:rPr>
          <w:rFonts w:hint="eastAsia" w:ascii="宋体" w:hAnsi="宋体" w:cs="宋体"/>
          <w:bCs/>
          <w:sz w:val="24"/>
          <w:highlight w:val="none"/>
        </w:rPr>
        <w:t>2、在结论中按“一项否决”的原则，只有全部是√/通过的，填写“合格”；只要其中有一项是×/不通过的，填写“不合格”。</w:t>
      </w:r>
    </w:p>
    <w:p>
      <w:pPr>
        <w:rPr>
          <w:rFonts w:ascii="宋体" w:hAnsi="宋体" w:cs="宋体"/>
          <w:bCs/>
          <w:sz w:val="24"/>
          <w:highlight w:val="none"/>
        </w:rPr>
      </w:pPr>
      <w:r>
        <w:rPr>
          <w:rFonts w:hint="eastAsia" w:ascii="宋体" w:hAnsi="宋体" w:cs="宋体"/>
          <w:bCs/>
          <w:sz w:val="24"/>
          <w:highlight w:val="none"/>
        </w:rPr>
        <w:t>3、结论是合格的，才能进入下一轮；不合格的被淘汰。</w:t>
      </w:r>
    </w:p>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评标委员会全体成员签名：</w:t>
      </w:r>
    </w:p>
    <w:p>
      <w:pPr>
        <w:ind w:firstLine="1920" w:firstLineChars="800"/>
        <w:rPr>
          <w:rFonts w:ascii="宋体" w:hAnsi="宋体" w:cs="宋体"/>
          <w:sz w:val="24"/>
          <w:highlight w:val="none"/>
        </w:rPr>
      </w:pPr>
    </w:p>
    <w:p>
      <w:pPr>
        <w:ind w:firstLine="1920" w:firstLineChars="800"/>
        <w:rPr>
          <w:rFonts w:ascii="宋体" w:hAnsi="宋体" w:cs="宋体"/>
          <w:sz w:val="24"/>
          <w:highlight w:val="none"/>
        </w:rPr>
      </w:pPr>
    </w:p>
    <w:p>
      <w:pPr>
        <w:ind w:firstLine="5040" w:firstLineChars="2100"/>
        <w:rPr>
          <w:rFonts w:ascii="宋体" w:hAnsi="宋体" w:cs="宋体"/>
          <w:sz w:val="24"/>
          <w:highlight w:val="none"/>
        </w:rPr>
      </w:pPr>
      <w:r>
        <w:rPr>
          <w:rFonts w:hint="eastAsia" w:ascii="宋体" w:hAnsi="宋体" w:cs="宋体"/>
          <w:sz w:val="24"/>
          <w:highlight w:val="none"/>
        </w:rPr>
        <w:t>日期：      年    月    日</w:t>
      </w:r>
    </w:p>
    <w:p>
      <w:pPr>
        <w:pStyle w:val="7"/>
        <w:rPr>
          <w:highlight w:val="none"/>
        </w:rPr>
        <w:sectPr>
          <w:pgSz w:w="11906" w:h="16838"/>
          <w:pgMar w:top="1440" w:right="1800" w:bottom="1440" w:left="1800" w:header="851" w:footer="992" w:gutter="0"/>
          <w:cols w:space="425" w:num="1"/>
          <w:docGrid w:type="lines" w:linePitch="312" w:charSpace="0"/>
        </w:sectPr>
      </w:pPr>
    </w:p>
    <w:p>
      <w:pPr>
        <w:widowControl/>
        <w:ind w:firstLine="420"/>
        <w:jc w:val="left"/>
        <w:rPr>
          <w:b/>
          <w:bCs/>
          <w:highlight w:val="none"/>
        </w:rPr>
      </w:pPr>
      <w:r>
        <w:rPr>
          <w:rFonts w:hint="eastAsia"/>
          <w:b/>
          <w:bCs/>
          <w:highlight w:val="none"/>
        </w:rPr>
        <w:t>附表三</w:t>
      </w:r>
    </w:p>
    <w:tbl>
      <w:tblPr>
        <w:tblStyle w:val="1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005"/>
        <w:gridCol w:w="885"/>
        <w:gridCol w:w="496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49" w:type="dxa"/>
            <w:vAlign w:val="center"/>
          </w:tcPr>
          <w:p>
            <w:pPr>
              <w:widowControl/>
              <w:adjustRightInd w:val="0"/>
              <w:snapToGrid w:val="0"/>
              <w:spacing w:line="240" w:lineRule="atLeast"/>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kern w:val="0"/>
                <w:sz w:val="24"/>
                <w:highlight w:val="none"/>
              </w:rPr>
              <w:t>指标类别</w:t>
            </w:r>
          </w:p>
        </w:tc>
        <w:tc>
          <w:tcPr>
            <w:tcW w:w="1005"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评分</w:t>
            </w:r>
          </w:p>
          <w:p>
            <w:pPr>
              <w:widowControl/>
              <w:adjustRightInd w:val="0"/>
              <w:snapToGrid w:val="0"/>
              <w:spacing w:line="240" w:lineRule="atLeas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kern w:val="0"/>
                <w:sz w:val="24"/>
                <w:highlight w:val="none"/>
              </w:rPr>
              <w:t>指标</w:t>
            </w:r>
          </w:p>
        </w:tc>
        <w:tc>
          <w:tcPr>
            <w:tcW w:w="885"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评价细项</w:t>
            </w:r>
          </w:p>
        </w:tc>
        <w:tc>
          <w:tcPr>
            <w:tcW w:w="4965" w:type="dxa"/>
            <w:vAlign w:val="center"/>
          </w:tcPr>
          <w:p>
            <w:pPr>
              <w:widowControl/>
              <w:adjustRightInd w:val="0"/>
              <w:snapToGrid w:val="0"/>
              <w:spacing w:line="240" w:lineRule="atLeast"/>
              <w:jc w:val="center"/>
              <w:rPr>
                <w:rFonts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b/>
                <w:bCs/>
                <w:kern w:val="0"/>
                <w:sz w:val="24"/>
                <w:highlight w:val="none"/>
              </w:rPr>
              <w:t>评分标准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满分值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849" w:type="dxa"/>
            <w:vMerge w:val="restart"/>
            <w:vAlign w:val="center"/>
          </w:tcPr>
          <w:p>
            <w:pPr>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商务分（45分）</w:t>
            </w:r>
          </w:p>
        </w:tc>
        <w:tc>
          <w:tcPr>
            <w:tcW w:w="1005" w:type="dxa"/>
            <w:vMerge w:val="restart"/>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企业资信情况（6分）</w:t>
            </w: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体系证书（3分）</w:t>
            </w:r>
          </w:p>
        </w:tc>
        <w:tc>
          <w:tcPr>
            <w:tcW w:w="4965" w:type="dxa"/>
            <w:vAlign w:val="center"/>
          </w:tcPr>
          <w:p>
            <w:pPr>
              <w:pStyle w:val="33"/>
              <w:spacing w:line="340" w:lineRule="exac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投标人具有质量体系认证证书、环境管理体系认证证书、职业健康安全管理体系认证证书，且证书中的认证范围包含与环卫服务相关的内容，三体系证书齐全的得</w:t>
            </w:r>
            <w:r>
              <w:rPr>
                <w:rFonts w:hint="eastAsia" w:asciiTheme="minorEastAsia" w:hAnsiTheme="minorEastAsia" w:eastAsiaTheme="minorEastAsia" w:cstheme="minorEastAsia"/>
                <w:sz w:val="24"/>
                <w:highlight w:val="none"/>
                <w:lang w:val="en-US"/>
              </w:rPr>
              <w:t>3</w:t>
            </w:r>
            <w:r>
              <w:rPr>
                <w:rFonts w:hint="eastAsia" w:asciiTheme="minorEastAsia" w:hAnsiTheme="minorEastAsia" w:eastAsiaTheme="minorEastAsia" w:cstheme="minorEastAsia"/>
                <w:sz w:val="24"/>
                <w:highlight w:val="none"/>
              </w:rPr>
              <w:t>分，每缺一项认证证书扣</w:t>
            </w:r>
            <w:r>
              <w:rPr>
                <w:rFonts w:hint="eastAsia" w:asciiTheme="minorEastAsia" w:hAnsiTheme="minorEastAsia" w:eastAsiaTheme="minorEastAsia" w:cstheme="minorEastAsia"/>
                <w:sz w:val="24"/>
                <w:highlight w:val="none"/>
                <w:lang w:val="en-US"/>
              </w:rPr>
              <w:t>1</w:t>
            </w:r>
            <w:r>
              <w:rPr>
                <w:rFonts w:hint="eastAsia" w:asciiTheme="minorEastAsia" w:hAnsiTheme="minorEastAsia" w:eastAsiaTheme="minorEastAsia" w:cstheme="minorEastAsia"/>
                <w:sz w:val="24"/>
                <w:highlight w:val="none"/>
              </w:rPr>
              <w:t>分。</w:t>
            </w:r>
          </w:p>
          <w:p>
            <w:pPr>
              <w:pStyle w:val="33"/>
              <w:spacing w:line="340" w:lineRule="exact"/>
              <w:jc w:val="lef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rPr>
              <w:t>【注：以上证书扫描件须装订在投标文件中，并提供</w:t>
            </w:r>
            <w:r>
              <w:rPr>
                <w:rFonts w:hint="eastAsia" w:asciiTheme="minorEastAsia" w:hAnsiTheme="minorEastAsia" w:eastAsiaTheme="minorEastAsia" w:cstheme="minorEastAsia"/>
                <w:b/>
                <w:sz w:val="24"/>
                <w:highlight w:val="none"/>
              </w:rPr>
              <w:t>原件</w:t>
            </w:r>
            <w:r>
              <w:rPr>
                <w:rFonts w:hint="eastAsia" w:asciiTheme="minorEastAsia" w:hAnsiTheme="minorEastAsia" w:eastAsiaTheme="minorEastAsia" w:cstheme="minorEastAsia"/>
                <w:b/>
                <w:sz w:val="24"/>
                <w:highlight w:val="none"/>
                <w:lang w:val="en-US"/>
              </w:rPr>
              <w:t>备查</w:t>
            </w:r>
            <w:r>
              <w:rPr>
                <w:rFonts w:hint="eastAsia" w:asciiTheme="minorEastAsia" w:hAnsiTheme="minorEastAsia" w:eastAsiaTheme="minorEastAsia" w:cstheme="minorEastAsia"/>
                <w:sz w:val="24"/>
                <w:highlight w:val="none"/>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5" w:hRule="atLeast"/>
        </w:trPr>
        <w:tc>
          <w:tcPr>
            <w:tcW w:w="849" w:type="dxa"/>
            <w:vMerge w:val="continue"/>
            <w:vAlign w:val="center"/>
          </w:tcPr>
          <w:p>
            <w:pPr>
              <w:widowControl/>
              <w:adjustRightInd w:val="0"/>
              <w:snapToGrid w:val="0"/>
              <w:spacing w:line="240" w:lineRule="atLeast"/>
              <w:jc w:val="center"/>
              <w:rPr>
                <w:rFonts w:asciiTheme="minorEastAsia" w:hAnsiTheme="minorEastAsia" w:eastAsiaTheme="minorEastAsia" w:cstheme="minorEastAsia"/>
                <w:highlight w:val="none"/>
              </w:rPr>
            </w:pPr>
          </w:p>
        </w:tc>
        <w:tc>
          <w:tcPr>
            <w:tcW w:w="1005" w:type="dxa"/>
            <w:vMerge w:val="continue"/>
            <w:vAlign w:val="center"/>
          </w:tcPr>
          <w:p>
            <w:pPr>
              <w:widowControl/>
              <w:adjustRightInd w:val="0"/>
              <w:snapToGrid w:val="0"/>
              <w:spacing w:line="240" w:lineRule="atLeast"/>
              <w:jc w:val="center"/>
              <w:rPr>
                <w:rFonts w:asciiTheme="minorEastAsia" w:hAnsiTheme="minorEastAsia" w:eastAsiaTheme="minorEastAsia" w:cstheme="minorEastAsia"/>
                <w:highlight w:val="none"/>
              </w:rPr>
            </w:pPr>
          </w:p>
        </w:tc>
        <w:tc>
          <w:tcPr>
            <w:tcW w:w="885" w:type="dxa"/>
            <w:vAlign w:val="center"/>
          </w:tcPr>
          <w:p>
            <w:pPr>
              <w:widowControl/>
              <w:adjustRightInd w:val="0"/>
              <w:snapToGrid w:val="0"/>
              <w:spacing w:line="240" w:lineRule="atLeas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信用等级（3分）</w:t>
            </w:r>
          </w:p>
        </w:tc>
        <w:tc>
          <w:tcPr>
            <w:tcW w:w="4965" w:type="dxa"/>
            <w:vAlign w:val="center"/>
          </w:tcPr>
          <w:p>
            <w:pPr>
              <w:widowControl/>
              <w:adjustRightInd w:val="0"/>
              <w:snapToGrid w:val="0"/>
              <w:spacing w:line="240" w:lineRule="atLeast"/>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企业信用等级达到3A的得3分；达到2A不足3A得2分；达到A不足2A的1分；A以下不得分。信用评价机构应具有国家发改委、中国人民银行、保监会、证监会或中国银行市场交易协会认可的从事信用评级业务资格，并提供信用评级机构资格证书复印件。【注：以上证明材料扫描件须装订在投标文件中，并提供</w:t>
            </w:r>
            <w:r>
              <w:rPr>
                <w:rFonts w:hint="eastAsia" w:asciiTheme="minorEastAsia" w:hAnsiTheme="minorEastAsia" w:eastAsiaTheme="minorEastAsia" w:cstheme="minorEastAsia"/>
                <w:b/>
                <w:sz w:val="24"/>
                <w:highlight w:val="none"/>
              </w:rPr>
              <w:t>原件备查</w:t>
            </w:r>
            <w:r>
              <w:rPr>
                <w:rFonts w:hint="eastAsia" w:asciiTheme="minorEastAsia" w:hAnsiTheme="minorEastAsia" w:eastAsiaTheme="minorEastAsia" w:cstheme="minorEastAsia"/>
                <w:sz w:val="24"/>
                <w:highlight w:val="none"/>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49" w:type="dxa"/>
            <w:vMerge w:val="continue"/>
            <w:vAlign w:val="center"/>
          </w:tcPr>
          <w:p>
            <w:pPr>
              <w:widowControl/>
              <w:snapToGrid w:val="0"/>
              <w:jc w:val="center"/>
              <w:rPr>
                <w:rFonts w:asciiTheme="minorEastAsia" w:hAnsiTheme="minorEastAsia" w:eastAsiaTheme="minorEastAsia" w:cstheme="minorEastAsia"/>
                <w:sz w:val="24"/>
                <w:highlight w:val="none"/>
              </w:rPr>
            </w:pPr>
          </w:p>
        </w:tc>
        <w:tc>
          <w:tcPr>
            <w:tcW w:w="100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企业荣誉（4分）</w:t>
            </w: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企业荣誉（4分）</w:t>
            </w:r>
          </w:p>
        </w:tc>
        <w:tc>
          <w:tcPr>
            <w:tcW w:w="4965" w:type="dxa"/>
            <w:vAlign w:val="center"/>
          </w:tcPr>
          <w:p>
            <w:pPr>
              <w:pStyle w:val="33"/>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投标人近三年（2016年1月1日以来）运营的环卫项目获得过国家级荣誉奖项（行政主管部门颁发）的得</w:t>
            </w:r>
            <w:r>
              <w:rPr>
                <w:rFonts w:hint="eastAsia" w:asciiTheme="minorEastAsia" w:hAnsiTheme="minorEastAsia" w:eastAsiaTheme="minorEastAsia" w:cstheme="minorEastAsia"/>
                <w:sz w:val="24"/>
                <w:highlight w:val="none"/>
                <w:lang w:val="en-US"/>
              </w:rPr>
              <w:t>4</w:t>
            </w:r>
            <w:r>
              <w:rPr>
                <w:rFonts w:hint="eastAsia" w:asciiTheme="minorEastAsia" w:hAnsiTheme="minorEastAsia" w:eastAsiaTheme="minorEastAsia" w:cstheme="minorEastAsia"/>
                <w:sz w:val="24"/>
                <w:highlight w:val="none"/>
              </w:rPr>
              <w:t>分；投标人近三年（2016年1月1日以来）运营的环卫项目获得过获得省级荣誉奖项（行政主管部门颁发）的，得</w:t>
            </w:r>
            <w:r>
              <w:rPr>
                <w:rFonts w:hint="eastAsia" w:asciiTheme="minorEastAsia" w:hAnsiTheme="minorEastAsia" w:eastAsiaTheme="minorEastAsia" w:cstheme="minorEastAsia"/>
                <w:sz w:val="24"/>
                <w:highlight w:val="none"/>
                <w:lang w:val="en-US"/>
              </w:rPr>
              <w:t>2</w:t>
            </w:r>
            <w:r>
              <w:rPr>
                <w:rFonts w:hint="eastAsia" w:asciiTheme="minorEastAsia" w:hAnsiTheme="minorEastAsia" w:eastAsiaTheme="minorEastAsia" w:cstheme="minorEastAsia"/>
                <w:sz w:val="24"/>
                <w:highlight w:val="none"/>
              </w:rPr>
              <w:t>分</w:t>
            </w:r>
            <w:r>
              <w:rPr>
                <w:rFonts w:hint="eastAsia" w:asciiTheme="minorEastAsia" w:hAnsiTheme="minorEastAsia" w:eastAsiaTheme="minorEastAsia" w:cstheme="minorEastAsia"/>
                <w:sz w:val="24"/>
                <w:highlight w:val="none"/>
                <w:lang w:val="en-US"/>
              </w:rPr>
              <w:t>；</w:t>
            </w:r>
            <w:r>
              <w:rPr>
                <w:rFonts w:hint="eastAsia" w:asciiTheme="minorEastAsia" w:hAnsiTheme="minorEastAsia" w:eastAsiaTheme="minorEastAsia" w:cstheme="minorEastAsia"/>
                <w:sz w:val="24"/>
                <w:highlight w:val="none"/>
              </w:rPr>
              <w:t>投标人近三年（2016年1月1日以来）运营的环卫项目获得过获得</w:t>
            </w:r>
            <w:r>
              <w:rPr>
                <w:rFonts w:hint="eastAsia" w:asciiTheme="minorEastAsia" w:hAnsiTheme="minorEastAsia" w:eastAsiaTheme="minorEastAsia" w:cstheme="minorEastAsia"/>
                <w:sz w:val="24"/>
                <w:highlight w:val="none"/>
                <w:lang w:val="en-US"/>
              </w:rPr>
              <w:t>市</w:t>
            </w:r>
            <w:r>
              <w:rPr>
                <w:rFonts w:hint="eastAsia" w:asciiTheme="minorEastAsia" w:hAnsiTheme="minorEastAsia" w:eastAsiaTheme="minorEastAsia" w:cstheme="minorEastAsia"/>
                <w:sz w:val="24"/>
                <w:highlight w:val="none"/>
              </w:rPr>
              <w:t>级荣誉奖项（行政主管部门颁发）的，得</w:t>
            </w:r>
            <w:r>
              <w:rPr>
                <w:rFonts w:hint="eastAsia" w:asciiTheme="minorEastAsia" w:hAnsiTheme="minorEastAsia" w:eastAsiaTheme="minorEastAsia" w:cstheme="minorEastAsia"/>
                <w:sz w:val="24"/>
                <w:highlight w:val="none"/>
                <w:lang w:val="en-US"/>
              </w:rPr>
              <w:t>1</w:t>
            </w:r>
            <w:r>
              <w:rPr>
                <w:rFonts w:hint="eastAsia" w:asciiTheme="minorEastAsia" w:hAnsiTheme="minorEastAsia" w:eastAsiaTheme="minorEastAsia" w:cstheme="minorEastAsia"/>
                <w:sz w:val="24"/>
                <w:highlight w:val="none"/>
              </w:rPr>
              <w:t>分。</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lang w:val="en-US"/>
              </w:rPr>
              <w:t>本项最高得4分。</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rPr>
              <w:t>【注：须</w:t>
            </w:r>
            <w:r>
              <w:rPr>
                <w:rFonts w:hint="eastAsia" w:asciiTheme="minorEastAsia" w:hAnsiTheme="minorEastAsia" w:eastAsiaTheme="minorEastAsia" w:cstheme="minorEastAsia"/>
                <w:sz w:val="24"/>
                <w:highlight w:val="none"/>
                <w:lang w:val="en-US"/>
              </w:rPr>
              <w:t>将相关证明文件</w:t>
            </w:r>
            <w:r>
              <w:rPr>
                <w:rFonts w:hint="eastAsia" w:asciiTheme="minorEastAsia" w:hAnsiTheme="minorEastAsia" w:eastAsiaTheme="minorEastAsia" w:cstheme="minorEastAsia"/>
                <w:sz w:val="24"/>
                <w:highlight w:val="none"/>
              </w:rPr>
              <w:t>扫描件装订在投标文件中，并提供</w:t>
            </w:r>
            <w:r>
              <w:rPr>
                <w:rFonts w:hint="eastAsia" w:asciiTheme="minorEastAsia" w:hAnsiTheme="minorEastAsia" w:eastAsiaTheme="minorEastAsia" w:cstheme="minorEastAsia"/>
                <w:b/>
                <w:sz w:val="24"/>
                <w:highlight w:val="none"/>
              </w:rPr>
              <w:t>原件</w:t>
            </w:r>
            <w:r>
              <w:rPr>
                <w:rFonts w:hint="eastAsia" w:asciiTheme="minorEastAsia" w:hAnsiTheme="minorEastAsia" w:eastAsiaTheme="minorEastAsia" w:cstheme="minorEastAsia"/>
                <w:b/>
                <w:sz w:val="24"/>
                <w:highlight w:val="none"/>
                <w:lang w:val="en-US"/>
              </w:rPr>
              <w:t>备查</w:t>
            </w:r>
            <w:r>
              <w:rPr>
                <w:rFonts w:hint="eastAsia" w:asciiTheme="minorEastAsia" w:hAnsiTheme="minorEastAsia" w:eastAsiaTheme="minorEastAsia" w:cstheme="minorEastAsia"/>
                <w:sz w:val="24"/>
                <w:highlight w:val="none"/>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49" w:type="dxa"/>
            <w:vMerge w:val="continue"/>
            <w:vAlign w:val="center"/>
          </w:tcPr>
          <w:p>
            <w:pPr>
              <w:widowControl/>
              <w:snapToGrid w:val="0"/>
              <w:jc w:val="center"/>
              <w:rPr>
                <w:rFonts w:asciiTheme="minorEastAsia" w:hAnsiTheme="minorEastAsia" w:eastAsiaTheme="minorEastAsia" w:cstheme="minorEastAsia"/>
                <w:sz w:val="24"/>
                <w:highlight w:val="none"/>
              </w:rPr>
            </w:pPr>
          </w:p>
        </w:tc>
        <w:tc>
          <w:tcPr>
            <w:tcW w:w="1005" w:type="dxa"/>
            <w:vMerge w:val="restart"/>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Cs/>
                <w:sz w:val="24"/>
                <w:highlight w:val="none"/>
              </w:rPr>
              <w:t>企业业绩</w:t>
            </w:r>
            <w:r>
              <w:rPr>
                <w:rFonts w:hint="eastAsia" w:asciiTheme="minorEastAsia" w:hAnsiTheme="minorEastAsia" w:eastAsiaTheme="minorEastAsia" w:cstheme="minorEastAsia"/>
                <w:sz w:val="24"/>
                <w:highlight w:val="none"/>
              </w:rPr>
              <w:t>（35分）</w:t>
            </w:r>
          </w:p>
        </w:tc>
        <w:tc>
          <w:tcPr>
            <w:tcW w:w="885"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类似项目业绩（24分）</w:t>
            </w:r>
          </w:p>
        </w:tc>
        <w:tc>
          <w:tcPr>
            <w:tcW w:w="4965" w:type="dxa"/>
            <w:vAlign w:val="center"/>
          </w:tcPr>
          <w:p>
            <w:pPr>
              <w:pStyle w:val="33"/>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投标人近三年（2016年1月1日以来）具有的类似环卫服务类项目业绩（服务内容包含清扫保洁、垃圾收运、公厕运维等内容）：</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rPr>
              <w:t>清扫保洁面积≥1000万平米，且垃圾收运量≥</w:t>
            </w:r>
            <w:r>
              <w:rPr>
                <w:rFonts w:hint="eastAsia" w:asciiTheme="minorEastAsia" w:hAnsiTheme="minorEastAsia" w:eastAsiaTheme="minorEastAsia" w:cstheme="minorEastAsia"/>
                <w:sz w:val="24"/>
                <w:highlight w:val="none"/>
                <w:lang w:val="en-US"/>
              </w:rPr>
              <w:t>25</w:t>
            </w:r>
            <w:r>
              <w:rPr>
                <w:rFonts w:hint="eastAsia" w:asciiTheme="minorEastAsia" w:hAnsiTheme="minorEastAsia" w:eastAsiaTheme="minorEastAsia" w:cstheme="minorEastAsia"/>
                <w:sz w:val="24"/>
                <w:highlight w:val="none"/>
              </w:rPr>
              <w:t>0吨/日，且公厕运维数量≥</w:t>
            </w:r>
            <w:r>
              <w:rPr>
                <w:rFonts w:hint="eastAsia" w:asciiTheme="minorEastAsia" w:hAnsiTheme="minorEastAsia" w:eastAsiaTheme="minorEastAsia" w:cstheme="minorEastAsia"/>
                <w:sz w:val="24"/>
                <w:highlight w:val="none"/>
                <w:lang w:val="en-US"/>
              </w:rPr>
              <w:t>10</w:t>
            </w:r>
            <w:r>
              <w:rPr>
                <w:rFonts w:hint="eastAsia" w:asciiTheme="minorEastAsia" w:hAnsiTheme="minorEastAsia" w:eastAsiaTheme="minorEastAsia" w:cstheme="minorEastAsia"/>
                <w:sz w:val="24"/>
                <w:highlight w:val="none"/>
              </w:rPr>
              <w:t>座，每提供一项得3分，</w:t>
            </w:r>
            <w:r>
              <w:rPr>
                <w:rFonts w:hint="eastAsia" w:asciiTheme="minorEastAsia" w:hAnsiTheme="minorEastAsia" w:eastAsiaTheme="minorEastAsia" w:cstheme="minorEastAsia"/>
                <w:sz w:val="24"/>
                <w:highlight w:val="none"/>
                <w:lang w:val="en-US"/>
              </w:rPr>
              <w:t>最多得24分。</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rPr>
              <w:t>【注：以上业绩须</w:t>
            </w:r>
            <w:r>
              <w:rPr>
                <w:rFonts w:hint="eastAsia" w:asciiTheme="minorEastAsia" w:hAnsiTheme="minorEastAsia" w:eastAsiaTheme="minorEastAsia" w:cstheme="minorEastAsia"/>
                <w:sz w:val="24"/>
                <w:highlight w:val="none"/>
                <w:lang w:val="en-US"/>
              </w:rPr>
              <w:t>将</w:t>
            </w:r>
            <w:r>
              <w:rPr>
                <w:rFonts w:hint="eastAsia" w:asciiTheme="minorEastAsia" w:hAnsiTheme="minorEastAsia" w:eastAsiaTheme="minorEastAsia" w:cstheme="minorEastAsia"/>
                <w:sz w:val="24"/>
                <w:highlight w:val="none"/>
              </w:rPr>
              <w:t>项目合同扫描件装订在投标文件中，并提供</w:t>
            </w:r>
            <w:r>
              <w:rPr>
                <w:rFonts w:hint="eastAsia" w:asciiTheme="minorEastAsia" w:hAnsiTheme="minorEastAsia" w:eastAsiaTheme="minorEastAsia" w:cstheme="minorEastAsia"/>
                <w:b/>
                <w:sz w:val="24"/>
                <w:highlight w:val="none"/>
              </w:rPr>
              <w:t>原件</w:t>
            </w:r>
            <w:r>
              <w:rPr>
                <w:rFonts w:hint="eastAsia" w:asciiTheme="minorEastAsia" w:hAnsiTheme="minorEastAsia" w:eastAsiaTheme="minorEastAsia" w:cstheme="minorEastAsia"/>
                <w:b/>
                <w:sz w:val="24"/>
                <w:highlight w:val="none"/>
                <w:lang w:val="en-US"/>
              </w:rPr>
              <w:t>备查</w:t>
            </w:r>
            <w:r>
              <w:rPr>
                <w:rFonts w:hint="eastAsia" w:asciiTheme="minorEastAsia" w:hAnsiTheme="minorEastAsia" w:eastAsiaTheme="minorEastAsia" w:cstheme="minorEastAsia"/>
                <w:sz w:val="24"/>
                <w:highlight w:val="none"/>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49" w:type="dxa"/>
            <w:vMerge w:val="continue"/>
            <w:vAlign w:val="center"/>
          </w:tcPr>
          <w:p>
            <w:pPr>
              <w:pStyle w:val="33"/>
              <w:spacing w:line="340" w:lineRule="exact"/>
              <w:rPr>
                <w:rFonts w:asciiTheme="minorEastAsia" w:hAnsiTheme="minorEastAsia" w:eastAsiaTheme="minorEastAsia" w:cstheme="minorEastAsia"/>
                <w:highlight w:val="none"/>
              </w:rPr>
            </w:pPr>
          </w:p>
        </w:tc>
        <w:tc>
          <w:tcPr>
            <w:tcW w:w="1005" w:type="dxa"/>
            <w:vMerge w:val="continue"/>
            <w:vAlign w:val="center"/>
          </w:tcPr>
          <w:p>
            <w:pPr>
              <w:pStyle w:val="33"/>
              <w:spacing w:line="340" w:lineRule="exact"/>
              <w:rPr>
                <w:rFonts w:asciiTheme="minorEastAsia" w:hAnsiTheme="minorEastAsia" w:eastAsiaTheme="minorEastAsia" w:cstheme="minorEastAsia"/>
                <w:highlight w:val="none"/>
              </w:rPr>
            </w:pPr>
          </w:p>
        </w:tc>
        <w:tc>
          <w:tcPr>
            <w:tcW w:w="885"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乡镇项目业绩（8分）</w:t>
            </w:r>
          </w:p>
        </w:tc>
        <w:tc>
          <w:tcPr>
            <w:tcW w:w="4965" w:type="dxa"/>
            <w:vAlign w:val="center"/>
          </w:tcPr>
          <w:p>
            <w:pPr>
              <w:pStyle w:val="33"/>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投标人近三年（2016年1月1日以来）具有</w:t>
            </w:r>
            <w:r>
              <w:rPr>
                <w:rFonts w:hint="eastAsia" w:asciiTheme="minorEastAsia" w:hAnsiTheme="minorEastAsia" w:eastAsiaTheme="minorEastAsia" w:cstheme="minorEastAsia"/>
                <w:sz w:val="24"/>
                <w:highlight w:val="none"/>
                <w:lang w:val="en-US"/>
              </w:rPr>
              <w:t>乡镇</w:t>
            </w:r>
            <w:r>
              <w:rPr>
                <w:rFonts w:hint="eastAsia" w:asciiTheme="minorEastAsia" w:hAnsiTheme="minorEastAsia" w:eastAsiaTheme="minorEastAsia" w:cstheme="minorEastAsia"/>
                <w:sz w:val="24"/>
                <w:highlight w:val="none"/>
              </w:rPr>
              <w:t>环卫</w:t>
            </w:r>
            <w:r>
              <w:rPr>
                <w:rFonts w:hint="eastAsia" w:asciiTheme="minorEastAsia" w:hAnsiTheme="minorEastAsia" w:eastAsiaTheme="minorEastAsia" w:cstheme="minorEastAsia"/>
                <w:sz w:val="24"/>
                <w:highlight w:val="none"/>
                <w:lang w:val="en-US"/>
              </w:rPr>
              <w:t>清扫保洁</w:t>
            </w:r>
            <w:r>
              <w:rPr>
                <w:rFonts w:hint="eastAsia" w:asciiTheme="minorEastAsia" w:hAnsiTheme="minorEastAsia" w:eastAsiaTheme="minorEastAsia" w:cstheme="minorEastAsia"/>
                <w:sz w:val="24"/>
                <w:highlight w:val="none"/>
              </w:rPr>
              <w:t>项目业绩（指服务内容包含乡镇或农村环卫服务），每提供一项得1分，最多得</w:t>
            </w:r>
            <w:r>
              <w:rPr>
                <w:rFonts w:hint="eastAsia" w:asciiTheme="minorEastAsia" w:hAnsiTheme="minorEastAsia" w:eastAsiaTheme="minorEastAsia" w:cstheme="minorEastAsia"/>
                <w:sz w:val="24"/>
                <w:highlight w:val="none"/>
                <w:lang w:val="en-US"/>
              </w:rPr>
              <w:t>8</w:t>
            </w:r>
            <w:r>
              <w:rPr>
                <w:rFonts w:hint="eastAsia" w:asciiTheme="minorEastAsia" w:hAnsiTheme="minorEastAsia" w:eastAsiaTheme="minorEastAsia" w:cstheme="minorEastAsia"/>
                <w:sz w:val="24"/>
                <w:highlight w:val="none"/>
              </w:rPr>
              <w:t>分。</w:t>
            </w:r>
          </w:p>
          <w:p>
            <w:pPr>
              <w:pStyle w:val="33"/>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【注：</w:t>
            </w:r>
            <w:r>
              <w:rPr>
                <w:rFonts w:hint="eastAsia" w:asciiTheme="minorEastAsia" w:hAnsiTheme="minorEastAsia" w:eastAsiaTheme="minorEastAsia" w:cstheme="minorEastAsia"/>
                <w:sz w:val="24"/>
                <w:highlight w:val="none"/>
                <w:lang w:val="en-US"/>
              </w:rPr>
              <w:t>本项</w:t>
            </w:r>
            <w:r>
              <w:rPr>
                <w:rFonts w:hint="eastAsia" w:asciiTheme="minorEastAsia" w:hAnsiTheme="minorEastAsia" w:eastAsiaTheme="minorEastAsia" w:cstheme="minorEastAsia"/>
                <w:sz w:val="24"/>
                <w:highlight w:val="none"/>
              </w:rPr>
              <w:t>业绩</w:t>
            </w:r>
            <w:r>
              <w:rPr>
                <w:rFonts w:hint="eastAsia" w:asciiTheme="minorEastAsia" w:hAnsiTheme="minorEastAsia" w:eastAsiaTheme="minorEastAsia" w:cstheme="minorEastAsia"/>
                <w:sz w:val="24"/>
                <w:highlight w:val="none"/>
                <w:lang w:val="en-US"/>
              </w:rPr>
              <w:t>可与《类似项目业绩》中的业绩重复计算，</w:t>
            </w:r>
            <w:r>
              <w:rPr>
                <w:rFonts w:hint="eastAsia" w:asciiTheme="minorEastAsia" w:hAnsiTheme="minorEastAsia" w:eastAsiaTheme="minorEastAsia" w:cstheme="minorEastAsia"/>
                <w:sz w:val="24"/>
                <w:highlight w:val="none"/>
              </w:rPr>
              <w:t>须</w:t>
            </w:r>
            <w:r>
              <w:rPr>
                <w:rFonts w:hint="eastAsia" w:asciiTheme="minorEastAsia" w:hAnsiTheme="minorEastAsia" w:eastAsiaTheme="minorEastAsia" w:cstheme="minorEastAsia"/>
                <w:sz w:val="24"/>
                <w:highlight w:val="none"/>
                <w:lang w:val="en-US"/>
              </w:rPr>
              <w:t>将</w:t>
            </w:r>
            <w:r>
              <w:rPr>
                <w:rFonts w:hint="eastAsia" w:asciiTheme="minorEastAsia" w:hAnsiTheme="minorEastAsia" w:eastAsiaTheme="minorEastAsia" w:cstheme="minorEastAsia"/>
                <w:sz w:val="24"/>
                <w:highlight w:val="none"/>
              </w:rPr>
              <w:t>项目合同扫描件装订在投标文件中，并提供</w:t>
            </w:r>
            <w:r>
              <w:rPr>
                <w:rFonts w:hint="eastAsia" w:asciiTheme="minorEastAsia" w:hAnsiTheme="minorEastAsia" w:eastAsiaTheme="minorEastAsia" w:cstheme="minorEastAsia"/>
                <w:b/>
                <w:sz w:val="24"/>
                <w:highlight w:val="none"/>
              </w:rPr>
              <w:t>原件</w:t>
            </w:r>
            <w:r>
              <w:rPr>
                <w:rFonts w:hint="eastAsia" w:asciiTheme="minorEastAsia" w:hAnsiTheme="minorEastAsia" w:eastAsiaTheme="minorEastAsia" w:cstheme="minorEastAsia"/>
                <w:b/>
                <w:sz w:val="24"/>
                <w:highlight w:val="none"/>
                <w:lang w:val="en-US"/>
              </w:rPr>
              <w:t>备查</w:t>
            </w:r>
            <w:r>
              <w:rPr>
                <w:rFonts w:hint="eastAsia" w:asciiTheme="minorEastAsia" w:hAnsiTheme="minorEastAsia" w:eastAsiaTheme="minorEastAsia" w:cstheme="minorEastAsia"/>
                <w:sz w:val="24"/>
                <w:highlight w:val="none"/>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849" w:type="dxa"/>
            <w:vMerge w:val="continue"/>
            <w:vAlign w:val="center"/>
          </w:tcPr>
          <w:p>
            <w:pPr>
              <w:pStyle w:val="33"/>
              <w:spacing w:line="340" w:lineRule="exact"/>
              <w:rPr>
                <w:rFonts w:asciiTheme="minorEastAsia" w:hAnsiTheme="minorEastAsia" w:eastAsiaTheme="minorEastAsia" w:cstheme="minorEastAsia"/>
                <w:highlight w:val="none"/>
              </w:rPr>
            </w:pPr>
          </w:p>
        </w:tc>
        <w:tc>
          <w:tcPr>
            <w:tcW w:w="1005" w:type="dxa"/>
            <w:vMerge w:val="continue"/>
            <w:vAlign w:val="center"/>
          </w:tcPr>
          <w:p>
            <w:pPr>
              <w:pStyle w:val="33"/>
              <w:spacing w:line="340" w:lineRule="exact"/>
              <w:rPr>
                <w:rFonts w:asciiTheme="minorEastAsia" w:hAnsiTheme="minorEastAsia" w:eastAsiaTheme="minorEastAsia" w:cstheme="minorEastAsia"/>
                <w:highlight w:val="none"/>
              </w:rPr>
            </w:pPr>
          </w:p>
        </w:tc>
        <w:tc>
          <w:tcPr>
            <w:tcW w:w="885" w:type="dxa"/>
            <w:vAlign w:val="center"/>
          </w:tcPr>
          <w:p>
            <w:pPr>
              <w:spacing w:line="340" w:lineRule="exact"/>
              <w:jc w:val="center"/>
              <w:rPr>
                <w:rFonts w:asciiTheme="minorEastAsia" w:hAnsiTheme="minorEastAsia" w:eastAsiaTheme="minorEastAsia" w:cstheme="minorEastAsia"/>
                <w:bCs/>
                <w:sz w:val="24"/>
                <w:highlight w:val="none"/>
              </w:rPr>
            </w:pPr>
            <w:r>
              <w:rPr>
                <w:rFonts w:hint="eastAsia" w:asciiTheme="minorEastAsia" w:hAnsiTheme="minorEastAsia" w:eastAsiaTheme="minorEastAsia" w:cstheme="minorEastAsia"/>
                <w:bCs/>
                <w:sz w:val="24"/>
                <w:highlight w:val="none"/>
              </w:rPr>
              <w:t>垃圾分类项目业绩（3分）</w:t>
            </w:r>
          </w:p>
        </w:tc>
        <w:tc>
          <w:tcPr>
            <w:tcW w:w="4965" w:type="dxa"/>
            <w:vAlign w:val="center"/>
          </w:tcPr>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lang w:val="en-US"/>
              </w:rPr>
              <w:t>投标人近三年（2016年1月1日以来）具有生活垃圾分类的专业化运营项目业绩，每提供1个得1分，最多得3分。</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lang w:val="en-US"/>
              </w:rPr>
              <w:t>【注：以上业绩须将项目合同扫描件装订在投标文件中，并提供</w:t>
            </w:r>
            <w:r>
              <w:rPr>
                <w:rFonts w:hint="eastAsia" w:asciiTheme="minorEastAsia" w:hAnsiTheme="minorEastAsia" w:eastAsiaTheme="minorEastAsia" w:cstheme="minorEastAsia"/>
                <w:b/>
                <w:bCs/>
                <w:sz w:val="24"/>
                <w:highlight w:val="none"/>
                <w:lang w:val="en-US"/>
              </w:rPr>
              <w:t>原件备查</w:t>
            </w:r>
            <w:r>
              <w:rPr>
                <w:rFonts w:hint="eastAsia" w:asciiTheme="minorEastAsia" w:hAnsiTheme="minorEastAsia" w:eastAsiaTheme="minorEastAsia" w:cstheme="minorEastAsia"/>
                <w:sz w:val="24"/>
                <w:highlight w:val="none"/>
                <w:lang w:val="en-US"/>
              </w:rPr>
              <w:t>】</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restart"/>
            <w:vAlign w:val="center"/>
          </w:tcPr>
          <w:p>
            <w:pPr>
              <w:snapToGrid w:val="0"/>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技术分</w:t>
            </w:r>
          </w:p>
          <w:p>
            <w:pPr>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（40）</w:t>
            </w:r>
          </w:p>
        </w:tc>
        <w:tc>
          <w:tcPr>
            <w:tcW w:w="100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服务整体方案（10分）</w:t>
            </w: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整体服务方案（10分）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方案制定合理,符合美兰区的实际情况,服务方案科学合理且操作性强,管理制度齐全。</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方案优的得10分；方案良的得5分；方案一般的得2分；差的或没有方案不得分。</w:t>
            </w:r>
          </w:p>
        </w:tc>
        <w:tc>
          <w:tcPr>
            <w:tcW w:w="819" w:type="dxa"/>
            <w:vAlign w:val="center"/>
          </w:tcPr>
          <w:p>
            <w:pPr>
              <w:pStyle w:val="33"/>
              <w:snapToGrid w:val="0"/>
              <w:spacing w:before="43"/>
              <w:jc w:val="center"/>
              <w:rPr>
                <w:rFonts w:asciiTheme="minorEastAsia" w:hAnsiTheme="minorEastAsia" w:eastAsiaTheme="minorEastAsia" w:cstheme="minorEastAsia"/>
                <w:b/>
                <w:bCs/>
                <w:kern w:val="0"/>
                <w:sz w:val="24"/>
                <w:highlight w:val="none"/>
                <w:lang w:val="en-US" w:bidi="ar-SA"/>
              </w:rPr>
            </w:pPr>
            <w:r>
              <w:rPr>
                <w:rFonts w:hint="eastAsia" w:asciiTheme="minorEastAsia" w:hAnsiTheme="minorEastAsia" w:eastAsiaTheme="minorEastAsia" w:cstheme="minorEastAsia"/>
                <w:b/>
                <w:bCs/>
                <w:kern w:val="0"/>
                <w:sz w:val="24"/>
                <w:highlight w:val="none"/>
                <w:lang w:val="en-US" w:bidi="ar-S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Merge w:val="restart"/>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人员设备配置方案(10分)</w:t>
            </w: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车辆设备配置方案(5分)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投标人拟投入本项目的车辆设备配置情况,鼓励使用先进工艺和作业方法,根据投标人提供的车辆设备配置、其他环卫设备的配置方案综合评比。</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方案优的得5分；方案良的得3分；方案一般的得1分；差或没有方案不得分。</w:t>
            </w:r>
          </w:p>
        </w:tc>
        <w:tc>
          <w:tcPr>
            <w:tcW w:w="819" w:type="dxa"/>
            <w:vAlign w:val="center"/>
          </w:tcPr>
          <w:p>
            <w:pPr>
              <w:pStyle w:val="33"/>
              <w:snapToGrid w:val="0"/>
              <w:spacing w:before="43"/>
              <w:jc w:val="center"/>
              <w:rPr>
                <w:rFonts w:asciiTheme="minorEastAsia" w:hAnsiTheme="minorEastAsia" w:eastAsiaTheme="minorEastAsia" w:cstheme="minorEastAsia"/>
                <w:b/>
                <w:bCs/>
                <w:kern w:val="0"/>
                <w:sz w:val="24"/>
                <w:highlight w:val="none"/>
                <w:lang w:val="en-US" w:bidi="ar-SA"/>
              </w:rPr>
            </w:pPr>
            <w:r>
              <w:rPr>
                <w:rFonts w:hint="eastAsia" w:asciiTheme="minorEastAsia" w:hAnsiTheme="minorEastAsia" w:eastAsiaTheme="minorEastAsia" w:cstheme="minorEastAsia"/>
                <w:b/>
                <w:bCs/>
                <w:kern w:val="0"/>
                <w:sz w:val="24"/>
                <w:highlight w:val="none"/>
                <w:lang w:val="en-US"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Merge w:val="continue"/>
            <w:vAlign w:val="center"/>
          </w:tcPr>
          <w:p>
            <w:pPr>
              <w:spacing w:line="340" w:lineRule="exact"/>
              <w:jc w:val="center"/>
              <w:rPr>
                <w:rFonts w:asciiTheme="minorEastAsia" w:hAnsiTheme="minorEastAsia" w:eastAsiaTheme="minorEastAsia" w:cstheme="minorEastAsia"/>
                <w:sz w:val="24"/>
                <w:highlight w:val="none"/>
              </w:rPr>
            </w:pP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人员配置方案(5分)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从投标人拟投入本项目的管理人员和服务人员的配置情况，班次安排情况等方面综合评比后分优、良、一般三个档次。</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方案优的得5分；方案良的得3分；方案一般的得1分；没有方案不得分。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Merge w:val="restart"/>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运营管理方案（15分）</w:t>
            </w: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智能化管理方案5分)</w:t>
            </w:r>
          </w:p>
        </w:tc>
        <w:tc>
          <w:tcPr>
            <w:tcW w:w="4965" w:type="dxa"/>
            <w:vAlign w:val="center"/>
          </w:tcPr>
          <w:p>
            <w:pP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投标人应制定智能化管理方案，将业务管理与信息化技术完美融合。</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方案优的得5分；方案良的得3分；方案一般的得1分，差或没有方案的不得分。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Merge w:val="continue"/>
            <w:vAlign w:val="center"/>
          </w:tcPr>
          <w:p>
            <w:pPr>
              <w:spacing w:line="340" w:lineRule="exact"/>
              <w:jc w:val="center"/>
              <w:rPr>
                <w:rFonts w:asciiTheme="minorEastAsia" w:hAnsiTheme="minorEastAsia" w:eastAsiaTheme="minorEastAsia" w:cstheme="minorEastAsia"/>
                <w:sz w:val="24"/>
                <w:highlight w:val="none"/>
              </w:rPr>
            </w:pP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应急保障方案（5分）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投标人提供应急保障方案，针对突发事件制定合理、有效的应急预案和措施。</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方案优的得5分，方案良的得3分，方案一般的得1分，差的或没有方案不得分。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Merge w:val="continue"/>
            <w:vAlign w:val="center"/>
          </w:tcPr>
          <w:p>
            <w:pPr>
              <w:spacing w:line="340" w:lineRule="exact"/>
              <w:jc w:val="center"/>
              <w:rPr>
                <w:rFonts w:asciiTheme="minorEastAsia" w:hAnsiTheme="minorEastAsia" w:eastAsiaTheme="minorEastAsia" w:cstheme="minorEastAsia"/>
                <w:sz w:val="24"/>
                <w:highlight w:val="none"/>
              </w:rPr>
            </w:pPr>
          </w:p>
        </w:tc>
        <w:tc>
          <w:tcPr>
            <w:tcW w:w="885" w:type="dxa"/>
            <w:vAlign w:val="center"/>
          </w:tcPr>
          <w:p>
            <w:pPr>
              <w:spacing w:line="340" w:lineRule="exact"/>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项目质量的保障措施及服务承诺（5分）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项目质量的保障措施合理、可行、科学,符合本项目需求,制定了安全措施和文明作业的服务承诺以及处罚制度等。</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方案优的得5分,方案良的得3分,方案一般的得1分,差或没有方案不得分。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849" w:type="dxa"/>
            <w:vMerge w:val="continue"/>
            <w:vAlign w:val="center"/>
          </w:tcPr>
          <w:p>
            <w:pPr>
              <w:snapToGrid w:val="0"/>
              <w:jc w:val="center"/>
              <w:rPr>
                <w:rFonts w:asciiTheme="minorEastAsia" w:hAnsiTheme="minorEastAsia" w:eastAsiaTheme="minorEastAsia" w:cstheme="minorEastAsia"/>
                <w:sz w:val="24"/>
                <w:highlight w:val="none"/>
              </w:rPr>
            </w:pPr>
          </w:p>
        </w:tc>
        <w:tc>
          <w:tcPr>
            <w:tcW w:w="1005" w:type="dxa"/>
            <w:vAlign w:val="center"/>
          </w:tcPr>
          <w:p>
            <w:pPr>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垃圾分类实施方案（5分）</w:t>
            </w:r>
          </w:p>
        </w:tc>
        <w:tc>
          <w:tcPr>
            <w:tcW w:w="885" w:type="dxa"/>
            <w:vAlign w:val="center"/>
          </w:tcPr>
          <w:p>
            <w:pPr>
              <w:snapToGrid w:val="0"/>
              <w:jc w:val="center"/>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垃圾分类实施方案（5分）</w:t>
            </w:r>
          </w:p>
        </w:tc>
        <w:tc>
          <w:tcPr>
            <w:tcW w:w="4965" w:type="dxa"/>
            <w:vAlign w:val="center"/>
          </w:tcPr>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投标人提供的垃圾分类实施方案科学、合理、有效、可行的。</w:t>
            </w:r>
          </w:p>
          <w:p>
            <w:pPr>
              <w:spacing w:line="340" w:lineRule="exac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方案优的得5分，方案良的得3分，方案一般的得1分，差的或没有方案不得分。</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kern w:val="0"/>
                <w:sz w:val="24"/>
                <w:highlight w:val="none"/>
              </w:rPr>
            </w:pPr>
            <w:r>
              <w:rPr>
                <w:rFonts w:hint="eastAsia" w:asciiTheme="minorEastAsia" w:hAnsiTheme="minorEastAsia" w:eastAsiaTheme="minorEastAsia" w:cstheme="minorEastAsia"/>
                <w:b/>
                <w:bCs/>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9" w:type="dxa"/>
            <w:vAlign w:val="center"/>
          </w:tcPr>
          <w:p>
            <w:pPr>
              <w:snapToGrid w:val="0"/>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报价</w:t>
            </w:r>
          </w:p>
          <w:p>
            <w:pPr>
              <w:snapToGrid w:val="0"/>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rPr>
              <w:t>（15）</w:t>
            </w:r>
          </w:p>
        </w:tc>
        <w:tc>
          <w:tcPr>
            <w:tcW w:w="1005" w:type="dxa"/>
            <w:vAlign w:val="center"/>
          </w:tcPr>
          <w:p>
            <w:pPr>
              <w:snapToGrid w:val="0"/>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Cs/>
                <w:sz w:val="24"/>
                <w:highlight w:val="none"/>
              </w:rPr>
              <w:t>价格分（15分）</w:t>
            </w:r>
          </w:p>
        </w:tc>
        <w:tc>
          <w:tcPr>
            <w:tcW w:w="885" w:type="dxa"/>
            <w:vAlign w:val="center"/>
          </w:tcPr>
          <w:p>
            <w:pPr>
              <w:snapToGrid w:val="0"/>
              <w:jc w:val="center"/>
              <w:rPr>
                <w:rFonts w:asciiTheme="minorEastAsia" w:hAnsiTheme="minorEastAsia" w:eastAsiaTheme="minorEastAsia" w:cstheme="minorEastAsia"/>
                <w:bCs/>
                <w:sz w:val="24"/>
                <w:highlight w:val="none"/>
              </w:rPr>
            </w:pPr>
          </w:p>
        </w:tc>
        <w:tc>
          <w:tcPr>
            <w:tcW w:w="4965" w:type="dxa"/>
            <w:vAlign w:val="center"/>
          </w:tcPr>
          <w:p>
            <w:pPr>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（1）各投标人不超过环卫服务费各项单价和总价投标最高限价的投标报价为有效报价。</w:t>
            </w:r>
          </w:p>
          <w:p>
            <w:pPr>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（2）有效报价中价格最低的环卫服务费总价投标报价为评标基准价，其价格分为满分100分。其他投标人的价格分统一按照下列公式计算：</w:t>
            </w:r>
          </w:p>
          <w:p>
            <w:pPr>
              <w:jc w:val="left"/>
              <w:rPr>
                <w:rFonts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投标报价得分=(评标基准价／投标报价)×100</w:t>
            </w:r>
          </w:p>
          <w:p>
            <w:pPr>
              <w:pStyle w:val="33"/>
              <w:spacing w:line="340" w:lineRule="exact"/>
              <w:rPr>
                <w:rFonts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rPr>
              <w:t>（小数点后保留二位小数，第三位四舍五入）。</w:t>
            </w:r>
          </w:p>
        </w:tc>
        <w:tc>
          <w:tcPr>
            <w:tcW w:w="819" w:type="dxa"/>
            <w:vAlign w:val="center"/>
          </w:tcPr>
          <w:p>
            <w:pPr>
              <w:widowControl/>
              <w:adjustRightInd w:val="0"/>
              <w:snapToGrid w:val="0"/>
              <w:spacing w:line="240" w:lineRule="atLeast"/>
              <w:jc w:val="center"/>
              <w:rPr>
                <w:rFonts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kern w:val="0"/>
                <w:sz w:val="24"/>
                <w:highlight w:val="none"/>
              </w:rPr>
              <w:t>15</w:t>
            </w:r>
          </w:p>
        </w:tc>
      </w:tr>
    </w:tbl>
    <w:p>
      <w:pPr>
        <w:pStyle w:val="7"/>
        <w:rPr>
          <w:highlight w:val="none"/>
        </w:rPr>
      </w:pPr>
    </w:p>
    <w:p>
      <w:pPr>
        <w:pStyle w:val="7"/>
        <w:rPr>
          <w:rFonts w:ascii="宋体" w:hAnsi="宋体" w:cs="宋体"/>
          <w:highlight w:val="none"/>
        </w:rPr>
        <w:sectPr>
          <w:pgSz w:w="11906" w:h="16838"/>
          <w:pgMar w:top="1440" w:right="1800" w:bottom="1440" w:left="1800" w:header="851" w:footer="992" w:gutter="0"/>
          <w:cols w:space="425" w:num="1"/>
          <w:docGrid w:type="lines" w:linePitch="312" w:charSpace="0"/>
        </w:sectPr>
      </w:pPr>
    </w:p>
    <w:p>
      <w:pPr>
        <w:pStyle w:val="7"/>
        <w:ind w:firstLine="0" w:firstLineChars="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FangSong_GB2312">
    <w:altName w:val="仿宋"/>
    <w:panose1 w:val="02010609030101010101"/>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Arial Unicode MS">
    <w:altName w:val="Arial"/>
    <w:panose1 w:val="020B0604020202020204"/>
    <w:charset w:val="00"/>
    <w:family w:val="auto"/>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5.05pt;mso-position-horizontal:center;mso-position-horizontal-relative:margin;mso-wrap-style:none;z-index:251658240;mso-width-relative:page;mso-height-relative:page;" filled="f" stroked="f" coordsize="21600,21600" o:gfxdata="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D6kd0QAAAAMBAAAPAAAAAAAAAAEAIAAA&#10;ACIAAABkcnMvZG93bnJldi54bWxQSwECFAAUAAAACACHTuJAuoSThBMCAAAEBAAADgAAAAAAAAAB&#10;ACAAAAAgAQAAZHJzL2Uyb0RvYy54bWxQSwUGAAAAAAYABgBZAQAAp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1285"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59264;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GrMR0gAAAAMBAAAPAAAAAAAAAAEA&#10;IAAAACIAAABkcnMvZG93bnJldi54bWxQSwECFAAUAAAACACHTuJAJimEvxUCAAAFBAAADgAAAAAA&#10;AAABACAAAAAhAQAAZHJzL2Uyb0RvYy54bWxQSwUGAAAAAAYABgBZAQAAq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ind w:left="560" w:firstLine="360"/>
      <w:rPr>
        <w:rStyle w:val="20"/>
      </w:rPr>
    </w:pPr>
    <w:r>
      <w:rPr>
        <w:rStyle w:val="20"/>
      </w:rPr>
      <w:fldChar w:fldCharType="begin"/>
    </w:r>
    <w:r>
      <w:rPr>
        <w:rStyle w:val="20"/>
      </w:rPr>
      <w:instrText xml:space="preserve">PAGE  </w:instrText>
    </w:r>
    <w:r>
      <w:rPr>
        <w:rStyle w:val="20"/>
      </w:rPr>
      <w:fldChar w:fldCharType="end"/>
    </w:r>
  </w:p>
  <w:p>
    <w:pPr>
      <w:pStyle w:val="12"/>
      <w:ind w:left="5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1285" cy="13779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60288;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rMR0gAAAAMBAAAPAAAAAAAAAAEAIAAA&#10;ACIAAABkcnMvZG93bnJldi54bWxQSwECFAAUAAAACACHTuJAWubnORICAAAFBAAADgAAAAAAAAAB&#10;ACAAAAAhAQAAZHJzL2Uyb0RvYy54bWxQSwUGAAAAAAYABgBZAQAApQ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5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21285"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61312;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4asxHSAAAAAwEAAA8AAAAAAAAAAQAg&#10;AAAAIgAAAGRycy9kb3ducmV2LnhtbFBLAQIUABQAAAAIAIdO4kCfsTJoFAIAAAUEAAAOAAAAAAAA&#10;AAEAIAAAACEBAABkcnMvZTJvRG9jLnhtbFBLBQYAAAAABgAGAFkBAACnBQ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p>
    <w:pPr>
      <w:pStyle w:val="12"/>
      <w:ind w:left="5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left="5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369AE9"/>
    <w:multiLevelType w:val="singleLevel"/>
    <w:tmpl w:val="8C369AE9"/>
    <w:lvl w:ilvl="0" w:tentative="0">
      <w:start w:val="1"/>
      <w:numFmt w:val="chineseCounting"/>
      <w:suff w:val="nothing"/>
      <w:lvlText w:val="%1、"/>
      <w:lvlJc w:val="left"/>
      <w:rPr>
        <w:rFonts w:hint="eastAsia"/>
      </w:rPr>
    </w:lvl>
  </w:abstractNum>
  <w:abstractNum w:abstractNumId="1">
    <w:nsid w:val="96FF83FD"/>
    <w:multiLevelType w:val="singleLevel"/>
    <w:tmpl w:val="96FF83FD"/>
    <w:lvl w:ilvl="0" w:tentative="0">
      <w:start w:val="2"/>
      <w:numFmt w:val="decimal"/>
      <w:suff w:val="nothing"/>
      <w:lvlText w:val="%1、"/>
      <w:lvlJc w:val="left"/>
    </w:lvl>
  </w:abstractNum>
  <w:abstractNum w:abstractNumId="2">
    <w:nsid w:val="F6A96C70"/>
    <w:multiLevelType w:val="singleLevel"/>
    <w:tmpl w:val="F6A96C70"/>
    <w:lvl w:ilvl="0" w:tentative="0">
      <w:start w:val="2"/>
      <w:numFmt w:val="chineseCounting"/>
      <w:suff w:val="space"/>
      <w:lvlText w:val="第%1章"/>
      <w:lvlJc w:val="left"/>
      <w:rPr>
        <w:rFonts w:hint="eastAsia"/>
      </w:rPr>
    </w:lvl>
  </w:abstractNum>
  <w:abstractNum w:abstractNumId="3">
    <w:nsid w:val="04362958"/>
    <w:multiLevelType w:val="multilevel"/>
    <w:tmpl w:val="04362958"/>
    <w:lvl w:ilvl="0" w:tentative="0">
      <w:start w:val="1"/>
      <w:numFmt w:val="decimal"/>
      <w:pStyle w:val="28"/>
      <w:isLgl/>
      <w:lvlText w:val="第%1章    "/>
      <w:lvlJc w:val="center"/>
      <w:pPr>
        <w:ind w:left="992" w:hanging="425"/>
      </w:pPr>
      <w:rPr>
        <w:rFonts w:hint="default" w:ascii="Times New Roman" w:hAnsi="Times New Roman"/>
        <w:b/>
        <w:bCs w:val="0"/>
        <w:i w:val="0"/>
        <w:iCs w:val="0"/>
        <w:caps w:val="0"/>
        <w:smallCaps w:val="0"/>
        <w:strike w:val="0"/>
        <w:dstrike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Restart w:val="0"/>
      <w:isLgl/>
      <w:lvlText w:val="%1.%2 "/>
      <w:lvlJc w:val="left"/>
      <w:pPr>
        <w:ind w:left="1276" w:hanging="709"/>
      </w:pPr>
      <w:rPr>
        <w:rFonts w:hint="eastAsia" w:ascii="仿宋" w:hAnsi="仿宋" w:eastAsia="仿宋"/>
        <w:b w:val="0"/>
      </w:rPr>
    </w:lvl>
    <w:lvl w:ilvl="2" w:tentative="0">
      <w:start w:val="1"/>
      <w:numFmt w:val="decimal"/>
      <w:lvlText w:val="%1.%2.%3"/>
      <w:lvlJc w:val="left"/>
      <w:pPr>
        <w:ind w:left="1276" w:hanging="709"/>
      </w:pPr>
      <w:rPr>
        <w:rFonts w:hint="default" w:ascii="仿宋" w:hAnsi="仿宋" w:eastAsia="仿宋" w:cs="Times New Roman"/>
        <w:b w:val="0"/>
      </w:rPr>
    </w:lvl>
    <w:lvl w:ilvl="3" w:tentative="0">
      <w:start w:val="1"/>
      <w:numFmt w:val="decimal"/>
      <w:lvlText w:val="%1.%2.%3.%4."/>
      <w:lvlJc w:val="left"/>
      <w:pPr>
        <w:ind w:left="1418" w:hanging="851"/>
      </w:pPr>
      <w:rPr>
        <w:rFonts w:hint="eastAsia"/>
      </w:rPr>
    </w:lvl>
    <w:lvl w:ilvl="4" w:tentative="0">
      <w:start w:val="1"/>
      <w:numFmt w:val="decimal"/>
      <w:lvlText w:val="%1.%2.%3.%4.%5."/>
      <w:lvlJc w:val="left"/>
      <w:pPr>
        <w:ind w:left="1559" w:hanging="992"/>
      </w:pPr>
      <w:rPr>
        <w:rFonts w:hint="eastAsia"/>
      </w:rPr>
    </w:lvl>
    <w:lvl w:ilvl="5" w:tentative="0">
      <w:start w:val="1"/>
      <w:numFmt w:val="decimal"/>
      <w:lvlText w:val="%1.%2.%3.%4.%5.%6."/>
      <w:lvlJc w:val="left"/>
      <w:pPr>
        <w:ind w:left="1701" w:hanging="1134"/>
      </w:pPr>
      <w:rPr>
        <w:rFonts w:hint="eastAsia"/>
      </w:rPr>
    </w:lvl>
    <w:lvl w:ilvl="6" w:tentative="0">
      <w:start w:val="1"/>
      <w:numFmt w:val="decimal"/>
      <w:lvlText w:val="%1.%2.%3.%4.%5.%6.%7."/>
      <w:lvlJc w:val="left"/>
      <w:pPr>
        <w:ind w:left="1843" w:hanging="1276"/>
      </w:pPr>
      <w:rPr>
        <w:rFonts w:hint="eastAsia"/>
      </w:rPr>
    </w:lvl>
    <w:lvl w:ilvl="7" w:tentative="0">
      <w:start w:val="1"/>
      <w:numFmt w:val="decimal"/>
      <w:lvlText w:val="%1.%2.%3.%4.%5.%6.%7.%8."/>
      <w:lvlJc w:val="left"/>
      <w:pPr>
        <w:ind w:left="1985" w:hanging="1418"/>
      </w:pPr>
      <w:rPr>
        <w:rFonts w:hint="eastAsia"/>
      </w:rPr>
    </w:lvl>
    <w:lvl w:ilvl="8" w:tentative="0">
      <w:start w:val="1"/>
      <w:numFmt w:val="decimal"/>
      <w:lvlText w:val="%1.%2.%3.%4.%5.%6.%7.%8.%9."/>
      <w:lvlJc w:val="left"/>
      <w:pPr>
        <w:ind w:left="2126" w:hanging="1559"/>
      </w:pPr>
      <w:rPr>
        <w:rFonts w:hint="eastAsia"/>
      </w:rPr>
    </w:lvl>
  </w:abstractNum>
  <w:abstractNum w:abstractNumId="4">
    <w:nsid w:val="32421D50"/>
    <w:multiLevelType w:val="singleLevel"/>
    <w:tmpl w:val="32421D50"/>
    <w:lvl w:ilvl="0" w:tentative="0">
      <w:start w:val="1"/>
      <w:numFmt w:val="decimal"/>
      <w:suff w:val="nothing"/>
      <w:lvlText w:val="（%1）"/>
      <w:lvlJc w:val="left"/>
    </w:lvl>
  </w:abstractNum>
  <w:abstractNum w:abstractNumId="5">
    <w:nsid w:val="69460349"/>
    <w:multiLevelType w:val="multilevel"/>
    <w:tmpl w:val="69460349"/>
    <w:lvl w:ilvl="0" w:tentative="0">
      <w:start w:val="1"/>
      <w:numFmt w:val="decimal"/>
      <w:lvlText w:val="第%1章"/>
      <w:lvlJc w:val="left"/>
      <w:pPr>
        <w:ind w:left="845" w:hanging="425"/>
      </w:pPr>
      <w:rPr>
        <w:rFonts w:hint="eastAsia" w:cs="Times New Roman"/>
        <w:lang w:val="en-US"/>
      </w:rPr>
    </w:lvl>
    <w:lvl w:ilvl="1" w:tentative="0">
      <w:start w:val="1"/>
      <w:numFmt w:val="decimal"/>
      <w:lvlText w:val="%1.%2"/>
      <w:lvlJc w:val="left"/>
      <w:pPr>
        <w:tabs>
          <w:tab w:val="left" w:pos="987"/>
        </w:tabs>
        <w:ind w:left="98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pStyle w:val="30"/>
      <w:lvlText w:val="%1.%2.%3"/>
      <w:lvlJc w:val="left"/>
      <w:pPr>
        <w:tabs>
          <w:tab w:val="left" w:pos="2405"/>
        </w:tabs>
        <w:ind w:left="2405" w:hanging="851"/>
      </w:pPr>
      <w:rPr>
        <w:rFonts w:hint="eastAsia"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lvlText w:val="(%4)"/>
      <w:lvlJc w:val="left"/>
      <w:pPr>
        <w:tabs>
          <w:tab w:val="left" w:pos="2234"/>
        </w:tabs>
        <w:ind w:left="223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1412" w:hanging="992"/>
      </w:pPr>
      <w:rPr>
        <w:rFonts w:hint="eastAsia" w:cs="Times New Roman"/>
      </w:rPr>
    </w:lvl>
    <w:lvl w:ilvl="5" w:tentative="0">
      <w:start w:val="1"/>
      <w:numFmt w:val="decimal"/>
      <w:lvlText w:val="%1.%2.%3.%4.%5.%6."/>
      <w:lvlJc w:val="left"/>
      <w:pPr>
        <w:ind w:left="1554" w:hanging="1134"/>
      </w:pPr>
      <w:rPr>
        <w:rFonts w:hint="eastAsia" w:cs="Times New Roman"/>
      </w:rPr>
    </w:lvl>
    <w:lvl w:ilvl="6" w:tentative="0">
      <w:start w:val="1"/>
      <w:numFmt w:val="decimal"/>
      <w:lvlText w:val="%1.%2.%3.%4.%5.%6.%7."/>
      <w:lvlJc w:val="left"/>
      <w:pPr>
        <w:ind w:left="1696" w:hanging="1276"/>
      </w:pPr>
      <w:rPr>
        <w:rFonts w:hint="eastAsia" w:cs="Times New Roman"/>
      </w:rPr>
    </w:lvl>
    <w:lvl w:ilvl="7" w:tentative="0">
      <w:start w:val="1"/>
      <w:numFmt w:val="decimal"/>
      <w:lvlText w:val="%1.%2.%3.%4.%5.%6.%7.%8."/>
      <w:lvlJc w:val="left"/>
      <w:pPr>
        <w:ind w:left="1838" w:hanging="1418"/>
      </w:pPr>
      <w:rPr>
        <w:rFonts w:hint="eastAsia" w:cs="Times New Roman"/>
      </w:rPr>
    </w:lvl>
    <w:lvl w:ilvl="8" w:tentative="0">
      <w:start w:val="1"/>
      <w:numFmt w:val="decimal"/>
      <w:lvlText w:val="%1.%2.%3.%4.%5.%6.%7.%8.%9."/>
      <w:lvlJc w:val="left"/>
      <w:pPr>
        <w:ind w:left="1979" w:hanging="1559"/>
      </w:pPr>
      <w:rPr>
        <w:rFonts w:hint="eastAsia" w:cs="Times New Roman"/>
      </w:rPr>
    </w:lvl>
  </w:abstractNum>
  <w:abstractNum w:abstractNumId="6">
    <w:nsid w:val="749E99D2"/>
    <w:multiLevelType w:val="singleLevel"/>
    <w:tmpl w:val="749E99D2"/>
    <w:lvl w:ilvl="0" w:tentative="0">
      <w:start w:val="2"/>
      <w:numFmt w:val="decimal"/>
      <w:suff w:val="nothing"/>
      <w:lvlText w:val="%1、"/>
      <w:lvlJc w:val="left"/>
    </w:lvl>
  </w:abstractNum>
  <w:num w:numId="1">
    <w:abstractNumId w:val="3"/>
  </w:num>
  <w:num w:numId="2">
    <w:abstractNumId w:val="5"/>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10304"/>
    <w:rsid w:val="00055E86"/>
    <w:rsid w:val="000E762E"/>
    <w:rsid w:val="002557EF"/>
    <w:rsid w:val="00326AFF"/>
    <w:rsid w:val="00334675"/>
    <w:rsid w:val="003B4B73"/>
    <w:rsid w:val="004002A6"/>
    <w:rsid w:val="004211D9"/>
    <w:rsid w:val="004D790E"/>
    <w:rsid w:val="00571284"/>
    <w:rsid w:val="0065026B"/>
    <w:rsid w:val="00697FE6"/>
    <w:rsid w:val="00802012"/>
    <w:rsid w:val="008F318C"/>
    <w:rsid w:val="00945DB6"/>
    <w:rsid w:val="00A5296E"/>
    <w:rsid w:val="00A5726C"/>
    <w:rsid w:val="00A843B3"/>
    <w:rsid w:val="00BF7540"/>
    <w:rsid w:val="00E633D0"/>
    <w:rsid w:val="00ED1ADD"/>
    <w:rsid w:val="0EC9184C"/>
    <w:rsid w:val="10647A10"/>
    <w:rsid w:val="10942B32"/>
    <w:rsid w:val="16EC08A9"/>
    <w:rsid w:val="1F210304"/>
    <w:rsid w:val="25AF62C6"/>
    <w:rsid w:val="404408D5"/>
    <w:rsid w:val="48EA2334"/>
    <w:rsid w:val="4D371B10"/>
    <w:rsid w:val="4DA05A61"/>
    <w:rsid w:val="51DD6AAD"/>
    <w:rsid w:val="560761E6"/>
    <w:rsid w:val="5B270396"/>
    <w:rsid w:val="60253BFB"/>
    <w:rsid w:val="63F46DB7"/>
    <w:rsid w:val="65A751E7"/>
    <w:rsid w:val="6B8634D5"/>
    <w:rsid w:val="6DA43AAD"/>
    <w:rsid w:val="6E225253"/>
    <w:rsid w:val="755778C1"/>
    <w:rsid w:val="78285953"/>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4"/>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character" w:default="1" w:styleId="18">
    <w:name w:val="Default Paragraph Font"/>
    <w:unhideWhenUsed/>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2">
    <w:name w:val="Body Text First Indent 2"/>
    <w:basedOn w:val="3"/>
    <w:uiPriority w:val="0"/>
    <w:pPr>
      <w:ind w:firstLine="200" w:firstLineChars="200"/>
    </w:pPr>
  </w:style>
  <w:style w:type="paragraph" w:styleId="3">
    <w:name w:val="Body Text Indent"/>
    <w:basedOn w:val="1"/>
    <w:qFormat/>
    <w:uiPriority w:val="0"/>
    <w:pPr>
      <w:spacing w:after="120"/>
      <w:ind w:left="200" w:leftChars="200"/>
    </w:pPr>
    <w:rPr>
      <w:rFonts w:ascii="Verdana" w:hAnsi="Verdana"/>
      <w:lang w:eastAsia="en-US"/>
    </w:rPr>
  </w:style>
  <w:style w:type="paragraph" w:styleId="7">
    <w:name w:val="Normal Indent"/>
    <w:basedOn w:val="1"/>
    <w:qFormat/>
    <w:uiPriority w:val="0"/>
    <w:pPr>
      <w:spacing w:before="60"/>
      <w:ind w:firstLine="420" w:firstLineChars="200"/>
    </w:pPr>
  </w:style>
  <w:style w:type="paragraph" w:styleId="8">
    <w:name w:val="Body Text"/>
    <w:basedOn w:val="1"/>
    <w:unhideWhenUsed/>
    <w:qFormat/>
    <w:uiPriority w:val="1"/>
    <w:pPr>
      <w:spacing w:after="120"/>
    </w:pPr>
  </w:style>
  <w:style w:type="paragraph" w:styleId="9">
    <w:name w:val="Plain Text"/>
    <w:basedOn w:val="1"/>
    <w:qFormat/>
    <w:uiPriority w:val="0"/>
    <w:pPr>
      <w:adjustRightInd w:val="0"/>
      <w:spacing w:line="360" w:lineRule="auto"/>
      <w:ind w:firstLine="200" w:firstLineChars="200"/>
    </w:pPr>
    <w:rPr>
      <w:rFonts w:ascii="宋体" w:hAnsi="Courier New"/>
      <w:szCs w:val="20"/>
    </w:rPr>
  </w:style>
  <w:style w:type="paragraph" w:styleId="10">
    <w:name w:val="Date"/>
    <w:basedOn w:val="1"/>
    <w:next w:val="1"/>
    <w:link w:val="39"/>
    <w:qFormat/>
    <w:uiPriority w:val="0"/>
    <w:pPr>
      <w:ind w:left="100" w:leftChars="2500"/>
    </w:pPr>
  </w:style>
  <w:style w:type="paragraph" w:styleId="11">
    <w:name w:val="Balloon Text"/>
    <w:basedOn w:val="1"/>
    <w:link w:val="38"/>
    <w:qFormat/>
    <w:uiPriority w:val="0"/>
    <w:rPr>
      <w:rFonts w:ascii="宋体"/>
      <w:sz w:val="18"/>
      <w:szCs w:val="18"/>
    </w:rPr>
  </w:style>
  <w:style w:type="paragraph" w:styleId="12">
    <w:name w:val="footer"/>
    <w:basedOn w:val="1"/>
    <w:unhideWhenUsed/>
    <w:qFormat/>
    <w:uiPriority w:val="0"/>
    <w:pPr>
      <w:tabs>
        <w:tab w:val="center" w:pos="4153"/>
        <w:tab w:val="right" w:pos="8306"/>
      </w:tabs>
      <w:snapToGrid w:val="0"/>
      <w:jc w:val="left"/>
    </w:pPr>
    <w:rPr>
      <w:sz w:val="18"/>
      <w:szCs w:val="18"/>
    </w:rPr>
  </w:style>
  <w:style w:type="paragraph" w:styleId="1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left" w:pos="2240"/>
        <w:tab w:val="right" w:leader="dot" w:pos="8290"/>
      </w:tabs>
      <w:spacing w:line="360" w:lineRule="auto"/>
      <w:ind w:left="560" w:firstLine="560"/>
    </w:pPr>
  </w:style>
  <w:style w:type="paragraph" w:styleId="15">
    <w:name w:val="Normal (Web)"/>
    <w:basedOn w:val="1"/>
    <w:qFormat/>
    <w:uiPriority w:val="99"/>
    <w:pPr>
      <w:spacing w:before="100" w:beforeAutospacing="1" w:after="100" w:afterAutospacing="1"/>
    </w:pPr>
    <w:rPr>
      <w:rFonts w:ascii="宋体" w:hAnsi="宋体"/>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22"/>
    <w:rPr>
      <w:rFonts w:eastAsia="FangSong_GB2312"/>
      <w:b/>
      <w:bCs/>
      <w:sz w:val="56"/>
    </w:rPr>
  </w:style>
  <w:style w:type="character" w:styleId="20">
    <w:name w:val="page number"/>
    <w:basedOn w:val="18"/>
    <w:semiHidden/>
    <w:unhideWhenUsed/>
    <w:qFormat/>
    <w:uiPriority w:val="99"/>
  </w:style>
  <w:style w:type="paragraph" w:customStyle="1" w:styleId="2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_Style 1"/>
    <w:basedOn w:val="1"/>
    <w:qFormat/>
    <w:uiPriority w:val="34"/>
    <w:pPr>
      <w:ind w:firstLine="420" w:firstLineChars="200"/>
    </w:pPr>
  </w:style>
  <w:style w:type="paragraph" w:customStyle="1" w:styleId="23">
    <w:name w:val="*正文"/>
    <w:basedOn w:val="1"/>
    <w:qFormat/>
    <w:uiPriority w:val="99"/>
    <w:pPr>
      <w:spacing w:line="360" w:lineRule="auto"/>
      <w:ind w:firstLine="200" w:firstLineChars="200"/>
    </w:pPr>
    <w:rPr>
      <w:rFonts w:ascii="宋体" w:hAnsi="宋体"/>
      <w:sz w:val="24"/>
    </w:rPr>
  </w:style>
  <w:style w:type="character" w:customStyle="1" w:styleId="24">
    <w:name w:val="bord"/>
    <w:basedOn w:val="18"/>
    <w:qFormat/>
    <w:uiPriority w:val="99"/>
    <w:rPr>
      <w:rFonts w:cs="Times New Roman"/>
    </w:rPr>
  </w:style>
  <w:style w:type="paragraph" w:customStyle="1" w:styleId="25">
    <w:name w:val="纯文本1"/>
    <w:basedOn w:val="1"/>
    <w:qFormat/>
    <w:uiPriority w:val="0"/>
    <w:rPr>
      <w:rFonts w:ascii="宋体" w:hAnsi="Courier New"/>
      <w:szCs w:val="20"/>
    </w:rPr>
  </w:style>
  <w:style w:type="paragraph" w:customStyle="1" w:styleId="26">
    <w:name w:val="xl23"/>
    <w:next w:val="1"/>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character" w:customStyle="1" w:styleId="27">
    <w:name w:val="明显强调1"/>
    <w:basedOn w:val="18"/>
    <w:qFormat/>
    <w:uiPriority w:val="21"/>
    <w:rPr>
      <w:i/>
      <w:iCs/>
      <w:color w:val="5B9BD5" w:themeColor="accent1"/>
      <w14:textFill>
        <w14:solidFill>
          <w14:schemeClr w14:val="accent1"/>
        </w14:solidFill>
      </w14:textFill>
    </w:rPr>
  </w:style>
  <w:style w:type="paragraph" w:customStyle="1" w:styleId="28">
    <w:name w:val="二级编号"/>
    <w:basedOn w:val="29"/>
    <w:next w:val="1"/>
    <w:qFormat/>
    <w:uiPriority w:val="0"/>
    <w:pPr>
      <w:numPr>
        <w:ilvl w:val="0"/>
        <w:numId w:val="1"/>
      </w:numPr>
      <w:ind w:left="0" w:firstLine="0"/>
    </w:pPr>
    <w:rPr>
      <w:b/>
    </w:rPr>
  </w:style>
  <w:style w:type="paragraph" w:styleId="29">
    <w:name w:val="List Paragraph"/>
    <w:basedOn w:val="1"/>
    <w:qFormat/>
    <w:uiPriority w:val="34"/>
    <w:pPr>
      <w:ind w:firstLine="420"/>
    </w:pPr>
  </w:style>
  <w:style w:type="paragraph" w:customStyle="1" w:styleId="30">
    <w:name w:val="3级编号"/>
    <w:basedOn w:val="1"/>
    <w:qFormat/>
    <w:uiPriority w:val="99"/>
    <w:pPr>
      <w:numPr>
        <w:ilvl w:val="2"/>
        <w:numId w:val="2"/>
      </w:numPr>
    </w:pPr>
  </w:style>
  <w:style w:type="character" w:customStyle="1" w:styleId="31">
    <w:name w:val="font71"/>
    <w:basedOn w:val="18"/>
    <w:qFormat/>
    <w:uiPriority w:val="0"/>
    <w:rPr>
      <w:rFonts w:hint="default" w:ascii="Times New Roman" w:hAnsi="Times New Roman" w:cs="Times New Roman"/>
      <w:color w:val="000000"/>
      <w:sz w:val="21"/>
      <w:szCs w:val="21"/>
      <w:u w:val="none"/>
    </w:rPr>
  </w:style>
  <w:style w:type="character" w:customStyle="1" w:styleId="32">
    <w:name w:val="font81"/>
    <w:basedOn w:val="18"/>
    <w:qFormat/>
    <w:uiPriority w:val="0"/>
    <w:rPr>
      <w:rFonts w:hint="eastAsia" w:ascii="仿宋" w:hAnsi="仿宋" w:eastAsia="仿宋" w:cs="仿宋"/>
      <w:color w:val="000000"/>
      <w:sz w:val="21"/>
      <w:szCs w:val="21"/>
      <w:u w:val="none"/>
    </w:rPr>
  </w:style>
  <w:style w:type="paragraph" w:customStyle="1" w:styleId="33">
    <w:name w:val="Table Paragraph"/>
    <w:basedOn w:val="1"/>
    <w:qFormat/>
    <w:uiPriority w:val="1"/>
    <w:rPr>
      <w:rFonts w:ascii="宋体" w:hAnsi="宋体" w:cs="宋体"/>
      <w:lang w:val="zh-CN" w:bidi="zh-CN"/>
    </w:rPr>
  </w:style>
  <w:style w:type="character" w:customStyle="1" w:styleId="34">
    <w:name w:val="标题 1字符"/>
    <w:link w:val="4"/>
    <w:qFormat/>
    <w:uiPriority w:val="0"/>
    <w:rPr>
      <w:b/>
      <w:kern w:val="44"/>
      <w:sz w:val="44"/>
    </w:rPr>
  </w:style>
  <w:style w:type="paragraph" w:customStyle="1" w:styleId="35">
    <w:name w:val="列出段落1"/>
    <w:basedOn w:val="1"/>
    <w:qFormat/>
    <w:uiPriority w:val="99"/>
    <w:pPr>
      <w:ind w:firstLine="420" w:firstLineChars="200"/>
    </w:pPr>
    <w:rPr>
      <w:rFonts w:ascii="Calibri" w:hAnsi="Calibri" w:eastAsia="仿宋" w:cs="黑体"/>
      <w:sz w:val="24"/>
    </w:rPr>
  </w:style>
  <w:style w:type="paragraph" w:customStyle="1" w:styleId="36">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7">
    <w:name w:val="WPSOffice手动目录 1"/>
    <w:qFormat/>
    <w:uiPriority w:val="0"/>
    <w:rPr>
      <w:rFonts w:ascii="Times New Roman" w:hAnsi="Times New Roman" w:eastAsia="宋体" w:cs="Times New Roman"/>
      <w:lang w:val="en-US" w:eastAsia="zh-CN" w:bidi="ar-SA"/>
    </w:rPr>
  </w:style>
  <w:style w:type="character" w:customStyle="1" w:styleId="38">
    <w:name w:val="批注框文本字符"/>
    <w:basedOn w:val="18"/>
    <w:link w:val="11"/>
    <w:qFormat/>
    <w:uiPriority w:val="0"/>
    <w:rPr>
      <w:rFonts w:ascii="宋体"/>
      <w:kern w:val="2"/>
      <w:sz w:val="18"/>
      <w:szCs w:val="18"/>
    </w:rPr>
  </w:style>
  <w:style w:type="character" w:customStyle="1" w:styleId="39">
    <w:name w:val="日期字符"/>
    <w:basedOn w:val="18"/>
    <w:link w:val="10"/>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050db6-dde1-4311-80cb-be40e2ffa313}"/>
        <w:style w:val=""/>
        <w:category>
          <w:name w:val="常规"/>
          <w:gallery w:val="placeholder"/>
        </w:category>
        <w:types>
          <w:type w:val="bbPlcHdr"/>
        </w:types>
        <w:behaviors>
          <w:behavior w:val="content"/>
        </w:behaviors>
        <w:description w:val=""/>
        <w:guid w:val="{7f050db6-dde1-4311-80cb-be40e2ffa313}"/>
      </w:docPartPr>
      <w:docPartBody>
        <w:p>
          <w:r>
            <w:rPr>
              <w:color w:val="808080"/>
            </w:rPr>
            <w:t>单击此处输入文字。</w:t>
          </w:r>
        </w:p>
      </w:docPartBody>
    </w:docPart>
    <w:docPart>
      <w:docPartPr>
        <w:name w:val="{7f31dd5f-4594-4d5e-9a59-309247d30279}"/>
        <w:style w:val=""/>
        <w:category>
          <w:name w:val="常规"/>
          <w:gallery w:val="placeholder"/>
        </w:category>
        <w:types>
          <w:type w:val="bbPlcHdr"/>
        </w:types>
        <w:behaviors>
          <w:behavior w:val="content"/>
        </w:behaviors>
        <w:description w:val=""/>
        <w:guid w:val="{7f31dd5f-4594-4d5e-9a59-309247d30279}"/>
      </w:docPartPr>
      <w:docPartBody>
        <w:p>
          <w:r>
            <w:rPr>
              <w:color w:val="808080"/>
            </w:rPr>
            <w:t>单击此处输入文字。</w:t>
          </w:r>
        </w:p>
      </w:docPartBody>
    </w:docPart>
    <w:docPart>
      <w:docPartPr>
        <w:name w:val="{47739832-782c-46fb-9d93-f3f93565aa94}"/>
        <w:style w:val=""/>
        <w:category>
          <w:name w:val="常规"/>
          <w:gallery w:val="placeholder"/>
        </w:category>
        <w:types>
          <w:type w:val="bbPlcHdr"/>
        </w:types>
        <w:behaviors>
          <w:behavior w:val="content"/>
        </w:behaviors>
        <w:description w:val=""/>
        <w:guid w:val="{47739832-782c-46fb-9d93-f3f93565aa94}"/>
      </w:docPartPr>
      <w:docPartBody>
        <w:p>
          <w:r>
            <w:rPr>
              <w:color w:val="808080"/>
            </w:rPr>
            <w:t>单击此处输入文字。</w:t>
          </w:r>
        </w:p>
      </w:docPartBody>
    </w:docPart>
    <w:docPart>
      <w:docPartPr>
        <w:name w:val="{10d2c755-a6c4-4360-9550-c7acb8a0fcad}"/>
        <w:style w:val=""/>
        <w:category>
          <w:name w:val="常规"/>
          <w:gallery w:val="placeholder"/>
        </w:category>
        <w:types>
          <w:type w:val="bbPlcHdr"/>
        </w:types>
        <w:behaviors>
          <w:behavior w:val="content"/>
        </w:behaviors>
        <w:description w:val=""/>
        <w:guid w:val="{10d2c755-a6c4-4360-9550-c7acb8a0fcad}"/>
      </w:docPartPr>
      <w:docPartBody>
        <w:p>
          <w:r>
            <w:rPr>
              <w:color w:val="808080"/>
            </w:rPr>
            <w:t>单击此处输入文字。</w:t>
          </w:r>
        </w:p>
      </w:docPartBody>
    </w:docPart>
    <w:docPart>
      <w:docPartPr>
        <w:name w:val="{e47c7f04-d706-405e-b68a-6c4bbea29dee}"/>
        <w:style w:val=""/>
        <w:category>
          <w:name w:val="常规"/>
          <w:gallery w:val="placeholder"/>
        </w:category>
        <w:types>
          <w:type w:val="bbPlcHdr"/>
        </w:types>
        <w:behaviors>
          <w:behavior w:val="content"/>
        </w:behaviors>
        <w:description w:val=""/>
        <w:guid w:val="{e47c7f04-d706-405e-b68a-6c4bbea29dee}"/>
      </w:docPartPr>
      <w:docPartBody>
        <w:p>
          <w:r>
            <w:rPr>
              <w:color w:val="808080"/>
            </w:rPr>
            <w:t>单击此处输入文字。</w:t>
          </w:r>
        </w:p>
      </w:docPartBody>
    </w:docPart>
    <w:docPart>
      <w:docPartPr>
        <w:name w:val="{2853613b-cb84-420a-90c3-4593fe7909dd}"/>
        <w:style w:val=""/>
        <w:category>
          <w:name w:val="常规"/>
          <w:gallery w:val="placeholder"/>
        </w:category>
        <w:types>
          <w:type w:val="bbPlcHdr"/>
        </w:types>
        <w:behaviors>
          <w:behavior w:val="content"/>
        </w:behaviors>
        <w:description w:val=""/>
        <w:guid w:val="{2853613b-cb84-420a-90c3-4593fe7909d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205E0"/>
    <w:rsid w:val="009205E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104</Pages>
  <Words>43828</Words>
  <Characters>46046</Characters>
  <Lines>357</Lines>
  <Paragraphs>100</Paragraphs>
  <TotalTime>20</TotalTime>
  <ScaleCrop>false</ScaleCrop>
  <LinksUpToDate>false</LinksUpToDate>
  <CharactersWithSpaces>48113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2019-08-26T08:36:00Z</dcterms:created>
  <dc:creator>小玉米</dc:creator>
  <cp:lastModifiedBy>小玉米</cp:lastModifiedBy>
  <cp:lastPrinted>2019-08-26T03:36:00Z</cp:lastPrinted>
  <dcterms:modified xsi:type="dcterms:W3CDTF">2019-08-27T02:47:14Z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