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54"/>
        <w:spacing w:line="360" w:lineRule="auto"/>
        <w:rPr>
          <w:rFonts w:asciiTheme="minorEastAsia" w:hAnsiTheme="minorEastAsia" w:eastAsiaTheme="minorEastAsia"/>
          <w:color w:val="auto"/>
        </w:rPr>
      </w:pPr>
    </w:p>
    <w:p>
      <w:pPr>
        <w:pStyle w:val="54"/>
        <w:spacing w:line="360" w:lineRule="auto"/>
        <w:rPr>
          <w:rFonts w:asciiTheme="minorEastAsia" w:hAnsiTheme="minorEastAsia" w:eastAsiaTheme="minorEastAsia"/>
          <w:color w:val="auto"/>
        </w:rPr>
      </w:pPr>
    </w:p>
    <w:p>
      <w:pPr>
        <w:pStyle w:val="54"/>
        <w:spacing w:line="360" w:lineRule="auto"/>
        <w:rPr>
          <w:rFonts w:asciiTheme="minorEastAsia" w:hAnsiTheme="minorEastAsia" w:eastAsiaTheme="minorEastAsia"/>
          <w:color w:val="auto"/>
        </w:rPr>
      </w:pPr>
    </w:p>
    <w:p>
      <w:pPr>
        <w:spacing w:line="360" w:lineRule="auto"/>
        <w:jc w:val="center"/>
        <w:rPr>
          <w:rFonts w:cs="宋体" w:asciiTheme="minorEastAsia" w:hAnsiTheme="minorEastAsia" w:eastAsiaTheme="minorEastAsia"/>
          <w:b/>
          <w:color w:val="auto"/>
          <w:sz w:val="44"/>
          <w:szCs w:val="44"/>
        </w:rPr>
      </w:pPr>
      <w:bookmarkStart w:id="409" w:name="_GoBack"/>
      <w:r>
        <w:rPr>
          <w:rFonts w:hint="eastAsia" w:cs="宋体" w:asciiTheme="minorEastAsia" w:hAnsiTheme="minorEastAsia" w:eastAsiaTheme="minorEastAsia"/>
          <w:b/>
          <w:color w:val="auto"/>
          <w:sz w:val="44"/>
          <w:szCs w:val="44"/>
        </w:rPr>
        <w:t>东方市城乡公交客运服务一体化特许经营项目</w:t>
      </w:r>
    </w:p>
    <w:bookmarkEnd w:id="409"/>
    <w:p>
      <w:pPr>
        <w:spacing w:line="360" w:lineRule="auto"/>
        <w:rPr>
          <w:rFonts w:cs="宋体" w:asciiTheme="minorEastAsia" w:hAnsiTheme="minorEastAsia" w:eastAsiaTheme="minorEastAsia"/>
          <w:color w:val="auto"/>
          <w:sz w:val="52"/>
          <w:szCs w:val="52"/>
        </w:rPr>
      </w:pPr>
    </w:p>
    <w:p>
      <w:pPr>
        <w:spacing w:line="360" w:lineRule="auto"/>
        <w:rPr>
          <w:rFonts w:cs="宋体" w:asciiTheme="minorEastAsia" w:hAnsiTheme="minorEastAsia" w:eastAsiaTheme="minorEastAsia"/>
          <w:color w:val="auto"/>
          <w:sz w:val="28"/>
          <w:szCs w:val="28"/>
        </w:rPr>
      </w:pPr>
    </w:p>
    <w:p>
      <w:pPr>
        <w:spacing w:line="360" w:lineRule="auto"/>
        <w:rPr>
          <w:rFonts w:cs="宋体" w:asciiTheme="minorEastAsia" w:hAnsiTheme="minorEastAsia" w:eastAsiaTheme="minorEastAsia"/>
          <w:color w:val="auto"/>
          <w:sz w:val="28"/>
          <w:szCs w:val="28"/>
        </w:rPr>
      </w:pPr>
    </w:p>
    <w:p>
      <w:pPr>
        <w:spacing w:line="360" w:lineRule="auto"/>
        <w:rPr>
          <w:rFonts w:cs="宋体" w:asciiTheme="minorEastAsia" w:hAnsiTheme="minorEastAsia" w:eastAsiaTheme="minorEastAsia"/>
          <w:color w:val="auto"/>
          <w:sz w:val="28"/>
          <w:szCs w:val="28"/>
        </w:rPr>
      </w:pPr>
    </w:p>
    <w:p>
      <w:pPr>
        <w:spacing w:line="360" w:lineRule="auto"/>
        <w:rPr>
          <w:rFonts w:cs="宋体" w:asciiTheme="minorEastAsia" w:hAnsiTheme="minorEastAsia" w:eastAsiaTheme="minorEastAsia"/>
          <w:color w:val="auto"/>
          <w:sz w:val="28"/>
          <w:szCs w:val="28"/>
        </w:rPr>
      </w:pPr>
    </w:p>
    <w:p>
      <w:pPr>
        <w:spacing w:line="360" w:lineRule="auto"/>
        <w:rPr>
          <w:rFonts w:cs="宋体" w:asciiTheme="minorEastAsia" w:hAnsiTheme="minorEastAsia" w:eastAsiaTheme="minorEastAsia"/>
          <w:color w:val="auto"/>
          <w:sz w:val="28"/>
          <w:szCs w:val="28"/>
        </w:rPr>
      </w:pPr>
    </w:p>
    <w:p>
      <w:pPr>
        <w:spacing w:line="360" w:lineRule="auto"/>
        <w:jc w:val="center"/>
        <w:rPr>
          <w:rFonts w:cs="宋体" w:asciiTheme="minorEastAsia" w:hAnsiTheme="minorEastAsia" w:eastAsiaTheme="minorEastAsia"/>
          <w:b/>
          <w:color w:val="auto"/>
          <w:sz w:val="84"/>
          <w:szCs w:val="84"/>
        </w:rPr>
      </w:pPr>
      <w:r>
        <w:rPr>
          <w:rFonts w:hint="eastAsia" w:cs="宋体" w:asciiTheme="minorEastAsia" w:hAnsiTheme="minorEastAsia" w:eastAsiaTheme="minorEastAsia"/>
          <w:b/>
          <w:color w:val="auto"/>
          <w:sz w:val="84"/>
          <w:szCs w:val="84"/>
        </w:rPr>
        <w:t>招 标 文 件</w:t>
      </w:r>
    </w:p>
    <w:p>
      <w:pPr>
        <w:spacing w:line="360" w:lineRule="auto"/>
        <w:rPr>
          <w:rFonts w:cs="宋体" w:asciiTheme="minorEastAsia" w:hAnsiTheme="minorEastAsia" w:eastAsiaTheme="minorEastAsia"/>
          <w:color w:val="auto"/>
          <w:sz w:val="52"/>
          <w:szCs w:val="52"/>
        </w:rPr>
      </w:pPr>
    </w:p>
    <w:p>
      <w:pPr>
        <w:spacing w:line="360" w:lineRule="auto"/>
        <w:rPr>
          <w:rFonts w:cs="宋体" w:asciiTheme="minorEastAsia" w:hAnsiTheme="minorEastAsia" w:eastAsiaTheme="minorEastAsia"/>
          <w:color w:val="auto"/>
          <w:sz w:val="52"/>
          <w:szCs w:val="52"/>
        </w:rPr>
      </w:pPr>
    </w:p>
    <w:p>
      <w:pPr>
        <w:spacing w:line="360" w:lineRule="auto"/>
        <w:rPr>
          <w:rFonts w:cs="宋体" w:asciiTheme="minorEastAsia" w:hAnsiTheme="minorEastAsia" w:eastAsiaTheme="minorEastAsia"/>
          <w:color w:val="auto"/>
        </w:rPr>
      </w:pPr>
    </w:p>
    <w:p>
      <w:pPr>
        <w:spacing w:line="360" w:lineRule="auto"/>
        <w:rPr>
          <w:rFonts w:cs="宋体" w:asciiTheme="minorEastAsia" w:hAnsiTheme="minorEastAsia" w:eastAsiaTheme="minorEastAsia"/>
          <w:color w:val="auto"/>
        </w:rPr>
      </w:pPr>
    </w:p>
    <w:p>
      <w:pPr>
        <w:spacing w:line="360" w:lineRule="auto"/>
        <w:rPr>
          <w:rFonts w:cs="宋体" w:asciiTheme="minorEastAsia" w:hAnsiTheme="minorEastAsia" w:eastAsiaTheme="minorEastAsia"/>
          <w:color w:val="auto"/>
        </w:rPr>
      </w:pPr>
    </w:p>
    <w:p>
      <w:pPr>
        <w:spacing w:line="360" w:lineRule="auto"/>
        <w:ind w:firstLine="849" w:firstLineChars="235"/>
        <w:jc w:val="left"/>
        <w:rPr>
          <w:rFonts w:cs="宋体" w:asciiTheme="minorEastAsia" w:hAnsiTheme="minorEastAsia" w:eastAsiaTheme="minorEastAsia"/>
          <w:b/>
          <w:color w:val="auto"/>
          <w:sz w:val="36"/>
          <w:szCs w:val="36"/>
        </w:rPr>
      </w:pPr>
    </w:p>
    <w:p>
      <w:pPr>
        <w:spacing w:line="360" w:lineRule="auto"/>
        <w:ind w:firstLine="755" w:firstLineChars="235"/>
        <w:jc w:val="left"/>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采 购  编 号：</w:t>
      </w:r>
      <w:r>
        <w:rPr>
          <w:rFonts w:hint="eastAsia" w:cs="宋体" w:asciiTheme="minorEastAsia" w:hAnsiTheme="minorEastAsia" w:eastAsiaTheme="minorEastAsia"/>
          <w:b/>
          <w:color w:val="auto"/>
          <w:sz w:val="32"/>
          <w:szCs w:val="32"/>
          <w:u w:val="single"/>
        </w:rPr>
        <w:t xml:space="preserve"> ZZYDC20190421 </w:t>
      </w:r>
    </w:p>
    <w:p>
      <w:pPr>
        <w:spacing w:line="360" w:lineRule="auto"/>
        <w:ind w:firstLine="755" w:firstLineChars="235"/>
        <w:jc w:val="left"/>
        <w:rPr>
          <w:rFonts w:cs="宋体" w:asciiTheme="minorEastAsia" w:hAnsiTheme="minorEastAsia" w:eastAsiaTheme="minorEastAsia"/>
          <w:b/>
          <w:color w:val="auto"/>
          <w:sz w:val="32"/>
          <w:szCs w:val="32"/>
          <w:u w:val="single"/>
        </w:rPr>
      </w:pPr>
      <w:r>
        <w:rPr>
          <w:rFonts w:hint="eastAsia" w:cs="宋体" w:asciiTheme="minorEastAsia" w:hAnsiTheme="minorEastAsia" w:eastAsiaTheme="minorEastAsia"/>
          <w:b/>
          <w:color w:val="auto"/>
          <w:sz w:val="32"/>
          <w:szCs w:val="32"/>
        </w:rPr>
        <w:t>采   购   人：</w:t>
      </w:r>
      <w:r>
        <w:rPr>
          <w:rFonts w:hint="eastAsia" w:cs="宋体" w:asciiTheme="minorEastAsia" w:hAnsiTheme="minorEastAsia" w:eastAsiaTheme="minorEastAsia"/>
          <w:b/>
          <w:color w:val="auto"/>
          <w:sz w:val="32"/>
          <w:szCs w:val="32"/>
          <w:u w:val="single"/>
        </w:rPr>
        <w:t>东方市交通运输局</w:t>
      </w:r>
    </w:p>
    <w:p>
      <w:pPr>
        <w:spacing w:line="360" w:lineRule="auto"/>
        <w:ind w:firstLine="755" w:firstLineChars="235"/>
        <w:jc w:val="left"/>
        <w:rPr>
          <w:rFonts w:cs="宋体" w:asciiTheme="minorEastAsia" w:hAnsiTheme="minorEastAsia" w:eastAsiaTheme="minorEastAsia"/>
          <w:b/>
          <w:color w:val="auto"/>
          <w:sz w:val="32"/>
          <w:szCs w:val="32"/>
        </w:rPr>
      </w:pPr>
      <w:r>
        <w:rPr>
          <w:rFonts w:hint="eastAsia" w:cs="宋体" w:asciiTheme="minorEastAsia" w:hAnsiTheme="minorEastAsia" w:eastAsiaTheme="minorEastAsia"/>
          <w:b/>
          <w:color w:val="auto"/>
          <w:sz w:val="32"/>
          <w:szCs w:val="32"/>
        </w:rPr>
        <w:t>采购代理机构：</w:t>
      </w:r>
      <w:r>
        <w:rPr>
          <w:rFonts w:hint="eastAsia" w:cs="宋体" w:asciiTheme="minorEastAsia" w:hAnsiTheme="minorEastAsia" w:eastAsiaTheme="minorEastAsia"/>
          <w:b/>
          <w:color w:val="auto"/>
          <w:sz w:val="32"/>
          <w:szCs w:val="32"/>
          <w:u w:val="single"/>
        </w:rPr>
        <w:t>海南中政源达项目管理有限公司</w:t>
      </w:r>
    </w:p>
    <w:p>
      <w:pPr>
        <w:spacing w:line="360" w:lineRule="auto"/>
        <w:ind w:firstLine="755" w:firstLineChars="235"/>
        <w:jc w:val="left"/>
        <w:rPr>
          <w:rFonts w:cs="宋体" w:asciiTheme="minorEastAsia" w:hAnsiTheme="minorEastAsia" w:eastAsiaTheme="minorEastAsia"/>
          <w:b/>
          <w:color w:val="auto"/>
          <w:sz w:val="32"/>
          <w:szCs w:val="32"/>
        </w:rPr>
        <w:sectPr>
          <w:headerReference r:id="rId3" w:type="default"/>
          <w:footerReference r:id="rId4" w:type="default"/>
          <w:footnotePr>
            <w:numFmt w:val="decimalEnclosedCircleChinese"/>
            <w:numRestart w:val="eachPage"/>
          </w:footnotePr>
          <w:pgSz w:w="11907" w:h="16840"/>
          <w:pgMar w:top="1418" w:right="1418" w:bottom="1418" w:left="1418" w:header="851" w:footer="851" w:gutter="0"/>
          <w:pgNumType w:fmt="upperRoman" w:start="1"/>
          <w:cols w:space="720" w:num="1"/>
          <w:docGrid w:linePitch="312" w:charSpace="0"/>
        </w:sectPr>
      </w:pPr>
      <w:r>
        <w:rPr>
          <w:rFonts w:hint="eastAsia" w:cs="宋体" w:asciiTheme="minorEastAsia" w:hAnsiTheme="minorEastAsia" w:eastAsiaTheme="minorEastAsia"/>
          <w:b/>
          <w:color w:val="auto"/>
          <w:sz w:val="32"/>
          <w:szCs w:val="32"/>
        </w:rPr>
        <w:t>日        期： 2019 年 9 月</w:t>
      </w:r>
    </w:p>
    <w:p>
      <w:pPr>
        <w:pStyle w:val="7"/>
        <w:spacing w:beforeLines="150" w:afterLines="100" w:line="360" w:lineRule="auto"/>
        <w:ind w:firstLine="0" w:firstLineChars="0"/>
        <w:jc w:val="center"/>
        <w:rPr>
          <w:rFonts w:cs="宋体" w:asciiTheme="minorEastAsia" w:hAnsiTheme="minorEastAsia" w:eastAsiaTheme="minorEastAsia"/>
          <w:b/>
          <w:color w:val="auto"/>
          <w:sz w:val="36"/>
          <w:szCs w:val="36"/>
        </w:rPr>
      </w:pPr>
      <w:bookmarkStart w:id="0" w:name="_Toc6504_WPSOffice_Type1"/>
      <w:r>
        <w:rPr>
          <w:rFonts w:hint="eastAsia" w:cs="宋体" w:asciiTheme="minorEastAsia" w:hAnsiTheme="minorEastAsia" w:eastAsiaTheme="minorEastAsia"/>
          <w:b/>
          <w:color w:val="auto"/>
          <w:sz w:val="36"/>
          <w:szCs w:val="36"/>
        </w:rPr>
        <w:t>目   录</w:t>
      </w:r>
    </w:p>
    <w:p>
      <w:pPr>
        <w:pStyle w:val="18"/>
        <w:spacing w:before="120"/>
        <w:ind w:firstLine="187" w:firstLineChars="13"/>
        <w:rPr>
          <w:rFonts w:asciiTheme="minorEastAsia" w:hAnsiTheme="minorEastAsia" w:eastAsiaTheme="minorEastAsia" w:cstheme="minorBidi"/>
          <w:b w:val="0"/>
          <w:color w:val="auto"/>
          <w:sz w:val="21"/>
          <w:szCs w:val="22"/>
        </w:rPr>
      </w:pPr>
      <w:r>
        <w:rPr>
          <w:rFonts w:cs="宋体" w:asciiTheme="minorEastAsia" w:hAnsiTheme="minorEastAsia" w:eastAsiaTheme="minorEastAsia"/>
          <w:b w:val="0"/>
          <w:bCs/>
          <w:caps/>
          <w:color w:val="auto"/>
          <w:sz w:val="144"/>
        </w:rPr>
        <w:fldChar w:fldCharType="begin"/>
      </w:r>
      <w:r>
        <w:rPr>
          <w:rFonts w:cs="宋体" w:asciiTheme="minorEastAsia" w:hAnsiTheme="minorEastAsia" w:eastAsiaTheme="minorEastAsia"/>
          <w:b w:val="0"/>
          <w:bCs/>
          <w:caps/>
          <w:color w:val="auto"/>
          <w:sz w:val="144"/>
        </w:rPr>
        <w:instrText xml:space="preserve"> TOC \o "1-1" \h \z \u </w:instrText>
      </w:r>
      <w:r>
        <w:rPr>
          <w:rFonts w:cs="宋体" w:asciiTheme="minorEastAsia" w:hAnsiTheme="minorEastAsia" w:eastAsiaTheme="minorEastAsia"/>
          <w:b w:val="0"/>
          <w:bCs/>
          <w:caps/>
          <w:color w:val="auto"/>
          <w:sz w:val="144"/>
        </w:rPr>
        <w:fldChar w:fldCharType="separate"/>
      </w:r>
      <w:r>
        <w:rPr>
          <w:color w:val="auto"/>
        </w:rPr>
        <w:fldChar w:fldCharType="begin"/>
      </w:r>
      <w:r>
        <w:rPr>
          <w:color w:val="auto"/>
        </w:rPr>
        <w:instrText xml:space="preserve"> HYPERLINK \l "_Toc19891205" </w:instrText>
      </w:r>
      <w:r>
        <w:rPr>
          <w:color w:val="auto"/>
        </w:rPr>
        <w:fldChar w:fldCharType="separate"/>
      </w:r>
      <w:r>
        <w:rPr>
          <w:rStyle w:val="30"/>
          <w:rFonts w:hint="eastAsia" w:cs="宋体" w:asciiTheme="minorEastAsia" w:hAnsiTheme="minorEastAsia" w:eastAsiaTheme="minorEastAsia"/>
          <w:bCs/>
          <w:color w:val="auto"/>
          <w:kern w:val="32"/>
        </w:rPr>
        <w:t>第一部分</w:t>
      </w:r>
      <w:r>
        <w:rPr>
          <w:rStyle w:val="30"/>
          <w:rFonts w:cs="宋体" w:asciiTheme="minorEastAsia" w:hAnsiTheme="minorEastAsia" w:eastAsiaTheme="minorEastAsia"/>
          <w:bCs/>
          <w:color w:val="auto"/>
          <w:kern w:val="32"/>
        </w:rPr>
        <w:t xml:space="preserve">  </w:t>
      </w:r>
      <w:r>
        <w:rPr>
          <w:rStyle w:val="30"/>
          <w:rFonts w:hint="eastAsia" w:cs="宋体" w:asciiTheme="minorEastAsia" w:hAnsiTheme="minorEastAsia" w:eastAsiaTheme="minorEastAsia"/>
          <w:bCs/>
          <w:color w:val="auto"/>
          <w:kern w:val="32"/>
        </w:rPr>
        <w:t>投标邀请函</w:t>
      </w:r>
      <w:r>
        <w:rPr>
          <w:rFonts w:asciiTheme="minorEastAsia" w:hAnsiTheme="minorEastAsia" w:eastAsiaTheme="minorEastAsia"/>
          <w:color w:val="auto"/>
        </w:rPr>
        <w:tab/>
      </w:r>
      <w:r>
        <w:rPr>
          <w:rFonts w:asciiTheme="minorEastAsia" w:hAnsiTheme="minorEastAsia" w:eastAsiaTheme="minorEastAsia"/>
          <w:color w:val="auto"/>
        </w:rPr>
        <w:fldChar w:fldCharType="begin"/>
      </w:r>
      <w:r>
        <w:rPr>
          <w:rFonts w:asciiTheme="minorEastAsia" w:hAnsiTheme="minorEastAsia" w:eastAsiaTheme="minorEastAsia"/>
          <w:color w:val="auto"/>
        </w:rPr>
        <w:instrText xml:space="preserve"> PAGEREF _Toc19891205 \h </w:instrText>
      </w:r>
      <w:r>
        <w:rPr>
          <w:rFonts w:asciiTheme="minorEastAsia" w:hAnsiTheme="minorEastAsia" w:eastAsiaTheme="minorEastAsia"/>
          <w:color w:val="auto"/>
        </w:rPr>
        <w:fldChar w:fldCharType="separate"/>
      </w:r>
      <w:r>
        <w:rPr>
          <w:rFonts w:asciiTheme="minorEastAsia" w:hAnsiTheme="minorEastAsia" w:eastAsiaTheme="minorEastAsia"/>
          <w:color w:val="auto"/>
        </w:rPr>
        <w:t>1</w:t>
      </w:r>
      <w:r>
        <w:rPr>
          <w:rFonts w:asciiTheme="minorEastAsia" w:hAnsiTheme="minorEastAsia" w:eastAsiaTheme="minorEastAsia"/>
          <w:color w:val="auto"/>
        </w:rPr>
        <w:fldChar w:fldCharType="end"/>
      </w:r>
      <w:r>
        <w:rPr>
          <w:rFonts w:asciiTheme="minorEastAsia" w:hAnsiTheme="minorEastAsia" w:eastAsiaTheme="minorEastAsia"/>
          <w:color w:val="auto"/>
        </w:rPr>
        <w:fldChar w:fldCharType="end"/>
      </w:r>
    </w:p>
    <w:p>
      <w:pPr>
        <w:pStyle w:val="18"/>
        <w:spacing w:before="120"/>
        <w:ind w:firstLineChars="71"/>
        <w:rPr>
          <w:rFonts w:asciiTheme="minorEastAsia" w:hAnsiTheme="minorEastAsia" w:eastAsiaTheme="minorEastAsia" w:cstheme="minorBidi"/>
          <w:b w:val="0"/>
          <w:color w:val="auto"/>
          <w:sz w:val="21"/>
          <w:szCs w:val="22"/>
        </w:rPr>
      </w:pPr>
      <w:r>
        <w:rPr>
          <w:color w:val="auto"/>
        </w:rPr>
        <w:fldChar w:fldCharType="begin"/>
      </w:r>
      <w:r>
        <w:rPr>
          <w:color w:val="auto"/>
        </w:rPr>
        <w:instrText xml:space="preserve"> HYPERLINK \l "_Toc19891206" </w:instrText>
      </w:r>
      <w:r>
        <w:rPr>
          <w:color w:val="auto"/>
        </w:rPr>
        <w:fldChar w:fldCharType="separate"/>
      </w:r>
      <w:r>
        <w:rPr>
          <w:rStyle w:val="30"/>
          <w:rFonts w:hint="eastAsia" w:cs="宋体" w:asciiTheme="minorEastAsia" w:hAnsiTheme="minorEastAsia" w:eastAsiaTheme="minorEastAsia"/>
          <w:bCs/>
          <w:color w:val="auto"/>
          <w:kern w:val="32"/>
        </w:rPr>
        <w:t>第二部分</w:t>
      </w:r>
      <w:r>
        <w:rPr>
          <w:rStyle w:val="30"/>
          <w:rFonts w:cs="宋体" w:asciiTheme="minorEastAsia" w:hAnsiTheme="minorEastAsia" w:eastAsiaTheme="minorEastAsia"/>
          <w:bCs/>
          <w:color w:val="auto"/>
          <w:kern w:val="32"/>
        </w:rPr>
        <w:t xml:space="preserve">  </w:t>
      </w:r>
      <w:r>
        <w:rPr>
          <w:rStyle w:val="30"/>
          <w:rFonts w:hint="eastAsia" w:cs="宋体" w:asciiTheme="minorEastAsia" w:hAnsiTheme="minorEastAsia" w:eastAsiaTheme="minorEastAsia"/>
          <w:bCs/>
          <w:color w:val="auto"/>
          <w:kern w:val="32"/>
        </w:rPr>
        <w:t>投标人须知</w:t>
      </w:r>
      <w:r>
        <w:rPr>
          <w:rFonts w:asciiTheme="minorEastAsia" w:hAnsiTheme="minorEastAsia" w:eastAsiaTheme="minorEastAsia"/>
          <w:color w:val="auto"/>
        </w:rPr>
        <w:tab/>
      </w:r>
      <w:r>
        <w:rPr>
          <w:rFonts w:asciiTheme="minorEastAsia" w:hAnsiTheme="minorEastAsia" w:eastAsiaTheme="minorEastAsia"/>
          <w:color w:val="auto"/>
        </w:rPr>
        <w:fldChar w:fldCharType="begin"/>
      </w:r>
      <w:r>
        <w:rPr>
          <w:rFonts w:asciiTheme="minorEastAsia" w:hAnsiTheme="minorEastAsia" w:eastAsiaTheme="minorEastAsia"/>
          <w:color w:val="auto"/>
        </w:rPr>
        <w:instrText xml:space="preserve"> PAGEREF _Toc19891206 \h </w:instrText>
      </w:r>
      <w:r>
        <w:rPr>
          <w:rFonts w:asciiTheme="minorEastAsia" w:hAnsiTheme="minorEastAsia" w:eastAsiaTheme="minorEastAsia"/>
          <w:color w:val="auto"/>
        </w:rPr>
        <w:fldChar w:fldCharType="separate"/>
      </w:r>
      <w:r>
        <w:rPr>
          <w:rFonts w:asciiTheme="minorEastAsia" w:hAnsiTheme="minorEastAsia" w:eastAsiaTheme="minorEastAsia"/>
          <w:color w:val="auto"/>
        </w:rPr>
        <w:t>4</w:t>
      </w:r>
      <w:r>
        <w:rPr>
          <w:rFonts w:asciiTheme="minorEastAsia" w:hAnsiTheme="minorEastAsia" w:eastAsiaTheme="minorEastAsia"/>
          <w:color w:val="auto"/>
        </w:rPr>
        <w:fldChar w:fldCharType="end"/>
      </w:r>
      <w:r>
        <w:rPr>
          <w:rFonts w:asciiTheme="minorEastAsia" w:hAnsiTheme="minorEastAsia" w:eastAsiaTheme="minorEastAsia"/>
          <w:color w:val="auto"/>
        </w:rPr>
        <w:fldChar w:fldCharType="end"/>
      </w:r>
    </w:p>
    <w:p>
      <w:pPr>
        <w:pStyle w:val="18"/>
        <w:spacing w:before="120"/>
        <w:ind w:firstLineChars="71"/>
        <w:rPr>
          <w:rFonts w:asciiTheme="minorEastAsia" w:hAnsiTheme="minorEastAsia" w:eastAsiaTheme="minorEastAsia" w:cstheme="minorBidi"/>
          <w:b w:val="0"/>
          <w:color w:val="auto"/>
          <w:sz w:val="21"/>
          <w:szCs w:val="22"/>
        </w:rPr>
      </w:pPr>
      <w:r>
        <w:rPr>
          <w:color w:val="auto"/>
        </w:rPr>
        <w:fldChar w:fldCharType="begin"/>
      </w:r>
      <w:r>
        <w:rPr>
          <w:color w:val="auto"/>
        </w:rPr>
        <w:instrText xml:space="preserve"> HYPERLINK \l "_Toc19891207" </w:instrText>
      </w:r>
      <w:r>
        <w:rPr>
          <w:color w:val="auto"/>
        </w:rPr>
        <w:fldChar w:fldCharType="separate"/>
      </w:r>
      <w:r>
        <w:rPr>
          <w:rStyle w:val="30"/>
          <w:rFonts w:hint="eastAsia" w:cs="宋体" w:asciiTheme="minorEastAsia" w:hAnsiTheme="minorEastAsia" w:eastAsiaTheme="minorEastAsia"/>
          <w:color w:val="auto"/>
        </w:rPr>
        <w:t>第三部分</w:t>
      </w:r>
      <w:r>
        <w:rPr>
          <w:rStyle w:val="30"/>
          <w:rFonts w:cs="宋体" w:asciiTheme="minorEastAsia" w:hAnsiTheme="minorEastAsia" w:eastAsiaTheme="minorEastAsia"/>
          <w:color w:val="auto"/>
        </w:rPr>
        <w:t xml:space="preserve">  </w:t>
      </w:r>
      <w:r>
        <w:rPr>
          <w:rStyle w:val="30"/>
          <w:rFonts w:hint="eastAsia" w:cs="宋体" w:asciiTheme="minorEastAsia" w:hAnsiTheme="minorEastAsia" w:eastAsiaTheme="minorEastAsia"/>
          <w:color w:val="auto"/>
        </w:rPr>
        <w:t>用户需求书</w:t>
      </w:r>
      <w:r>
        <w:rPr>
          <w:rFonts w:asciiTheme="minorEastAsia" w:hAnsiTheme="minorEastAsia" w:eastAsiaTheme="minorEastAsia"/>
          <w:color w:val="auto"/>
        </w:rPr>
        <w:tab/>
      </w:r>
      <w:r>
        <w:rPr>
          <w:rFonts w:asciiTheme="minorEastAsia" w:hAnsiTheme="minorEastAsia" w:eastAsiaTheme="minorEastAsia"/>
          <w:color w:val="auto"/>
        </w:rPr>
        <w:fldChar w:fldCharType="begin"/>
      </w:r>
      <w:r>
        <w:rPr>
          <w:rFonts w:asciiTheme="minorEastAsia" w:hAnsiTheme="minorEastAsia" w:eastAsiaTheme="minorEastAsia"/>
          <w:color w:val="auto"/>
        </w:rPr>
        <w:instrText xml:space="preserve"> PAGEREF _Toc19891207 \h </w:instrText>
      </w:r>
      <w:r>
        <w:rPr>
          <w:rFonts w:asciiTheme="minorEastAsia" w:hAnsiTheme="minorEastAsia" w:eastAsiaTheme="minorEastAsia"/>
          <w:color w:val="auto"/>
        </w:rPr>
        <w:fldChar w:fldCharType="separate"/>
      </w:r>
      <w:r>
        <w:rPr>
          <w:rFonts w:asciiTheme="minorEastAsia" w:hAnsiTheme="minorEastAsia" w:eastAsiaTheme="minorEastAsia"/>
          <w:color w:val="auto"/>
        </w:rPr>
        <w:t>14</w:t>
      </w:r>
      <w:r>
        <w:rPr>
          <w:rFonts w:asciiTheme="minorEastAsia" w:hAnsiTheme="minorEastAsia" w:eastAsiaTheme="minorEastAsia"/>
          <w:color w:val="auto"/>
        </w:rPr>
        <w:fldChar w:fldCharType="end"/>
      </w:r>
      <w:r>
        <w:rPr>
          <w:rFonts w:asciiTheme="minorEastAsia" w:hAnsiTheme="minorEastAsia" w:eastAsiaTheme="minorEastAsia"/>
          <w:color w:val="auto"/>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"_Toc19891208" </w:instrText>
      </w:r>
      <w:r>
        <w:rPr>
          <w:color w:val="auto"/>
        </w:rPr>
        <w:fldChar w:fldCharType="separate"/>
      </w:r>
      <w:r>
        <w:rPr>
          <w:rStyle w:val="30"/>
          <w:rFonts w:hint="eastAsia" w:asciiTheme="minorEastAsia" w:hAnsiTheme="minorEastAsia" w:eastAsiaTheme="minorEastAsia"/>
          <w:b w:val="0"/>
          <w:color w:val="auto"/>
          <w:sz w:val="24"/>
          <w:szCs w:val="24"/>
          <w:lang w:bidi="zh-CN"/>
        </w:rPr>
        <w:t>一、项目基本情况</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_Toc19891208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14</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"_Toc19891209" </w:instrText>
      </w:r>
      <w:r>
        <w:rPr>
          <w:color w:val="auto"/>
        </w:rPr>
        <w:fldChar w:fldCharType="separate"/>
      </w:r>
      <w:r>
        <w:rPr>
          <w:rStyle w:val="30"/>
          <w:rFonts w:hint="eastAsia" w:asciiTheme="minorEastAsia" w:hAnsiTheme="minorEastAsia" w:eastAsiaTheme="minorEastAsia"/>
          <w:b w:val="0"/>
          <w:color w:val="auto"/>
          <w:sz w:val="24"/>
          <w:szCs w:val="24"/>
          <w:lang w:bidi="zh-CN"/>
        </w:rPr>
        <w:t>二、风险分配与保险</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_Toc19891209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32</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"_Toc19891210" </w:instrText>
      </w:r>
      <w:r>
        <w:rPr>
          <w:color w:val="auto"/>
        </w:rPr>
        <w:fldChar w:fldCharType="separate"/>
      </w:r>
      <w:r>
        <w:rPr>
          <w:rStyle w:val="30"/>
          <w:rFonts w:hint="eastAsia" w:asciiTheme="minorEastAsia" w:hAnsiTheme="minorEastAsia" w:eastAsiaTheme="minorEastAsia"/>
          <w:b w:val="0"/>
          <w:color w:val="auto"/>
          <w:sz w:val="24"/>
          <w:szCs w:val="24"/>
          <w:lang w:bidi="zh-CN"/>
        </w:rPr>
        <w:t>三、项目运作方式</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_Toc19891210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38</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"_Toc19891211" </w:instrText>
      </w:r>
      <w:r>
        <w:rPr>
          <w:color w:val="auto"/>
        </w:rPr>
        <w:fldChar w:fldCharType="separate"/>
      </w:r>
      <w:r>
        <w:rPr>
          <w:rStyle w:val="30"/>
          <w:rFonts w:hint="eastAsia" w:asciiTheme="minorEastAsia" w:hAnsiTheme="minorEastAsia" w:eastAsiaTheme="minorEastAsia"/>
          <w:b w:val="0"/>
          <w:color w:val="auto"/>
          <w:sz w:val="24"/>
          <w:szCs w:val="24"/>
        </w:rPr>
        <w:t>四、项目交易结构</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_Toc19891211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44</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"_Toc19891212" </w:instrText>
      </w:r>
      <w:r>
        <w:rPr>
          <w:color w:val="auto"/>
        </w:rPr>
        <w:fldChar w:fldCharType="separate"/>
      </w:r>
      <w:r>
        <w:rPr>
          <w:rStyle w:val="30"/>
          <w:rFonts w:hint="eastAsia" w:asciiTheme="minorEastAsia" w:hAnsiTheme="minorEastAsia" w:eastAsiaTheme="minorEastAsia"/>
          <w:b w:val="0"/>
          <w:color w:val="auto"/>
          <w:sz w:val="24"/>
          <w:szCs w:val="24"/>
          <w:lang w:bidi="zh-CN"/>
        </w:rPr>
        <w:t>五、监管架构</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_Toc19891212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53</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"_Toc19891213" </w:instrText>
      </w:r>
      <w:r>
        <w:rPr>
          <w:color w:val="auto"/>
        </w:rPr>
        <w:fldChar w:fldCharType="separate"/>
      </w:r>
      <w:r>
        <w:rPr>
          <w:rStyle w:val="30"/>
          <w:rFonts w:hint="eastAsia" w:asciiTheme="minorEastAsia" w:hAnsiTheme="minorEastAsia" w:eastAsiaTheme="minorEastAsia"/>
          <w:b w:val="0"/>
          <w:color w:val="auto"/>
          <w:sz w:val="24"/>
          <w:szCs w:val="24"/>
          <w:lang w:bidi="zh-CN"/>
        </w:rPr>
        <w:t>六、财务测算</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_Toc19891213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55</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"_Toc19891214" </w:instrText>
      </w:r>
      <w:r>
        <w:rPr>
          <w:color w:val="auto"/>
        </w:rPr>
        <w:fldChar w:fldCharType="separate"/>
      </w:r>
      <w:r>
        <w:rPr>
          <w:rStyle w:val="30"/>
          <w:rFonts w:hint="eastAsia" w:asciiTheme="minorEastAsia" w:hAnsiTheme="minorEastAsia" w:eastAsiaTheme="minorEastAsia"/>
          <w:b w:val="0"/>
          <w:color w:val="auto"/>
          <w:sz w:val="24"/>
          <w:szCs w:val="24"/>
          <w:lang w:bidi="zh-CN"/>
        </w:rPr>
        <w:t>附件</w:t>
      </w:r>
      <w:r>
        <w:rPr>
          <w:rStyle w:val="30"/>
          <w:rFonts w:asciiTheme="minorEastAsia" w:hAnsiTheme="minorEastAsia" w:eastAsiaTheme="minorEastAsia"/>
          <w:b w:val="0"/>
          <w:color w:val="auto"/>
          <w:sz w:val="24"/>
          <w:szCs w:val="24"/>
          <w:lang w:bidi="zh-CN"/>
        </w:rPr>
        <w:t>1</w:t>
      </w:r>
      <w:r>
        <w:rPr>
          <w:rStyle w:val="30"/>
          <w:rFonts w:hint="eastAsia" w:asciiTheme="minorEastAsia" w:hAnsiTheme="minorEastAsia" w:eastAsiaTheme="minorEastAsia"/>
          <w:b w:val="0"/>
          <w:color w:val="auto"/>
          <w:sz w:val="24"/>
          <w:szCs w:val="24"/>
          <w:lang w:bidi="zh-CN"/>
        </w:rPr>
        <w:t>：未来年度票价收入估算表</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_Toc19891214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81</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"_Toc19891215" </w:instrText>
      </w:r>
      <w:r>
        <w:rPr>
          <w:color w:val="auto"/>
        </w:rPr>
        <w:fldChar w:fldCharType="separate"/>
      </w:r>
      <w:r>
        <w:rPr>
          <w:rStyle w:val="30"/>
          <w:rFonts w:hint="eastAsia" w:asciiTheme="minorEastAsia" w:hAnsiTheme="minorEastAsia" w:eastAsiaTheme="minorEastAsia"/>
          <w:b w:val="0"/>
          <w:color w:val="auto"/>
          <w:sz w:val="24"/>
          <w:szCs w:val="24"/>
          <w:lang w:bidi="zh-CN"/>
        </w:rPr>
        <w:t>附件</w:t>
      </w:r>
      <w:r>
        <w:rPr>
          <w:rStyle w:val="30"/>
          <w:rFonts w:asciiTheme="minorEastAsia" w:hAnsiTheme="minorEastAsia" w:eastAsiaTheme="minorEastAsia"/>
          <w:b w:val="0"/>
          <w:color w:val="auto"/>
          <w:sz w:val="24"/>
          <w:szCs w:val="24"/>
          <w:lang w:bidi="zh-CN"/>
        </w:rPr>
        <w:t>2</w:t>
      </w:r>
      <w:r>
        <w:rPr>
          <w:rStyle w:val="30"/>
          <w:rFonts w:hint="eastAsia" w:asciiTheme="minorEastAsia" w:hAnsiTheme="minorEastAsia" w:eastAsiaTheme="minorEastAsia"/>
          <w:b w:val="0"/>
          <w:color w:val="auto"/>
          <w:sz w:val="24"/>
          <w:szCs w:val="24"/>
          <w:lang w:bidi="zh-CN"/>
        </w:rPr>
        <w:t>：燃料费用估算</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_Toc19891215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82</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"_Toc19891216" </w:instrText>
      </w:r>
      <w:r>
        <w:rPr>
          <w:color w:val="auto"/>
        </w:rPr>
        <w:fldChar w:fldCharType="separate"/>
      </w:r>
      <w:r>
        <w:rPr>
          <w:rStyle w:val="30"/>
          <w:rFonts w:hint="eastAsia" w:asciiTheme="minorEastAsia" w:hAnsiTheme="minorEastAsia" w:eastAsiaTheme="minorEastAsia"/>
          <w:b w:val="0"/>
          <w:color w:val="auto"/>
          <w:sz w:val="24"/>
          <w:szCs w:val="24"/>
          <w:lang w:bidi="zh-CN"/>
        </w:rPr>
        <w:t>附件</w:t>
      </w:r>
      <w:r>
        <w:rPr>
          <w:rStyle w:val="30"/>
          <w:rFonts w:asciiTheme="minorEastAsia" w:hAnsiTheme="minorEastAsia" w:eastAsiaTheme="minorEastAsia"/>
          <w:b w:val="0"/>
          <w:color w:val="auto"/>
          <w:sz w:val="24"/>
          <w:szCs w:val="24"/>
          <w:lang w:bidi="zh-CN"/>
        </w:rPr>
        <w:t>3</w:t>
      </w:r>
      <w:r>
        <w:rPr>
          <w:rStyle w:val="30"/>
          <w:rFonts w:hint="eastAsia" w:asciiTheme="minorEastAsia" w:hAnsiTheme="minorEastAsia" w:eastAsiaTheme="minorEastAsia"/>
          <w:b w:val="0"/>
          <w:color w:val="auto"/>
          <w:sz w:val="24"/>
          <w:szCs w:val="24"/>
          <w:lang w:bidi="zh-CN"/>
        </w:rPr>
        <w:t>：单车年修理费、轮胎消耗费预估</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_Toc19891216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85</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"_Toc19891217" </w:instrText>
      </w:r>
      <w:r>
        <w:rPr>
          <w:color w:val="auto"/>
        </w:rPr>
        <w:fldChar w:fldCharType="separate"/>
      </w:r>
      <w:r>
        <w:rPr>
          <w:rStyle w:val="30"/>
          <w:rFonts w:hint="eastAsia" w:asciiTheme="minorEastAsia" w:hAnsiTheme="minorEastAsia" w:eastAsiaTheme="minorEastAsia"/>
          <w:b w:val="0"/>
          <w:color w:val="auto"/>
          <w:sz w:val="24"/>
          <w:szCs w:val="24"/>
          <w:lang w:bidi="zh-CN"/>
        </w:rPr>
        <w:t>附件</w:t>
      </w:r>
      <w:r>
        <w:rPr>
          <w:rStyle w:val="30"/>
          <w:rFonts w:asciiTheme="minorEastAsia" w:hAnsiTheme="minorEastAsia" w:eastAsiaTheme="minorEastAsia"/>
          <w:b w:val="0"/>
          <w:color w:val="auto"/>
          <w:sz w:val="24"/>
          <w:szCs w:val="24"/>
          <w:lang w:bidi="zh-CN"/>
        </w:rPr>
        <w:t>4</w:t>
      </w:r>
      <w:r>
        <w:rPr>
          <w:rStyle w:val="30"/>
          <w:rFonts w:hint="eastAsia" w:asciiTheme="minorEastAsia" w:hAnsiTheme="minorEastAsia" w:eastAsiaTheme="minorEastAsia"/>
          <w:b w:val="0"/>
          <w:color w:val="auto"/>
          <w:sz w:val="24"/>
          <w:szCs w:val="24"/>
          <w:lang w:bidi="zh-CN"/>
        </w:rPr>
        <w:t>：收入支出汇总表及平衡表</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_Toc19891217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88</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562"/>
        <w:rPr>
          <w:rFonts w:asciiTheme="minorEastAsia" w:hAnsiTheme="minorEastAsia" w:eastAsiaTheme="minorEastAsia" w:cstheme="minorBidi"/>
          <w:b w:val="0"/>
          <w:color w:val="auto"/>
          <w:sz w:val="24"/>
          <w:szCs w:val="24"/>
        </w:rPr>
      </w:pPr>
      <w:r>
        <w:rPr>
          <w:color w:val="auto"/>
        </w:rPr>
        <w:fldChar w:fldCharType="begin"/>
      </w:r>
      <w:r>
        <w:rPr>
          <w:color w:val="auto"/>
        </w:rPr>
        <w:instrText xml:space="preserve"> HYPERLINK \l "_Toc19891218" </w:instrText>
      </w:r>
      <w:r>
        <w:rPr>
          <w:color w:val="auto"/>
        </w:rPr>
        <w:fldChar w:fldCharType="separate"/>
      </w:r>
      <w:r>
        <w:rPr>
          <w:rStyle w:val="30"/>
          <w:rFonts w:hint="eastAsia" w:asciiTheme="minorEastAsia" w:hAnsiTheme="minorEastAsia" w:eastAsiaTheme="minorEastAsia"/>
          <w:b w:val="0"/>
          <w:color w:val="auto"/>
          <w:sz w:val="24"/>
          <w:szCs w:val="24"/>
          <w:lang w:bidi="zh-CN"/>
        </w:rPr>
        <w:t>附件</w:t>
      </w:r>
      <w:r>
        <w:rPr>
          <w:rStyle w:val="30"/>
          <w:rFonts w:asciiTheme="minorEastAsia" w:hAnsiTheme="minorEastAsia" w:eastAsiaTheme="minorEastAsia"/>
          <w:b w:val="0"/>
          <w:color w:val="auto"/>
          <w:sz w:val="24"/>
          <w:szCs w:val="24"/>
          <w:lang w:bidi="zh-CN"/>
        </w:rPr>
        <w:t>5</w:t>
      </w:r>
      <w:r>
        <w:rPr>
          <w:rStyle w:val="30"/>
          <w:rFonts w:hint="eastAsia" w:asciiTheme="minorEastAsia" w:hAnsiTheme="minorEastAsia" w:eastAsiaTheme="minorEastAsia"/>
          <w:b w:val="0"/>
          <w:color w:val="auto"/>
          <w:sz w:val="24"/>
          <w:szCs w:val="24"/>
          <w:lang w:bidi="zh-CN"/>
        </w:rPr>
        <w:t>：东方市城乡公交企业服务质量考核办法</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_Toc19891218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93</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18"/>
        <w:spacing w:before="120"/>
        <w:ind w:firstLineChars="71"/>
        <w:rPr>
          <w:rFonts w:asciiTheme="minorEastAsia" w:hAnsiTheme="minorEastAsia" w:eastAsiaTheme="minorEastAsia" w:cstheme="minorBidi"/>
          <w:b w:val="0"/>
          <w:color w:val="auto"/>
          <w:sz w:val="21"/>
          <w:szCs w:val="22"/>
        </w:rPr>
      </w:pPr>
      <w:r>
        <w:rPr>
          <w:color w:val="auto"/>
        </w:rPr>
        <w:fldChar w:fldCharType="begin"/>
      </w:r>
      <w:r>
        <w:rPr>
          <w:color w:val="auto"/>
        </w:rPr>
        <w:instrText xml:space="preserve"> HYPERLINK \l "_Toc19891219" </w:instrText>
      </w:r>
      <w:r>
        <w:rPr>
          <w:color w:val="auto"/>
        </w:rPr>
        <w:fldChar w:fldCharType="separate"/>
      </w:r>
      <w:r>
        <w:rPr>
          <w:rStyle w:val="30"/>
          <w:rFonts w:hint="eastAsia" w:cs="宋体" w:asciiTheme="minorEastAsia" w:hAnsiTheme="minorEastAsia" w:eastAsiaTheme="minorEastAsia"/>
          <w:color w:val="auto"/>
        </w:rPr>
        <w:t>第四部分</w:t>
      </w:r>
      <w:r>
        <w:rPr>
          <w:rStyle w:val="30"/>
          <w:rFonts w:cs="宋体" w:asciiTheme="minorEastAsia" w:hAnsiTheme="minorEastAsia" w:eastAsiaTheme="minorEastAsia"/>
          <w:color w:val="auto"/>
        </w:rPr>
        <w:t xml:space="preserve"> </w:t>
      </w:r>
      <w:r>
        <w:rPr>
          <w:rStyle w:val="30"/>
          <w:rFonts w:hint="eastAsia" w:cs="宋体" w:asciiTheme="minorEastAsia" w:hAnsiTheme="minorEastAsia" w:eastAsiaTheme="minorEastAsia"/>
          <w:color w:val="auto"/>
        </w:rPr>
        <w:t>评标办法及标准</w:t>
      </w:r>
      <w:r>
        <w:rPr>
          <w:rFonts w:asciiTheme="minorEastAsia" w:hAnsiTheme="minorEastAsia" w:eastAsiaTheme="minorEastAsia"/>
          <w:color w:val="auto"/>
        </w:rPr>
        <w:tab/>
      </w:r>
      <w:r>
        <w:rPr>
          <w:rFonts w:asciiTheme="minorEastAsia" w:hAnsiTheme="minorEastAsia" w:eastAsiaTheme="minorEastAsia"/>
          <w:color w:val="auto"/>
        </w:rPr>
        <w:fldChar w:fldCharType="begin"/>
      </w:r>
      <w:r>
        <w:rPr>
          <w:rFonts w:asciiTheme="minorEastAsia" w:hAnsiTheme="minorEastAsia" w:eastAsiaTheme="minorEastAsia"/>
          <w:color w:val="auto"/>
        </w:rPr>
        <w:instrText xml:space="preserve"> PAGEREF _Toc19891219 \h </w:instrText>
      </w:r>
      <w:r>
        <w:rPr>
          <w:rFonts w:asciiTheme="minorEastAsia" w:hAnsiTheme="minorEastAsia" w:eastAsiaTheme="minorEastAsia"/>
          <w:color w:val="auto"/>
        </w:rPr>
        <w:fldChar w:fldCharType="separate"/>
      </w:r>
      <w:r>
        <w:rPr>
          <w:rFonts w:asciiTheme="minorEastAsia" w:hAnsiTheme="minorEastAsia" w:eastAsiaTheme="minorEastAsia"/>
          <w:color w:val="auto"/>
        </w:rPr>
        <w:t>104</w:t>
      </w:r>
      <w:r>
        <w:rPr>
          <w:rFonts w:asciiTheme="minorEastAsia" w:hAnsiTheme="minorEastAsia" w:eastAsiaTheme="minorEastAsia"/>
          <w:color w:val="auto"/>
        </w:rPr>
        <w:fldChar w:fldCharType="end"/>
      </w:r>
      <w:r>
        <w:rPr>
          <w:rFonts w:asciiTheme="minorEastAsia" w:hAnsiTheme="minorEastAsia" w:eastAsiaTheme="minorEastAsia"/>
          <w:color w:val="auto"/>
        </w:rPr>
        <w:fldChar w:fldCharType="end"/>
      </w:r>
    </w:p>
    <w:p>
      <w:pPr>
        <w:pStyle w:val="18"/>
        <w:spacing w:before="120"/>
        <w:ind w:firstLineChars="71"/>
        <w:rPr>
          <w:rFonts w:asciiTheme="minorEastAsia" w:hAnsiTheme="minorEastAsia" w:eastAsiaTheme="minorEastAsia" w:cstheme="minorBidi"/>
          <w:b w:val="0"/>
          <w:color w:val="auto"/>
          <w:sz w:val="21"/>
          <w:szCs w:val="22"/>
        </w:rPr>
      </w:pPr>
      <w:r>
        <w:rPr>
          <w:color w:val="auto"/>
        </w:rPr>
        <w:fldChar w:fldCharType="begin"/>
      </w:r>
      <w:r>
        <w:rPr>
          <w:color w:val="auto"/>
        </w:rPr>
        <w:instrText xml:space="preserve"> HYPERLINK \l "_Toc19891220" </w:instrText>
      </w:r>
      <w:r>
        <w:rPr>
          <w:color w:val="auto"/>
        </w:rPr>
        <w:fldChar w:fldCharType="separate"/>
      </w:r>
      <w:r>
        <w:rPr>
          <w:rStyle w:val="30"/>
          <w:rFonts w:hint="eastAsia" w:cs="宋体" w:asciiTheme="minorEastAsia" w:hAnsiTheme="minorEastAsia" w:eastAsiaTheme="minorEastAsia"/>
          <w:color w:val="auto"/>
        </w:rPr>
        <w:t>第五部分</w:t>
      </w:r>
      <w:r>
        <w:rPr>
          <w:rStyle w:val="30"/>
          <w:rFonts w:cs="宋体" w:asciiTheme="minorEastAsia" w:hAnsiTheme="minorEastAsia" w:eastAsiaTheme="minorEastAsia"/>
          <w:color w:val="auto"/>
        </w:rPr>
        <w:t xml:space="preserve"> </w:t>
      </w:r>
      <w:r>
        <w:rPr>
          <w:rStyle w:val="30"/>
          <w:rFonts w:hint="eastAsia" w:cs="宋体" w:asciiTheme="minorEastAsia" w:hAnsiTheme="minorEastAsia" w:eastAsiaTheme="minorEastAsia"/>
          <w:color w:val="auto"/>
        </w:rPr>
        <w:t>合同条款及格式</w:t>
      </w:r>
      <w:r>
        <w:rPr>
          <w:rFonts w:asciiTheme="minorEastAsia" w:hAnsiTheme="minorEastAsia" w:eastAsiaTheme="minorEastAsia"/>
          <w:color w:val="auto"/>
        </w:rPr>
        <w:tab/>
      </w:r>
      <w:r>
        <w:rPr>
          <w:rFonts w:asciiTheme="minorEastAsia" w:hAnsiTheme="minorEastAsia" w:eastAsiaTheme="minorEastAsia"/>
          <w:color w:val="auto"/>
        </w:rPr>
        <w:fldChar w:fldCharType="begin"/>
      </w:r>
      <w:r>
        <w:rPr>
          <w:rFonts w:asciiTheme="minorEastAsia" w:hAnsiTheme="minorEastAsia" w:eastAsiaTheme="minorEastAsia"/>
          <w:color w:val="auto"/>
        </w:rPr>
        <w:instrText xml:space="preserve"> PAGEREF _Toc19891220 \h </w:instrText>
      </w:r>
      <w:r>
        <w:rPr>
          <w:rFonts w:asciiTheme="minorEastAsia" w:hAnsiTheme="minorEastAsia" w:eastAsiaTheme="minorEastAsia"/>
          <w:color w:val="auto"/>
        </w:rPr>
        <w:fldChar w:fldCharType="separate"/>
      </w:r>
      <w:r>
        <w:rPr>
          <w:rFonts w:asciiTheme="minorEastAsia" w:hAnsiTheme="minorEastAsia" w:eastAsiaTheme="minorEastAsia"/>
          <w:color w:val="auto"/>
        </w:rPr>
        <w:t>112</w:t>
      </w:r>
      <w:r>
        <w:rPr>
          <w:rFonts w:asciiTheme="minorEastAsia" w:hAnsiTheme="minorEastAsia" w:eastAsiaTheme="minorEastAsia"/>
          <w:color w:val="auto"/>
        </w:rPr>
        <w:fldChar w:fldCharType="end"/>
      </w:r>
      <w:r>
        <w:rPr>
          <w:rFonts w:asciiTheme="minorEastAsia" w:hAnsiTheme="minorEastAsia" w:eastAsiaTheme="minorEastAsia"/>
          <w:color w:val="auto"/>
        </w:rPr>
        <w:fldChar w:fldCharType="end"/>
      </w:r>
    </w:p>
    <w:p>
      <w:pPr>
        <w:pStyle w:val="18"/>
        <w:spacing w:before="120"/>
        <w:ind w:firstLineChars="71"/>
        <w:rPr>
          <w:rFonts w:asciiTheme="minorEastAsia" w:hAnsiTheme="minorEastAsia" w:eastAsiaTheme="minorEastAsia" w:cstheme="minorBidi"/>
          <w:b w:val="0"/>
          <w:color w:val="auto"/>
          <w:sz w:val="21"/>
          <w:szCs w:val="22"/>
        </w:rPr>
      </w:pPr>
      <w:r>
        <w:rPr>
          <w:color w:val="auto"/>
        </w:rPr>
        <w:fldChar w:fldCharType="begin"/>
      </w:r>
      <w:r>
        <w:rPr>
          <w:color w:val="auto"/>
        </w:rPr>
        <w:instrText xml:space="preserve"> HYPERLINK \l "_Toc19891221" </w:instrText>
      </w:r>
      <w:r>
        <w:rPr>
          <w:color w:val="auto"/>
        </w:rPr>
        <w:fldChar w:fldCharType="separate"/>
      </w:r>
      <w:r>
        <w:rPr>
          <w:rStyle w:val="30"/>
          <w:rFonts w:hint="eastAsia" w:cs="宋体" w:asciiTheme="minorEastAsia" w:hAnsiTheme="minorEastAsia" w:eastAsiaTheme="minorEastAsia"/>
          <w:color w:val="auto"/>
        </w:rPr>
        <w:t>第六部分</w:t>
      </w:r>
      <w:r>
        <w:rPr>
          <w:rStyle w:val="30"/>
          <w:rFonts w:cs="宋体" w:asciiTheme="minorEastAsia" w:hAnsiTheme="minorEastAsia" w:eastAsiaTheme="minorEastAsia"/>
          <w:color w:val="auto"/>
        </w:rPr>
        <w:t xml:space="preserve">  </w:t>
      </w:r>
      <w:r>
        <w:rPr>
          <w:rStyle w:val="30"/>
          <w:rFonts w:hint="eastAsia" w:cs="宋体" w:asciiTheme="minorEastAsia" w:hAnsiTheme="minorEastAsia" w:eastAsiaTheme="minorEastAsia"/>
          <w:color w:val="auto"/>
        </w:rPr>
        <w:t>投标文件内容及格式</w:t>
      </w:r>
      <w:r>
        <w:rPr>
          <w:rFonts w:asciiTheme="minorEastAsia" w:hAnsiTheme="minorEastAsia" w:eastAsiaTheme="minorEastAsia"/>
          <w:color w:val="auto"/>
        </w:rPr>
        <w:tab/>
      </w:r>
      <w:r>
        <w:rPr>
          <w:rFonts w:asciiTheme="minorEastAsia" w:hAnsiTheme="minorEastAsia" w:eastAsiaTheme="minorEastAsia"/>
          <w:color w:val="auto"/>
        </w:rPr>
        <w:fldChar w:fldCharType="begin"/>
      </w:r>
      <w:r>
        <w:rPr>
          <w:rFonts w:asciiTheme="minorEastAsia" w:hAnsiTheme="minorEastAsia" w:eastAsiaTheme="minorEastAsia"/>
          <w:color w:val="auto"/>
        </w:rPr>
        <w:instrText xml:space="preserve"> PAGEREF _Toc19891221 \h </w:instrText>
      </w:r>
      <w:r>
        <w:rPr>
          <w:rFonts w:asciiTheme="minorEastAsia" w:hAnsiTheme="minorEastAsia" w:eastAsiaTheme="minorEastAsia"/>
          <w:color w:val="auto"/>
        </w:rPr>
        <w:fldChar w:fldCharType="separate"/>
      </w:r>
      <w:r>
        <w:rPr>
          <w:rFonts w:asciiTheme="minorEastAsia" w:hAnsiTheme="minorEastAsia" w:eastAsiaTheme="minorEastAsia"/>
          <w:color w:val="auto"/>
        </w:rPr>
        <w:t>157</w:t>
      </w:r>
      <w:r>
        <w:rPr>
          <w:rFonts w:asciiTheme="minorEastAsia" w:hAnsiTheme="minorEastAsia" w:eastAsiaTheme="minorEastAsia"/>
          <w:color w:val="auto"/>
        </w:rPr>
        <w:fldChar w:fldCharType="end"/>
      </w:r>
      <w:r>
        <w:rPr>
          <w:rFonts w:asciiTheme="minorEastAsia" w:hAnsiTheme="minorEastAsia" w:eastAsiaTheme="minorEastAsia"/>
          <w:color w:val="auto"/>
        </w:rPr>
        <w:fldChar w:fldCharType="end"/>
      </w:r>
    </w:p>
    <w:p>
      <w:pPr>
        <w:pStyle w:val="7"/>
        <w:spacing w:line="360" w:lineRule="auto"/>
        <w:ind w:firstLine="2891"/>
        <w:rPr>
          <w:rFonts w:cs="宋体" w:asciiTheme="minorEastAsia" w:hAnsiTheme="minorEastAsia" w:eastAsiaTheme="minorEastAsia"/>
          <w:b/>
          <w:color w:val="auto"/>
          <w:sz w:val="24"/>
        </w:rPr>
      </w:pPr>
      <w:r>
        <w:rPr>
          <w:rFonts w:cs="宋体" w:asciiTheme="minorEastAsia" w:hAnsiTheme="minorEastAsia" w:eastAsiaTheme="minorEastAsia"/>
          <w:b/>
          <w:bCs/>
          <w:caps/>
          <w:color w:val="auto"/>
          <w:sz w:val="144"/>
          <w:szCs w:val="28"/>
        </w:rPr>
        <w:fldChar w:fldCharType="end"/>
      </w:r>
    </w:p>
    <w:p>
      <w:pPr>
        <w:pStyle w:val="7"/>
        <w:spacing w:line="360" w:lineRule="auto"/>
        <w:ind w:firstLine="480"/>
        <w:rPr>
          <w:rFonts w:cs="宋体" w:asciiTheme="minorEastAsia" w:hAnsiTheme="minorEastAsia" w:eastAsiaTheme="minorEastAsia"/>
          <w:color w:val="auto"/>
          <w:sz w:val="24"/>
        </w:rPr>
      </w:pPr>
    </w:p>
    <w:p>
      <w:pPr>
        <w:spacing w:line="360" w:lineRule="auto"/>
        <w:jc w:val="center"/>
        <w:rPr>
          <w:rFonts w:cs="宋体" w:asciiTheme="minorEastAsia" w:hAnsiTheme="minorEastAsia" w:eastAsiaTheme="minorEastAsia"/>
          <w:b/>
          <w:color w:val="auto"/>
          <w:sz w:val="32"/>
          <w:szCs w:val="32"/>
        </w:rPr>
      </w:pPr>
    </w:p>
    <w:bookmarkEnd w:id="0"/>
    <w:p>
      <w:pPr>
        <w:spacing w:line="360" w:lineRule="auto"/>
        <w:ind w:firstLine="849" w:firstLineChars="235"/>
        <w:jc w:val="left"/>
        <w:rPr>
          <w:rFonts w:cs="宋体" w:asciiTheme="minorEastAsia" w:hAnsiTheme="minorEastAsia" w:eastAsiaTheme="minorEastAsia"/>
          <w:b/>
          <w:color w:val="auto"/>
          <w:sz w:val="36"/>
          <w:szCs w:val="36"/>
        </w:rPr>
        <w:sectPr>
          <w:footnotePr>
            <w:numFmt w:val="decimalEnclosedCircleChinese"/>
            <w:numRestart w:val="eachPage"/>
          </w:footnotePr>
          <w:pgSz w:w="11907" w:h="16840"/>
          <w:pgMar w:top="1418" w:right="1418" w:bottom="1418" w:left="1418" w:header="851" w:footer="851" w:gutter="0"/>
          <w:pgNumType w:fmt="upperRoman" w:start="1"/>
          <w:cols w:space="720" w:num="1"/>
          <w:docGrid w:linePitch="312" w:charSpace="0"/>
        </w:sectPr>
      </w:pPr>
    </w:p>
    <w:p>
      <w:pPr>
        <w:spacing w:beforeLines="50" w:afterLines="50" w:line="360" w:lineRule="auto"/>
        <w:jc w:val="center"/>
        <w:outlineLvl w:val="0"/>
        <w:rPr>
          <w:rStyle w:val="42"/>
          <w:rFonts w:cs="宋体" w:asciiTheme="minorEastAsia" w:hAnsiTheme="minorEastAsia" w:eastAsiaTheme="minorEastAsia"/>
          <w:b/>
          <w:color w:val="auto"/>
          <w:sz w:val="44"/>
          <w:szCs w:val="44"/>
        </w:rPr>
      </w:pPr>
      <w:bookmarkStart w:id="1" w:name="_Toc28555_WPSOffice_Level1"/>
      <w:bookmarkStart w:id="2" w:name="_Toc19881750"/>
      <w:bookmarkStart w:id="3" w:name="_Toc19891205"/>
      <w:r>
        <w:rPr>
          <w:rStyle w:val="42"/>
          <w:rFonts w:hint="eastAsia" w:cs="宋体" w:asciiTheme="minorEastAsia" w:hAnsiTheme="minorEastAsia" w:eastAsiaTheme="minorEastAsia"/>
          <w:b/>
          <w:color w:val="auto"/>
          <w:sz w:val="44"/>
          <w:szCs w:val="44"/>
        </w:rPr>
        <w:t>第一部分  投标邀请函</w:t>
      </w:r>
      <w:bookmarkEnd w:id="1"/>
      <w:bookmarkEnd w:id="2"/>
      <w:bookmarkEnd w:id="3"/>
    </w:p>
    <w:p>
      <w:pPr>
        <w:spacing w:line="360" w:lineRule="auto"/>
        <w:ind w:firstLine="480" w:firstLineChars="200"/>
        <w:rPr>
          <w:rFonts w:cs="宋体" w:asciiTheme="minorEastAsia" w:hAnsiTheme="minorEastAsia" w:eastAsiaTheme="minorEastAsia"/>
          <w:bCs/>
          <w:color w:val="auto"/>
          <w:kern w:val="0"/>
          <w:sz w:val="24"/>
          <w:lang w:val="en-GB"/>
        </w:rPr>
      </w:pPr>
      <w:bookmarkStart w:id="4" w:name="_Toc19881751"/>
      <w:r>
        <w:rPr>
          <w:rFonts w:hint="eastAsia" w:cs="宋体" w:asciiTheme="minorEastAsia" w:hAnsiTheme="minorEastAsia" w:eastAsiaTheme="minorEastAsia"/>
          <w:bCs/>
          <w:color w:val="auto"/>
          <w:kern w:val="0"/>
          <w:sz w:val="24"/>
          <w:u w:val="single"/>
          <w:lang w:val="en-GB"/>
        </w:rPr>
        <w:t xml:space="preserve">海南中政源达项目管理有限公司 </w:t>
      </w:r>
      <w:r>
        <w:rPr>
          <w:rFonts w:hint="eastAsia" w:cs="宋体" w:asciiTheme="minorEastAsia" w:hAnsiTheme="minorEastAsia" w:eastAsiaTheme="minorEastAsia"/>
          <w:bCs/>
          <w:color w:val="auto"/>
          <w:kern w:val="0"/>
          <w:sz w:val="24"/>
          <w:lang w:val="en-GB"/>
        </w:rPr>
        <w:t>受</w:t>
      </w:r>
      <w:r>
        <w:rPr>
          <w:rFonts w:hint="eastAsia" w:cs="宋体" w:asciiTheme="minorEastAsia" w:hAnsiTheme="minorEastAsia" w:eastAsiaTheme="minorEastAsia"/>
          <w:bCs/>
          <w:color w:val="auto"/>
          <w:kern w:val="0"/>
          <w:sz w:val="24"/>
          <w:u w:val="single"/>
          <w:lang w:val="en-GB"/>
        </w:rPr>
        <w:t xml:space="preserve"> 东方市交通运输局 </w:t>
      </w:r>
      <w:r>
        <w:rPr>
          <w:rFonts w:hint="eastAsia" w:cs="宋体" w:asciiTheme="minorEastAsia" w:hAnsiTheme="minorEastAsia" w:eastAsiaTheme="minorEastAsia"/>
          <w:bCs/>
          <w:color w:val="auto"/>
          <w:kern w:val="0"/>
          <w:sz w:val="24"/>
          <w:lang w:val="en-GB"/>
        </w:rPr>
        <w:t xml:space="preserve">委托，对 </w:t>
      </w:r>
      <w:r>
        <w:rPr>
          <w:rFonts w:hint="eastAsia" w:cs="宋体" w:asciiTheme="minorEastAsia" w:hAnsiTheme="minorEastAsia" w:eastAsiaTheme="minorEastAsia"/>
          <w:bCs/>
          <w:color w:val="auto"/>
          <w:kern w:val="0"/>
          <w:sz w:val="24"/>
          <w:u w:val="single"/>
          <w:lang w:val="en-GB"/>
        </w:rPr>
        <w:t xml:space="preserve">东方市城乡公交客运服务一体化特许经营项目 </w:t>
      </w:r>
      <w:r>
        <w:rPr>
          <w:rFonts w:hint="eastAsia" w:cs="宋体" w:asciiTheme="minorEastAsia" w:hAnsiTheme="minorEastAsia" w:eastAsiaTheme="minorEastAsia"/>
          <w:bCs/>
          <w:color w:val="auto"/>
          <w:kern w:val="0"/>
          <w:sz w:val="24"/>
          <w:lang w:val="en-GB"/>
        </w:rPr>
        <w:t>进行国内公开招标采购，诚邀请合格的供应商前来投标。</w:t>
      </w:r>
      <w:bookmarkEnd w:id="4"/>
    </w:p>
    <w:p>
      <w:pPr>
        <w:autoSpaceDE w:val="0"/>
        <w:autoSpaceDN w:val="0"/>
        <w:adjustRightInd w:val="0"/>
        <w:snapToGrid w:val="0"/>
        <w:spacing w:beforeLines="50" w:afterLines="50" w:line="360" w:lineRule="auto"/>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1、项目简介</w:t>
      </w:r>
    </w:p>
    <w:p>
      <w:pPr>
        <w:pStyle w:val="55"/>
        <w:spacing w:line="360" w:lineRule="auto"/>
        <w:ind w:firstLine="600" w:firstLineChars="250"/>
        <w:jc w:val="both"/>
        <w:rPr>
          <w:rFonts w:asciiTheme="minorEastAsia" w:hAnsiTheme="minorEastAsia" w:eastAsiaTheme="minorEastAsia"/>
          <w:color w:val="auto"/>
          <w:lang w:val="zh-CN"/>
        </w:rPr>
      </w:pPr>
      <w:r>
        <w:rPr>
          <w:rFonts w:hint="eastAsia" w:asciiTheme="minorEastAsia" w:hAnsiTheme="minorEastAsia" w:eastAsiaTheme="minorEastAsia"/>
          <w:color w:val="auto"/>
          <w:lang w:val="zh-CN"/>
        </w:rPr>
        <w:t>1.1、项目名称： 东方市城乡公交客运服务一体化特许经营项目</w:t>
      </w:r>
    </w:p>
    <w:p>
      <w:pPr>
        <w:pStyle w:val="55"/>
        <w:spacing w:line="360" w:lineRule="auto"/>
        <w:ind w:firstLine="600" w:firstLineChars="250"/>
        <w:jc w:val="both"/>
        <w:rPr>
          <w:rFonts w:asciiTheme="minorEastAsia" w:hAnsiTheme="minorEastAsia" w:eastAsiaTheme="minorEastAsia"/>
          <w:color w:val="auto"/>
          <w:lang w:val="zh-CN"/>
        </w:rPr>
      </w:pPr>
      <w:r>
        <w:rPr>
          <w:rFonts w:hint="eastAsia" w:asciiTheme="minorEastAsia" w:hAnsiTheme="minorEastAsia" w:eastAsiaTheme="minorEastAsia"/>
          <w:color w:val="auto"/>
          <w:lang w:val="zh-CN"/>
        </w:rPr>
        <w:t>1.2、项目编号： ZZYDC20190421</w:t>
      </w:r>
    </w:p>
    <w:p>
      <w:pPr>
        <w:pStyle w:val="55"/>
        <w:spacing w:line="360" w:lineRule="auto"/>
        <w:ind w:firstLine="600" w:firstLineChars="250"/>
        <w:jc w:val="both"/>
        <w:rPr>
          <w:rFonts w:asciiTheme="minorEastAsia" w:hAnsiTheme="minorEastAsia" w:eastAsiaTheme="minorEastAsia"/>
          <w:color w:val="auto"/>
          <w:lang w:val="zh-CN"/>
        </w:rPr>
      </w:pPr>
      <w:r>
        <w:rPr>
          <w:rFonts w:hint="eastAsia" w:asciiTheme="minorEastAsia" w:hAnsiTheme="minorEastAsia" w:eastAsiaTheme="minorEastAsia"/>
          <w:color w:val="auto"/>
          <w:lang w:val="zh-CN"/>
        </w:rPr>
        <w:t>1.3、资金来源： 财政资金</w:t>
      </w:r>
    </w:p>
    <w:p>
      <w:pPr>
        <w:pStyle w:val="55"/>
        <w:spacing w:line="360" w:lineRule="auto"/>
        <w:ind w:firstLine="600" w:firstLineChars="250"/>
        <w:rPr>
          <w:rFonts w:asciiTheme="minorEastAsia" w:hAnsiTheme="minorEastAsia" w:eastAsiaTheme="minorEastAsia"/>
          <w:color w:val="auto"/>
          <w:lang w:val="zh-CN"/>
        </w:rPr>
      </w:pPr>
      <w:r>
        <w:rPr>
          <w:rFonts w:hint="eastAsia" w:asciiTheme="minorEastAsia" w:hAnsiTheme="minorEastAsia" w:eastAsiaTheme="minorEastAsia"/>
          <w:color w:val="auto"/>
          <w:lang w:val="zh-CN"/>
        </w:rPr>
        <w:t>1.4、采购预算： 人民币80000000元{该金额为初始投资估算总额（内容包括车辆购置、经营主体整合以及智慧公交系统建设）和初期营运估算资金，其中初始投资估算总额为</w:t>
      </w:r>
      <w:r>
        <w:rPr>
          <w:rFonts w:asciiTheme="minorEastAsia" w:hAnsiTheme="minorEastAsia" w:eastAsiaTheme="minorEastAsia"/>
          <w:color w:val="auto"/>
          <w:lang w:val="zh-CN"/>
        </w:rPr>
        <w:t>627933</w:t>
      </w:r>
      <w:r>
        <w:rPr>
          <w:rFonts w:hint="eastAsia" w:asciiTheme="minorEastAsia" w:hAnsiTheme="minorEastAsia" w:eastAsiaTheme="minorEastAsia"/>
          <w:color w:val="auto"/>
          <w:lang w:val="zh-CN"/>
        </w:rPr>
        <w:t>00</w:t>
      </w:r>
      <w:r>
        <w:rPr>
          <w:rFonts w:asciiTheme="minorEastAsia" w:hAnsiTheme="minorEastAsia" w:eastAsiaTheme="minorEastAsia"/>
          <w:color w:val="auto"/>
          <w:lang w:val="zh-CN"/>
        </w:rPr>
        <w:t>元</w:t>
      </w:r>
      <w:r>
        <w:rPr>
          <w:rFonts w:hint="eastAsia" w:asciiTheme="minorEastAsia" w:hAnsiTheme="minorEastAsia" w:eastAsiaTheme="minorEastAsia"/>
          <w:color w:val="auto"/>
          <w:lang w:val="zh-CN"/>
        </w:rPr>
        <w:t>，初期营运估算资金为17206700元}。</w:t>
      </w:r>
    </w:p>
    <w:p>
      <w:pPr>
        <w:pStyle w:val="55"/>
        <w:spacing w:line="360" w:lineRule="auto"/>
        <w:ind w:firstLine="600" w:firstLineChars="250"/>
        <w:jc w:val="both"/>
        <w:rPr>
          <w:rFonts w:asciiTheme="minorEastAsia" w:hAnsiTheme="minorEastAsia" w:eastAsiaTheme="minorEastAsia"/>
          <w:color w:val="auto"/>
          <w:lang w:val="zh-CN"/>
        </w:rPr>
      </w:pPr>
      <w:r>
        <w:rPr>
          <w:rFonts w:hint="eastAsia" w:asciiTheme="minorEastAsia" w:hAnsiTheme="minorEastAsia" w:eastAsiaTheme="minorEastAsia"/>
          <w:color w:val="auto"/>
          <w:lang w:val="zh-CN"/>
        </w:rPr>
        <w:t>最高限价：本项目采用浮动率的形式报价</w:t>
      </w:r>
    </w:p>
    <w:p>
      <w:pPr>
        <w:pStyle w:val="55"/>
        <w:spacing w:line="360" w:lineRule="auto"/>
        <w:ind w:firstLine="600" w:firstLineChars="250"/>
        <w:jc w:val="both"/>
        <w:rPr>
          <w:rFonts w:asciiTheme="minorEastAsia" w:hAnsiTheme="minorEastAsia" w:eastAsiaTheme="minorEastAsia"/>
          <w:color w:val="auto"/>
          <w:lang w:val="zh-CN"/>
        </w:rPr>
      </w:pPr>
      <w:r>
        <w:rPr>
          <w:rFonts w:hint="eastAsia" w:asciiTheme="minorEastAsia" w:hAnsiTheme="minorEastAsia" w:eastAsiaTheme="minorEastAsia"/>
          <w:color w:val="auto"/>
          <w:lang w:val="zh-CN"/>
        </w:rPr>
        <w:t>1.5、采购需求： 详见《招标文件》第三部分</w:t>
      </w:r>
    </w:p>
    <w:p>
      <w:pPr>
        <w:pStyle w:val="55"/>
        <w:spacing w:line="360" w:lineRule="auto"/>
        <w:ind w:firstLine="600" w:firstLineChars="250"/>
        <w:jc w:val="both"/>
        <w:rPr>
          <w:rFonts w:asciiTheme="minorEastAsia" w:hAnsiTheme="minorEastAsia" w:eastAsiaTheme="minorEastAsia"/>
          <w:color w:val="auto"/>
          <w:lang w:val="zh-CN"/>
        </w:rPr>
      </w:pPr>
      <w:r>
        <w:rPr>
          <w:rFonts w:hint="eastAsia" w:asciiTheme="minorEastAsia" w:hAnsiTheme="minorEastAsia" w:eastAsiaTheme="minorEastAsia"/>
          <w:color w:val="auto"/>
          <w:lang w:val="zh-CN"/>
        </w:rPr>
        <w:t>1.6、项目实施地点： 东方市</w:t>
      </w:r>
    </w:p>
    <w:p>
      <w:pPr>
        <w:pStyle w:val="55"/>
        <w:spacing w:line="360" w:lineRule="auto"/>
        <w:ind w:firstLine="600" w:firstLineChars="250"/>
        <w:jc w:val="both"/>
        <w:rPr>
          <w:rFonts w:asciiTheme="minorEastAsia" w:hAnsiTheme="minorEastAsia" w:eastAsiaTheme="minorEastAsia"/>
          <w:color w:val="auto"/>
          <w:lang w:val="zh-CN"/>
        </w:rPr>
      </w:pPr>
      <w:r>
        <w:rPr>
          <w:rFonts w:hint="eastAsia" w:asciiTheme="minorEastAsia" w:hAnsiTheme="minorEastAsia" w:eastAsiaTheme="minorEastAsia"/>
          <w:color w:val="auto"/>
          <w:lang w:val="zh-CN"/>
        </w:rPr>
        <w:t>1.7、项目完成时间（服务期限）： 经营期限为16年</w:t>
      </w:r>
    </w:p>
    <w:p>
      <w:pPr>
        <w:pStyle w:val="55"/>
        <w:spacing w:line="360" w:lineRule="auto"/>
        <w:ind w:firstLine="600" w:firstLineChars="250"/>
        <w:jc w:val="both"/>
        <w:rPr>
          <w:rFonts w:asciiTheme="minorEastAsia" w:hAnsiTheme="minorEastAsia" w:eastAsiaTheme="minorEastAsia"/>
          <w:color w:val="auto"/>
          <w:lang w:val="zh-CN"/>
        </w:rPr>
      </w:pPr>
      <w:r>
        <w:rPr>
          <w:rFonts w:hint="eastAsia" w:asciiTheme="minorEastAsia" w:hAnsiTheme="minorEastAsia" w:eastAsiaTheme="minorEastAsia"/>
          <w:color w:val="auto"/>
          <w:lang w:val="zh-CN"/>
        </w:rPr>
        <w:t>1.8、付款方式： 按合同约定</w:t>
      </w:r>
    </w:p>
    <w:p>
      <w:pPr>
        <w:autoSpaceDE w:val="0"/>
        <w:autoSpaceDN w:val="0"/>
        <w:adjustRightInd w:val="0"/>
        <w:snapToGrid w:val="0"/>
        <w:spacing w:beforeLines="50" w:afterLines="50" w:line="360" w:lineRule="auto"/>
        <w:rPr>
          <w:rFonts w:cs="宋体" w:asciiTheme="minorEastAsia" w:hAnsiTheme="minorEastAsia" w:eastAsiaTheme="minorEastAsia"/>
          <w:b/>
          <w:bCs/>
          <w:color w:val="auto"/>
          <w:sz w:val="28"/>
          <w:szCs w:val="28"/>
          <w:lang w:val="zh-CN"/>
        </w:rPr>
      </w:pPr>
      <w:r>
        <w:rPr>
          <w:rFonts w:hint="eastAsia" w:cs="宋体" w:asciiTheme="minorEastAsia" w:hAnsiTheme="minorEastAsia" w:eastAsiaTheme="minorEastAsia"/>
          <w:b/>
          <w:bCs/>
          <w:color w:val="auto"/>
          <w:sz w:val="28"/>
          <w:szCs w:val="28"/>
          <w:lang w:val="zh-CN"/>
        </w:rPr>
        <w:t>二、投标人资格要求</w:t>
      </w:r>
    </w:p>
    <w:p>
      <w:pPr>
        <w:pStyle w:val="61"/>
        <w:spacing w:line="360" w:lineRule="auto"/>
        <w:ind w:left="108" w:firstLine="316" w:firstLineChars="132"/>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（1）在中华人民共和国注册，具有独立承担民事责任能力的</w:t>
      </w:r>
      <w:r>
        <w:rPr>
          <w:rFonts w:hint="eastAsia" w:cs="宋体" w:asciiTheme="minorEastAsia" w:hAnsiTheme="minorEastAsia" w:eastAsiaTheme="minorEastAsia"/>
          <w:color w:val="auto"/>
          <w:kern w:val="0"/>
          <w:sz w:val="24"/>
          <w:lang w:val="zh-CN"/>
        </w:rPr>
        <w:t>法人，并营业执照具有相关经营范围（需提供三证合一的营业执照）；</w:t>
      </w:r>
    </w:p>
    <w:p>
      <w:pPr>
        <w:pStyle w:val="61"/>
        <w:spacing w:line="360" w:lineRule="auto"/>
        <w:ind w:left="108" w:firstLine="316" w:firstLineChars="132"/>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（2）具有良好的商业信誉和健全的财务会计制度（需提2019年至今任意 3个月的企业纳税证明或2018年度会计师事务所出具的年度财务审计报告）；</w:t>
      </w:r>
    </w:p>
    <w:p>
      <w:pPr>
        <w:pStyle w:val="61"/>
        <w:spacing w:line="360" w:lineRule="auto"/>
        <w:ind w:left="108" w:firstLine="316" w:firstLineChars="132"/>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（3）具有依法缴纳社会保障资金的良好记录（需提供 2019年至今任意 3个月社会保障缴费记录）；</w:t>
      </w:r>
    </w:p>
    <w:p>
      <w:pPr>
        <w:pStyle w:val="61"/>
        <w:spacing w:before="6" w:line="360" w:lineRule="auto"/>
        <w:ind w:left="108" w:right="146" w:firstLine="316" w:firstLineChars="132"/>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（4）参加政府采购活动近三年内，在经营活动中没有重大违法记录的声明（提供声明函）；</w:t>
      </w:r>
    </w:p>
    <w:p>
      <w:pPr>
        <w:pStyle w:val="61"/>
        <w:spacing w:line="360" w:lineRule="auto"/>
        <w:ind w:left="108" w:firstLine="316" w:firstLineChars="132"/>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（5）投标人须具备有效的《道路运输经营许可证》（经营范围包含班车客运或者城市公交客运）；</w:t>
      </w:r>
    </w:p>
    <w:p>
      <w:pPr>
        <w:pStyle w:val="61"/>
        <w:spacing w:line="360" w:lineRule="auto"/>
        <w:ind w:left="108" w:firstLine="316" w:firstLineChars="132"/>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（6）必须为未被列入信用中国网站；</w:t>
      </w:r>
      <w:r>
        <w:rPr>
          <w:rFonts w:hint="eastAsia" w:cs="宋体" w:asciiTheme="minorEastAsia" w:hAnsiTheme="minorEastAsia" w:eastAsiaTheme="minorEastAsia"/>
          <w:color w:val="auto"/>
          <w:sz w:val="24"/>
          <w:lang w:val="zh-CN"/>
        </w:rPr>
        <w:t>(www.creditchina.gov.cn)的“失信被执行人”、“重大税收违法案件当事人名单”、“政府采购严重违法失信名单”或中国政府采购网(www.ccgp.gov.cn)的“政府采购严重违法失信行为记录名单”的投标人（提供查询结果的网页截图并加盖单位公章）；</w:t>
      </w:r>
    </w:p>
    <w:p>
      <w:pPr>
        <w:autoSpaceDE w:val="0"/>
        <w:autoSpaceDN w:val="0"/>
        <w:adjustRightInd w:val="0"/>
        <w:snapToGrid w:val="0"/>
        <w:spacing w:beforeLines="50" w:afterLines="50" w:line="360" w:lineRule="auto"/>
        <w:rPr>
          <w:rFonts w:cs="宋体" w:asciiTheme="minorEastAsia" w:hAnsiTheme="minorEastAsia" w:eastAsiaTheme="minorEastAsia"/>
          <w:color w:val="auto"/>
          <w:kern w:val="0"/>
          <w:sz w:val="24"/>
          <w:lang w:val="zh-CN"/>
        </w:rPr>
      </w:pPr>
      <w:r>
        <w:rPr>
          <w:rFonts w:hint="eastAsia" w:cs="宋体" w:asciiTheme="minorEastAsia" w:hAnsiTheme="minorEastAsia" w:eastAsiaTheme="minorEastAsia"/>
          <w:color w:val="auto"/>
          <w:kern w:val="0"/>
          <w:sz w:val="24"/>
          <w:lang w:val="zh-CN"/>
        </w:rPr>
        <w:t>（7）本项目不接受联合体投标。</w:t>
      </w:r>
    </w:p>
    <w:p>
      <w:pPr>
        <w:autoSpaceDE w:val="0"/>
        <w:autoSpaceDN w:val="0"/>
        <w:adjustRightInd w:val="0"/>
        <w:snapToGrid w:val="0"/>
        <w:spacing w:beforeLines="50" w:afterLines="50" w:line="360" w:lineRule="auto"/>
        <w:rPr>
          <w:rFonts w:cs="宋体" w:asciiTheme="minorEastAsia" w:hAnsiTheme="minorEastAsia" w:eastAsiaTheme="minorEastAsia"/>
          <w:color w:val="auto"/>
          <w:sz w:val="24"/>
          <w:lang w:val="zh-CN"/>
        </w:rPr>
      </w:pPr>
      <w:r>
        <w:rPr>
          <w:rFonts w:hint="eastAsia" w:cs="宋体" w:asciiTheme="minorEastAsia" w:hAnsiTheme="minorEastAsia" w:eastAsiaTheme="minorEastAsia"/>
          <w:b/>
          <w:bCs/>
          <w:color w:val="auto"/>
          <w:sz w:val="28"/>
          <w:szCs w:val="28"/>
          <w:lang w:val="en-GB"/>
        </w:rPr>
        <w:t>三、招标文件的获取：</w:t>
      </w:r>
    </w:p>
    <w:p>
      <w:pPr>
        <w:pStyle w:val="55"/>
        <w:spacing w:line="360" w:lineRule="auto"/>
        <w:ind w:firstLine="600" w:firstLineChars="250"/>
        <w:jc w:val="both"/>
        <w:rPr>
          <w:rFonts w:asciiTheme="minorEastAsia" w:hAnsiTheme="minorEastAsia" w:eastAsiaTheme="minorEastAsia"/>
          <w:color w:val="auto"/>
          <w:lang w:val="zh-CN"/>
        </w:rPr>
      </w:pPr>
      <w:r>
        <w:rPr>
          <w:rFonts w:hint="eastAsia" w:asciiTheme="minorEastAsia" w:hAnsiTheme="minorEastAsia" w:eastAsiaTheme="minorEastAsia"/>
          <w:color w:val="auto"/>
          <w:lang w:val="zh-CN"/>
        </w:rPr>
        <w:t>3.1、请于</w:t>
      </w:r>
      <w:r>
        <w:rPr>
          <w:rFonts w:hint="eastAsia" w:asciiTheme="minorEastAsia" w:hAnsiTheme="minorEastAsia" w:eastAsiaTheme="minorEastAsia"/>
          <w:color w:val="auto"/>
          <w:u w:val="single"/>
          <w:lang w:val="en-US" w:eastAsia="zh-CN"/>
        </w:rPr>
        <w:t>2019年9月20日08时30分</w:t>
      </w:r>
      <w:r>
        <w:rPr>
          <w:rFonts w:hint="eastAsia" w:asciiTheme="minorEastAsia" w:hAnsiTheme="minorEastAsia" w:eastAsiaTheme="minorEastAsia"/>
          <w:color w:val="auto"/>
          <w:lang w:val="zh-CN"/>
        </w:rPr>
        <w:t>至</w:t>
      </w:r>
      <w:r>
        <w:rPr>
          <w:rFonts w:hint="eastAsia" w:asciiTheme="minorEastAsia" w:hAnsiTheme="minorEastAsia" w:eastAsiaTheme="minorEastAsia"/>
          <w:color w:val="auto"/>
          <w:u w:val="single"/>
          <w:lang w:val="en-US" w:eastAsia="zh-CN"/>
        </w:rPr>
        <w:t>2019年9月27日17时30分</w:t>
      </w:r>
      <w:r>
        <w:rPr>
          <w:rFonts w:hint="eastAsia" w:asciiTheme="minorEastAsia" w:hAnsiTheme="minorEastAsia" w:eastAsiaTheme="minorEastAsia"/>
          <w:color w:val="auto"/>
          <w:lang w:val="zh-CN"/>
        </w:rPr>
        <w:t>（北京时间，下同），从 全国公共资源交易平台（海南省）（</w:t>
      </w:r>
      <w:r>
        <w:rPr>
          <w:color w:val="auto"/>
        </w:rPr>
        <w:fldChar w:fldCharType="begin"/>
      </w:r>
      <w:r>
        <w:rPr>
          <w:color w:val="auto"/>
        </w:rPr>
        <w:instrText xml:space="preserve"> HYPERLINK "http://zw.hainan.gov.cn/ggzy/" \h </w:instrText>
      </w:r>
      <w:r>
        <w:rPr>
          <w:color w:val="auto"/>
        </w:rPr>
        <w:fldChar w:fldCharType="separate"/>
      </w:r>
      <w:r>
        <w:rPr>
          <w:rFonts w:hint="eastAsia" w:asciiTheme="minorEastAsia" w:hAnsiTheme="minorEastAsia" w:eastAsiaTheme="minorEastAsia"/>
          <w:color w:val="auto"/>
          <w:lang w:val="zh-CN"/>
        </w:rPr>
        <w:t>http://zw.hainan.gov.cn/ggzy/</w:t>
      </w:r>
      <w:r>
        <w:rPr>
          <w:rFonts w:hint="eastAsia" w:asciiTheme="minorEastAsia" w:hAnsiTheme="minorEastAsia" w:eastAsiaTheme="minorEastAsia"/>
          <w:color w:val="auto"/>
          <w:lang w:val="zh-CN"/>
        </w:rPr>
        <w:fldChar w:fldCharType="end"/>
      </w:r>
      <w:r>
        <w:rPr>
          <w:rFonts w:hint="eastAsia" w:asciiTheme="minorEastAsia" w:hAnsiTheme="minorEastAsia" w:eastAsiaTheme="minorEastAsia"/>
          <w:color w:val="auto"/>
          <w:lang w:val="zh-CN"/>
        </w:rPr>
        <w:t>）  获取招标文件。</w:t>
      </w:r>
    </w:p>
    <w:tbl>
      <w:tblPr>
        <w:tblStyle w:val="23"/>
        <w:tblpPr w:leftFromText="180" w:rightFromText="180" w:vertAnchor="text" w:horzAnchor="page" w:tblpX="1534" w:tblpY="417"/>
        <w:tblOverlap w:val="never"/>
        <w:tblW w:w="909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26"/>
        <w:gridCol w:w="2022"/>
        <w:gridCol w:w="2022"/>
        <w:gridCol w:w="20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0" w:hRule="atLeast"/>
        </w:trPr>
        <w:tc>
          <w:tcPr>
            <w:tcW w:w="3026" w:type="dxa"/>
          </w:tcPr>
          <w:p>
            <w:pPr>
              <w:pStyle w:val="61"/>
              <w:tabs>
                <w:tab w:val="left" w:pos="1890"/>
              </w:tabs>
              <w:spacing w:line="360" w:lineRule="auto"/>
              <w:ind w:left="1236" w:right="66" w:hanging="1236" w:hangingChars="515"/>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标包名称</w:t>
            </w:r>
          </w:p>
        </w:tc>
        <w:tc>
          <w:tcPr>
            <w:tcW w:w="2022" w:type="dxa"/>
          </w:tcPr>
          <w:p>
            <w:pPr>
              <w:pStyle w:val="61"/>
              <w:spacing w:line="360" w:lineRule="auto"/>
              <w:ind w:left="672"/>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标包编码</w:t>
            </w:r>
          </w:p>
        </w:tc>
        <w:tc>
          <w:tcPr>
            <w:tcW w:w="2022" w:type="dxa"/>
          </w:tcPr>
          <w:p>
            <w:pPr>
              <w:pStyle w:val="61"/>
              <w:spacing w:line="360" w:lineRule="auto"/>
              <w:ind w:left="242" w:hanging="242" w:hangingChars="101"/>
              <w:rPr>
                <w:rFonts w:cs="宋体" w:asciiTheme="minorEastAsia" w:hAnsiTheme="minorEastAsia" w:eastAsiaTheme="minorEastAsia"/>
                <w:b/>
                <w:color w:val="auto"/>
                <w:sz w:val="24"/>
              </w:rPr>
            </w:pPr>
            <w:r>
              <w:rPr>
                <w:rFonts w:hint="eastAsia" w:cs="宋体" w:asciiTheme="minorEastAsia" w:hAnsiTheme="minorEastAsia" w:eastAsiaTheme="minorEastAsia"/>
                <w:color w:val="auto"/>
                <w:sz w:val="24"/>
              </w:rPr>
              <w:t>采购文件售价</w:t>
            </w:r>
            <w:r>
              <w:rPr>
                <w:rFonts w:hint="eastAsia" w:cs="宋体" w:asciiTheme="minorEastAsia" w:hAnsiTheme="minorEastAsia" w:eastAsiaTheme="minorEastAsia"/>
                <w:b/>
                <w:color w:val="auto"/>
                <w:sz w:val="24"/>
              </w:rPr>
              <w:t>(</w:t>
            </w:r>
            <w:r>
              <w:rPr>
                <w:rFonts w:hint="eastAsia" w:cs="宋体" w:asciiTheme="minorEastAsia" w:hAnsiTheme="minorEastAsia" w:eastAsiaTheme="minorEastAsia"/>
                <w:color w:val="auto"/>
                <w:sz w:val="24"/>
              </w:rPr>
              <w:t>元</w:t>
            </w:r>
            <w:r>
              <w:rPr>
                <w:rFonts w:hint="eastAsia" w:cs="宋体" w:asciiTheme="minorEastAsia" w:hAnsiTheme="minorEastAsia" w:eastAsiaTheme="minorEastAsia"/>
                <w:b/>
                <w:color w:val="auto"/>
                <w:sz w:val="24"/>
              </w:rPr>
              <w:t>)</w:t>
            </w:r>
          </w:p>
        </w:tc>
        <w:tc>
          <w:tcPr>
            <w:tcW w:w="2022" w:type="dxa"/>
          </w:tcPr>
          <w:p>
            <w:pPr>
              <w:pStyle w:val="61"/>
              <w:spacing w:line="360" w:lineRule="auto"/>
              <w:ind w:left="355" w:hanging="355" w:hangingChars="148"/>
              <w:rPr>
                <w:rFonts w:cs="宋体" w:asciiTheme="minorEastAsia" w:hAnsiTheme="minorEastAsia" w:eastAsiaTheme="minorEastAsia"/>
                <w:b/>
                <w:color w:val="auto"/>
                <w:sz w:val="24"/>
              </w:rPr>
            </w:pPr>
            <w:r>
              <w:rPr>
                <w:rFonts w:hint="eastAsia" w:cs="宋体" w:asciiTheme="minorEastAsia" w:hAnsiTheme="minorEastAsia" w:eastAsiaTheme="minorEastAsia"/>
                <w:color w:val="auto"/>
                <w:sz w:val="24"/>
              </w:rPr>
              <w:t>投标保证金</w:t>
            </w:r>
            <w:r>
              <w:rPr>
                <w:rFonts w:hint="eastAsia" w:cs="宋体" w:asciiTheme="minorEastAsia" w:hAnsiTheme="minorEastAsia" w:eastAsiaTheme="minorEastAsia"/>
                <w:b/>
                <w:color w:val="auto"/>
                <w:sz w:val="24"/>
              </w:rPr>
              <w:t>(</w:t>
            </w:r>
            <w:r>
              <w:rPr>
                <w:rFonts w:hint="eastAsia" w:cs="宋体" w:asciiTheme="minorEastAsia" w:hAnsiTheme="minorEastAsia" w:eastAsiaTheme="minorEastAsia"/>
                <w:color w:val="auto"/>
                <w:sz w:val="24"/>
              </w:rPr>
              <w:t>元</w:t>
            </w:r>
            <w:r>
              <w:rPr>
                <w:rFonts w:hint="eastAsia" w:cs="宋体" w:asciiTheme="minorEastAsia" w:hAnsiTheme="minorEastAsia" w:eastAsiaTheme="minorEastAsia"/>
                <w:b/>
                <w:color w:val="auto"/>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3026" w:type="dxa"/>
          </w:tcPr>
          <w:p>
            <w:pPr>
              <w:pStyle w:val="61"/>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东方市城乡公交客运服务一体化特许经营项目</w:t>
            </w:r>
          </w:p>
        </w:tc>
        <w:tc>
          <w:tcPr>
            <w:tcW w:w="2022" w:type="dxa"/>
          </w:tcPr>
          <w:p>
            <w:pPr>
              <w:pStyle w:val="61"/>
              <w:spacing w:before="121" w:line="360" w:lineRule="auto"/>
              <w:ind w:left="4"/>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w w:val="95"/>
                <w:sz w:val="24"/>
              </w:rPr>
              <w:t>ZZYDC20190421</w:t>
            </w:r>
          </w:p>
        </w:tc>
        <w:tc>
          <w:tcPr>
            <w:tcW w:w="2022" w:type="dxa"/>
          </w:tcPr>
          <w:p>
            <w:pPr>
              <w:pStyle w:val="61"/>
              <w:spacing w:before="121" w:line="360" w:lineRule="auto"/>
              <w:ind w:left="4"/>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300</w:t>
            </w:r>
          </w:p>
        </w:tc>
        <w:tc>
          <w:tcPr>
            <w:tcW w:w="2022" w:type="dxa"/>
          </w:tcPr>
          <w:p>
            <w:pPr>
              <w:pStyle w:val="61"/>
              <w:spacing w:before="121" w:line="360" w:lineRule="auto"/>
              <w:ind w:left="4"/>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80000</w:t>
            </w:r>
          </w:p>
        </w:tc>
      </w:tr>
    </w:tbl>
    <w:p>
      <w:pPr>
        <w:pStyle w:val="11"/>
        <w:spacing w:before="8" w:line="360" w:lineRule="auto"/>
        <w:rPr>
          <w:rFonts w:cs="宋体" w:asciiTheme="minorEastAsia" w:hAnsiTheme="minorEastAsia" w:eastAsiaTheme="minorEastAsia"/>
          <w:color w:val="auto"/>
          <w:sz w:val="24"/>
          <w:lang w:val="zh-CN"/>
        </w:rPr>
      </w:pPr>
    </w:p>
    <w:p>
      <w:pPr>
        <w:tabs>
          <w:tab w:val="left" w:pos="540"/>
        </w:tabs>
        <w:spacing w:beforeLines="50" w:afterLines="50" w:line="360" w:lineRule="auto"/>
        <w:rPr>
          <w:rFonts w:cs="宋体" w:asciiTheme="minorEastAsia" w:hAnsiTheme="minorEastAsia" w:eastAsiaTheme="minorEastAsia"/>
          <w:bCs/>
          <w:color w:val="auto"/>
          <w:kern w:val="0"/>
          <w:sz w:val="28"/>
          <w:szCs w:val="28"/>
          <w:lang w:val="en-GB"/>
        </w:rPr>
      </w:pPr>
      <w:r>
        <w:rPr>
          <w:rFonts w:hint="eastAsia" w:cs="宋体" w:asciiTheme="minorEastAsia" w:hAnsiTheme="minorEastAsia" w:eastAsiaTheme="minorEastAsia"/>
          <w:b/>
          <w:color w:val="auto"/>
          <w:kern w:val="0"/>
          <w:sz w:val="28"/>
          <w:szCs w:val="28"/>
          <w:lang w:val="en-GB"/>
        </w:rPr>
        <w:t>四、投标文件递交截止时间、开标时间及地点：</w:t>
      </w:r>
    </w:p>
    <w:p>
      <w:pPr>
        <w:pStyle w:val="55"/>
        <w:spacing w:line="360" w:lineRule="auto"/>
        <w:ind w:firstLine="600" w:firstLineChars="250"/>
        <w:jc w:val="both"/>
        <w:rPr>
          <w:rFonts w:asciiTheme="minorEastAsia" w:hAnsiTheme="minorEastAsia" w:eastAsiaTheme="minorEastAsia"/>
          <w:color w:val="auto"/>
          <w:lang w:val="en-GB"/>
        </w:rPr>
      </w:pPr>
      <w:r>
        <w:rPr>
          <w:rFonts w:hint="eastAsia" w:asciiTheme="minorEastAsia" w:hAnsiTheme="minorEastAsia" w:eastAsiaTheme="minorEastAsia"/>
          <w:color w:val="auto"/>
          <w:lang w:val="en-GB"/>
        </w:rPr>
        <w:t>4.1、递交投标文件截止时间：</w:t>
      </w:r>
      <w:r>
        <w:rPr>
          <w:rFonts w:hint="eastAsia" w:asciiTheme="minorEastAsia" w:hAnsiTheme="minorEastAsia" w:eastAsiaTheme="minorEastAsia"/>
          <w:color w:val="auto"/>
          <w:u w:val="single"/>
          <w:lang w:val="en-US" w:eastAsia="zh-CN"/>
        </w:rPr>
        <w:t>2019年10月11日14时40分</w:t>
      </w:r>
      <w:r>
        <w:rPr>
          <w:rFonts w:hint="eastAsia" w:asciiTheme="minorEastAsia" w:hAnsiTheme="minorEastAsia" w:eastAsiaTheme="minorEastAsia"/>
          <w:color w:val="auto"/>
          <w:lang w:val="en-GB"/>
        </w:rPr>
        <w:t>（北京时间）；</w:t>
      </w:r>
    </w:p>
    <w:p>
      <w:pPr>
        <w:pStyle w:val="55"/>
        <w:spacing w:line="360" w:lineRule="auto"/>
        <w:ind w:firstLine="600" w:firstLineChars="250"/>
        <w:jc w:val="both"/>
        <w:rPr>
          <w:rFonts w:asciiTheme="minorEastAsia" w:hAnsiTheme="minorEastAsia" w:eastAsiaTheme="minorEastAsia"/>
          <w:color w:val="auto"/>
          <w:lang w:val="en-GB"/>
        </w:rPr>
      </w:pPr>
      <w:r>
        <w:rPr>
          <w:rFonts w:hint="eastAsia" w:asciiTheme="minorEastAsia" w:hAnsiTheme="minorEastAsia" w:eastAsiaTheme="minorEastAsia"/>
          <w:color w:val="auto"/>
          <w:lang w:val="en-GB"/>
        </w:rPr>
        <w:t>4.2、开标时间：</w:t>
      </w:r>
      <w:r>
        <w:rPr>
          <w:rFonts w:hint="eastAsia" w:asciiTheme="minorEastAsia" w:hAnsiTheme="minorEastAsia" w:eastAsiaTheme="minorEastAsia"/>
          <w:color w:val="auto"/>
          <w:u w:val="single"/>
          <w:lang w:val="en-US" w:eastAsia="zh-CN"/>
        </w:rPr>
        <w:t>2019年10月11日14时40分</w:t>
      </w:r>
      <w:r>
        <w:rPr>
          <w:rFonts w:hint="eastAsia" w:asciiTheme="minorEastAsia" w:hAnsiTheme="minorEastAsia" w:eastAsiaTheme="minorEastAsia"/>
          <w:color w:val="auto"/>
          <w:lang w:val="en-GB"/>
        </w:rPr>
        <w:t>（北京时间）</w:t>
      </w:r>
    </w:p>
    <w:p>
      <w:pPr>
        <w:pStyle w:val="55"/>
        <w:spacing w:line="360" w:lineRule="auto"/>
        <w:ind w:firstLine="600" w:firstLineChars="250"/>
        <w:jc w:val="both"/>
        <w:rPr>
          <w:rFonts w:asciiTheme="minorEastAsia" w:hAnsiTheme="minorEastAsia" w:eastAsiaTheme="minorEastAsia"/>
          <w:color w:val="auto"/>
          <w:lang w:val="en-GB"/>
        </w:rPr>
      </w:pPr>
      <w:r>
        <w:rPr>
          <w:rFonts w:hint="eastAsia" w:asciiTheme="minorEastAsia" w:hAnsiTheme="minorEastAsia" w:eastAsiaTheme="minorEastAsia"/>
          <w:color w:val="auto"/>
          <w:lang w:val="en-GB"/>
        </w:rPr>
        <w:t>4.3、递交投标文件及开标地点: 海南省公共资源交易服务中心（海口市国兴大道9号）</w:t>
      </w:r>
      <w:r>
        <w:rPr>
          <w:rFonts w:hint="eastAsia" w:asciiTheme="minorEastAsia" w:hAnsiTheme="minorEastAsia" w:eastAsiaTheme="minorEastAsia"/>
          <w:color w:val="auto"/>
          <w:lang w:val="en-US" w:eastAsia="zh-CN"/>
        </w:rPr>
        <w:t>205</w:t>
      </w:r>
      <w:r>
        <w:rPr>
          <w:rFonts w:hint="eastAsia" w:asciiTheme="minorEastAsia" w:hAnsiTheme="minorEastAsia" w:eastAsiaTheme="minorEastAsia"/>
          <w:color w:val="auto"/>
          <w:lang w:val="en-GB"/>
        </w:rPr>
        <w:t>开标室 ,如有变动另行通知；（适用于现场递交）</w:t>
      </w:r>
    </w:p>
    <w:p>
      <w:pPr>
        <w:pStyle w:val="62"/>
        <w:spacing w:line="360" w:lineRule="auto"/>
        <w:outlineLvl w:val="9"/>
        <w:rPr>
          <w:rFonts w:cs="宋体" w:asciiTheme="minorEastAsia" w:hAnsiTheme="minorEastAsia" w:eastAsiaTheme="minorEastAsia"/>
          <w:b/>
          <w:color w:val="auto"/>
          <w:kern w:val="0"/>
          <w:sz w:val="28"/>
          <w:szCs w:val="28"/>
          <w:lang w:val="en-GB"/>
        </w:rPr>
      </w:pPr>
      <w:r>
        <w:rPr>
          <w:rFonts w:hint="eastAsia" w:cs="宋体" w:asciiTheme="minorEastAsia" w:hAnsiTheme="minorEastAsia" w:eastAsiaTheme="minorEastAsia"/>
          <w:b/>
          <w:color w:val="auto"/>
          <w:kern w:val="0"/>
          <w:sz w:val="28"/>
          <w:szCs w:val="28"/>
          <w:lang w:val="en-GB"/>
        </w:rPr>
        <w:t>五、采购信息发布媒体</w:t>
      </w:r>
    </w:p>
    <w:p>
      <w:pPr>
        <w:pStyle w:val="55"/>
        <w:spacing w:line="360" w:lineRule="auto"/>
        <w:ind w:firstLine="600" w:firstLineChars="250"/>
        <w:jc w:val="both"/>
        <w:rPr>
          <w:rFonts w:asciiTheme="minorEastAsia" w:hAnsiTheme="minorEastAsia" w:eastAsiaTheme="minorEastAsia"/>
          <w:color w:val="auto"/>
          <w:lang w:val="en-GB"/>
        </w:rPr>
      </w:pPr>
      <w:r>
        <w:rPr>
          <w:rFonts w:hint="eastAsia" w:asciiTheme="minorEastAsia" w:hAnsiTheme="minorEastAsia" w:eastAsiaTheme="minorEastAsia"/>
          <w:color w:val="auto"/>
        </w:rPr>
        <w:t>5.1</w:t>
      </w:r>
      <w:r>
        <w:rPr>
          <w:rFonts w:hint="eastAsia" w:asciiTheme="minorEastAsia" w:hAnsiTheme="minorEastAsia" w:eastAsiaTheme="minorEastAsia"/>
          <w:color w:val="auto"/>
          <w:lang w:val="en-GB"/>
        </w:rPr>
        <w:t>、本项目采购信息指定发布媒体为全国公共资源交易网（海南省）、中国海南政府采购网、东方市人民政府网。</w:t>
      </w:r>
    </w:p>
    <w:p>
      <w:pPr>
        <w:pStyle w:val="55"/>
        <w:spacing w:line="360" w:lineRule="auto"/>
        <w:ind w:firstLine="600" w:firstLineChars="250"/>
        <w:jc w:val="both"/>
        <w:rPr>
          <w:rFonts w:asciiTheme="minorEastAsia" w:hAnsiTheme="minorEastAsia" w:eastAsiaTheme="minorEastAsia"/>
          <w:color w:val="auto"/>
          <w:lang w:val="en-GB"/>
        </w:rPr>
      </w:pPr>
      <w:r>
        <w:rPr>
          <w:rFonts w:hint="eastAsia" w:asciiTheme="minorEastAsia" w:hAnsiTheme="minorEastAsia" w:eastAsiaTheme="minorEastAsia"/>
          <w:color w:val="auto"/>
        </w:rPr>
        <w:t>5.2</w:t>
      </w:r>
      <w:r>
        <w:rPr>
          <w:rFonts w:hint="eastAsia" w:asciiTheme="minorEastAsia" w:hAnsiTheme="minorEastAsia" w:eastAsiaTheme="minorEastAsia"/>
          <w:color w:val="auto"/>
          <w:lang w:val="en-GB"/>
        </w:rPr>
        <w:t>、有关本项目采购文件的补遗、澄清及变更信息以上述网站公告与下载为准，采购代理机构不再另行</w:t>
      </w:r>
      <w:bookmarkStart w:id="5" w:name="_bookmark2"/>
      <w:bookmarkEnd w:id="5"/>
      <w:r>
        <w:rPr>
          <w:rFonts w:hint="eastAsia" w:asciiTheme="minorEastAsia" w:hAnsiTheme="minorEastAsia" w:eastAsiaTheme="minorEastAsia"/>
          <w:color w:val="auto"/>
          <w:lang w:val="en-GB"/>
        </w:rPr>
        <w:t>通知，采购文件与更正公告的内容相互矛盾时，以最后发出的更正公告内容为准。</w:t>
      </w:r>
    </w:p>
    <w:p>
      <w:pPr>
        <w:pStyle w:val="55"/>
        <w:spacing w:line="360" w:lineRule="auto"/>
        <w:rPr>
          <w:rFonts w:asciiTheme="minorEastAsia" w:hAnsiTheme="minorEastAsia" w:eastAsiaTheme="minorEastAsia"/>
          <w:b/>
          <w:color w:val="auto"/>
          <w:sz w:val="28"/>
          <w:szCs w:val="28"/>
          <w:lang w:val="en-GB"/>
        </w:rPr>
      </w:pPr>
      <w:r>
        <w:rPr>
          <w:rFonts w:hint="eastAsia" w:asciiTheme="minorEastAsia" w:hAnsiTheme="minorEastAsia" w:eastAsiaTheme="minorEastAsia"/>
          <w:b/>
          <w:color w:val="auto"/>
          <w:sz w:val="28"/>
          <w:szCs w:val="28"/>
          <w:lang w:val="en-GB"/>
        </w:rPr>
        <w:t>六、联系方式</w:t>
      </w:r>
    </w:p>
    <w:p>
      <w:pPr>
        <w:pStyle w:val="55"/>
        <w:spacing w:line="360" w:lineRule="auto"/>
        <w:ind w:firstLine="600" w:firstLineChars="250"/>
        <w:jc w:val="both"/>
        <w:rPr>
          <w:rFonts w:asciiTheme="minorEastAsia" w:hAnsiTheme="minorEastAsia" w:eastAsiaTheme="minorEastAsia"/>
          <w:color w:val="auto"/>
        </w:rPr>
      </w:pPr>
      <w:r>
        <w:rPr>
          <w:rFonts w:hint="eastAsia" w:asciiTheme="minorEastAsia" w:hAnsiTheme="minorEastAsia" w:eastAsiaTheme="minorEastAsia"/>
          <w:color w:val="auto"/>
        </w:rPr>
        <w:t>采购人：东方市交通运输局</w:t>
      </w:r>
    </w:p>
    <w:p>
      <w:pPr>
        <w:pStyle w:val="55"/>
        <w:spacing w:line="360" w:lineRule="auto"/>
        <w:ind w:firstLine="600" w:firstLineChars="250"/>
        <w:jc w:val="both"/>
        <w:rPr>
          <w:rFonts w:asciiTheme="minorEastAsia" w:hAnsiTheme="minorEastAsia" w:eastAsiaTheme="minorEastAsia"/>
          <w:color w:val="auto"/>
        </w:rPr>
      </w:pPr>
      <w:r>
        <w:rPr>
          <w:rFonts w:hint="eastAsia" w:asciiTheme="minorEastAsia" w:hAnsiTheme="minorEastAsia" w:eastAsiaTheme="minorEastAsia"/>
          <w:color w:val="auto"/>
        </w:rPr>
        <w:t>地 址：东方市东港路11号</w:t>
      </w:r>
    </w:p>
    <w:p>
      <w:pPr>
        <w:pStyle w:val="55"/>
        <w:spacing w:line="360" w:lineRule="auto"/>
        <w:ind w:firstLine="600" w:firstLineChars="250"/>
        <w:jc w:val="both"/>
        <w:rPr>
          <w:rFonts w:asciiTheme="minorEastAsia" w:hAnsiTheme="minorEastAsia" w:eastAsiaTheme="minorEastAsia"/>
          <w:color w:val="auto"/>
        </w:rPr>
      </w:pPr>
      <w:r>
        <w:rPr>
          <w:rFonts w:hint="eastAsia" w:asciiTheme="minorEastAsia" w:hAnsiTheme="minorEastAsia" w:eastAsiaTheme="minorEastAsia"/>
          <w:color w:val="auto"/>
        </w:rPr>
        <w:t>联系人：王先生</w:t>
      </w:r>
    </w:p>
    <w:p>
      <w:pPr>
        <w:pStyle w:val="55"/>
        <w:spacing w:line="360" w:lineRule="auto"/>
        <w:ind w:firstLine="600" w:firstLineChars="250"/>
        <w:jc w:val="both"/>
        <w:rPr>
          <w:rFonts w:asciiTheme="minorEastAsia" w:hAnsiTheme="minorEastAsia" w:eastAsiaTheme="minorEastAsia"/>
          <w:color w:val="auto"/>
        </w:rPr>
      </w:pPr>
      <w:r>
        <w:rPr>
          <w:rFonts w:hint="eastAsia" w:asciiTheme="minorEastAsia" w:hAnsiTheme="minorEastAsia" w:eastAsiaTheme="minorEastAsia"/>
          <w:color w:val="auto"/>
        </w:rPr>
        <w:t>电 话：0898-25519446</w:t>
      </w:r>
    </w:p>
    <w:p>
      <w:pPr>
        <w:pStyle w:val="55"/>
        <w:spacing w:line="360" w:lineRule="auto"/>
        <w:ind w:firstLine="600" w:firstLineChars="250"/>
        <w:jc w:val="both"/>
        <w:rPr>
          <w:rFonts w:asciiTheme="minorEastAsia" w:hAnsiTheme="minorEastAsia" w:eastAsiaTheme="minorEastAsia"/>
          <w:color w:val="auto"/>
        </w:rPr>
      </w:pPr>
      <w:r>
        <w:rPr>
          <w:rFonts w:asciiTheme="minorEastAsia" w:hAnsiTheme="minorEastAsia" w:eastAsiaTheme="minorEastAsia"/>
          <w:color w:val="auto"/>
        </w:rPr>
        <w:t>采购</w:t>
      </w:r>
      <w:r>
        <w:rPr>
          <w:rFonts w:hint="eastAsia" w:asciiTheme="minorEastAsia" w:hAnsiTheme="minorEastAsia" w:eastAsiaTheme="minorEastAsia"/>
          <w:color w:val="auto"/>
        </w:rPr>
        <w:t>代理机构：海南中政源达项目管理有限公司</w:t>
      </w:r>
    </w:p>
    <w:p>
      <w:pPr>
        <w:pStyle w:val="55"/>
        <w:spacing w:line="360" w:lineRule="auto"/>
        <w:ind w:firstLine="600" w:firstLineChars="250"/>
        <w:jc w:val="both"/>
        <w:rPr>
          <w:rFonts w:asciiTheme="minorEastAsia" w:hAnsiTheme="minorEastAsia" w:eastAsiaTheme="minorEastAsia"/>
          <w:color w:val="auto"/>
        </w:rPr>
      </w:pPr>
      <w:r>
        <w:rPr>
          <w:rFonts w:hint="eastAsia" w:asciiTheme="minorEastAsia" w:hAnsiTheme="minorEastAsia" w:eastAsiaTheme="minorEastAsia"/>
          <w:color w:val="auto"/>
        </w:rPr>
        <w:t>地 址：海口市美兰区国兴大道国瑞大厦B座西塔14楼12BF06室</w:t>
      </w:r>
    </w:p>
    <w:p>
      <w:pPr>
        <w:pStyle w:val="55"/>
        <w:spacing w:line="360" w:lineRule="auto"/>
        <w:ind w:firstLine="600" w:firstLineChars="250"/>
        <w:jc w:val="both"/>
        <w:rPr>
          <w:rFonts w:asciiTheme="minorEastAsia" w:hAnsiTheme="minorEastAsia" w:eastAsiaTheme="minorEastAsia"/>
          <w:b/>
          <w:color w:val="auto"/>
          <w:sz w:val="44"/>
          <w:szCs w:val="44"/>
        </w:rPr>
      </w:pPr>
      <w:r>
        <w:rPr>
          <w:rFonts w:hint="eastAsia" w:asciiTheme="minorEastAsia" w:hAnsiTheme="minorEastAsia" w:eastAsiaTheme="minorEastAsia"/>
          <w:color w:val="auto"/>
        </w:rPr>
        <w:t>联系人：吴先生</w:t>
      </w:r>
    </w:p>
    <w:p>
      <w:pPr>
        <w:pStyle w:val="55"/>
        <w:spacing w:line="360" w:lineRule="auto"/>
        <w:ind w:firstLine="600" w:firstLineChars="250"/>
        <w:jc w:val="both"/>
        <w:rPr>
          <w:rFonts w:asciiTheme="minorEastAsia" w:hAnsiTheme="minorEastAsia" w:eastAsiaTheme="minorEastAsia"/>
          <w:color w:val="auto"/>
        </w:rPr>
      </w:pPr>
      <w:r>
        <w:rPr>
          <w:rFonts w:hint="eastAsia" w:asciiTheme="minorEastAsia" w:hAnsiTheme="minorEastAsia" w:eastAsiaTheme="minorEastAsia"/>
          <w:color w:val="auto"/>
        </w:rPr>
        <w:t>电 话：0898-65723406</w:t>
      </w:r>
    </w:p>
    <w:p>
      <w:pPr>
        <w:spacing w:beforeLines="50" w:afterLines="50" w:line="360" w:lineRule="auto"/>
        <w:jc w:val="center"/>
        <w:rPr>
          <w:rFonts w:cs="宋体" w:asciiTheme="minorEastAsia" w:hAnsiTheme="minorEastAsia" w:eastAsiaTheme="minorEastAsia"/>
          <w:b/>
          <w:color w:val="auto"/>
          <w:sz w:val="44"/>
          <w:szCs w:val="44"/>
        </w:rPr>
        <w:sectPr>
          <w:headerReference r:id="rId5" w:type="default"/>
          <w:footerReference r:id="rId6" w:type="default"/>
          <w:pgSz w:w="11906" w:h="16838"/>
          <w:pgMar w:top="848" w:right="1418" w:bottom="1418" w:left="1418" w:header="907" w:footer="907" w:gutter="0"/>
          <w:pgNumType w:start="1"/>
          <w:cols w:space="720" w:num="1"/>
          <w:docGrid w:linePitch="312" w:charSpace="0"/>
        </w:sectPr>
      </w:pPr>
    </w:p>
    <w:p>
      <w:pPr>
        <w:spacing w:beforeLines="50" w:afterLines="50" w:line="360" w:lineRule="auto"/>
        <w:jc w:val="center"/>
        <w:outlineLvl w:val="0"/>
        <w:rPr>
          <w:rStyle w:val="42"/>
          <w:rFonts w:cs="宋体" w:asciiTheme="minorEastAsia" w:hAnsiTheme="minorEastAsia" w:eastAsiaTheme="minorEastAsia"/>
          <w:b/>
          <w:color w:val="auto"/>
          <w:sz w:val="44"/>
          <w:szCs w:val="44"/>
        </w:rPr>
      </w:pPr>
      <w:bookmarkStart w:id="6" w:name="_Toc19891206"/>
      <w:bookmarkStart w:id="7" w:name="_Toc25018_WPSOffice_Level1"/>
      <w:r>
        <w:rPr>
          <w:rStyle w:val="42"/>
          <w:rFonts w:hint="eastAsia" w:cs="宋体" w:asciiTheme="minorEastAsia" w:hAnsiTheme="minorEastAsia" w:eastAsiaTheme="minorEastAsia"/>
          <w:b/>
          <w:color w:val="auto"/>
          <w:sz w:val="44"/>
          <w:szCs w:val="44"/>
        </w:rPr>
        <w:t>第二部分  投标人须知</w:t>
      </w:r>
      <w:bookmarkEnd w:id="6"/>
      <w:bookmarkEnd w:id="7"/>
    </w:p>
    <w:p>
      <w:pPr>
        <w:pStyle w:val="47"/>
        <w:spacing w:line="360" w:lineRule="auto"/>
        <w:ind w:left="280"/>
        <w:jc w:val="center"/>
        <w:outlineLvl w:val="9"/>
        <w:rPr>
          <w:rFonts w:cs="宋体" w:asciiTheme="minorEastAsia" w:hAnsiTheme="minorEastAsia" w:eastAsiaTheme="minorEastAsia"/>
          <w:b/>
          <w:color w:val="auto"/>
          <w:sz w:val="44"/>
          <w:szCs w:val="44"/>
        </w:rPr>
      </w:pPr>
      <w:r>
        <w:rPr>
          <w:rFonts w:hint="eastAsia" w:cs="宋体" w:asciiTheme="minorEastAsia" w:hAnsiTheme="minorEastAsia" w:eastAsiaTheme="minorEastAsia"/>
          <w:color w:val="auto"/>
        </w:rPr>
        <w:t>投标人须知附表</w:t>
      </w:r>
    </w:p>
    <w:tbl>
      <w:tblPr>
        <w:tblStyle w:val="23"/>
        <w:tblW w:w="9923"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2410"/>
        <w:gridCol w:w="66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51" w:type="dxa"/>
          </w:tcPr>
          <w:p>
            <w:pPr>
              <w:pStyle w:val="61"/>
              <w:spacing w:line="360" w:lineRule="auto"/>
              <w:ind w:left="90" w:right="54"/>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序号</w:t>
            </w:r>
          </w:p>
        </w:tc>
        <w:tc>
          <w:tcPr>
            <w:tcW w:w="2410" w:type="dxa"/>
          </w:tcPr>
          <w:p>
            <w:pPr>
              <w:pStyle w:val="61"/>
              <w:spacing w:line="360" w:lineRule="auto"/>
              <w:ind w:left="733" w:right="721"/>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内容</w:t>
            </w:r>
          </w:p>
        </w:tc>
        <w:tc>
          <w:tcPr>
            <w:tcW w:w="6662" w:type="dxa"/>
          </w:tcPr>
          <w:p>
            <w:pPr>
              <w:pStyle w:val="61"/>
              <w:spacing w:line="360" w:lineRule="auto"/>
              <w:ind w:left="2692" w:right="2684"/>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说明与要求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trPr>
        <w:tc>
          <w:tcPr>
            <w:tcW w:w="851" w:type="dxa"/>
          </w:tcPr>
          <w:p>
            <w:pPr>
              <w:pStyle w:val="61"/>
              <w:spacing w:line="360" w:lineRule="auto"/>
              <w:ind w:left="7"/>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项目编号</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ZZYDC20190421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51" w:type="dxa"/>
          </w:tcPr>
          <w:p>
            <w:pPr>
              <w:pStyle w:val="61"/>
              <w:spacing w:line="360" w:lineRule="auto"/>
              <w:ind w:left="7"/>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项目名称</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东方市城乡公交客运服务一体化特许经营项目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51" w:type="dxa"/>
          </w:tcPr>
          <w:p>
            <w:pPr>
              <w:pStyle w:val="61"/>
              <w:spacing w:line="360" w:lineRule="auto"/>
              <w:ind w:left="7"/>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采购人</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东方市交通运输局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51" w:type="dxa"/>
          </w:tcPr>
          <w:p>
            <w:pPr>
              <w:pStyle w:val="61"/>
              <w:spacing w:line="360" w:lineRule="auto"/>
              <w:ind w:left="7"/>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4</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采购代理机构</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海南中政源达项目管理有限公司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trPr>
        <w:tc>
          <w:tcPr>
            <w:tcW w:w="851" w:type="dxa"/>
          </w:tcPr>
          <w:p>
            <w:pPr>
              <w:pStyle w:val="61"/>
              <w:spacing w:line="360" w:lineRule="auto"/>
              <w:ind w:left="7"/>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5</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采购方式</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公开招标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51" w:type="dxa"/>
          </w:tcPr>
          <w:p>
            <w:pPr>
              <w:pStyle w:val="61"/>
              <w:spacing w:line="360" w:lineRule="auto"/>
              <w:ind w:left="7"/>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6</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包别划分</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1个包：东方市城乡公交客运服务一体化特许经营项目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51" w:type="dxa"/>
          </w:tcPr>
          <w:p>
            <w:pPr>
              <w:pStyle w:val="61"/>
              <w:spacing w:line="360" w:lineRule="auto"/>
              <w:ind w:left="7"/>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7</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资金来源</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财政资金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trPr>
        <w:tc>
          <w:tcPr>
            <w:tcW w:w="851" w:type="dxa"/>
          </w:tcPr>
          <w:p>
            <w:pPr>
              <w:pStyle w:val="61"/>
              <w:spacing w:line="360" w:lineRule="auto"/>
              <w:ind w:left="7"/>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8</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预算金额</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预算金额：人民币80000000元{该金额为初始投资估算总额（内容包括车辆购置、经营主体整合以及智慧公交系统建设）和初期营运估算资金，其中初始投资估算总额为62793300元，初期营运估算资金为17206700元}。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51" w:type="dxa"/>
          </w:tcPr>
          <w:p>
            <w:pPr>
              <w:pStyle w:val="61"/>
              <w:spacing w:line="360" w:lineRule="auto"/>
              <w:ind w:left="7"/>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9</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项目地点</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东方市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51" w:type="dxa"/>
          </w:tcPr>
          <w:p>
            <w:pPr>
              <w:pStyle w:val="61"/>
              <w:spacing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10</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服务时间</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zh-CN"/>
              </w:rPr>
              <w:t>经营期限为16年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trPr>
        <w:tc>
          <w:tcPr>
            <w:tcW w:w="851" w:type="dxa"/>
          </w:tcPr>
          <w:p>
            <w:pPr>
              <w:pStyle w:val="61"/>
              <w:spacing w:line="360" w:lineRule="auto"/>
              <w:rPr>
                <w:rFonts w:cs="宋体" w:asciiTheme="minorEastAsia" w:hAnsiTheme="minorEastAsia" w:eastAsiaTheme="minorEastAsia"/>
                <w:color w:val="auto"/>
                <w:szCs w:val="21"/>
              </w:rPr>
            </w:pPr>
          </w:p>
          <w:p>
            <w:pPr>
              <w:pStyle w:val="61"/>
              <w:spacing w:line="360" w:lineRule="auto"/>
              <w:rPr>
                <w:rFonts w:cs="宋体" w:asciiTheme="minorEastAsia" w:hAnsiTheme="minorEastAsia" w:eastAsiaTheme="minorEastAsia"/>
                <w:color w:val="auto"/>
                <w:szCs w:val="21"/>
              </w:rPr>
            </w:pPr>
          </w:p>
          <w:p>
            <w:pPr>
              <w:pStyle w:val="61"/>
              <w:spacing w:line="360" w:lineRule="auto"/>
              <w:rPr>
                <w:rFonts w:cs="宋体" w:asciiTheme="minorEastAsia" w:hAnsiTheme="minorEastAsia" w:eastAsiaTheme="minorEastAsia"/>
                <w:color w:val="auto"/>
                <w:szCs w:val="21"/>
              </w:rPr>
            </w:pPr>
          </w:p>
          <w:p>
            <w:pPr>
              <w:pStyle w:val="61"/>
              <w:spacing w:line="360" w:lineRule="auto"/>
              <w:rPr>
                <w:rFonts w:cs="宋体" w:asciiTheme="minorEastAsia" w:hAnsiTheme="minorEastAsia" w:eastAsiaTheme="minorEastAsia"/>
                <w:color w:val="auto"/>
                <w:szCs w:val="21"/>
              </w:rPr>
            </w:pPr>
          </w:p>
          <w:p>
            <w:pPr>
              <w:pStyle w:val="61"/>
              <w:spacing w:before="15" w:line="360" w:lineRule="auto"/>
              <w:rPr>
                <w:rFonts w:cs="宋体" w:asciiTheme="minorEastAsia" w:hAnsiTheme="minorEastAsia" w:eastAsiaTheme="minorEastAsia"/>
                <w:color w:val="auto"/>
                <w:szCs w:val="21"/>
              </w:rPr>
            </w:pPr>
          </w:p>
          <w:p>
            <w:pPr>
              <w:pStyle w:val="61"/>
              <w:spacing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11</w:t>
            </w:r>
          </w:p>
        </w:tc>
        <w:tc>
          <w:tcPr>
            <w:tcW w:w="2410" w:type="dxa"/>
          </w:tcPr>
          <w:p>
            <w:pPr>
              <w:pStyle w:val="61"/>
              <w:spacing w:line="360" w:lineRule="auto"/>
              <w:jc w:val="center"/>
              <w:rPr>
                <w:rFonts w:cs="宋体" w:asciiTheme="minorEastAsia" w:hAnsiTheme="minorEastAsia" w:eastAsiaTheme="minorEastAsia"/>
                <w:color w:val="auto"/>
                <w:szCs w:val="21"/>
              </w:rPr>
            </w:pPr>
          </w:p>
          <w:p>
            <w:pPr>
              <w:pStyle w:val="61"/>
              <w:spacing w:line="360" w:lineRule="auto"/>
              <w:jc w:val="center"/>
              <w:rPr>
                <w:rFonts w:cs="宋体" w:asciiTheme="minorEastAsia" w:hAnsiTheme="minorEastAsia" w:eastAsiaTheme="minorEastAsia"/>
                <w:color w:val="auto"/>
                <w:szCs w:val="21"/>
              </w:rPr>
            </w:pPr>
          </w:p>
          <w:p>
            <w:pPr>
              <w:pStyle w:val="61"/>
              <w:spacing w:line="360" w:lineRule="auto"/>
              <w:jc w:val="center"/>
              <w:rPr>
                <w:rFonts w:cs="宋体" w:asciiTheme="minorEastAsia" w:hAnsiTheme="minorEastAsia" w:eastAsiaTheme="minorEastAsia"/>
                <w:color w:val="auto"/>
                <w:szCs w:val="21"/>
              </w:rPr>
            </w:pPr>
          </w:p>
          <w:p>
            <w:pPr>
              <w:pStyle w:val="61"/>
              <w:spacing w:line="360" w:lineRule="auto"/>
              <w:jc w:val="center"/>
              <w:rPr>
                <w:rFonts w:cs="宋体" w:asciiTheme="minorEastAsia" w:hAnsiTheme="minorEastAsia" w:eastAsiaTheme="minorEastAsia"/>
                <w:color w:val="auto"/>
                <w:szCs w:val="21"/>
              </w:rPr>
            </w:pPr>
          </w:p>
          <w:p>
            <w:pPr>
              <w:pStyle w:val="61"/>
              <w:spacing w:before="15" w:line="360" w:lineRule="auto"/>
              <w:jc w:val="center"/>
              <w:rPr>
                <w:rFonts w:cs="宋体" w:asciiTheme="minorEastAsia" w:hAnsiTheme="minorEastAsia" w:eastAsiaTheme="minorEastAsia"/>
                <w:color w:val="auto"/>
                <w:szCs w:val="21"/>
              </w:rPr>
            </w:pPr>
          </w:p>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资格要求</w:t>
            </w:r>
          </w:p>
        </w:tc>
        <w:tc>
          <w:tcPr>
            <w:tcW w:w="6662" w:type="dxa"/>
          </w:tcPr>
          <w:p>
            <w:pPr>
              <w:pStyle w:val="61"/>
              <w:spacing w:line="360" w:lineRule="auto"/>
              <w:ind w:left="108"/>
              <w:rPr>
                <w:rFonts w:cs="宋体" w:asciiTheme="minorEastAsia" w:hAnsiTheme="minorEastAsia" w:eastAsiaTheme="minorEastAsia"/>
                <w:color w:val="auto"/>
                <w:kern w:val="0"/>
                <w:szCs w:val="21"/>
                <w:lang w:val="zh-CN"/>
              </w:rPr>
            </w:pPr>
            <w:r>
              <w:rPr>
                <w:rFonts w:hint="eastAsia" w:cs="宋体" w:asciiTheme="minorEastAsia" w:hAnsiTheme="minorEastAsia" w:eastAsiaTheme="minorEastAsia"/>
                <w:color w:val="auto"/>
                <w:kern w:val="0"/>
                <w:szCs w:val="21"/>
                <w:lang w:val="zh-CN"/>
              </w:rPr>
              <w:t>（1）在中华人民共和国注册，具有独立承担民事责任能力法人，并营业执照具有相关经营范围（需提供三证合一的营业执照）；</w:t>
            </w:r>
          </w:p>
          <w:p>
            <w:pPr>
              <w:pStyle w:val="61"/>
              <w:spacing w:line="360" w:lineRule="auto"/>
              <w:rPr>
                <w:rFonts w:cs="宋体" w:asciiTheme="minorEastAsia" w:hAnsiTheme="minorEastAsia" w:eastAsiaTheme="minorEastAsia"/>
                <w:color w:val="auto"/>
                <w:kern w:val="0"/>
                <w:szCs w:val="21"/>
                <w:lang w:val="zh-CN"/>
              </w:rPr>
            </w:pPr>
            <w:r>
              <w:rPr>
                <w:rFonts w:hint="eastAsia" w:cs="宋体" w:asciiTheme="minorEastAsia" w:hAnsiTheme="minorEastAsia" w:eastAsiaTheme="minorEastAsia"/>
                <w:color w:val="auto"/>
                <w:kern w:val="0"/>
                <w:szCs w:val="21"/>
                <w:lang w:val="zh-CN"/>
              </w:rPr>
              <w:t>（2）具有良好的商业信誉和健全的财务会计制度（需提供2019年至今任意 3个月的企业纳税证明或2018年度会计师事务所出具的年度财务审计报告）；</w:t>
            </w:r>
          </w:p>
          <w:p>
            <w:pPr>
              <w:pStyle w:val="61"/>
              <w:spacing w:line="360" w:lineRule="auto"/>
              <w:rPr>
                <w:rFonts w:cs="宋体" w:asciiTheme="minorEastAsia" w:hAnsiTheme="minorEastAsia" w:eastAsiaTheme="minorEastAsia"/>
                <w:color w:val="auto"/>
                <w:kern w:val="0"/>
                <w:szCs w:val="21"/>
                <w:lang w:val="zh-CN"/>
              </w:rPr>
            </w:pPr>
            <w:r>
              <w:rPr>
                <w:rFonts w:hint="eastAsia" w:cs="宋体" w:asciiTheme="minorEastAsia" w:hAnsiTheme="minorEastAsia" w:eastAsiaTheme="minorEastAsia"/>
                <w:color w:val="auto"/>
                <w:kern w:val="0"/>
                <w:szCs w:val="21"/>
                <w:lang w:val="zh-CN"/>
              </w:rPr>
              <w:t>（3）具有依法缴纳社会保障资金的良好记录（需提供 2019年至今任意 3个月社会保障缴费记录）；</w:t>
            </w:r>
          </w:p>
          <w:p>
            <w:pPr>
              <w:pStyle w:val="61"/>
              <w:spacing w:line="360" w:lineRule="auto"/>
              <w:ind w:left="108"/>
              <w:rPr>
                <w:rFonts w:cs="宋体" w:asciiTheme="minorEastAsia" w:hAnsiTheme="minorEastAsia" w:eastAsiaTheme="minorEastAsia"/>
                <w:color w:val="auto"/>
                <w:kern w:val="0"/>
                <w:szCs w:val="21"/>
                <w:lang w:val="zh-CN"/>
              </w:rPr>
            </w:pPr>
            <w:r>
              <w:rPr>
                <w:rFonts w:hint="eastAsia" w:cs="宋体" w:asciiTheme="minorEastAsia" w:hAnsiTheme="minorEastAsia" w:eastAsiaTheme="minorEastAsia"/>
                <w:color w:val="auto"/>
                <w:kern w:val="0"/>
                <w:szCs w:val="21"/>
                <w:lang w:val="zh-CN"/>
              </w:rPr>
              <w:t>（4）参加政府采购活动近三年内，在经营活动中没有重大违法记录的声明（提供声明函）；</w:t>
            </w:r>
          </w:p>
          <w:p>
            <w:pPr>
              <w:pStyle w:val="61"/>
              <w:spacing w:line="360" w:lineRule="auto"/>
              <w:ind w:left="108"/>
              <w:rPr>
                <w:rFonts w:cs="宋体" w:asciiTheme="minorEastAsia" w:hAnsiTheme="minorEastAsia" w:eastAsiaTheme="minorEastAsia"/>
                <w:color w:val="auto"/>
                <w:kern w:val="0"/>
                <w:szCs w:val="21"/>
                <w:lang w:val="zh-CN"/>
              </w:rPr>
            </w:pPr>
            <w:r>
              <w:rPr>
                <w:rFonts w:hint="eastAsia" w:cs="宋体" w:asciiTheme="minorEastAsia" w:hAnsiTheme="minorEastAsia" w:eastAsiaTheme="minorEastAsia"/>
                <w:color w:val="auto"/>
                <w:kern w:val="0"/>
                <w:szCs w:val="21"/>
                <w:lang w:val="zh-CN"/>
              </w:rPr>
              <w:t>（5）投标人须具备有效的《道路运输经营许可证》（经营范围包含班车客运或者城市公交客运）；</w:t>
            </w:r>
          </w:p>
          <w:p>
            <w:pPr>
              <w:pStyle w:val="61"/>
              <w:spacing w:line="360" w:lineRule="auto"/>
              <w:ind w:left="108"/>
              <w:rPr>
                <w:rFonts w:cs="宋体" w:asciiTheme="minorEastAsia" w:hAnsiTheme="minorEastAsia" w:eastAsiaTheme="minorEastAsia"/>
                <w:color w:val="auto"/>
                <w:kern w:val="0"/>
                <w:szCs w:val="21"/>
                <w:lang w:val="zh-CN"/>
              </w:rPr>
            </w:pPr>
            <w:r>
              <w:rPr>
                <w:rFonts w:hint="eastAsia" w:cs="宋体" w:asciiTheme="minorEastAsia" w:hAnsiTheme="minorEastAsia" w:eastAsiaTheme="minorEastAsia"/>
                <w:color w:val="auto"/>
                <w:kern w:val="0"/>
                <w:szCs w:val="21"/>
                <w:lang w:val="zh-CN"/>
              </w:rPr>
              <w:t>（6）必须为未被列入信用中国网站(www.creditchina.gov.cn)的“失信被执行人”、“重大税收违法案件当事人名单”、“政府采购严重违法失信名单”或中国政府采购网(www.ccgp.gov.cn)的“政府采购严重违法失信行为记录名单”的投标人（提供查询结果的网页截图并加盖单位公章）；</w:t>
            </w:r>
          </w:p>
          <w:p>
            <w:pPr>
              <w:pStyle w:val="61"/>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kern w:val="0"/>
                <w:szCs w:val="21"/>
                <w:lang w:val="zh-CN"/>
              </w:rPr>
              <w:t>（7）本项目不接受联合体投标。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851" w:type="dxa"/>
          </w:tcPr>
          <w:p>
            <w:pPr>
              <w:pStyle w:val="61"/>
              <w:spacing w:before="119"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12</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投标不得存在的</w:t>
            </w:r>
          </w:p>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情形</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投标人单位负责人为同一人或者存在直接控股、管理关系的不同投标人，不得参与同一合同项目下的采购活动；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5" w:hRule="atLeast"/>
        </w:trPr>
        <w:tc>
          <w:tcPr>
            <w:tcW w:w="851" w:type="dxa"/>
          </w:tcPr>
          <w:p>
            <w:pPr>
              <w:pStyle w:val="61"/>
              <w:spacing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13</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资格审查方式</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资格后审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851" w:type="dxa"/>
          </w:tcPr>
          <w:p>
            <w:pPr>
              <w:pStyle w:val="61"/>
              <w:spacing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14</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投标有效期</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60日历天（从投标截止之日算起）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6" w:hRule="atLeast"/>
        </w:trPr>
        <w:tc>
          <w:tcPr>
            <w:tcW w:w="851" w:type="dxa"/>
          </w:tcPr>
          <w:p>
            <w:pPr>
              <w:pStyle w:val="61"/>
              <w:spacing w:line="360" w:lineRule="auto"/>
              <w:rPr>
                <w:rFonts w:cs="宋体" w:asciiTheme="minorEastAsia" w:hAnsiTheme="minorEastAsia" w:eastAsiaTheme="minorEastAsia"/>
                <w:color w:val="auto"/>
                <w:szCs w:val="21"/>
              </w:rPr>
            </w:pPr>
          </w:p>
          <w:p>
            <w:pPr>
              <w:pStyle w:val="61"/>
              <w:spacing w:line="360" w:lineRule="auto"/>
              <w:rPr>
                <w:rFonts w:cs="宋体" w:asciiTheme="minorEastAsia" w:hAnsiTheme="minorEastAsia" w:eastAsiaTheme="minorEastAsia"/>
                <w:color w:val="auto"/>
                <w:szCs w:val="21"/>
              </w:rPr>
            </w:pPr>
          </w:p>
          <w:p>
            <w:pPr>
              <w:pStyle w:val="61"/>
              <w:spacing w:before="14" w:line="360" w:lineRule="auto"/>
              <w:rPr>
                <w:rFonts w:cs="宋体" w:asciiTheme="minorEastAsia" w:hAnsiTheme="minorEastAsia" w:eastAsiaTheme="minorEastAsia"/>
                <w:color w:val="auto"/>
                <w:szCs w:val="21"/>
              </w:rPr>
            </w:pPr>
          </w:p>
          <w:p>
            <w:pPr>
              <w:pStyle w:val="61"/>
              <w:spacing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15</w:t>
            </w:r>
          </w:p>
        </w:tc>
        <w:tc>
          <w:tcPr>
            <w:tcW w:w="2410" w:type="dxa"/>
          </w:tcPr>
          <w:p>
            <w:pPr>
              <w:pStyle w:val="61"/>
              <w:spacing w:line="360" w:lineRule="auto"/>
              <w:jc w:val="center"/>
              <w:rPr>
                <w:rFonts w:cs="宋体" w:asciiTheme="minorEastAsia" w:hAnsiTheme="minorEastAsia" w:eastAsiaTheme="minorEastAsia"/>
                <w:color w:val="auto"/>
                <w:szCs w:val="21"/>
              </w:rPr>
            </w:pPr>
          </w:p>
          <w:p>
            <w:pPr>
              <w:pStyle w:val="61"/>
              <w:spacing w:line="360" w:lineRule="auto"/>
              <w:jc w:val="center"/>
              <w:rPr>
                <w:rFonts w:cs="宋体" w:asciiTheme="minorEastAsia" w:hAnsiTheme="minorEastAsia" w:eastAsiaTheme="minorEastAsia"/>
                <w:color w:val="auto"/>
                <w:szCs w:val="21"/>
              </w:rPr>
            </w:pPr>
          </w:p>
          <w:p>
            <w:pPr>
              <w:pStyle w:val="61"/>
              <w:spacing w:before="14" w:line="360" w:lineRule="auto"/>
              <w:jc w:val="center"/>
              <w:rPr>
                <w:rFonts w:cs="宋体" w:asciiTheme="minorEastAsia" w:hAnsiTheme="minorEastAsia" w:eastAsiaTheme="minorEastAsia"/>
                <w:color w:val="auto"/>
                <w:szCs w:val="21"/>
              </w:rPr>
            </w:pPr>
          </w:p>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投标保证金</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保证金金额：人民币80000元；</w:t>
            </w:r>
          </w:p>
          <w:p>
            <w:pPr>
              <w:pStyle w:val="61"/>
              <w:tabs>
                <w:tab w:val="left" w:pos="3701"/>
                <w:tab w:val="left" w:pos="4232"/>
              </w:tabs>
              <w:spacing w:before="108" w:line="360" w:lineRule="auto"/>
              <w:ind w:left="108" w:right="75"/>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保证金到账截止日期：2019年</w:t>
            </w:r>
            <w:r>
              <w:rPr>
                <w:rFonts w:hint="eastAsia" w:cs="宋体" w:asciiTheme="minorEastAsia" w:hAnsiTheme="minorEastAsia" w:eastAsiaTheme="minorEastAsia"/>
                <w:color w:val="auto"/>
                <w:szCs w:val="21"/>
                <w:lang w:val="en-US" w:eastAsia="zh-CN"/>
              </w:rPr>
              <w:t>10</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11</w:t>
            </w:r>
            <w:r>
              <w:rPr>
                <w:rFonts w:hint="eastAsia" w:cs="宋体" w:asciiTheme="minorEastAsia" w:hAnsiTheme="minorEastAsia" w:eastAsiaTheme="minorEastAsia"/>
                <w:color w:val="auto"/>
                <w:szCs w:val="21"/>
              </w:rPr>
              <w:t>日1</w:t>
            </w:r>
            <w:r>
              <w:rPr>
                <w:rFonts w:hint="eastAsia" w:cs="宋体" w:asciiTheme="minorEastAsia" w:hAnsiTheme="minorEastAsia" w:eastAsiaTheme="minorEastAsia"/>
                <w:color w:val="auto"/>
                <w:szCs w:val="21"/>
                <w:lang w:val="en-US" w:eastAsia="zh-CN"/>
              </w:rPr>
              <w:t>4</w:t>
            </w:r>
            <w:r>
              <w:rPr>
                <w:rFonts w:hint="eastAsia" w:cs="宋体" w:asciiTheme="minorEastAsia" w:hAnsiTheme="minorEastAsia" w:eastAsiaTheme="minorEastAsia"/>
                <w:color w:val="auto"/>
                <w:szCs w:val="21"/>
              </w:rPr>
              <w:t>时30分（北京时间）；</w:t>
            </w:r>
          </w:p>
          <w:p>
            <w:pPr>
              <w:pStyle w:val="61"/>
              <w:spacing w:before="102" w:line="360" w:lineRule="auto"/>
              <w:ind w:left="108" w:right="103"/>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 标 保 证 金 的 缴纳 形 式 ： 网 上 支 付 ， 支 付 地 址 为 ：</w:t>
            </w:r>
          </w:p>
          <w:p>
            <w:pPr>
              <w:pStyle w:val="61"/>
              <w:spacing w:before="102" w:line="360" w:lineRule="auto"/>
              <w:ind w:left="108" w:right="103"/>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 </w:t>
            </w:r>
            <w:r>
              <w:rPr>
                <w:color w:val="auto"/>
              </w:rPr>
              <w:fldChar w:fldCharType="begin"/>
            </w:r>
            <w:r>
              <w:rPr>
                <w:color w:val="auto"/>
              </w:rPr>
              <w:instrText xml:space="preserve"> HYPERLINK "http://218.77.183.48/htms" \h </w:instrText>
            </w:r>
            <w:r>
              <w:rPr>
                <w:color w:val="auto"/>
              </w:rPr>
              <w:fldChar w:fldCharType="separate"/>
            </w:r>
            <w:r>
              <w:rPr>
                <w:rFonts w:hint="eastAsia" w:cs="宋体" w:asciiTheme="minorEastAsia" w:hAnsiTheme="minorEastAsia" w:eastAsiaTheme="minorEastAsia"/>
                <w:color w:val="auto"/>
                <w:szCs w:val="21"/>
              </w:rPr>
              <w:t>http://zw.hainan.gov.cn/htms/login!register.do</w:t>
            </w:r>
            <w:r>
              <w:rPr>
                <w:rFonts w:hint="eastAsia" w:cs="宋体" w:asciiTheme="minorEastAsia" w:hAnsiTheme="minorEastAsia" w:eastAsiaTheme="minorEastAsia"/>
                <w:color w:val="auto"/>
                <w:szCs w:val="21"/>
              </w:rPr>
              <w:fldChar w:fldCharType="end"/>
            </w:r>
            <w:r>
              <w:rPr>
                <w:rFonts w:hint="eastAsia" w:cs="宋体" w:asciiTheme="minorEastAsia" w:hAnsiTheme="minorEastAsia" w:eastAsiaTheme="minorEastAsia"/>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851" w:type="dxa"/>
          </w:tcPr>
          <w:p>
            <w:pPr>
              <w:pStyle w:val="61"/>
              <w:spacing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16</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投标文件份数</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u w:val="single"/>
              </w:rPr>
              <w:t xml:space="preserve">  壹</w:t>
            </w:r>
            <w:r>
              <w:rPr>
                <w:rFonts w:hint="eastAsia" w:cs="宋体" w:asciiTheme="minorEastAsia" w:hAnsiTheme="minorEastAsia" w:eastAsiaTheme="minorEastAsia"/>
                <w:color w:val="auto"/>
                <w:szCs w:val="21"/>
              </w:rPr>
              <w:t xml:space="preserve"> 份正本，</w:t>
            </w:r>
            <w:r>
              <w:rPr>
                <w:rFonts w:hint="eastAsia" w:cs="宋体" w:asciiTheme="minorEastAsia" w:hAnsiTheme="minorEastAsia" w:eastAsiaTheme="minorEastAsia"/>
                <w:color w:val="auto"/>
                <w:szCs w:val="21"/>
                <w:u w:val="single"/>
              </w:rPr>
              <w:t xml:space="preserve"> 陆 </w:t>
            </w:r>
            <w:r>
              <w:rPr>
                <w:rFonts w:hint="eastAsia" w:cs="宋体" w:asciiTheme="minorEastAsia" w:hAnsiTheme="minorEastAsia" w:eastAsiaTheme="minorEastAsia"/>
                <w:color w:val="auto"/>
                <w:szCs w:val="21"/>
              </w:rPr>
              <w:t>份副本，电子版</w:t>
            </w:r>
            <w:r>
              <w:rPr>
                <w:rFonts w:hint="eastAsia" w:cs="宋体" w:asciiTheme="minorEastAsia" w:hAnsiTheme="minorEastAsia" w:eastAsiaTheme="minorEastAsia"/>
                <w:color w:val="auto"/>
                <w:szCs w:val="21"/>
                <w:u w:val="single"/>
              </w:rPr>
              <w:t xml:space="preserve"> 壹 </w:t>
            </w:r>
            <w:r>
              <w:rPr>
                <w:rFonts w:hint="eastAsia" w:cs="宋体" w:asciiTheme="minorEastAsia" w:hAnsiTheme="minorEastAsia" w:eastAsiaTheme="minorEastAsia"/>
                <w:color w:val="auto"/>
                <w:szCs w:val="21"/>
              </w:rPr>
              <w:t>份（光盘或 U盘）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3" w:hRule="atLeast"/>
        </w:trPr>
        <w:tc>
          <w:tcPr>
            <w:tcW w:w="851" w:type="dxa"/>
          </w:tcPr>
          <w:p>
            <w:pPr>
              <w:pStyle w:val="61"/>
              <w:spacing w:before="117"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17</w:t>
            </w:r>
          </w:p>
        </w:tc>
        <w:tc>
          <w:tcPr>
            <w:tcW w:w="2410" w:type="dxa"/>
          </w:tcPr>
          <w:p>
            <w:pPr>
              <w:pStyle w:val="61"/>
              <w:spacing w:before="117"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投标文件递交</w:t>
            </w:r>
          </w:p>
        </w:tc>
        <w:tc>
          <w:tcPr>
            <w:tcW w:w="6662" w:type="dxa"/>
          </w:tcPr>
          <w:p>
            <w:pPr>
              <w:pStyle w:val="61"/>
              <w:tabs>
                <w:tab w:val="left" w:pos="5790"/>
              </w:tabs>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投标文件递交地点:海南省公共资源交易服务中心二楼</w:t>
            </w:r>
            <w:r>
              <w:rPr>
                <w:rFonts w:hint="eastAsia" w:cs="宋体" w:asciiTheme="minorEastAsia" w:hAnsiTheme="minorEastAsia" w:eastAsiaTheme="minorEastAsia"/>
                <w:color w:val="auto"/>
                <w:szCs w:val="21"/>
                <w:lang w:val="en-US" w:eastAsia="zh-CN"/>
              </w:rPr>
              <w:t>205</w:t>
            </w:r>
            <w:r>
              <w:rPr>
                <w:rFonts w:hint="eastAsia" w:cs="宋体" w:asciiTheme="minorEastAsia" w:hAnsiTheme="minorEastAsia" w:eastAsiaTheme="minorEastAsia"/>
                <w:color w:val="auto"/>
                <w:szCs w:val="21"/>
              </w:rPr>
              <w:t>室</w:t>
            </w:r>
          </w:p>
          <w:p>
            <w:pPr>
              <w:pStyle w:val="61"/>
              <w:tabs>
                <w:tab w:val="left" w:pos="3768"/>
                <w:tab w:val="left" w:pos="4249"/>
              </w:tabs>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投标文件递交截止时间：2019年</w:t>
            </w:r>
            <w:r>
              <w:rPr>
                <w:rFonts w:hint="eastAsia" w:cs="宋体" w:asciiTheme="minorEastAsia" w:hAnsiTheme="minorEastAsia" w:eastAsiaTheme="minorEastAsia"/>
                <w:color w:val="auto"/>
                <w:szCs w:val="21"/>
                <w:lang w:val="en-US" w:eastAsia="zh-CN"/>
              </w:rPr>
              <w:t>10</w:t>
            </w:r>
            <w:r>
              <w:rPr>
                <w:rFonts w:hint="eastAsia" w:cs="宋体" w:asciiTheme="minorEastAsia" w:hAnsiTheme="minorEastAsia" w:eastAsiaTheme="minorEastAsia"/>
                <w:color w:val="auto"/>
                <w:szCs w:val="21"/>
              </w:rPr>
              <w:t>月</w:t>
            </w:r>
            <w:r>
              <w:rPr>
                <w:rFonts w:hint="eastAsia" w:cs="宋体" w:asciiTheme="minorEastAsia" w:hAnsiTheme="minorEastAsia" w:eastAsiaTheme="minorEastAsia"/>
                <w:color w:val="auto"/>
                <w:szCs w:val="21"/>
                <w:lang w:val="en-US" w:eastAsia="zh-CN"/>
              </w:rPr>
              <w:t>11</w:t>
            </w:r>
            <w:r>
              <w:rPr>
                <w:rFonts w:hint="eastAsia" w:cs="宋体" w:asciiTheme="minorEastAsia" w:hAnsiTheme="minorEastAsia" w:eastAsiaTheme="minorEastAsia"/>
                <w:color w:val="auto"/>
                <w:szCs w:val="21"/>
              </w:rPr>
              <w:t>日1</w:t>
            </w:r>
            <w:r>
              <w:rPr>
                <w:rFonts w:hint="eastAsia" w:cs="宋体" w:asciiTheme="minorEastAsia" w:hAnsiTheme="minorEastAsia" w:eastAsiaTheme="minorEastAsia"/>
                <w:color w:val="auto"/>
                <w:szCs w:val="21"/>
                <w:lang w:val="en-US" w:eastAsia="zh-CN"/>
              </w:rPr>
              <w:t>4</w:t>
            </w:r>
            <w:r>
              <w:rPr>
                <w:rFonts w:hint="eastAsia" w:cs="宋体" w:asciiTheme="minorEastAsia" w:hAnsiTheme="minorEastAsia" w:eastAsiaTheme="minorEastAsia"/>
                <w:color w:val="auto"/>
                <w:szCs w:val="21"/>
              </w:rPr>
              <w:t>时30分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3" w:hRule="atLeast"/>
        </w:trPr>
        <w:tc>
          <w:tcPr>
            <w:tcW w:w="851" w:type="dxa"/>
          </w:tcPr>
          <w:p>
            <w:pPr>
              <w:pStyle w:val="61"/>
              <w:spacing w:before="120"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18</w:t>
            </w:r>
          </w:p>
        </w:tc>
        <w:tc>
          <w:tcPr>
            <w:tcW w:w="2410" w:type="dxa"/>
          </w:tcPr>
          <w:p>
            <w:pPr>
              <w:pStyle w:val="61"/>
              <w:spacing w:before="120"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媒介发布</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本次招标公告同时在</w:t>
            </w:r>
            <w:r>
              <w:rPr>
                <w:rFonts w:hint="eastAsia" w:cs="宋体" w:asciiTheme="minorEastAsia" w:hAnsiTheme="minorEastAsia" w:eastAsiaTheme="minorEastAsia"/>
                <w:color w:val="auto"/>
                <w:szCs w:val="21"/>
                <w:u w:val="single"/>
              </w:rPr>
              <w:t>中国海南政府采购网、全国公共资源交易服务平台（海南省）、东方市人民政府网</w:t>
            </w:r>
            <w:r>
              <w:rPr>
                <w:rFonts w:hint="eastAsia" w:cs="宋体" w:asciiTheme="minorEastAsia" w:hAnsiTheme="minorEastAsia" w:eastAsiaTheme="minorEastAsia"/>
                <w:color w:val="auto"/>
                <w:szCs w:val="21"/>
              </w:rPr>
              <w:t>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851" w:type="dxa"/>
          </w:tcPr>
          <w:p>
            <w:pPr>
              <w:pStyle w:val="61"/>
              <w:spacing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19</w:t>
            </w:r>
          </w:p>
        </w:tc>
        <w:tc>
          <w:tcPr>
            <w:tcW w:w="2410" w:type="dxa"/>
          </w:tcPr>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评标方法</w:t>
            </w:r>
          </w:p>
        </w:tc>
        <w:tc>
          <w:tcPr>
            <w:tcW w:w="6662" w:type="dxa"/>
          </w:tcPr>
          <w:p>
            <w:pPr>
              <w:pStyle w:val="61"/>
              <w:spacing w:line="360" w:lineRule="auto"/>
              <w:ind w:left="108"/>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42" w:hRule="atLeast"/>
        </w:trPr>
        <w:tc>
          <w:tcPr>
            <w:tcW w:w="851" w:type="dxa"/>
          </w:tcPr>
          <w:p>
            <w:pPr>
              <w:pStyle w:val="61"/>
              <w:spacing w:line="360" w:lineRule="auto"/>
              <w:rPr>
                <w:rFonts w:cs="宋体" w:asciiTheme="minorEastAsia" w:hAnsiTheme="minorEastAsia" w:eastAsiaTheme="minorEastAsia"/>
                <w:color w:val="auto"/>
                <w:szCs w:val="21"/>
              </w:rPr>
            </w:pPr>
          </w:p>
          <w:p>
            <w:pPr>
              <w:pStyle w:val="61"/>
              <w:spacing w:before="16" w:line="360" w:lineRule="auto"/>
              <w:rPr>
                <w:rFonts w:cs="宋体" w:asciiTheme="minorEastAsia" w:hAnsiTheme="minorEastAsia" w:eastAsiaTheme="minorEastAsia"/>
                <w:color w:val="auto"/>
                <w:szCs w:val="21"/>
              </w:rPr>
            </w:pPr>
          </w:p>
          <w:p>
            <w:pPr>
              <w:pStyle w:val="61"/>
              <w:spacing w:line="360" w:lineRule="auto"/>
              <w:ind w:left="61" w:right="54"/>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20</w:t>
            </w:r>
          </w:p>
        </w:tc>
        <w:tc>
          <w:tcPr>
            <w:tcW w:w="2410" w:type="dxa"/>
          </w:tcPr>
          <w:p>
            <w:pPr>
              <w:pStyle w:val="61"/>
              <w:spacing w:line="360" w:lineRule="auto"/>
              <w:jc w:val="center"/>
              <w:rPr>
                <w:rFonts w:cs="宋体" w:asciiTheme="minorEastAsia" w:hAnsiTheme="minorEastAsia" w:eastAsiaTheme="minorEastAsia"/>
                <w:color w:val="auto"/>
                <w:szCs w:val="21"/>
              </w:rPr>
            </w:pPr>
          </w:p>
          <w:p>
            <w:pPr>
              <w:pStyle w:val="61"/>
              <w:spacing w:before="16" w:line="360" w:lineRule="auto"/>
              <w:jc w:val="center"/>
              <w:rPr>
                <w:rFonts w:cs="宋体" w:asciiTheme="minorEastAsia" w:hAnsiTheme="minorEastAsia" w:eastAsiaTheme="minorEastAsia"/>
                <w:color w:val="auto"/>
                <w:szCs w:val="21"/>
              </w:rPr>
            </w:pPr>
          </w:p>
          <w:p>
            <w:pPr>
              <w:pStyle w:val="61"/>
              <w:spacing w:line="360" w:lineRule="auto"/>
              <w:ind w:left="108"/>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说明</w:t>
            </w:r>
          </w:p>
        </w:tc>
        <w:tc>
          <w:tcPr>
            <w:tcW w:w="6662" w:type="dxa"/>
          </w:tcPr>
          <w:p>
            <w:pPr>
              <w:pStyle w:val="61"/>
              <w:spacing w:line="360" w:lineRule="auto"/>
              <w:ind w:right="50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本项目第一中标候选人须在中标公告发布之日起三个工作日内将本次评标过程中所涉及的资格及评分等相关证书证明材料原件统一提交给采购人审查核验，如发现有弄虚造假，将取消其中标资格，没收其投标保证金，并移送相关主管部门严肃处理。</w:t>
            </w:r>
          </w:p>
          <w:p>
            <w:pPr>
              <w:pStyle w:val="61"/>
              <w:spacing w:line="360" w:lineRule="auto"/>
              <w:ind w:right="506"/>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2.本项目招标代理服务费由中标人在领取中标通知书前支付。</w:t>
            </w:r>
          </w:p>
        </w:tc>
      </w:tr>
    </w:tbl>
    <w:p>
      <w:pPr>
        <w:spacing w:beforeLines="50" w:afterLines="50" w:line="360" w:lineRule="auto"/>
        <w:rPr>
          <w:rFonts w:cs="宋体" w:asciiTheme="minorEastAsia" w:hAnsiTheme="minorEastAsia" w:eastAsiaTheme="minorEastAsia"/>
          <w:b/>
          <w:color w:val="auto"/>
          <w:sz w:val="28"/>
          <w:szCs w:val="28"/>
        </w:rPr>
      </w:pPr>
    </w:p>
    <w:p>
      <w:pPr>
        <w:spacing w:beforeLines="50" w:afterLines="50" w:line="360" w:lineRule="auto"/>
        <w:rPr>
          <w:rFonts w:cs="宋体" w:asciiTheme="minorEastAsia" w:hAnsiTheme="minorEastAsia" w:eastAsiaTheme="minorEastAsia"/>
          <w:b/>
          <w:color w:val="auto"/>
          <w:sz w:val="28"/>
          <w:szCs w:val="28"/>
        </w:rPr>
        <w:sectPr>
          <w:pgSz w:w="11906" w:h="16838"/>
          <w:pgMar w:top="1418" w:right="1418" w:bottom="1418" w:left="1418" w:header="907" w:footer="907" w:gutter="0"/>
          <w:cols w:space="720" w:num="1"/>
          <w:docGrid w:linePitch="312" w:charSpace="0"/>
        </w:sectPr>
      </w:pPr>
    </w:p>
    <w:p>
      <w:pPr>
        <w:spacing w:beforeLines="50" w:afterLines="50" w:line="360" w:lineRule="auto"/>
        <w:jc w:val="center"/>
        <w:rPr>
          <w:rFonts w:cs="宋体" w:asciiTheme="minorEastAsia" w:hAnsiTheme="minorEastAsia" w:eastAsiaTheme="minorEastAsia"/>
          <w:b/>
          <w:color w:val="auto"/>
          <w:sz w:val="28"/>
          <w:szCs w:val="28"/>
        </w:rPr>
      </w:pPr>
      <w:r>
        <w:rPr>
          <w:rFonts w:hint="eastAsia" w:cs="宋体" w:asciiTheme="minorEastAsia" w:hAnsiTheme="minorEastAsia" w:eastAsiaTheme="minorEastAsia"/>
          <w:b/>
          <w:color w:val="auto"/>
          <w:sz w:val="28"/>
          <w:szCs w:val="28"/>
        </w:rPr>
        <w:t>（一）总则</w:t>
      </w:r>
    </w:p>
    <w:p>
      <w:pPr>
        <w:spacing w:line="360" w:lineRule="auto"/>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1、适用范围</w:t>
      </w:r>
    </w:p>
    <w:p>
      <w:pPr>
        <w:spacing w:line="360" w:lineRule="auto"/>
        <w:ind w:firstLine="480" w:firstLineChars="200"/>
        <w:rPr>
          <w:rFonts w:cs="宋体" w:asciiTheme="minorEastAsia" w:hAnsiTheme="minorEastAsia" w:eastAsiaTheme="minorEastAsia"/>
          <w:color w:val="auto"/>
          <w:sz w:val="24"/>
        </w:rPr>
      </w:pPr>
      <w:bookmarkStart w:id="8" w:name="_Toc19881752"/>
      <w:r>
        <w:rPr>
          <w:rFonts w:hint="eastAsia" w:cs="宋体" w:asciiTheme="minorEastAsia" w:hAnsiTheme="minorEastAsia" w:eastAsiaTheme="minorEastAsia"/>
          <w:color w:val="auto"/>
          <w:sz w:val="24"/>
        </w:rPr>
        <w:t>本</w:t>
      </w:r>
      <w:r>
        <w:rPr>
          <w:rFonts w:hint="eastAsia" w:cs="宋体" w:asciiTheme="minorEastAsia" w:hAnsiTheme="minorEastAsia" w:eastAsiaTheme="minorEastAsia"/>
          <w:bCs/>
          <w:color w:val="auto"/>
          <w:kern w:val="0"/>
          <w:sz w:val="24"/>
          <w:lang w:val="en-GB"/>
        </w:rPr>
        <w:t>招标</w:t>
      </w:r>
      <w:r>
        <w:rPr>
          <w:rFonts w:hint="eastAsia" w:cs="宋体" w:asciiTheme="minorEastAsia" w:hAnsiTheme="minorEastAsia" w:eastAsiaTheme="minorEastAsia"/>
          <w:color w:val="auto"/>
          <w:sz w:val="24"/>
        </w:rPr>
        <w:t>文件仅适用于</w:t>
      </w:r>
      <w:r>
        <w:rPr>
          <w:rFonts w:hint="eastAsia" w:cs="宋体" w:asciiTheme="minorEastAsia" w:hAnsiTheme="minorEastAsia" w:eastAsiaTheme="minorEastAsia"/>
          <w:bCs/>
          <w:color w:val="auto"/>
          <w:kern w:val="0"/>
          <w:sz w:val="24"/>
          <w:lang w:val="en-GB"/>
        </w:rPr>
        <w:t>本次投标邀请中所叙述的项目。</w:t>
      </w:r>
      <w:bookmarkEnd w:id="8"/>
    </w:p>
    <w:p>
      <w:pPr>
        <w:tabs>
          <w:tab w:val="left" w:pos="7665"/>
        </w:tabs>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2、有关定义及相应职责</w:t>
      </w:r>
    </w:p>
    <w:p>
      <w:pPr>
        <w:tabs>
          <w:tab w:val="left" w:pos="7665"/>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2.1 “采购人”系指依法进行政府采购的国家机关、事业单位、团体组织。本次</w:t>
      </w:r>
      <w:r>
        <w:rPr>
          <w:rFonts w:hint="eastAsia" w:cs="宋体" w:asciiTheme="minorEastAsia" w:hAnsiTheme="minorEastAsia" w:eastAsiaTheme="minorEastAsia"/>
          <w:bCs/>
          <w:color w:val="auto"/>
          <w:kern w:val="0"/>
          <w:sz w:val="24"/>
          <w:lang w:val="en-GB"/>
        </w:rPr>
        <w:t>招标的</w:t>
      </w:r>
      <w:r>
        <w:rPr>
          <w:rFonts w:hint="eastAsia" w:cs="宋体" w:asciiTheme="minorEastAsia" w:hAnsiTheme="minorEastAsia" w:eastAsiaTheme="minorEastAsia"/>
          <w:color w:val="auto"/>
          <w:sz w:val="24"/>
        </w:rPr>
        <w:t>采购人是</w:t>
      </w:r>
      <w:r>
        <w:rPr>
          <w:rFonts w:hint="eastAsia" w:cs="宋体" w:asciiTheme="minorEastAsia" w:hAnsiTheme="minorEastAsia" w:eastAsiaTheme="minorEastAsia"/>
          <w:b/>
          <w:bCs/>
          <w:color w:val="auto"/>
          <w:sz w:val="24"/>
          <w:lang w:val="en-GB"/>
        </w:rPr>
        <w:t>东方市交通运输局</w:t>
      </w:r>
      <w:r>
        <w:rPr>
          <w:rFonts w:hint="eastAsia" w:cs="宋体" w:asciiTheme="minorEastAsia" w:hAnsiTheme="minorEastAsia" w:eastAsiaTheme="minorEastAsia"/>
          <w:color w:val="auto"/>
          <w:sz w:val="24"/>
        </w:rPr>
        <w:t>。</w:t>
      </w:r>
    </w:p>
    <w:p>
      <w:pPr>
        <w:tabs>
          <w:tab w:val="left" w:pos="7665"/>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2.2 “招标代理机构”系指受采购人的委托依法办理</w:t>
      </w:r>
      <w:r>
        <w:rPr>
          <w:rFonts w:hint="eastAsia" w:cs="宋体" w:asciiTheme="minorEastAsia" w:hAnsiTheme="minorEastAsia" w:eastAsiaTheme="minorEastAsia"/>
          <w:bCs/>
          <w:color w:val="auto"/>
          <w:kern w:val="0"/>
          <w:sz w:val="24"/>
          <w:lang w:val="en-GB"/>
        </w:rPr>
        <w:t>招标</w:t>
      </w:r>
      <w:r>
        <w:rPr>
          <w:rFonts w:hint="eastAsia" w:cs="宋体" w:asciiTheme="minorEastAsia" w:hAnsiTheme="minorEastAsia" w:eastAsiaTheme="minorEastAsia"/>
          <w:color w:val="auto"/>
          <w:sz w:val="24"/>
        </w:rPr>
        <w:t>事宜的机构。本次</w:t>
      </w:r>
      <w:r>
        <w:rPr>
          <w:rFonts w:hint="eastAsia" w:cs="宋体" w:asciiTheme="minorEastAsia" w:hAnsiTheme="minorEastAsia" w:eastAsiaTheme="minorEastAsia"/>
          <w:bCs/>
          <w:color w:val="auto"/>
          <w:kern w:val="0"/>
          <w:sz w:val="24"/>
          <w:lang w:val="en-GB"/>
        </w:rPr>
        <w:t>招标</w:t>
      </w:r>
      <w:r>
        <w:rPr>
          <w:rFonts w:hint="eastAsia" w:cs="宋体" w:asciiTheme="minorEastAsia" w:hAnsiTheme="minorEastAsia" w:eastAsiaTheme="minorEastAsia"/>
          <w:color w:val="auto"/>
          <w:sz w:val="24"/>
        </w:rPr>
        <w:t>的采购代理机构是</w:t>
      </w:r>
      <w:r>
        <w:rPr>
          <w:rFonts w:hint="eastAsia" w:cs="宋体" w:asciiTheme="minorEastAsia" w:hAnsiTheme="minorEastAsia" w:eastAsiaTheme="minorEastAsia"/>
          <w:b/>
          <w:bCs/>
          <w:color w:val="auto"/>
          <w:sz w:val="24"/>
        </w:rPr>
        <w:t>海南中政源达项目管理有限公司</w:t>
      </w:r>
      <w:r>
        <w:rPr>
          <w:rFonts w:hint="eastAsia" w:cs="宋体" w:asciiTheme="minorEastAsia" w:hAnsiTheme="minorEastAsia" w:eastAsiaTheme="minorEastAsia"/>
          <w:color w:val="auto"/>
          <w:sz w:val="24"/>
        </w:rPr>
        <w:t>。</w:t>
      </w:r>
    </w:p>
    <w:p>
      <w:pPr>
        <w:tabs>
          <w:tab w:val="left" w:pos="7665"/>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2.3 “投标人”系指实名购买</w:t>
      </w:r>
      <w:r>
        <w:rPr>
          <w:rFonts w:hint="eastAsia" w:cs="宋体" w:asciiTheme="minorEastAsia" w:hAnsiTheme="minorEastAsia" w:eastAsiaTheme="minorEastAsia"/>
          <w:bCs/>
          <w:color w:val="auto"/>
          <w:kern w:val="0"/>
          <w:sz w:val="24"/>
          <w:lang w:val="en-GB"/>
        </w:rPr>
        <w:t>招标</w:t>
      </w:r>
      <w:r>
        <w:rPr>
          <w:rFonts w:hint="eastAsia" w:cs="宋体" w:asciiTheme="minorEastAsia" w:hAnsiTheme="minorEastAsia" w:eastAsiaTheme="minorEastAsia"/>
          <w:color w:val="auto"/>
          <w:sz w:val="24"/>
        </w:rPr>
        <w:t>文件拟参加投标和拟向采购人提供货物及相应服务的投标单位。其职责如下：</w:t>
      </w:r>
    </w:p>
    <w:p>
      <w:pPr>
        <w:tabs>
          <w:tab w:val="left" w:pos="306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2.3.1 按要求缴纳投标保证金；</w:t>
      </w:r>
    </w:p>
    <w:p>
      <w:pPr>
        <w:tabs>
          <w:tab w:val="left" w:pos="306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2.3.2 按要求编制投标文件；</w:t>
      </w:r>
    </w:p>
    <w:p>
      <w:pPr>
        <w:tabs>
          <w:tab w:val="left" w:pos="306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2.3.3 派投标代表投标（递交投标文件），参加开标活动，对评标委员会就投标文件提出的问题进行澄清；“投标代表”系指在投标过程中代表投标单位处理投标事宜的人员，包括投标单位法定代表人或负责人及取得授权的投标单位人员；</w:t>
      </w:r>
    </w:p>
    <w:p>
      <w:pPr>
        <w:tabs>
          <w:tab w:val="left" w:pos="306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2.3.4 配合相关职能部门就</w:t>
      </w:r>
      <w:r>
        <w:rPr>
          <w:rFonts w:hint="eastAsia" w:cs="宋体" w:asciiTheme="minorEastAsia" w:hAnsiTheme="minorEastAsia" w:eastAsiaTheme="minorEastAsia"/>
          <w:bCs/>
          <w:color w:val="auto"/>
          <w:kern w:val="0"/>
          <w:sz w:val="24"/>
          <w:lang w:val="en-GB"/>
        </w:rPr>
        <w:t>公开招标采购</w:t>
      </w:r>
      <w:r>
        <w:rPr>
          <w:rFonts w:hint="eastAsia" w:cs="宋体" w:asciiTheme="minorEastAsia" w:hAnsiTheme="minorEastAsia" w:eastAsiaTheme="minorEastAsia"/>
          <w:color w:val="auto"/>
          <w:sz w:val="24"/>
        </w:rPr>
        <w:t>项目的质疑、投诉和举报的处理工作；</w:t>
      </w:r>
    </w:p>
    <w:p>
      <w:pPr>
        <w:tabs>
          <w:tab w:val="left" w:pos="306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2.3.5中标人与采购人签订采购合同，按照合同规定向采购人提供货物或服务；</w:t>
      </w:r>
    </w:p>
    <w:p>
      <w:pPr>
        <w:tabs>
          <w:tab w:val="left" w:pos="7665"/>
        </w:tabs>
        <w:spacing w:line="360" w:lineRule="auto"/>
        <w:ind w:firstLine="480"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2.3.6 单位负责人为同一人或者存在控股、管理关系的不同单位，不得参加同一标段投标或者未划分标段的同一招标项目投标。违反该规定的，相关投标均无效，由此产生的一切后果均由相关投标人承担。</w:t>
      </w:r>
    </w:p>
    <w:p>
      <w:pPr>
        <w:tabs>
          <w:tab w:val="left" w:pos="7665"/>
        </w:tabs>
        <w:spacing w:line="360" w:lineRule="auto"/>
        <w:ind w:firstLine="480"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2.3.7除单一来源采购项目外，为采购项目提供整体设计、规范编制或者项目管理、监理、检测等服务的供应商，不得再参加该采购项目的其他采购活动。</w:t>
      </w:r>
    </w:p>
    <w:p>
      <w:pPr>
        <w:tabs>
          <w:tab w:val="left" w:pos="7665"/>
        </w:tabs>
        <w:spacing w:line="360" w:lineRule="auto"/>
        <w:ind w:firstLine="480"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2.3.8投标人被列入失信被执行人、重大税收违法案件当事人名单、政府采购严重违法失信行为记录名单、或存在其他不符合《中华人民共和国政府采购法》第二十二条规定条件的情况的投标人不得参与投标。</w:t>
      </w:r>
    </w:p>
    <w:p>
      <w:pPr>
        <w:tabs>
          <w:tab w:val="left" w:pos="7665"/>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2.3.9政府采购法律法规所规定的其他职责。</w:t>
      </w:r>
    </w:p>
    <w:p>
      <w:pPr>
        <w:tabs>
          <w:tab w:val="left" w:pos="7665"/>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2.4 合格的投标人</w:t>
      </w:r>
    </w:p>
    <w:p>
      <w:pPr>
        <w:tabs>
          <w:tab w:val="left" w:pos="7665"/>
        </w:tabs>
        <w:spacing w:line="360" w:lineRule="auto"/>
        <w:ind w:firstLine="480" w:firstLineChars="200"/>
        <w:rPr>
          <w:rFonts w:cs="宋体" w:asciiTheme="minorEastAsia" w:hAnsiTheme="minorEastAsia" w:eastAsiaTheme="minorEastAsia"/>
          <w:bCs/>
          <w:color w:val="auto"/>
          <w:kern w:val="0"/>
          <w:sz w:val="24"/>
          <w:lang w:val="en-GB"/>
        </w:rPr>
      </w:pPr>
      <w:r>
        <w:rPr>
          <w:rFonts w:hint="eastAsia" w:cs="宋体" w:asciiTheme="minorEastAsia" w:hAnsiTheme="minorEastAsia" w:eastAsiaTheme="minorEastAsia"/>
          <w:bCs/>
          <w:color w:val="auto"/>
          <w:kern w:val="0"/>
          <w:sz w:val="24"/>
        </w:rPr>
        <w:t xml:space="preserve">2.4.1 </w:t>
      </w:r>
      <w:r>
        <w:rPr>
          <w:rFonts w:hint="eastAsia" w:cs="宋体" w:asciiTheme="minorEastAsia" w:hAnsiTheme="minorEastAsia" w:eastAsiaTheme="minorEastAsia"/>
          <w:bCs/>
          <w:color w:val="auto"/>
          <w:kern w:val="0"/>
          <w:sz w:val="24"/>
          <w:lang w:val="en-GB"/>
        </w:rPr>
        <w:t>符合《中华人民共和国政府采购法》第二十二条规定的供应商。</w:t>
      </w:r>
    </w:p>
    <w:p>
      <w:pPr>
        <w:tabs>
          <w:tab w:val="left" w:pos="7665"/>
        </w:tabs>
        <w:spacing w:line="360" w:lineRule="auto"/>
        <w:ind w:firstLine="480" w:firstLineChars="200"/>
        <w:rPr>
          <w:rFonts w:cs="宋体" w:asciiTheme="minorEastAsia" w:hAnsiTheme="minorEastAsia" w:eastAsiaTheme="minorEastAsia"/>
          <w:bCs/>
          <w:color w:val="auto"/>
          <w:kern w:val="0"/>
          <w:sz w:val="24"/>
          <w:lang w:val="en-GB"/>
        </w:rPr>
      </w:pPr>
      <w:r>
        <w:rPr>
          <w:rFonts w:hint="eastAsia" w:cs="宋体" w:asciiTheme="minorEastAsia" w:hAnsiTheme="minorEastAsia" w:eastAsiaTheme="minorEastAsia"/>
          <w:bCs/>
          <w:color w:val="auto"/>
          <w:kern w:val="0"/>
          <w:sz w:val="24"/>
        </w:rPr>
        <w:t xml:space="preserve">2.4.2 </w:t>
      </w:r>
      <w:r>
        <w:rPr>
          <w:rFonts w:hint="eastAsia" w:cs="宋体" w:asciiTheme="minorEastAsia" w:hAnsiTheme="minorEastAsia" w:eastAsiaTheme="minorEastAsia"/>
          <w:bCs/>
          <w:color w:val="auto"/>
          <w:kern w:val="0"/>
          <w:sz w:val="24"/>
          <w:lang w:val="en-GB"/>
        </w:rPr>
        <w:t>符合招标文件规定的资格要求，并有能力提供满足招标要求的相关货物及服务的法人实体。</w:t>
      </w:r>
    </w:p>
    <w:p>
      <w:pPr>
        <w:tabs>
          <w:tab w:val="left" w:pos="7665"/>
        </w:tabs>
        <w:spacing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    2.5 </w:t>
      </w:r>
      <w:r>
        <w:rPr>
          <w:rFonts w:hint="eastAsia" w:cs="宋体" w:asciiTheme="minorEastAsia" w:hAnsiTheme="minorEastAsia" w:eastAsiaTheme="minorEastAsia"/>
          <w:bCs/>
          <w:color w:val="auto"/>
          <w:kern w:val="0"/>
          <w:sz w:val="24"/>
          <w:lang w:val="en-GB"/>
        </w:rPr>
        <w:t>“中标人”系指经评标委员会按照招标文件确定的评标标准和方法，对投标文件进行评审，推荐合格的中标候选人，招标人根据评标委员会提出的书面评标报告和推荐的中标候选人确定中标人。</w:t>
      </w:r>
    </w:p>
    <w:p>
      <w:pPr>
        <w:pStyle w:val="13"/>
        <w:adjustRightInd w:val="0"/>
        <w:snapToGrid w:val="0"/>
        <w:spacing w:line="360" w:lineRule="auto"/>
        <w:rPr>
          <w:rFonts w:cs="宋体" w:asciiTheme="minorEastAsia" w:hAnsiTheme="minorEastAsia" w:eastAsiaTheme="minorEastAsia"/>
          <w:bCs/>
          <w:color w:val="auto"/>
          <w:kern w:val="0"/>
          <w:sz w:val="24"/>
          <w:lang w:val="en-GB"/>
        </w:rPr>
      </w:pPr>
      <w:r>
        <w:rPr>
          <w:rFonts w:hint="eastAsia" w:cs="宋体" w:asciiTheme="minorEastAsia" w:hAnsiTheme="minorEastAsia" w:eastAsiaTheme="minorEastAsia"/>
          <w:b/>
          <w:color w:val="auto"/>
          <w:sz w:val="24"/>
        </w:rPr>
        <w:t>3</w:t>
      </w:r>
      <w:r>
        <w:rPr>
          <w:rFonts w:hint="eastAsia" w:cs="宋体" w:asciiTheme="minorEastAsia" w:hAnsiTheme="minorEastAsia" w:eastAsiaTheme="minorEastAsia"/>
          <w:b/>
          <w:color w:val="auto"/>
          <w:sz w:val="24"/>
          <w:lang w:val="en-GB"/>
        </w:rPr>
        <w:t>、合格的服务</w:t>
      </w:r>
    </w:p>
    <w:p>
      <w:pPr>
        <w:adjustRightInd w:val="0"/>
        <w:snapToGrid w:val="0"/>
        <w:spacing w:line="360" w:lineRule="auto"/>
        <w:ind w:firstLine="480" w:firstLineChars="200"/>
        <w:rPr>
          <w:rFonts w:cs="宋体" w:asciiTheme="minorEastAsia" w:hAnsiTheme="minorEastAsia" w:eastAsiaTheme="minorEastAsia"/>
          <w:bCs/>
          <w:color w:val="auto"/>
          <w:kern w:val="0"/>
          <w:sz w:val="24"/>
          <w:lang w:val="en-GB"/>
        </w:rPr>
      </w:pPr>
      <w:r>
        <w:rPr>
          <w:rFonts w:hint="eastAsia" w:cs="宋体" w:asciiTheme="minorEastAsia" w:hAnsiTheme="minorEastAsia" w:eastAsiaTheme="minorEastAsia"/>
          <w:bCs/>
          <w:color w:val="auto"/>
          <w:kern w:val="0"/>
          <w:sz w:val="24"/>
        </w:rPr>
        <w:t>3</w:t>
      </w:r>
      <w:r>
        <w:rPr>
          <w:rFonts w:hint="eastAsia" w:cs="宋体" w:asciiTheme="minorEastAsia" w:hAnsiTheme="minorEastAsia" w:eastAsiaTheme="minorEastAsia"/>
          <w:bCs/>
          <w:color w:val="auto"/>
          <w:kern w:val="0"/>
          <w:sz w:val="24"/>
          <w:lang w:val="en-GB"/>
        </w:rPr>
        <w:t>.1“服务”是指除货物和工程以外的其他政府采购对象。</w:t>
      </w:r>
    </w:p>
    <w:p>
      <w:pPr>
        <w:tabs>
          <w:tab w:val="left" w:pos="7665"/>
        </w:tabs>
        <w:spacing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4、</w:t>
      </w:r>
      <w:r>
        <w:rPr>
          <w:rFonts w:hint="eastAsia" w:cs="宋体" w:asciiTheme="minorEastAsia" w:hAnsiTheme="minorEastAsia" w:eastAsiaTheme="minorEastAsia"/>
          <w:color w:val="auto"/>
          <w:kern w:val="0"/>
          <w:sz w:val="24"/>
        </w:rPr>
        <w:t>本招标文件由招标人负责解释。</w:t>
      </w:r>
    </w:p>
    <w:p>
      <w:pPr>
        <w:tabs>
          <w:tab w:val="left" w:pos="7665"/>
        </w:tabs>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5、投标费用</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5.1 投标人应承担所有与准备和参加投标有关的费用。不论投标的结果如何，招标代理机构和采购人均无义务和责任承担这些费用。</w:t>
      </w:r>
    </w:p>
    <w:p>
      <w:pPr>
        <w:spacing w:line="360" w:lineRule="auto"/>
        <w:ind w:firstLine="482" w:firstLineChars="200"/>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5.2 招标代理服务费由中标人在领取中标通知书前支付。</w:t>
      </w:r>
    </w:p>
    <w:p>
      <w:pPr>
        <w:tabs>
          <w:tab w:val="left" w:pos="7665"/>
        </w:tabs>
        <w:spacing w:beforeLines="50" w:afterLines="50" w:line="360" w:lineRule="auto"/>
        <w:jc w:val="center"/>
        <w:rPr>
          <w:rFonts w:cs="宋体" w:asciiTheme="minorEastAsia" w:hAnsiTheme="minorEastAsia" w:eastAsiaTheme="minorEastAsia"/>
          <w:b/>
          <w:color w:val="auto"/>
          <w:sz w:val="28"/>
          <w:szCs w:val="28"/>
        </w:rPr>
      </w:pPr>
      <w:r>
        <w:rPr>
          <w:rFonts w:hint="eastAsia" w:cs="宋体" w:asciiTheme="minorEastAsia" w:hAnsiTheme="minorEastAsia" w:eastAsiaTheme="minorEastAsia"/>
          <w:b/>
          <w:color w:val="auto"/>
          <w:sz w:val="28"/>
          <w:szCs w:val="28"/>
        </w:rPr>
        <w:t>（二）招标文件</w:t>
      </w:r>
    </w:p>
    <w:p>
      <w:pPr>
        <w:pStyle w:val="13"/>
        <w:adjustRightInd w:val="0"/>
        <w:snapToGrid w:val="0"/>
        <w:spacing w:line="360" w:lineRule="auto"/>
        <w:ind w:left="420" w:hanging="420"/>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6、招标文件的构成</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6.1 招标文件由下列文件以及在招标过程中发出的修正和补充文件组成：</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第一部分  投标邀请函</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第二部分  投标人须知</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第三部分  用户需求书</w:t>
      </w:r>
      <w:r>
        <w:rPr>
          <w:rFonts w:hint="eastAsia" w:cs="宋体" w:asciiTheme="minorEastAsia" w:hAnsiTheme="minorEastAsia" w:eastAsiaTheme="minorEastAsia"/>
          <w:color w:val="auto"/>
          <w:sz w:val="24"/>
        </w:rPr>
        <w:tab/>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第四部分  评标办法及标准</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第五部分  合同条款及格式</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第六部分  投标文件内容及格式</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6.2 投标人须认真阅读招标文件中所有的事项、格式、条款和技术规范等。投标人没有按照招标文件要求提交全部资料，或者投标人未对招标文件在各方面都做出实质性响应，可能导致其投标被拒绝或废标等风险均由投标人承担。</w:t>
      </w:r>
    </w:p>
    <w:p>
      <w:pPr>
        <w:pStyle w:val="13"/>
        <w:adjustRightInd w:val="0"/>
        <w:snapToGrid w:val="0"/>
        <w:spacing w:line="360" w:lineRule="auto"/>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　7、招标文件的澄清</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投标人在收到招标文件后，若有疑问需要澄清，可以书面形式在投标截止时间15天前（逾期不受理）通知招标代理机构，招标代理机构将以书面形式进行答复，同时招标代理机构有权将答复内容（包括所提问题，但不包括问题来源）分发给所有购买了本招标文件的投标人。在上述期限内未对招标代理机构提出需要澄清的书面意见，或从收到招标文件之日起7个工作日内未向招标代理机构提出质疑，即视为接受了本招标文件中的所有条款和规定。</w:t>
      </w:r>
    </w:p>
    <w:p>
      <w:pPr>
        <w:pStyle w:val="13"/>
        <w:adjustRightInd w:val="0"/>
        <w:snapToGrid w:val="0"/>
        <w:spacing w:line="360" w:lineRule="auto"/>
        <w:ind w:left="420" w:hanging="420"/>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　　8、招标文件的修改</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8.l 在投标截止时间15天前，招标代理机构和采购人可主动或在解答投标人提出的澄清问题时对招标文件进行修改。</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8.2 招标文件的修改是招标文件的组成部分，招标代理机构将以书面或网上公告的形式通知所有购买本招标文件的潜在投标人，并对所有潜在投标人具有约束力。潜在投标人在收到上述通知后，应立即以书面形式向招标代理机构和采购人确认。</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8.3 为使投标人准备投标时有充分的时间对招标文件修改部分进行研究，招标代理机构和采购人可适当推迟投标截止时间。</w:t>
      </w:r>
    </w:p>
    <w:p>
      <w:pPr>
        <w:snapToGrid w:val="0"/>
        <w:spacing w:beforeLines="50" w:afterLines="50" w:line="360" w:lineRule="auto"/>
        <w:jc w:val="center"/>
        <w:rPr>
          <w:rFonts w:cs="宋体" w:asciiTheme="minorEastAsia" w:hAnsiTheme="minorEastAsia" w:eastAsiaTheme="minorEastAsia"/>
          <w:b/>
          <w:color w:val="auto"/>
          <w:sz w:val="28"/>
          <w:szCs w:val="28"/>
        </w:rPr>
      </w:pPr>
      <w:bookmarkStart w:id="9" w:name="_Toc19881753"/>
      <w:r>
        <w:rPr>
          <w:rFonts w:hint="eastAsia" w:cs="宋体" w:asciiTheme="minorEastAsia" w:hAnsiTheme="minorEastAsia" w:eastAsiaTheme="minorEastAsia"/>
          <w:b/>
          <w:color w:val="auto"/>
          <w:sz w:val="28"/>
          <w:szCs w:val="28"/>
        </w:rPr>
        <w:t>（三）投标文件的编制和数量</w:t>
      </w:r>
      <w:bookmarkEnd w:id="9"/>
    </w:p>
    <w:p>
      <w:pPr>
        <w:pStyle w:val="13"/>
        <w:adjustRightInd w:val="0"/>
        <w:snapToGrid w:val="0"/>
        <w:spacing w:line="360" w:lineRule="auto"/>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　　9、投标的语言</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投标人提交的投标文件以及投标人与招标代理机构和采购人就有关投标的所有来往函电均应使用中文。投标人提交的支持文件和印刷的文献可以用另一种语言，但相应内容应附有中文翻译本，在解释投标文件时以翻译本为准。</w:t>
      </w:r>
    </w:p>
    <w:p>
      <w:pPr>
        <w:pStyle w:val="13"/>
        <w:adjustRightInd w:val="0"/>
        <w:snapToGrid w:val="0"/>
        <w:spacing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b/>
          <w:bCs/>
          <w:color w:val="auto"/>
          <w:sz w:val="24"/>
        </w:rPr>
        <w:t>　　10、投标文件的构成</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投标人编制的投标文件应以本招标文件第四部分为准。</w:t>
      </w:r>
    </w:p>
    <w:p>
      <w:pPr>
        <w:pStyle w:val="13"/>
        <w:adjustRightInd w:val="0"/>
        <w:snapToGrid w:val="0"/>
        <w:spacing w:line="360" w:lineRule="auto"/>
        <w:rPr>
          <w:rFonts w:cs="宋体" w:asciiTheme="minorEastAsia" w:hAnsiTheme="minorEastAsia" w:eastAsiaTheme="minorEastAsia"/>
          <w:b/>
          <w:color w:val="auto"/>
          <w:sz w:val="24"/>
          <w:lang w:val="en-GB"/>
        </w:rPr>
      </w:pPr>
      <w:r>
        <w:rPr>
          <w:rFonts w:hint="eastAsia" w:cs="宋体" w:asciiTheme="minorEastAsia" w:hAnsiTheme="minorEastAsia" w:eastAsiaTheme="minorEastAsia"/>
          <w:b/>
          <w:color w:val="auto"/>
          <w:sz w:val="24"/>
          <w:lang w:val="en-GB"/>
        </w:rPr>
        <w:t>　　11、投标文件编制</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11.1投标人对招标文件中多个包进行投标的，其投标文件的编制应按各个包的要求分别装订和封装。</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11.2投标人应完整地填写招标文件中提供的《投标函》、《开标一览表》等招标文件中规定的所有内容。</w:t>
      </w:r>
    </w:p>
    <w:p>
      <w:pPr>
        <w:pStyle w:val="13"/>
        <w:adjustRightInd w:val="0"/>
        <w:snapToGrid w:val="0"/>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11.3投标人保证投标文件所提供的全部资料真实可靠，须接受并配合招标代理机构对其提供的任何资料进行审查和核实。</w:t>
      </w:r>
    </w:p>
    <w:p>
      <w:pPr>
        <w:pStyle w:val="13"/>
        <w:adjustRightInd w:val="0"/>
        <w:snapToGrid w:val="0"/>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11.4如果投标文件填报的内容不详，或没有提供招标文件中所要求的全部资料及数据，使评标委员会无法正常评审的，由此产生的结果由投标人承担。</w:t>
      </w:r>
    </w:p>
    <w:p>
      <w:pPr>
        <w:pStyle w:val="57"/>
        <w:spacing w:before="0" w:after="0" w:line="360" w:lineRule="auto"/>
        <w:ind w:firstLine="480" w:firstLineChars="200"/>
        <w:jc w:val="both"/>
        <w:rPr>
          <w:rFonts w:cs="宋体" w:asciiTheme="minorEastAsia" w:hAnsiTheme="minorEastAsia" w:eastAsiaTheme="minorEastAsia"/>
          <w:bCs w:val="0"/>
          <w:color w:val="auto"/>
          <w:spacing w:val="0"/>
          <w:szCs w:val="24"/>
          <w:lang w:val="en-GB"/>
        </w:rPr>
      </w:pPr>
      <w:r>
        <w:rPr>
          <w:rFonts w:hint="eastAsia" w:cs="宋体" w:asciiTheme="minorEastAsia" w:hAnsiTheme="minorEastAsia" w:eastAsiaTheme="minorEastAsia"/>
          <w:color w:val="auto"/>
          <w:spacing w:val="0"/>
          <w:kern w:val="2"/>
          <w:szCs w:val="24"/>
          <w:lang w:val="en-GB"/>
        </w:rPr>
        <w:t>11.5投标文件外形尺寸应统一为A4纸规格，</w:t>
      </w:r>
      <w:r>
        <w:rPr>
          <w:rFonts w:hint="eastAsia" w:cs="宋体" w:asciiTheme="minorEastAsia" w:hAnsiTheme="minorEastAsia" w:eastAsiaTheme="minorEastAsia"/>
          <w:bCs w:val="0"/>
          <w:color w:val="auto"/>
          <w:spacing w:val="0"/>
          <w:szCs w:val="24"/>
          <w:lang w:val="en-GB"/>
        </w:rPr>
        <w:t>文件所使用的印章必须为企业公章，且与投标人名称完全一致，不能以其它业务章或附属机构印章代替。需签名之处必须由当事人亲笔签署。</w:t>
      </w:r>
    </w:p>
    <w:p>
      <w:pPr>
        <w:pStyle w:val="57"/>
        <w:spacing w:before="0" w:after="0" w:line="360" w:lineRule="auto"/>
        <w:ind w:firstLine="480" w:firstLineChars="200"/>
        <w:jc w:val="both"/>
        <w:rPr>
          <w:rFonts w:cs="宋体" w:asciiTheme="minorEastAsia" w:hAnsiTheme="minorEastAsia" w:eastAsiaTheme="minorEastAsia"/>
          <w:bCs w:val="0"/>
          <w:color w:val="auto"/>
          <w:spacing w:val="0"/>
          <w:szCs w:val="24"/>
          <w:lang w:val="en-GB"/>
        </w:rPr>
      </w:pPr>
      <w:r>
        <w:rPr>
          <w:rFonts w:hint="eastAsia" w:cs="宋体" w:asciiTheme="minorEastAsia" w:hAnsiTheme="minorEastAsia" w:eastAsiaTheme="minorEastAsia"/>
          <w:bCs w:val="0"/>
          <w:color w:val="auto"/>
          <w:spacing w:val="0"/>
          <w:szCs w:val="24"/>
        </w:rPr>
        <w:t>11</w:t>
      </w:r>
      <w:r>
        <w:rPr>
          <w:rFonts w:hint="eastAsia" w:cs="宋体" w:asciiTheme="minorEastAsia" w:hAnsiTheme="minorEastAsia" w:eastAsiaTheme="minorEastAsia"/>
          <w:bCs w:val="0"/>
          <w:color w:val="auto"/>
          <w:spacing w:val="0"/>
          <w:szCs w:val="24"/>
          <w:lang w:val="en-GB"/>
        </w:rPr>
        <w:t>.</w:t>
      </w:r>
      <w:r>
        <w:rPr>
          <w:rFonts w:hint="eastAsia" w:cs="宋体" w:asciiTheme="minorEastAsia" w:hAnsiTheme="minorEastAsia" w:eastAsiaTheme="minorEastAsia"/>
          <w:bCs w:val="0"/>
          <w:color w:val="auto"/>
          <w:spacing w:val="0"/>
          <w:szCs w:val="24"/>
        </w:rPr>
        <w:t xml:space="preserve">6 </w:t>
      </w:r>
      <w:r>
        <w:rPr>
          <w:rFonts w:hint="eastAsia" w:cs="宋体" w:asciiTheme="minorEastAsia" w:hAnsiTheme="minorEastAsia" w:eastAsiaTheme="minorEastAsia"/>
          <w:bCs w:val="0"/>
          <w:color w:val="auto"/>
          <w:spacing w:val="0"/>
          <w:szCs w:val="24"/>
          <w:lang w:val="en-GB"/>
        </w:rPr>
        <w:t>投标文件自制部分必须打印，每页须按顺序加注页码，装订牢固且不会轻易脱落</w:t>
      </w:r>
      <w:r>
        <w:rPr>
          <w:rFonts w:hint="eastAsia" w:cs="宋体" w:asciiTheme="minorEastAsia" w:hAnsiTheme="minorEastAsia" w:eastAsiaTheme="minorEastAsia"/>
          <w:b/>
          <w:color w:val="auto"/>
          <w:spacing w:val="0"/>
          <w:szCs w:val="24"/>
          <w:lang w:val="en-GB"/>
        </w:rPr>
        <w:t>（注：胶装）</w:t>
      </w:r>
      <w:r>
        <w:rPr>
          <w:rFonts w:hint="eastAsia" w:cs="宋体" w:asciiTheme="minorEastAsia" w:hAnsiTheme="minorEastAsia" w:eastAsiaTheme="minorEastAsia"/>
          <w:bCs w:val="0"/>
          <w:color w:val="auto"/>
          <w:spacing w:val="0"/>
          <w:szCs w:val="24"/>
          <w:lang w:val="en-GB"/>
        </w:rPr>
        <w:t>。如因装订问题而出现漏页或缺页，由此产生的一切后果由投标人自行承担。</w:t>
      </w:r>
    </w:p>
    <w:p>
      <w:pPr>
        <w:pStyle w:val="57"/>
        <w:spacing w:before="0" w:after="0" w:line="360" w:lineRule="auto"/>
        <w:ind w:firstLine="480" w:firstLineChars="200"/>
        <w:jc w:val="both"/>
        <w:rPr>
          <w:rFonts w:cs="宋体" w:asciiTheme="minorEastAsia" w:hAnsiTheme="minorEastAsia" w:eastAsiaTheme="minorEastAsia"/>
          <w:bCs w:val="0"/>
          <w:color w:val="auto"/>
          <w:spacing w:val="0"/>
          <w:szCs w:val="24"/>
          <w:lang w:val="en-GB"/>
        </w:rPr>
      </w:pPr>
      <w:r>
        <w:rPr>
          <w:rFonts w:hint="eastAsia" w:cs="宋体" w:asciiTheme="minorEastAsia" w:hAnsiTheme="minorEastAsia" w:eastAsiaTheme="minorEastAsia"/>
          <w:bCs w:val="0"/>
          <w:color w:val="auto"/>
          <w:spacing w:val="0"/>
          <w:szCs w:val="24"/>
        </w:rPr>
        <w:t>11</w:t>
      </w:r>
      <w:r>
        <w:rPr>
          <w:rFonts w:hint="eastAsia" w:cs="宋体" w:asciiTheme="minorEastAsia" w:hAnsiTheme="minorEastAsia" w:eastAsiaTheme="minorEastAsia"/>
          <w:bCs w:val="0"/>
          <w:color w:val="auto"/>
          <w:spacing w:val="0"/>
          <w:szCs w:val="24"/>
          <w:lang w:val="en-GB"/>
        </w:rPr>
        <w:t>.</w:t>
      </w:r>
      <w:r>
        <w:rPr>
          <w:rFonts w:hint="eastAsia" w:cs="宋体" w:asciiTheme="minorEastAsia" w:hAnsiTheme="minorEastAsia" w:eastAsiaTheme="minorEastAsia"/>
          <w:bCs w:val="0"/>
          <w:color w:val="auto"/>
          <w:spacing w:val="0"/>
          <w:szCs w:val="24"/>
        </w:rPr>
        <w:t xml:space="preserve">7 </w:t>
      </w:r>
      <w:r>
        <w:rPr>
          <w:rFonts w:hint="eastAsia" w:cs="宋体" w:asciiTheme="minorEastAsia" w:hAnsiTheme="minorEastAsia" w:eastAsiaTheme="minorEastAsia"/>
          <w:bCs w:val="0"/>
          <w:color w:val="auto"/>
          <w:spacing w:val="0"/>
          <w:szCs w:val="24"/>
          <w:lang w:val="en-GB"/>
        </w:rPr>
        <w:t>任何行间插字、涂改和增删，必须由投标人授权代表在旁边签字或盖章后方可有效。</w:t>
      </w:r>
    </w:p>
    <w:p>
      <w:pPr>
        <w:pStyle w:val="13"/>
        <w:adjustRightInd w:val="0"/>
        <w:snapToGrid w:val="0"/>
        <w:spacing w:line="360" w:lineRule="auto"/>
        <w:rPr>
          <w:rFonts w:cs="宋体" w:asciiTheme="minorEastAsia" w:hAnsiTheme="minorEastAsia" w:eastAsiaTheme="minorEastAsia"/>
          <w:b/>
          <w:color w:val="auto"/>
          <w:sz w:val="24"/>
          <w:lang w:val="en-GB"/>
        </w:rPr>
      </w:pPr>
      <w:r>
        <w:rPr>
          <w:rFonts w:hint="eastAsia" w:cs="宋体" w:asciiTheme="minorEastAsia" w:hAnsiTheme="minorEastAsia" w:eastAsiaTheme="minorEastAsia"/>
          <w:b/>
          <w:color w:val="auto"/>
          <w:sz w:val="24"/>
          <w:lang w:val="en-GB"/>
        </w:rPr>
        <w:t>　　12、投标报价</w:t>
      </w:r>
    </w:p>
    <w:p>
      <w:pPr>
        <w:pStyle w:val="57"/>
        <w:spacing w:before="0" w:after="0" w:line="360" w:lineRule="auto"/>
        <w:ind w:firstLine="480" w:firstLineChars="200"/>
        <w:jc w:val="both"/>
        <w:rPr>
          <w:rFonts w:cs="宋体" w:asciiTheme="minorEastAsia" w:hAnsiTheme="minorEastAsia" w:eastAsiaTheme="minorEastAsia"/>
          <w:bCs w:val="0"/>
          <w:color w:val="auto"/>
          <w:spacing w:val="0"/>
          <w:szCs w:val="24"/>
        </w:rPr>
      </w:pPr>
      <w:r>
        <w:rPr>
          <w:rFonts w:hint="eastAsia" w:cs="宋体" w:asciiTheme="minorEastAsia" w:hAnsiTheme="minorEastAsia" w:eastAsiaTheme="minorEastAsia"/>
          <w:bCs w:val="0"/>
          <w:color w:val="auto"/>
          <w:spacing w:val="0"/>
          <w:szCs w:val="24"/>
        </w:rPr>
        <w:t>12.1 报价应包括全部服务的价格及相关税费、培训（如有）、售后服务等其它有关的所有费用。</w:t>
      </w:r>
    </w:p>
    <w:p>
      <w:pPr>
        <w:pStyle w:val="57"/>
        <w:spacing w:before="0" w:after="0" w:line="360" w:lineRule="auto"/>
        <w:ind w:firstLine="480" w:firstLineChars="200"/>
        <w:jc w:val="both"/>
        <w:rPr>
          <w:rFonts w:cs="宋体" w:asciiTheme="minorEastAsia" w:hAnsiTheme="minorEastAsia" w:eastAsiaTheme="minorEastAsia"/>
          <w:bCs w:val="0"/>
          <w:color w:val="auto"/>
          <w:spacing w:val="0"/>
          <w:szCs w:val="24"/>
        </w:rPr>
      </w:pPr>
      <w:r>
        <w:rPr>
          <w:rFonts w:hint="eastAsia" w:cs="宋体" w:asciiTheme="minorEastAsia" w:hAnsiTheme="minorEastAsia" w:eastAsiaTheme="minorEastAsia"/>
          <w:bCs w:val="0"/>
          <w:color w:val="auto"/>
          <w:spacing w:val="0"/>
          <w:szCs w:val="24"/>
        </w:rPr>
        <w:t>12.2 投标人应按开标一览表的要求报价，不能提供有选择的报价。</w:t>
      </w:r>
    </w:p>
    <w:p>
      <w:pPr>
        <w:spacing w:line="360" w:lineRule="auto"/>
        <w:rPr>
          <w:rFonts w:cs="宋体" w:asciiTheme="minorEastAsia" w:hAnsiTheme="minorEastAsia" w:eastAsiaTheme="minorEastAsia"/>
          <w:b/>
          <w:color w:val="auto"/>
          <w:sz w:val="24"/>
          <w:lang w:val="en-GB"/>
        </w:rPr>
      </w:pPr>
      <w:r>
        <w:rPr>
          <w:rFonts w:hint="eastAsia" w:cs="宋体" w:asciiTheme="minorEastAsia" w:hAnsiTheme="minorEastAsia" w:eastAsiaTheme="minorEastAsia"/>
          <w:b/>
          <w:color w:val="auto"/>
          <w:sz w:val="24"/>
          <w:lang w:val="en-GB"/>
        </w:rPr>
        <w:t>　　13、备选方案</w:t>
      </w:r>
    </w:p>
    <w:p>
      <w:pPr>
        <w:pStyle w:val="13"/>
        <w:adjustRightInd w:val="0"/>
        <w:snapToGrid w:val="0"/>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本次招标只允许投标人有一个投标方案，否则视其投标文件无效。</w:t>
      </w:r>
    </w:p>
    <w:p>
      <w:pPr>
        <w:spacing w:line="360" w:lineRule="auto"/>
        <w:rPr>
          <w:rFonts w:cs="宋体" w:asciiTheme="minorEastAsia" w:hAnsiTheme="minorEastAsia" w:eastAsiaTheme="minorEastAsia"/>
          <w:b/>
          <w:color w:val="auto"/>
          <w:sz w:val="24"/>
          <w:lang w:val="en-GB"/>
        </w:rPr>
      </w:pPr>
      <w:r>
        <w:rPr>
          <w:rFonts w:hint="eastAsia" w:cs="宋体" w:asciiTheme="minorEastAsia" w:hAnsiTheme="minorEastAsia" w:eastAsiaTheme="minorEastAsia"/>
          <w:b/>
          <w:color w:val="auto"/>
          <w:sz w:val="24"/>
        </w:rPr>
        <w:t>　　14、</w:t>
      </w:r>
      <w:r>
        <w:rPr>
          <w:rFonts w:hint="eastAsia" w:cs="宋体" w:asciiTheme="minorEastAsia" w:hAnsiTheme="minorEastAsia" w:eastAsiaTheme="minorEastAsia"/>
          <w:b/>
          <w:color w:val="auto"/>
          <w:sz w:val="24"/>
          <w:lang w:val="en-GB"/>
        </w:rPr>
        <w:t>投标保证金</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14.1 提交投标保证金是参加本项目投标的必要条件，每个投标单位须提交保证金为</w:t>
      </w:r>
      <w:r>
        <w:rPr>
          <w:rFonts w:hint="eastAsia" w:cs="宋体" w:asciiTheme="minorEastAsia" w:hAnsiTheme="minorEastAsia" w:eastAsiaTheme="minorEastAsia"/>
          <w:b/>
          <w:bCs/>
          <w:color w:val="auto"/>
          <w:sz w:val="24"/>
          <w:u w:val="single"/>
        </w:rPr>
        <w:t>￥80000.00元</w:t>
      </w:r>
      <w:r>
        <w:rPr>
          <w:rFonts w:hint="eastAsia" w:cs="宋体" w:asciiTheme="minorEastAsia" w:hAnsiTheme="minorEastAsia" w:eastAsiaTheme="minorEastAsia"/>
          <w:color w:val="auto"/>
          <w:sz w:val="24"/>
        </w:rPr>
        <w:t>。</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14.2 投标保证金是参加本项目投标的必要条件，保证金金额见第一章。投 标 保 证 金 支 付 形 式 ： 网 上 支 付 ， 支 付 地 址 为 ：</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http://zw.hainan.gov.cn/htms/login!register.do。</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若投标人不按规定提交投标保证金，其投标文件将被拒绝接受。</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14.3 投标保证金的退还</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14.3.l 中标人的投标保证金在其与采购人签订合同后5个工作日内无息退还。</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14.3.2 落标的投标人的投标保证金将在招标代理机构发出中标通知书后5个工作日内无息退还。</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14.4 发生下列情况之一者，投标保证金可以不予退还：</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（1）投标人在投标有效期内撤回其投标文件的；</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（2）投标人不按本章规定签订合同的；</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（3）投标人提供虚假材料谋取中标、成交的；</w:t>
      </w:r>
    </w:p>
    <w:p>
      <w:pPr>
        <w:pStyle w:val="13"/>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（4）与采购人、其它投标人或者招标代理机构恶意串通的；</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（5）向采购人、招标代理机构、评标委员会成员行贿或者提供其他不正当利益的。</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（6）</w:t>
      </w:r>
      <w:r>
        <w:rPr>
          <w:rFonts w:hint="eastAsia" w:cs="宋体" w:asciiTheme="minorEastAsia" w:hAnsiTheme="minorEastAsia" w:eastAsiaTheme="minorEastAsia"/>
          <w:color w:val="auto"/>
          <w:kern w:val="0"/>
          <w:sz w:val="24"/>
        </w:rPr>
        <w:t>采取不正当手段诋毁、排挤其他投标人的；</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（7）逾期未支付招标代理服务费的。</w:t>
      </w:r>
    </w:p>
    <w:p>
      <w:pPr>
        <w:spacing w:line="360" w:lineRule="auto"/>
        <w:rPr>
          <w:rFonts w:cs="宋体" w:asciiTheme="minorEastAsia" w:hAnsiTheme="minorEastAsia" w:eastAsiaTheme="minorEastAsia"/>
          <w:b/>
          <w:color w:val="auto"/>
          <w:sz w:val="24"/>
          <w:lang w:val="en-GB"/>
        </w:rPr>
      </w:pPr>
      <w:r>
        <w:rPr>
          <w:rFonts w:hint="eastAsia" w:cs="宋体" w:asciiTheme="minorEastAsia" w:hAnsiTheme="minorEastAsia" w:eastAsiaTheme="minorEastAsia"/>
          <w:b/>
          <w:color w:val="auto"/>
          <w:sz w:val="24"/>
          <w:lang w:val="en-GB"/>
        </w:rPr>
        <w:t>1</w:t>
      </w:r>
      <w:r>
        <w:rPr>
          <w:rFonts w:hint="eastAsia" w:cs="宋体" w:asciiTheme="minorEastAsia" w:hAnsiTheme="minorEastAsia" w:eastAsiaTheme="minorEastAsia"/>
          <w:b/>
          <w:color w:val="auto"/>
          <w:sz w:val="24"/>
        </w:rPr>
        <w:t>5</w:t>
      </w:r>
      <w:r>
        <w:rPr>
          <w:rFonts w:hint="eastAsia" w:cs="宋体" w:asciiTheme="minorEastAsia" w:hAnsiTheme="minorEastAsia" w:eastAsiaTheme="minorEastAsia"/>
          <w:b/>
          <w:color w:val="auto"/>
          <w:sz w:val="24"/>
          <w:lang w:val="en-GB"/>
        </w:rPr>
        <w:t>、投标文件的有效期</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rPr>
        <w:t>15</w:t>
      </w:r>
      <w:r>
        <w:rPr>
          <w:rFonts w:hint="eastAsia" w:cs="宋体" w:asciiTheme="minorEastAsia" w:hAnsiTheme="minorEastAsia" w:eastAsiaTheme="minorEastAsia"/>
          <w:bCs/>
          <w:color w:val="auto"/>
          <w:sz w:val="24"/>
          <w:lang w:val="en-GB"/>
        </w:rPr>
        <w:t>.1 投标文件自投标文件递交截止之日起</w:t>
      </w:r>
      <w:r>
        <w:rPr>
          <w:rFonts w:hint="eastAsia" w:cs="宋体" w:asciiTheme="minorEastAsia" w:hAnsiTheme="minorEastAsia" w:eastAsiaTheme="minorEastAsia"/>
          <w:b/>
          <w:color w:val="auto"/>
          <w:sz w:val="24"/>
          <w:u w:val="single"/>
        </w:rPr>
        <w:t>6</w:t>
      </w:r>
      <w:r>
        <w:rPr>
          <w:rFonts w:hint="eastAsia" w:cs="宋体" w:asciiTheme="minorEastAsia" w:hAnsiTheme="minorEastAsia" w:eastAsiaTheme="minorEastAsia"/>
          <w:b/>
          <w:color w:val="auto"/>
          <w:sz w:val="24"/>
          <w:u w:val="single"/>
          <w:lang w:val="en-GB"/>
        </w:rPr>
        <w:t>0</w:t>
      </w:r>
      <w:r>
        <w:rPr>
          <w:rFonts w:hint="eastAsia" w:cs="宋体" w:asciiTheme="minorEastAsia" w:hAnsiTheme="minorEastAsia" w:eastAsiaTheme="minorEastAsia"/>
          <w:bCs/>
          <w:color w:val="auto"/>
          <w:sz w:val="24"/>
          <w:lang w:val="en-GB"/>
        </w:rPr>
        <w:t>个日历日内保持有效。投标有效期不足的投标，将被视为无效投标。</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5</w:t>
      </w:r>
      <w:r>
        <w:rPr>
          <w:rFonts w:hint="eastAsia" w:cs="宋体" w:asciiTheme="minorEastAsia" w:hAnsiTheme="minorEastAsia" w:eastAsiaTheme="minorEastAsia"/>
          <w:bCs/>
          <w:color w:val="auto"/>
          <w:sz w:val="24"/>
          <w:lang w:val="en-GB"/>
        </w:rPr>
        <w:t>.2特殊情况下，在原投标有效期截止之前，招标代理机构和采购人可要求投标人延长投标有效期。这种要求与答复均应以书面形式提交。投标人可拒绝招标代理机构和采购人的这种要求，但其投标在原投标有效期满后将不再有效。同意延长投标有效期的投标人将不会被要求和允许修正其投标。</w:t>
      </w:r>
    </w:p>
    <w:p>
      <w:pPr>
        <w:spacing w:line="360" w:lineRule="auto"/>
        <w:rPr>
          <w:rFonts w:cs="宋体" w:asciiTheme="minorEastAsia" w:hAnsiTheme="minorEastAsia" w:eastAsiaTheme="minorEastAsia"/>
          <w:bCs/>
          <w:color w:val="auto"/>
          <w:sz w:val="24"/>
          <w:lang w:val="en-GB"/>
        </w:rPr>
      </w:pPr>
      <w:r>
        <w:rPr>
          <w:rFonts w:hint="eastAsia" w:cs="宋体" w:asciiTheme="minorEastAsia" w:hAnsiTheme="minorEastAsia" w:eastAsiaTheme="minorEastAsia"/>
          <w:b/>
          <w:color w:val="auto"/>
          <w:sz w:val="24"/>
        </w:rPr>
        <w:t>16、</w:t>
      </w:r>
      <w:r>
        <w:rPr>
          <w:rFonts w:hint="eastAsia" w:cs="宋体" w:asciiTheme="minorEastAsia" w:hAnsiTheme="minorEastAsia" w:eastAsiaTheme="minorEastAsia"/>
          <w:b/>
          <w:color w:val="auto"/>
          <w:sz w:val="24"/>
          <w:lang w:val="en-GB"/>
        </w:rPr>
        <w:t>投标文件的数量和签署</w:t>
      </w:r>
    </w:p>
    <w:p>
      <w:pPr>
        <w:spacing w:line="360" w:lineRule="auto"/>
        <w:ind w:firstLine="480"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6</w:t>
      </w:r>
      <w:r>
        <w:rPr>
          <w:rFonts w:hint="eastAsia" w:cs="宋体" w:asciiTheme="minorEastAsia" w:hAnsiTheme="minorEastAsia" w:eastAsiaTheme="minorEastAsia"/>
          <w:bCs/>
          <w:color w:val="auto"/>
          <w:sz w:val="24"/>
          <w:lang w:val="en-GB"/>
        </w:rPr>
        <w:t>.1 投标文件纸质版</w:t>
      </w:r>
      <w:r>
        <w:rPr>
          <w:rFonts w:hint="eastAsia" w:cs="宋体" w:asciiTheme="minorEastAsia" w:hAnsiTheme="minorEastAsia" w:eastAsiaTheme="minorEastAsia"/>
          <w:bCs/>
          <w:color w:val="auto"/>
          <w:sz w:val="24"/>
        </w:rPr>
        <w:t>一式七份（正本一份，副本六份），固定装订（注：胶装）。开标一览表一份，独立信封密封，信封外注明“开标一览表”。</w:t>
      </w:r>
      <w:r>
        <w:rPr>
          <w:rFonts w:hint="eastAsia" w:cs="宋体" w:asciiTheme="minorEastAsia" w:hAnsiTheme="minorEastAsia" w:eastAsiaTheme="minorEastAsia"/>
          <w:bCs/>
          <w:color w:val="auto"/>
          <w:kern w:val="0"/>
          <w:sz w:val="24"/>
        </w:rPr>
        <w:t>提供PDF格式或</w:t>
      </w:r>
      <w:r>
        <w:rPr>
          <w:rFonts w:hint="eastAsia" w:cs="宋体" w:asciiTheme="minorEastAsia" w:hAnsiTheme="minorEastAsia" w:eastAsiaTheme="minorEastAsia"/>
          <w:bCs/>
          <w:color w:val="auto"/>
          <w:kern w:val="0"/>
          <w:sz w:val="24"/>
          <w:lang w:val="zh-CN"/>
        </w:rPr>
        <w:t>WORD格式电子</w:t>
      </w:r>
      <w:r>
        <w:rPr>
          <w:rFonts w:hint="eastAsia" w:cs="宋体" w:asciiTheme="minorEastAsia" w:hAnsiTheme="minorEastAsia" w:eastAsiaTheme="minorEastAsia"/>
          <w:bCs/>
          <w:color w:val="auto"/>
          <w:kern w:val="0"/>
          <w:sz w:val="24"/>
        </w:rPr>
        <w:t>文档1份，并将U盘或光盘（标明公司名称）密封在“开标一览表”中。</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6</w:t>
      </w:r>
      <w:r>
        <w:rPr>
          <w:rFonts w:hint="eastAsia" w:cs="宋体" w:asciiTheme="minorEastAsia" w:hAnsiTheme="minorEastAsia" w:eastAsiaTheme="minorEastAsia"/>
          <w:bCs/>
          <w:color w:val="auto"/>
          <w:sz w:val="24"/>
          <w:lang w:val="en-GB"/>
        </w:rPr>
        <w:t>.2 投标文件须按招标文件的要求执行，每份投标文件均须在封面上清楚标明“正本”或“副本”字样，“正本”和“副本”具有同等的法律效力；“正本”和“副本”之间如有差异，以“正本”为准。</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6</w:t>
      </w:r>
      <w:r>
        <w:rPr>
          <w:rFonts w:hint="eastAsia" w:cs="宋体" w:asciiTheme="minorEastAsia" w:hAnsiTheme="minorEastAsia" w:eastAsiaTheme="minorEastAsia"/>
          <w:bCs/>
          <w:color w:val="auto"/>
          <w:sz w:val="24"/>
          <w:lang w:val="en-GB"/>
        </w:rPr>
        <w:t>.3 投标文件正本中，文字材料需打印或用不褪色墨水书写。投标文件的正本须经法定代表人或授权代表签署和加盖投标人公章。</w:t>
      </w:r>
    </w:p>
    <w:p>
      <w:pPr>
        <w:snapToGrid w:val="0"/>
        <w:spacing w:beforeLines="50" w:afterLines="50" w:line="360" w:lineRule="auto"/>
        <w:jc w:val="center"/>
        <w:rPr>
          <w:rFonts w:cs="宋体" w:asciiTheme="minorEastAsia" w:hAnsiTheme="minorEastAsia" w:eastAsiaTheme="minorEastAsia"/>
          <w:b/>
          <w:color w:val="auto"/>
          <w:sz w:val="28"/>
          <w:szCs w:val="28"/>
        </w:rPr>
      </w:pPr>
      <w:bookmarkStart w:id="10" w:name="_Toc19881754"/>
      <w:r>
        <w:rPr>
          <w:rFonts w:hint="eastAsia" w:cs="宋体" w:asciiTheme="minorEastAsia" w:hAnsiTheme="minorEastAsia" w:eastAsiaTheme="minorEastAsia"/>
          <w:b/>
          <w:color w:val="auto"/>
          <w:sz w:val="28"/>
          <w:szCs w:val="28"/>
        </w:rPr>
        <w:t>（四）投标文件的递交</w:t>
      </w:r>
      <w:bookmarkEnd w:id="10"/>
    </w:p>
    <w:p>
      <w:pPr>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17、投标文件的密封及标记</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7</w:t>
      </w:r>
      <w:r>
        <w:rPr>
          <w:rFonts w:hint="eastAsia" w:cs="宋体" w:asciiTheme="minorEastAsia" w:hAnsiTheme="minorEastAsia" w:eastAsiaTheme="minorEastAsia"/>
          <w:bCs/>
          <w:color w:val="auto"/>
          <w:sz w:val="24"/>
          <w:lang w:val="en-GB"/>
        </w:rPr>
        <w:t>.l 投标人应将投标文件正本和所有副本分别密封在两个投标专用袋（箱）中（正本一份共一袋，副本六份共一袋）及开标一览表（独立信封另密封一份），并在投标专用袋（箱）上标明“正本”、“副本”、“开标一览表”字样，封口处应加盖骑缝章。封皮上均应写明：</w:t>
      </w:r>
    </w:p>
    <w:p>
      <w:pPr>
        <w:spacing w:line="360" w:lineRule="auto"/>
        <w:ind w:firstLine="480"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致：海南中政源达项目管理有限公司</w:t>
      </w:r>
    </w:p>
    <w:p>
      <w:pPr>
        <w:spacing w:line="360" w:lineRule="auto"/>
        <w:ind w:firstLine="480"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项目名称：东方市城乡公交客运服务一体化特许经营项目</w:t>
      </w:r>
    </w:p>
    <w:p>
      <w:pPr>
        <w:spacing w:line="360" w:lineRule="auto"/>
        <w:ind w:firstLine="480"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 xml:space="preserve">项目编号： </w:t>
      </w:r>
      <w:r>
        <w:rPr>
          <w:rFonts w:cs="宋体" w:asciiTheme="minorEastAsia" w:hAnsiTheme="minorEastAsia" w:eastAsiaTheme="minorEastAsia"/>
          <w:bCs/>
          <w:color w:val="auto"/>
          <w:sz w:val="24"/>
        </w:rPr>
        <w:t>ZZYDC20190421</w:t>
      </w:r>
    </w:p>
    <w:p>
      <w:pPr>
        <w:spacing w:line="360" w:lineRule="auto"/>
        <w:ind w:firstLine="480"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注明：“请勿在开标时间之前启封”</w:t>
      </w:r>
    </w:p>
    <w:p>
      <w:pPr>
        <w:spacing w:line="360" w:lineRule="auto"/>
        <w:ind w:firstLine="480"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投标单位名称、联系人姓名和电话</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7</w:t>
      </w:r>
      <w:r>
        <w:rPr>
          <w:rFonts w:hint="eastAsia" w:cs="宋体" w:asciiTheme="minorEastAsia" w:hAnsiTheme="minorEastAsia" w:eastAsiaTheme="minorEastAsia"/>
          <w:bCs/>
          <w:color w:val="auto"/>
          <w:sz w:val="24"/>
          <w:lang w:val="en-GB"/>
        </w:rPr>
        <w:t>.2 投标文件未按上述规定书写标记和密封者，招标代理机构将有权拒收其投标文件。</w:t>
      </w:r>
    </w:p>
    <w:p>
      <w:pPr>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18、投标截止时间</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8</w:t>
      </w:r>
      <w:r>
        <w:rPr>
          <w:rFonts w:hint="eastAsia" w:cs="宋体" w:asciiTheme="minorEastAsia" w:hAnsiTheme="minorEastAsia" w:eastAsiaTheme="minorEastAsia"/>
          <w:bCs/>
          <w:color w:val="auto"/>
          <w:sz w:val="24"/>
          <w:lang w:val="en-GB"/>
        </w:rPr>
        <w:t>.l 投标人须在投标截止时间前将投标文件送达招标代理机构规定的地点。</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8</w:t>
      </w:r>
      <w:r>
        <w:rPr>
          <w:rFonts w:hint="eastAsia" w:cs="宋体" w:asciiTheme="minorEastAsia" w:hAnsiTheme="minorEastAsia" w:eastAsiaTheme="minorEastAsia"/>
          <w:bCs/>
          <w:color w:val="auto"/>
          <w:sz w:val="24"/>
          <w:lang w:val="en-GB"/>
        </w:rPr>
        <w:t>.</w:t>
      </w:r>
      <w:r>
        <w:rPr>
          <w:rFonts w:hint="eastAsia" w:cs="宋体" w:asciiTheme="minorEastAsia" w:hAnsiTheme="minorEastAsia" w:eastAsiaTheme="minorEastAsia"/>
          <w:bCs/>
          <w:color w:val="auto"/>
          <w:sz w:val="24"/>
        </w:rPr>
        <w:t>2</w:t>
      </w:r>
      <w:r>
        <w:rPr>
          <w:rFonts w:hint="eastAsia" w:cs="宋体" w:asciiTheme="minorEastAsia" w:hAnsiTheme="minorEastAsia" w:eastAsiaTheme="minorEastAsia"/>
          <w:bCs/>
          <w:color w:val="auto"/>
          <w:sz w:val="24"/>
          <w:lang w:val="en-GB"/>
        </w:rPr>
        <w:t xml:space="preserve"> 若招标代理机构推迟了投标截止时间，应以公告的形式通知所有投标人。在这种情况下，招标代理机构、采购人和投标人的权利和义务均应以新的投标截止时间为准。</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8</w:t>
      </w:r>
      <w:r>
        <w:rPr>
          <w:rFonts w:hint="eastAsia" w:cs="宋体" w:asciiTheme="minorEastAsia" w:hAnsiTheme="minorEastAsia" w:eastAsiaTheme="minorEastAsia"/>
          <w:bCs/>
          <w:color w:val="auto"/>
          <w:sz w:val="24"/>
          <w:lang w:val="en-GB"/>
        </w:rPr>
        <w:t>.</w:t>
      </w:r>
      <w:r>
        <w:rPr>
          <w:rFonts w:hint="eastAsia" w:cs="宋体" w:asciiTheme="minorEastAsia" w:hAnsiTheme="minorEastAsia" w:eastAsiaTheme="minorEastAsia"/>
          <w:bCs/>
          <w:color w:val="auto"/>
          <w:sz w:val="24"/>
        </w:rPr>
        <w:t>3</w:t>
      </w:r>
      <w:r>
        <w:rPr>
          <w:rFonts w:hint="eastAsia" w:cs="宋体" w:asciiTheme="minorEastAsia" w:hAnsiTheme="minorEastAsia" w:eastAsiaTheme="minorEastAsia"/>
          <w:bCs/>
          <w:color w:val="auto"/>
          <w:sz w:val="24"/>
          <w:lang w:val="en-GB"/>
        </w:rPr>
        <w:t xml:space="preserve"> 在投标截止时间后递交的投标文件，招标代理机构将拒绝接收。</w:t>
      </w:r>
    </w:p>
    <w:p>
      <w:pPr>
        <w:spacing w:beforeLines="50" w:afterLines="50" w:line="360" w:lineRule="auto"/>
        <w:jc w:val="center"/>
        <w:rPr>
          <w:rFonts w:cs="宋体" w:asciiTheme="minorEastAsia" w:hAnsiTheme="minorEastAsia" w:eastAsiaTheme="minorEastAsia"/>
          <w:bCs/>
          <w:color w:val="auto"/>
          <w:sz w:val="28"/>
          <w:szCs w:val="28"/>
          <w:lang w:val="en-GB"/>
        </w:rPr>
      </w:pPr>
      <w:r>
        <w:rPr>
          <w:rFonts w:hint="eastAsia" w:cs="宋体" w:asciiTheme="minorEastAsia" w:hAnsiTheme="minorEastAsia" w:eastAsiaTheme="minorEastAsia"/>
          <w:b/>
          <w:color w:val="auto"/>
          <w:sz w:val="28"/>
          <w:szCs w:val="28"/>
          <w:lang w:val="en-GB"/>
        </w:rPr>
        <w:t>（五）开标</w:t>
      </w:r>
    </w:p>
    <w:p>
      <w:pPr>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19、开标</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9</w:t>
      </w:r>
      <w:r>
        <w:rPr>
          <w:rFonts w:hint="eastAsia" w:cs="宋体" w:asciiTheme="minorEastAsia" w:hAnsiTheme="minorEastAsia" w:eastAsiaTheme="minorEastAsia"/>
          <w:bCs/>
          <w:color w:val="auto"/>
          <w:sz w:val="24"/>
          <w:lang w:val="en-GB"/>
        </w:rPr>
        <w:t>.l 招标代理机构按“招标公告”或“投标邀请函”中规定的时间和地点组织开标，采购人代表、招标代理机构有关工作人员参加。投标人应委派授权代表参加开标活动，参加开标的代表须持本人身份证件及相关授权证明材料签名报到以证明其出席。投标人未派授权代表或不能证明其授权代表身份的，招标代理机构对投标文件的处理不承担责任。</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9</w:t>
      </w:r>
      <w:r>
        <w:rPr>
          <w:rFonts w:hint="eastAsia" w:cs="宋体" w:asciiTheme="minorEastAsia" w:hAnsiTheme="minorEastAsia" w:eastAsiaTheme="minorEastAsia"/>
          <w:bCs/>
          <w:color w:val="auto"/>
          <w:sz w:val="24"/>
          <w:lang w:val="en-GB"/>
        </w:rPr>
        <w:t>.2政府采购主管部门、监督部门、国家公证机关公证员由其视情况决定是否派代表到现场进行监督。</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9</w:t>
      </w:r>
      <w:r>
        <w:rPr>
          <w:rFonts w:hint="eastAsia" w:cs="宋体" w:asciiTheme="minorEastAsia" w:hAnsiTheme="minorEastAsia" w:eastAsiaTheme="minorEastAsia"/>
          <w:bCs/>
          <w:color w:val="auto"/>
          <w:sz w:val="24"/>
          <w:lang w:val="en-GB"/>
        </w:rPr>
        <w:t>.3 开标时，投标人授权代表将查验投标文件的密封情况，确认无误后拆封唱标，公布每份投标文件中“开标一览表”的内容，以及招标代理机构认为合适的其他内容，招标代理机构将作开标记录。</w:t>
      </w:r>
    </w:p>
    <w:p>
      <w:pPr>
        <w:spacing w:line="360" w:lineRule="auto"/>
        <w:ind w:firstLine="480"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bCs/>
          <w:color w:val="auto"/>
          <w:sz w:val="24"/>
        </w:rPr>
        <w:t>9</w:t>
      </w:r>
      <w:r>
        <w:rPr>
          <w:rFonts w:hint="eastAsia" w:cs="宋体" w:asciiTheme="minorEastAsia" w:hAnsiTheme="minorEastAsia" w:eastAsiaTheme="minorEastAsia"/>
          <w:bCs/>
          <w:color w:val="auto"/>
          <w:sz w:val="24"/>
          <w:lang w:val="en-GB"/>
        </w:rPr>
        <w:t>.4 若投标文件未密封，招标代理机构将拒绝接收该投标人的投标文件。</w:t>
      </w:r>
    </w:p>
    <w:p>
      <w:pPr>
        <w:snapToGrid w:val="0"/>
        <w:spacing w:beforeLines="50" w:afterLines="50" w:line="360" w:lineRule="auto"/>
        <w:jc w:val="center"/>
        <w:rPr>
          <w:rFonts w:cs="宋体" w:asciiTheme="minorEastAsia" w:hAnsiTheme="minorEastAsia" w:eastAsiaTheme="minorEastAsia"/>
          <w:b/>
          <w:color w:val="auto"/>
          <w:sz w:val="28"/>
          <w:szCs w:val="28"/>
          <w:lang w:val="en-GB"/>
        </w:rPr>
      </w:pPr>
      <w:bookmarkStart w:id="11" w:name="_Toc19881755"/>
      <w:r>
        <w:rPr>
          <w:rFonts w:hint="eastAsia" w:cs="宋体" w:asciiTheme="minorEastAsia" w:hAnsiTheme="minorEastAsia" w:eastAsiaTheme="minorEastAsia"/>
          <w:b/>
          <w:color w:val="auto"/>
          <w:sz w:val="28"/>
          <w:szCs w:val="28"/>
        </w:rPr>
        <w:t>（六）</w:t>
      </w:r>
      <w:r>
        <w:rPr>
          <w:rFonts w:hint="eastAsia" w:cs="宋体" w:asciiTheme="minorEastAsia" w:hAnsiTheme="minorEastAsia" w:eastAsiaTheme="minorEastAsia"/>
          <w:b/>
          <w:color w:val="auto"/>
          <w:sz w:val="28"/>
          <w:szCs w:val="28"/>
          <w:lang w:val="en-GB"/>
        </w:rPr>
        <w:t>评标委员会的组成和评标方法</w:t>
      </w:r>
      <w:bookmarkEnd w:id="11"/>
    </w:p>
    <w:p>
      <w:pPr>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20、</w:t>
      </w:r>
      <w:r>
        <w:rPr>
          <w:rFonts w:hint="eastAsia" w:cs="宋体" w:asciiTheme="minorEastAsia" w:hAnsiTheme="minorEastAsia" w:eastAsiaTheme="minorEastAsia"/>
          <w:b/>
          <w:color w:val="auto"/>
          <w:sz w:val="24"/>
          <w:lang w:val="en-GB"/>
        </w:rPr>
        <w:t>评标委员会的组成和评标方法</w:t>
      </w:r>
    </w:p>
    <w:p>
      <w:pPr>
        <w:spacing w:line="360" w:lineRule="auto"/>
        <w:ind w:firstLine="480" w:firstLineChars="200"/>
        <w:rPr>
          <w:rFonts w:cs="宋体" w:asciiTheme="minorEastAsia" w:hAnsiTheme="minorEastAsia" w:eastAsiaTheme="minorEastAsia"/>
          <w:bCs/>
          <w:color w:val="auto"/>
          <w:sz w:val="24"/>
          <w:lang w:val="en-GB"/>
        </w:rPr>
      </w:pPr>
      <w:r>
        <w:rPr>
          <w:rFonts w:hint="eastAsia" w:cs="宋体" w:asciiTheme="minorEastAsia" w:hAnsiTheme="minorEastAsia" w:eastAsiaTheme="minorEastAsia"/>
          <w:bCs/>
          <w:color w:val="auto"/>
          <w:sz w:val="24"/>
        </w:rPr>
        <w:t>20</w:t>
      </w:r>
      <w:r>
        <w:rPr>
          <w:rFonts w:hint="eastAsia" w:cs="宋体" w:asciiTheme="minorEastAsia" w:hAnsiTheme="minorEastAsia" w:eastAsiaTheme="minorEastAsia"/>
          <w:bCs/>
          <w:color w:val="auto"/>
          <w:sz w:val="24"/>
          <w:lang w:val="en-GB"/>
        </w:rPr>
        <w:t>.1</w:t>
      </w:r>
      <w:r>
        <w:rPr>
          <w:rFonts w:hint="eastAsia" w:cs="宋体" w:asciiTheme="minorEastAsia" w:hAnsiTheme="minorEastAsia" w:eastAsiaTheme="minorEastAsia"/>
          <w:color w:val="auto"/>
          <w:sz w:val="24"/>
        </w:rPr>
        <w:t>评标委员会由采购人代表和从海南省综合评标专家库中随机抽取的相关专家共5人以上单数组成，其中，技术、经济等方面的专家人数不得少于成员总数的2/3。该评标委员会独立评审，负责评审所有投标文件并确定中标侯选人，提交评标报告。</w:t>
      </w:r>
    </w:p>
    <w:p>
      <w:pPr>
        <w:shd w:val="clear" w:color="auto" w:fill="FFFFFF"/>
        <w:tabs>
          <w:tab w:val="left" w:pos="720"/>
        </w:tabs>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20</w:t>
      </w:r>
      <w:r>
        <w:rPr>
          <w:rFonts w:hint="eastAsia" w:cs="宋体" w:asciiTheme="minorEastAsia" w:hAnsiTheme="minorEastAsia" w:eastAsiaTheme="minorEastAsia"/>
          <w:bCs/>
          <w:color w:val="auto"/>
          <w:sz w:val="24"/>
        </w:rPr>
        <w:t>.2</w:t>
      </w:r>
      <w:r>
        <w:rPr>
          <w:rFonts w:hint="eastAsia" w:cs="宋体" w:asciiTheme="minorEastAsia" w:hAnsiTheme="minorEastAsia" w:eastAsiaTheme="minorEastAsia"/>
          <w:color w:val="auto"/>
          <w:sz w:val="24"/>
        </w:rPr>
        <w:t>根据财政部、工业和信息化部2012年1月1日颁布的《政府采购促进中小企业发展暂行办法》（财库[2011]181号）第五条规定，对小、微企业予以价格评分适当优惠。若供应商为小型或微型企业者，必须提供相关部门出具的证明材料，其参与评分的投标报价取值按投标报价的90%计（即按投标报价扣除6%后计算）。</w:t>
      </w:r>
    </w:p>
    <w:p>
      <w:pPr>
        <w:shd w:val="clear" w:color="auto" w:fill="FFFFFF"/>
        <w:tabs>
          <w:tab w:val="left" w:pos="720"/>
        </w:tabs>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20.3根据财政部、环保总局文件2006年10月24日颁布《关于环境标志产品政府采购实施的意见》财库[2006]90号第五条规定政府采购属于节能清单中产品时，在技术、服务等指标同等条件下，应当优先采购节能清单所列的节能产品（需提供相关证明材料）。</w:t>
      </w:r>
    </w:p>
    <w:p>
      <w:pPr>
        <w:tabs>
          <w:tab w:val="left" w:pos="0"/>
        </w:tabs>
        <w:adjustRightInd w:val="0"/>
        <w:snapToGrid w:val="0"/>
        <w:spacing w:line="360" w:lineRule="auto"/>
        <w:rPr>
          <w:rFonts w:cs="宋体" w:asciiTheme="minorEastAsia" w:hAnsiTheme="minorEastAsia" w:eastAsiaTheme="minorEastAsia"/>
          <w:b/>
          <w:bCs/>
          <w:color w:val="auto"/>
          <w:kern w:val="0"/>
          <w:sz w:val="24"/>
          <w:lang w:val="en-GB"/>
        </w:rPr>
      </w:pPr>
      <w:r>
        <w:rPr>
          <w:rFonts w:hint="eastAsia" w:cs="宋体" w:asciiTheme="minorEastAsia" w:hAnsiTheme="minorEastAsia" w:eastAsiaTheme="minorEastAsia"/>
          <w:b/>
          <w:bCs/>
          <w:color w:val="auto"/>
          <w:kern w:val="0"/>
          <w:sz w:val="24"/>
        </w:rPr>
        <w:t>21、</w:t>
      </w:r>
      <w:r>
        <w:rPr>
          <w:rFonts w:hint="eastAsia" w:cs="宋体" w:asciiTheme="minorEastAsia" w:hAnsiTheme="minorEastAsia" w:eastAsiaTheme="minorEastAsia"/>
          <w:b/>
          <w:bCs/>
          <w:color w:val="auto"/>
          <w:kern w:val="0"/>
          <w:sz w:val="24"/>
          <w:lang w:val="en-GB"/>
        </w:rPr>
        <w:t>质疑和投诉</w:t>
      </w:r>
    </w:p>
    <w:p>
      <w:pPr>
        <w:tabs>
          <w:tab w:val="left" w:pos="0"/>
        </w:tabs>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rPr>
        <w:t>21</w:t>
      </w:r>
      <w:r>
        <w:rPr>
          <w:rFonts w:hint="eastAsia" w:cs="宋体" w:asciiTheme="minorEastAsia" w:hAnsiTheme="minorEastAsia" w:eastAsiaTheme="minorEastAsia"/>
          <w:color w:val="auto"/>
          <w:kern w:val="0"/>
          <w:sz w:val="24"/>
          <w:lang w:val="en-GB"/>
        </w:rPr>
        <w:t>.1提出质疑</w:t>
      </w:r>
    </w:p>
    <w:p>
      <w:pPr>
        <w:tabs>
          <w:tab w:val="left" w:pos="0"/>
        </w:tabs>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rPr>
        <w:t>21.1.1</w:t>
      </w:r>
      <w:r>
        <w:rPr>
          <w:rFonts w:hint="eastAsia" w:cs="宋体" w:asciiTheme="minorEastAsia" w:hAnsiTheme="minorEastAsia" w:eastAsiaTheme="minorEastAsia"/>
          <w:color w:val="auto"/>
          <w:kern w:val="0"/>
          <w:sz w:val="24"/>
          <w:lang w:val="en-GB"/>
        </w:rPr>
        <w:t>如果投标人认为采购文件、采购过程、中标结果使自己的权益受到损害的，可以在知道或者应知其权益受到损害之日起</w:t>
      </w:r>
      <w:r>
        <w:rPr>
          <w:rFonts w:hint="eastAsia" w:cs="宋体" w:asciiTheme="minorEastAsia" w:hAnsiTheme="minorEastAsia" w:eastAsiaTheme="minorEastAsia"/>
          <w:color w:val="auto"/>
          <w:kern w:val="0"/>
          <w:sz w:val="24"/>
        </w:rPr>
        <w:t>7个工作日内，以书面形式向采购人、采购代理机构提出质疑。</w:t>
      </w:r>
      <w:r>
        <w:rPr>
          <w:rFonts w:hint="eastAsia" w:cs="宋体" w:asciiTheme="minorEastAsia" w:hAnsiTheme="minorEastAsia" w:eastAsiaTheme="minorEastAsia"/>
          <w:color w:val="auto"/>
          <w:kern w:val="0"/>
          <w:sz w:val="24"/>
          <w:lang w:val="en-GB"/>
        </w:rPr>
        <w:t>供应商应在法定质疑期内一次性提出针对同一采购程序环节的质疑事项。</w:t>
      </w:r>
    </w:p>
    <w:p>
      <w:pPr>
        <w:tabs>
          <w:tab w:val="left" w:pos="0"/>
        </w:tabs>
        <w:adjustRightInd w:val="0"/>
        <w:snapToGrid w:val="0"/>
        <w:spacing w:line="360" w:lineRule="auto"/>
        <w:ind w:firstLine="480" w:firstLineChars="20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21.1.2</w:t>
      </w:r>
      <w:r>
        <w:rPr>
          <w:rFonts w:hint="eastAsia" w:cs="宋体" w:asciiTheme="minorEastAsia" w:hAnsiTheme="minorEastAsia" w:eastAsiaTheme="minorEastAsia"/>
          <w:color w:val="auto"/>
          <w:kern w:val="0"/>
          <w:sz w:val="24"/>
          <w:lang w:val="en-GB"/>
        </w:rPr>
        <w:t>提出质疑的供应商应当是参与所质疑项目采购活动的供应商，潜在供应商已依法获取采购文件的，可以对该文件提出质疑。对采购文件提出质疑的，应当在获取采购文件或者采购文件公告期限届满之日起</w:t>
      </w:r>
      <w:r>
        <w:rPr>
          <w:rFonts w:hint="eastAsia" w:cs="宋体" w:asciiTheme="minorEastAsia" w:hAnsiTheme="minorEastAsia" w:eastAsiaTheme="minorEastAsia"/>
          <w:color w:val="auto"/>
          <w:kern w:val="0"/>
          <w:sz w:val="24"/>
        </w:rPr>
        <w:t>7个工作日内以书面形式向招标代理机构或采购人提出。</w:t>
      </w:r>
    </w:p>
    <w:p>
      <w:pPr>
        <w:tabs>
          <w:tab w:val="left" w:pos="0"/>
        </w:tabs>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rPr>
        <w:t>21.1.3</w:t>
      </w:r>
      <w:r>
        <w:rPr>
          <w:rFonts w:hint="eastAsia" w:cs="宋体" w:asciiTheme="minorEastAsia" w:hAnsiTheme="minorEastAsia" w:eastAsiaTheme="minorEastAsia"/>
          <w:color w:val="auto"/>
          <w:kern w:val="0"/>
          <w:sz w:val="24"/>
          <w:lang w:val="en-GB"/>
        </w:rPr>
        <w:t>供应商提出质疑应当提交以下材料：质疑供应商的营业执照复印件、法定代表人身份证明及身份证复印件、授权委托书、代理人的身份证复印件、已参与所质疑项目采购活动的证明材料、质疑函和质疑证明材料。（身份证复印件及相关证明材料均加盖公章）</w:t>
      </w:r>
    </w:p>
    <w:p>
      <w:pPr>
        <w:tabs>
          <w:tab w:val="left" w:pos="0"/>
        </w:tabs>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rPr>
        <w:t>21.1.4</w:t>
      </w:r>
      <w:r>
        <w:rPr>
          <w:rFonts w:hint="eastAsia" w:cs="宋体" w:asciiTheme="minorEastAsia" w:hAnsiTheme="minorEastAsia" w:eastAsiaTheme="minorEastAsia"/>
          <w:color w:val="auto"/>
          <w:kern w:val="0"/>
          <w:sz w:val="24"/>
          <w:lang w:val="en-GB"/>
        </w:rPr>
        <w:t>质疑函应当包括下列内容：（一）供应商的姓名或者名称、地址、邮编、联系人及联系电话；（二）质疑项目的名称、编号；（三）具体、明确的质疑事项和与质疑事项相关的请求；（四）事实依据；（五）必要的法律依据；（六）提出质疑的日期。</w:t>
      </w:r>
    </w:p>
    <w:p>
      <w:pPr>
        <w:tabs>
          <w:tab w:val="left" w:pos="0"/>
        </w:tabs>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lang w:val="en-GB"/>
        </w:rPr>
        <w:t>供应商为自然人的，质疑函应当由本人签字；供应商为法人或者其他组织的，应当由法定代表人、主要负责人、或者其授权代表签字或者盖章，并加盖公章。</w:t>
      </w:r>
    </w:p>
    <w:p>
      <w:pPr>
        <w:tabs>
          <w:tab w:val="left" w:pos="0"/>
        </w:tabs>
        <w:adjustRightInd w:val="0"/>
        <w:snapToGrid w:val="0"/>
        <w:spacing w:line="360" w:lineRule="auto"/>
        <w:ind w:firstLine="480" w:firstLineChars="20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21.1.5</w:t>
      </w:r>
      <w:r>
        <w:rPr>
          <w:rFonts w:hint="eastAsia" w:cs="宋体" w:asciiTheme="minorEastAsia" w:hAnsiTheme="minorEastAsia" w:eastAsiaTheme="minorEastAsia"/>
          <w:color w:val="auto"/>
          <w:kern w:val="0"/>
          <w:sz w:val="24"/>
          <w:lang w:val="en-GB"/>
        </w:rPr>
        <w:t>提出质疑的供应商应按</w:t>
      </w:r>
      <w:r>
        <w:rPr>
          <w:rFonts w:hint="eastAsia" w:cs="宋体" w:asciiTheme="minorEastAsia" w:hAnsiTheme="minorEastAsia" w:eastAsiaTheme="minorEastAsia"/>
          <w:color w:val="auto"/>
          <w:kern w:val="0"/>
          <w:sz w:val="24"/>
        </w:rPr>
        <w:t>21.1.3规定的</w:t>
      </w:r>
      <w:r>
        <w:rPr>
          <w:rFonts w:hint="eastAsia" w:cs="宋体" w:asciiTheme="minorEastAsia" w:hAnsiTheme="minorEastAsia" w:eastAsiaTheme="minorEastAsia"/>
          <w:color w:val="auto"/>
          <w:kern w:val="0"/>
          <w:sz w:val="24"/>
          <w:lang w:val="en-GB"/>
        </w:rPr>
        <w:t>材料及</w:t>
      </w:r>
      <w:r>
        <w:rPr>
          <w:rFonts w:hint="eastAsia" w:cs="宋体" w:asciiTheme="minorEastAsia" w:hAnsiTheme="minorEastAsia" w:eastAsiaTheme="minorEastAsia"/>
          <w:color w:val="auto"/>
          <w:kern w:val="0"/>
          <w:sz w:val="24"/>
        </w:rPr>
        <w:t>21.1.4规定的</w:t>
      </w:r>
      <w:r>
        <w:rPr>
          <w:rFonts w:hint="eastAsia" w:cs="宋体" w:asciiTheme="minorEastAsia" w:hAnsiTheme="minorEastAsia" w:eastAsiaTheme="minorEastAsia"/>
          <w:color w:val="auto"/>
          <w:kern w:val="0"/>
          <w:sz w:val="24"/>
          <w:lang w:val="en-GB"/>
        </w:rPr>
        <w:t>质疑函一次性向代理机构或采购人提交，提交的材料及质疑函不符合以上规定或有遗漏的，质疑供应商须在法定质疑期限内一次性向招标代理机构补齐或修正。超过法定质疑期限提交的质疑函或补充材料，代理机构或采购人有权拒收。</w:t>
      </w:r>
    </w:p>
    <w:p>
      <w:pPr>
        <w:tabs>
          <w:tab w:val="left" w:pos="0"/>
        </w:tabs>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rPr>
        <w:t>21</w:t>
      </w:r>
      <w:r>
        <w:rPr>
          <w:rFonts w:hint="eastAsia" w:cs="宋体" w:asciiTheme="minorEastAsia" w:hAnsiTheme="minorEastAsia" w:eastAsiaTheme="minorEastAsia"/>
          <w:color w:val="auto"/>
          <w:kern w:val="0"/>
          <w:sz w:val="24"/>
          <w:lang w:val="en-GB"/>
        </w:rPr>
        <w:t>.2招标代理机构在《中华人民共和国政府采购法》规定的时间内没有对投标人的质疑进行回复，或投标人对招标代理机构的回复不满意时，可以在答复期满后</w:t>
      </w:r>
      <w:r>
        <w:rPr>
          <w:rFonts w:hint="eastAsia" w:cs="宋体" w:asciiTheme="minorEastAsia" w:hAnsiTheme="minorEastAsia" w:eastAsiaTheme="minorEastAsia"/>
          <w:color w:val="auto"/>
          <w:kern w:val="0"/>
          <w:sz w:val="24"/>
        </w:rPr>
        <w:t>15个工作日内</w:t>
      </w:r>
      <w:r>
        <w:rPr>
          <w:rFonts w:hint="eastAsia" w:cs="宋体" w:asciiTheme="minorEastAsia" w:hAnsiTheme="minorEastAsia" w:eastAsiaTheme="minorEastAsia"/>
          <w:color w:val="auto"/>
          <w:kern w:val="0"/>
          <w:sz w:val="24"/>
          <w:lang w:val="en-GB"/>
        </w:rPr>
        <w:t>可向政府采购财政部门投诉。供应商投诉的事项不得超过已质疑事项的范围，但基于质疑答复内容提出的投诉事项除外。</w:t>
      </w:r>
    </w:p>
    <w:p>
      <w:pPr>
        <w:tabs>
          <w:tab w:val="left" w:pos="0"/>
        </w:tabs>
        <w:adjustRightInd w:val="0"/>
        <w:snapToGrid w:val="0"/>
        <w:spacing w:line="360" w:lineRule="auto"/>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sz w:val="24"/>
        </w:rPr>
        <w:t xml:space="preserve">    21.3 投标人任何匿名、非书面形式、超过质疑期的质疑均不予受理。</w:t>
      </w:r>
    </w:p>
    <w:p>
      <w:pPr>
        <w:pStyle w:val="13"/>
        <w:adjustRightInd w:val="0"/>
        <w:snapToGrid w:val="0"/>
        <w:spacing w:beforeLines="50" w:afterLines="50" w:line="360" w:lineRule="auto"/>
        <w:jc w:val="center"/>
        <w:rPr>
          <w:rFonts w:cs="宋体" w:asciiTheme="minorEastAsia" w:hAnsiTheme="minorEastAsia" w:eastAsiaTheme="minorEastAsia"/>
          <w:b/>
          <w:color w:val="auto"/>
          <w:sz w:val="28"/>
          <w:szCs w:val="28"/>
          <w:lang w:val="en-GB"/>
        </w:rPr>
      </w:pPr>
      <w:r>
        <w:rPr>
          <w:rFonts w:hint="eastAsia" w:cs="宋体" w:asciiTheme="minorEastAsia" w:hAnsiTheme="minorEastAsia" w:eastAsiaTheme="minorEastAsia"/>
          <w:b/>
          <w:color w:val="auto"/>
          <w:sz w:val="28"/>
          <w:szCs w:val="28"/>
          <w:lang w:val="en-GB"/>
        </w:rPr>
        <w:t>（七）合同</w:t>
      </w:r>
    </w:p>
    <w:p>
      <w:pPr>
        <w:autoSpaceDE w:val="0"/>
        <w:autoSpaceDN w:val="0"/>
        <w:adjustRightInd w:val="0"/>
        <w:snapToGrid w:val="0"/>
        <w:spacing w:line="360" w:lineRule="auto"/>
        <w:rPr>
          <w:rFonts w:cs="宋体" w:asciiTheme="minorEastAsia" w:hAnsiTheme="minorEastAsia" w:eastAsiaTheme="minorEastAsia"/>
          <w:b/>
          <w:bCs/>
          <w:color w:val="auto"/>
          <w:kern w:val="0"/>
          <w:sz w:val="24"/>
          <w:lang w:val="en-GB"/>
        </w:rPr>
      </w:pPr>
      <w:r>
        <w:rPr>
          <w:rFonts w:hint="eastAsia" w:cs="宋体" w:asciiTheme="minorEastAsia" w:hAnsiTheme="minorEastAsia" w:eastAsiaTheme="minorEastAsia"/>
          <w:b/>
          <w:bCs/>
          <w:color w:val="auto"/>
          <w:kern w:val="0"/>
          <w:sz w:val="24"/>
        </w:rPr>
        <w:t>24、</w:t>
      </w:r>
      <w:r>
        <w:rPr>
          <w:rFonts w:hint="eastAsia" w:cs="宋体" w:asciiTheme="minorEastAsia" w:hAnsiTheme="minorEastAsia" w:eastAsiaTheme="minorEastAsia"/>
          <w:b/>
          <w:bCs/>
          <w:color w:val="auto"/>
          <w:kern w:val="0"/>
          <w:sz w:val="24"/>
          <w:lang w:val="en-GB"/>
        </w:rPr>
        <w:t>合同授予标准</w:t>
      </w:r>
    </w:p>
    <w:p>
      <w:pPr>
        <w:autoSpaceDE w:val="0"/>
        <w:autoSpaceDN w:val="0"/>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lang w:val="en-GB"/>
        </w:rPr>
        <w:t>除本须知第</w:t>
      </w:r>
      <w:r>
        <w:rPr>
          <w:rFonts w:hint="eastAsia" w:cs="宋体" w:asciiTheme="minorEastAsia" w:hAnsiTheme="minorEastAsia" w:eastAsiaTheme="minorEastAsia"/>
          <w:color w:val="auto"/>
          <w:kern w:val="0"/>
          <w:sz w:val="24"/>
        </w:rPr>
        <w:t>14.4</w:t>
      </w:r>
      <w:r>
        <w:rPr>
          <w:rFonts w:hint="eastAsia" w:cs="宋体" w:asciiTheme="minorEastAsia" w:hAnsiTheme="minorEastAsia" w:eastAsiaTheme="minorEastAsia"/>
          <w:color w:val="auto"/>
          <w:kern w:val="0"/>
          <w:sz w:val="24"/>
          <w:lang w:val="en-GB"/>
        </w:rPr>
        <w:t>条的规定之外，采购人将与中标人签订供货合同。</w:t>
      </w:r>
    </w:p>
    <w:p>
      <w:pPr>
        <w:autoSpaceDE w:val="0"/>
        <w:autoSpaceDN w:val="0"/>
        <w:adjustRightInd w:val="0"/>
        <w:snapToGrid w:val="0"/>
        <w:spacing w:line="360" w:lineRule="auto"/>
        <w:rPr>
          <w:rFonts w:cs="宋体" w:asciiTheme="minorEastAsia" w:hAnsiTheme="minorEastAsia" w:eastAsiaTheme="minorEastAsia"/>
          <w:b/>
          <w:bCs/>
          <w:color w:val="auto"/>
          <w:kern w:val="0"/>
          <w:sz w:val="24"/>
          <w:lang w:val="en-GB"/>
        </w:rPr>
      </w:pPr>
      <w:r>
        <w:rPr>
          <w:rFonts w:hint="eastAsia" w:cs="宋体" w:asciiTheme="minorEastAsia" w:hAnsiTheme="minorEastAsia" w:eastAsiaTheme="minorEastAsia"/>
          <w:b/>
          <w:bCs/>
          <w:color w:val="auto"/>
          <w:kern w:val="0"/>
          <w:sz w:val="24"/>
        </w:rPr>
        <w:t>25、</w:t>
      </w:r>
      <w:r>
        <w:rPr>
          <w:rFonts w:hint="eastAsia" w:cs="宋体" w:asciiTheme="minorEastAsia" w:hAnsiTheme="minorEastAsia" w:eastAsiaTheme="minorEastAsia"/>
          <w:b/>
          <w:bCs/>
          <w:color w:val="auto"/>
          <w:kern w:val="0"/>
          <w:sz w:val="24"/>
          <w:lang w:val="en-GB"/>
        </w:rPr>
        <w:t>接受和拒绝任何或所有投标的权力</w:t>
      </w:r>
    </w:p>
    <w:p>
      <w:pPr>
        <w:autoSpaceDE w:val="0"/>
        <w:autoSpaceDN w:val="0"/>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lang w:val="en-GB"/>
        </w:rPr>
        <w:t>在特殊情况下，评标委员会、招标代理机构和采购人在报经监管部门同意后，保留在授标之前拒绝任何投标以及宣布招标程序无效或拒绝所有投标的权力。</w:t>
      </w:r>
    </w:p>
    <w:p>
      <w:pPr>
        <w:adjustRightInd w:val="0"/>
        <w:snapToGrid w:val="0"/>
        <w:spacing w:line="360" w:lineRule="auto"/>
        <w:rPr>
          <w:rFonts w:cs="宋体" w:asciiTheme="minorEastAsia" w:hAnsiTheme="minorEastAsia" w:eastAsiaTheme="minorEastAsia"/>
          <w:b/>
          <w:bCs/>
          <w:color w:val="auto"/>
          <w:kern w:val="0"/>
          <w:sz w:val="24"/>
          <w:lang w:val="en-GB"/>
        </w:rPr>
      </w:pPr>
      <w:r>
        <w:rPr>
          <w:rFonts w:hint="eastAsia" w:cs="宋体" w:asciiTheme="minorEastAsia" w:hAnsiTheme="minorEastAsia" w:eastAsiaTheme="minorEastAsia"/>
          <w:b/>
          <w:bCs/>
          <w:color w:val="auto"/>
          <w:kern w:val="0"/>
          <w:sz w:val="24"/>
        </w:rPr>
        <w:t>26、</w:t>
      </w:r>
      <w:r>
        <w:rPr>
          <w:rFonts w:hint="eastAsia" w:cs="宋体" w:asciiTheme="minorEastAsia" w:hAnsiTheme="minorEastAsia" w:eastAsiaTheme="minorEastAsia"/>
          <w:b/>
          <w:bCs/>
          <w:color w:val="auto"/>
          <w:kern w:val="0"/>
          <w:sz w:val="24"/>
          <w:lang w:val="en-GB"/>
        </w:rPr>
        <w:t>签订合同</w:t>
      </w:r>
    </w:p>
    <w:p>
      <w:pPr>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rPr>
        <w:t>26</w:t>
      </w:r>
      <w:r>
        <w:rPr>
          <w:rFonts w:hint="eastAsia" w:cs="宋体" w:asciiTheme="minorEastAsia" w:hAnsiTheme="minorEastAsia" w:eastAsiaTheme="minorEastAsia"/>
          <w:color w:val="auto"/>
          <w:kern w:val="0"/>
          <w:sz w:val="24"/>
          <w:lang w:val="en-GB"/>
        </w:rPr>
        <w:t>.1采购人应按招标文件和中标人的投标文件订立书面合同，不得超出招标文件和中标人投标文件的范围，也不得另行订立背离合同实质性内容的其他协议。</w:t>
      </w:r>
    </w:p>
    <w:p>
      <w:pPr>
        <w:autoSpaceDE w:val="0"/>
        <w:autoSpaceDN w:val="0"/>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rPr>
        <w:t>26</w:t>
      </w:r>
      <w:r>
        <w:rPr>
          <w:rFonts w:hint="eastAsia" w:cs="宋体" w:asciiTheme="minorEastAsia" w:hAnsiTheme="minorEastAsia" w:eastAsiaTheme="minorEastAsia"/>
          <w:color w:val="auto"/>
          <w:kern w:val="0"/>
          <w:sz w:val="24"/>
          <w:lang w:val="en-GB"/>
        </w:rPr>
        <w:t>.2采购人应在中标通知书发出之日起</w:t>
      </w:r>
      <w:r>
        <w:rPr>
          <w:rFonts w:hint="eastAsia" w:cs="宋体" w:asciiTheme="minorEastAsia" w:hAnsiTheme="minorEastAsia" w:eastAsiaTheme="minorEastAsia"/>
          <w:b/>
          <w:bCs/>
          <w:color w:val="auto"/>
          <w:kern w:val="0"/>
          <w:sz w:val="24"/>
          <w:u w:val="single"/>
          <w:lang w:val="en-GB"/>
        </w:rPr>
        <w:t>30天内</w:t>
      </w:r>
      <w:r>
        <w:rPr>
          <w:rFonts w:hint="eastAsia" w:cs="宋体" w:asciiTheme="minorEastAsia" w:hAnsiTheme="minorEastAsia" w:eastAsiaTheme="minorEastAsia"/>
          <w:color w:val="auto"/>
          <w:kern w:val="0"/>
          <w:sz w:val="24"/>
          <w:lang w:val="en-GB"/>
        </w:rPr>
        <w:t>与中标人签订政府采购合同。</w:t>
      </w:r>
    </w:p>
    <w:p>
      <w:pPr>
        <w:autoSpaceDE w:val="0"/>
        <w:autoSpaceDN w:val="0"/>
        <w:adjustRightInd w:val="0"/>
        <w:snapToGrid w:val="0"/>
        <w:spacing w:line="360" w:lineRule="auto"/>
        <w:rPr>
          <w:rFonts w:cs="宋体" w:asciiTheme="minorEastAsia" w:hAnsiTheme="minorEastAsia" w:eastAsiaTheme="minorEastAsia"/>
          <w:b/>
          <w:bCs/>
          <w:color w:val="auto"/>
          <w:kern w:val="0"/>
          <w:sz w:val="24"/>
          <w:lang w:val="en-GB"/>
        </w:rPr>
      </w:pPr>
      <w:r>
        <w:rPr>
          <w:rFonts w:hint="eastAsia" w:cs="宋体" w:asciiTheme="minorEastAsia" w:hAnsiTheme="minorEastAsia" w:eastAsiaTheme="minorEastAsia"/>
          <w:b/>
          <w:bCs/>
          <w:color w:val="auto"/>
          <w:kern w:val="0"/>
          <w:sz w:val="24"/>
        </w:rPr>
        <w:t>27</w:t>
      </w:r>
      <w:r>
        <w:rPr>
          <w:rFonts w:hint="eastAsia" w:cs="宋体" w:asciiTheme="minorEastAsia" w:hAnsiTheme="minorEastAsia" w:eastAsiaTheme="minorEastAsia"/>
          <w:b/>
          <w:bCs/>
          <w:color w:val="auto"/>
          <w:kern w:val="0"/>
          <w:sz w:val="24"/>
          <w:lang w:val="en-GB"/>
        </w:rPr>
        <w:t>、付款</w:t>
      </w:r>
    </w:p>
    <w:p>
      <w:pPr>
        <w:autoSpaceDE w:val="0"/>
        <w:autoSpaceDN w:val="0"/>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lang w:val="en-GB"/>
        </w:rPr>
        <w:t>按照政府采购有关规定办理。</w:t>
      </w:r>
    </w:p>
    <w:p>
      <w:pPr>
        <w:autoSpaceDE w:val="0"/>
        <w:autoSpaceDN w:val="0"/>
        <w:adjustRightInd w:val="0"/>
        <w:snapToGrid w:val="0"/>
        <w:spacing w:line="360" w:lineRule="auto"/>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b/>
          <w:bCs/>
          <w:color w:val="auto"/>
          <w:kern w:val="0"/>
          <w:sz w:val="24"/>
        </w:rPr>
        <w:t>28</w:t>
      </w:r>
      <w:r>
        <w:rPr>
          <w:rFonts w:hint="eastAsia" w:cs="宋体" w:asciiTheme="minorEastAsia" w:hAnsiTheme="minorEastAsia" w:eastAsiaTheme="minorEastAsia"/>
          <w:b/>
          <w:bCs/>
          <w:color w:val="auto"/>
          <w:kern w:val="0"/>
          <w:sz w:val="24"/>
          <w:lang w:val="en-GB"/>
        </w:rPr>
        <w:t>、适用法律</w:t>
      </w:r>
    </w:p>
    <w:p>
      <w:pPr>
        <w:autoSpaceDE w:val="0"/>
        <w:autoSpaceDN w:val="0"/>
        <w:adjustRightInd w:val="0"/>
        <w:snapToGrid w:val="0"/>
        <w:spacing w:line="360" w:lineRule="auto"/>
        <w:ind w:firstLine="480" w:firstLineChars="200"/>
        <w:rPr>
          <w:rFonts w:cs="宋体" w:asciiTheme="minorEastAsia" w:hAnsiTheme="minorEastAsia" w:eastAsiaTheme="minorEastAsia"/>
          <w:color w:val="auto"/>
          <w:kern w:val="0"/>
          <w:sz w:val="24"/>
          <w:lang w:val="en-GB"/>
        </w:rPr>
      </w:pPr>
      <w:r>
        <w:rPr>
          <w:rFonts w:hint="eastAsia" w:cs="宋体" w:asciiTheme="minorEastAsia" w:hAnsiTheme="minorEastAsia" w:eastAsiaTheme="minorEastAsia"/>
          <w:color w:val="auto"/>
          <w:kern w:val="0"/>
          <w:sz w:val="24"/>
          <w:lang w:val="en-GB"/>
        </w:rPr>
        <w:t>采购人、招标代理机构及投标人的一切招标投标活动均适用于《中华人民共和国政府采购法》及相关规定。</w:t>
      </w:r>
    </w:p>
    <w:p>
      <w:pPr>
        <w:autoSpaceDE w:val="0"/>
        <w:autoSpaceDN w:val="0"/>
        <w:adjustRightInd w:val="0"/>
        <w:snapToGrid w:val="0"/>
        <w:spacing w:line="360" w:lineRule="auto"/>
        <w:rPr>
          <w:rFonts w:cs="宋体" w:asciiTheme="minorEastAsia" w:hAnsiTheme="minorEastAsia" w:eastAsiaTheme="minorEastAsia"/>
          <w:color w:val="auto"/>
          <w:kern w:val="0"/>
          <w:sz w:val="24"/>
          <w:lang w:val="en-GB"/>
        </w:rPr>
      </w:pPr>
    </w:p>
    <w:p>
      <w:pPr>
        <w:autoSpaceDE w:val="0"/>
        <w:autoSpaceDN w:val="0"/>
        <w:adjustRightInd w:val="0"/>
        <w:snapToGrid w:val="0"/>
        <w:spacing w:line="360" w:lineRule="auto"/>
        <w:rPr>
          <w:rFonts w:cs="宋体" w:asciiTheme="minorEastAsia" w:hAnsiTheme="minorEastAsia" w:eastAsiaTheme="minorEastAsia"/>
          <w:color w:val="auto"/>
          <w:kern w:val="0"/>
          <w:sz w:val="24"/>
          <w:lang w:val="en-GB"/>
        </w:rPr>
      </w:pPr>
    </w:p>
    <w:p>
      <w:pPr>
        <w:autoSpaceDE w:val="0"/>
        <w:autoSpaceDN w:val="0"/>
        <w:adjustRightInd w:val="0"/>
        <w:snapToGrid w:val="0"/>
        <w:spacing w:line="360" w:lineRule="auto"/>
        <w:rPr>
          <w:rFonts w:cs="宋体" w:asciiTheme="minorEastAsia" w:hAnsiTheme="minorEastAsia" w:eastAsiaTheme="minorEastAsia"/>
          <w:color w:val="auto"/>
          <w:kern w:val="0"/>
          <w:sz w:val="24"/>
          <w:lang w:val="en-GB"/>
        </w:rPr>
      </w:pPr>
    </w:p>
    <w:p>
      <w:pPr>
        <w:autoSpaceDE w:val="0"/>
        <w:autoSpaceDN w:val="0"/>
        <w:adjustRightInd w:val="0"/>
        <w:snapToGrid w:val="0"/>
        <w:spacing w:line="360" w:lineRule="auto"/>
        <w:rPr>
          <w:rFonts w:cs="宋体" w:asciiTheme="minorEastAsia" w:hAnsiTheme="minorEastAsia" w:eastAsiaTheme="minorEastAsia"/>
          <w:color w:val="auto"/>
          <w:kern w:val="0"/>
          <w:sz w:val="24"/>
          <w:lang w:val="en-GB"/>
        </w:rPr>
      </w:pPr>
    </w:p>
    <w:p>
      <w:pPr>
        <w:autoSpaceDE w:val="0"/>
        <w:autoSpaceDN w:val="0"/>
        <w:adjustRightInd w:val="0"/>
        <w:snapToGrid w:val="0"/>
        <w:spacing w:line="360" w:lineRule="auto"/>
        <w:rPr>
          <w:rFonts w:cs="宋体" w:asciiTheme="minorEastAsia" w:hAnsiTheme="minorEastAsia" w:eastAsiaTheme="minorEastAsia"/>
          <w:color w:val="auto"/>
          <w:kern w:val="0"/>
          <w:sz w:val="24"/>
          <w:lang w:val="en-GB"/>
        </w:rPr>
      </w:pPr>
    </w:p>
    <w:p>
      <w:pPr>
        <w:autoSpaceDE w:val="0"/>
        <w:autoSpaceDN w:val="0"/>
        <w:adjustRightInd w:val="0"/>
        <w:snapToGrid w:val="0"/>
        <w:spacing w:line="360" w:lineRule="auto"/>
        <w:rPr>
          <w:rFonts w:cs="宋体" w:asciiTheme="minorEastAsia" w:hAnsiTheme="minorEastAsia" w:eastAsiaTheme="minorEastAsia"/>
          <w:color w:val="auto"/>
          <w:kern w:val="0"/>
          <w:sz w:val="24"/>
          <w:lang w:val="en-GB"/>
        </w:rPr>
      </w:pPr>
    </w:p>
    <w:p>
      <w:pPr>
        <w:spacing w:line="360" w:lineRule="auto"/>
        <w:rPr>
          <w:rFonts w:cs="宋体" w:asciiTheme="minorEastAsia" w:hAnsiTheme="minorEastAsia" w:eastAsiaTheme="minorEastAsia"/>
          <w:b/>
          <w:color w:val="auto"/>
          <w:sz w:val="24"/>
        </w:rPr>
      </w:pPr>
    </w:p>
    <w:p>
      <w:pPr>
        <w:spacing w:line="360" w:lineRule="auto"/>
        <w:rPr>
          <w:rFonts w:cs="宋体" w:asciiTheme="minorEastAsia" w:hAnsiTheme="minorEastAsia" w:eastAsiaTheme="minorEastAsia"/>
          <w:color w:val="auto"/>
          <w:sz w:val="24"/>
        </w:rPr>
      </w:pPr>
    </w:p>
    <w:p>
      <w:pPr>
        <w:spacing w:line="360" w:lineRule="auto"/>
        <w:rPr>
          <w:rFonts w:cs="宋体" w:asciiTheme="minorEastAsia" w:hAnsiTheme="minorEastAsia" w:eastAsiaTheme="minorEastAsia"/>
          <w:color w:val="auto"/>
          <w:sz w:val="24"/>
        </w:rPr>
      </w:pPr>
    </w:p>
    <w:p>
      <w:pPr>
        <w:spacing w:line="360" w:lineRule="auto"/>
        <w:rPr>
          <w:rFonts w:cs="宋体" w:asciiTheme="minorEastAsia" w:hAnsiTheme="minorEastAsia" w:eastAsiaTheme="minorEastAsia"/>
          <w:color w:val="auto"/>
          <w:sz w:val="24"/>
        </w:rPr>
      </w:pPr>
    </w:p>
    <w:p>
      <w:pPr>
        <w:spacing w:line="360" w:lineRule="auto"/>
        <w:rPr>
          <w:rFonts w:cs="宋体" w:asciiTheme="minorEastAsia" w:hAnsiTheme="minorEastAsia" w:eastAsiaTheme="minorEastAsia"/>
          <w:color w:val="auto"/>
          <w:sz w:val="24"/>
        </w:rPr>
      </w:pPr>
    </w:p>
    <w:p>
      <w:pPr>
        <w:spacing w:beforeLines="50" w:afterLines="50" w:line="360" w:lineRule="auto"/>
        <w:jc w:val="center"/>
        <w:rPr>
          <w:rFonts w:cs="宋体" w:asciiTheme="minorEastAsia" w:hAnsiTheme="minorEastAsia" w:eastAsiaTheme="minorEastAsia"/>
          <w:b/>
          <w:color w:val="auto"/>
          <w:sz w:val="44"/>
          <w:szCs w:val="44"/>
        </w:rPr>
      </w:pPr>
    </w:p>
    <w:p>
      <w:pPr>
        <w:spacing w:beforeLines="50" w:afterLines="50" w:line="360" w:lineRule="auto"/>
        <w:jc w:val="center"/>
        <w:rPr>
          <w:rFonts w:cs="宋体" w:asciiTheme="minorEastAsia" w:hAnsiTheme="minorEastAsia" w:eastAsiaTheme="minorEastAsia"/>
          <w:b/>
          <w:color w:val="auto"/>
          <w:sz w:val="44"/>
          <w:szCs w:val="44"/>
        </w:rPr>
        <w:sectPr>
          <w:pgSz w:w="11906" w:h="16838"/>
          <w:pgMar w:top="1418" w:right="1418" w:bottom="1418" w:left="1418" w:header="907" w:footer="907" w:gutter="0"/>
          <w:cols w:space="720" w:num="1"/>
          <w:docGrid w:linePitch="312" w:charSpace="0"/>
        </w:sectPr>
      </w:pPr>
    </w:p>
    <w:p>
      <w:pPr>
        <w:spacing w:line="360" w:lineRule="auto"/>
        <w:ind w:firstLine="1749" w:firstLineChars="396"/>
        <w:outlineLvl w:val="0"/>
        <w:rPr>
          <w:rFonts w:cs="宋体" w:asciiTheme="minorEastAsia" w:hAnsiTheme="minorEastAsia" w:eastAsiaTheme="minorEastAsia"/>
          <w:b/>
          <w:color w:val="auto"/>
          <w:sz w:val="44"/>
          <w:szCs w:val="44"/>
        </w:rPr>
      </w:pPr>
      <w:bookmarkStart w:id="12" w:name="_Toc19891207"/>
      <w:r>
        <w:rPr>
          <w:rFonts w:hint="eastAsia" w:cs="宋体" w:asciiTheme="minorEastAsia" w:hAnsiTheme="minorEastAsia" w:eastAsiaTheme="minorEastAsia"/>
          <w:b/>
          <w:color w:val="auto"/>
          <w:sz w:val="44"/>
          <w:szCs w:val="44"/>
        </w:rPr>
        <w:t>第三部分  用户需求书</w:t>
      </w:r>
      <w:bookmarkEnd w:id="12"/>
    </w:p>
    <w:p>
      <w:pPr>
        <w:pStyle w:val="2"/>
        <w:spacing w:line="360" w:lineRule="auto"/>
        <w:ind w:left="0"/>
        <w:rPr>
          <w:rFonts w:asciiTheme="minorEastAsia" w:hAnsiTheme="minorEastAsia" w:eastAsiaTheme="minorEastAsia"/>
          <w:b/>
          <w:color w:val="auto"/>
          <w:sz w:val="30"/>
          <w:szCs w:val="30"/>
          <w:u w:val="none"/>
        </w:rPr>
      </w:pPr>
      <w:bookmarkStart w:id="13" w:name="_Toc14266192"/>
      <w:bookmarkStart w:id="14" w:name="_Toc19881756"/>
      <w:bookmarkStart w:id="15" w:name="_Toc19891208"/>
      <w:r>
        <w:rPr>
          <w:rFonts w:hint="eastAsia" w:asciiTheme="minorEastAsia" w:hAnsiTheme="minorEastAsia" w:eastAsiaTheme="minorEastAsia"/>
          <w:color w:val="auto"/>
          <w:sz w:val="30"/>
          <w:szCs w:val="30"/>
          <w:u w:val="none"/>
        </w:rPr>
        <w:t>一、项目基本情况</w:t>
      </w:r>
      <w:bookmarkEnd w:id="13"/>
      <w:bookmarkEnd w:id="14"/>
      <w:bookmarkEnd w:id="15"/>
    </w:p>
    <w:p>
      <w:pPr>
        <w:pStyle w:val="3"/>
        <w:keepNext w:val="0"/>
        <w:keepLines w:val="0"/>
        <w:spacing w:before="0" w:after="0" w:line="360" w:lineRule="auto"/>
        <w:rPr>
          <w:rFonts w:asciiTheme="minorEastAsia" w:hAnsiTheme="minorEastAsia" w:eastAsiaTheme="minorEastAsia"/>
          <w:color w:val="auto"/>
          <w:sz w:val="28"/>
          <w:szCs w:val="28"/>
        </w:rPr>
      </w:pPr>
      <w:bookmarkStart w:id="16" w:name="_Toc14266193"/>
      <w:bookmarkStart w:id="17" w:name="_Toc19881757"/>
      <w:r>
        <w:rPr>
          <w:rFonts w:hint="eastAsia" w:asciiTheme="minorEastAsia" w:hAnsiTheme="minorEastAsia" w:eastAsiaTheme="minorEastAsia"/>
          <w:color w:val="auto"/>
          <w:sz w:val="28"/>
          <w:szCs w:val="28"/>
        </w:rPr>
        <w:t>（一）项目概况</w:t>
      </w:r>
      <w:bookmarkEnd w:id="16"/>
      <w:bookmarkEnd w:id="17"/>
    </w:p>
    <w:p>
      <w:pPr>
        <w:pStyle w:val="4"/>
        <w:keepNext w:val="0"/>
        <w:keepLines w:val="0"/>
        <w:spacing w:before="0" w:after="0" w:line="360" w:lineRule="auto"/>
        <w:ind w:firstLine="482" w:firstLineChars="200"/>
        <w:rPr>
          <w:rFonts w:asciiTheme="minorEastAsia" w:hAnsiTheme="minorEastAsia" w:eastAsiaTheme="minorEastAsia"/>
          <w:color w:val="auto"/>
          <w:sz w:val="24"/>
        </w:rPr>
      </w:pPr>
      <w:bookmarkStart w:id="18" w:name="_Toc14266194"/>
      <w:bookmarkStart w:id="19" w:name="_Toc19881758"/>
      <w:r>
        <w:rPr>
          <w:rFonts w:asciiTheme="minorEastAsia" w:hAnsiTheme="minorEastAsia" w:eastAsiaTheme="minorEastAsia"/>
          <w:color w:val="auto"/>
          <w:sz w:val="24"/>
        </w:rPr>
        <w:t>1.</w:t>
      </w:r>
      <w:r>
        <w:rPr>
          <w:rFonts w:hint="eastAsia" w:asciiTheme="minorEastAsia" w:hAnsiTheme="minorEastAsia" w:eastAsiaTheme="minorEastAsia"/>
          <w:color w:val="auto"/>
          <w:sz w:val="24"/>
        </w:rPr>
        <w:t>项目名称及建设背景</w:t>
      </w:r>
      <w:bookmarkEnd w:id="18"/>
      <w:bookmarkEnd w:id="19"/>
    </w:p>
    <w:p>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近年来，国家、省级政府及交通运输主管部门高度重视城乡客运发展，高质量发展、乡村振兴等国家战略的提出要求提供更高水平的城乡客运一体化服务，加快促进城乡公共客运服务均等化，推动城乡客运资源共享共联。</w:t>
      </w:r>
      <w:r>
        <w:rPr>
          <w:rFonts w:asciiTheme="minorEastAsia" w:hAnsiTheme="minorEastAsia" w:eastAsiaTheme="minorEastAsia"/>
          <w:color w:val="auto"/>
          <w:sz w:val="24"/>
        </w:rPr>
        <w:t>2017年，在《交通运输部关于公布城乡交通运输一体化示范县第一批创建县（区、市）的通知》（交运函〔2017〕437号）中，我市被确立为海南省唯一入选全国城乡交通运输一体化示范县（区、市</w:t>
      </w:r>
      <w:r>
        <w:rPr>
          <w:rFonts w:hint="eastAsia" w:asciiTheme="minorEastAsia" w:hAnsiTheme="minorEastAsia" w:eastAsiaTheme="minorEastAsia"/>
          <w:color w:val="auto"/>
          <w:sz w:val="24"/>
        </w:rPr>
        <w:t>）的城市，为我市城乡交通运输发展争取到了良好契机。近年来，我市交通运输各项工作稳步推进，取得了积极成效。但总体来看，仍存在城乡交通运输发展不平衡，公共服务水平不高，特别是农村交通运输基础设施条件、运输服务网络、服务质量相对落后等问题，成为综合交通运输体系发展中的短板，在当前环境下，加快推进我市城乡交通运输一体化改革工作迫在眉睫。</w:t>
      </w:r>
    </w:p>
    <w:p>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为确保《东方市城乡交通运输一体化规划》和《东方市创建全国城乡交通运输一体化示范市实施方案》有效落地，拟从经营主体整合、运营模式选择、客运网络优化、服务品质提升、经营管理规范等方面开展城乡公交客运服务一体化改革工作。</w:t>
      </w:r>
    </w:p>
    <w:p>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本项目</w:t>
      </w:r>
      <w:r>
        <w:rPr>
          <w:rFonts w:asciiTheme="minorEastAsia" w:hAnsiTheme="minorEastAsia" w:eastAsiaTheme="minorEastAsia"/>
          <w:color w:val="auto"/>
          <w:sz w:val="24"/>
        </w:rPr>
        <w:t>为</w:t>
      </w:r>
      <w:r>
        <w:rPr>
          <w:rFonts w:hint="eastAsia" w:asciiTheme="minorEastAsia" w:hAnsiTheme="minorEastAsia" w:eastAsiaTheme="minorEastAsia"/>
          <w:color w:val="auto"/>
          <w:sz w:val="24"/>
        </w:rPr>
        <w:t>东方市城乡公交客运服务一体化特许经营项目，东方市交通运输局</w:t>
      </w:r>
      <w:r>
        <w:rPr>
          <w:rFonts w:asciiTheme="minorEastAsia" w:hAnsiTheme="minorEastAsia" w:eastAsiaTheme="minorEastAsia"/>
          <w:color w:val="auto"/>
          <w:sz w:val="24"/>
        </w:rPr>
        <w:t>(以下简称“交通局”)已请示东方市人民政府(以下简称“政府”)并获得相应授权，作为本项目的项目实施机构，负责项目准备、采购、监管和移交等工作。</w:t>
      </w:r>
    </w:p>
    <w:p>
      <w:pPr>
        <w:pStyle w:val="4"/>
        <w:spacing w:before="0" w:after="0" w:line="360" w:lineRule="auto"/>
        <w:ind w:firstLine="482" w:firstLineChars="200"/>
        <w:rPr>
          <w:rFonts w:asciiTheme="minorEastAsia" w:hAnsiTheme="minorEastAsia" w:eastAsiaTheme="minorEastAsia"/>
          <w:color w:val="auto"/>
          <w:sz w:val="24"/>
        </w:rPr>
      </w:pPr>
      <w:bookmarkStart w:id="20" w:name="_Toc14266195"/>
      <w:bookmarkStart w:id="21" w:name="_Toc19881759"/>
      <w:r>
        <w:rPr>
          <w:rFonts w:asciiTheme="minorEastAsia" w:hAnsiTheme="minorEastAsia" w:eastAsiaTheme="minorEastAsia"/>
          <w:color w:val="auto"/>
          <w:sz w:val="24"/>
        </w:rPr>
        <w:t>2.</w:t>
      </w:r>
      <w:r>
        <w:rPr>
          <w:rFonts w:hint="eastAsia" w:asciiTheme="minorEastAsia" w:hAnsiTheme="minorEastAsia" w:eastAsiaTheme="minorEastAsia"/>
          <w:color w:val="auto"/>
          <w:sz w:val="24"/>
        </w:rPr>
        <w:t>项目建设内容</w:t>
      </w:r>
      <w:bookmarkEnd w:id="20"/>
      <w:bookmarkEnd w:id="21"/>
    </w:p>
    <w:p>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项目建设内容以正式批复的《东方市创建全国城乡交通运输一体化示范市实施方案》（暂时扣除</w:t>
      </w:r>
      <w:r>
        <w:rPr>
          <w:rFonts w:asciiTheme="minorEastAsia" w:hAnsiTheme="minorEastAsia" w:eastAsiaTheme="minorEastAsia"/>
          <w:color w:val="auto"/>
          <w:sz w:val="24"/>
        </w:rPr>
        <w:t>镇村公交和旅游公交</w:t>
      </w:r>
      <w:r>
        <w:rPr>
          <w:rFonts w:hint="eastAsia" w:asciiTheme="minorEastAsia" w:hAnsiTheme="minorEastAsia" w:eastAsiaTheme="minorEastAsia"/>
          <w:color w:val="auto"/>
          <w:sz w:val="24"/>
        </w:rPr>
        <w:t>）为准，需在</w:t>
      </w:r>
      <w:r>
        <w:rPr>
          <w:rFonts w:asciiTheme="minorEastAsia" w:hAnsiTheme="minorEastAsia" w:eastAsiaTheme="minorEastAsia"/>
          <w:color w:val="auto"/>
          <w:sz w:val="24"/>
        </w:rPr>
        <w:t>2年建设期内完成，后续可结合项目实施情况进行调整优化。由于镇村公交和</w:t>
      </w:r>
      <w:r>
        <w:rPr>
          <w:rFonts w:hint="eastAsia" w:asciiTheme="minorEastAsia" w:hAnsiTheme="minorEastAsia" w:eastAsiaTheme="minorEastAsia"/>
          <w:color w:val="auto"/>
          <w:sz w:val="24"/>
        </w:rPr>
        <w:t>旅游公交建设期暂时延后，具体实施</w:t>
      </w:r>
      <w:r>
        <w:rPr>
          <w:rFonts w:asciiTheme="minorEastAsia" w:hAnsiTheme="minorEastAsia" w:eastAsiaTheme="minorEastAsia"/>
          <w:color w:val="auto"/>
          <w:sz w:val="24"/>
        </w:rPr>
        <w:t>时间由东方市政府</w:t>
      </w:r>
      <w:r>
        <w:rPr>
          <w:rFonts w:hint="eastAsia" w:asciiTheme="minorEastAsia" w:hAnsiTheme="minorEastAsia" w:eastAsiaTheme="minorEastAsia"/>
          <w:color w:val="auto"/>
          <w:sz w:val="24"/>
        </w:rPr>
        <w:t>视情况</w:t>
      </w:r>
      <w:r>
        <w:rPr>
          <w:rFonts w:asciiTheme="minorEastAsia" w:hAnsiTheme="minorEastAsia" w:eastAsiaTheme="minorEastAsia"/>
          <w:color w:val="auto"/>
          <w:sz w:val="24"/>
        </w:rPr>
        <w:t>决定</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故在本次方案中暂不列入说明</w:t>
      </w:r>
      <w:r>
        <w:rPr>
          <w:rFonts w:hint="eastAsia" w:asciiTheme="minorEastAsia" w:hAnsiTheme="minorEastAsia" w:eastAsiaTheme="minorEastAsia"/>
          <w:color w:val="auto"/>
          <w:sz w:val="24"/>
        </w:rPr>
        <w:t>。</w:t>
      </w:r>
    </w:p>
    <w:p>
      <w:pP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）公交线路</w:t>
      </w:r>
    </w:p>
    <w:p>
      <w:pPr>
        <w:spacing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至2020年，东方市开通公交线路20条，总里程为534.2公里。其中城市公交线路12条，里程为175.1公里；城乡公交8条，里程为359.1公里。</w:t>
      </w:r>
    </w:p>
    <w:p>
      <w:pPr>
        <w:spacing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&lt;A&gt;城市公交</w:t>
      </w:r>
    </w:p>
    <w:p>
      <w:pPr>
        <w:pStyle w:val="48"/>
        <w:ind w:firstLine="480" w:firstLineChars="200"/>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城市公交运营12条线路，</w:t>
      </w:r>
      <w:r>
        <w:rPr>
          <w:rFonts w:hint="eastAsia" w:asciiTheme="minorEastAsia" w:hAnsiTheme="minorEastAsia" w:eastAsiaTheme="minorEastAsia"/>
          <w:color w:val="auto"/>
          <w:sz w:val="24"/>
          <w:szCs w:val="24"/>
        </w:rPr>
        <w:t>具体情况</w:t>
      </w:r>
      <w:r>
        <w:rPr>
          <w:rFonts w:asciiTheme="minorEastAsia" w:hAnsiTheme="minorEastAsia" w:eastAsiaTheme="minorEastAsia"/>
          <w:color w:val="auto"/>
          <w:sz w:val="24"/>
          <w:szCs w:val="24"/>
        </w:rPr>
        <w:t>如下</w:t>
      </w:r>
      <w:r>
        <w:rPr>
          <w:rFonts w:hint="eastAsia" w:asciiTheme="minorEastAsia" w:hAnsiTheme="minorEastAsia" w:eastAsiaTheme="minorEastAsia"/>
          <w:color w:val="auto"/>
          <w:sz w:val="24"/>
          <w:szCs w:val="24"/>
        </w:rPr>
        <w:t>：</w:t>
      </w:r>
    </w:p>
    <w:p>
      <w:pPr>
        <w:pStyle w:val="48"/>
        <w:ind w:firstLine="0"/>
        <w:rPr>
          <w:rFonts w:asciiTheme="minorEastAsia" w:hAnsiTheme="minorEastAsia" w:eastAsiaTheme="minorEastAsia"/>
          <w:color w:val="auto"/>
        </w:rPr>
      </w:pPr>
      <w:r>
        <w:rPr>
          <w:rFonts w:asciiTheme="minorEastAsia" w:hAnsiTheme="minorEastAsia" w:eastAsiaTheme="minorEastAsia"/>
          <w:color w:val="auto"/>
        </w:rPr>
        <w:pict>
          <v:shape id="_x0000_i1025" o:spt="75" type="#_x0000_t75" style="height:581.95pt;width:436.45pt;" filled="f" o:preferrelative="t" stroked="f" coordsize="21600,21600">
            <v:path/>
            <v:fill on="f" focussize="0,0"/>
            <v:stroke on="f" joinstyle="miter"/>
            <v:imagedata r:id="rId18" o:title="规划研究报告——公交附图20180112_页面_2"/>
            <o:lock v:ext="edit" aspectratio="t"/>
            <w10:wrap type="none"/>
            <w10:anchorlock/>
          </v:shape>
        </w:pict>
      </w:r>
    </w:p>
    <w:p>
      <w:pPr>
        <w:keepLines/>
        <w:spacing w:line="360" w:lineRule="auto"/>
        <w:jc w:val="center"/>
        <w:textAlignment w:val="center"/>
        <w:rPr>
          <w:rFonts w:asciiTheme="minorEastAsia" w:hAnsiTheme="minorEastAsia" w:eastAsiaTheme="minorEastAsia"/>
          <w:bCs/>
          <w:color w:val="auto"/>
          <w:szCs w:val="28"/>
        </w:rPr>
      </w:pPr>
      <w:r>
        <w:rPr>
          <w:rFonts w:hint="eastAsia" w:asciiTheme="minorEastAsia" w:hAnsiTheme="minorEastAsia" w:eastAsiaTheme="minorEastAsia"/>
          <w:bCs/>
          <w:color w:val="auto"/>
          <w:szCs w:val="28"/>
        </w:rPr>
        <w:t>图</w:t>
      </w:r>
      <w:r>
        <w:rPr>
          <w:rFonts w:asciiTheme="minorEastAsia" w:hAnsiTheme="minorEastAsia" w:eastAsiaTheme="minorEastAsia"/>
          <w:bCs/>
          <w:color w:val="auto"/>
          <w:szCs w:val="28"/>
        </w:rPr>
        <w:t xml:space="preserve">1.1 </w:t>
      </w:r>
      <w:r>
        <w:rPr>
          <w:rFonts w:hint="eastAsia" w:asciiTheme="minorEastAsia" w:hAnsiTheme="minorEastAsia" w:eastAsiaTheme="minorEastAsia"/>
          <w:bCs/>
          <w:color w:val="auto"/>
          <w:szCs w:val="28"/>
        </w:rPr>
        <w:t>东方市</w:t>
      </w:r>
      <w:r>
        <w:rPr>
          <w:rFonts w:asciiTheme="minorEastAsia" w:hAnsiTheme="minorEastAsia" w:eastAsiaTheme="minorEastAsia"/>
          <w:bCs/>
          <w:color w:val="auto"/>
          <w:szCs w:val="28"/>
        </w:rPr>
        <w:t>城市公交线网近期规划图</w:t>
      </w:r>
    </w:p>
    <w:p>
      <w:pPr>
        <w:pStyle w:val="3"/>
        <w:spacing w:line="360" w:lineRule="auto"/>
        <w:ind w:firstLine="641"/>
        <w:rPr>
          <w:rFonts w:asciiTheme="minorEastAsia" w:hAnsiTheme="minorEastAsia" w:eastAsiaTheme="minorEastAsia"/>
          <w:bCs w:val="0"/>
          <w:color w:val="auto"/>
          <w:szCs w:val="28"/>
        </w:rPr>
      </w:pPr>
      <w:r>
        <w:rPr>
          <w:rFonts w:asciiTheme="minorEastAsia" w:hAnsiTheme="minorEastAsia" w:eastAsiaTheme="minorEastAsia"/>
          <w:color w:val="auto"/>
        </w:rPr>
        <w:br w:type="page"/>
      </w:r>
      <w:r>
        <w:rPr>
          <w:rFonts w:asciiTheme="minorEastAsia" w:hAnsiTheme="minorEastAsia" w:eastAsiaTheme="minorEastAsia"/>
          <w:bCs w:val="0"/>
          <w:color w:val="auto"/>
          <w:szCs w:val="28"/>
        </w:rPr>
        <w:t>表1.1  城市公交线路</w:t>
      </w:r>
      <w:r>
        <w:rPr>
          <w:rFonts w:hint="eastAsia" w:asciiTheme="minorEastAsia" w:hAnsiTheme="minorEastAsia" w:eastAsiaTheme="minorEastAsia"/>
          <w:bCs w:val="0"/>
          <w:color w:val="auto"/>
          <w:szCs w:val="28"/>
        </w:rPr>
        <w:t>基本</w:t>
      </w:r>
      <w:r>
        <w:rPr>
          <w:rFonts w:asciiTheme="minorEastAsia" w:hAnsiTheme="minorEastAsia" w:eastAsiaTheme="minorEastAsia"/>
          <w:bCs w:val="0"/>
          <w:color w:val="auto"/>
          <w:szCs w:val="28"/>
        </w:rPr>
        <w:t>情况表</w:t>
      </w:r>
    </w:p>
    <w:tbl>
      <w:tblPr>
        <w:tblStyle w:val="23"/>
        <w:tblW w:w="10036" w:type="dxa"/>
        <w:jc w:val="center"/>
        <w:tblInd w:w="-627" w:type="dxa"/>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1094"/>
        <w:gridCol w:w="838"/>
        <w:gridCol w:w="1263"/>
        <w:gridCol w:w="5325"/>
      </w:tblGrid>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线路编号</w:t>
            </w:r>
          </w:p>
        </w:tc>
        <w:tc>
          <w:tcPr>
            <w:tcW w:w="1094" w:type="dxa"/>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首末站</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bCs/>
                <w:color w:val="auto"/>
                <w:kern w:val="0"/>
              </w:rPr>
              <w:t>优化类型</w:t>
            </w:r>
          </w:p>
        </w:tc>
        <w:tc>
          <w:tcPr>
            <w:tcW w:w="1263" w:type="dxa"/>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线路长度（km）</w:t>
            </w:r>
          </w:p>
        </w:tc>
        <w:tc>
          <w:tcPr>
            <w:tcW w:w="5325" w:type="dxa"/>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途经道路</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101</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鱼鳞洲—新东方医院</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11.6</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康明路→东方大道→三角公园→东海路→解放西路→边贸城→鱼鳞洲</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102</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滨海北路—动车站</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10.8</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动车站→十字路→东方大道→东海路→解放西路→友谊路→滨海北路</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103</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动车站—滨海北路</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19.7</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滨海北路→滨海路→友谊路→解放西路→万福隆→解放东路→动车站→下红兴村（区间首末站）</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104</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动车站—鱼鳞洲</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保留</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动车站→十字路→东方大道→三角公园→东海路→解放西路→边贸城→鱼鳞洲</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105</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鱼鳞洲—北黎村</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10.4</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北黎村→S218→琼西路→东海路→解放西路→边贸城→鱼鳞洲</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 xml:space="preserve">106 </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动车站—鱼鳞洲</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10.6</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动车站→海榆西线→东方大道→东海路→解放西路→人民路→东风路→工业大道→解放西路→边贸城→鱼鳞洲</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107</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动车站—鱼鳞洲</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12.5</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动车站→解放东路→三环路→东方大道→岛西路→东海路→解放西路→边贸城→鱼鳞洲</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108</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滨海北路—北黎村</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新增</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20.6</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滨海北路→滨海路→东方大道→S218→北黎村→唐马园村、老官村、红草村（区间首末站）</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109</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新墩—动车站</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12.6</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动车站→解放东路→三环路→东方大道→二环北路→滨海北路→023乡道→新墩</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110</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新墩—动车站</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17.5</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动车站→海榆西线→永安路→东府路→解放西路→友谊北路→滨海路→港门村→琼西路→新墩</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111</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新东方医院—鱼鳞洲</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新增</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14.3</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鱼鳞洲→边贸城→鳞洲路→工业大道→利民路→解放路→福民路→东方大道→康明路→新东方医院</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112</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动车站—福久村</w:t>
            </w:r>
          </w:p>
        </w:tc>
        <w:tc>
          <w:tcPr>
            <w:tcW w:w="838"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新增</w:t>
            </w: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24.5</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福久村→海榆西线→工业三横路→疏港大道→二环南路海榆西线→动车站→青山村、老欧村（区间首末站）</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16"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合计</w:t>
            </w:r>
          </w:p>
        </w:tc>
        <w:tc>
          <w:tcPr>
            <w:tcW w:w="109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　</w:t>
            </w:r>
          </w:p>
        </w:tc>
        <w:tc>
          <w:tcPr>
            <w:tcW w:w="838" w:type="dxa"/>
          </w:tcPr>
          <w:p>
            <w:pPr>
              <w:spacing w:line="360" w:lineRule="auto"/>
              <w:ind w:firstLine="480"/>
              <w:rPr>
                <w:rFonts w:asciiTheme="minorEastAsia" w:hAnsiTheme="minorEastAsia" w:eastAsiaTheme="minorEastAsia"/>
                <w:color w:val="auto"/>
                <w:kern w:val="0"/>
              </w:rPr>
            </w:pPr>
          </w:p>
        </w:tc>
        <w:tc>
          <w:tcPr>
            <w:tcW w:w="1263"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175.1　</w:t>
            </w:r>
          </w:p>
        </w:tc>
        <w:tc>
          <w:tcPr>
            <w:tcW w:w="532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　</w:t>
            </w:r>
          </w:p>
        </w:tc>
      </w:tr>
    </w:tbl>
    <w:p>
      <w:pPr>
        <w:spacing w:line="360" w:lineRule="auto"/>
        <w:rPr>
          <w:rFonts w:asciiTheme="minorEastAsia" w:hAnsiTheme="minorEastAsia" w:eastAsiaTheme="minorEastAsia"/>
          <w:color w:val="auto"/>
          <w:sz w:val="32"/>
          <w:szCs w:val="32"/>
        </w:rPr>
      </w:pPr>
    </w:p>
    <w:p>
      <w:pPr>
        <w:pStyle w:val="3"/>
        <w:spacing w:before="0" w:after="0" w:line="360" w:lineRule="auto"/>
        <w:ind w:firstLine="641"/>
        <w:rPr>
          <w:rFonts w:asciiTheme="minorEastAsia" w:hAnsiTheme="minorEastAsia" w:eastAsiaTheme="minorEastAsia"/>
          <w:color w:val="auto"/>
        </w:rPr>
      </w:pPr>
      <w:r>
        <w:rPr>
          <w:rFonts w:asciiTheme="minorEastAsia" w:hAnsiTheme="minorEastAsia" w:eastAsiaTheme="minorEastAsia"/>
          <w:color w:val="auto"/>
        </w:rPr>
        <w:br w:type="page"/>
      </w:r>
      <w:r>
        <w:rPr>
          <w:rFonts w:asciiTheme="minorEastAsia" w:hAnsiTheme="minorEastAsia" w:eastAsiaTheme="minorEastAsia"/>
          <w:color w:val="auto"/>
        </w:rPr>
        <w:t>&lt;B&gt;城乡公交</w:t>
      </w:r>
    </w:p>
    <w:p>
      <w:pPr>
        <w:spacing w:line="360" w:lineRule="auto"/>
        <w:ind w:firstLine="640"/>
        <w:rPr>
          <w:rFonts w:asciiTheme="minorEastAsia" w:hAnsiTheme="minorEastAsia" w:eastAsiaTheme="minorEastAsia"/>
          <w:color w:val="auto"/>
          <w:sz w:val="32"/>
          <w:szCs w:val="32"/>
        </w:rPr>
      </w:pPr>
      <w:r>
        <w:rPr>
          <w:rFonts w:asciiTheme="minorEastAsia" w:hAnsiTheme="minorEastAsia" w:eastAsiaTheme="minorEastAsia"/>
          <w:color w:val="auto"/>
          <w:sz w:val="32"/>
          <w:szCs w:val="32"/>
        </w:rPr>
        <w:t>城</w:t>
      </w:r>
      <w:r>
        <w:rPr>
          <w:rFonts w:hint="eastAsia" w:asciiTheme="minorEastAsia" w:hAnsiTheme="minorEastAsia" w:eastAsiaTheme="minorEastAsia"/>
          <w:color w:val="auto"/>
          <w:sz w:val="32"/>
          <w:szCs w:val="32"/>
        </w:rPr>
        <w:t>乡</w:t>
      </w:r>
      <w:r>
        <w:rPr>
          <w:rFonts w:asciiTheme="minorEastAsia" w:hAnsiTheme="minorEastAsia" w:eastAsiaTheme="minorEastAsia"/>
          <w:color w:val="auto"/>
          <w:sz w:val="32"/>
          <w:szCs w:val="32"/>
        </w:rPr>
        <w:t>公交运营8条线路，</w:t>
      </w:r>
      <w:r>
        <w:rPr>
          <w:rFonts w:hint="eastAsia" w:asciiTheme="minorEastAsia" w:hAnsiTheme="minorEastAsia" w:eastAsiaTheme="minorEastAsia"/>
          <w:color w:val="auto"/>
          <w:sz w:val="32"/>
          <w:szCs w:val="32"/>
        </w:rPr>
        <w:t>具体情况如下：</w:t>
      </w:r>
    </w:p>
    <w:p>
      <w:pPr>
        <w:pStyle w:val="48"/>
        <w:ind w:firstLine="0"/>
        <w:jc w:val="center"/>
        <w:rPr>
          <w:rFonts w:asciiTheme="minorEastAsia" w:hAnsiTheme="minorEastAsia" w:eastAsiaTheme="minorEastAsia"/>
          <w:color w:val="auto"/>
        </w:rPr>
      </w:pPr>
      <w:r>
        <w:rPr>
          <w:rFonts w:asciiTheme="minorEastAsia" w:hAnsiTheme="minorEastAsia" w:eastAsiaTheme="minorEastAsia"/>
          <w:color w:val="auto"/>
        </w:rPr>
        <w:pict>
          <v:shape id="_x0000_i1026" o:spt="75" type="#_x0000_t75" style="height:564.1pt;width:399.35pt;" filled="f" o:preferrelative="t" stroked="f" coordsize="21600,21600">
            <v:path/>
            <v:fill on="f" focussize="0,0"/>
            <v:stroke on="f" joinstyle="miter"/>
            <v:imagedata r:id="rId19" o:title="3-城乡公交现网近期规划图"/>
            <o:lock v:ext="edit" aspectratio="t"/>
            <w10:wrap type="none"/>
            <w10:anchorlock/>
          </v:shape>
        </w:pict>
      </w:r>
    </w:p>
    <w:p>
      <w:pPr>
        <w:keepLines/>
        <w:spacing w:line="360" w:lineRule="auto"/>
        <w:jc w:val="center"/>
        <w:textAlignment w:val="center"/>
        <w:rPr>
          <w:rFonts w:asciiTheme="minorEastAsia" w:hAnsiTheme="minorEastAsia" w:eastAsiaTheme="minorEastAsia"/>
          <w:bCs/>
          <w:color w:val="auto"/>
          <w:szCs w:val="28"/>
        </w:rPr>
      </w:pPr>
      <w:r>
        <w:rPr>
          <w:rFonts w:hint="eastAsia" w:asciiTheme="minorEastAsia" w:hAnsiTheme="minorEastAsia" w:eastAsiaTheme="minorEastAsia"/>
          <w:bCs/>
          <w:color w:val="auto"/>
          <w:szCs w:val="28"/>
        </w:rPr>
        <w:t>图</w:t>
      </w:r>
      <w:r>
        <w:rPr>
          <w:rFonts w:asciiTheme="minorEastAsia" w:hAnsiTheme="minorEastAsia" w:eastAsiaTheme="minorEastAsia"/>
          <w:bCs/>
          <w:color w:val="auto"/>
          <w:szCs w:val="28"/>
        </w:rPr>
        <w:t xml:space="preserve">1.2 </w:t>
      </w:r>
      <w:r>
        <w:rPr>
          <w:rFonts w:hint="eastAsia" w:asciiTheme="minorEastAsia" w:hAnsiTheme="minorEastAsia" w:eastAsiaTheme="minorEastAsia"/>
          <w:bCs/>
          <w:color w:val="auto"/>
          <w:szCs w:val="28"/>
        </w:rPr>
        <w:t>东方市</w:t>
      </w:r>
      <w:r>
        <w:rPr>
          <w:rFonts w:asciiTheme="minorEastAsia" w:hAnsiTheme="minorEastAsia" w:eastAsiaTheme="minorEastAsia"/>
          <w:bCs/>
          <w:color w:val="auto"/>
          <w:szCs w:val="28"/>
        </w:rPr>
        <w:t>城</w:t>
      </w:r>
      <w:r>
        <w:rPr>
          <w:rFonts w:hint="eastAsia" w:asciiTheme="minorEastAsia" w:hAnsiTheme="minorEastAsia" w:eastAsiaTheme="minorEastAsia"/>
          <w:bCs/>
          <w:color w:val="auto"/>
          <w:szCs w:val="28"/>
        </w:rPr>
        <w:t>乡</w:t>
      </w:r>
      <w:r>
        <w:rPr>
          <w:rFonts w:asciiTheme="minorEastAsia" w:hAnsiTheme="minorEastAsia" w:eastAsiaTheme="minorEastAsia"/>
          <w:bCs/>
          <w:color w:val="auto"/>
          <w:szCs w:val="28"/>
        </w:rPr>
        <w:t>公交线网近期规划图</w:t>
      </w:r>
      <w:r>
        <w:rPr>
          <w:rFonts w:asciiTheme="minorEastAsia" w:hAnsiTheme="minorEastAsia" w:eastAsiaTheme="minorEastAsia"/>
          <w:bCs/>
          <w:color w:val="auto"/>
          <w:szCs w:val="28"/>
        </w:rPr>
        <w:br w:type="page"/>
      </w:r>
    </w:p>
    <w:p>
      <w:pPr>
        <w:keepLines/>
        <w:spacing w:line="360" w:lineRule="auto"/>
        <w:jc w:val="center"/>
        <w:textAlignment w:val="center"/>
        <w:rPr>
          <w:rFonts w:asciiTheme="minorEastAsia" w:hAnsiTheme="minorEastAsia" w:eastAsiaTheme="minorEastAsia"/>
          <w:b/>
          <w:bCs/>
          <w:color w:val="auto"/>
          <w:szCs w:val="28"/>
        </w:rPr>
      </w:pPr>
      <w:r>
        <w:rPr>
          <w:rFonts w:asciiTheme="minorEastAsia" w:hAnsiTheme="minorEastAsia" w:eastAsiaTheme="minorEastAsia"/>
          <w:b/>
          <w:bCs/>
          <w:color w:val="auto"/>
          <w:szCs w:val="28"/>
        </w:rPr>
        <w:t>表1.2  城乡公交线路</w:t>
      </w:r>
      <w:r>
        <w:rPr>
          <w:rFonts w:hint="eastAsia" w:asciiTheme="minorEastAsia" w:hAnsiTheme="minorEastAsia" w:eastAsiaTheme="minorEastAsia"/>
          <w:b/>
          <w:bCs/>
          <w:color w:val="auto"/>
          <w:szCs w:val="28"/>
        </w:rPr>
        <w:t>基本</w:t>
      </w:r>
      <w:r>
        <w:rPr>
          <w:rFonts w:asciiTheme="minorEastAsia" w:hAnsiTheme="minorEastAsia" w:eastAsiaTheme="minorEastAsia"/>
          <w:b/>
          <w:bCs/>
          <w:color w:val="auto"/>
          <w:szCs w:val="28"/>
        </w:rPr>
        <w:t>情况表</w:t>
      </w:r>
    </w:p>
    <w:tbl>
      <w:tblPr>
        <w:tblStyle w:val="23"/>
        <w:tblW w:w="8364" w:type="dxa"/>
        <w:jc w:val="center"/>
        <w:tblInd w:w="0" w:type="dxa"/>
        <w:tblLayout w:type="fixed"/>
        <w:tblCellMar>
          <w:top w:w="0" w:type="dxa"/>
          <w:left w:w="108" w:type="dxa"/>
          <w:bottom w:w="0" w:type="dxa"/>
          <w:right w:w="108" w:type="dxa"/>
        </w:tblCellMar>
      </w:tblPr>
      <w:tblGrid>
        <w:gridCol w:w="1575"/>
        <w:gridCol w:w="1247"/>
        <w:gridCol w:w="1503"/>
        <w:gridCol w:w="1503"/>
        <w:gridCol w:w="2536"/>
      </w:tblGrid>
      <w:tr>
        <w:tblPrEx>
          <w:tblLayout w:type="fixed"/>
          <w:tblCellMar>
            <w:top w:w="0" w:type="dxa"/>
            <w:left w:w="108" w:type="dxa"/>
            <w:bottom w:w="0" w:type="dxa"/>
            <w:right w:w="108" w:type="dxa"/>
          </w:tblCellMar>
        </w:tblPrEx>
        <w:trPr>
          <w:trHeight w:val="20" w:hRule="atLeast"/>
          <w:jc w:val="center"/>
        </w:trPr>
        <w:tc>
          <w:tcPr>
            <w:tcW w:w="1575" w:type="dxa"/>
            <w:tcBorders>
              <w:top w:val="double" w:color="auto" w:sz="6" w:space="0"/>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线路名称</w:t>
            </w:r>
          </w:p>
        </w:tc>
        <w:tc>
          <w:tcPr>
            <w:tcW w:w="1247"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首末站</w:t>
            </w:r>
          </w:p>
        </w:tc>
        <w:tc>
          <w:tcPr>
            <w:tcW w:w="1503"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优化类型</w:t>
            </w:r>
          </w:p>
        </w:tc>
        <w:tc>
          <w:tcPr>
            <w:tcW w:w="1503" w:type="dxa"/>
            <w:tcBorders>
              <w:top w:val="double" w:color="auto" w:sz="6" w:space="0"/>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线路长度（km）</w:t>
            </w:r>
          </w:p>
        </w:tc>
        <w:tc>
          <w:tcPr>
            <w:tcW w:w="2536" w:type="dxa"/>
            <w:tcBorders>
              <w:top w:val="double" w:color="auto" w:sz="6" w:space="0"/>
              <w:left w:val="single" w:color="auto" w:sz="4" w:space="0"/>
              <w:bottom w:val="single" w:color="auto" w:sz="4" w:space="0"/>
              <w:right w:val="double" w:color="auto" w:sz="6"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途经道路</w:t>
            </w:r>
          </w:p>
        </w:tc>
      </w:tr>
      <w:tr>
        <w:tblPrEx>
          <w:tblLayout w:type="fixed"/>
          <w:tblCellMar>
            <w:top w:w="0" w:type="dxa"/>
            <w:left w:w="108" w:type="dxa"/>
            <w:bottom w:w="0" w:type="dxa"/>
            <w:right w:w="108" w:type="dxa"/>
          </w:tblCellMar>
        </w:tblPrEx>
        <w:trPr>
          <w:trHeight w:val="20" w:hRule="atLeast"/>
          <w:jc w:val="center"/>
        </w:trPr>
        <w:tc>
          <w:tcPr>
            <w:tcW w:w="1575"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201</w:t>
            </w:r>
          </w:p>
        </w:tc>
        <w:tc>
          <w:tcPr>
            <w:tcW w:w="124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八所-板桥</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45.9</w:t>
            </w:r>
          </w:p>
        </w:tc>
        <w:tc>
          <w:tcPr>
            <w:tcW w:w="2536" w:type="dxa"/>
            <w:tcBorders>
              <w:top w:val="nil"/>
              <w:left w:val="single" w:color="auto" w:sz="4" w:space="0"/>
              <w:bottom w:val="single" w:color="auto" w:sz="4" w:space="0"/>
              <w:right w:val="double" w:color="auto" w:sz="6"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海榆西线</w:t>
            </w:r>
          </w:p>
        </w:tc>
      </w:tr>
      <w:tr>
        <w:tblPrEx>
          <w:tblLayout w:type="fixed"/>
          <w:tblCellMar>
            <w:top w:w="0" w:type="dxa"/>
            <w:left w:w="108" w:type="dxa"/>
            <w:bottom w:w="0" w:type="dxa"/>
            <w:right w:w="108" w:type="dxa"/>
          </w:tblCellMar>
        </w:tblPrEx>
        <w:trPr>
          <w:trHeight w:val="20" w:hRule="atLeast"/>
          <w:jc w:val="center"/>
        </w:trPr>
        <w:tc>
          <w:tcPr>
            <w:tcW w:w="1575"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202</w:t>
            </w:r>
          </w:p>
        </w:tc>
        <w:tc>
          <w:tcPr>
            <w:tcW w:w="124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八所-公爱农场</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48.5</w:t>
            </w:r>
          </w:p>
        </w:tc>
        <w:tc>
          <w:tcPr>
            <w:tcW w:w="2536" w:type="dxa"/>
            <w:tcBorders>
              <w:top w:val="nil"/>
              <w:left w:val="single" w:color="auto" w:sz="4" w:space="0"/>
              <w:bottom w:val="single" w:color="auto" w:sz="4" w:space="0"/>
              <w:right w:val="double" w:color="auto" w:sz="6"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海榆西线→感城县道</w:t>
            </w:r>
          </w:p>
        </w:tc>
      </w:tr>
      <w:tr>
        <w:tblPrEx>
          <w:tblLayout w:type="fixed"/>
          <w:tblCellMar>
            <w:top w:w="0" w:type="dxa"/>
            <w:left w:w="108" w:type="dxa"/>
            <w:bottom w:w="0" w:type="dxa"/>
            <w:right w:w="108" w:type="dxa"/>
          </w:tblCellMar>
        </w:tblPrEx>
        <w:trPr>
          <w:trHeight w:val="20" w:hRule="atLeast"/>
          <w:jc w:val="center"/>
        </w:trPr>
        <w:tc>
          <w:tcPr>
            <w:tcW w:w="1575"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203</w:t>
            </w:r>
          </w:p>
        </w:tc>
        <w:tc>
          <w:tcPr>
            <w:tcW w:w="124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八所-玉雄</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40.5</w:t>
            </w:r>
          </w:p>
        </w:tc>
        <w:tc>
          <w:tcPr>
            <w:tcW w:w="2536" w:type="dxa"/>
            <w:tcBorders>
              <w:top w:val="nil"/>
              <w:left w:val="single" w:color="auto" w:sz="4" w:space="0"/>
              <w:bottom w:val="single" w:color="auto" w:sz="4" w:space="0"/>
              <w:right w:val="double" w:color="auto" w:sz="6"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滨海路→天新线</w:t>
            </w:r>
          </w:p>
        </w:tc>
      </w:tr>
      <w:tr>
        <w:tblPrEx>
          <w:tblLayout w:type="fixed"/>
          <w:tblCellMar>
            <w:top w:w="0" w:type="dxa"/>
            <w:left w:w="108" w:type="dxa"/>
            <w:bottom w:w="0" w:type="dxa"/>
            <w:right w:w="108" w:type="dxa"/>
          </w:tblCellMar>
        </w:tblPrEx>
        <w:trPr>
          <w:trHeight w:val="20" w:hRule="atLeast"/>
          <w:jc w:val="center"/>
        </w:trPr>
        <w:tc>
          <w:tcPr>
            <w:tcW w:w="1575"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204</w:t>
            </w:r>
          </w:p>
        </w:tc>
        <w:tc>
          <w:tcPr>
            <w:tcW w:w="124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八所-英显</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26.9</w:t>
            </w:r>
          </w:p>
        </w:tc>
        <w:tc>
          <w:tcPr>
            <w:tcW w:w="2536" w:type="dxa"/>
            <w:tcBorders>
              <w:top w:val="nil"/>
              <w:left w:val="single" w:color="auto" w:sz="4" w:space="0"/>
              <w:bottom w:val="single" w:color="auto" w:sz="4" w:space="0"/>
              <w:right w:val="double" w:color="auto" w:sz="6"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滨海路→英八线</w:t>
            </w:r>
          </w:p>
        </w:tc>
      </w:tr>
      <w:tr>
        <w:tblPrEx>
          <w:tblLayout w:type="fixed"/>
          <w:tblCellMar>
            <w:top w:w="0" w:type="dxa"/>
            <w:left w:w="108" w:type="dxa"/>
            <w:bottom w:w="0" w:type="dxa"/>
            <w:right w:w="108" w:type="dxa"/>
          </w:tblCellMar>
        </w:tblPrEx>
        <w:trPr>
          <w:trHeight w:val="20" w:hRule="atLeast"/>
          <w:jc w:val="center"/>
        </w:trPr>
        <w:tc>
          <w:tcPr>
            <w:tcW w:w="1575"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205</w:t>
            </w:r>
          </w:p>
        </w:tc>
        <w:tc>
          <w:tcPr>
            <w:tcW w:w="124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八所-红泉农场</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36.5</w:t>
            </w:r>
          </w:p>
        </w:tc>
        <w:tc>
          <w:tcPr>
            <w:tcW w:w="2536" w:type="dxa"/>
            <w:tcBorders>
              <w:top w:val="nil"/>
              <w:left w:val="single" w:color="auto" w:sz="4" w:space="0"/>
              <w:bottom w:val="single" w:color="auto" w:sz="4" w:space="0"/>
              <w:right w:val="double" w:color="auto" w:sz="6"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海榆西线</w:t>
            </w:r>
          </w:p>
        </w:tc>
      </w:tr>
      <w:tr>
        <w:tblPrEx>
          <w:tblLayout w:type="fixed"/>
          <w:tblCellMar>
            <w:top w:w="0" w:type="dxa"/>
            <w:left w:w="108" w:type="dxa"/>
            <w:bottom w:w="0" w:type="dxa"/>
            <w:right w:w="108" w:type="dxa"/>
          </w:tblCellMar>
        </w:tblPrEx>
        <w:trPr>
          <w:trHeight w:val="20" w:hRule="atLeast"/>
          <w:jc w:val="center"/>
        </w:trPr>
        <w:tc>
          <w:tcPr>
            <w:tcW w:w="1575"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206</w:t>
            </w:r>
          </w:p>
        </w:tc>
        <w:tc>
          <w:tcPr>
            <w:tcW w:w="124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八所-东河</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44.3</w:t>
            </w:r>
          </w:p>
        </w:tc>
        <w:tc>
          <w:tcPr>
            <w:tcW w:w="2536" w:type="dxa"/>
            <w:tcBorders>
              <w:top w:val="nil"/>
              <w:left w:val="single" w:color="auto" w:sz="4" w:space="0"/>
              <w:bottom w:val="single" w:color="auto" w:sz="4" w:space="0"/>
              <w:right w:val="double" w:color="auto" w:sz="6"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海榆西线→天新线</w:t>
            </w:r>
          </w:p>
        </w:tc>
      </w:tr>
      <w:tr>
        <w:tblPrEx>
          <w:tblLayout w:type="fixed"/>
          <w:tblCellMar>
            <w:top w:w="0" w:type="dxa"/>
            <w:left w:w="108" w:type="dxa"/>
            <w:bottom w:w="0" w:type="dxa"/>
            <w:right w:w="108" w:type="dxa"/>
          </w:tblCellMar>
        </w:tblPrEx>
        <w:trPr>
          <w:trHeight w:val="20" w:hRule="atLeast"/>
          <w:jc w:val="center"/>
        </w:trPr>
        <w:tc>
          <w:tcPr>
            <w:tcW w:w="1575"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207</w:t>
            </w:r>
          </w:p>
        </w:tc>
        <w:tc>
          <w:tcPr>
            <w:tcW w:w="124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八所-公爱村</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55.7</w:t>
            </w:r>
          </w:p>
        </w:tc>
        <w:tc>
          <w:tcPr>
            <w:tcW w:w="2536" w:type="dxa"/>
            <w:tcBorders>
              <w:top w:val="nil"/>
              <w:left w:val="single" w:color="auto" w:sz="4" w:space="0"/>
              <w:bottom w:val="single" w:color="auto" w:sz="4" w:space="0"/>
              <w:right w:val="double" w:color="auto" w:sz="6"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海榆西线→天新线</w:t>
            </w:r>
          </w:p>
        </w:tc>
      </w:tr>
      <w:tr>
        <w:tblPrEx>
          <w:tblLayout w:type="fixed"/>
          <w:tblCellMar>
            <w:top w:w="0" w:type="dxa"/>
            <w:left w:w="108" w:type="dxa"/>
            <w:bottom w:w="0" w:type="dxa"/>
            <w:right w:w="108" w:type="dxa"/>
          </w:tblCellMar>
        </w:tblPrEx>
        <w:trPr>
          <w:trHeight w:val="20" w:hRule="atLeast"/>
          <w:jc w:val="center"/>
        </w:trPr>
        <w:tc>
          <w:tcPr>
            <w:tcW w:w="1575"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208</w:t>
            </w:r>
          </w:p>
        </w:tc>
        <w:tc>
          <w:tcPr>
            <w:tcW w:w="124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八所-江边</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调整</w:t>
            </w:r>
          </w:p>
        </w:tc>
        <w:tc>
          <w:tcPr>
            <w:tcW w:w="150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60.8</w:t>
            </w:r>
          </w:p>
        </w:tc>
        <w:tc>
          <w:tcPr>
            <w:tcW w:w="2536" w:type="dxa"/>
            <w:tcBorders>
              <w:top w:val="nil"/>
              <w:left w:val="single" w:color="auto" w:sz="4" w:space="0"/>
              <w:bottom w:val="single" w:color="auto" w:sz="4" w:space="0"/>
              <w:right w:val="double" w:color="auto" w:sz="6"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海榆西线→天新线</w:t>
            </w:r>
          </w:p>
        </w:tc>
      </w:tr>
      <w:tr>
        <w:tblPrEx>
          <w:tblLayout w:type="fixed"/>
          <w:tblCellMar>
            <w:top w:w="0" w:type="dxa"/>
            <w:left w:w="108" w:type="dxa"/>
            <w:bottom w:w="0" w:type="dxa"/>
            <w:right w:w="108" w:type="dxa"/>
          </w:tblCellMar>
        </w:tblPrEx>
        <w:trPr>
          <w:trHeight w:val="20" w:hRule="atLeast"/>
          <w:jc w:val="center"/>
        </w:trPr>
        <w:tc>
          <w:tcPr>
            <w:tcW w:w="1575" w:type="dxa"/>
            <w:tcBorders>
              <w:top w:val="nil"/>
              <w:left w:val="double" w:color="auto" w:sz="6" w:space="0"/>
              <w:bottom w:val="double" w:color="auto" w:sz="6"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合计</w:t>
            </w:r>
          </w:p>
        </w:tc>
        <w:tc>
          <w:tcPr>
            <w:tcW w:w="1247" w:type="dxa"/>
            <w:tcBorders>
              <w:top w:val="nil"/>
              <w:left w:val="nil"/>
              <w:bottom w:val="double" w:color="auto" w:sz="6"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p>
        </w:tc>
        <w:tc>
          <w:tcPr>
            <w:tcW w:w="1503" w:type="dxa"/>
            <w:tcBorders>
              <w:top w:val="nil"/>
              <w:left w:val="nil"/>
              <w:bottom w:val="double" w:color="auto" w:sz="6"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p>
        </w:tc>
        <w:tc>
          <w:tcPr>
            <w:tcW w:w="1503" w:type="dxa"/>
            <w:tcBorders>
              <w:top w:val="nil"/>
              <w:left w:val="nil"/>
              <w:bottom w:val="double" w:color="auto" w:sz="6"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359.1</w:t>
            </w:r>
          </w:p>
        </w:tc>
        <w:tc>
          <w:tcPr>
            <w:tcW w:w="2536" w:type="dxa"/>
            <w:tcBorders>
              <w:top w:val="nil"/>
              <w:left w:val="single" w:color="auto" w:sz="4" w:space="0"/>
              <w:bottom w:val="double" w:color="auto" w:sz="6" w:space="0"/>
              <w:right w:val="double" w:color="auto" w:sz="6"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p>
        </w:tc>
      </w:tr>
    </w:tbl>
    <w:p>
      <w:pPr>
        <w:spacing w:line="360" w:lineRule="auto"/>
        <w:ind w:firstLine="641"/>
        <w:outlineLvl w:val="3"/>
        <w:rPr>
          <w:rFonts w:asciiTheme="minorEastAsia" w:hAnsiTheme="minorEastAsia" w:eastAsiaTheme="minorEastAsia"/>
          <w:color w:val="auto"/>
          <w:sz w:val="24"/>
        </w:rPr>
      </w:pPr>
      <w:r>
        <w:rPr>
          <w:rFonts w:asciiTheme="minorEastAsia" w:hAnsiTheme="minorEastAsia" w:eastAsiaTheme="minorEastAsia"/>
          <w:color w:val="auto"/>
          <w:sz w:val="24"/>
        </w:rPr>
        <w:t>（2）车辆购置</w:t>
      </w:r>
    </w:p>
    <w:p>
      <w:pPr>
        <w:spacing w:line="360" w:lineRule="auto"/>
        <w:ind w:firstLine="641"/>
        <w:rPr>
          <w:rFonts w:asciiTheme="minorEastAsia" w:hAnsiTheme="minorEastAsia" w:eastAsiaTheme="minorEastAsia"/>
          <w:color w:val="auto"/>
          <w:sz w:val="24"/>
        </w:rPr>
      </w:pPr>
      <w:r>
        <w:rPr>
          <w:rFonts w:hint="eastAsia" w:asciiTheme="minorEastAsia" w:hAnsiTheme="minorEastAsia" w:eastAsiaTheme="minorEastAsia"/>
          <w:color w:val="auto"/>
          <w:sz w:val="24"/>
        </w:rPr>
        <w:t>为保证公交线路的班次的发班要求，满足城乡居民出行需求，</w:t>
      </w:r>
      <w:r>
        <w:rPr>
          <w:rFonts w:asciiTheme="minorEastAsia" w:hAnsiTheme="minorEastAsia" w:eastAsiaTheme="minorEastAsia"/>
          <w:color w:val="auto"/>
          <w:sz w:val="24"/>
        </w:rPr>
        <w:t>根据公交运力规划，</w:t>
      </w:r>
      <w:r>
        <w:rPr>
          <w:rFonts w:hint="eastAsia" w:asciiTheme="minorEastAsia" w:hAnsiTheme="minorEastAsia" w:eastAsiaTheme="minorEastAsia"/>
          <w:color w:val="auto"/>
          <w:sz w:val="24"/>
        </w:rPr>
        <w:t>结合</w:t>
      </w:r>
      <w:r>
        <w:rPr>
          <w:rFonts w:asciiTheme="minorEastAsia" w:hAnsiTheme="minorEastAsia" w:eastAsiaTheme="minorEastAsia"/>
          <w:color w:val="auto"/>
          <w:sz w:val="24"/>
        </w:rPr>
        <w:t>东方市</w:t>
      </w:r>
      <w:r>
        <w:rPr>
          <w:rFonts w:hint="eastAsia" w:asciiTheme="minorEastAsia" w:hAnsiTheme="minorEastAsia" w:eastAsiaTheme="minorEastAsia"/>
          <w:color w:val="auto"/>
          <w:sz w:val="24"/>
        </w:rPr>
        <w:t>近期</w:t>
      </w:r>
      <w:r>
        <w:rPr>
          <w:rFonts w:asciiTheme="minorEastAsia" w:hAnsiTheme="minorEastAsia" w:eastAsiaTheme="minorEastAsia"/>
          <w:color w:val="auto"/>
          <w:sz w:val="24"/>
        </w:rPr>
        <w:t>城乡客运</w:t>
      </w:r>
      <w:r>
        <w:rPr>
          <w:rFonts w:hint="eastAsia" w:asciiTheme="minorEastAsia" w:hAnsiTheme="minorEastAsia" w:eastAsiaTheme="minorEastAsia"/>
          <w:color w:val="auto"/>
          <w:sz w:val="24"/>
        </w:rPr>
        <w:t>实际</w:t>
      </w:r>
      <w:r>
        <w:rPr>
          <w:rFonts w:asciiTheme="minorEastAsia" w:hAnsiTheme="minorEastAsia" w:eastAsiaTheme="minorEastAsia"/>
          <w:color w:val="auto"/>
          <w:sz w:val="24"/>
        </w:rPr>
        <w:t>发展需要，至2020年需达到175辆公交车辆</w:t>
      </w:r>
      <w:r>
        <w:rPr>
          <w:rFonts w:hint="eastAsia" w:asciiTheme="minorEastAsia" w:hAnsiTheme="minorEastAsia" w:eastAsiaTheme="minorEastAsia"/>
          <w:color w:val="auto"/>
          <w:sz w:val="24"/>
        </w:rPr>
        <w:t>，拟</w:t>
      </w:r>
      <w:r>
        <w:rPr>
          <w:rFonts w:asciiTheme="minorEastAsia" w:hAnsiTheme="minorEastAsia" w:eastAsiaTheme="minorEastAsia"/>
          <w:color w:val="auto"/>
          <w:sz w:val="24"/>
        </w:rPr>
        <w:t>对</w:t>
      </w:r>
      <w:r>
        <w:rPr>
          <w:rFonts w:hint="eastAsia" w:asciiTheme="minorEastAsia" w:hAnsiTheme="minorEastAsia" w:eastAsiaTheme="minorEastAsia"/>
          <w:color w:val="auto"/>
          <w:sz w:val="24"/>
        </w:rPr>
        <w:t>截止主体整合时间</w:t>
      </w:r>
      <w:r>
        <w:rPr>
          <w:rFonts w:asciiTheme="minorEastAsia" w:hAnsiTheme="minorEastAsia" w:eastAsiaTheme="minorEastAsia"/>
          <w:color w:val="auto"/>
          <w:sz w:val="24"/>
        </w:rPr>
        <w:t>节点</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2019</w:t>
      </w:r>
      <w:r>
        <w:rPr>
          <w:rFonts w:hint="eastAsia" w:asciiTheme="minorEastAsia" w:hAnsiTheme="minorEastAsia" w:eastAsiaTheme="minorEastAsia"/>
          <w:color w:val="auto"/>
          <w:sz w:val="24"/>
        </w:rPr>
        <w:t>年</w:t>
      </w:r>
      <w:r>
        <w:rPr>
          <w:rFonts w:asciiTheme="minorEastAsia" w:hAnsiTheme="minorEastAsia" w:eastAsiaTheme="minorEastAsia"/>
          <w:color w:val="auto"/>
          <w:sz w:val="24"/>
        </w:rPr>
        <w:t>12月31日）尚未报废的81辆运营</w:t>
      </w:r>
      <w:r>
        <w:rPr>
          <w:rFonts w:hint="eastAsia" w:asciiTheme="minorEastAsia" w:hAnsiTheme="minorEastAsia" w:eastAsiaTheme="minorEastAsia"/>
          <w:color w:val="auto"/>
          <w:sz w:val="24"/>
        </w:rPr>
        <w:t>车辆予以</w:t>
      </w:r>
      <w:r>
        <w:rPr>
          <w:rFonts w:asciiTheme="minorEastAsia" w:hAnsiTheme="minorEastAsia" w:eastAsiaTheme="minorEastAsia"/>
          <w:color w:val="auto"/>
          <w:sz w:val="24"/>
        </w:rPr>
        <w:t>全部收购，同时</w:t>
      </w:r>
      <w:r>
        <w:rPr>
          <w:rFonts w:hint="eastAsia" w:asciiTheme="minorEastAsia" w:hAnsiTheme="minorEastAsia" w:eastAsiaTheme="minorEastAsia"/>
          <w:color w:val="auto"/>
          <w:sz w:val="24"/>
        </w:rPr>
        <w:t>对</w:t>
      </w:r>
      <w:r>
        <w:rPr>
          <w:rFonts w:asciiTheme="minorEastAsia" w:hAnsiTheme="minorEastAsia" w:eastAsiaTheme="minorEastAsia"/>
          <w:color w:val="auto"/>
          <w:sz w:val="24"/>
        </w:rPr>
        <w:t>2018年初东方市广祥公共交通有限公司购置的47辆未许可公交车辆整合收购。根据</w:t>
      </w:r>
      <w:r>
        <w:rPr>
          <w:rFonts w:hint="eastAsia" w:asciiTheme="minorEastAsia" w:hAnsiTheme="minorEastAsia" w:eastAsiaTheme="minorEastAsia"/>
          <w:color w:val="auto"/>
          <w:sz w:val="24"/>
        </w:rPr>
        <w:t>目前</w:t>
      </w:r>
      <w:r>
        <w:rPr>
          <w:rFonts w:asciiTheme="minorEastAsia" w:hAnsiTheme="minorEastAsia" w:eastAsiaTheme="minorEastAsia"/>
          <w:color w:val="auto"/>
          <w:sz w:val="24"/>
        </w:rPr>
        <w:t>城乡客运市场所有可用车辆近期报废期限计算得出</w:t>
      </w:r>
      <w:r>
        <w:rPr>
          <w:rFonts w:hint="eastAsia" w:asciiTheme="minorEastAsia" w:hAnsiTheme="minorEastAsia" w:eastAsiaTheme="minorEastAsia"/>
          <w:color w:val="auto"/>
          <w:sz w:val="24"/>
        </w:rPr>
        <w:t>，至</w:t>
      </w:r>
      <w:r>
        <w:rPr>
          <w:rFonts w:asciiTheme="minorEastAsia" w:hAnsiTheme="minorEastAsia" w:eastAsiaTheme="minorEastAsia"/>
          <w:color w:val="auto"/>
          <w:sz w:val="24"/>
        </w:rPr>
        <w:t>2019年12月31日需收购车辆128辆（含广祥未许可的47辆8m级公交车），由于整合之后又有车辆陆续报废</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2020年前报废车辆共计4辆），2020</w:t>
      </w:r>
      <w:r>
        <w:rPr>
          <w:rFonts w:hint="eastAsia" w:asciiTheme="minorEastAsia" w:hAnsiTheme="minorEastAsia" w:eastAsiaTheme="minorEastAsia"/>
          <w:color w:val="auto"/>
          <w:sz w:val="24"/>
        </w:rPr>
        <w:t>年底前共</w:t>
      </w:r>
      <w:r>
        <w:rPr>
          <w:rFonts w:asciiTheme="minorEastAsia" w:hAnsiTheme="minorEastAsia" w:eastAsiaTheme="minorEastAsia"/>
          <w:color w:val="auto"/>
          <w:sz w:val="24"/>
        </w:rPr>
        <w:t>需</w:t>
      </w:r>
      <w:r>
        <w:rPr>
          <w:rFonts w:hint="eastAsia" w:asciiTheme="minorEastAsia" w:hAnsiTheme="minorEastAsia" w:eastAsiaTheme="minorEastAsia"/>
          <w:color w:val="auto"/>
          <w:sz w:val="24"/>
        </w:rPr>
        <w:t>新</w:t>
      </w:r>
      <w:r>
        <w:rPr>
          <w:rFonts w:asciiTheme="minorEastAsia" w:hAnsiTheme="minorEastAsia" w:eastAsiaTheme="minorEastAsia"/>
          <w:color w:val="auto"/>
          <w:sz w:val="24"/>
        </w:rPr>
        <w:t>购置51辆新能源公交车</w:t>
      </w:r>
      <w:r>
        <w:rPr>
          <w:rFonts w:hint="eastAsia" w:asciiTheme="minorEastAsia" w:hAnsiTheme="minorEastAsia" w:eastAsiaTheme="minorEastAsia"/>
          <w:color w:val="auto"/>
          <w:sz w:val="24"/>
        </w:rPr>
        <w:t>，均为</w:t>
      </w:r>
      <w:r>
        <w:rPr>
          <w:rFonts w:asciiTheme="minorEastAsia" w:hAnsiTheme="minorEastAsia" w:eastAsiaTheme="minorEastAsia"/>
          <w:color w:val="auto"/>
          <w:sz w:val="24"/>
        </w:rPr>
        <w:t>8m级新能源公交车。</w:t>
      </w:r>
    </w:p>
    <w:p>
      <w:pPr>
        <w:spacing w:line="360" w:lineRule="auto"/>
        <w:ind w:firstLine="641"/>
        <w:rPr>
          <w:rFonts w:asciiTheme="minorEastAsia" w:hAnsiTheme="minorEastAsia" w:eastAsiaTheme="minorEastAsia"/>
          <w:color w:val="auto"/>
          <w:sz w:val="24"/>
        </w:rPr>
      </w:pPr>
      <w:r>
        <w:rPr>
          <w:rFonts w:hint="eastAsia" w:asciiTheme="minorEastAsia" w:hAnsiTheme="minorEastAsia" w:eastAsiaTheme="minorEastAsia"/>
          <w:color w:val="auto"/>
          <w:sz w:val="24"/>
        </w:rPr>
        <w:t>在项目正常运营年度，保有</w:t>
      </w:r>
      <w:r>
        <w:rPr>
          <w:rFonts w:asciiTheme="minorEastAsia" w:hAnsiTheme="minorEastAsia" w:eastAsiaTheme="minorEastAsia"/>
          <w:color w:val="auto"/>
          <w:sz w:val="24"/>
        </w:rPr>
        <w:t>125</w:t>
      </w:r>
      <w:r>
        <w:rPr>
          <w:rFonts w:hint="eastAsia" w:asciiTheme="minorEastAsia" w:hAnsiTheme="minorEastAsia" w:eastAsiaTheme="minorEastAsia"/>
          <w:color w:val="auto"/>
          <w:sz w:val="24"/>
        </w:rPr>
        <w:t>辆8米新能源车、</w:t>
      </w:r>
      <w:r>
        <w:rPr>
          <w:rFonts w:asciiTheme="minorEastAsia" w:hAnsiTheme="minorEastAsia" w:eastAsiaTheme="minorEastAsia"/>
          <w:color w:val="auto"/>
          <w:sz w:val="24"/>
        </w:rPr>
        <w:t>50</w:t>
      </w:r>
      <w:r>
        <w:rPr>
          <w:rFonts w:hint="eastAsia" w:asciiTheme="minorEastAsia" w:hAnsiTheme="minorEastAsia" w:eastAsiaTheme="minorEastAsia"/>
          <w:color w:val="auto"/>
          <w:sz w:val="24"/>
        </w:rPr>
        <w:t>辆6米能源车。其中截止主体整合时间节点（2019年12月31日）时共整合78辆8米车辆、50辆6米车辆，需购置</w:t>
      </w:r>
      <w:r>
        <w:rPr>
          <w:rFonts w:asciiTheme="minorEastAsia" w:hAnsiTheme="minorEastAsia" w:eastAsiaTheme="minorEastAsia"/>
          <w:color w:val="auto"/>
          <w:sz w:val="24"/>
        </w:rPr>
        <w:t>47</w:t>
      </w:r>
      <w:r>
        <w:rPr>
          <w:rFonts w:hint="eastAsia" w:asciiTheme="minorEastAsia" w:hAnsiTheme="minorEastAsia" w:eastAsiaTheme="minorEastAsia"/>
          <w:color w:val="auto"/>
          <w:sz w:val="24"/>
        </w:rPr>
        <w:t>辆8米新能源车。</w:t>
      </w:r>
    </w:p>
    <w:p>
      <w:pPr>
        <w:spacing w:line="360" w:lineRule="auto"/>
        <w:ind w:firstLine="641"/>
        <w:rPr>
          <w:rFonts w:asciiTheme="minorEastAsia" w:hAnsiTheme="minorEastAsia" w:eastAsiaTheme="minorEastAsia"/>
          <w:color w:val="auto"/>
          <w:sz w:val="24"/>
        </w:rPr>
      </w:pPr>
      <w:r>
        <w:rPr>
          <w:rFonts w:hint="eastAsia" w:asciiTheme="minorEastAsia" w:hAnsiTheme="minorEastAsia" w:eastAsiaTheme="minorEastAsia"/>
          <w:color w:val="auto"/>
          <w:sz w:val="24"/>
        </w:rPr>
        <w:t>上述</w:t>
      </w:r>
      <w:r>
        <w:rPr>
          <w:rFonts w:asciiTheme="minorEastAsia" w:hAnsiTheme="minorEastAsia" w:eastAsiaTheme="minorEastAsia"/>
          <w:color w:val="auto"/>
          <w:sz w:val="24"/>
        </w:rPr>
        <w:t>175</w:t>
      </w:r>
      <w:r>
        <w:rPr>
          <w:rFonts w:hint="eastAsia" w:asciiTheme="minorEastAsia" w:hAnsiTheme="minorEastAsia" w:eastAsiaTheme="minorEastAsia"/>
          <w:color w:val="auto"/>
          <w:sz w:val="24"/>
        </w:rPr>
        <w:t>辆公交车辆第一轮更新将于</w:t>
      </w:r>
      <w:r>
        <w:rPr>
          <w:rFonts w:asciiTheme="minorEastAsia" w:hAnsiTheme="minorEastAsia" w:eastAsiaTheme="minorEastAsia"/>
          <w:color w:val="auto"/>
          <w:sz w:val="24"/>
        </w:rPr>
        <w:t>2027年6月30日前全部完成</w:t>
      </w:r>
      <w:r>
        <w:rPr>
          <w:rFonts w:hint="eastAsia" w:asciiTheme="minorEastAsia" w:hAnsiTheme="minorEastAsia" w:eastAsiaTheme="minorEastAsia"/>
          <w:color w:val="auto"/>
          <w:sz w:val="24"/>
        </w:rPr>
        <w:t>，其中</w:t>
      </w:r>
      <w:r>
        <w:rPr>
          <w:rFonts w:asciiTheme="minorEastAsia" w:hAnsiTheme="minorEastAsia" w:eastAsiaTheme="minorEastAsia"/>
          <w:color w:val="auto"/>
          <w:sz w:val="24"/>
        </w:rPr>
        <w:t>50辆6米新能源车将于2024年一季度末完成更新；特许经营权到期时（2035年12月31日）共计81辆车需完成第二轮更新</w:t>
      </w:r>
      <w:r>
        <w:rPr>
          <w:rFonts w:hint="eastAsia" w:asciiTheme="minorEastAsia" w:hAnsiTheme="minorEastAsia" w:eastAsiaTheme="minorEastAsia"/>
          <w:color w:val="auto"/>
          <w:sz w:val="24"/>
        </w:rPr>
        <w:t>，其中</w:t>
      </w:r>
      <w:r>
        <w:rPr>
          <w:rFonts w:asciiTheme="minorEastAsia" w:hAnsiTheme="minorEastAsia" w:eastAsiaTheme="minorEastAsia"/>
          <w:color w:val="auto"/>
          <w:sz w:val="24"/>
        </w:rPr>
        <w:t>50辆6米新能源车将于2032年一季度末完成更新。</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1.3 待收购车辆基本</w:t>
      </w:r>
      <w:r>
        <w:rPr>
          <w:rFonts w:hint="eastAsia" w:asciiTheme="minorEastAsia" w:hAnsiTheme="minorEastAsia" w:eastAsiaTheme="minorEastAsia"/>
          <w:b/>
          <w:bCs/>
          <w:color w:val="auto"/>
          <w:szCs w:val="28"/>
        </w:rPr>
        <w:t>情况</w:t>
      </w:r>
      <w:r>
        <w:rPr>
          <w:rFonts w:asciiTheme="minorEastAsia" w:hAnsiTheme="minorEastAsia" w:eastAsiaTheme="minorEastAsia"/>
          <w:b/>
          <w:bCs/>
          <w:color w:val="auto"/>
          <w:szCs w:val="28"/>
        </w:rPr>
        <w:t>表</w:t>
      </w:r>
    </w:p>
    <w:tbl>
      <w:tblPr>
        <w:tblStyle w:val="23"/>
        <w:tblW w:w="8897"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222"/>
        <w:gridCol w:w="1384"/>
        <w:gridCol w:w="1276"/>
        <w:gridCol w:w="1527"/>
        <w:gridCol w:w="226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122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线路类型</w:t>
            </w:r>
          </w:p>
        </w:tc>
        <w:tc>
          <w:tcPr>
            <w:tcW w:w="1222"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公司</w:t>
            </w: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报废时间</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车辆数</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剩余期限（年）</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城市公交</w:t>
            </w:r>
          </w:p>
        </w:tc>
        <w:tc>
          <w:tcPr>
            <w:tcW w:w="1222"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秀旅</w:t>
            </w: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2024/4/27</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4.33</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琼旺</w:t>
            </w: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2024/4/27</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4.33</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广祥</w:t>
            </w: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2024/3/31</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4.25</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2024/4/13</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4.29</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2024/4/28</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4.33</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2024/4/29</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4.33</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2027/12/31</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47</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8.00</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该部分车辆为现已购买车辆，暂时按统一收购时间八年后作为报废时间节点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城乡公交</w:t>
            </w:r>
          </w:p>
        </w:tc>
        <w:tc>
          <w:tcPr>
            <w:tcW w:w="1222"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东方客运</w:t>
            </w: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2022/1/14</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2.04</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2022/7/29</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2.58</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2022/11/17</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2.88</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2024/1/5</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4.02</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2024/1/29</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14</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4.08</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22"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2024/2/2</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4.09</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城乡班线</w:t>
            </w:r>
          </w:p>
        </w:tc>
        <w:tc>
          <w:tcPr>
            <w:tcW w:w="1222"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海汽</w:t>
            </w: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2020/6/13</w:t>
            </w: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0.45</w:t>
            </w: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2020年前报废车辆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合计</w:t>
            </w:r>
          </w:p>
        </w:tc>
        <w:tc>
          <w:tcPr>
            <w:tcW w:w="1222"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合计</w:t>
            </w:r>
          </w:p>
        </w:tc>
        <w:tc>
          <w:tcPr>
            <w:tcW w:w="1384"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276"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128</w:t>
            </w:r>
          </w:p>
        </w:tc>
        <w:tc>
          <w:tcPr>
            <w:tcW w:w="1527"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p>
        </w:tc>
        <w:tc>
          <w:tcPr>
            <w:tcW w:w="226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p>
        </w:tc>
      </w:tr>
    </w:tbl>
    <w:p>
      <w:pPr>
        <w:spacing w:line="360" w:lineRule="auto"/>
        <w:ind w:firstLine="641"/>
        <w:outlineLvl w:val="3"/>
        <w:rPr>
          <w:rFonts w:asciiTheme="minorEastAsia" w:hAnsiTheme="minorEastAsia" w:eastAsiaTheme="minorEastAsia"/>
          <w:color w:val="auto"/>
          <w:sz w:val="24"/>
        </w:rPr>
      </w:pPr>
      <w:r>
        <w:rPr>
          <w:rFonts w:asciiTheme="minorEastAsia" w:hAnsiTheme="minorEastAsia" w:eastAsiaTheme="minorEastAsia"/>
          <w:color w:val="auto"/>
          <w:sz w:val="24"/>
        </w:rPr>
        <w:t>（3）智慧公交系统建设</w:t>
      </w:r>
    </w:p>
    <w:p>
      <w:pPr>
        <w:spacing w:line="360" w:lineRule="auto"/>
        <w:ind w:firstLine="641"/>
        <w:rPr>
          <w:rFonts w:asciiTheme="minorEastAsia" w:hAnsiTheme="minorEastAsia" w:eastAsiaTheme="minorEastAsia"/>
          <w:color w:val="auto"/>
          <w:sz w:val="24"/>
        </w:rPr>
      </w:pPr>
      <w:r>
        <w:rPr>
          <w:rFonts w:asciiTheme="minorEastAsia" w:hAnsiTheme="minorEastAsia" w:eastAsiaTheme="minorEastAsia"/>
          <w:color w:val="auto"/>
          <w:sz w:val="24"/>
        </w:rPr>
        <w:t>根据《东方市城乡交通运输一体化规划及创建全国城乡交通运输一体化示范市实施方案》中的智慧公交规划，智慧公交系统近期主要建设内容为“3321”工程，“建设3个中心，即1个全市交通运输全行业数据资源中心、1个全市交通运行一体化监管与行业决策中心、1套公交运营调度中心；搭建3大平台，即公交企业运营调度平台、公交信息服务平台、交通行业监管与决策支持平台；完善2张网络，即1张数据采集发布网、1张数据传输通信网；建立1套体系，即操作系统、数据库管理、GIS软件、杀毒软件、虚拟化软件、视频管理软件以及相关中间件等支撑系统。”</w:t>
      </w:r>
    </w:p>
    <w:p>
      <w:pPr>
        <w:spacing w:line="360" w:lineRule="auto"/>
        <w:ind w:firstLine="641"/>
        <w:rPr>
          <w:rFonts w:asciiTheme="minorEastAsia" w:hAnsiTheme="minorEastAsia" w:eastAsiaTheme="minorEastAsia"/>
          <w:color w:val="auto"/>
          <w:sz w:val="24"/>
        </w:rPr>
      </w:pPr>
      <w:r>
        <w:rPr>
          <w:rFonts w:hint="eastAsia" w:asciiTheme="minorEastAsia" w:hAnsiTheme="minorEastAsia" w:eastAsiaTheme="minorEastAsia"/>
          <w:color w:val="auto"/>
          <w:sz w:val="24"/>
        </w:rPr>
        <w:t>特许</w:t>
      </w:r>
      <w:r>
        <w:rPr>
          <w:rFonts w:asciiTheme="minorEastAsia" w:hAnsiTheme="minorEastAsia" w:eastAsiaTheme="minorEastAsia"/>
          <w:color w:val="auto"/>
          <w:sz w:val="24"/>
        </w:rPr>
        <w:t>公司智慧公交系统建设的投资主要包括：应用软件费用、终端设备购置费用、行业管理主机设备购置费用和公交企业设备购置费用等。</w:t>
      </w:r>
    </w:p>
    <w:p>
      <w:pPr>
        <w:spacing w:line="360" w:lineRule="auto"/>
        <w:ind w:firstLine="641"/>
        <w:outlineLvl w:val="3"/>
        <w:rPr>
          <w:rFonts w:asciiTheme="minorEastAsia" w:hAnsiTheme="minorEastAsia" w:eastAsiaTheme="minorEastAsia"/>
          <w:color w:val="auto"/>
          <w:sz w:val="24"/>
        </w:rPr>
      </w:pPr>
      <w:r>
        <w:rPr>
          <w:rFonts w:asciiTheme="minorEastAsia" w:hAnsiTheme="minorEastAsia" w:eastAsiaTheme="minorEastAsia"/>
          <w:color w:val="auto"/>
          <w:sz w:val="24"/>
        </w:rPr>
        <w:t>（4）主体整合</w:t>
      </w:r>
    </w:p>
    <w:p>
      <w:pPr>
        <w:spacing w:line="360" w:lineRule="auto"/>
        <w:ind w:firstLine="641"/>
        <w:rPr>
          <w:rFonts w:asciiTheme="minorEastAsia" w:hAnsiTheme="minorEastAsia" w:eastAsiaTheme="minorEastAsia"/>
          <w:color w:val="auto"/>
          <w:sz w:val="24"/>
        </w:rPr>
      </w:pPr>
      <w:r>
        <w:rPr>
          <w:rFonts w:asciiTheme="minorEastAsia" w:hAnsiTheme="minorEastAsia" w:eastAsiaTheme="minorEastAsia"/>
          <w:color w:val="auto"/>
          <w:sz w:val="24"/>
        </w:rPr>
        <w:t>主体整合近期主要任务是</w:t>
      </w:r>
      <w:r>
        <w:rPr>
          <w:rFonts w:hint="eastAsia" w:asciiTheme="minorEastAsia" w:hAnsiTheme="minorEastAsia" w:eastAsiaTheme="minorEastAsia"/>
          <w:color w:val="auto"/>
          <w:sz w:val="24"/>
        </w:rPr>
        <w:t>特许</w:t>
      </w:r>
      <w:r>
        <w:rPr>
          <w:rFonts w:asciiTheme="minorEastAsia" w:hAnsiTheme="minorEastAsia" w:eastAsiaTheme="minorEastAsia"/>
          <w:color w:val="auto"/>
          <w:sz w:val="24"/>
        </w:rPr>
        <w:t>公司运营现有及新辟公交线路，同时对原有车辆进行收购、原有司乘人员进行安置。考虑到主体整合流程繁琐，耗时较长，本次项目拟选择2019年12月31日作为整合收购的时间节点，</w:t>
      </w:r>
      <w:r>
        <w:rPr>
          <w:rFonts w:hint="eastAsia" w:asciiTheme="minorEastAsia" w:hAnsiTheme="minorEastAsia" w:eastAsiaTheme="minorEastAsia"/>
          <w:color w:val="auto"/>
          <w:sz w:val="24"/>
        </w:rPr>
        <w:t>由新选择的特许公司负责</w:t>
      </w:r>
      <w:r>
        <w:rPr>
          <w:rFonts w:asciiTheme="minorEastAsia" w:hAnsiTheme="minorEastAsia" w:eastAsiaTheme="minorEastAsia"/>
          <w:color w:val="auto"/>
          <w:sz w:val="24"/>
        </w:rPr>
        <w:t>一次性收购所有现有车辆和线路，并根据届时线路经营权到期和车辆残值情况，测算项目投资总额和实施进度。</w:t>
      </w:r>
    </w:p>
    <w:p>
      <w:pPr>
        <w:pStyle w:val="4"/>
        <w:spacing w:before="0" w:after="0" w:line="360" w:lineRule="auto"/>
        <w:ind w:firstLine="641"/>
        <w:rPr>
          <w:rFonts w:asciiTheme="minorEastAsia" w:hAnsiTheme="minorEastAsia" w:eastAsiaTheme="minorEastAsia"/>
          <w:color w:val="auto"/>
          <w:sz w:val="24"/>
        </w:rPr>
      </w:pPr>
      <w:bookmarkStart w:id="22" w:name="_Toc19881760"/>
      <w:bookmarkStart w:id="23" w:name="_Toc14266196"/>
      <w:r>
        <w:rPr>
          <w:rFonts w:asciiTheme="minorEastAsia" w:hAnsiTheme="minorEastAsia" w:eastAsiaTheme="minorEastAsia"/>
          <w:color w:val="auto"/>
          <w:sz w:val="24"/>
        </w:rPr>
        <w:t>3.</w:t>
      </w:r>
      <w:r>
        <w:rPr>
          <w:rFonts w:hint="eastAsia" w:asciiTheme="minorEastAsia" w:hAnsiTheme="minorEastAsia" w:eastAsiaTheme="minorEastAsia"/>
          <w:color w:val="auto"/>
          <w:sz w:val="24"/>
        </w:rPr>
        <w:t>项目建设期总投资</w:t>
      </w:r>
      <w:bookmarkEnd w:id="22"/>
      <w:bookmarkEnd w:id="23"/>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本</w:t>
      </w:r>
      <w:r>
        <w:rPr>
          <w:rFonts w:asciiTheme="minorEastAsia" w:hAnsiTheme="minorEastAsia" w:eastAsiaTheme="minorEastAsia"/>
          <w:color w:val="auto"/>
          <w:sz w:val="24"/>
        </w:rPr>
        <w:t>方案中对项目建设</w:t>
      </w:r>
      <w:r>
        <w:rPr>
          <w:rFonts w:hint="eastAsia" w:asciiTheme="minorEastAsia" w:hAnsiTheme="minorEastAsia" w:eastAsiaTheme="minorEastAsia"/>
          <w:color w:val="auto"/>
          <w:sz w:val="24"/>
        </w:rPr>
        <w:t>期</w:t>
      </w:r>
      <w:r>
        <w:rPr>
          <w:rFonts w:asciiTheme="minorEastAsia" w:hAnsiTheme="minorEastAsia" w:eastAsiaTheme="minorEastAsia"/>
          <w:color w:val="auto"/>
          <w:sz w:val="24"/>
        </w:rPr>
        <w:t>总投资做</w:t>
      </w:r>
      <w:r>
        <w:rPr>
          <w:rFonts w:hint="eastAsia" w:asciiTheme="minorEastAsia" w:hAnsiTheme="minorEastAsia" w:eastAsiaTheme="minorEastAsia"/>
          <w:color w:val="auto"/>
          <w:sz w:val="24"/>
        </w:rPr>
        <w:t>初步</w:t>
      </w:r>
      <w:r>
        <w:rPr>
          <w:rFonts w:asciiTheme="minorEastAsia" w:hAnsiTheme="minorEastAsia" w:eastAsiaTheme="minorEastAsia"/>
          <w:color w:val="auto"/>
          <w:sz w:val="24"/>
        </w:rPr>
        <w:t>估算，结果仅供招标文件</w:t>
      </w:r>
      <w:r>
        <w:rPr>
          <w:rFonts w:hint="eastAsia" w:asciiTheme="minorEastAsia" w:hAnsiTheme="minorEastAsia" w:eastAsiaTheme="minorEastAsia"/>
          <w:color w:val="auto"/>
          <w:sz w:val="24"/>
        </w:rPr>
        <w:t>参考</w:t>
      </w:r>
      <w:r>
        <w:rPr>
          <w:rFonts w:asciiTheme="minorEastAsia" w:hAnsiTheme="minorEastAsia" w:eastAsiaTheme="minorEastAsia"/>
          <w:color w:val="auto"/>
          <w:sz w:val="24"/>
        </w:rPr>
        <w:t>，具体投资金额</w:t>
      </w:r>
      <w:r>
        <w:rPr>
          <w:rFonts w:hint="eastAsia" w:asciiTheme="minorEastAsia" w:hAnsiTheme="minorEastAsia" w:eastAsiaTheme="minorEastAsia"/>
          <w:color w:val="auto"/>
          <w:sz w:val="24"/>
        </w:rPr>
        <w:t>由</w:t>
      </w:r>
      <w:r>
        <w:rPr>
          <w:rFonts w:asciiTheme="minorEastAsia" w:hAnsiTheme="minorEastAsia" w:eastAsiaTheme="minorEastAsia"/>
          <w:color w:val="auto"/>
          <w:sz w:val="24"/>
        </w:rPr>
        <w:t>招标确定的</w:t>
      </w:r>
      <w:r>
        <w:rPr>
          <w:rFonts w:hint="eastAsia" w:asciiTheme="minorEastAsia" w:hAnsiTheme="minorEastAsia" w:eastAsiaTheme="minorEastAsia"/>
          <w:color w:val="auto"/>
          <w:sz w:val="24"/>
        </w:rPr>
        <w:t>最终金额</w:t>
      </w:r>
      <w:r>
        <w:rPr>
          <w:rFonts w:asciiTheme="minorEastAsia" w:hAnsiTheme="minorEastAsia" w:eastAsiaTheme="minorEastAsia"/>
          <w:color w:val="auto"/>
          <w:sz w:val="24"/>
        </w:rPr>
        <w:t>为准。</w:t>
      </w:r>
      <w:r>
        <w:rPr>
          <w:rFonts w:hint="eastAsia" w:asciiTheme="minorEastAsia" w:hAnsiTheme="minorEastAsia" w:eastAsiaTheme="minorEastAsia"/>
          <w:color w:val="auto"/>
          <w:sz w:val="24"/>
        </w:rPr>
        <w:t>经测算，特许</w:t>
      </w:r>
      <w:r>
        <w:rPr>
          <w:rFonts w:asciiTheme="minorEastAsia" w:hAnsiTheme="minorEastAsia" w:eastAsiaTheme="minorEastAsia"/>
          <w:color w:val="auto"/>
          <w:sz w:val="24"/>
        </w:rPr>
        <w:t>经营</w:t>
      </w:r>
      <w:r>
        <w:rPr>
          <w:rFonts w:hint="eastAsia" w:asciiTheme="minorEastAsia" w:hAnsiTheme="minorEastAsia" w:eastAsiaTheme="minorEastAsia"/>
          <w:color w:val="auto"/>
          <w:sz w:val="24"/>
        </w:rPr>
        <w:t>项目初期</w:t>
      </w:r>
      <w:r>
        <w:rPr>
          <w:rFonts w:asciiTheme="minorEastAsia" w:hAnsiTheme="minorEastAsia" w:eastAsiaTheme="minorEastAsia"/>
          <w:color w:val="auto"/>
          <w:sz w:val="24"/>
        </w:rPr>
        <w:t>投资</w:t>
      </w:r>
      <w:r>
        <w:rPr>
          <w:rFonts w:hint="eastAsia" w:asciiTheme="minorEastAsia" w:hAnsiTheme="minorEastAsia" w:eastAsiaTheme="minorEastAsia"/>
          <w:color w:val="auto"/>
          <w:sz w:val="24"/>
        </w:rPr>
        <w:t>总体</w:t>
      </w:r>
      <w:r>
        <w:rPr>
          <w:rFonts w:asciiTheme="minorEastAsia" w:hAnsiTheme="minorEastAsia" w:eastAsiaTheme="minorEastAsia"/>
          <w:color w:val="auto"/>
          <w:sz w:val="24"/>
        </w:rPr>
        <w:t>内容包括车辆购置、经营主体整合以及智慧公交系统建设，</w:t>
      </w:r>
      <w:r>
        <w:rPr>
          <w:rFonts w:hint="eastAsia" w:asciiTheme="minorEastAsia" w:hAnsiTheme="minorEastAsia" w:eastAsiaTheme="minorEastAsia"/>
          <w:color w:val="auto"/>
          <w:sz w:val="24"/>
        </w:rPr>
        <w:t>初始</w:t>
      </w:r>
      <w:r>
        <w:rPr>
          <w:rFonts w:asciiTheme="minorEastAsia" w:hAnsiTheme="minorEastAsia" w:eastAsiaTheme="minorEastAsia"/>
          <w:color w:val="auto"/>
          <w:sz w:val="24"/>
        </w:rPr>
        <w:t>投资</w:t>
      </w:r>
      <w:r>
        <w:rPr>
          <w:rFonts w:hint="eastAsia" w:asciiTheme="minorEastAsia" w:hAnsiTheme="minorEastAsia" w:eastAsiaTheme="minorEastAsia"/>
          <w:color w:val="auto"/>
          <w:sz w:val="24"/>
        </w:rPr>
        <w:t>总额</w:t>
      </w:r>
      <w:r>
        <w:rPr>
          <w:rFonts w:asciiTheme="minorEastAsia" w:hAnsiTheme="minorEastAsia" w:eastAsiaTheme="minorEastAsia"/>
          <w:color w:val="auto"/>
          <w:sz w:val="24"/>
        </w:rPr>
        <w:t>为6,279.33</w:t>
      </w:r>
      <w:r>
        <w:rPr>
          <w:rFonts w:hint="eastAsia" w:asciiTheme="minorEastAsia" w:hAnsiTheme="minorEastAsia" w:eastAsiaTheme="minorEastAsia"/>
          <w:color w:val="auto"/>
          <w:sz w:val="24"/>
        </w:rPr>
        <w:t>万元，其中初期</w:t>
      </w:r>
      <w:r>
        <w:rPr>
          <w:rFonts w:asciiTheme="minorEastAsia" w:hAnsiTheme="minorEastAsia" w:eastAsiaTheme="minorEastAsia"/>
          <w:color w:val="auto"/>
          <w:sz w:val="24"/>
        </w:rPr>
        <w:t>车辆购置投资2,805</w:t>
      </w:r>
      <w:r>
        <w:rPr>
          <w:rFonts w:hint="eastAsia" w:asciiTheme="minorEastAsia" w:hAnsiTheme="minorEastAsia" w:eastAsiaTheme="minorEastAsia"/>
          <w:color w:val="auto"/>
          <w:sz w:val="24"/>
        </w:rPr>
        <w:t>万元（新增</w:t>
      </w:r>
      <w:r>
        <w:rPr>
          <w:rFonts w:asciiTheme="minorEastAsia" w:hAnsiTheme="minorEastAsia" w:eastAsiaTheme="minorEastAsia"/>
          <w:color w:val="auto"/>
          <w:sz w:val="24"/>
        </w:rPr>
        <w:t>47辆8m级新能源公交车</w:t>
      </w:r>
      <w:r>
        <w:rPr>
          <w:rFonts w:hint="eastAsia" w:asciiTheme="minorEastAsia" w:hAnsiTheme="minorEastAsia" w:eastAsiaTheme="minorEastAsia"/>
          <w:color w:val="auto"/>
          <w:sz w:val="24"/>
        </w:rPr>
        <w:t>和</w:t>
      </w:r>
      <w:r>
        <w:rPr>
          <w:rFonts w:asciiTheme="minorEastAsia" w:hAnsiTheme="minorEastAsia" w:eastAsiaTheme="minorEastAsia"/>
          <w:color w:val="auto"/>
          <w:sz w:val="24"/>
        </w:rPr>
        <w:t>2020年前报废的4辆车的重新购置投资220</w:t>
      </w:r>
      <w:r>
        <w:rPr>
          <w:rFonts w:hint="eastAsia" w:asciiTheme="minorEastAsia" w:hAnsiTheme="minorEastAsia" w:eastAsiaTheme="minorEastAsia"/>
          <w:color w:val="auto"/>
          <w:sz w:val="24"/>
        </w:rPr>
        <w:t>万元</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经营主体</w:t>
      </w:r>
      <w:r>
        <w:rPr>
          <w:rFonts w:asciiTheme="minorEastAsia" w:hAnsiTheme="minorEastAsia" w:eastAsiaTheme="minorEastAsia"/>
          <w:color w:val="auto"/>
          <w:sz w:val="24"/>
        </w:rPr>
        <w:t>整合投资2,360.98</w:t>
      </w:r>
      <w:r>
        <w:rPr>
          <w:rFonts w:hint="eastAsia" w:asciiTheme="minorEastAsia" w:hAnsiTheme="minorEastAsia" w:eastAsiaTheme="minorEastAsia"/>
          <w:color w:val="auto"/>
          <w:sz w:val="24"/>
        </w:rPr>
        <w:t>万元，</w:t>
      </w:r>
      <w:r>
        <w:rPr>
          <w:rFonts w:asciiTheme="minorEastAsia" w:hAnsiTheme="minorEastAsia" w:eastAsiaTheme="minorEastAsia"/>
          <w:color w:val="auto"/>
          <w:sz w:val="24"/>
        </w:rPr>
        <w:t>智慧公交系统建设</w:t>
      </w:r>
      <w:r>
        <w:rPr>
          <w:rFonts w:hint="eastAsia" w:asciiTheme="minorEastAsia" w:hAnsiTheme="minorEastAsia" w:eastAsiaTheme="minorEastAsia"/>
          <w:color w:val="auto"/>
          <w:sz w:val="24"/>
        </w:rPr>
        <w:t>投资</w:t>
      </w:r>
      <w:r>
        <w:rPr>
          <w:rFonts w:asciiTheme="minorEastAsia" w:hAnsiTheme="minorEastAsia" w:eastAsiaTheme="minorEastAsia"/>
          <w:color w:val="auto"/>
          <w:sz w:val="24"/>
        </w:rPr>
        <w:t>1,113.35</w:t>
      </w:r>
      <w:r>
        <w:rPr>
          <w:rFonts w:hint="eastAsia" w:asciiTheme="minorEastAsia" w:hAnsiTheme="minorEastAsia" w:eastAsiaTheme="minorEastAsia"/>
          <w:color w:val="auto"/>
          <w:sz w:val="24"/>
        </w:rPr>
        <w:t>万元</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各项</w:t>
      </w:r>
      <w:r>
        <w:rPr>
          <w:rFonts w:asciiTheme="minorEastAsia" w:hAnsiTheme="minorEastAsia" w:eastAsiaTheme="minorEastAsia"/>
          <w:color w:val="auto"/>
          <w:sz w:val="24"/>
        </w:rPr>
        <w:t>投资</w:t>
      </w:r>
      <w:r>
        <w:rPr>
          <w:rFonts w:hint="eastAsia" w:asciiTheme="minorEastAsia" w:hAnsiTheme="minorEastAsia" w:eastAsiaTheme="minorEastAsia"/>
          <w:color w:val="auto"/>
          <w:sz w:val="24"/>
        </w:rPr>
        <w:t>金额具体如下</w:t>
      </w:r>
      <w:r>
        <w:rPr>
          <w:rFonts w:asciiTheme="minorEastAsia" w:hAnsiTheme="minorEastAsia" w:eastAsiaTheme="minorEastAsia"/>
          <w:color w:val="auto"/>
          <w:sz w:val="24"/>
        </w:rPr>
        <w:t>：</w:t>
      </w:r>
    </w:p>
    <w:p>
      <w:pPr>
        <w:spacing w:line="360" w:lineRule="auto"/>
        <w:ind w:firstLine="640"/>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1）车辆购置投资</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目前按照购置8m车辆按照55万/辆计算，6m车辆按照38万/辆计算，2020年前共需投入2,805万元</w:t>
      </w:r>
      <w:r>
        <w:rPr>
          <w:rFonts w:hint="eastAsia" w:asciiTheme="minorEastAsia" w:hAnsiTheme="minorEastAsia" w:eastAsiaTheme="minorEastAsia"/>
          <w:color w:val="auto"/>
          <w:sz w:val="24"/>
        </w:rPr>
        <w:t>（包括初期车辆购置投资</w:t>
      </w:r>
      <w:r>
        <w:rPr>
          <w:rFonts w:asciiTheme="minorEastAsia" w:hAnsiTheme="minorEastAsia" w:eastAsiaTheme="minorEastAsia"/>
          <w:color w:val="auto"/>
          <w:sz w:val="24"/>
        </w:rPr>
        <w:t>2,585</w:t>
      </w:r>
      <w:r>
        <w:rPr>
          <w:rFonts w:hint="eastAsia" w:asciiTheme="minorEastAsia" w:hAnsiTheme="minorEastAsia" w:eastAsiaTheme="minorEastAsia"/>
          <w:color w:val="auto"/>
          <w:sz w:val="24"/>
        </w:rPr>
        <w:t>万元和经营主体整合时回购车辆中于</w:t>
      </w:r>
      <w:r>
        <w:rPr>
          <w:rFonts w:asciiTheme="minorEastAsia" w:hAnsiTheme="minorEastAsia" w:eastAsiaTheme="minorEastAsia"/>
          <w:color w:val="auto"/>
          <w:sz w:val="24"/>
        </w:rPr>
        <w:t>2020年前报废的4辆车的重新购置投资220</w:t>
      </w:r>
      <w:r>
        <w:rPr>
          <w:rFonts w:hint="eastAsia" w:asciiTheme="minorEastAsia" w:hAnsiTheme="minorEastAsia" w:eastAsiaTheme="minorEastAsia"/>
          <w:color w:val="auto"/>
          <w:sz w:val="24"/>
        </w:rPr>
        <w:t>万元）</w:t>
      </w:r>
      <w:r>
        <w:rPr>
          <w:rFonts w:asciiTheme="minorEastAsia" w:hAnsiTheme="minorEastAsia" w:eastAsiaTheme="minorEastAsia"/>
          <w:color w:val="auto"/>
          <w:sz w:val="24"/>
        </w:rPr>
        <w:t>。</w:t>
      </w:r>
    </w:p>
    <w:p>
      <w:pPr>
        <w:spacing w:line="360" w:lineRule="auto"/>
        <w:ind w:firstLine="640"/>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）经营主体</w:t>
      </w:r>
      <w:r>
        <w:rPr>
          <w:rFonts w:asciiTheme="minorEastAsia" w:hAnsiTheme="minorEastAsia" w:eastAsiaTheme="minorEastAsia"/>
          <w:color w:val="auto"/>
          <w:sz w:val="24"/>
        </w:rPr>
        <w:t>整合投资</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初步选定2019年12月31日作为整合时间节点，有3类不同的处理方式。对经营权已到期且车辆同时报废的线路，仅需人员安置投资；对经营权已到期但车辆尚未报废的线路，需进行车辆残值收购和人员安置投资；对经营权尚未到期的，需进行剩余经营权期内的收益补偿、车辆残值收购和人员安置投资。</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经测算，主体整合时对车辆收购需要投资2,234.59万元，车辆收益补偿投资需要56.39万元，人员安置投资需要70万元，合计总投资额为2,360.98万元。</w:t>
      </w:r>
    </w:p>
    <w:p>
      <w:pPr>
        <w:keepLines/>
        <w:spacing w:line="360" w:lineRule="auto"/>
        <w:jc w:val="center"/>
        <w:textAlignment w:val="center"/>
        <w:rPr>
          <w:rFonts w:asciiTheme="minorEastAsia" w:hAnsiTheme="minorEastAsia" w:eastAsiaTheme="minorEastAsia"/>
          <w:b/>
          <w:bCs/>
          <w:color w:val="auto"/>
          <w:szCs w:val="28"/>
        </w:rPr>
      </w:pPr>
      <w:r>
        <w:rPr>
          <w:rFonts w:asciiTheme="minorEastAsia" w:hAnsiTheme="minorEastAsia" w:eastAsiaTheme="minorEastAsia"/>
          <w:b/>
          <w:bCs/>
          <w:color w:val="auto"/>
          <w:szCs w:val="28"/>
        </w:rPr>
        <w:t xml:space="preserve">表1.4  </w:t>
      </w:r>
      <w:r>
        <w:rPr>
          <w:rFonts w:hint="eastAsia" w:asciiTheme="minorEastAsia" w:hAnsiTheme="minorEastAsia" w:eastAsiaTheme="minorEastAsia"/>
          <w:b/>
          <w:bCs/>
          <w:color w:val="auto"/>
          <w:szCs w:val="28"/>
        </w:rPr>
        <w:t>经营</w:t>
      </w:r>
      <w:r>
        <w:rPr>
          <w:rFonts w:asciiTheme="minorEastAsia" w:hAnsiTheme="minorEastAsia" w:eastAsiaTheme="minorEastAsia"/>
          <w:b/>
          <w:bCs/>
          <w:color w:val="auto"/>
          <w:szCs w:val="28"/>
        </w:rPr>
        <w:t>主体整合费用明细表</w:t>
      </w:r>
    </w:p>
    <w:tbl>
      <w:tblPr>
        <w:tblStyle w:val="23"/>
        <w:tblW w:w="862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848"/>
        <w:gridCol w:w="1740"/>
        <w:gridCol w:w="1754"/>
        <w:gridCol w:w="155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724"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类型</w:t>
            </w:r>
          </w:p>
        </w:tc>
        <w:tc>
          <w:tcPr>
            <w:tcW w:w="1848"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收益补偿</w:t>
            </w:r>
          </w:p>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（万元）</w:t>
            </w:r>
          </w:p>
        </w:tc>
        <w:tc>
          <w:tcPr>
            <w:tcW w:w="1740"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残值收购</w:t>
            </w:r>
          </w:p>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（万元）</w:t>
            </w:r>
          </w:p>
        </w:tc>
        <w:tc>
          <w:tcPr>
            <w:tcW w:w="1754"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人员安置</w:t>
            </w:r>
          </w:p>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（万元）</w:t>
            </w:r>
          </w:p>
        </w:tc>
        <w:tc>
          <w:tcPr>
            <w:tcW w:w="1555"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合计</w:t>
            </w:r>
          </w:p>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（万元）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724"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城乡班线</w:t>
            </w:r>
          </w:p>
        </w:tc>
        <w:tc>
          <w:tcPr>
            <w:tcW w:w="1848"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7.70 </w:t>
            </w:r>
          </w:p>
        </w:tc>
        <w:tc>
          <w:tcPr>
            <w:tcW w:w="1740"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8.29 </w:t>
            </w:r>
          </w:p>
        </w:tc>
        <w:tc>
          <w:tcPr>
            <w:tcW w:w="1754"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   </w:t>
            </w:r>
          </w:p>
        </w:tc>
        <w:tc>
          <w:tcPr>
            <w:tcW w:w="1555"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15.99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724"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城乡客运</w:t>
            </w:r>
          </w:p>
        </w:tc>
        <w:tc>
          <w:tcPr>
            <w:tcW w:w="1848"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10.86 </w:t>
            </w:r>
          </w:p>
        </w:tc>
        <w:tc>
          <w:tcPr>
            <w:tcW w:w="1740"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227.93 </w:t>
            </w:r>
          </w:p>
        </w:tc>
        <w:tc>
          <w:tcPr>
            <w:tcW w:w="1754"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70.00 </w:t>
            </w:r>
          </w:p>
        </w:tc>
        <w:tc>
          <w:tcPr>
            <w:tcW w:w="1555"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308.80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724"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城市公交</w:t>
            </w:r>
          </w:p>
        </w:tc>
        <w:tc>
          <w:tcPr>
            <w:tcW w:w="1848"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37.82 </w:t>
            </w:r>
          </w:p>
        </w:tc>
        <w:tc>
          <w:tcPr>
            <w:tcW w:w="1740"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533.36 </w:t>
            </w:r>
          </w:p>
        </w:tc>
        <w:tc>
          <w:tcPr>
            <w:tcW w:w="1754"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   </w:t>
            </w:r>
          </w:p>
        </w:tc>
        <w:tc>
          <w:tcPr>
            <w:tcW w:w="1555"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571.19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724"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未经许可车辆</w:t>
            </w:r>
          </w:p>
        </w:tc>
        <w:tc>
          <w:tcPr>
            <w:tcW w:w="1848"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hint="eastAsia" w:asciiTheme="minorEastAsia" w:hAnsiTheme="minorEastAsia" w:eastAsiaTheme="minorEastAsia"/>
                <w:color w:val="auto"/>
                <w:szCs w:val="21"/>
              </w:rPr>
              <w:t>　</w:t>
            </w:r>
          </w:p>
        </w:tc>
        <w:tc>
          <w:tcPr>
            <w:tcW w:w="1740"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1,465.00 </w:t>
            </w:r>
          </w:p>
        </w:tc>
        <w:tc>
          <w:tcPr>
            <w:tcW w:w="1754"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   </w:t>
            </w:r>
          </w:p>
        </w:tc>
        <w:tc>
          <w:tcPr>
            <w:tcW w:w="1555"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1,465.00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724"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合计</w:t>
            </w:r>
          </w:p>
        </w:tc>
        <w:tc>
          <w:tcPr>
            <w:tcW w:w="1848"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56.39 </w:t>
            </w:r>
          </w:p>
        </w:tc>
        <w:tc>
          <w:tcPr>
            <w:tcW w:w="1740"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2,234.59 </w:t>
            </w:r>
          </w:p>
        </w:tc>
        <w:tc>
          <w:tcPr>
            <w:tcW w:w="1754"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70.00 </w:t>
            </w:r>
          </w:p>
        </w:tc>
        <w:tc>
          <w:tcPr>
            <w:tcW w:w="1555" w:type="dxa"/>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asciiTheme="minorEastAsia" w:hAnsiTheme="minorEastAsia" w:eastAsiaTheme="minorEastAsia"/>
                <w:color w:val="auto"/>
              </w:rPr>
              <w:t xml:space="preserve">  2,360.98 </w:t>
            </w:r>
          </w:p>
        </w:tc>
      </w:tr>
    </w:tbl>
    <w:p>
      <w:pPr>
        <w:spacing w:beforeLines="50" w:line="360" w:lineRule="auto"/>
        <w:ind w:firstLine="640"/>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智慧公交系统建设</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根据近期东方市公交线网及车辆规划情况，智慧公交系统建设投资估算如下表所示。</w:t>
      </w:r>
    </w:p>
    <w:p>
      <w:pPr>
        <w:keepLines/>
        <w:spacing w:line="360" w:lineRule="auto"/>
        <w:jc w:val="center"/>
        <w:textAlignment w:val="center"/>
        <w:rPr>
          <w:rFonts w:asciiTheme="minorEastAsia" w:hAnsiTheme="minorEastAsia" w:eastAsiaTheme="minorEastAsia"/>
          <w:b/>
          <w:bCs/>
          <w:color w:val="auto"/>
          <w:szCs w:val="28"/>
        </w:rPr>
      </w:pPr>
      <w:r>
        <w:rPr>
          <w:rFonts w:asciiTheme="minorEastAsia" w:hAnsiTheme="minorEastAsia" w:eastAsiaTheme="minorEastAsia"/>
          <w:b/>
          <w:bCs/>
          <w:color w:val="auto"/>
          <w:szCs w:val="28"/>
        </w:rPr>
        <w:t>表1.5智慧公交系统建设投资估算表</w:t>
      </w:r>
    </w:p>
    <w:tbl>
      <w:tblPr>
        <w:tblStyle w:val="23"/>
        <w:tblW w:w="8561" w:type="dxa"/>
        <w:tblInd w:w="0"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978"/>
        <w:gridCol w:w="3065"/>
      </w:tblGrid>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2518"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项目类型</w:t>
            </w:r>
          </w:p>
        </w:tc>
        <w:tc>
          <w:tcPr>
            <w:tcW w:w="2978"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投资金额（万元）</w:t>
            </w:r>
          </w:p>
        </w:tc>
        <w:tc>
          <w:tcPr>
            <w:tcW w:w="3065"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资金来源</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2518"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公交企业设备</w:t>
            </w:r>
          </w:p>
        </w:tc>
        <w:tc>
          <w:tcPr>
            <w:tcW w:w="2978"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1,113.35</w:t>
            </w:r>
          </w:p>
        </w:tc>
        <w:tc>
          <w:tcPr>
            <w:tcW w:w="3065"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企业投资</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2518"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合计</w:t>
            </w:r>
          </w:p>
        </w:tc>
        <w:tc>
          <w:tcPr>
            <w:tcW w:w="2978"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1,113.35</w:t>
            </w:r>
          </w:p>
        </w:tc>
        <w:tc>
          <w:tcPr>
            <w:tcW w:w="3065"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r>
    </w:tbl>
    <w:p>
      <w:pPr>
        <w:spacing w:line="360" w:lineRule="auto"/>
        <w:ind w:firstLine="480"/>
        <w:rPr>
          <w:rFonts w:asciiTheme="minorEastAsia" w:hAnsiTheme="minorEastAsia" w:eastAsiaTheme="minorEastAsia"/>
          <w:color w:val="auto"/>
        </w:rPr>
      </w:pPr>
    </w:p>
    <w:p>
      <w:pPr>
        <w:pStyle w:val="4"/>
        <w:spacing w:before="0" w:after="0" w:line="360" w:lineRule="auto"/>
        <w:ind w:firstLine="641"/>
        <w:rPr>
          <w:rFonts w:asciiTheme="minorEastAsia" w:hAnsiTheme="minorEastAsia" w:eastAsiaTheme="minorEastAsia"/>
          <w:color w:val="auto"/>
          <w:sz w:val="24"/>
        </w:rPr>
      </w:pPr>
      <w:bookmarkStart w:id="24" w:name="_Toc19881761"/>
      <w:bookmarkStart w:id="25" w:name="_Toc14266197"/>
      <w:bookmarkStart w:id="26" w:name="_Toc532748591"/>
      <w:r>
        <w:rPr>
          <w:rFonts w:asciiTheme="minorEastAsia" w:hAnsiTheme="minorEastAsia" w:eastAsiaTheme="minorEastAsia"/>
          <w:color w:val="auto"/>
          <w:sz w:val="24"/>
        </w:rPr>
        <w:t>4.</w:t>
      </w:r>
      <w:r>
        <w:rPr>
          <w:rFonts w:hint="eastAsia" w:asciiTheme="minorEastAsia" w:hAnsiTheme="minorEastAsia" w:eastAsiaTheme="minorEastAsia"/>
          <w:color w:val="auto"/>
          <w:sz w:val="24"/>
        </w:rPr>
        <w:t>服务标准</w:t>
      </w:r>
      <w:bookmarkEnd w:id="24"/>
      <w:bookmarkEnd w:id="25"/>
      <w:bookmarkEnd w:id="26"/>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为提高东方市城乡公共交通服务水平，满足居民出行需求，特制定以下服务标准以约束特许经营企业运营城市公交、城乡公交。根据经营主体整合实施时间节点，城市公交、城乡公交调整及新增的时间均为2019年</w:t>
      </w:r>
      <w:r>
        <w:rPr>
          <w:rFonts w:hint="eastAsia" w:asciiTheme="minorEastAsia" w:hAnsiTheme="minorEastAsia" w:eastAsiaTheme="minorEastAsia"/>
          <w:color w:val="auto"/>
          <w:sz w:val="24"/>
        </w:rPr>
        <w:t>，原则上</w:t>
      </w:r>
      <w:r>
        <w:rPr>
          <w:rFonts w:asciiTheme="minorEastAsia" w:hAnsiTheme="minorEastAsia" w:eastAsiaTheme="minorEastAsia"/>
          <w:color w:val="auto"/>
          <w:sz w:val="24"/>
        </w:rPr>
        <w:t>不超过2020年，</w:t>
      </w:r>
      <w:r>
        <w:rPr>
          <w:rFonts w:hint="eastAsia" w:asciiTheme="minorEastAsia" w:hAnsiTheme="minorEastAsia" w:eastAsiaTheme="minorEastAsia"/>
          <w:color w:val="auto"/>
          <w:sz w:val="24"/>
        </w:rPr>
        <w:t>智慧公交</w:t>
      </w:r>
      <w:r>
        <w:rPr>
          <w:rFonts w:asciiTheme="minorEastAsia" w:hAnsiTheme="minorEastAsia" w:eastAsiaTheme="minorEastAsia"/>
          <w:color w:val="auto"/>
          <w:sz w:val="24"/>
        </w:rPr>
        <w:t>系统</w:t>
      </w:r>
      <w:r>
        <w:rPr>
          <w:rFonts w:hint="eastAsia" w:asciiTheme="minorEastAsia" w:hAnsiTheme="minorEastAsia" w:eastAsiaTheme="minorEastAsia"/>
          <w:color w:val="auto"/>
          <w:sz w:val="24"/>
        </w:rPr>
        <w:t>新增时间原则上不超过</w:t>
      </w:r>
      <w:r>
        <w:rPr>
          <w:rFonts w:asciiTheme="minorEastAsia" w:hAnsiTheme="minorEastAsia" w:eastAsiaTheme="minorEastAsia"/>
          <w:color w:val="auto"/>
          <w:sz w:val="24"/>
        </w:rPr>
        <w:t>2021</w:t>
      </w:r>
      <w:r>
        <w:rPr>
          <w:rFonts w:hint="eastAsia" w:asciiTheme="minorEastAsia" w:hAnsiTheme="minorEastAsia" w:eastAsiaTheme="minorEastAsia"/>
          <w:color w:val="auto"/>
          <w:sz w:val="24"/>
        </w:rPr>
        <w:t>年。</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考虑到城乡客运发展是一个动态提升的过程，客流培育周期较长，本方案中对线路服务标准（年运营里程）设定最低值及最高值，并</w:t>
      </w:r>
      <w:r>
        <w:rPr>
          <w:rFonts w:asciiTheme="minorEastAsia" w:hAnsiTheme="minorEastAsia" w:eastAsiaTheme="minorEastAsia"/>
          <w:color w:val="auto"/>
          <w:sz w:val="24"/>
        </w:rPr>
        <w:t>按照最低值进行招标工作。</w:t>
      </w:r>
      <w:r>
        <w:rPr>
          <w:rFonts w:hint="eastAsia" w:asciiTheme="minorEastAsia" w:hAnsiTheme="minorEastAsia" w:eastAsiaTheme="minorEastAsia"/>
          <w:color w:val="auto"/>
          <w:sz w:val="24"/>
        </w:rPr>
        <w:t>特许经营企业在特许经营期限内，需满足最低值的服务标准，并根据客流提升情况，优先采用调整线路</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加密班次等</w:t>
      </w:r>
      <w:r>
        <w:rPr>
          <w:rFonts w:asciiTheme="minorEastAsia" w:hAnsiTheme="minorEastAsia" w:eastAsiaTheme="minorEastAsia"/>
          <w:color w:val="auto"/>
          <w:sz w:val="24"/>
        </w:rPr>
        <w:t>方式提升</w:t>
      </w:r>
      <w:r>
        <w:rPr>
          <w:rFonts w:hint="eastAsia" w:asciiTheme="minorEastAsia" w:hAnsiTheme="minorEastAsia" w:eastAsiaTheme="minorEastAsia"/>
          <w:color w:val="auto"/>
          <w:sz w:val="24"/>
        </w:rPr>
        <w:t>保障能力，逐步达到</w:t>
      </w:r>
      <w:r>
        <w:rPr>
          <w:rFonts w:asciiTheme="minorEastAsia" w:hAnsiTheme="minorEastAsia" w:eastAsiaTheme="minorEastAsia"/>
          <w:color w:val="auto"/>
          <w:sz w:val="24"/>
        </w:rPr>
        <w:t>最高值服务标准</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若</w:t>
      </w:r>
      <w:r>
        <w:rPr>
          <w:rFonts w:hint="eastAsia" w:asciiTheme="minorEastAsia" w:hAnsiTheme="minorEastAsia" w:eastAsiaTheme="minorEastAsia"/>
          <w:color w:val="auto"/>
          <w:sz w:val="24"/>
        </w:rPr>
        <w:t>后续</w:t>
      </w:r>
      <w:r>
        <w:rPr>
          <w:rFonts w:asciiTheme="minorEastAsia" w:hAnsiTheme="minorEastAsia" w:eastAsiaTheme="minorEastAsia"/>
          <w:color w:val="auto"/>
          <w:sz w:val="24"/>
        </w:rPr>
        <w:t>提升过程中，出现</w:t>
      </w:r>
      <w:r>
        <w:rPr>
          <w:rFonts w:hint="eastAsia" w:asciiTheme="minorEastAsia" w:hAnsiTheme="minorEastAsia" w:eastAsiaTheme="minorEastAsia"/>
          <w:color w:val="auto"/>
          <w:sz w:val="24"/>
        </w:rPr>
        <w:t>在</w:t>
      </w:r>
      <w:r>
        <w:rPr>
          <w:rFonts w:asciiTheme="minorEastAsia" w:hAnsiTheme="minorEastAsia" w:eastAsiaTheme="minorEastAsia"/>
          <w:color w:val="auto"/>
          <w:sz w:val="24"/>
        </w:rPr>
        <w:t>现有运力下，最高值的服务标准已经</w:t>
      </w:r>
      <w:r>
        <w:rPr>
          <w:rFonts w:hint="eastAsia" w:asciiTheme="minorEastAsia" w:hAnsiTheme="minorEastAsia" w:eastAsiaTheme="minorEastAsia"/>
          <w:color w:val="auto"/>
          <w:sz w:val="24"/>
        </w:rPr>
        <w:t>难以满足运营服务</w:t>
      </w:r>
      <w:r>
        <w:rPr>
          <w:rFonts w:asciiTheme="minorEastAsia" w:hAnsiTheme="minorEastAsia" w:eastAsiaTheme="minorEastAsia"/>
          <w:color w:val="auto"/>
          <w:sz w:val="24"/>
        </w:rPr>
        <w:t>需要，则</w:t>
      </w:r>
      <w:r>
        <w:rPr>
          <w:rFonts w:hint="eastAsia" w:asciiTheme="minorEastAsia" w:hAnsiTheme="minorEastAsia" w:eastAsiaTheme="minorEastAsia"/>
          <w:color w:val="auto"/>
          <w:sz w:val="24"/>
        </w:rPr>
        <w:t>应</w:t>
      </w:r>
      <w:r>
        <w:rPr>
          <w:rFonts w:asciiTheme="minorEastAsia" w:hAnsiTheme="minorEastAsia" w:eastAsiaTheme="minorEastAsia"/>
          <w:color w:val="auto"/>
          <w:sz w:val="24"/>
        </w:rPr>
        <w:t>视情况</w:t>
      </w:r>
      <w:r>
        <w:rPr>
          <w:rFonts w:hint="eastAsia" w:asciiTheme="minorEastAsia" w:hAnsiTheme="minorEastAsia" w:eastAsiaTheme="minorEastAsia"/>
          <w:color w:val="auto"/>
          <w:sz w:val="24"/>
        </w:rPr>
        <w:t>新辟线路</w:t>
      </w:r>
      <w:r>
        <w:rPr>
          <w:rFonts w:asciiTheme="minorEastAsia" w:hAnsiTheme="minorEastAsia" w:eastAsiaTheme="minorEastAsia"/>
          <w:color w:val="auto"/>
          <w:sz w:val="24"/>
        </w:rPr>
        <w:t>、新增车辆。</w:t>
      </w:r>
    </w:p>
    <w:p>
      <w:pPr>
        <w:spacing w:line="360" w:lineRule="auto"/>
        <w:ind w:firstLine="640"/>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1）城市公交</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城市公交运营12条线路，</w:t>
      </w:r>
      <w:r>
        <w:rPr>
          <w:rFonts w:hint="eastAsia" w:asciiTheme="minorEastAsia" w:hAnsiTheme="minorEastAsia" w:eastAsiaTheme="minorEastAsia"/>
          <w:color w:val="auto"/>
          <w:sz w:val="24"/>
        </w:rPr>
        <w:t>配车</w:t>
      </w:r>
      <w:r>
        <w:rPr>
          <w:rFonts w:asciiTheme="minorEastAsia" w:hAnsiTheme="minorEastAsia" w:eastAsiaTheme="minorEastAsia"/>
          <w:color w:val="auto"/>
          <w:sz w:val="24"/>
        </w:rPr>
        <w:t>102</w:t>
      </w:r>
      <w:r>
        <w:rPr>
          <w:rFonts w:hint="eastAsia" w:asciiTheme="minorEastAsia" w:hAnsiTheme="minorEastAsia" w:eastAsiaTheme="minorEastAsia"/>
          <w:color w:val="auto"/>
          <w:sz w:val="24"/>
        </w:rPr>
        <w:t>辆</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含</w:t>
      </w:r>
      <w:r>
        <w:rPr>
          <w:rFonts w:asciiTheme="minorEastAsia" w:hAnsiTheme="minorEastAsia" w:eastAsiaTheme="minorEastAsia"/>
          <w:color w:val="auto"/>
          <w:sz w:val="24"/>
        </w:rPr>
        <w:t>6</w:t>
      </w:r>
      <w:r>
        <w:rPr>
          <w:rFonts w:hint="eastAsia" w:asciiTheme="minorEastAsia" w:hAnsiTheme="minorEastAsia" w:eastAsiaTheme="minorEastAsia"/>
          <w:color w:val="auto"/>
          <w:sz w:val="24"/>
        </w:rPr>
        <w:t>辆</w:t>
      </w:r>
      <w:r>
        <w:rPr>
          <w:rFonts w:asciiTheme="minorEastAsia" w:hAnsiTheme="minorEastAsia" w:eastAsiaTheme="minorEastAsia"/>
          <w:color w:val="auto"/>
          <w:sz w:val="24"/>
        </w:rPr>
        <w:t>备用车）</w:t>
      </w:r>
      <w:r>
        <w:rPr>
          <w:rFonts w:hint="eastAsia" w:asciiTheme="minorEastAsia" w:hAnsiTheme="minorEastAsia" w:eastAsiaTheme="minorEastAsia"/>
          <w:color w:val="auto"/>
          <w:sz w:val="24"/>
        </w:rPr>
        <w:t>。最低值</w:t>
      </w:r>
      <w:r>
        <w:rPr>
          <w:rFonts w:asciiTheme="minorEastAsia" w:hAnsiTheme="minorEastAsia" w:eastAsiaTheme="minorEastAsia"/>
          <w:color w:val="auto"/>
          <w:sz w:val="24"/>
        </w:rPr>
        <w:t>情况下，</w:t>
      </w:r>
      <w:r>
        <w:rPr>
          <w:rFonts w:hint="eastAsia" w:asciiTheme="minorEastAsia" w:hAnsiTheme="minorEastAsia" w:eastAsiaTheme="minorEastAsia"/>
          <w:color w:val="auto"/>
          <w:sz w:val="24"/>
        </w:rPr>
        <w:t>根据</w:t>
      </w:r>
      <w:r>
        <w:rPr>
          <w:rFonts w:asciiTheme="minorEastAsia" w:hAnsiTheme="minorEastAsia" w:eastAsiaTheme="minorEastAsia"/>
          <w:color w:val="auto"/>
          <w:sz w:val="24"/>
        </w:rPr>
        <w:t>高平峰情况，发车间隔为10-30分钟</w:t>
      </w:r>
      <w:r>
        <w:rPr>
          <w:rFonts w:hint="eastAsia" w:asciiTheme="minorEastAsia" w:hAnsiTheme="minorEastAsia" w:eastAsiaTheme="minorEastAsia"/>
          <w:color w:val="auto"/>
          <w:sz w:val="24"/>
        </w:rPr>
        <w:t>不等</w:t>
      </w:r>
      <w:r>
        <w:rPr>
          <w:rFonts w:asciiTheme="minorEastAsia" w:hAnsiTheme="minorEastAsia" w:eastAsiaTheme="minorEastAsia"/>
          <w:color w:val="auto"/>
          <w:sz w:val="24"/>
        </w:rPr>
        <w:t>，运营时间为6：00-22:30</w:t>
      </w:r>
      <w:r>
        <w:rPr>
          <w:rFonts w:hint="eastAsia" w:asciiTheme="minorEastAsia" w:hAnsiTheme="minorEastAsia" w:eastAsiaTheme="minorEastAsia"/>
          <w:color w:val="auto"/>
          <w:sz w:val="24"/>
        </w:rPr>
        <w:t>不等；最高值</w:t>
      </w:r>
      <w:r>
        <w:rPr>
          <w:rFonts w:asciiTheme="minorEastAsia" w:hAnsiTheme="minorEastAsia" w:eastAsiaTheme="minorEastAsia"/>
          <w:color w:val="auto"/>
          <w:sz w:val="24"/>
        </w:rPr>
        <w:t>情况下，</w:t>
      </w:r>
      <w:r>
        <w:rPr>
          <w:rFonts w:hint="eastAsia" w:asciiTheme="minorEastAsia" w:hAnsiTheme="minorEastAsia" w:eastAsiaTheme="minorEastAsia"/>
          <w:color w:val="auto"/>
          <w:sz w:val="24"/>
        </w:rPr>
        <w:t>根据</w:t>
      </w:r>
      <w:r>
        <w:rPr>
          <w:rFonts w:asciiTheme="minorEastAsia" w:hAnsiTheme="minorEastAsia" w:eastAsiaTheme="minorEastAsia"/>
          <w:color w:val="auto"/>
          <w:sz w:val="24"/>
        </w:rPr>
        <w:t>高平峰情况，发车间隔为10-20分钟</w:t>
      </w:r>
      <w:r>
        <w:rPr>
          <w:rFonts w:hint="eastAsia" w:asciiTheme="minorEastAsia" w:hAnsiTheme="minorEastAsia" w:eastAsiaTheme="minorEastAsia"/>
          <w:color w:val="auto"/>
          <w:sz w:val="24"/>
        </w:rPr>
        <w:t>不等</w:t>
      </w:r>
      <w:r>
        <w:rPr>
          <w:rFonts w:asciiTheme="minorEastAsia" w:hAnsiTheme="minorEastAsia" w:eastAsiaTheme="minorEastAsia"/>
          <w:color w:val="auto"/>
          <w:sz w:val="24"/>
        </w:rPr>
        <w:t>，运营时间为6：00-22:30</w:t>
      </w:r>
      <w:r>
        <w:rPr>
          <w:rFonts w:hint="eastAsia" w:asciiTheme="minorEastAsia" w:hAnsiTheme="minorEastAsia" w:eastAsiaTheme="minorEastAsia"/>
          <w:color w:val="auto"/>
          <w:sz w:val="24"/>
        </w:rPr>
        <w:t>不等。车辆</w:t>
      </w:r>
      <w:r>
        <w:rPr>
          <w:rFonts w:asciiTheme="minorEastAsia" w:hAnsiTheme="minorEastAsia" w:eastAsiaTheme="minorEastAsia"/>
          <w:color w:val="auto"/>
          <w:sz w:val="24"/>
        </w:rPr>
        <w:t>平均行驶速度</w:t>
      </w:r>
      <w:r>
        <w:rPr>
          <w:rFonts w:hint="eastAsia" w:asciiTheme="minorEastAsia" w:hAnsiTheme="minorEastAsia" w:eastAsiaTheme="minorEastAsia"/>
          <w:color w:val="auto"/>
          <w:sz w:val="24"/>
        </w:rPr>
        <w:t>不低于</w:t>
      </w:r>
      <w:r>
        <w:rPr>
          <w:rFonts w:asciiTheme="minorEastAsia" w:hAnsiTheme="minorEastAsia" w:eastAsiaTheme="minorEastAsia"/>
          <w:color w:val="auto"/>
          <w:sz w:val="24"/>
        </w:rPr>
        <w:t>20km/h,</w:t>
      </w:r>
      <w:r>
        <w:rPr>
          <w:rFonts w:hint="eastAsia" w:asciiTheme="minorEastAsia" w:hAnsiTheme="minorEastAsia" w:eastAsiaTheme="minorEastAsia"/>
          <w:color w:val="auto"/>
          <w:sz w:val="24"/>
        </w:rPr>
        <w:t>线路首末站中转休息时间不低于</w:t>
      </w:r>
      <w:r>
        <w:rPr>
          <w:rFonts w:asciiTheme="minorEastAsia" w:hAnsiTheme="minorEastAsia" w:eastAsiaTheme="minorEastAsia"/>
          <w:color w:val="auto"/>
          <w:sz w:val="24"/>
        </w:rPr>
        <w:t>5min。</w:t>
      </w:r>
    </w:p>
    <w:p>
      <w:pPr>
        <w:keepLines/>
        <w:spacing w:line="360" w:lineRule="auto"/>
        <w:jc w:val="center"/>
        <w:textAlignment w:val="center"/>
        <w:rPr>
          <w:rFonts w:asciiTheme="minorEastAsia" w:hAnsiTheme="minorEastAsia" w:eastAsiaTheme="minorEastAsia"/>
          <w:b/>
          <w:bCs/>
          <w:color w:val="auto"/>
          <w:szCs w:val="28"/>
        </w:rPr>
      </w:pPr>
      <w:r>
        <w:rPr>
          <w:rFonts w:asciiTheme="minorEastAsia" w:hAnsiTheme="minorEastAsia" w:eastAsiaTheme="minorEastAsia"/>
          <w:b/>
          <w:bCs/>
          <w:color w:val="auto"/>
          <w:szCs w:val="28"/>
        </w:rPr>
        <w:t>表1.6  城市公交线路运营情况表</w:t>
      </w:r>
    </w:p>
    <w:tbl>
      <w:tblPr>
        <w:tblStyle w:val="23"/>
        <w:tblW w:w="9833" w:type="dxa"/>
        <w:jc w:val="center"/>
        <w:tblInd w:w="0" w:type="dxa"/>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444"/>
        <w:gridCol w:w="1275"/>
        <w:gridCol w:w="805"/>
        <w:gridCol w:w="2314"/>
        <w:gridCol w:w="1040"/>
        <w:gridCol w:w="993"/>
      </w:tblGrid>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vMerge w:val="restart"/>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线路编号</w:t>
            </w:r>
          </w:p>
        </w:tc>
        <w:tc>
          <w:tcPr>
            <w:tcW w:w="2444" w:type="dxa"/>
            <w:vMerge w:val="restart"/>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首末站</w:t>
            </w:r>
          </w:p>
        </w:tc>
        <w:tc>
          <w:tcPr>
            <w:tcW w:w="1275" w:type="dxa"/>
            <w:vMerge w:val="restart"/>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线路长度（km）</w:t>
            </w:r>
          </w:p>
        </w:tc>
        <w:tc>
          <w:tcPr>
            <w:tcW w:w="805" w:type="dxa"/>
            <w:vMerge w:val="restart"/>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配车数</w:t>
            </w:r>
          </w:p>
        </w:tc>
        <w:tc>
          <w:tcPr>
            <w:tcW w:w="2314" w:type="dxa"/>
            <w:vMerge w:val="restart"/>
            <w:vAlign w:val="center"/>
          </w:tcPr>
          <w:p>
            <w:pPr>
              <w:widowControl/>
              <w:spacing w:line="360" w:lineRule="auto"/>
              <w:jc w:val="center"/>
              <w:rPr>
                <w:rFonts w:asciiTheme="minorEastAsia" w:hAnsiTheme="minorEastAsia" w:eastAsiaTheme="minorEastAsia"/>
                <w:bCs/>
                <w:color w:val="auto"/>
                <w:kern w:val="0"/>
              </w:rPr>
            </w:pPr>
            <w:r>
              <w:rPr>
                <w:rFonts w:hint="eastAsia" w:asciiTheme="minorEastAsia" w:hAnsiTheme="minorEastAsia" w:eastAsiaTheme="minorEastAsia"/>
                <w:bCs/>
                <w:color w:val="auto"/>
                <w:kern w:val="0"/>
              </w:rPr>
              <w:t>车型</w:t>
            </w:r>
          </w:p>
        </w:tc>
        <w:tc>
          <w:tcPr>
            <w:tcW w:w="2033" w:type="dxa"/>
            <w:gridSpan w:val="2"/>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hint="eastAsia" w:asciiTheme="minorEastAsia" w:hAnsiTheme="minorEastAsia" w:eastAsiaTheme="minorEastAsia"/>
                <w:bCs/>
                <w:color w:val="auto"/>
                <w:kern w:val="0"/>
              </w:rPr>
              <w:t>日发</w:t>
            </w:r>
            <w:r>
              <w:rPr>
                <w:rFonts w:asciiTheme="minorEastAsia" w:hAnsiTheme="minorEastAsia" w:eastAsiaTheme="minorEastAsia"/>
                <w:bCs/>
                <w:color w:val="auto"/>
                <w:kern w:val="0"/>
              </w:rPr>
              <w:t>班次</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vMerge w:val="continue"/>
            <w:shd w:val="clear" w:color="auto" w:fill="auto"/>
            <w:vAlign w:val="center"/>
          </w:tcPr>
          <w:p>
            <w:pPr>
              <w:widowControl/>
              <w:spacing w:line="360" w:lineRule="auto"/>
              <w:jc w:val="center"/>
              <w:rPr>
                <w:rFonts w:asciiTheme="minorEastAsia" w:hAnsiTheme="minorEastAsia" w:eastAsiaTheme="minorEastAsia"/>
                <w:bCs/>
                <w:color w:val="auto"/>
                <w:kern w:val="0"/>
              </w:rPr>
            </w:pPr>
          </w:p>
        </w:tc>
        <w:tc>
          <w:tcPr>
            <w:tcW w:w="2444" w:type="dxa"/>
            <w:vMerge w:val="continue"/>
            <w:shd w:val="clear" w:color="auto" w:fill="auto"/>
            <w:vAlign w:val="center"/>
          </w:tcPr>
          <w:p>
            <w:pPr>
              <w:widowControl/>
              <w:spacing w:line="360" w:lineRule="auto"/>
              <w:jc w:val="center"/>
              <w:rPr>
                <w:rFonts w:asciiTheme="minorEastAsia" w:hAnsiTheme="minorEastAsia" w:eastAsiaTheme="minorEastAsia"/>
                <w:bCs/>
                <w:color w:val="auto"/>
                <w:kern w:val="0"/>
              </w:rPr>
            </w:pPr>
          </w:p>
        </w:tc>
        <w:tc>
          <w:tcPr>
            <w:tcW w:w="1275" w:type="dxa"/>
            <w:vMerge w:val="continue"/>
            <w:shd w:val="clear" w:color="auto" w:fill="auto"/>
            <w:vAlign w:val="center"/>
          </w:tcPr>
          <w:p>
            <w:pPr>
              <w:widowControl/>
              <w:spacing w:line="360" w:lineRule="auto"/>
              <w:jc w:val="center"/>
              <w:rPr>
                <w:rFonts w:asciiTheme="minorEastAsia" w:hAnsiTheme="minorEastAsia" w:eastAsiaTheme="minorEastAsia"/>
                <w:bCs/>
                <w:color w:val="auto"/>
                <w:kern w:val="0"/>
              </w:rPr>
            </w:pPr>
          </w:p>
        </w:tc>
        <w:tc>
          <w:tcPr>
            <w:tcW w:w="805" w:type="dxa"/>
            <w:vMerge w:val="continue"/>
            <w:shd w:val="clear" w:color="auto" w:fill="auto"/>
            <w:vAlign w:val="center"/>
          </w:tcPr>
          <w:p>
            <w:pPr>
              <w:widowControl/>
              <w:spacing w:line="360" w:lineRule="auto"/>
              <w:jc w:val="center"/>
              <w:rPr>
                <w:rFonts w:asciiTheme="minorEastAsia" w:hAnsiTheme="minorEastAsia" w:eastAsiaTheme="minorEastAsia"/>
                <w:bCs/>
                <w:color w:val="auto"/>
                <w:kern w:val="0"/>
              </w:rPr>
            </w:pPr>
          </w:p>
        </w:tc>
        <w:tc>
          <w:tcPr>
            <w:tcW w:w="2314" w:type="dxa"/>
            <w:vMerge w:val="continue"/>
            <w:vAlign w:val="center"/>
          </w:tcPr>
          <w:p>
            <w:pPr>
              <w:widowControl/>
              <w:spacing w:line="360" w:lineRule="auto"/>
              <w:jc w:val="center"/>
              <w:rPr>
                <w:rFonts w:asciiTheme="minorEastAsia" w:hAnsiTheme="minorEastAsia" w:eastAsiaTheme="minorEastAsia"/>
                <w:bCs/>
                <w:color w:val="auto"/>
                <w:kern w:val="0"/>
              </w:rPr>
            </w:pPr>
          </w:p>
        </w:tc>
        <w:tc>
          <w:tcPr>
            <w:tcW w:w="1040" w:type="dxa"/>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hint="eastAsia" w:asciiTheme="minorEastAsia" w:hAnsiTheme="minorEastAsia" w:eastAsiaTheme="minorEastAsia"/>
                <w:bCs/>
                <w:color w:val="auto"/>
                <w:kern w:val="0"/>
              </w:rPr>
              <w:t>最低值</w:t>
            </w:r>
          </w:p>
        </w:tc>
        <w:tc>
          <w:tcPr>
            <w:tcW w:w="993" w:type="dxa"/>
          </w:tcPr>
          <w:p>
            <w:pPr>
              <w:widowControl/>
              <w:spacing w:line="360" w:lineRule="auto"/>
              <w:jc w:val="center"/>
              <w:rPr>
                <w:rFonts w:asciiTheme="minorEastAsia" w:hAnsiTheme="minorEastAsia" w:eastAsiaTheme="minorEastAsia"/>
                <w:bCs/>
                <w:color w:val="auto"/>
                <w:kern w:val="0"/>
              </w:rPr>
            </w:pPr>
            <w:r>
              <w:rPr>
                <w:rFonts w:hint="eastAsia" w:asciiTheme="minorEastAsia" w:hAnsiTheme="minorEastAsia" w:eastAsiaTheme="minorEastAsia"/>
                <w:bCs/>
                <w:color w:val="auto"/>
                <w:kern w:val="0"/>
              </w:rPr>
              <w:t>最高值</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101</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鱼鳞洲—新东方医院</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11.6</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178</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192</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102</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滨海北路—动车站</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10.8</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178</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192</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103</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动车站—滨海北路</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19.7</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136</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180</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104</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动车站—鱼鳞洲</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178</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192</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105</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鱼鳞洲—北黎村</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10.4</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178</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178</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106</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动车站—鱼鳞洲</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10.6</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178</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192</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107</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动车站—鱼鳞洲</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12.5</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166</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192</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108</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滨海北路—北黎村</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20.6</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136</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160</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109</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新墩—动车站</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12.6</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166</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166</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110</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新墩—动车站</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17.5</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6米级新能源公交车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136</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180</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111</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新东方医院—鱼鳞洲</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14.3</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166</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178</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112</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动车站—福久村</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24.5</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w:t>
            </w:r>
          </w:p>
        </w:tc>
        <w:tc>
          <w:tcPr>
            <w:tcW w:w="2314"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136</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166</w:t>
            </w: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备车数</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　</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　</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6</w:t>
            </w:r>
          </w:p>
        </w:tc>
        <w:tc>
          <w:tcPr>
            <w:tcW w:w="2314" w:type="dxa"/>
          </w:tcPr>
          <w:p>
            <w:pPr>
              <w:widowControl/>
              <w:spacing w:line="360" w:lineRule="auto"/>
              <w:jc w:val="center"/>
              <w:rPr>
                <w:rFonts w:asciiTheme="minorEastAsia" w:hAnsiTheme="minorEastAsia" w:eastAsiaTheme="minorEastAsia"/>
                <w:color w:val="auto"/>
                <w:kern w:val="0"/>
              </w:rPr>
            </w:pP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p>
        </w:tc>
        <w:tc>
          <w:tcPr>
            <w:tcW w:w="993" w:type="dxa"/>
            <w:vAlign w:val="center"/>
          </w:tcPr>
          <w:p>
            <w:pPr>
              <w:widowControl/>
              <w:spacing w:line="360" w:lineRule="auto"/>
              <w:jc w:val="center"/>
              <w:rPr>
                <w:rFonts w:asciiTheme="minorEastAsia" w:hAnsiTheme="minorEastAsia" w:eastAsiaTheme="minorEastAsia"/>
                <w:color w:val="auto"/>
                <w:kern w:val="0"/>
              </w:rPr>
            </w:pPr>
          </w:p>
        </w:tc>
      </w:tr>
      <w:tr>
        <w:tblPrEx>
          <w:tblBorders>
            <w:top w:val="double" w:color="auto" w:sz="4"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2"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合计</w:t>
            </w:r>
          </w:p>
        </w:tc>
        <w:tc>
          <w:tcPr>
            <w:tcW w:w="2444"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　</w:t>
            </w:r>
          </w:p>
        </w:tc>
        <w:tc>
          <w:tcPr>
            <w:tcW w:w="127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　</w:t>
            </w:r>
          </w:p>
        </w:tc>
        <w:tc>
          <w:tcPr>
            <w:tcW w:w="805"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102</w:t>
            </w:r>
          </w:p>
        </w:tc>
        <w:tc>
          <w:tcPr>
            <w:tcW w:w="2314" w:type="dxa"/>
          </w:tcPr>
          <w:p>
            <w:pPr>
              <w:widowControl/>
              <w:spacing w:line="360" w:lineRule="auto"/>
              <w:jc w:val="center"/>
              <w:rPr>
                <w:rFonts w:asciiTheme="minorEastAsia" w:hAnsiTheme="minorEastAsia" w:eastAsiaTheme="minorEastAsia"/>
                <w:color w:val="auto"/>
                <w:kern w:val="0"/>
              </w:rPr>
            </w:pPr>
          </w:p>
        </w:tc>
        <w:tc>
          <w:tcPr>
            <w:tcW w:w="1040" w:type="dxa"/>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1932</w:t>
            </w:r>
          </w:p>
        </w:tc>
        <w:tc>
          <w:tcPr>
            <w:tcW w:w="993" w:type="dxa"/>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2168</w:t>
            </w:r>
          </w:p>
        </w:tc>
      </w:tr>
    </w:tbl>
    <w:p>
      <w:pPr>
        <w:spacing w:line="360" w:lineRule="auto"/>
        <w:ind w:firstLine="440"/>
        <w:rPr>
          <w:rFonts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备注：</w:t>
      </w:r>
      <w:r>
        <w:rPr>
          <w:rFonts w:asciiTheme="minorEastAsia" w:hAnsiTheme="minorEastAsia" w:eastAsiaTheme="minorEastAsia"/>
          <w:color w:val="auto"/>
          <w:sz w:val="22"/>
          <w:szCs w:val="22"/>
        </w:rPr>
        <w:t>110</w:t>
      </w:r>
      <w:r>
        <w:rPr>
          <w:rFonts w:hint="eastAsia" w:asciiTheme="minorEastAsia" w:hAnsiTheme="minorEastAsia" w:eastAsiaTheme="minorEastAsia"/>
          <w:color w:val="auto"/>
          <w:sz w:val="22"/>
          <w:szCs w:val="22"/>
        </w:rPr>
        <w:t>路由于道路通行条件限制，暂时沿用</w:t>
      </w:r>
      <w:r>
        <w:rPr>
          <w:rFonts w:asciiTheme="minorEastAsia" w:hAnsiTheme="minorEastAsia" w:eastAsiaTheme="minorEastAsia"/>
          <w:color w:val="auto"/>
          <w:sz w:val="22"/>
          <w:szCs w:val="22"/>
        </w:rPr>
        <w:t>6</w:t>
      </w:r>
      <w:r>
        <w:rPr>
          <w:rFonts w:hint="eastAsia" w:asciiTheme="minorEastAsia" w:hAnsiTheme="minorEastAsia" w:eastAsiaTheme="minorEastAsia"/>
          <w:color w:val="auto"/>
          <w:sz w:val="22"/>
          <w:szCs w:val="22"/>
        </w:rPr>
        <w:t>米车辆，后续待道路通行条件满足后，将替换为</w:t>
      </w:r>
      <w:r>
        <w:rPr>
          <w:rFonts w:asciiTheme="minorEastAsia" w:hAnsiTheme="minorEastAsia" w:eastAsiaTheme="minorEastAsia"/>
          <w:color w:val="auto"/>
          <w:sz w:val="22"/>
          <w:szCs w:val="22"/>
        </w:rPr>
        <w:t>8</w:t>
      </w:r>
      <w:r>
        <w:rPr>
          <w:rFonts w:hint="eastAsia" w:asciiTheme="minorEastAsia" w:hAnsiTheme="minorEastAsia" w:eastAsiaTheme="minorEastAsia"/>
          <w:color w:val="auto"/>
          <w:sz w:val="22"/>
          <w:szCs w:val="22"/>
        </w:rPr>
        <w:t>米级新能源公交车。</w:t>
      </w:r>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2）城乡公交</w:t>
      </w:r>
    </w:p>
    <w:p>
      <w:pPr>
        <w:spacing w:line="360" w:lineRule="auto"/>
        <w:ind w:firstLine="641"/>
        <w:rPr>
          <w:rFonts w:hint="eastAsia" w:asciiTheme="minorEastAsia" w:hAnsiTheme="minorEastAsia" w:eastAsiaTheme="minorEastAsia"/>
          <w:color w:val="auto"/>
          <w:sz w:val="24"/>
        </w:rPr>
      </w:pPr>
      <w:r>
        <w:rPr>
          <w:rFonts w:asciiTheme="minorEastAsia" w:hAnsiTheme="minorEastAsia" w:eastAsiaTheme="minorEastAsia"/>
          <w:color w:val="auto"/>
          <w:sz w:val="24"/>
        </w:rPr>
        <w:t>城</w:t>
      </w:r>
      <w:r>
        <w:rPr>
          <w:rFonts w:hint="eastAsia" w:asciiTheme="minorEastAsia" w:hAnsiTheme="minorEastAsia" w:eastAsiaTheme="minorEastAsia"/>
          <w:color w:val="auto"/>
          <w:sz w:val="24"/>
        </w:rPr>
        <w:t>乡</w:t>
      </w:r>
      <w:r>
        <w:rPr>
          <w:rFonts w:asciiTheme="minorEastAsia" w:hAnsiTheme="minorEastAsia" w:eastAsiaTheme="minorEastAsia"/>
          <w:color w:val="auto"/>
          <w:sz w:val="24"/>
        </w:rPr>
        <w:t>公交运营8条线路，</w:t>
      </w:r>
      <w:r>
        <w:rPr>
          <w:rFonts w:hint="eastAsia" w:asciiTheme="minorEastAsia" w:hAnsiTheme="minorEastAsia" w:eastAsiaTheme="minorEastAsia"/>
          <w:color w:val="auto"/>
          <w:sz w:val="24"/>
        </w:rPr>
        <w:t>配车</w:t>
      </w:r>
      <w:r>
        <w:rPr>
          <w:rFonts w:asciiTheme="minorEastAsia" w:hAnsiTheme="minorEastAsia" w:eastAsiaTheme="minorEastAsia"/>
          <w:color w:val="auto"/>
          <w:sz w:val="24"/>
        </w:rPr>
        <w:t>73</w:t>
      </w:r>
      <w:r>
        <w:rPr>
          <w:rFonts w:hint="eastAsia" w:asciiTheme="minorEastAsia" w:hAnsiTheme="minorEastAsia" w:eastAsiaTheme="minorEastAsia"/>
          <w:color w:val="auto"/>
          <w:sz w:val="24"/>
        </w:rPr>
        <w:t>辆</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含</w:t>
      </w:r>
      <w:r>
        <w:rPr>
          <w:rFonts w:asciiTheme="minorEastAsia" w:hAnsiTheme="minorEastAsia" w:eastAsiaTheme="minorEastAsia"/>
          <w:color w:val="auto"/>
          <w:sz w:val="24"/>
        </w:rPr>
        <w:t>5</w:t>
      </w:r>
      <w:r>
        <w:rPr>
          <w:rFonts w:hint="eastAsia" w:asciiTheme="minorEastAsia" w:hAnsiTheme="minorEastAsia" w:eastAsiaTheme="minorEastAsia"/>
          <w:color w:val="auto"/>
          <w:sz w:val="24"/>
        </w:rPr>
        <w:t>辆</w:t>
      </w:r>
      <w:r>
        <w:rPr>
          <w:rFonts w:asciiTheme="minorEastAsia" w:hAnsiTheme="minorEastAsia" w:eastAsiaTheme="minorEastAsia"/>
          <w:color w:val="auto"/>
          <w:sz w:val="24"/>
        </w:rPr>
        <w:t>备用车）</w:t>
      </w:r>
      <w:r>
        <w:rPr>
          <w:rFonts w:hint="eastAsia" w:asciiTheme="minorEastAsia" w:hAnsiTheme="minorEastAsia" w:eastAsiaTheme="minorEastAsia"/>
          <w:color w:val="auto"/>
          <w:sz w:val="24"/>
        </w:rPr>
        <w:t>。最低值</w:t>
      </w:r>
      <w:r>
        <w:rPr>
          <w:rFonts w:asciiTheme="minorEastAsia" w:hAnsiTheme="minorEastAsia" w:eastAsiaTheme="minorEastAsia"/>
          <w:color w:val="auto"/>
          <w:sz w:val="24"/>
        </w:rPr>
        <w:t>情况下，</w:t>
      </w:r>
      <w:r>
        <w:rPr>
          <w:rFonts w:hint="eastAsia" w:asciiTheme="minorEastAsia" w:hAnsiTheme="minorEastAsia" w:eastAsiaTheme="minorEastAsia"/>
          <w:color w:val="auto"/>
          <w:sz w:val="24"/>
        </w:rPr>
        <w:t>根据</w:t>
      </w:r>
      <w:r>
        <w:rPr>
          <w:rFonts w:asciiTheme="minorEastAsia" w:hAnsiTheme="minorEastAsia" w:eastAsiaTheme="minorEastAsia"/>
          <w:color w:val="auto"/>
          <w:sz w:val="24"/>
        </w:rPr>
        <w:t>高平峰情况，发车间隔为15-220分钟</w:t>
      </w:r>
      <w:r>
        <w:rPr>
          <w:rFonts w:hint="eastAsia" w:asciiTheme="minorEastAsia" w:hAnsiTheme="minorEastAsia" w:eastAsiaTheme="minorEastAsia"/>
          <w:color w:val="auto"/>
          <w:sz w:val="24"/>
        </w:rPr>
        <w:t>不等</w:t>
      </w:r>
      <w:r>
        <w:rPr>
          <w:rFonts w:asciiTheme="minorEastAsia" w:hAnsiTheme="minorEastAsia" w:eastAsiaTheme="minorEastAsia"/>
          <w:color w:val="auto"/>
          <w:sz w:val="24"/>
        </w:rPr>
        <w:t>，运营时间为6：00-20:00</w:t>
      </w:r>
      <w:r>
        <w:rPr>
          <w:rFonts w:hint="eastAsia" w:asciiTheme="minorEastAsia" w:hAnsiTheme="minorEastAsia" w:eastAsiaTheme="minorEastAsia"/>
          <w:color w:val="auto"/>
          <w:sz w:val="24"/>
        </w:rPr>
        <w:t>不等；最高值</w:t>
      </w:r>
      <w:r>
        <w:rPr>
          <w:rFonts w:asciiTheme="minorEastAsia" w:hAnsiTheme="minorEastAsia" w:eastAsiaTheme="minorEastAsia"/>
          <w:color w:val="auto"/>
          <w:sz w:val="24"/>
        </w:rPr>
        <w:t>情况下，</w:t>
      </w:r>
      <w:r>
        <w:rPr>
          <w:rFonts w:hint="eastAsia" w:asciiTheme="minorEastAsia" w:hAnsiTheme="minorEastAsia" w:eastAsiaTheme="minorEastAsia"/>
          <w:color w:val="auto"/>
          <w:sz w:val="24"/>
        </w:rPr>
        <w:t>根据</w:t>
      </w:r>
      <w:r>
        <w:rPr>
          <w:rFonts w:asciiTheme="minorEastAsia" w:hAnsiTheme="minorEastAsia" w:eastAsiaTheme="minorEastAsia"/>
          <w:color w:val="auto"/>
          <w:sz w:val="24"/>
        </w:rPr>
        <w:t>高平峰情况，发车间隔为15-40分钟</w:t>
      </w:r>
      <w:r>
        <w:rPr>
          <w:rFonts w:hint="eastAsia" w:asciiTheme="minorEastAsia" w:hAnsiTheme="minorEastAsia" w:eastAsiaTheme="minorEastAsia"/>
          <w:color w:val="auto"/>
          <w:sz w:val="24"/>
        </w:rPr>
        <w:t>不等</w:t>
      </w:r>
      <w:r>
        <w:rPr>
          <w:rFonts w:asciiTheme="minorEastAsia" w:hAnsiTheme="minorEastAsia" w:eastAsiaTheme="minorEastAsia"/>
          <w:color w:val="auto"/>
          <w:sz w:val="24"/>
        </w:rPr>
        <w:t>，运营时间为6：00-20:00</w:t>
      </w:r>
      <w:r>
        <w:rPr>
          <w:rFonts w:hint="eastAsia" w:asciiTheme="minorEastAsia" w:hAnsiTheme="minorEastAsia" w:eastAsiaTheme="minorEastAsia"/>
          <w:color w:val="auto"/>
          <w:sz w:val="24"/>
        </w:rPr>
        <w:t>不等。车辆</w:t>
      </w:r>
      <w:r>
        <w:rPr>
          <w:rFonts w:asciiTheme="minorEastAsia" w:hAnsiTheme="minorEastAsia" w:eastAsiaTheme="minorEastAsia"/>
          <w:color w:val="auto"/>
          <w:sz w:val="24"/>
        </w:rPr>
        <w:t>平均行驶速度</w:t>
      </w:r>
      <w:r>
        <w:rPr>
          <w:rFonts w:hint="eastAsia" w:asciiTheme="minorEastAsia" w:hAnsiTheme="minorEastAsia" w:eastAsiaTheme="minorEastAsia"/>
          <w:color w:val="auto"/>
          <w:sz w:val="24"/>
        </w:rPr>
        <w:t>需在</w:t>
      </w:r>
      <w:r>
        <w:rPr>
          <w:rFonts w:asciiTheme="minorEastAsia" w:hAnsiTheme="minorEastAsia" w:eastAsiaTheme="minorEastAsia"/>
          <w:color w:val="auto"/>
          <w:sz w:val="24"/>
        </w:rPr>
        <w:t>25-40km/h</w:t>
      </w:r>
      <w:r>
        <w:rPr>
          <w:rFonts w:hint="eastAsia" w:asciiTheme="minorEastAsia" w:hAnsiTheme="minorEastAsia" w:eastAsiaTheme="minorEastAsia"/>
          <w:color w:val="auto"/>
          <w:sz w:val="24"/>
        </w:rPr>
        <w:t>之间</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线路首末站中转休息时间不低于</w:t>
      </w:r>
      <w:r>
        <w:rPr>
          <w:rFonts w:asciiTheme="minorEastAsia" w:hAnsiTheme="minorEastAsia" w:eastAsiaTheme="minorEastAsia"/>
          <w:color w:val="auto"/>
          <w:sz w:val="24"/>
        </w:rPr>
        <w:t>5min。</w:t>
      </w:r>
    </w:p>
    <w:p>
      <w:pPr>
        <w:spacing w:line="360" w:lineRule="auto"/>
        <w:ind w:firstLine="641"/>
        <w:rPr>
          <w:rFonts w:hint="eastAsia" w:asciiTheme="minorEastAsia" w:hAnsiTheme="minorEastAsia" w:eastAsiaTheme="minorEastAsia"/>
          <w:color w:val="auto"/>
          <w:sz w:val="24"/>
        </w:rPr>
      </w:pPr>
    </w:p>
    <w:p>
      <w:pPr>
        <w:spacing w:line="360" w:lineRule="auto"/>
        <w:ind w:firstLine="641"/>
        <w:rPr>
          <w:rFonts w:asciiTheme="minorEastAsia" w:hAnsiTheme="minorEastAsia" w:eastAsiaTheme="minorEastAsia"/>
          <w:color w:val="auto"/>
          <w:sz w:val="24"/>
        </w:rPr>
      </w:pPr>
    </w:p>
    <w:p>
      <w:pPr>
        <w:keepLines/>
        <w:spacing w:line="360" w:lineRule="auto"/>
        <w:jc w:val="center"/>
        <w:textAlignment w:val="center"/>
        <w:rPr>
          <w:rFonts w:asciiTheme="minorEastAsia" w:hAnsiTheme="minorEastAsia" w:eastAsiaTheme="minorEastAsia"/>
          <w:b/>
          <w:bCs/>
          <w:color w:val="auto"/>
          <w:szCs w:val="28"/>
        </w:rPr>
      </w:pPr>
      <w:r>
        <w:rPr>
          <w:rFonts w:asciiTheme="minorEastAsia" w:hAnsiTheme="minorEastAsia" w:eastAsiaTheme="minorEastAsia"/>
          <w:b/>
          <w:bCs/>
          <w:color w:val="auto"/>
          <w:szCs w:val="28"/>
        </w:rPr>
        <w:t>表1.7  城乡公交线路运营情况表</w:t>
      </w:r>
    </w:p>
    <w:tbl>
      <w:tblPr>
        <w:tblStyle w:val="23"/>
        <w:tblW w:w="9551" w:type="dxa"/>
        <w:jc w:val="center"/>
        <w:tblInd w:w="0" w:type="dxa"/>
        <w:tblLayout w:type="fixed"/>
        <w:tblCellMar>
          <w:top w:w="0" w:type="dxa"/>
          <w:left w:w="108" w:type="dxa"/>
          <w:bottom w:w="0" w:type="dxa"/>
          <w:right w:w="108" w:type="dxa"/>
        </w:tblCellMar>
      </w:tblPr>
      <w:tblGrid>
        <w:gridCol w:w="981"/>
        <w:gridCol w:w="1843"/>
        <w:gridCol w:w="1275"/>
        <w:gridCol w:w="993"/>
        <w:gridCol w:w="2411"/>
        <w:gridCol w:w="1048"/>
        <w:gridCol w:w="992"/>
        <w:gridCol w:w="8"/>
      </w:tblGrid>
      <w:tr>
        <w:tblPrEx>
          <w:tblLayout w:type="fixed"/>
          <w:tblCellMar>
            <w:top w:w="0" w:type="dxa"/>
            <w:left w:w="108" w:type="dxa"/>
            <w:bottom w:w="0" w:type="dxa"/>
            <w:right w:w="108" w:type="dxa"/>
          </w:tblCellMar>
        </w:tblPrEx>
        <w:trPr>
          <w:trHeight w:val="454" w:hRule="atLeast"/>
          <w:jc w:val="center"/>
        </w:trPr>
        <w:tc>
          <w:tcPr>
            <w:tcW w:w="981" w:type="dxa"/>
            <w:vMerge w:val="restart"/>
            <w:tcBorders>
              <w:top w:val="double" w:color="auto" w:sz="4" w:space="0"/>
              <w:left w:val="double" w:color="auto" w:sz="6"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线路名称</w:t>
            </w:r>
          </w:p>
        </w:tc>
        <w:tc>
          <w:tcPr>
            <w:tcW w:w="1843" w:type="dxa"/>
            <w:vMerge w:val="restart"/>
            <w:tcBorders>
              <w:top w:val="double" w:color="auto" w:sz="4" w:space="0"/>
              <w:left w:val="nil"/>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首末站</w:t>
            </w:r>
          </w:p>
        </w:tc>
        <w:tc>
          <w:tcPr>
            <w:tcW w:w="1275" w:type="dxa"/>
            <w:vMerge w:val="restart"/>
            <w:tcBorders>
              <w:top w:val="double" w:color="auto" w:sz="4" w:space="0"/>
              <w:left w:val="nil"/>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线路长度（km）</w:t>
            </w:r>
          </w:p>
        </w:tc>
        <w:tc>
          <w:tcPr>
            <w:tcW w:w="993" w:type="dxa"/>
            <w:vMerge w:val="restart"/>
            <w:tcBorders>
              <w:top w:val="double" w:color="auto" w:sz="4" w:space="0"/>
              <w:left w:val="nil"/>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asciiTheme="minorEastAsia" w:hAnsiTheme="minorEastAsia" w:eastAsiaTheme="minorEastAsia"/>
                <w:bCs/>
                <w:color w:val="auto"/>
                <w:kern w:val="0"/>
              </w:rPr>
              <w:t>配车数（辆）</w:t>
            </w:r>
          </w:p>
        </w:tc>
        <w:tc>
          <w:tcPr>
            <w:tcW w:w="2411" w:type="dxa"/>
            <w:vMerge w:val="restart"/>
            <w:tcBorders>
              <w:top w:val="double" w:color="auto" w:sz="4" w:space="0"/>
              <w:left w:val="single" w:color="auto" w:sz="4" w:space="0"/>
              <w:right w:val="single" w:color="auto" w:sz="4" w:space="0"/>
            </w:tcBorders>
            <w:vAlign w:val="center"/>
          </w:tcPr>
          <w:p>
            <w:pPr>
              <w:widowControl/>
              <w:spacing w:line="360" w:lineRule="auto"/>
              <w:jc w:val="center"/>
              <w:rPr>
                <w:rFonts w:asciiTheme="minorEastAsia" w:hAnsiTheme="minorEastAsia" w:eastAsiaTheme="minorEastAsia"/>
                <w:bCs/>
                <w:color w:val="auto"/>
                <w:kern w:val="0"/>
              </w:rPr>
            </w:pPr>
            <w:r>
              <w:rPr>
                <w:rFonts w:hint="eastAsia" w:asciiTheme="minorEastAsia" w:hAnsiTheme="minorEastAsia" w:eastAsiaTheme="minorEastAsia"/>
                <w:bCs/>
                <w:color w:val="auto"/>
                <w:kern w:val="0"/>
              </w:rPr>
              <w:t>车型</w:t>
            </w:r>
          </w:p>
        </w:tc>
        <w:tc>
          <w:tcPr>
            <w:tcW w:w="2048" w:type="dxa"/>
            <w:gridSpan w:val="3"/>
            <w:tcBorders>
              <w:top w:val="doub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hint="eastAsia" w:asciiTheme="minorEastAsia" w:hAnsiTheme="minorEastAsia" w:eastAsiaTheme="minorEastAsia"/>
                <w:bCs/>
                <w:color w:val="auto"/>
                <w:kern w:val="0"/>
              </w:rPr>
              <w:t>日发</w:t>
            </w:r>
            <w:r>
              <w:rPr>
                <w:rFonts w:asciiTheme="minorEastAsia" w:hAnsiTheme="minorEastAsia" w:eastAsiaTheme="minorEastAsia"/>
                <w:bCs/>
                <w:color w:val="auto"/>
                <w:kern w:val="0"/>
              </w:rPr>
              <w:t>班次</w:t>
            </w: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vMerge w:val="continue"/>
            <w:tcBorders>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p>
        </w:tc>
        <w:tc>
          <w:tcPr>
            <w:tcW w:w="1843" w:type="dxa"/>
            <w:vMerge w:val="continue"/>
            <w:tcBorders>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p>
        </w:tc>
        <w:tc>
          <w:tcPr>
            <w:tcW w:w="1275" w:type="dxa"/>
            <w:vMerge w:val="continue"/>
            <w:tcBorders>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p>
        </w:tc>
        <w:tc>
          <w:tcPr>
            <w:tcW w:w="993" w:type="dxa"/>
            <w:vMerge w:val="continue"/>
            <w:tcBorders>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p>
        </w:tc>
        <w:tc>
          <w:tcPr>
            <w:tcW w:w="2411" w:type="dxa"/>
            <w:vMerge w:val="continue"/>
            <w:tcBorders>
              <w:left w:val="single" w:color="auto" w:sz="4" w:space="0"/>
              <w:bottom w:val="single" w:color="auto" w:sz="4" w:space="0"/>
              <w:right w:val="single" w:color="auto" w:sz="4" w:space="0"/>
            </w:tcBorders>
            <w:vAlign w:val="center"/>
          </w:tcPr>
          <w:p>
            <w:pPr>
              <w:widowControl/>
              <w:spacing w:line="360" w:lineRule="auto"/>
              <w:jc w:val="center"/>
              <w:rPr>
                <w:rFonts w:asciiTheme="minorEastAsia" w:hAnsiTheme="minorEastAsia" w:eastAsiaTheme="minorEastAsia"/>
                <w:bCs/>
                <w:color w:val="auto"/>
                <w:kern w:val="0"/>
              </w:rPr>
            </w:pP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bCs/>
                <w:color w:val="auto"/>
                <w:kern w:val="0"/>
              </w:rPr>
            </w:pPr>
            <w:r>
              <w:rPr>
                <w:rFonts w:hint="eastAsia" w:asciiTheme="minorEastAsia" w:hAnsiTheme="minorEastAsia" w:eastAsiaTheme="minorEastAsia"/>
                <w:bCs/>
                <w:color w:val="auto"/>
                <w:kern w:val="0"/>
              </w:rPr>
              <w:t>最低值</w:t>
            </w:r>
          </w:p>
        </w:tc>
        <w:tc>
          <w:tcPr>
            <w:tcW w:w="992" w:type="dxa"/>
            <w:tcBorders>
              <w:top w:val="single" w:color="auto" w:sz="4" w:space="0"/>
              <w:left w:val="single" w:color="auto" w:sz="4" w:space="0"/>
              <w:bottom w:val="single" w:color="auto" w:sz="4" w:space="0"/>
              <w:right w:val="double" w:color="auto" w:sz="4" w:space="0"/>
            </w:tcBorders>
            <w:vAlign w:val="center"/>
          </w:tcPr>
          <w:p>
            <w:pPr>
              <w:widowControl/>
              <w:spacing w:line="360" w:lineRule="auto"/>
              <w:jc w:val="center"/>
              <w:rPr>
                <w:rFonts w:asciiTheme="minorEastAsia" w:hAnsiTheme="minorEastAsia" w:eastAsiaTheme="minorEastAsia"/>
                <w:bCs/>
                <w:color w:val="auto"/>
                <w:kern w:val="0"/>
              </w:rPr>
            </w:pPr>
            <w:r>
              <w:rPr>
                <w:rFonts w:hint="eastAsia" w:asciiTheme="minorEastAsia" w:hAnsiTheme="minorEastAsia" w:eastAsiaTheme="minorEastAsia"/>
                <w:bCs/>
                <w:color w:val="auto"/>
                <w:kern w:val="0"/>
              </w:rPr>
              <w:t>最高值</w:t>
            </w: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201</w:t>
            </w:r>
          </w:p>
        </w:tc>
        <w:tc>
          <w:tcPr>
            <w:tcW w:w="18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八所-板桥</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45.9</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w:t>
            </w:r>
          </w:p>
        </w:tc>
        <w:tc>
          <w:tcPr>
            <w:tcW w:w="241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120</w:t>
            </w:r>
          </w:p>
        </w:tc>
        <w:tc>
          <w:tcPr>
            <w:tcW w:w="992" w:type="dxa"/>
            <w:tcBorders>
              <w:top w:val="single" w:color="auto" w:sz="4" w:space="0"/>
              <w:left w:val="single" w:color="auto" w:sz="4" w:space="0"/>
              <w:bottom w:val="single" w:color="auto" w:sz="4" w:space="0"/>
              <w:right w:val="double" w:color="auto" w:sz="4" w:space="0"/>
            </w:tcBorders>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162</w:t>
            </w: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202</w:t>
            </w:r>
          </w:p>
        </w:tc>
        <w:tc>
          <w:tcPr>
            <w:tcW w:w="18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八所-公爱农场</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48.5</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w:t>
            </w:r>
          </w:p>
        </w:tc>
        <w:tc>
          <w:tcPr>
            <w:tcW w:w="241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18</w:t>
            </w:r>
          </w:p>
        </w:tc>
        <w:tc>
          <w:tcPr>
            <w:tcW w:w="992" w:type="dxa"/>
            <w:tcBorders>
              <w:top w:val="nil"/>
              <w:left w:val="single" w:color="auto" w:sz="4" w:space="0"/>
              <w:bottom w:val="single" w:color="auto" w:sz="4" w:space="0"/>
              <w:right w:val="double" w:color="auto" w:sz="6" w:space="0"/>
            </w:tcBorders>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42</w:t>
            </w: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203</w:t>
            </w:r>
          </w:p>
        </w:tc>
        <w:tc>
          <w:tcPr>
            <w:tcW w:w="18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八所-玉雄</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40.5</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w:t>
            </w:r>
          </w:p>
        </w:tc>
        <w:tc>
          <w:tcPr>
            <w:tcW w:w="241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6米级新能源公交车</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72</w:t>
            </w:r>
          </w:p>
        </w:tc>
        <w:tc>
          <w:tcPr>
            <w:tcW w:w="992" w:type="dxa"/>
            <w:tcBorders>
              <w:top w:val="nil"/>
              <w:left w:val="single" w:color="auto" w:sz="4" w:space="0"/>
              <w:bottom w:val="single" w:color="auto" w:sz="4" w:space="0"/>
              <w:right w:val="double" w:color="auto" w:sz="6" w:space="0"/>
            </w:tcBorders>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112</w:t>
            </w: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204</w:t>
            </w:r>
          </w:p>
        </w:tc>
        <w:tc>
          <w:tcPr>
            <w:tcW w:w="18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八所-英显</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26.9</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10</w:t>
            </w:r>
          </w:p>
        </w:tc>
        <w:tc>
          <w:tcPr>
            <w:tcW w:w="241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6米级新能源公交车</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76</w:t>
            </w:r>
          </w:p>
        </w:tc>
        <w:tc>
          <w:tcPr>
            <w:tcW w:w="992" w:type="dxa"/>
            <w:tcBorders>
              <w:top w:val="nil"/>
              <w:left w:val="single" w:color="auto" w:sz="4" w:space="0"/>
              <w:bottom w:val="single" w:color="auto" w:sz="4" w:space="0"/>
              <w:right w:val="double" w:color="auto" w:sz="6" w:space="0"/>
            </w:tcBorders>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112</w:t>
            </w: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205</w:t>
            </w:r>
          </w:p>
        </w:tc>
        <w:tc>
          <w:tcPr>
            <w:tcW w:w="18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八所-红泉农场</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36.5</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w:t>
            </w:r>
          </w:p>
        </w:tc>
        <w:tc>
          <w:tcPr>
            <w:tcW w:w="241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6米级新能源公交车</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26</w:t>
            </w:r>
          </w:p>
        </w:tc>
        <w:tc>
          <w:tcPr>
            <w:tcW w:w="992" w:type="dxa"/>
            <w:tcBorders>
              <w:top w:val="nil"/>
              <w:left w:val="single" w:color="auto" w:sz="4" w:space="0"/>
              <w:bottom w:val="single" w:color="auto" w:sz="4" w:space="0"/>
              <w:right w:val="double" w:color="auto" w:sz="6" w:space="0"/>
            </w:tcBorders>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42</w:t>
            </w: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206</w:t>
            </w:r>
          </w:p>
        </w:tc>
        <w:tc>
          <w:tcPr>
            <w:tcW w:w="18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八所-东河</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44.3</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14</w:t>
            </w:r>
          </w:p>
        </w:tc>
        <w:tc>
          <w:tcPr>
            <w:tcW w:w="241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6米级新能源公交车</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84</w:t>
            </w:r>
          </w:p>
        </w:tc>
        <w:tc>
          <w:tcPr>
            <w:tcW w:w="992" w:type="dxa"/>
            <w:tcBorders>
              <w:top w:val="nil"/>
              <w:left w:val="single" w:color="auto" w:sz="4" w:space="0"/>
              <w:bottom w:val="single" w:color="auto" w:sz="4" w:space="0"/>
              <w:right w:val="double" w:color="auto" w:sz="6" w:space="0"/>
            </w:tcBorders>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140</w:t>
            </w: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207</w:t>
            </w:r>
          </w:p>
        </w:tc>
        <w:tc>
          <w:tcPr>
            <w:tcW w:w="18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八所-公爱村</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55.7</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4</w:t>
            </w:r>
          </w:p>
        </w:tc>
        <w:tc>
          <w:tcPr>
            <w:tcW w:w="241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6米级新能源公交车</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18</w:t>
            </w:r>
          </w:p>
        </w:tc>
        <w:tc>
          <w:tcPr>
            <w:tcW w:w="992" w:type="dxa"/>
            <w:tcBorders>
              <w:top w:val="nil"/>
              <w:left w:val="single" w:color="auto" w:sz="4" w:space="0"/>
              <w:bottom w:val="single" w:color="auto" w:sz="4" w:space="0"/>
              <w:right w:val="double" w:color="auto" w:sz="6" w:space="0"/>
            </w:tcBorders>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32</w:t>
            </w: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tcBorders>
              <w:top w:val="nil"/>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208</w:t>
            </w:r>
          </w:p>
        </w:tc>
        <w:tc>
          <w:tcPr>
            <w:tcW w:w="184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八所-江边</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60.8</w:t>
            </w:r>
          </w:p>
        </w:tc>
        <w:tc>
          <w:tcPr>
            <w:tcW w:w="99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2</w:t>
            </w:r>
          </w:p>
        </w:tc>
        <w:tc>
          <w:tcPr>
            <w:tcW w:w="241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8</w:t>
            </w:r>
          </w:p>
        </w:tc>
        <w:tc>
          <w:tcPr>
            <w:tcW w:w="992" w:type="dxa"/>
            <w:tcBorders>
              <w:top w:val="nil"/>
              <w:left w:val="single" w:color="auto" w:sz="4" w:space="0"/>
              <w:bottom w:val="single" w:color="auto" w:sz="4" w:space="0"/>
              <w:right w:val="double" w:color="auto" w:sz="6" w:space="0"/>
            </w:tcBorders>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32</w:t>
            </w: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tcBorders>
              <w:top w:val="single" w:color="auto" w:sz="4" w:space="0"/>
              <w:left w:val="double" w:color="auto" w:sz="6" w:space="0"/>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备车数</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5</w:t>
            </w:r>
          </w:p>
        </w:tc>
        <w:tc>
          <w:tcPr>
            <w:tcW w:w="241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8米级新能源公交车</w:t>
            </w:r>
          </w:p>
        </w:tc>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bottom"/>
              <w:rPr>
                <w:rFonts w:cs="仿宋" w:asciiTheme="minorEastAsia" w:hAnsiTheme="minorEastAsia" w:eastAsiaTheme="minorEastAsia"/>
                <w:color w:val="auto"/>
                <w:kern w:val="0"/>
              </w:rPr>
            </w:pPr>
          </w:p>
        </w:tc>
        <w:tc>
          <w:tcPr>
            <w:tcW w:w="992" w:type="dxa"/>
            <w:tcBorders>
              <w:top w:val="single" w:color="auto" w:sz="4" w:space="0"/>
              <w:left w:val="single" w:color="auto" w:sz="4" w:space="0"/>
              <w:bottom w:val="single" w:color="auto" w:sz="4" w:space="0"/>
              <w:right w:val="double" w:color="auto" w:sz="6" w:space="0"/>
            </w:tcBorders>
            <w:vAlign w:val="center"/>
          </w:tcPr>
          <w:p>
            <w:pPr>
              <w:widowControl/>
              <w:spacing w:line="360" w:lineRule="auto"/>
              <w:jc w:val="center"/>
              <w:rPr>
                <w:rFonts w:asciiTheme="minorEastAsia" w:hAnsiTheme="minorEastAsia" w:eastAsiaTheme="minorEastAsia"/>
                <w:color w:val="auto"/>
                <w:kern w:val="0"/>
              </w:rPr>
            </w:pPr>
          </w:p>
        </w:tc>
      </w:tr>
      <w:tr>
        <w:tblPrEx>
          <w:tblLayout w:type="fixed"/>
          <w:tblCellMar>
            <w:top w:w="0" w:type="dxa"/>
            <w:left w:w="108" w:type="dxa"/>
            <w:bottom w:w="0" w:type="dxa"/>
            <w:right w:w="108" w:type="dxa"/>
          </w:tblCellMar>
        </w:tblPrEx>
        <w:trPr>
          <w:gridAfter w:val="1"/>
          <w:wAfter w:w="8" w:type="dxa"/>
          <w:trHeight w:val="454" w:hRule="atLeast"/>
          <w:jc w:val="center"/>
        </w:trPr>
        <w:tc>
          <w:tcPr>
            <w:tcW w:w="981" w:type="dxa"/>
            <w:tcBorders>
              <w:top w:val="single" w:color="auto" w:sz="4" w:space="0"/>
              <w:left w:val="double" w:color="auto" w:sz="6" w:space="0"/>
              <w:bottom w:val="double" w:color="auto" w:sz="6"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合计</w:t>
            </w:r>
          </w:p>
        </w:tc>
        <w:tc>
          <w:tcPr>
            <w:tcW w:w="1843" w:type="dxa"/>
            <w:tcBorders>
              <w:top w:val="single" w:color="auto" w:sz="4" w:space="0"/>
              <w:left w:val="nil"/>
              <w:bottom w:val="double" w:color="auto" w:sz="6"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p>
        </w:tc>
        <w:tc>
          <w:tcPr>
            <w:tcW w:w="1275" w:type="dxa"/>
            <w:tcBorders>
              <w:top w:val="single" w:color="auto" w:sz="4" w:space="0"/>
              <w:left w:val="nil"/>
              <w:bottom w:val="double" w:color="auto" w:sz="6"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p>
        </w:tc>
        <w:tc>
          <w:tcPr>
            <w:tcW w:w="993" w:type="dxa"/>
            <w:tcBorders>
              <w:top w:val="single" w:color="auto" w:sz="4" w:space="0"/>
              <w:left w:val="nil"/>
              <w:bottom w:val="double" w:color="auto" w:sz="6" w:space="0"/>
              <w:right w:val="single" w:color="auto" w:sz="4" w:space="0"/>
            </w:tcBorders>
            <w:shd w:val="clear" w:color="auto" w:fill="auto"/>
            <w:vAlign w:val="center"/>
          </w:tcPr>
          <w:p>
            <w:pPr>
              <w:widowControl/>
              <w:spacing w:line="360" w:lineRule="auto"/>
              <w:jc w:val="center"/>
              <w:rPr>
                <w:rFonts w:asciiTheme="minorEastAsia" w:hAnsiTheme="minorEastAsia" w:eastAsiaTheme="minorEastAsia"/>
                <w:color w:val="auto"/>
                <w:kern w:val="0"/>
              </w:rPr>
            </w:pPr>
            <w:r>
              <w:rPr>
                <w:rFonts w:asciiTheme="minorEastAsia" w:hAnsiTheme="minorEastAsia" w:eastAsiaTheme="minorEastAsia"/>
                <w:color w:val="auto"/>
                <w:kern w:val="0"/>
              </w:rPr>
              <w:t>73</w:t>
            </w:r>
          </w:p>
        </w:tc>
        <w:tc>
          <w:tcPr>
            <w:tcW w:w="2411" w:type="dxa"/>
            <w:tcBorders>
              <w:top w:val="single" w:color="auto" w:sz="4" w:space="0"/>
              <w:left w:val="single" w:color="auto" w:sz="4" w:space="0"/>
              <w:bottom w:val="double" w:color="auto" w:sz="6" w:space="0"/>
              <w:right w:val="single" w:color="auto" w:sz="4" w:space="0"/>
            </w:tcBorders>
          </w:tcPr>
          <w:p>
            <w:pPr>
              <w:widowControl/>
              <w:spacing w:line="360" w:lineRule="auto"/>
              <w:jc w:val="center"/>
              <w:rPr>
                <w:rFonts w:asciiTheme="minorEastAsia" w:hAnsiTheme="minorEastAsia" w:eastAsiaTheme="minorEastAsia"/>
                <w:color w:val="auto"/>
                <w:kern w:val="0"/>
              </w:rPr>
            </w:pPr>
          </w:p>
        </w:tc>
        <w:tc>
          <w:tcPr>
            <w:tcW w:w="1048" w:type="dxa"/>
            <w:tcBorders>
              <w:top w:val="single" w:color="auto" w:sz="4" w:space="0"/>
              <w:left w:val="single" w:color="auto" w:sz="4" w:space="0"/>
              <w:bottom w:val="double" w:color="auto" w:sz="6" w:space="0"/>
              <w:right w:val="single" w:color="auto" w:sz="4" w:space="0"/>
            </w:tcBorders>
            <w:shd w:val="clear" w:color="auto" w:fill="auto"/>
            <w:vAlign w:val="center"/>
          </w:tcPr>
          <w:p>
            <w:pPr>
              <w:widowControl/>
              <w:spacing w:line="360" w:lineRule="auto"/>
              <w:jc w:val="center"/>
              <w:textAlignment w:val="bottom"/>
              <w:rPr>
                <w:rFonts w:cs="仿宋" w:asciiTheme="minorEastAsia" w:hAnsiTheme="minorEastAsia" w:eastAsiaTheme="minorEastAsia"/>
                <w:color w:val="auto"/>
                <w:kern w:val="0"/>
              </w:rPr>
            </w:pPr>
            <w:r>
              <w:rPr>
                <w:rFonts w:cs="仿宋" w:asciiTheme="minorEastAsia" w:hAnsiTheme="minorEastAsia" w:eastAsiaTheme="minorEastAsia"/>
                <w:color w:val="auto"/>
                <w:kern w:val="0"/>
              </w:rPr>
              <w:t>422</w:t>
            </w:r>
          </w:p>
        </w:tc>
        <w:tc>
          <w:tcPr>
            <w:tcW w:w="992" w:type="dxa"/>
            <w:tcBorders>
              <w:top w:val="single" w:color="auto" w:sz="4" w:space="0"/>
              <w:left w:val="single" w:color="auto" w:sz="4" w:space="0"/>
              <w:bottom w:val="double" w:color="auto" w:sz="6" w:space="0"/>
              <w:right w:val="double" w:color="auto" w:sz="6" w:space="0"/>
            </w:tcBorders>
            <w:vAlign w:val="center"/>
          </w:tcPr>
          <w:p>
            <w:pPr>
              <w:widowControl/>
              <w:spacing w:line="360" w:lineRule="auto"/>
              <w:jc w:val="center"/>
              <w:rPr>
                <w:rFonts w:cs="宋体" w:asciiTheme="minorEastAsia" w:hAnsiTheme="minorEastAsia" w:eastAsiaTheme="minorEastAsia"/>
                <w:color w:val="auto"/>
                <w:kern w:val="0"/>
              </w:rPr>
            </w:pPr>
            <w:r>
              <w:rPr>
                <w:rFonts w:asciiTheme="minorEastAsia" w:hAnsiTheme="minorEastAsia" w:eastAsiaTheme="minorEastAsia"/>
                <w:color w:val="auto"/>
                <w:kern w:val="0"/>
              </w:rPr>
              <w:t>674</w:t>
            </w:r>
          </w:p>
        </w:tc>
      </w:tr>
    </w:tbl>
    <w:p>
      <w:pPr>
        <w:spacing w:line="360" w:lineRule="auto"/>
        <w:ind w:firstLine="480"/>
        <w:rPr>
          <w:rFonts w:asciiTheme="minorEastAsia" w:hAnsiTheme="minorEastAsia" w:eastAsiaTheme="minorEastAsia"/>
          <w:color w:val="auto"/>
        </w:rPr>
      </w:pPr>
    </w:p>
    <w:p>
      <w:pPr>
        <w:pStyle w:val="3"/>
        <w:keepNext w:val="0"/>
        <w:keepLines w:val="0"/>
        <w:spacing w:before="0" w:after="0" w:line="360" w:lineRule="auto"/>
        <w:rPr>
          <w:rFonts w:asciiTheme="minorEastAsia" w:hAnsiTheme="minorEastAsia" w:eastAsiaTheme="minorEastAsia"/>
          <w:color w:val="auto"/>
        </w:rPr>
      </w:pPr>
      <w:bookmarkStart w:id="27" w:name="_Toc19881762"/>
      <w:bookmarkStart w:id="28" w:name="_Toc14266198"/>
      <w:r>
        <w:rPr>
          <w:rFonts w:hint="eastAsia" w:asciiTheme="minorEastAsia" w:hAnsiTheme="minorEastAsia" w:eastAsiaTheme="minorEastAsia"/>
          <w:color w:val="auto"/>
        </w:rPr>
        <w:t>（二）项目实施必要性及可行性分析</w:t>
      </w:r>
      <w:bookmarkEnd w:id="27"/>
      <w:bookmarkEnd w:id="28"/>
    </w:p>
    <w:p>
      <w:pPr>
        <w:pStyle w:val="4"/>
        <w:keepNext w:val="0"/>
        <w:keepLines w:val="0"/>
        <w:spacing w:before="0" w:after="0" w:line="360" w:lineRule="auto"/>
        <w:rPr>
          <w:rFonts w:asciiTheme="minorEastAsia" w:hAnsiTheme="minorEastAsia" w:eastAsiaTheme="minorEastAsia"/>
          <w:color w:val="auto"/>
          <w:sz w:val="28"/>
          <w:szCs w:val="28"/>
        </w:rPr>
      </w:pPr>
      <w:bookmarkStart w:id="29" w:name="_Toc19881763"/>
      <w:bookmarkStart w:id="30" w:name="_Toc14266199"/>
      <w:bookmarkStart w:id="31" w:name="_Toc532748603"/>
      <w:r>
        <w:rPr>
          <w:rFonts w:asciiTheme="minorEastAsia" w:hAnsiTheme="minorEastAsia" w:eastAsiaTheme="minorEastAsia"/>
          <w:color w:val="auto"/>
          <w:sz w:val="28"/>
          <w:szCs w:val="28"/>
        </w:rPr>
        <w:t>1.</w:t>
      </w:r>
      <w:r>
        <w:rPr>
          <w:rFonts w:hint="eastAsia" w:asciiTheme="minorEastAsia" w:hAnsiTheme="minorEastAsia" w:eastAsiaTheme="minorEastAsia"/>
          <w:color w:val="auto"/>
          <w:sz w:val="28"/>
          <w:szCs w:val="28"/>
        </w:rPr>
        <w:t>城乡公交客运一体化项目运作的意义</w:t>
      </w:r>
      <w:bookmarkEnd w:id="29"/>
      <w:bookmarkEnd w:id="30"/>
      <w:bookmarkEnd w:id="31"/>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根据交通运输部《关于积极推进城乡道路客运一体化发展的意见》（交运发</w:t>
      </w:r>
      <w:r>
        <w:rPr>
          <w:rFonts w:asciiTheme="minorEastAsia" w:hAnsiTheme="minorEastAsia" w:eastAsiaTheme="minorEastAsia"/>
          <w:color w:val="auto"/>
          <w:sz w:val="24"/>
        </w:rPr>
        <w:t>[2011]490</w:t>
      </w:r>
      <w:r>
        <w:rPr>
          <w:rFonts w:hint="eastAsia" w:asciiTheme="minorEastAsia" w:hAnsiTheme="minorEastAsia" w:eastAsiaTheme="minorEastAsia"/>
          <w:color w:val="auto"/>
          <w:sz w:val="24"/>
        </w:rPr>
        <w:t>号）中所述，城乡一体的客运网络服务体系由城际、城市、城乡、镇村四级网络构成，主要包括三类系统，城际客运系统、城市客运系统、农村客运系统。推进城乡道路客运一体化发展，实现城乡道路客运资源共享、政策协调、衔接顺畅、布局合理、结构优化、服务优质，是实践科学发展观、贯彻中央统筹城乡协调发展战略、落实中央“三农”政策的重要举措，是加快转变城乡道路客运发展方式、提升行业可持续发展能力、发挥行业比较优势的迫切需要，对推进城乡道路客运基本公共服务均等化具有重要意义。</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城乡道路客运一体化的特征体现在五个方面：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一是实现城乡道路客运“路”与“站”的统筹发展。也就是通常所说的实现“城乡交通基础设施一体化”。这项工作，在公路网络方面，我国中东部地区大多已经做到位，西部地区也取得显著成效；但在场站的衔接配套方面，仍然有较大欠缺，如东方目前的城乡客运专用场站几乎没有。</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二是实现城乡道路客运运营服务的衔接整合。即城市公交的“线”与农村客运的“线”在运力配置、服务时间、班次安排等方面要衔接配套，推进“城乡道路客运运输组织一体化”。这是城乡道路客运一体化最实质的内容，在这方面目前东方的重视度还不够。</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三是统一城乡道路客运服务定价机制。城乡道路客运服务均等化不是城乡采取绝对一样的票价，而是强调城乡道路客运服务均采用公益性服务的定价原则，既要让农村群众能够像城市居民一样从基本公共服务中享受到真正的实惠，在政府财政能力可承受的条件下，给经营企业留有合理的经营利润。</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四是统一城乡道路客运服务标准。统一城乡道路客运服务标准的本质，是指农村群众能够与城市居民一样，大多数属于普遍服务范畴的出行需求，都有一种与该出行需求相适应的客运服务供给方式给予满足。城乡公交一体化是统一城乡道路客运服务标准的一种重要方式，在客运站场布局与运力发展规划过程中，将城乡道路客运作为一个整体来考虑，运力需求预测与道路客运站场规模、功能与位置设计，需综合考虑城乡居民特点的出行需求，做到路、站、线规划统筹、建设进度配套，运力投入协同，城乡道路客运服务品质体现价值均等化，需求差异化。</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五是统一城乡一体的客运服务保障体系的建设。可以提炼为实现“三个一致””即：城市公交与农村客运的公益性服务地位认定一致，城市与农村客运的财政补贴与政策扶持标准一致，城市与农村客运的服务质量监管要求一致。我国各地推行的城乡道路客运管理体制机制一体化或城乡道路客运经营主体一体化，其本质是为实现城乡道路客运均等化目标而采取的一种手段或措施。通过协同配合的工作机制，将整个城乡道路客运市场当成一个整体来管理，实现城乡道路客运的公益性服务业务、竞争性业务、准公益性业务统筹管理、错位发展。各种经济性质的道路客运，服务边界清晰，服务功能互补。</w:t>
      </w:r>
    </w:p>
    <w:p>
      <w:pPr>
        <w:pStyle w:val="4"/>
        <w:spacing w:line="360" w:lineRule="auto"/>
        <w:ind w:firstLine="643"/>
        <w:rPr>
          <w:rFonts w:asciiTheme="minorEastAsia" w:hAnsiTheme="minorEastAsia" w:eastAsiaTheme="minorEastAsia"/>
          <w:color w:val="auto"/>
          <w:sz w:val="24"/>
        </w:rPr>
      </w:pPr>
      <w:bookmarkStart w:id="32" w:name="_Toc19881764"/>
      <w:bookmarkStart w:id="33" w:name="_Toc14266200"/>
      <w:bookmarkStart w:id="34" w:name="_Toc532748604"/>
      <w:r>
        <w:rPr>
          <w:rFonts w:asciiTheme="minorEastAsia" w:hAnsiTheme="minorEastAsia" w:eastAsiaTheme="minorEastAsia"/>
          <w:color w:val="auto"/>
          <w:sz w:val="24"/>
        </w:rPr>
        <w:t>2.</w:t>
      </w:r>
      <w:r>
        <w:rPr>
          <w:rFonts w:hint="eastAsia" w:asciiTheme="minorEastAsia" w:hAnsiTheme="minorEastAsia" w:eastAsiaTheme="minorEastAsia"/>
          <w:color w:val="auto"/>
          <w:sz w:val="24"/>
        </w:rPr>
        <w:t>采用特许经营模式的必要性</w:t>
      </w:r>
      <w:bookmarkEnd w:id="32"/>
      <w:bookmarkEnd w:id="33"/>
      <w:bookmarkEnd w:id="34"/>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公交运营模式主要有政府主导、自由竞争、特许经营等。</w:t>
      </w:r>
    </w:p>
    <w:p>
      <w:pPr>
        <w:spacing w:line="360" w:lineRule="auto"/>
        <w:ind w:firstLine="643"/>
        <w:rPr>
          <w:rFonts w:asciiTheme="minorEastAsia" w:hAnsiTheme="minorEastAsia" w:eastAsiaTheme="minorEastAsia"/>
          <w:color w:val="auto"/>
          <w:sz w:val="24"/>
        </w:rPr>
      </w:pPr>
      <w:r>
        <w:rPr>
          <w:rFonts w:hint="eastAsia" w:asciiTheme="minorEastAsia" w:hAnsiTheme="minorEastAsia" w:eastAsiaTheme="minorEastAsia"/>
          <w:b/>
          <w:color w:val="auto"/>
          <w:sz w:val="24"/>
        </w:rPr>
        <w:t>政府主导模式：</w:t>
      </w:r>
      <w:r>
        <w:rPr>
          <w:rFonts w:hint="eastAsia" w:asciiTheme="minorEastAsia" w:hAnsiTheme="minorEastAsia" w:eastAsiaTheme="minorEastAsia"/>
          <w:color w:val="auto"/>
          <w:sz w:val="24"/>
        </w:rPr>
        <w:t>所谓政府主导，是指公共交通服务由政府直接包揽或控股，公交不是采用企业化运作，而是作为公共产品纳入政府公共财政，公交企业员工纳入公务员系列。</w:t>
      </w:r>
    </w:p>
    <w:p>
      <w:pPr>
        <w:spacing w:line="360" w:lineRule="auto"/>
        <w:ind w:firstLine="643"/>
        <w:rPr>
          <w:rFonts w:asciiTheme="minorEastAsia" w:hAnsiTheme="minorEastAsia" w:eastAsiaTheme="minorEastAsia"/>
          <w:color w:val="auto"/>
          <w:sz w:val="24"/>
        </w:rPr>
      </w:pPr>
      <w:r>
        <w:rPr>
          <w:rFonts w:hint="eastAsia" w:asciiTheme="minorEastAsia" w:hAnsiTheme="minorEastAsia" w:eastAsiaTheme="minorEastAsia"/>
          <w:b/>
          <w:color w:val="auto"/>
          <w:sz w:val="24"/>
        </w:rPr>
        <w:t>自由竞争模式：</w:t>
      </w:r>
      <w:r>
        <w:rPr>
          <w:rFonts w:hint="eastAsia" w:asciiTheme="minorEastAsia" w:hAnsiTheme="minorEastAsia" w:eastAsiaTheme="minorEastAsia"/>
          <w:color w:val="auto"/>
          <w:sz w:val="24"/>
        </w:rPr>
        <w:t>由于政府独营将背负的巨大财政压力，许多城市纷纷开始放开公交市场，允许私人进入，由于缺乏对市场准入条件等问题的系统性认识，导致了一段时间内的自由竞争模式盛行。所谓自由竞争，是指由多家不同的公交企业进入市场提供公交服务，这些企业自负盈亏或是享有一定的政府补贴，同时还拥有自主的线路选择权、班次安排权，并且还可根据自身情况自主制定票价（或交由政府审核）。</w:t>
      </w:r>
    </w:p>
    <w:p>
      <w:pPr>
        <w:spacing w:line="360" w:lineRule="auto"/>
        <w:ind w:firstLine="643"/>
        <w:rPr>
          <w:rFonts w:asciiTheme="minorEastAsia" w:hAnsiTheme="minorEastAsia" w:eastAsiaTheme="minorEastAsia"/>
          <w:color w:val="auto"/>
          <w:sz w:val="24"/>
        </w:rPr>
      </w:pPr>
      <w:r>
        <w:rPr>
          <w:rFonts w:hint="eastAsia" w:asciiTheme="minorEastAsia" w:hAnsiTheme="minorEastAsia" w:eastAsiaTheme="minorEastAsia"/>
          <w:b/>
          <w:color w:val="auto"/>
          <w:sz w:val="24"/>
        </w:rPr>
        <w:t>特许经营模式：</w:t>
      </w:r>
      <w:r>
        <w:rPr>
          <w:rFonts w:hint="eastAsia" w:asciiTheme="minorEastAsia" w:hAnsiTheme="minorEastAsia" w:eastAsiaTheme="minorEastAsia"/>
          <w:color w:val="auto"/>
          <w:sz w:val="24"/>
        </w:rPr>
        <w:t>随着竞争性招标的引入，特许经营模式应运而生。所谓特许经营，是指政府通过授予或招标的法定程序，准许某个企业获得一定线路或区域内独家经营公共交通的专利权，并通过签订专营合同或协议的方式，明确政府和企业之间各自义务以及行政和经济利益的一种经营管理方式。三种模式在市场准入、产权、票价机制等方面的情况对比如下：</w:t>
      </w:r>
    </w:p>
    <w:p>
      <w:pPr>
        <w:spacing w:line="360" w:lineRule="auto"/>
        <w:jc w:val="center"/>
        <w:rPr>
          <w:rFonts w:asciiTheme="minorEastAsia" w:hAnsiTheme="minorEastAsia" w:eastAsiaTheme="minorEastAsia"/>
          <w:b/>
          <w:color w:val="auto"/>
        </w:rPr>
      </w:pPr>
      <w:r>
        <w:rPr>
          <w:rFonts w:hint="eastAsia" w:asciiTheme="minorEastAsia" w:hAnsiTheme="minorEastAsia" w:eastAsiaTheme="minorEastAsia"/>
          <w:b/>
          <w:color w:val="auto"/>
        </w:rPr>
        <w:t>三种模式在市场准入、产权、票价机制等方面的对比</w:t>
      </w:r>
    </w:p>
    <w:tbl>
      <w:tblPr>
        <w:tblStyle w:val="23"/>
        <w:tblW w:w="9180"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4"/>
        <w:gridCol w:w="737"/>
        <w:gridCol w:w="2150"/>
        <w:gridCol w:w="2500"/>
        <w:gridCol w:w="3169"/>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blHeader/>
        </w:trPr>
        <w:tc>
          <w:tcPr>
            <w:tcW w:w="1361" w:type="dxa"/>
            <w:gridSpan w:val="2"/>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运营模式</w:t>
            </w:r>
          </w:p>
        </w:tc>
        <w:tc>
          <w:tcPr>
            <w:tcW w:w="215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政府主导</w:t>
            </w:r>
          </w:p>
        </w:tc>
        <w:tc>
          <w:tcPr>
            <w:tcW w:w="250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自由竞争</w:t>
            </w:r>
          </w:p>
        </w:tc>
        <w:tc>
          <w:tcPr>
            <w:tcW w:w="3169"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特许经营</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361" w:type="dxa"/>
            <w:gridSpan w:val="2"/>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基本概念</w:t>
            </w:r>
          </w:p>
        </w:tc>
        <w:tc>
          <w:tcPr>
            <w:tcW w:w="215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公共交通公司为政府所有，公交公司的投资运营支出和收入都由政府所属的单位负责</w:t>
            </w:r>
          </w:p>
        </w:tc>
        <w:tc>
          <w:tcPr>
            <w:tcW w:w="250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政府解除市场相应的管制政策，包括准入市场管制和价格管制等，使公共交通呈现自由竞争的状态</w:t>
            </w:r>
          </w:p>
        </w:tc>
        <w:tc>
          <w:tcPr>
            <w:tcW w:w="3169"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政府以质量协议为标的，选择并监督企业进入市场经营</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624" w:type="dxa"/>
            <w:vMerge w:val="restart"/>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市场</w:t>
            </w:r>
          </w:p>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准入</w:t>
            </w:r>
          </w:p>
        </w:tc>
        <w:tc>
          <w:tcPr>
            <w:tcW w:w="737"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准入</w:t>
            </w:r>
          </w:p>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机制</w:t>
            </w:r>
          </w:p>
        </w:tc>
        <w:tc>
          <w:tcPr>
            <w:tcW w:w="215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公交行业基本垄断</w:t>
            </w:r>
          </w:p>
        </w:tc>
        <w:tc>
          <w:tcPr>
            <w:tcW w:w="250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完全的开放</w:t>
            </w:r>
          </w:p>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或有一定的条件</w:t>
            </w:r>
          </w:p>
        </w:tc>
        <w:tc>
          <w:tcPr>
            <w:tcW w:w="3169"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特许经营权的授予</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624" w:type="dxa"/>
            <w:vMerge w:val="continue"/>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p>
        </w:tc>
        <w:tc>
          <w:tcPr>
            <w:tcW w:w="737"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运营</w:t>
            </w:r>
          </w:p>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主体</w:t>
            </w:r>
          </w:p>
        </w:tc>
        <w:tc>
          <w:tcPr>
            <w:tcW w:w="215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政府为主</w:t>
            </w:r>
          </w:p>
        </w:tc>
        <w:tc>
          <w:tcPr>
            <w:tcW w:w="250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私有企业</w:t>
            </w:r>
          </w:p>
        </w:tc>
        <w:tc>
          <w:tcPr>
            <w:tcW w:w="3169"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拥有特许</w:t>
            </w:r>
          </w:p>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经营权的企业</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361" w:type="dxa"/>
            <w:gridSpan w:val="2"/>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运营企业</w:t>
            </w:r>
          </w:p>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产权</w:t>
            </w:r>
          </w:p>
        </w:tc>
        <w:tc>
          <w:tcPr>
            <w:tcW w:w="215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国有产权主导</w:t>
            </w:r>
          </w:p>
        </w:tc>
        <w:tc>
          <w:tcPr>
            <w:tcW w:w="250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纯私有产权</w:t>
            </w:r>
          </w:p>
        </w:tc>
        <w:tc>
          <w:tcPr>
            <w:tcW w:w="3169"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私有占主导</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361" w:type="dxa"/>
            <w:gridSpan w:val="2"/>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票价机制</w:t>
            </w:r>
          </w:p>
        </w:tc>
        <w:tc>
          <w:tcPr>
            <w:tcW w:w="215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一票制和分段票制</w:t>
            </w:r>
            <w:r>
              <w:rPr>
                <w:rFonts w:asciiTheme="minorEastAsia" w:hAnsiTheme="minorEastAsia" w:eastAsiaTheme="minorEastAsia"/>
                <w:color w:val="auto"/>
                <w:kern w:val="0"/>
                <w:sz w:val="22"/>
                <w:szCs w:val="22"/>
              </w:rPr>
              <w:t>IC卡实现低票价</w:t>
            </w:r>
          </w:p>
        </w:tc>
        <w:tc>
          <w:tcPr>
            <w:tcW w:w="250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企业以自身财务</w:t>
            </w:r>
          </w:p>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状况为基础制定票价</w:t>
            </w:r>
          </w:p>
        </w:tc>
        <w:tc>
          <w:tcPr>
            <w:tcW w:w="3169"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企业财务为基础，票价方程式机制调整票价</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624" w:type="dxa"/>
            <w:vMerge w:val="restart"/>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普遍服务</w:t>
            </w:r>
          </w:p>
        </w:tc>
        <w:tc>
          <w:tcPr>
            <w:tcW w:w="737"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监管</w:t>
            </w:r>
          </w:p>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机制</w:t>
            </w:r>
          </w:p>
        </w:tc>
        <w:tc>
          <w:tcPr>
            <w:tcW w:w="215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按一般监管</w:t>
            </w:r>
          </w:p>
        </w:tc>
        <w:tc>
          <w:tcPr>
            <w:tcW w:w="250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按一般监管</w:t>
            </w:r>
          </w:p>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或没有监管</w:t>
            </w:r>
          </w:p>
        </w:tc>
        <w:tc>
          <w:tcPr>
            <w:tcW w:w="3169"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特许经营权的年检</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624" w:type="dxa"/>
            <w:vMerge w:val="continue"/>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p>
        </w:tc>
        <w:tc>
          <w:tcPr>
            <w:tcW w:w="737"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保障</w:t>
            </w:r>
          </w:p>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机制</w:t>
            </w:r>
          </w:p>
        </w:tc>
        <w:tc>
          <w:tcPr>
            <w:tcW w:w="215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予以大额财政补贴</w:t>
            </w:r>
          </w:p>
        </w:tc>
        <w:tc>
          <w:tcPr>
            <w:tcW w:w="2500"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无补贴或小额补贴</w:t>
            </w:r>
          </w:p>
        </w:tc>
        <w:tc>
          <w:tcPr>
            <w:tcW w:w="3169" w:type="dxa"/>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有监管的浮动票价机制，保证一定利益</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361" w:type="dxa"/>
            <w:gridSpan w:val="2"/>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优点</w:t>
            </w:r>
          </w:p>
        </w:tc>
        <w:tc>
          <w:tcPr>
            <w:tcW w:w="215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政府具有较高的市场控制力，更容易更广泛地满足公众需求和实现社会目标</w:t>
            </w:r>
          </w:p>
        </w:tc>
        <w:tc>
          <w:tcPr>
            <w:tcW w:w="250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公共支出成本最低，较快地形成行业总体规模</w:t>
            </w:r>
          </w:p>
        </w:tc>
        <w:tc>
          <w:tcPr>
            <w:tcW w:w="3169"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保持竞争力，降低市场成本，同时提高服务质量，兼顾效率、效益和服务</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361" w:type="dxa"/>
            <w:gridSpan w:val="2"/>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缺点</w:t>
            </w:r>
          </w:p>
        </w:tc>
        <w:tc>
          <w:tcPr>
            <w:tcW w:w="215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b/>
                <w:bCs/>
                <w:color w:val="auto"/>
                <w:kern w:val="0"/>
                <w:sz w:val="22"/>
                <w:szCs w:val="22"/>
              </w:rPr>
              <w:t>缺乏竞争机制</w:t>
            </w:r>
            <w:r>
              <w:rPr>
                <w:rFonts w:hint="eastAsia" w:cs="宋体" w:asciiTheme="minorEastAsia" w:hAnsiTheme="minorEastAsia" w:eastAsiaTheme="minorEastAsia"/>
                <w:color w:val="auto"/>
                <w:kern w:val="0"/>
                <w:sz w:val="22"/>
                <w:szCs w:val="22"/>
              </w:rPr>
              <w:t>，通常具有管理不善，经营成本巨大，严重亏损等弊病，</w:t>
            </w:r>
            <w:r>
              <w:rPr>
                <w:rFonts w:hint="eastAsia" w:cs="宋体" w:asciiTheme="minorEastAsia" w:hAnsiTheme="minorEastAsia" w:eastAsiaTheme="minorEastAsia"/>
                <w:b/>
                <w:bCs/>
                <w:color w:val="auto"/>
                <w:kern w:val="0"/>
                <w:sz w:val="22"/>
                <w:szCs w:val="22"/>
              </w:rPr>
              <w:t>需要大量补贴</w:t>
            </w:r>
          </w:p>
        </w:tc>
        <w:tc>
          <w:tcPr>
            <w:tcW w:w="250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市场利益驱动，竞争激烈，容易导致混乱，监管困难；公共交通服务的</w:t>
            </w:r>
            <w:r>
              <w:rPr>
                <w:rFonts w:hint="eastAsia" w:cs="宋体" w:asciiTheme="minorEastAsia" w:hAnsiTheme="minorEastAsia" w:eastAsiaTheme="minorEastAsia"/>
                <w:b/>
                <w:bCs/>
                <w:color w:val="auto"/>
                <w:kern w:val="0"/>
                <w:sz w:val="22"/>
                <w:szCs w:val="22"/>
              </w:rPr>
              <w:t>公益性最差</w:t>
            </w:r>
          </w:p>
        </w:tc>
        <w:tc>
          <w:tcPr>
            <w:tcW w:w="3169"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有一定政府支出成本，政府管理</w:t>
            </w:r>
            <w:r>
              <w:rPr>
                <w:rFonts w:hint="eastAsia" w:cs="宋体" w:asciiTheme="minorEastAsia" w:hAnsiTheme="minorEastAsia" w:eastAsiaTheme="minorEastAsia"/>
                <w:b/>
                <w:bCs/>
                <w:color w:val="auto"/>
                <w:kern w:val="0"/>
                <w:sz w:val="22"/>
                <w:szCs w:val="22"/>
              </w:rPr>
              <w:t>监督力度要求最高</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361" w:type="dxa"/>
            <w:gridSpan w:val="2"/>
            <w:shd w:val="clear" w:color="auto" w:fill="auto"/>
            <w:vAlign w:val="center"/>
          </w:tcPr>
          <w:p>
            <w:pPr>
              <w:spacing w:line="360" w:lineRule="auto"/>
              <w:jc w:val="center"/>
              <w:textAlignment w:val="center"/>
              <w:rPr>
                <w:rFonts w:asciiTheme="minorEastAsia" w:hAnsiTheme="minorEastAsia" w:eastAsiaTheme="minorEastAsia"/>
                <w:color w:val="auto"/>
                <w:kern w:val="0"/>
                <w:sz w:val="22"/>
                <w:szCs w:val="22"/>
              </w:rPr>
            </w:pPr>
            <w:r>
              <w:rPr>
                <w:rFonts w:hint="eastAsia" w:asciiTheme="minorEastAsia" w:hAnsiTheme="minorEastAsia" w:eastAsiaTheme="minorEastAsia"/>
                <w:color w:val="auto"/>
                <w:kern w:val="0"/>
                <w:sz w:val="22"/>
                <w:szCs w:val="22"/>
              </w:rPr>
              <w:t>城市代表</w:t>
            </w:r>
          </w:p>
        </w:tc>
        <w:tc>
          <w:tcPr>
            <w:tcW w:w="215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中国、美国部分城市，巴黎</w:t>
            </w:r>
          </w:p>
        </w:tc>
        <w:tc>
          <w:tcPr>
            <w:tcW w:w="250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英国伦敦、曼彻斯特、部分珠三角城市等</w:t>
            </w:r>
          </w:p>
        </w:tc>
        <w:tc>
          <w:tcPr>
            <w:tcW w:w="3169"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香港、新加坡、欧洲部分城市</w:t>
            </w:r>
          </w:p>
        </w:tc>
      </w:tr>
    </w:tbl>
    <w:p>
      <w:pPr>
        <w:spacing w:beforeLines="50"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在特许经营模式（国有民营，服务质量考核导向监管）中，由私营企业参与公交服务的供给或提供相关支持。其本质是政府不再直接提供公交服务</w:t>
      </w:r>
      <w:r>
        <w:rPr>
          <w:rFonts w:asciiTheme="minorEastAsia" w:hAnsiTheme="minorEastAsia" w:eastAsiaTheme="minorEastAsia"/>
          <w:color w:val="auto"/>
          <w:sz w:val="24"/>
        </w:rPr>
        <w:t>,而是按规定的条款和合同购买相关服务。具体形式包括服务承包合同、租赁承包经营、线路特许经营、企业股份化等。政府通过创造市场,使公共服务市场中有一定的竞争,并要求市场按合同内容达到相关绩效标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公交行业特许经营模式以公众利益为主导</w:t>
      </w:r>
      <w:r>
        <w:rPr>
          <w:rFonts w:asciiTheme="minorEastAsia" w:hAnsiTheme="minorEastAsia" w:eastAsiaTheme="minorEastAsia"/>
          <w:color w:val="auto"/>
          <w:sz w:val="24"/>
        </w:rPr>
        <w:t>,以公共服务为核心,</w:t>
      </w:r>
      <w:r>
        <w:rPr>
          <w:rFonts w:hint="eastAsia" w:asciiTheme="minorEastAsia" w:hAnsiTheme="minorEastAsia" w:eastAsiaTheme="minorEastAsia"/>
          <w:color w:val="auto"/>
          <w:sz w:val="24"/>
        </w:rPr>
        <w:t>强化的是政府公共责任</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要求政府在提供公交服务过程中</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由管制型政府向服务型政府转变</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任何改革措施、管理机制都要围绕提高优质的公交服务这一目标。其次</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该模式是在强调政府监管和责任的前提下</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充分发挥市场机制的作用。政府负责安排和提供公交服务</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市场负责生产和供给公交服务</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政府是将生产机制委托给市场</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发挥市场能够提高效率的优势</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可以解决政府部门自身提供和生产公交服务的低效率问题。最后</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该模式的产品是公交服务</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消费对象是社会群体</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因此强调社会群体参与是国有民营模式的基本要求</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社会群体有权力影响公交服务提供的决策</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监督公交服务的生产与供给</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并且评价公交服务的供给状况</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从而为服务安排者的决策提供参考。</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综上所述，公交行业特许经营可以使城乡客运行业降低市场成本，同时提高服务质量，兼顾效率、效益和服务。</w:t>
      </w:r>
    </w:p>
    <w:p>
      <w:pPr>
        <w:pStyle w:val="4"/>
        <w:spacing w:line="360" w:lineRule="auto"/>
        <w:ind w:firstLine="643"/>
        <w:rPr>
          <w:rFonts w:asciiTheme="minorEastAsia" w:hAnsiTheme="minorEastAsia" w:eastAsiaTheme="minorEastAsia"/>
          <w:color w:val="auto"/>
          <w:sz w:val="24"/>
        </w:rPr>
      </w:pPr>
      <w:bookmarkStart w:id="35" w:name="_Toc19881765"/>
      <w:bookmarkStart w:id="36" w:name="_Toc14266201"/>
      <w:bookmarkStart w:id="37" w:name="_Toc532748605"/>
      <w:r>
        <w:rPr>
          <w:rFonts w:asciiTheme="minorEastAsia" w:hAnsiTheme="minorEastAsia" w:eastAsiaTheme="minorEastAsia"/>
          <w:color w:val="auto"/>
          <w:sz w:val="24"/>
        </w:rPr>
        <w:t>3.</w:t>
      </w:r>
      <w:r>
        <w:rPr>
          <w:rFonts w:hint="eastAsia" w:asciiTheme="minorEastAsia" w:hAnsiTheme="minorEastAsia" w:eastAsiaTheme="minorEastAsia"/>
          <w:color w:val="auto"/>
          <w:sz w:val="24"/>
        </w:rPr>
        <w:t>采用特许经营模式的可行性</w:t>
      </w:r>
      <w:bookmarkEnd w:id="35"/>
      <w:bookmarkEnd w:id="36"/>
      <w:bookmarkEnd w:id="37"/>
    </w:p>
    <w:p>
      <w:pPr>
        <w:spacing w:line="360" w:lineRule="auto"/>
        <w:ind w:firstLine="640"/>
        <w:outlineLvl w:val="3"/>
        <w:rPr>
          <w:rFonts w:asciiTheme="minorEastAsia" w:hAnsiTheme="minorEastAsia" w:eastAsiaTheme="minorEastAsia"/>
          <w:color w:val="auto"/>
          <w:sz w:val="24"/>
        </w:rPr>
      </w:pPr>
      <w:bookmarkStart w:id="38" w:name="_Toc532748606"/>
      <w:r>
        <w:rPr>
          <w:rFonts w:hint="eastAsia" w:asciiTheme="minorEastAsia" w:hAnsiTheme="minorEastAsia" w:eastAsiaTheme="minorEastAsia"/>
          <w:color w:val="auto"/>
          <w:sz w:val="24"/>
        </w:rPr>
        <w:t>（</w:t>
      </w:r>
      <w:r>
        <w:rPr>
          <w:rFonts w:asciiTheme="minorEastAsia" w:hAnsiTheme="minorEastAsia" w:eastAsiaTheme="minorEastAsia"/>
          <w:color w:val="auto"/>
          <w:sz w:val="24"/>
        </w:rPr>
        <w:t>1）政策大力支持</w:t>
      </w:r>
      <w:bookmarkEnd w:id="38"/>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国家不断探索，尝试采用特许经营模式运营。</w:t>
      </w:r>
      <w:r>
        <w:rPr>
          <w:rFonts w:asciiTheme="minorEastAsia" w:hAnsiTheme="minorEastAsia" w:eastAsiaTheme="minorEastAsia"/>
          <w:color w:val="auto"/>
          <w:sz w:val="24"/>
        </w:rPr>
        <w:t>2015</w:t>
      </w:r>
      <w:r>
        <w:rPr>
          <w:rFonts w:hint="eastAsia" w:asciiTheme="minorEastAsia" w:hAnsiTheme="minorEastAsia" w:eastAsiaTheme="minorEastAsia"/>
          <w:color w:val="auto"/>
          <w:sz w:val="24"/>
        </w:rPr>
        <w:t>年</w:t>
      </w:r>
      <w:r>
        <w:rPr>
          <w:rFonts w:asciiTheme="minorEastAsia" w:hAnsiTheme="minorEastAsia" w:eastAsiaTheme="minorEastAsia"/>
          <w:color w:val="auto"/>
          <w:sz w:val="24"/>
        </w:rPr>
        <w:t>4</w:t>
      </w:r>
      <w:r>
        <w:rPr>
          <w:rFonts w:hint="eastAsia" w:asciiTheme="minorEastAsia" w:hAnsiTheme="minorEastAsia" w:eastAsiaTheme="minorEastAsia"/>
          <w:color w:val="auto"/>
          <w:sz w:val="24"/>
        </w:rPr>
        <w:t>月，国家发展改革委联合交通运输部等六部委颁布了《基础设施和公用事业特许经营管理办法》（第</w:t>
      </w:r>
      <w:r>
        <w:rPr>
          <w:rFonts w:asciiTheme="minorEastAsia" w:hAnsiTheme="minorEastAsia" w:eastAsiaTheme="minorEastAsia"/>
          <w:color w:val="auto"/>
          <w:sz w:val="24"/>
        </w:rPr>
        <w:t>25</w:t>
      </w:r>
      <w:r>
        <w:rPr>
          <w:rFonts w:hint="eastAsia" w:asciiTheme="minorEastAsia" w:hAnsiTheme="minorEastAsia" w:eastAsiaTheme="minorEastAsia"/>
          <w:color w:val="auto"/>
          <w:sz w:val="24"/>
        </w:rPr>
        <w:t>号令），明确了特许经营的基本程序、条件和措施。在此基础上，</w:t>
      </w:r>
      <w:r>
        <w:rPr>
          <w:rFonts w:asciiTheme="minorEastAsia" w:hAnsiTheme="minorEastAsia" w:eastAsiaTheme="minorEastAsia"/>
          <w:color w:val="auto"/>
          <w:sz w:val="24"/>
        </w:rPr>
        <w:t>2017</w:t>
      </w:r>
      <w:r>
        <w:rPr>
          <w:rFonts w:hint="eastAsia" w:asciiTheme="minorEastAsia" w:hAnsiTheme="minorEastAsia" w:eastAsiaTheme="minorEastAsia"/>
          <w:color w:val="auto"/>
          <w:sz w:val="24"/>
        </w:rPr>
        <w:t>年</w:t>
      </w:r>
      <w:r>
        <w:rPr>
          <w:rFonts w:asciiTheme="minorEastAsia" w:hAnsiTheme="minorEastAsia" w:eastAsiaTheme="minorEastAsia"/>
          <w:color w:val="auto"/>
          <w:sz w:val="24"/>
        </w:rPr>
        <w:t>3</w:t>
      </w:r>
      <w:r>
        <w:rPr>
          <w:rFonts w:hint="eastAsia" w:asciiTheme="minorEastAsia" w:hAnsiTheme="minorEastAsia" w:eastAsiaTheme="minorEastAsia"/>
          <w:color w:val="auto"/>
          <w:sz w:val="24"/>
        </w:rPr>
        <w:t>月</w:t>
      </w:r>
      <w:r>
        <w:rPr>
          <w:rFonts w:asciiTheme="minorEastAsia" w:hAnsiTheme="minorEastAsia" w:eastAsiaTheme="minorEastAsia"/>
          <w:color w:val="auto"/>
          <w:sz w:val="24"/>
        </w:rPr>
        <w:t>7</w:t>
      </w:r>
      <w:r>
        <w:rPr>
          <w:rFonts w:hint="eastAsia" w:asciiTheme="minorEastAsia" w:hAnsiTheme="minorEastAsia" w:eastAsiaTheme="minorEastAsia"/>
          <w:color w:val="auto"/>
          <w:sz w:val="24"/>
        </w:rPr>
        <w:t>日，交通运输部以</w:t>
      </w:r>
      <w:r>
        <w:rPr>
          <w:rFonts w:asciiTheme="minorEastAsia" w:hAnsiTheme="minorEastAsia" w:eastAsiaTheme="minorEastAsia"/>
          <w:color w:val="auto"/>
          <w:sz w:val="24"/>
        </w:rPr>
        <w:t>2017</w:t>
      </w:r>
      <w:r>
        <w:rPr>
          <w:rFonts w:hint="eastAsia" w:asciiTheme="minorEastAsia" w:hAnsiTheme="minorEastAsia" w:eastAsiaTheme="minorEastAsia"/>
          <w:color w:val="auto"/>
          <w:sz w:val="24"/>
        </w:rPr>
        <w:t>年第</w:t>
      </w:r>
      <w:r>
        <w:rPr>
          <w:rFonts w:asciiTheme="minorEastAsia" w:hAnsiTheme="minorEastAsia" w:eastAsiaTheme="minorEastAsia"/>
          <w:color w:val="auto"/>
          <w:sz w:val="24"/>
        </w:rPr>
        <w:t>5</w:t>
      </w:r>
      <w:r>
        <w:rPr>
          <w:rFonts w:hint="eastAsia" w:asciiTheme="minorEastAsia" w:hAnsiTheme="minorEastAsia" w:eastAsiaTheme="minorEastAsia"/>
          <w:color w:val="auto"/>
          <w:sz w:val="24"/>
        </w:rPr>
        <w:t>号令颁布了《城市公共汽车和电车客运管理规定》（以下简称《规定》），</w:t>
      </w:r>
      <w:r>
        <w:rPr>
          <w:rFonts w:hint="eastAsia" w:asciiTheme="minorEastAsia" w:hAnsiTheme="minorEastAsia" w:eastAsiaTheme="minorEastAsia"/>
          <w:b/>
          <w:color w:val="auto"/>
          <w:sz w:val="24"/>
        </w:rPr>
        <w:t>明确指出“城市公共汽电车客运按照国家相关规定实施特许经营”，公交领域的特许经营模式迎来了难得的政策机遇期。</w:t>
      </w:r>
    </w:p>
    <w:p>
      <w:pPr>
        <w:spacing w:line="360" w:lineRule="auto"/>
        <w:ind w:firstLine="640"/>
        <w:outlineLvl w:val="3"/>
        <w:rPr>
          <w:rFonts w:asciiTheme="minorEastAsia" w:hAnsiTheme="minorEastAsia" w:eastAsiaTheme="minorEastAsia"/>
          <w:color w:val="auto"/>
          <w:sz w:val="24"/>
        </w:rPr>
      </w:pPr>
      <w:bookmarkStart w:id="39" w:name="_Toc532748607"/>
      <w:r>
        <w:rPr>
          <w:rFonts w:hint="eastAsia" w:asciiTheme="minorEastAsia" w:hAnsiTheme="minorEastAsia" w:eastAsiaTheme="minorEastAsia"/>
          <w:color w:val="auto"/>
          <w:sz w:val="24"/>
        </w:rPr>
        <w:t>（</w:t>
      </w:r>
      <w:r>
        <w:rPr>
          <w:rFonts w:asciiTheme="minorEastAsia" w:hAnsiTheme="minorEastAsia" w:eastAsiaTheme="minorEastAsia"/>
          <w:color w:val="auto"/>
          <w:sz w:val="24"/>
        </w:rPr>
        <w:t>2）规划奠定实施基础</w:t>
      </w:r>
      <w:bookmarkEnd w:id="39"/>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为科学规划东方市城乡交通运输一体化发展，努力创建全国城乡交通运输一体化示范市，东方市已于</w:t>
      </w:r>
      <w:r>
        <w:rPr>
          <w:rFonts w:asciiTheme="minorEastAsia" w:hAnsiTheme="minorEastAsia" w:eastAsiaTheme="minorEastAsia"/>
          <w:color w:val="auto"/>
          <w:sz w:val="24"/>
        </w:rPr>
        <w:t>2017年委托第三方咨询机构编制了《东方市城乡交通运输一体化规划研究报告》及《东方市创建全国城乡交通运输一体化示范市实施方案》，目前规划和实施方案已通过政府审查。城乡交通运输一体化规划的实施涉及众多关键环节，尤其是城乡</w:t>
      </w:r>
      <w:r>
        <w:rPr>
          <w:rFonts w:hint="eastAsia" w:asciiTheme="minorEastAsia" w:hAnsiTheme="minorEastAsia" w:eastAsiaTheme="minorEastAsia"/>
          <w:color w:val="auto"/>
          <w:sz w:val="24"/>
        </w:rPr>
        <w:t>公交客运服务</w:t>
      </w:r>
      <w:r>
        <w:rPr>
          <w:rFonts w:asciiTheme="minorEastAsia" w:hAnsiTheme="minorEastAsia" w:eastAsiaTheme="minorEastAsia"/>
          <w:color w:val="auto"/>
          <w:sz w:val="24"/>
        </w:rPr>
        <w:t>方面，</w:t>
      </w:r>
      <w:r>
        <w:rPr>
          <w:rFonts w:hint="eastAsia" w:asciiTheme="minorEastAsia" w:hAnsiTheme="minorEastAsia" w:eastAsiaTheme="minorEastAsia"/>
          <w:color w:val="auto"/>
          <w:sz w:val="24"/>
        </w:rPr>
        <w:t>从经营主体整合、运营模式选择、基础设施建设、客运网络优化、服务品质提升、经营管理规范等方面都开展了大量的</w:t>
      </w:r>
      <w:r>
        <w:rPr>
          <w:rFonts w:asciiTheme="minorEastAsia" w:hAnsiTheme="minorEastAsia" w:eastAsiaTheme="minorEastAsia"/>
          <w:color w:val="auto"/>
          <w:sz w:val="24"/>
        </w:rPr>
        <w:t>基础</w:t>
      </w:r>
      <w:r>
        <w:rPr>
          <w:rFonts w:hint="eastAsia" w:asciiTheme="minorEastAsia" w:hAnsiTheme="minorEastAsia" w:eastAsiaTheme="minorEastAsia"/>
          <w:color w:val="auto"/>
          <w:sz w:val="24"/>
        </w:rPr>
        <w:t>工作，并提出</w:t>
      </w:r>
      <w:r>
        <w:rPr>
          <w:rFonts w:asciiTheme="minorEastAsia" w:hAnsiTheme="minorEastAsia" w:eastAsiaTheme="minorEastAsia"/>
          <w:color w:val="auto"/>
          <w:sz w:val="24"/>
        </w:rPr>
        <w:t>了</w:t>
      </w:r>
      <w:r>
        <w:rPr>
          <w:rFonts w:hint="eastAsia" w:asciiTheme="minorEastAsia" w:hAnsiTheme="minorEastAsia" w:eastAsiaTheme="minorEastAsia"/>
          <w:color w:val="auto"/>
          <w:sz w:val="24"/>
        </w:rPr>
        <w:t>明确</w:t>
      </w:r>
      <w:r>
        <w:rPr>
          <w:rFonts w:asciiTheme="minorEastAsia" w:hAnsiTheme="minorEastAsia" w:eastAsiaTheme="minorEastAsia"/>
          <w:color w:val="auto"/>
          <w:sz w:val="24"/>
        </w:rPr>
        <w:t>的规划方案，</w:t>
      </w:r>
      <w:r>
        <w:rPr>
          <w:rFonts w:hint="eastAsia" w:asciiTheme="minorEastAsia" w:hAnsiTheme="minorEastAsia" w:eastAsiaTheme="minorEastAsia"/>
          <w:color w:val="auto"/>
          <w:sz w:val="24"/>
        </w:rPr>
        <w:t>有利于</w:t>
      </w:r>
      <w:r>
        <w:rPr>
          <w:rFonts w:asciiTheme="minorEastAsia" w:hAnsiTheme="minorEastAsia" w:eastAsiaTheme="minorEastAsia"/>
          <w:color w:val="auto"/>
          <w:sz w:val="24"/>
        </w:rPr>
        <w:t>通过特许经营协议的形式明确</w:t>
      </w:r>
      <w:r>
        <w:rPr>
          <w:rFonts w:hint="eastAsia" w:asciiTheme="minorEastAsia" w:hAnsiTheme="minorEastAsia" w:eastAsiaTheme="minorEastAsia"/>
          <w:color w:val="auto"/>
          <w:sz w:val="24"/>
        </w:rPr>
        <w:t>城乡公交客运</w:t>
      </w:r>
      <w:r>
        <w:rPr>
          <w:rFonts w:asciiTheme="minorEastAsia" w:hAnsiTheme="minorEastAsia" w:eastAsiaTheme="minorEastAsia"/>
          <w:color w:val="auto"/>
          <w:sz w:val="24"/>
        </w:rPr>
        <w:t>服务的标准</w:t>
      </w:r>
      <w:r>
        <w:rPr>
          <w:rFonts w:hint="eastAsia" w:asciiTheme="minorEastAsia" w:hAnsiTheme="minorEastAsia" w:eastAsiaTheme="minorEastAsia"/>
          <w:color w:val="auto"/>
          <w:sz w:val="24"/>
        </w:rPr>
        <w:t>规范</w:t>
      </w:r>
      <w:r>
        <w:rPr>
          <w:rFonts w:asciiTheme="minorEastAsia" w:hAnsiTheme="minorEastAsia" w:eastAsiaTheme="minorEastAsia"/>
          <w:color w:val="auto"/>
          <w:sz w:val="24"/>
        </w:rPr>
        <w:t>，为后续开展特许经营奠定</w:t>
      </w:r>
      <w:r>
        <w:rPr>
          <w:rFonts w:hint="eastAsia" w:asciiTheme="minorEastAsia" w:hAnsiTheme="minorEastAsia" w:eastAsiaTheme="minorEastAsia"/>
          <w:color w:val="auto"/>
          <w:sz w:val="24"/>
        </w:rPr>
        <w:t>了</w:t>
      </w:r>
      <w:r>
        <w:rPr>
          <w:rFonts w:asciiTheme="minorEastAsia" w:hAnsiTheme="minorEastAsia" w:eastAsiaTheme="minorEastAsia"/>
          <w:color w:val="auto"/>
          <w:sz w:val="24"/>
        </w:rPr>
        <w:t>良好的</w:t>
      </w:r>
      <w:r>
        <w:rPr>
          <w:rFonts w:hint="eastAsia" w:asciiTheme="minorEastAsia" w:hAnsiTheme="minorEastAsia" w:eastAsiaTheme="minorEastAsia"/>
          <w:color w:val="auto"/>
          <w:sz w:val="24"/>
        </w:rPr>
        <w:t>技术</w:t>
      </w:r>
      <w:r>
        <w:rPr>
          <w:rFonts w:asciiTheme="minorEastAsia" w:hAnsiTheme="minorEastAsia" w:eastAsiaTheme="minorEastAsia"/>
          <w:color w:val="auto"/>
          <w:sz w:val="24"/>
        </w:rPr>
        <w:t>基础。</w:t>
      </w:r>
    </w:p>
    <w:p>
      <w:pPr>
        <w:spacing w:line="360" w:lineRule="auto"/>
        <w:ind w:firstLine="640"/>
        <w:outlineLvl w:val="3"/>
        <w:rPr>
          <w:rFonts w:asciiTheme="minorEastAsia" w:hAnsiTheme="minorEastAsia" w:eastAsiaTheme="minorEastAsia"/>
          <w:color w:val="auto"/>
          <w:sz w:val="24"/>
        </w:rPr>
      </w:pPr>
      <w:bookmarkStart w:id="40" w:name="_Toc532748608"/>
      <w:r>
        <w:rPr>
          <w:rFonts w:hint="eastAsia" w:asciiTheme="minorEastAsia" w:hAnsiTheme="minorEastAsia" w:eastAsiaTheme="minorEastAsia"/>
          <w:color w:val="auto"/>
          <w:sz w:val="24"/>
        </w:rPr>
        <w:t>（</w:t>
      </w:r>
      <w:r>
        <w:rPr>
          <w:rFonts w:asciiTheme="minorEastAsia" w:hAnsiTheme="minorEastAsia" w:eastAsiaTheme="minorEastAsia"/>
          <w:color w:val="auto"/>
          <w:sz w:val="24"/>
        </w:rPr>
        <w:t>3）能够实现物有所值</w:t>
      </w:r>
      <w:bookmarkEnd w:id="40"/>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通过特许经营模式的实现，能够通过公开竞争压低建设成本，通过风险转移降低风险承担成本，通过提高财政资金使用的灵活度和杠杆率提高财政资金对其他项目的支持度，从而增加基础设施和公共服务供给。</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运用特许经营模式，政府将部分公共设施的建设、运营职能通过政府购买服务的方式转移给了高效的私人或社会运营商，同时保留并完善监督、定价等公共部门的核心职能，不但可以发挥优胜劣汰的市场竞争作用，推进公共产品和服务的市场化配置，提高公共资源的使用效率，而且可以有助于破除行政垄断，进一步简政放权，使政府职能进一步转向发展规划、公共服务、市场监管等方面，有助于降低行政管理成本，提高行政效率，更好地实现政府职能转变，实现“</w:t>
      </w:r>
      <w:r>
        <w:rPr>
          <w:rFonts w:asciiTheme="minorEastAsia" w:hAnsiTheme="minorEastAsia" w:eastAsiaTheme="minorEastAsia"/>
          <w:color w:val="auto"/>
          <w:sz w:val="24"/>
          <w:szCs w:val="24"/>
        </w:rPr>
        <w:t>1+1&gt;2</w:t>
      </w:r>
      <w:r>
        <w:rPr>
          <w:rFonts w:hint="eastAsia" w:asciiTheme="minorEastAsia" w:hAnsiTheme="minorEastAsia" w:eastAsiaTheme="minorEastAsia"/>
          <w:color w:val="auto"/>
          <w:sz w:val="24"/>
          <w:szCs w:val="24"/>
        </w:rPr>
        <w:t>”的效果。</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综上论述，本项目采用特许经营模式，在基础设施及服务供给、优化风险分配、提高运营效率和公平竞争等方面均具有显著的优势。</w:t>
      </w:r>
    </w:p>
    <w:p>
      <w:pPr>
        <w:pStyle w:val="2"/>
        <w:spacing w:line="360" w:lineRule="auto"/>
        <w:ind w:left="0"/>
        <w:rPr>
          <w:rFonts w:asciiTheme="minorEastAsia" w:hAnsiTheme="minorEastAsia" w:eastAsiaTheme="minorEastAsia"/>
          <w:b/>
          <w:color w:val="auto"/>
          <w:sz w:val="32"/>
          <w:szCs w:val="32"/>
          <w:u w:val="none"/>
        </w:rPr>
      </w:pPr>
      <w:bookmarkStart w:id="41" w:name="_Toc14266202"/>
      <w:bookmarkStart w:id="42" w:name="_Toc19881766"/>
      <w:bookmarkStart w:id="43" w:name="_Toc19891209"/>
      <w:r>
        <w:rPr>
          <w:rFonts w:hint="eastAsia" w:asciiTheme="minorEastAsia" w:hAnsiTheme="minorEastAsia" w:eastAsiaTheme="minorEastAsia"/>
          <w:color w:val="auto"/>
          <w:sz w:val="32"/>
          <w:szCs w:val="32"/>
          <w:u w:val="none"/>
        </w:rPr>
        <w:t>二、风险分配与保险</w:t>
      </w:r>
      <w:bookmarkEnd w:id="41"/>
      <w:bookmarkEnd w:id="42"/>
      <w:bookmarkEnd w:id="43"/>
    </w:p>
    <w:p>
      <w:pPr>
        <w:pStyle w:val="3"/>
        <w:spacing w:before="0" w:after="0" w:line="360" w:lineRule="auto"/>
        <w:rPr>
          <w:rFonts w:asciiTheme="minorEastAsia" w:hAnsiTheme="minorEastAsia" w:eastAsiaTheme="minorEastAsia"/>
          <w:color w:val="auto"/>
        </w:rPr>
      </w:pPr>
      <w:bookmarkStart w:id="44" w:name="_Toc14266203"/>
      <w:bookmarkStart w:id="45" w:name="_Toc532748638"/>
      <w:bookmarkStart w:id="46" w:name="_Toc19881767"/>
      <w:r>
        <w:rPr>
          <w:rFonts w:hint="eastAsia" w:asciiTheme="minorEastAsia" w:hAnsiTheme="minorEastAsia" w:eastAsiaTheme="minorEastAsia"/>
          <w:color w:val="auto"/>
        </w:rPr>
        <w:t>（一）风险分配目标</w:t>
      </w:r>
      <w:bookmarkEnd w:id="44"/>
      <w:bookmarkEnd w:id="45"/>
      <w:bookmarkEnd w:id="46"/>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风险分配优化。</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2.</w:t>
      </w:r>
      <w:r>
        <w:rPr>
          <w:rFonts w:hint="eastAsia" w:asciiTheme="minorEastAsia" w:hAnsiTheme="minorEastAsia" w:eastAsiaTheme="minorEastAsia"/>
          <w:color w:val="auto"/>
          <w:sz w:val="24"/>
        </w:rPr>
        <w:t>风险收益对等。</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3.</w:t>
      </w:r>
      <w:r>
        <w:rPr>
          <w:rFonts w:hint="eastAsia" w:asciiTheme="minorEastAsia" w:hAnsiTheme="minorEastAsia" w:eastAsiaTheme="minorEastAsia"/>
          <w:color w:val="auto"/>
          <w:sz w:val="24"/>
        </w:rPr>
        <w:t>风险可控。</w:t>
      </w:r>
    </w:p>
    <w:p>
      <w:pPr>
        <w:pStyle w:val="3"/>
        <w:spacing w:before="0" w:after="0" w:line="360" w:lineRule="auto"/>
        <w:rPr>
          <w:rFonts w:asciiTheme="minorEastAsia" w:hAnsiTheme="minorEastAsia" w:eastAsiaTheme="minorEastAsia"/>
          <w:color w:val="auto"/>
        </w:rPr>
      </w:pPr>
      <w:bookmarkStart w:id="47" w:name="_Toc532748639"/>
      <w:bookmarkStart w:id="48" w:name="_Toc14266204"/>
      <w:bookmarkStart w:id="49" w:name="_Toc19881768"/>
      <w:r>
        <w:rPr>
          <w:rFonts w:hint="eastAsia" w:asciiTheme="minorEastAsia" w:hAnsiTheme="minorEastAsia" w:eastAsiaTheme="minorEastAsia"/>
          <w:color w:val="auto"/>
        </w:rPr>
        <w:t>（二）风险分配一般原则</w:t>
      </w:r>
      <w:bookmarkEnd w:id="47"/>
      <w:bookmarkEnd w:id="48"/>
      <w:bookmarkEnd w:id="49"/>
    </w:p>
    <w:p>
      <w:pPr>
        <w:spacing w:line="360" w:lineRule="auto"/>
        <w:ind w:firstLine="641"/>
        <w:rPr>
          <w:rFonts w:asciiTheme="minorEastAsia" w:hAnsiTheme="minorEastAsia" w:eastAsiaTheme="minorEastAsia"/>
          <w:color w:val="auto"/>
          <w:sz w:val="24"/>
        </w:rPr>
      </w:pPr>
      <w:r>
        <w:rPr>
          <w:rFonts w:hint="eastAsia" w:asciiTheme="minorEastAsia" w:hAnsiTheme="minorEastAsia" w:eastAsiaTheme="minorEastAsia"/>
          <w:color w:val="auto"/>
          <w:sz w:val="24"/>
        </w:rPr>
        <w:t>为达成上述目标，综合考虑政府风险管理能力、项目回报机制和社会资本风险管理能力等要素，在政府和社会资本间合理分配项目风险。</w:t>
      </w:r>
    </w:p>
    <w:p>
      <w:pPr>
        <w:spacing w:line="360" w:lineRule="auto"/>
        <w:ind w:firstLine="641"/>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承担风险的一方应该对该风险具有控制力；</w:t>
      </w:r>
    </w:p>
    <w:p>
      <w:pPr>
        <w:spacing w:line="360" w:lineRule="auto"/>
        <w:ind w:firstLine="641"/>
        <w:rPr>
          <w:rFonts w:asciiTheme="minorEastAsia" w:hAnsiTheme="minorEastAsia" w:eastAsiaTheme="minorEastAsia"/>
          <w:color w:val="auto"/>
          <w:sz w:val="24"/>
        </w:rPr>
      </w:pPr>
      <w:r>
        <w:rPr>
          <w:rFonts w:asciiTheme="minorEastAsia" w:hAnsiTheme="minorEastAsia" w:eastAsiaTheme="minorEastAsia"/>
          <w:color w:val="auto"/>
          <w:sz w:val="24"/>
        </w:rPr>
        <w:t>2.</w:t>
      </w:r>
      <w:r>
        <w:rPr>
          <w:rFonts w:hint="eastAsia" w:asciiTheme="minorEastAsia" w:hAnsiTheme="minorEastAsia" w:eastAsiaTheme="minorEastAsia"/>
          <w:color w:val="auto"/>
          <w:sz w:val="24"/>
        </w:rPr>
        <w:t>承担风险的一方能够将该风险合理转移（例如通过购买相应保险）；</w:t>
      </w:r>
    </w:p>
    <w:p>
      <w:pPr>
        <w:spacing w:line="360" w:lineRule="auto"/>
        <w:ind w:firstLine="641"/>
        <w:rPr>
          <w:rFonts w:asciiTheme="minorEastAsia" w:hAnsiTheme="minorEastAsia" w:eastAsiaTheme="minorEastAsia"/>
          <w:color w:val="auto"/>
          <w:sz w:val="24"/>
        </w:rPr>
      </w:pPr>
      <w:r>
        <w:rPr>
          <w:rFonts w:asciiTheme="minorEastAsia" w:hAnsiTheme="minorEastAsia" w:eastAsiaTheme="minorEastAsia"/>
          <w:color w:val="auto"/>
          <w:sz w:val="24"/>
        </w:rPr>
        <w:t>3.</w:t>
      </w:r>
      <w:r>
        <w:rPr>
          <w:rFonts w:hint="eastAsia" w:asciiTheme="minorEastAsia" w:hAnsiTheme="minorEastAsia" w:eastAsiaTheme="minorEastAsia"/>
          <w:color w:val="auto"/>
          <w:sz w:val="24"/>
        </w:rPr>
        <w:t>承担风险的一方对于控制该风险有更大的经济利益或动机；</w:t>
      </w:r>
    </w:p>
    <w:p>
      <w:pPr>
        <w:spacing w:line="360" w:lineRule="auto"/>
        <w:ind w:firstLine="641"/>
        <w:rPr>
          <w:rFonts w:asciiTheme="minorEastAsia" w:hAnsiTheme="minorEastAsia" w:eastAsiaTheme="minorEastAsia"/>
          <w:color w:val="auto"/>
          <w:sz w:val="24"/>
        </w:rPr>
      </w:pPr>
      <w:r>
        <w:rPr>
          <w:rFonts w:asciiTheme="minorEastAsia" w:hAnsiTheme="minorEastAsia" w:eastAsiaTheme="minorEastAsia"/>
          <w:color w:val="auto"/>
          <w:sz w:val="24"/>
        </w:rPr>
        <w:t>4.</w:t>
      </w:r>
      <w:r>
        <w:rPr>
          <w:rFonts w:hint="eastAsia" w:asciiTheme="minorEastAsia" w:hAnsiTheme="minorEastAsia" w:eastAsiaTheme="minorEastAsia"/>
          <w:color w:val="auto"/>
          <w:sz w:val="24"/>
        </w:rPr>
        <w:t>由该方承担该风险最有效率；</w:t>
      </w:r>
    </w:p>
    <w:p>
      <w:pPr>
        <w:spacing w:line="360" w:lineRule="auto"/>
        <w:ind w:firstLine="641"/>
        <w:rPr>
          <w:rFonts w:asciiTheme="minorEastAsia" w:hAnsiTheme="minorEastAsia" w:eastAsiaTheme="minorEastAsia"/>
          <w:color w:val="auto"/>
          <w:sz w:val="24"/>
        </w:rPr>
      </w:pPr>
      <w:r>
        <w:rPr>
          <w:rFonts w:asciiTheme="minorEastAsia" w:hAnsiTheme="minorEastAsia" w:eastAsiaTheme="minorEastAsia"/>
          <w:color w:val="auto"/>
          <w:sz w:val="24"/>
        </w:rPr>
        <w:t>5.</w:t>
      </w:r>
      <w:r>
        <w:rPr>
          <w:rFonts w:hint="eastAsia" w:asciiTheme="minorEastAsia" w:hAnsiTheme="minorEastAsia" w:eastAsiaTheme="minorEastAsia"/>
          <w:color w:val="auto"/>
          <w:sz w:val="24"/>
        </w:rPr>
        <w:t>如果风险最终发生，承担风险的一方不应将由此产生的费用和损失转移给合同相对方。</w:t>
      </w:r>
    </w:p>
    <w:p>
      <w:pPr>
        <w:pStyle w:val="3"/>
        <w:spacing w:before="0" w:after="0" w:line="360" w:lineRule="auto"/>
        <w:rPr>
          <w:rFonts w:asciiTheme="minorEastAsia" w:hAnsiTheme="minorEastAsia" w:eastAsiaTheme="minorEastAsia"/>
          <w:color w:val="auto"/>
        </w:rPr>
      </w:pPr>
      <w:bookmarkStart w:id="50" w:name="_Toc532748640"/>
      <w:bookmarkStart w:id="51" w:name="_Toc14266205"/>
      <w:bookmarkStart w:id="52" w:name="_Toc19881769"/>
      <w:r>
        <w:rPr>
          <w:rFonts w:hint="eastAsia" w:asciiTheme="minorEastAsia" w:hAnsiTheme="minorEastAsia" w:eastAsiaTheme="minorEastAsia"/>
          <w:color w:val="auto"/>
        </w:rPr>
        <w:t>（三）本项目风险类别和初步分配</w:t>
      </w:r>
      <w:bookmarkEnd w:id="50"/>
      <w:bookmarkEnd w:id="51"/>
      <w:bookmarkEnd w:id="52"/>
    </w:p>
    <w:p>
      <w:pPr>
        <w:pStyle w:val="4"/>
        <w:spacing w:before="0" w:after="0" w:line="360" w:lineRule="auto"/>
        <w:ind w:firstLine="641"/>
        <w:rPr>
          <w:rFonts w:asciiTheme="minorEastAsia" w:hAnsiTheme="minorEastAsia" w:eastAsiaTheme="minorEastAsia"/>
          <w:color w:val="auto"/>
          <w:sz w:val="28"/>
          <w:szCs w:val="28"/>
        </w:rPr>
      </w:pPr>
      <w:bookmarkStart w:id="53" w:name="_Toc14266206"/>
      <w:bookmarkStart w:id="54" w:name="_Toc532748641"/>
      <w:bookmarkStart w:id="55" w:name="_Toc19881770"/>
      <w:r>
        <w:rPr>
          <w:rFonts w:asciiTheme="minorEastAsia" w:hAnsiTheme="minorEastAsia" w:eastAsiaTheme="minorEastAsia"/>
          <w:color w:val="auto"/>
          <w:sz w:val="28"/>
          <w:szCs w:val="28"/>
        </w:rPr>
        <w:t>1.</w:t>
      </w:r>
      <w:r>
        <w:rPr>
          <w:rFonts w:hint="eastAsia" w:asciiTheme="minorEastAsia" w:hAnsiTheme="minorEastAsia" w:eastAsiaTheme="minorEastAsia"/>
          <w:color w:val="auto"/>
          <w:sz w:val="28"/>
          <w:szCs w:val="28"/>
        </w:rPr>
        <w:t>法律风险</w:t>
      </w:r>
      <w:bookmarkEnd w:id="53"/>
      <w:bookmarkEnd w:id="54"/>
      <w:bookmarkEnd w:id="55"/>
    </w:p>
    <w:p>
      <w:pPr>
        <w:pStyle w:val="48"/>
        <w:ind w:firstLine="641"/>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主要体现在特许经营方面的相关规定都是部门规范性文件和地方政府部门规章，国家尚未制定专门法律。对于东方市</w:t>
      </w:r>
      <w:r>
        <w:rPr>
          <w:rFonts w:asciiTheme="minorEastAsia" w:hAnsiTheme="minorEastAsia" w:eastAsiaTheme="minorEastAsia"/>
          <w:color w:val="auto"/>
          <w:sz w:val="24"/>
          <w:szCs w:val="24"/>
        </w:rPr>
        <w:t>政府可控的</w:t>
      </w:r>
      <w:r>
        <w:rPr>
          <w:rFonts w:hint="eastAsia" w:asciiTheme="minorEastAsia" w:hAnsiTheme="minorEastAsia" w:eastAsiaTheme="minorEastAsia"/>
          <w:color w:val="auto"/>
          <w:sz w:val="24"/>
          <w:szCs w:val="24"/>
        </w:rPr>
        <w:t>法律风险由</w:t>
      </w:r>
      <w:r>
        <w:rPr>
          <w:rFonts w:asciiTheme="minorEastAsia" w:hAnsiTheme="minorEastAsia" w:eastAsiaTheme="minorEastAsia"/>
          <w:color w:val="auto"/>
          <w:sz w:val="24"/>
          <w:szCs w:val="24"/>
        </w:rPr>
        <w:t>政府</w:t>
      </w:r>
      <w:r>
        <w:rPr>
          <w:rFonts w:hint="eastAsia" w:asciiTheme="minorEastAsia" w:hAnsiTheme="minorEastAsia" w:eastAsiaTheme="minorEastAsia"/>
          <w:color w:val="auto"/>
          <w:sz w:val="24"/>
          <w:szCs w:val="24"/>
        </w:rPr>
        <w:t>方</w:t>
      </w:r>
      <w:r>
        <w:rPr>
          <w:rFonts w:asciiTheme="minorEastAsia" w:hAnsiTheme="minorEastAsia" w:eastAsiaTheme="minorEastAsia"/>
          <w:color w:val="auto"/>
          <w:sz w:val="24"/>
          <w:szCs w:val="24"/>
        </w:rPr>
        <w:t>承担，东方市政府不可控的风险</w:t>
      </w:r>
      <w:r>
        <w:rPr>
          <w:rFonts w:hint="eastAsia" w:asciiTheme="minorEastAsia" w:hAnsiTheme="minorEastAsia" w:eastAsiaTheme="minorEastAsia"/>
          <w:color w:val="auto"/>
          <w:sz w:val="24"/>
          <w:szCs w:val="24"/>
        </w:rPr>
        <w:t>由双方</w:t>
      </w:r>
      <w:r>
        <w:rPr>
          <w:rFonts w:asciiTheme="minorEastAsia" w:hAnsiTheme="minorEastAsia" w:eastAsiaTheme="minorEastAsia"/>
          <w:color w:val="auto"/>
          <w:sz w:val="24"/>
          <w:szCs w:val="24"/>
        </w:rPr>
        <w:t>共同</w:t>
      </w:r>
      <w:r>
        <w:rPr>
          <w:rFonts w:hint="eastAsia" w:asciiTheme="minorEastAsia" w:hAnsiTheme="minorEastAsia" w:eastAsiaTheme="minorEastAsia"/>
          <w:color w:val="auto"/>
          <w:sz w:val="24"/>
          <w:szCs w:val="24"/>
        </w:rPr>
        <w:t>承担。</w:t>
      </w:r>
    </w:p>
    <w:p>
      <w:pPr>
        <w:pStyle w:val="4"/>
        <w:spacing w:before="0" w:after="0" w:line="360" w:lineRule="auto"/>
        <w:ind w:firstLine="641"/>
        <w:rPr>
          <w:rFonts w:asciiTheme="minorEastAsia" w:hAnsiTheme="minorEastAsia" w:eastAsiaTheme="minorEastAsia"/>
          <w:color w:val="auto"/>
          <w:sz w:val="28"/>
          <w:szCs w:val="28"/>
        </w:rPr>
      </w:pPr>
      <w:bookmarkStart w:id="56" w:name="_Toc19881771"/>
      <w:bookmarkStart w:id="57" w:name="_Toc532748642"/>
      <w:bookmarkStart w:id="58" w:name="_Toc14266207"/>
      <w:r>
        <w:rPr>
          <w:rFonts w:asciiTheme="minorEastAsia" w:hAnsiTheme="minorEastAsia" w:eastAsiaTheme="minorEastAsia"/>
          <w:color w:val="auto"/>
          <w:sz w:val="28"/>
          <w:szCs w:val="28"/>
        </w:rPr>
        <w:t>2.</w:t>
      </w:r>
      <w:r>
        <w:rPr>
          <w:rFonts w:hint="eastAsia" w:asciiTheme="minorEastAsia" w:hAnsiTheme="minorEastAsia" w:eastAsiaTheme="minorEastAsia"/>
          <w:color w:val="auto"/>
          <w:sz w:val="28"/>
          <w:szCs w:val="28"/>
        </w:rPr>
        <w:t>政策风险</w:t>
      </w:r>
      <w:bookmarkEnd w:id="56"/>
      <w:bookmarkEnd w:id="57"/>
      <w:bookmarkEnd w:id="58"/>
    </w:p>
    <w:p>
      <w:pPr>
        <w:pStyle w:val="48"/>
        <w:ind w:firstLine="641"/>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本项目所涉及的行业政策方面的风险容易揭示，由政策变动引起的风险原则上由</w:t>
      </w:r>
      <w:r>
        <w:rPr>
          <w:rFonts w:asciiTheme="minorEastAsia" w:hAnsiTheme="minorEastAsia" w:eastAsiaTheme="minorEastAsia"/>
          <w:color w:val="auto"/>
          <w:sz w:val="24"/>
          <w:szCs w:val="24"/>
        </w:rPr>
        <w:t>双方</w:t>
      </w:r>
      <w:r>
        <w:rPr>
          <w:rFonts w:hint="eastAsia" w:asciiTheme="minorEastAsia" w:hAnsiTheme="minorEastAsia" w:eastAsiaTheme="minorEastAsia"/>
          <w:color w:val="auto"/>
          <w:sz w:val="24"/>
          <w:szCs w:val="24"/>
        </w:rPr>
        <w:t>共同</w:t>
      </w:r>
      <w:r>
        <w:rPr>
          <w:rFonts w:asciiTheme="minorEastAsia" w:hAnsiTheme="minorEastAsia" w:eastAsiaTheme="minorEastAsia"/>
          <w:color w:val="auto"/>
          <w:sz w:val="24"/>
          <w:szCs w:val="24"/>
        </w:rPr>
        <w:t>承担，</w:t>
      </w:r>
      <w:r>
        <w:rPr>
          <w:rFonts w:hint="eastAsia" w:asciiTheme="minorEastAsia" w:hAnsiTheme="minorEastAsia" w:eastAsiaTheme="minorEastAsia"/>
          <w:color w:val="auto"/>
          <w:sz w:val="24"/>
          <w:szCs w:val="24"/>
        </w:rPr>
        <w:t>除</w:t>
      </w:r>
      <w:r>
        <w:rPr>
          <w:rFonts w:asciiTheme="minorEastAsia" w:hAnsiTheme="minorEastAsia" w:eastAsiaTheme="minorEastAsia"/>
          <w:color w:val="auto"/>
          <w:sz w:val="24"/>
          <w:szCs w:val="24"/>
        </w:rPr>
        <w:t>东方市政府可控之外</w:t>
      </w:r>
      <w:r>
        <w:rPr>
          <w:rFonts w:hint="eastAsia" w:asciiTheme="minorEastAsia" w:hAnsiTheme="minorEastAsia" w:eastAsiaTheme="minorEastAsia"/>
          <w:color w:val="auto"/>
          <w:sz w:val="24"/>
          <w:szCs w:val="24"/>
        </w:rPr>
        <w:t>。</w:t>
      </w:r>
    </w:p>
    <w:p>
      <w:pPr>
        <w:pStyle w:val="4"/>
        <w:spacing w:before="0" w:after="0" w:line="360" w:lineRule="auto"/>
        <w:ind w:firstLine="641"/>
        <w:rPr>
          <w:rFonts w:asciiTheme="minorEastAsia" w:hAnsiTheme="minorEastAsia" w:eastAsiaTheme="minorEastAsia"/>
          <w:color w:val="auto"/>
          <w:sz w:val="28"/>
          <w:szCs w:val="28"/>
        </w:rPr>
      </w:pPr>
      <w:bookmarkStart w:id="59" w:name="_Toc14266208"/>
      <w:bookmarkStart w:id="60" w:name="_Toc532748643"/>
      <w:bookmarkStart w:id="61" w:name="_Toc19881772"/>
      <w:r>
        <w:rPr>
          <w:rFonts w:asciiTheme="minorEastAsia" w:hAnsiTheme="minorEastAsia" w:eastAsiaTheme="minorEastAsia"/>
          <w:color w:val="auto"/>
          <w:sz w:val="28"/>
          <w:szCs w:val="28"/>
        </w:rPr>
        <w:t>3.</w:t>
      </w:r>
      <w:r>
        <w:rPr>
          <w:rFonts w:hint="eastAsia" w:asciiTheme="minorEastAsia" w:hAnsiTheme="minorEastAsia" w:eastAsiaTheme="minorEastAsia"/>
          <w:color w:val="auto"/>
          <w:sz w:val="28"/>
          <w:szCs w:val="28"/>
        </w:rPr>
        <w:t>商业风险</w:t>
      </w:r>
      <w:bookmarkEnd w:id="59"/>
      <w:bookmarkEnd w:id="60"/>
      <w:bookmarkEnd w:id="61"/>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不可预见的商业风险主要体现在项目提供的产品能否适应行业标准要求，及项目对未来需求的预测是否能实现。城市和城乡公交承担着城乡居民的公共出行职能，具有十分明显的社会公益属性，特许公司应在提供基本公共出行服务的基础上，在政府允许的范围内，探索多元化的经营收入机制，打破单纯以票价收入作为主营收入的模式，减少对政府财政补贴的依赖。该风险原则上由特许经营企业承担。</w:t>
      </w:r>
    </w:p>
    <w:p>
      <w:pPr>
        <w:pStyle w:val="4"/>
        <w:spacing w:before="0" w:after="0" w:line="360" w:lineRule="auto"/>
        <w:ind w:firstLine="641"/>
        <w:rPr>
          <w:rFonts w:asciiTheme="minorEastAsia" w:hAnsiTheme="minorEastAsia" w:eastAsiaTheme="minorEastAsia"/>
          <w:color w:val="auto"/>
          <w:sz w:val="28"/>
          <w:szCs w:val="28"/>
        </w:rPr>
      </w:pPr>
      <w:bookmarkStart w:id="62" w:name="_Toc14266209"/>
      <w:bookmarkStart w:id="63" w:name="_Toc19881773"/>
      <w:bookmarkStart w:id="64" w:name="_Toc532748644"/>
      <w:r>
        <w:rPr>
          <w:rFonts w:asciiTheme="minorEastAsia" w:hAnsiTheme="minorEastAsia" w:eastAsiaTheme="minorEastAsia"/>
          <w:color w:val="auto"/>
          <w:sz w:val="28"/>
          <w:szCs w:val="28"/>
        </w:rPr>
        <w:t>4.</w:t>
      </w:r>
      <w:r>
        <w:rPr>
          <w:rFonts w:hint="eastAsia" w:asciiTheme="minorEastAsia" w:hAnsiTheme="minorEastAsia" w:eastAsiaTheme="minorEastAsia"/>
          <w:color w:val="auto"/>
          <w:sz w:val="28"/>
          <w:szCs w:val="28"/>
        </w:rPr>
        <w:t>不可抗力风险</w:t>
      </w:r>
      <w:bookmarkEnd w:id="62"/>
      <w:bookmarkEnd w:id="63"/>
      <w:bookmarkEnd w:id="64"/>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根据《民法通则》第一百五十三条规定的“本法所称的‘不可抗力’，是指不能预见、不能避免并不能克服的客观情况”，不可抗力包括自然灾害，如台风、洪水、冰雹；政府行为，如征收、征用；社会异常事件，如罢工、骚乱等三方面。其中，对抗自然灾害和社会异常事件风险的有效手段是参加保险。如涉及征收、征用的风险则由政府承担，承担的方式或者是给予补偿，或者是给予赔偿。总体来说，不可抗力风险由双方共同承担。</w:t>
      </w:r>
    </w:p>
    <w:p>
      <w:pPr>
        <w:pStyle w:val="3"/>
        <w:spacing w:line="360" w:lineRule="auto"/>
        <w:ind w:firstLine="643"/>
        <w:rPr>
          <w:rFonts w:asciiTheme="minorEastAsia" w:hAnsiTheme="minorEastAsia" w:eastAsiaTheme="minorEastAsia"/>
          <w:color w:val="auto"/>
        </w:rPr>
      </w:pPr>
      <w:bookmarkStart w:id="65" w:name="_Toc19881774"/>
      <w:bookmarkStart w:id="66" w:name="_Toc14266210"/>
      <w:bookmarkStart w:id="67" w:name="_Toc532748645"/>
      <w:r>
        <w:rPr>
          <w:rFonts w:hint="eastAsia" w:asciiTheme="minorEastAsia" w:hAnsiTheme="minorEastAsia" w:eastAsiaTheme="minorEastAsia"/>
          <w:color w:val="auto"/>
        </w:rPr>
        <w:t>（四）本项目具体风险识别与分配</w:t>
      </w:r>
      <w:bookmarkEnd w:id="65"/>
      <w:bookmarkEnd w:id="66"/>
      <w:bookmarkEnd w:id="67"/>
    </w:p>
    <w:tbl>
      <w:tblPr>
        <w:tblStyle w:val="23"/>
        <w:tblW w:w="8643"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3260"/>
        <w:gridCol w:w="567"/>
        <w:gridCol w:w="569"/>
        <w:gridCol w:w="240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838" w:type="dxa"/>
            <w:gridSpan w:val="2"/>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风险类别</w:t>
            </w:r>
          </w:p>
        </w:tc>
        <w:tc>
          <w:tcPr>
            <w:tcW w:w="3260"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风险项目</w:t>
            </w:r>
          </w:p>
        </w:tc>
        <w:tc>
          <w:tcPr>
            <w:tcW w:w="1136" w:type="dxa"/>
            <w:gridSpan w:val="2"/>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风险分配</w:t>
            </w:r>
          </w:p>
        </w:tc>
        <w:tc>
          <w:tcPr>
            <w:tcW w:w="240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应对措施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838" w:type="dxa"/>
            <w:gridSpan w:val="2"/>
            <w:vMerge w:val="continue"/>
            <w:vAlign w:val="center"/>
          </w:tcPr>
          <w:p>
            <w:pPr>
              <w:spacing w:line="360" w:lineRule="auto"/>
              <w:jc w:val="center"/>
              <w:rPr>
                <w:rFonts w:asciiTheme="minorEastAsia" w:hAnsiTheme="minorEastAsia" w:eastAsiaTheme="minorEastAsia"/>
                <w:color w:val="auto"/>
                <w:szCs w:val="21"/>
              </w:rPr>
            </w:pPr>
          </w:p>
        </w:tc>
        <w:tc>
          <w:tcPr>
            <w:tcW w:w="3260" w:type="dxa"/>
            <w:vMerge w:val="continue"/>
            <w:vAlign w:val="center"/>
          </w:tcPr>
          <w:p>
            <w:pPr>
              <w:spacing w:line="360" w:lineRule="auto"/>
              <w:jc w:val="center"/>
              <w:rPr>
                <w:rFonts w:asciiTheme="minorEastAsia" w:hAnsiTheme="minorEastAsia" w:eastAsiaTheme="minorEastAsia"/>
                <w:color w:val="auto"/>
                <w:szCs w:val="21"/>
              </w:rPr>
            </w:pPr>
          </w:p>
        </w:tc>
        <w:tc>
          <w:tcPr>
            <w:tcW w:w="567"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政府</w:t>
            </w: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社会资本</w:t>
            </w:r>
          </w:p>
        </w:tc>
        <w:tc>
          <w:tcPr>
            <w:tcW w:w="2409" w:type="dxa"/>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法律政策风险</w:t>
            </w:r>
          </w:p>
        </w:tc>
        <w:tc>
          <w:tcPr>
            <w:tcW w:w="113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法律风险</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法律制度不完善</w:t>
            </w:r>
          </w:p>
        </w:tc>
        <w:tc>
          <w:tcPr>
            <w:tcW w:w="567" w:type="dxa"/>
            <w:vAlign w:val="center"/>
          </w:tcPr>
          <w:p>
            <w:pPr>
              <w:spacing w:line="360" w:lineRule="auto"/>
              <w:jc w:val="center"/>
              <w:rPr>
                <w:rFonts w:asciiTheme="minorEastAsia" w:hAnsiTheme="minorEastAsia" w:eastAsiaTheme="minorEastAsia"/>
                <w:color w:val="auto"/>
                <w:szCs w:val="21"/>
              </w:rPr>
            </w:pPr>
            <w:bookmarkStart w:id="68" w:name="OLE_LINK3"/>
            <w:bookmarkStart w:id="69" w:name="OLE_LINK4"/>
            <w:r>
              <w:rPr>
                <w:rFonts w:hint="eastAsia" w:asciiTheme="minorEastAsia" w:hAnsiTheme="minorEastAsia" w:eastAsiaTheme="minorEastAsia"/>
                <w:color w:val="auto"/>
                <w:szCs w:val="21"/>
              </w:rPr>
              <w:t>●</w:t>
            </w:r>
            <w:bookmarkEnd w:id="68"/>
            <w:bookmarkEnd w:id="69"/>
          </w:p>
        </w:tc>
        <w:tc>
          <w:tcPr>
            <w:tcW w:w="569" w:type="dxa"/>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双方通过项目合同相关条款约定，东方市政府</w:t>
            </w:r>
            <w:r>
              <w:rPr>
                <w:rFonts w:asciiTheme="minorEastAsia" w:hAnsiTheme="minorEastAsia" w:eastAsiaTheme="minorEastAsia"/>
                <w:color w:val="auto"/>
                <w:szCs w:val="21"/>
              </w:rPr>
              <w:t>可控的风险由政府方承担，</w:t>
            </w:r>
            <w:r>
              <w:rPr>
                <w:rFonts w:hint="eastAsia" w:asciiTheme="minorEastAsia" w:hAnsiTheme="minorEastAsia" w:eastAsiaTheme="minorEastAsia"/>
                <w:color w:val="auto"/>
                <w:szCs w:val="21"/>
              </w:rPr>
              <w:t>东方市</w:t>
            </w:r>
            <w:r>
              <w:rPr>
                <w:rFonts w:asciiTheme="minorEastAsia" w:hAnsiTheme="minorEastAsia" w:eastAsiaTheme="minorEastAsia"/>
                <w:color w:val="auto"/>
                <w:szCs w:val="21"/>
              </w:rPr>
              <w:t>政府不可控的风险</w:t>
            </w:r>
            <w:r>
              <w:rPr>
                <w:rFonts w:hint="eastAsia" w:asciiTheme="minorEastAsia" w:hAnsiTheme="minorEastAsia" w:eastAsiaTheme="minorEastAsia"/>
                <w:color w:val="auto"/>
                <w:szCs w:val="21"/>
              </w:rPr>
              <w:t>由</w:t>
            </w:r>
            <w:r>
              <w:rPr>
                <w:rFonts w:asciiTheme="minorEastAsia" w:hAnsiTheme="minorEastAsia" w:eastAsiaTheme="minorEastAsia"/>
                <w:color w:val="auto"/>
                <w:szCs w:val="21"/>
              </w:rPr>
              <w:t>双方共同承担50%。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法律变更</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政策反对</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政策计划变动</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税收政策变更</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政治风险</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政府更迭</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政治不稳定</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经济制裁</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金融风险</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通货膨胀</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通货膨胀</w:t>
            </w:r>
            <w:r>
              <w:rPr>
                <w:rFonts w:asciiTheme="minorEastAsia" w:hAnsiTheme="minorEastAsia" w:eastAsiaTheme="minorEastAsia"/>
                <w:color w:val="auto"/>
                <w:szCs w:val="21"/>
              </w:rPr>
              <w:t>和</w:t>
            </w:r>
            <w:r>
              <w:rPr>
                <w:rFonts w:hint="eastAsia" w:asciiTheme="minorEastAsia" w:hAnsiTheme="minorEastAsia" w:eastAsiaTheme="minorEastAsia"/>
                <w:color w:val="auto"/>
                <w:szCs w:val="21"/>
              </w:rPr>
              <w:t>通货紧缩</w:t>
            </w:r>
            <w:r>
              <w:rPr>
                <w:rFonts w:asciiTheme="minorEastAsia" w:hAnsiTheme="minorEastAsia" w:eastAsiaTheme="minorEastAsia"/>
                <w:color w:val="auto"/>
                <w:szCs w:val="21"/>
              </w:rPr>
              <w:t>产生的风险由双方共同承担，对于</w:t>
            </w:r>
            <w:r>
              <w:rPr>
                <w:rFonts w:hint="eastAsia" w:asciiTheme="minorEastAsia" w:hAnsiTheme="minorEastAsia" w:eastAsiaTheme="minorEastAsia"/>
                <w:color w:val="auto"/>
                <w:szCs w:val="21"/>
              </w:rPr>
              <w:t>融资成本</w:t>
            </w:r>
            <w:r>
              <w:rPr>
                <w:rFonts w:asciiTheme="minorEastAsia" w:hAnsiTheme="minorEastAsia" w:eastAsiaTheme="minorEastAsia"/>
                <w:color w:val="auto"/>
                <w:szCs w:val="21"/>
              </w:rPr>
              <w:t>上调产生的风险，</w:t>
            </w:r>
            <w:r>
              <w:rPr>
                <w:rFonts w:hint="eastAsia" w:asciiTheme="minorEastAsia" w:hAnsiTheme="minorEastAsia" w:eastAsiaTheme="minorEastAsia"/>
                <w:color w:val="auto"/>
                <w:szCs w:val="21"/>
              </w:rPr>
              <w:t>双方通过项目合同相关条款约定，基准利率调整风险由政府承担，其他融资成本上调风险由社会资本承担。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通货紧缩</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融资成本上调</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前期风险</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当地居民反对</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双方通过项目合同相关条款约定，明确双方前期工作责任，适当顺延项目建设期。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土地获得风险</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规划和审批延误</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vAlign w:val="center"/>
          </w:tcPr>
          <w:p>
            <w:pPr>
              <w:spacing w:line="360" w:lineRule="auto"/>
              <w:jc w:val="center"/>
              <w:rPr>
                <w:rFonts w:asciiTheme="minorEastAsia" w:hAnsiTheme="minorEastAsia" w:eastAsiaTheme="minorEastAsia"/>
                <w:color w:val="auto"/>
                <w:szCs w:val="21"/>
              </w:rPr>
            </w:pP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商业风险</w:t>
            </w:r>
          </w:p>
        </w:tc>
        <w:tc>
          <w:tcPr>
            <w:tcW w:w="113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融资风险</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资金不足、筹集成本过高</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双方通过项目合同相关条款约定，该风险带来的成本增加、工期延长、工程和运营质量皆由社会资本承担。通过保险转移风险。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前期拆迁征地的不确定性引起在场等待，由此产生的融资风险</w:t>
            </w:r>
          </w:p>
        </w:tc>
        <w:tc>
          <w:tcPr>
            <w:tcW w:w="567"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非因法律、政策和不可抗力风险导致项目中止失败后债权不足偿</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技术风险</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设计方面的风险</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restart"/>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施工方面的风险</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运营方面的风险</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建设风险</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地质条件</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合理的工程签证和涉及变更引致的投资变动计入项目建设投资</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设计变更</w:t>
            </w:r>
          </w:p>
        </w:tc>
        <w:tc>
          <w:tcPr>
            <w:tcW w:w="567" w:type="dxa"/>
            <w:vAlign w:val="center"/>
          </w:tcPr>
          <w:p>
            <w:pPr>
              <w:spacing w:line="360" w:lineRule="auto"/>
              <w:ind w:firstLine="4" w:firstLineChars="2"/>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施工安全</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由特许经营企业承担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场地与道路条件不能满足</w:t>
            </w:r>
          </w:p>
        </w:tc>
        <w:tc>
          <w:tcPr>
            <w:tcW w:w="567"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适当顺延项目建设期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费用超支、完工延期、质量问题</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由社会资本承担。强化项目建设和运营的管理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非因法律、政策和不可抗力风险导致的项目中止失败</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运营风险</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再融资风险</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技术性风险</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政府付款方式的改变、拒付</w:t>
            </w:r>
          </w:p>
        </w:tc>
        <w:tc>
          <w:tcPr>
            <w:tcW w:w="567"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569" w:type="dxa"/>
            <w:vAlign w:val="center"/>
          </w:tcPr>
          <w:p>
            <w:pPr>
              <w:spacing w:line="360" w:lineRule="auto"/>
              <w:jc w:val="center"/>
              <w:rPr>
                <w:rFonts w:asciiTheme="minorEastAsia" w:hAnsiTheme="minorEastAsia" w:eastAsiaTheme="minorEastAsia"/>
                <w:color w:val="auto"/>
                <w:szCs w:val="21"/>
              </w:rPr>
            </w:pPr>
          </w:p>
        </w:tc>
        <w:tc>
          <w:tcPr>
            <w:tcW w:w="240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由政府承担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财政监管不力</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由社会资本承担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运营成本上涨</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定期调整费用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运营中断</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由社会资本承担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服务质量</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设备维护</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Cs w:val="21"/>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外部水、电、气供应问题</w:t>
            </w:r>
          </w:p>
        </w:tc>
        <w:tc>
          <w:tcPr>
            <w:tcW w:w="567" w:type="dxa"/>
            <w:vAlign w:val="center"/>
          </w:tcPr>
          <w:p>
            <w:pPr>
              <w:spacing w:line="360" w:lineRule="auto"/>
              <w:jc w:val="center"/>
              <w:rPr>
                <w:rFonts w:asciiTheme="minorEastAsia" w:hAnsiTheme="minorEastAsia" w:eastAsiaTheme="minorEastAsia"/>
                <w:color w:val="auto"/>
                <w:szCs w:val="21"/>
              </w:rPr>
            </w:pPr>
          </w:p>
        </w:tc>
        <w:tc>
          <w:tcPr>
            <w:tcW w:w="569"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 w:val="20"/>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运营</w:t>
            </w:r>
            <w:r>
              <w:rPr>
                <w:rFonts w:asciiTheme="minorEastAsia" w:hAnsiTheme="minorEastAsia" w:eastAsiaTheme="minorEastAsia"/>
                <w:color w:val="auto"/>
                <w:szCs w:val="21"/>
              </w:rPr>
              <w:t>期间意外及事故风险</w:t>
            </w:r>
          </w:p>
        </w:tc>
        <w:tc>
          <w:tcPr>
            <w:tcW w:w="567" w:type="dxa"/>
            <w:vAlign w:val="center"/>
          </w:tcPr>
          <w:p>
            <w:pPr>
              <w:spacing w:line="360" w:lineRule="auto"/>
              <w:jc w:val="center"/>
              <w:rPr>
                <w:rFonts w:asciiTheme="minorEastAsia" w:hAnsiTheme="minorEastAsia" w:eastAsiaTheme="minorEastAsia"/>
                <w:color w:val="auto"/>
                <w:sz w:val="20"/>
              </w:rPr>
            </w:pPr>
          </w:p>
        </w:tc>
        <w:tc>
          <w:tcPr>
            <w:tcW w:w="569" w:type="dxa"/>
            <w:vAlign w:val="center"/>
          </w:tcPr>
          <w:p>
            <w:pPr>
              <w:spacing w:line="360" w:lineRule="auto"/>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 w:val="20"/>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内部</w:t>
            </w:r>
            <w:r>
              <w:rPr>
                <w:rFonts w:asciiTheme="minorEastAsia" w:hAnsiTheme="minorEastAsia" w:eastAsiaTheme="minorEastAsia"/>
                <w:color w:val="auto"/>
                <w:szCs w:val="21"/>
              </w:rPr>
              <w:t>安全风险</w:t>
            </w:r>
          </w:p>
        </w:tc>
        <w:tc>
          <w:tcPr>
            <w:tcW w:w="567" w:type="dxa"/>
            <w:vAlign w:val="center"/>
          </w:tcPr>
          <w:p>
            <w:pPr>
              <w:spacing w:line="360" w:lineRule="auto"/>
              <w:jc w:val="center"/>
              <w:rPr>
                <w:rFonts w:asciiTheme="minorEastAsia" w:hAnsiTheme="minorEastAsia" w:eastAsiaTheme="minorEastAsia"/>
                <w:color w:val="auto"/>
                <w:sz w:val="20"/>
              </w:rPr>
            </w:pPr>
          </w:p>
        </w:tc>
        <w:tc>
          <w:tcPr>
            <w:tcW w:w="569" w:type="dxa"/>
            <w:vAlign w:val="center"/>
          </w:tcPr>
          <w:p>
            <w:pPr>
              <w:spacing w:line="360" w:lineRule="auto"/>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不可抗力风险</w:t>
            </w:r>
          </w:p>
        </w:tc>
        <w:tc>
          <w:tcPr>
            <w:tcW w:w="113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自然灾害</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火灾</w:t>
            </w:r>
          </w:p>
        </w:tc>
        <w:tc>
          <w:tcPr>
            <w:tcW w:w="567"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Cs w:val="21"/>
              </w:rPr>
              <w:t>●</w:t>
            </w:r>
          </w:p>
        </w:tc>
        <w:tc>
          <w:tcPr>
            <w:tcW w:w="2409"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由双方</w:t>
            </w:r>
            <w:r>
              <w:rPr>
                <w:rFonts w:asciiTheme="minorEastAsia" w:hAnsiTheme="minorEastAsia" w:eastAsiaTheme="minorEastAsia"/>
                <w:color w:val="auto"/>
                <w:szCs w:val="21"/>
              </w:rPr>
              <w:t>共同承担50%。通过项目合同和施工合同约定具体承担方式。内容包括工期、费用等。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爆炸</w:t>
            </w:r>
          </w:p>
        </w:tc>
        <w:tc>
          <w:tcPr>
            <w:tcW w:w="567"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雷电</w:t>
            </w:r>
          </w:p>
        </w:tc>
        <w:tc>
          <w:tcPr>
            <w:tcW w:w="567"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飓风</w:t>
            </w:r>
            <w:r>
              <w:rPr>
                <w:rFonts w:asciiTheme="minorEastAsia" w:hAnsiTheme="minorEastAsia" w:eastAsiaTheme="minorEastAsia"/>
                <w:color w:val="auto"/>
                <w:szCs w:val="21"/>
              </w:rPr>
              <w:t>、台风、风暴、龙卷风</w:t>
            </w:r>
          </w:p>
        </w:tc>
        <w:tc>
          <w:tcPr>
            <w:tcW w:w="567"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暴雨</w:t>
            </w:r>
            <w:r>
              <w:rPr>
                <w:rFonts w:asciiTheme="minorEastAsia" w:hAnsiTheme="minorEastAsia" w:eastAsiaTheme="minorEastAsia"/>
                <w:color w:val="auto"/>
                <w:szCs w:val="21"/>
              </w:rPr>
              <w:t>、洪水</w:t>
            </w:r>
          </w:p>
        </w:tc>
        <w:tc>
          <w:tcPr>
            <w:tcW w:w="567"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冰雹</w:t>
            </w:r>
          </w:p>
        </w:tc>
        <w:tc>
          <w:tcPr>
            <w:tcW w:w="567"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地崩</w:t>
            </w:r>
            <w:r>
              <w:rPr>
                <w:rFonts w:asciiTheme="minorEastAsia" w:hAnsiTheme="minorEastAsia" w:eastAsiaTheme="minorEastAsia"/>
                <w:color w:val="auto"/>
                <w:szCs w:val="21"/>
              </w:rPr>
              <w:t>、山崩、雪崩</w:t>
            </w:r>
          </w:p>
        </w:tc>
        <w:tc>
          <w:tcPr>
            <w:tcW w:w="567"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地面</w:t>
            </w:r>
            <w:r>
              <w:rPr>
                <w:rFonts w:asciiTheme="minorEastAsia" w:hAnsiTheme="minorEastAsia" w:eastAsiaTheme="minorEastAsia"/>
                <w:color w:val="auto"/>
                <w:szCs w:val="21"/>
              </w:rPr>
              <w:t>下陷下沉</w:t>
            </w:r>
          </w:p>
        </w:tc>
        <w:tc>
          <w:tcPr>
            <w:tcW w:w="567"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火山爆发</w:t>
            </w:r>
            <w:r>
              <w:rPr>
                <w:rFonts w:asciiTheme="minorEastAsia" w:hAnsiTheme="minorEastAsia" w:eastAsiaTheme="minorEastAsia"/>
                <w:color w:val="auto"/>
                <w:szCs w:val="21"/>
              </w:rPr>
              <w:t>、地震</w:t>
            </w:r>
          </w:p>
        </w:tc>
        <w:tc>
          <w:tcPr>
            <w:tcW w:w="567"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ind w:firstLine="4" w:firstLineChars="2"/>
              <w:jc w:val="center"/>
              <w:rPr>
                <w:rFonts w:asciiTheme="minorEastAsia" w:hAnsiTheme="minorEastAsia" w:eastAsiaTheme="minorEastAsia"/>
                <w:color w:val="auto"/>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政府</w:t>
            </w:r>
            <w:r>
              <w:rPr>
                <w:rFonts w:asciiTheme="minorEastAsia" w:hAnsiTheme="minorEastAsia" w:eastAsiaTheme="minorEastAsia"/>
                <w:color w:val="auto"/>
                <w:szCs w:val="21"/>
              </w:rPr>
              <w:t>行为</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征收、</w:t>
            </w:r>
            <w:r>
              <w:rPr>
                <w:rFonts w:asciiTheme="minorEastAsia" w:hAnsiTheme="minorEastAsia" w:eastAsiaTheme="minorEastAsia"/>
                <w:color w:val="auto"/>
                <w:szCs w:val="21"/>
              </w:rPr>
              <w:t>征用</w:t>
            </w:r>
          </w:p>
        </w:tc>
        <w:tc>
          <w:tcPr>
            <w:tcW w:w="567" w:type="dxa"/>
            <w:vAlign w:val="center"/>
          </w:tcPr>
          <w:p>
            <w:pPr>
              <w:spacing w:line="360" w:lineRule="auto"/>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jc w:val="center"/>
              <w:rPr>
                <w:rFonts w:asciiTheme="minorEastAsia" w:hAnsiTheme="minorEastAsia" w:eastAsiaTheme="minorEastAsia"/>
                <w:color w:val="auto"/>
                <w:sz w:val="20"/>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restart"/>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社会异常</w:t>
            </w:r>
            <w:r>
              <w:rPr>
                <w:rFonts w:asciiTheme="minorEastAsia" w:hAnsiTheme="minorEastAsia" w:eastAsiaTheme="minorEastAsia"/>
                <w:color w:val="auto"/>
                <w:szCs w:val="21"/>
              </w:rPr>
              <w:t>事件</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战争</w:t>
            </w:r>
            <w:r>
              <w:rPr>
                <w:rFonts w:asciiTheme="minorEastAsia" w:hAnsiTheme="minorEastAsia" w:eastAsiaTheme="minorEastAsia"/>
                <w:color w:val="auto"/>
                <w:szCs w:val="21"/>
              </w:rPr>
              <w:t>、军事冲突、武装叛乱、暴动</w:t>
            </w:r>
          </w:p>
        </w:tc>
        <w:tc>
          <w:tcPr>
            <w:tcW w:w="567" w:type="dxa"/>
            <w:vAlign w:val="center"/>
          </w:tcPr>
          <w:p>
            <w:pPr>
              <w:spacing w:line="360" w:lineRule="auto"/>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jc w:val="center"/>
              <w:rPr>
                <w:rFonts w:asciiTheme="minorEastAsia" w:hAnsiTheme="minorEastAsia" w:eastAsiaTheme="minorEastAsia"/>
                <w:color w:val="auto"/>
                <w:sz w:val="20"/>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罢工</w:t>
            </w:r>
            <w:r>
              <w:rPr>
                <w:rFonts w:asciiTheme="minorEastAsia" w:hAnsiTheme="minorEastAsia" w:eastAsiaTheme="minorEastAsia"/>
                <w:color w:val="auto"/>
                <w:szCs w:val="21"/>
              </w:rPr>
              <w:t>、骚乱</w:t>
            </w:r>
          </w:p>
        </w:tc>
        <w:tc>
          <w:tcPr>
            <w:tcW w:w="567" w:type="dxa"/>
            <w:vAlign w:val="center"/>
          </w:tcPr>
          <w:p>
            <w:pPr>
              <w:spacing w:line="360" w:lineRule="auto"/>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jc w:val="center"/>
              <w:rPr>
                <w:rFonts w:asciiTheme="minorEastAsia" w:hAnsiTheme="minorEastAsia" w:eastAsiaTheme="minorEastAsia"/>
                <w:color w:val="auto"/>
                <w:sz w:val="20"/>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Merge w:val="continue"/>
            <w:vAlign w:val="center"/>
          </w:tcPr>
          <w:p>
            <w:pPr>
              <w:spacing w:line="360" w:lineRule="auto"/>
              <w:jc w:val="center"/>
              <w:rPr>
                <w:rFonts w:asciiTheme="minorEastAsia" w:hAnsiTheme="minorEastAsia" w:eastAsiaTheme="minorEastAsia"/>
                <w:color w:val="auto"/>
                <w:szCs w:val="21"/>
              </w:rPr>
            </w:pP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其他</w:t>
            </w:r>
            <w:r>
              <w:rPr>
                <w:rFonts w:asciiTheme="minorEastAsia" w:hAnsiTheme="minorEastAsia" w:eastAsiaTheme="minorEastAsia"/>
                <w:color w:val="auto"/>
                <w:szCs w:val="21"/>
              </w:rPr>
              <w:t>群体性事件</w:t>
            </w:r>
          </w:p>
        </w:tc>
        <w:tc>
          <w:tcPr>
            <w:tcW w:w="567" w:type="dxa"/>
            <w:vAlign w:val="center"/>
          </w:tcPr>
          <w:p>
            <w:pPr>
              <w:spacing w:line="360" w:lineRule="auto"/>
              <w:jc w:val="center"/>
              <w:rPr>
                <w:rFonts w:asciiTheme="minorEastAsia" w:hAnsiTheme="minorEastAsia" w:eastAsiaTheme="minorEastAsia"/>
                <w:color w:val="auto"/>
              </w:rPr>
            </w:pPr>
            <w:r>
              <w:rPr>
                <w:rFonts w:hint="eastAsia" w:asciiTheme="minorEastAsia" w:hAnsiTheme="minorEastAsia" w:eastAsiaTheme="minorEastAsia"/>
                <w:color w:val="auto"/>
                <w:sz w:val="20"/>
              </w:rPr>
              <w:t>●</w:t>
            </w:r>
          </w:p>
        </w:tc>
        <w:tc>
          <w:tcPr>
            <w:tcW w:w="569" w:type="dxa"/>
            <w:vAlign w:val="center"/>
          </w:tcPr>
          <w:p>
            <w:pPr>
              <w:spacing w:line="360" w:lineRule="auto"/>
              <w:jc w:val="center"/>
              <w:rPr>
                <w:rFonts w:asciiTheme="minorEastAsia" w:hAnsiTheme="minorEastAsia" w:eastAsiaTheme="minorEastAsia"/>
                <w:color w:val="auto"/>
                <w:sz w:val="20"/>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04" w:type="dxa"/>
            <w:vMerge w:val="continue"/>
            <w:vAlign w:val="center"/>
          </w:tcPr>
          <w:p>
            <w:pPr>
              <w:spacing w:line="360" w:lineRule="auto"/>
              <w:jc w:val="center"/>
              <w:rPr>
                <w:rFonts w:asciiTheme="minorEastAsia" w:hAnsiTheme="minorEastAsia" w:eastAsiaTheme="minorEastAsia"/>
                <w:color w:val="auto"/>
                <w:sz w:val="20"/>
              </w:rPr>
            </w:pPr>
          </w:p>
        </w:tc>
        <w:tc>
          <w:tcPr>
            <w:tcW w:w="1134"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其他</w:t>
            </w:r>
          </w:p>
        </w:tc>
        <w:tc>
          <w:tcPr>
            <w:tcW w:w="3260" w:type="dxa"/>
            <w:vAlign w:val="center"/>
          </w:tcPr>
          <w:p>
            <w:pPr>
              <w:spacing w:line="360"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其他</w:t>
            </w:r>
            <w:r>
              <w:rPr>
                <w:rFonts w:asciiTheme="minorEastAsia" w:hAnsiTheme="minorEastAsia" w:eastAsiaTheme="minorEastAsia"/>
                <w:color w:val="auto"/>
                <w:szCs w:val="21"/>
              </w:rPr>
              <w:t>不能投保的不可抗力风险</w:t>
            </w:r>
          </w:p>
        </w:tc>
        <w:tc>
          <w:tcPr>
            <w:tcW w:w="567" w:type="dxa"/>
            <w:vAlign w:val="center"/>
          </w:tcPr>
          <w:p>
            <w:pPr>
              <w:spacing w:line="360" w:lineRule="auto"/>
              <w:jc w:val="center"/>
              <w:rPr>
                <w:rFonts w:asciiTheme="minorEastAsia" w:hAnsiTheme="minorEastAsia" w:eastAsiaTheme="minorEastAsia"/>
                <w:color w:val="auto"/>
                <w:sz w:val="20"/>
              </w:rPr>
            </w:pPr>
            <w:r>
              <w:rPr>
                <w:rFonts w:hint="eastAsia" w:asciiTheme="minorEastAsia" w:hAnsiTheme="minorEastAsia" w:eastAsiaTheme="minorEastAsia"/>
                <w:color w:val="auto"/>
                <w:sz w:val="20"/>
              </w:rPr>
              <w:t>●</w:t>
            </w:r>
          </w:p>
        </w:tc>
        <w:tc>
          <w:tcPr>
            <w:tcW w:w="569" w:type="dxa"/>
            <w:vAlign w:val="center"/>
          </w:tcPr>
          <w:p>
            <w:pPr>
              <w:spacing w:line="360" w:lineRule="auto"/>
              <w:jc w:val="center"/>
              <w:rPr>
                <w:rFonts w:asciiTheme="minorEastAsia" w:hAnsiTheme="minorEastAsia" w:eastAsiaTheme="minorEastAsia"/>
                <w:color w:val="auto"/>
                <w:sz w:val="20"/>
              </w:rPr>
            </w:pPr>
            <w:r>
              <w:rPr>
                <w:rFonts w:hint="eastAsia" w:asciiTheme="minorEastAsia" w:hAnsiTheme="minorEastAsia" w:eastAsiaTheme="minorEastAsia"/>
                <w:color w:val="auto"/>
                <w:szCs w:val="21"/>
              </w:rPr>
              <w:t>●</w:t>
            </w:r>
          </w:p>
        </w:tc>
        <w:tc>
          <w:tcPr>
            <w:tcW w:w="2409" w:type="dxa"/>
            <w:vMerge w:val="continue"/>
            <w:vAlign w:val="center"/>
          </w:tcPr>
          <w:p>
            <w:pPr>
              <w:spacing w:line="360" w:lineRule="auto"/>
              <w:jc w:val="center"/>
              <w:rPr>
                <w:rFonts w:asciiTheme="minorEastAsia" w:hAnsiTheme="minorEastAsia" w:eastAsiaTheme="minorEastAsia"/>
                <w:color w:val="auto"/>
                <w:sz w:val="20"/>
              </w:rPr>
            </w:pPr>
          </w:p>
        </w:tc>
      </w:tr>
    </w:tbl>
    <w:p>
      <w:pPr>
        <w:spacing w:line="360" w:lineRule="auto"/>
        <w:ind w:firstLine="480"/>
        <w:rPr>
          <w:rFonts w:asciiTheme="minorEastAsia" w:hAnsiTheme="minorEastAsia" w:eastAsiaTheme="minorEastAsia"/>
          <w:color w:val="auto"/>
        </w:rPr>
      </w:pPr>
    </w:p>
    <w:p>
      <w:pPr>
        <w:pStyle w:val="3"/>
        <w:spacing w:line="360" w:lineRule="auto"/>
        <w:ind w:firstLine="643"/>
        <w:rPr>
          <w:rFonts w:asciiTheme="minorEastAsia" w:hAnsiTheme="minorEastAsia" w:eastAsiaTheme="minorEastAsia"/>
          <w:color w:val="auto"/>
          <w:sz w:val="24"/>
          <w:szCs w:val="24"/>
        </w:rPr>
      </w:pPr>
      <w:bookmarkStart w:id="70" w:name="_Toc19881775"/>
      <w:bookmarkStart w:id="71" w:name="_Toc532748646"/>
      <w:bookmarkStart w:id="72" w:name="_Toc14266211"/>
      <w:r>
        <w:rPr>
          <w:rFonts w:hint="eastAsia" w:asciiTheme="minorEastAsia" w:hAnsiTheme="minorEastAsia" w:eastAsiaTheme="minorEastAsia"/>
          <w:color w:val="auto"/>
          <w:sz w:val="24"/>
          <w:szCs w:val="24"/>
        </w:rPr>
        <w:t>（五）保险方案</w:t>
      </w:r>
      <w:bookmarkEnd w:id="70"/>
      <w:bookmarkEnd w:id="71"/>
      <w:bookmarkEnd w:id="72"/>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特许经营企业在充分评估本项目风险后，应根据中国的保险法等相关法律和行政法规的规定，结合本项目的实际情况，购买项目运营期间的保险险种。在合理的商业条件下，应遵照可保风险均应投保的原则进行投保。</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特许经营企业</w:t>
      </w:r>
      <w:r>
        <w:rPr>
          <w:rFonts w:asciiTheme="minorEastAsia" w:hAnsiTheme="minorEastAsia" w:eastAsiaTheme="minorEastAsia"/>
          <w:color w:val="auto"/>
          <w:sz w:val="24"/>
          <w:szCs w:val="24"/>
        </w:rPr>
        <w:t>应在开始商业运行日或</w:t>
      </w:r>
      <w:r>
        <w:rPr>
          <w:rFonts w:hint="eastAsia" w:asciiTheme="minorEastAsia" w:hAnsiTheme="minorEastAsia" w:eastAsiaTheme="minorEastAsia"/>
          <w:color w:val="auto"/>
          <w:sz w:val="24"/>
          <w:szCs w:val="24"/>
        </w:rPr>
        <w:t>该</w:t>
      </w:r>
      <w:r>
        <w:rPr>
          <w:rFonts w:asciiTheme="minorEastAsia" w:hAnsiTheme="minorEastAsia" w:eastAsiaTheme="minorEastAsia"/>
          <w:color w:val="auto"/>
          <w:sz w:val="24"/>
          <w:szCs w:val="24"/>
        </w:rPr>
        <w:t>日之前自费投保</w:t>
      </w:r>
      <w:r>
        <w:rPr>
          <w:rFonts w:hint="eastAsia" w:asciiTheme="minorEastAsia" w:hAnsiTheme="minorEastAsia" w:eastAsiaTheme="minorEastAsia"/>
          <w:color w:val="auto"/>
          <w:sz w:val="24"/>
          <w:szCs w:val="24"/>
        </w:rPr>
        <w:t>机动车交通事故责任强制保险及道路客运承运人责任险，</w:t>
      </w:r>
      <w:r>
        <w:rPr>
          <w:rFonts w:asciiTheme="minorEastAsia" w:hAnsiTheme="minorEastAsia" w:eastAsiaTheme="minorEastAsia"/>
          <w:color w:val="auto"/>
          <w:sz w:val="24"/>
          <w:szCs w:val="24"/>
        </w:rPr>
        <w:t>并在整个运营期内保持</w:t>
      </w:r>
      <w:r>
        <w:rPr>
          <w:rFonts w:hint="eastAsia" w:asciiTheme="minorEastAsia" w:hAnsiTheme="minorEastAsia" w:eastAsiaTheme="minorEastAsia"/>
          <w:color w:val="auto"/>
          <w:sz w:val="24"/>
          <w:szCs w:val="24"/>
        </w:rPr>
        <w:t>上述险种的保险有效。此外，鼓励特许经营企业在运营期通过投保第三方责任险、车损险等保险降低风险。</w:t>
      </w:r>
    </w:p>
    <w:p>
      <w:pPr>
        <w:pStyle w:val="4"/>
        <w:spacing w:line="360" w:lineRule="auto"/>
        <w:ind w:firstLine="643"/>
        <w:rPr>
          <w:rFonts w:asciiTheme="minorEastAsia" w:hAnsiTheme="minorEastAsia" w:eastAsiaTheme="minorEastAsia"/>
          <w:color w:val="auto"/>
          <w:sz w:val="24"/>
        </w:rPr>
      </w:pPr>
      <w:bookmarkStart w:id="73" w:name="_Toc19881776"/>
      <w:bookmarkStart w:id="74" w:name="_Toc14266212"/>
      <w:r>
        <w:rPr>
          <w:rFonts w:asciiTheme="minorEastAsia" w:hAnsiTheme="minorEastAsia" w:eastAsiaTheme="minorEastAsia"/>
          <w:color w:val="auto"/>
          <w:sz w:val="24"/>
        </w:rPr>
        <w:t>1.</w:t>
      </w:r>
      <w:r>
        <w:rPr>
          <w:rFonts w:hint="eastAsia" w:asciiTheme="minorEastAsia" w:hAnsiTheme="minorEastAsia" w:eastAsiaTheme="minorEastAsia"/>
          <w:color w:val="auto"/>
          <w:sz w:val="24"/>
        </w:rPr>
        <w:t>机动车交通事故责任强制保险</w:t>
      </w:r>
      <w:bookmarkEnd w:id="73"/>
      <w:bookmarkEnd w:id="74"/>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责任</w:t>
      </w:r>
      <w:r>
        <w:rPr>
          <w:rFonts w:asciiTheme="minorEastAsia" w:hAnsiTheme="minorEastAsia" w:eastAsiaTheme="minorEastAsia"/>
          <w:color w:val="auto"/>
          <w:sz w:val="24"/>
          <w:szCs w:val="24"/>
        </w:rPr>
        <w:t>范围：</w:t>
      </w:r>
      <w:r>
        <w:rPr>
          <w:rFonts w:hint="eastAsia" w:asciiTheme="minorEastAsia" w:hAnsiTheme="minorEastAsia" w:eastAsiaTheme="minorEastAsia"/>
          <w:color w:val="auto"/>
          <w:sz w:val="24"/>
          <w:szCs w:val="24"/>
        </w:rPr>
        <w:t>交强险是由保险公司对被保险机动车发生道路交通事故造成受害人（不包括本车人员和被保险人）的人身伤亡、财产损失，在责任限额内予以赔偿的强制性责任保险。</w:t>
      </w:r>
    </w:p>
    <w:p>
      <w:pPr>
        <w:pStyle w:val="4"/>
        <w:spacing w:line="360" w:lineRule="auto"/>
        <w:ind w:firstLine="643"/>
        <w:rPr>
          <w:rFonts w:asciiTheme="minorEastAsia" w:hAnsiTheme="minorEastAsia" w:eastAsiaTheme="minorEastAsia"/>
          <w:color w:val="auto"/>
          <w:sz w:val="24"/>
        </w:rPr>
      </w:pPr>
      <w:bookmarkStart w:id="75" w:name="_Toc19881777"/>
      <w:bookmarkStart w:id="76" w:name="_Toc14266213"/>
      <w:r>
        <w:rPr>
          <w:rFonts w:asciiTheme="minorEastAsia" w:hAnsiTheme="minorEastAsia" w:eastAsiaTheme="minorEastAsia"/>
          <w:color w:val="auto"/>
          <w:sz w:val="24"/>
        </w:rPr>
        <w:t>2.</w:t>
      </w:r>
      <w:r>
        <w:rPr>
          <w:rFonts w:hint="eastAsia" w:asciiTheme="minorEastAsia" w:hAnsiTheme="minorEastAsia" w:eastAsiaTheme="minorEastAsia"/>
          <w:color w:val="auto"/>
          <w:sz w:val="24"/>
        </w:rPr>
        <w:t>道路客运承运人责任险</w:t>
      </w:r>
      <w:bookmarkEnd w:id="75"/>
      <w:bookmarkEnd w:id="76"/>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责任</w:t>
      </w:r>
      <w:r>
        <w:rPr>
          <w:rFonts w:asciiTheme="minorEastAsia" w:hAnsiTheme="minorEastAsia" w:eastAsiaTheme="minorEastAsia"/>
          <w:color w:val="auto"/>
          <w:sz w:val="24"/>
          <w:szCs w:val="24"/>
        </w:rPr>
        <w:t>范围：是</w:t>
      </w:r>
      <w:r>
        <w:rPr>
          <w:rFonts w:hint="eastAsia" w:asciiTheme="minorEastAsia" w:hAnsiTheme="minorEastAsia" w:eastAsiaTheme="minorEastAsia"/>
          <w:color w:val="auto"/>
          <w:sz w:val="24"/>
          <w:szCs w:val="24"/>
        </w:rPr>
        <w:t>指客运经营者、危险货物运输经营者根据有关法律、行政法规和规章的规定，保险自己在运输过程中发生交通事故或者其他事故，致使旅客遭受人身伤亡和直接财产损失或者危险货物遭受损失，依法应当由被保险人对旅客或者危险货物货主承担的赔偿责任，由保险公司在保险责任限额内给予赔偿的法律制度。</w:t>
      </w:r>
    </w:p>
    <w:p>
      <w:pPr>
        <w:pStyle w:val="3"/>
        <w:spacing w:line="360" w:lineRule="auto"/>
        <w:ind w:firstLine="643"/>
        <w:rPr>
          <w:rFonts w:asciiTheme="minorEastAsia" w:hAnsiTheme="minorEastAsia" w:eastAsiaTheme="minorEastAsia"/>
          <w:color w:val="auto"/>
          <w:sz w:val="24"/>
          <w:szCs w:val="24"/>
        </w:rPr>
      </w:pPr>
      <w:bookmarkStart w:id="77" w:name="_Toc19881778"/>
      <w:bookmarkStart w:id="78" w:name="_Toc14266214"/>
      <w:r>
        <w:rPr>
          <w:rFonts w:hint="eastAsia" w:asciiTheme="minorEastAsia" w:hAnsiTheme="minorEastAsia" w:eastAsiaTheme="minorEastAsia"/>
          <w:color w:val="auto"/>
          <w:sz w:val="24"/>
          <w:szCs w:val="24"/>
        </w:rPr>
        <w:t>（六）履约保证金体系</w:t>
      </w:r>
      <w:bookmarkEnd w:id="77"/>
      <w:bookmarkEnd w:id="78"/>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本项目设置建设期履约保证金、运营期履约保证金和期末移交履约保证金。</w:t>
      </w:r>
    </w:p>
    <w:p>
      <w:pPr>
        <w:pStyle w:val="48"/>
        <w:autoSpaceDE w:val="0"/>
        <w:autoSpaceDN w:val="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其中建设期履约保证金由特许经营企业在签署《特许经营</w:t>
      </w:r>
      <w:r>
        <w:rPr>
          <w:rFonts w:asciiTheme="minorEastAsia" w:hAnsiTheme="minorEastAsia" w:eastAsiaTheme="minorEastAsia"/>
          <w:color w:val="auto"/>
          <w:sz w:val="24"/>
          <w:szCs w:val="24"/>
        </w:rPr>
        <w:t>协议</w:t>
      </w:r>
      <w:r>
        <w:rPr>
          <w:rFonts w:hint="eastAsia" w:asciiTheme="minorEastAsia" w:hAnsiTheme="minorEastAsia" w:eastAsiaTheme="minorEastAsia"/>
          <w:color w:val="auto"/>
          <w:sz w:val="24"/>
          <w:szCs w:val="24"/>
        </w:rPr>
        <w:t>》之前提交，用于约束特许经营企业在建设期内的融资、整合、</w:t>
      </w:r>
      <w:r>
        <w:rPr>
          <w:rFonts w:asciiTheme="minorEastAsia" w:hAnsiTheme="minorEastAsia" w:eastAsiaTheme="minorEastAsia"/>
          <w:color w:val="auto"/>
          <w:sz w:val="24"/>
          <w:szCs w:val="24"/>
        </w:rPr>
        <w:t>建设</w:t>
      </w:r>
      <w:r>
        <w:rPr>
          <w:rFonts w:hint="eastAsia" w:asciiTheme="minorEastAsia" w:hAnsiTheme="minorEastAsia" w:eastAsiaTheme="minorEastAsia"/>
          <w:color w:val="auto"/>
          <w:sz w:val="24"/>
          <w:szCs w:val="24"/>
        </w:rPr>
        <w:t>等行为。建设期履约保证金采用银行保函形式，建设期履约保证金</w:t>
      </w:r>
      <w:r>
        <w:rPr>
          <w:rFonts w:asciiTheme="minorEastAsia" w:hAnsiTheme="minorEastAsia" w:eastAsiaTheme="minorEastAsia"/>
          <w:color w:val="auto"/>
          <w:sz w:val="24"/>
          <w:szCs w:val="24"/>
        </w:rPr>
        <w:t xml:space="preserve">为 </w:t>
      </w:r>
      <w:r>
        <w:rPr>
          <w:rFonts w:asciiTheme="minorEastAsia" w:hAnsiTheme="minorEastAsia" w:eastAsiaTheme="minorEastAsia"/>
          <w:color w:val="auto"/>
          <w:sz w:val="24"/>
          <w:szCs w:val="24"/>
          <w:u w:val="single"/>
        </w:rPr>
        <w:t xml:space="preserve"> 1000  </w:t>
      </w:r>
      <w:r>
        <w:rPr>
          <w:rFonts w:hint="eastAsia" w:asciiTheme="minorEastAsia" w:hAnsiTheme="minorEastAsia" w:eastAsiaTheme="minorEastAsia"/>
          <w:color w:val="auto"/>
          <w:sz w:val="24"/>
          <w:szCs w:val="24"/>
        </w:rPr>
        <w:t>万元。</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运营期履约保证金为特许经营企业在项目商业运营日起五（</w:t>
      </w:r>
      <w:r>
        <w:rPr>
          <w:rFonts w:asciiTheme="minorEastAsia" w:hAnsiTheme="minorEastAsia" w:eastAsiaTheme="minorEastAsia"/>
          <w:color w:val="auto"/>
          <w:sz w:val="24"/>
          <w:szCs w:val="24"/>
        </w:rPr>
        <w:t>5</w:t>
      </w:r>
      <w:r>
        <w:rPr>
          <w:rFonts w:hint="eastAsia" w:asciiTheme="minorEastAsia" w:hAnsiTheme="minorEastAsia" w:eastAsiaTheme="minorEastAsia"/>
          <w:color w:val="auto"/>
          <w:sz w:val="24"/>
          <w:szCs w:val="24"/>
        </w:rPr>
        <w:t>）个工作日内向甲方提交，运营期履约保证金采用银行保函形式，用于约束特许经营企业在运营期内的日常运营、设施</w:t>
      </w:r>
      <w:r>
        <w:rPr>
          <w:rFonts w:asciiTheme="minorEastAsia" w:hAnsiTheme="minorEastAsia" w:eastAsiaTheme="minorEastAsia"/>
          <w:color w:val="auto"/>
          <w:sz w:val="24"/>
          <w:szCs w:val="24"/>
        </w:rPr>
        <w:t>设备</w:t>
      </w:r>
      <w:r>
        <w:rPr>
          <w:rFonts w:hint="eastAsia" w:asciiTheme="minorEastAsia" w:hAnsiTheme="minorEastAsia" w:eastAsiaTheme="minorEastAsia"/>
          <w:color w:val="auto"/>
          <w:sz w:val="24"/>
          <w:szCs w:val="24"/>
        </w:rPr>
        <w:t>养护、维修等义务，运营期履约保证金</w:t>
      </w:r>
      <w:r>
        <w:rPr>
          <w:rFonts w:asciiTheme="minorEastAsia" w:hAnsiTheme="minorEastAsia" w:eastAsiaTheme="minorEastAsia"/>
          <w:color w:val="auto"/>
          <w:sz w:val="24"/>
          <w:szCs w:val="24"/>
        </w:rPr>
        <w:t xml:space="preserve">为 </w:t>
      </w:r>
      <w:r>
        <w:rPr>
          <w:rFonts w:asciiTheme="minorEastAsia" w:hAnsiTheme="minorEastAsia" w:eastAsiaTheme="minorEastAsia"/>
          <w:color w:val="auto"/>
          <w:sz w:val="24"/>
          <w:szCs w:val="24"/>
          <w:u w:val="single"/>
        </w:rPr>
        <w:t xml:space="preserve"> 1500 </w:t>
      </w:r>
      <w:r>
        <w:rPr>
          <w:rFonts w:hint="eastAsia" w:asciiTheme="minorEastAsia" w:hAnsiTheme="minorEastAsia" w:eastAsiaTheme="minorEastAsia"/>
          <w:color w:val="auto"/>
          <w:sz w:val="24"/>
          <w:szCs w:val="24"/>
        </w:rPr>
        <w:t>万元。</w:t>
      </w:r>
    </w:p>
    <w:p>
      <w:pPr>
        <w:pStyle w:val="48"/>
        <w:rPr>
          <w:rFonts w:asciiTheme="minorEastAsia" w:hAnsiTheme="minorEastAsia" w:eastAsiaTheme="minorEastAsia"/>
          <w:b/>
          <w:color w:val="auto"/>
          <w:sz w:val="24"/>
          <w:szCs w:val="24"/>
          <w:u w:val="single"/>
        </w:rPr>
      </w:pPr>
      <w:r>
        <w:rPr>
          <w:rFonts w:hint="eastAsia" w:asciiTheme="minorEastAsia" w:hAnsiTheme="minorEastAsia" w:eastAsiaTheme="minorEastAsia"/>
          <w:color w:val="auto"/>
          <w:sz w:val="24"/>
          <w:szCs w:val="24"/>
        </w:rPr>
        <w:t>期末移交履约保证金为特许经营企业在项目移交验收前向甲方提交，期末移交履约保证金采用银行保函形式，用于约束特许经营企业在移交时确保应移交的项目资产内容齐全</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功能</w:t>
      </w:r>
      <w:r>
        <w:rPr>
          <w:rFonts w:asciiTheme="minorEastAsia" w:hAnsiTheme="minorEastAsia" w:eastAsiaTheme="minorEastAsia"/>
          <w:color w:val="auto"/>
          <w:sz w:val="24"/>
          <w:szCs w:val="24"/>
        </w:rPr>
        <w:t>完好</w:t>
      </w:r>
      <w:r>
        <w:rPr>
          <w:rFonts w:hint="eastAsia" w:asciiTheme="minorEastAsia" w:hAnsiTheme="minorEastAsia" w:eastAsiaTheme="minorEastAsia"/>
          <w:color w:val="auto"/>
          <w:sz w:val="24"/>
          <w:szCs w:val="24"/>
        </w:rPr>
        <w:t>，期末移交履约保证金</w:t>
      </w:r>
      <w:r>
        <w:rPr>
          <w:rFonts w:asciiTheme="minorEastAsia" w:hAnsiTheme="minorEastAsia" w:eastAsiaTheme="minorEastAsia"/>
          <w:color w:val="auto"/>
          <w:sz w:val="24"/>
          <w:szCs w:val="24"/>
        </w:rPr>
        <w:t>为</w:t>
      </w:r>
      <w:r>
        <w:rPr>
          <w:rFonts w:asciiTheme="minorEastAsia" w:hAnsiTheme="minorEastAsia" w:eastAsiaTheme="minorEastAsia"/>
          <w:color w:val="auto"/>
          <w:sz w:val="24"/>
          <w:szCs w:val="24"/>
          <w:u w:val="single"/>
        </w:rPr>
        <w:t xml:space="preserve">  1000   </w:t>
      </w:r>
      <w:r>
        <w:rPr>
          <w:rFonts w:hint="eastAsia" w:asciiTheme="minorEastAsia" w:hAnsiTheme="minorEastAsia" w:eastAsiaTheme="minorEastAsia"/>
          <w:color w:val="auto"/>
          <w:sz w:val="24"/>
          <w:szCs w:val="24"/>
        </w:rPr>
        <w:t>万元。</w:t>
      </w:r>
    </w:p>
    <w:p>
      <w:pPr>
        <w:pStyle w:val="2"/>
        <w:spacing w:line="360" w:lineRule="auto"/>
        <w:ind w:left="0"/>
        <w:rPr>
          <w:rFonts w:asciiTheme="minorEastAsia" w:hAnsiTheme="minorEastAsia" w:eastAsiaTheme="minorEastAsia"/>
          <w:b/>
          <w:color w:val="auto"/>
          <w:sz w:val="32"/>
          <w:szCs w:val="32"/>
          <w:u w:val="none"/>
        </w:rPr>
      </w:pPr>
      <w:bookmarkStart w:id="79" w:name="_Toc19891210"/>
      <w:bookmarkStart w:id="80" w:name="_Toc19881779"/>
      <w:bookmarkStart w:id="81" w:name="_Toc14266215"/>
      <w:r>
        <w:rPr>
          <w:rFonts w:hint="eastAsia" w:asciiTheme="minorEastAsia" w:hAnsiTheme="minorEastAsia" w:eastAsiaTheme="minorEastAsia"/>
          <w:color w:val="auto"/>
          <w:sz w:val="32"/>
          <w:szCs w:val="32"/>
          <w:u w:val="none"/>
        </w:rPr>
        <w:t>三、项目运作方式</w:t>
      </w:r>
      <w:bookmarkEnd w:id="79"/>
      <w:bookmarkEnd w:id="80"/>
      <w:bookmarkEnd w:id="81"/>
    </w:p>
    <w:p>
      <w:pPr>
        <w:pStyle w:val="3"/>
        <w:spacing w:before="0" w:after="0" w:line="360" w:lineRule="auto"/>
        <w:ind w:firstLine="641"/>
        <w:rPr>
          <w:rFonts w:asciiTheme="minorEastAsia" w:hAnsiTheme="minorEastAsia" w:eastAsiaTheme="minorEastAsia"/>
          <w:color w:val="auto"/>
        </w:rPr>
      </w:pPr>
      <w:bookmarkStart w:id="82" w:name="_Toc19881780"/>
      <w:bookmarkStart w:id="83" w:name="_Toc14266216"/>
      <w:r>
        <w:rPr>
          <w:rFonts w:hint="eastAsia" w:asciiTheme="minorEastAsia" w:hAnsiTheme="minorEastAsia" w:eastAsiaTheme="minorEastAsia"/>
          <w:color w:val="auto"/>
        </w:rPr>
        <w:t>（一）项目运作方式</w:t>
      </w:r>
      <w:bookmarkEnd w:id="82"/>
      <w:bookmarkEnd w:id="83"/>
    </w:p>
    <w:p>
      <w:pPr>
        <w:pStyle w:val="4"/>
        <w:spacing w:before="0" w:after="0" w:line="360" w:lineRule="auto"/>
        <w:ind w:firstLine="643"/>
        <w:rPr>
          <w:rFonts w:asciiTheme="minorEastAsia" w:hAnsiTheme="minorEastAsia" w:eastAsiaTheme="minorEastAsia"/>
          <w:color w:val="auto"/>
          <w:sz w:val="24"/>
        </w:rPr>
      </w:pPr>
      <w:bookmarkStart w:id="84" w:name="_Toc19881781"/>
      <w:bookmarkStart w:id="85" w:name="_Toc14266217"/>
      <w:r>
        <w:rPr>
          <w:rFonts w:asciiTheme="minorEastAsia" w:hAnsiTheme="minorEastAsia" w:eastAsiaTheme="minorEastAsia"/>
          <w:color w:val="auto"/>
          <w:sz w:val="24"/>
        </w:rPr>
        <w:t>1.</w:t>
      </w:r>
      <w:r>
        <w:rPr>
          <w:rFonts w:hint="eastAsia" w:asciiTheme="minorEastAsia" w:hAnsiTheme="minorEastAsia" w:eastAsiaTheme="minorEastAsia"/>
          <w:color w:val="auto"/>
          <w:sz w:val="24"/>
        </w:rPr>
        <w:t>本项目拟采用“移交、运营、移交”模式</w:t>
      </w:r>
      <w:bookmarkEnd w:id="84"/>
      <w:bookmarkEnd w:id="85"/>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本项目</w:t>
      </w:r>
      <w:r>
        <w:rPr>
          <w:rFonts w:asciiTheme="minorEastAsia" w:hAnsiTheme="minorEastAsia" w:eastAsiaTheme="minorEastAsia"/>
          <w:color w:val="auto"/>
          <w:sz w:val="24"/>
          <w:szCs w:val="24"/>
        </w:rPr>
        <w:t>采用特许经营模式操作，并按照</w:t>
      </w:r>
      <w:r>
        <w:rPr>
          <w:rFonts w:hint="eastAsia" w:asciiTheme="minorEastAsia" w:hAnsiTheme="minorEastAsia" w:eastAsiaTheme="minorEastAsia"/>
          <w:color w:val="auto"/>
          <w:sz w:val="24"/>
          <w:szCs w:val="24"/>
        </w:rPr>
        <w:t>《基础设施和公用事业特许经营管理办法》</w:t>
      </w:r>
      <w:r>
        <w:rPr>
          <w:rFonts w:asciiTheme="minorEastAsia" w:hAnsiTheme="minorEastAsia" w:eastAsiaTheme="minorEastAsia"/>
          <w:color w:val="auto"/>
          <w:sz w:val="24"/>
          <w:szCs w:val="24"/>
        </w:rPr>
        <w:t>(六部委2015年第25号令)开展具体工作。</w:t>
      </w:r>
      <w:r>
        <w:rPr>
          <w:rFonts w:hint="eastAsia" w:asciiTheme="minorEastAsia" w:hAnsiTheme="minorEastAsia" w:eastAsiaTheme="minorEastAsia"/>
          <w:color w:val="auto"/>
          <w:sz w:val="24"/>
          <w:szCs w:val="24"/>
        </w:rPr>
        <w:t>本项目需成立项目公司（特许经营企业），由中标社会资本在东方市单独注册成立。项目资本金以外的融资贷款由项目公司作为贷款主体向银行贷款或通过其他方式融资。</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本项目为城乡公交客运</w:t>
      </w:r>
      <w:r>
        <w:rPr>
          <w:rFonts w:asciiTheme="minorEastAsia" w:hAnsiTheme="minorEastAsia" w:eastAsiaTheme="minorEastAsia"/>
          <w:color w:val="auto"/>
          <w:sz w:val="24"/>
          <w:szCs w:val="24"/>
        </w:rPr>
        <w:t>服务招标，但由于</w:t>
      </w:r>
      <w:r>
        <w:rPr>
          <w:rFonts w:hint="eastAsia" w:asciiTheme="minorEastAsia" w:hAnsiTheme="minorEastAsia" w:eastAsiaTheme="minorEastAsia"/>
          <w:color w:val="auto"/>
          <w:sz w:val="24"/>
          <w:szCs w:val="24"/>
        </w:rPr>
        <w:t>运营</w:t>
      </w:r>
      <w:r>
        <w:rPr>
          <w:rFonts w:asciiTheme="minorEastAsia" w:hAnsiTheme="minorEastAsia" w:eastAsiaTheme="minorEastAsia"/>
          <w:color w:val="auto"/>
          <w:sz w:val="24"/>
          <w:szCs w:val="24"/>
        </w:rPr>
        <w:t>过程会涉及场站、充电桩等</w:t>
      </w:r>
      <w:r>
        <w:rPr>
          <w:rFonts w:hint="eastAsia" w:asciiTheme="minorEastAsia" w:hAnsiTheme="minorEastAsia" w:eastAsiaTheme="minorEastAsia"/>
          <w:color w:val="auto"/>
          <w:sz w:val="24"/>
          <w:szCs w:val="24"/>
        </w:rPr>
        <w:t>基础设施</w:t>
      </w:r>
      <w:r>
        <w:rPr>
          <w:rFonts w:asciiTheme="minorEastAsia" w:hAnsiTheme="minorEastAsia" w:eastAsiaTheme="minorEastAsia"/>
          <w:color w:val="auto"/>
          <w:sz w:val="24"/>
          <w:szCs w:val="24"/>
        </w:rPr>
        <w:t>建设</w:t>
      </w:r>
      <w:r>
        <w:rPr>
          <w:rFonts w:hint="eastAsia" w:asciiTheme="minorEastAsia" w:hAnsiTheme="minorEastAsia" w:eastAsiaTheme="minorEastAsia"/>
          <w:color w:val="auto"/>
          <w:sz w:val="24"/>
          <w:szCs w:val="24"/>
        </w:rPr>
        <w:t>作为</w:t>
      </w:r>
      <w:r>
        <w:rPr>
          <w:rFonts w:asciiTheme="minorEastAsia" w:hAnsiTheme="minorEastAsia" w:eastAsiaTheme="minorEastAsia"/>
          <w:color w:val="auto"/>
          <w:sz w:val="24"/>
          <w:szCs w:val="24"/>
        </w:rPr>
        <w:t>保障</w:t>
      </w:r>
      <w:r>
        <w:rPr>
          <w:rFonts w:hint="eastAsia" w:asciiTheme="minorEastAsia" w:hAnsiTheme="minorEastAsia" w:eastAsiaTheme="minorEastAsia"/>
          <w:color w:val="auto"/>
          <w:sz w:val="24"/>
          <w:szCs w:val="24"/>
        </w:rPr>
        <w:t>，因此东方市</w:t>
      </w:r>
      <w:r>
        <w:rPr>
          <w:rFonts w:asciiTheme="minorEastAsia" w:hAnsiTheme="minorEastAsia" w:eastAsiaTheme="minorEastAsia"/>
          <w:color w:val="auto"/>
          <w:sz w:val="24"/>
          <w:szCs w:val="24"/>
        </w:rPr>
        <w:t>政府</w:t>
      </w:r>
      <w:r>
        <w:rPr>
          <w:rFonts w:hint="eastAsia" w:asciiTheme="minorEastAsia" w:hAnsiTheme="minorEastAsia" w:eastAsiaTheme="minorEastAsia"/>
          <w:color w:val="auto"/>
          <w:sz w:val="24"/>
          <w:szCs w:val="24"/>
        </w:rPr>
        <w:t>将</w:t>
      </w:r>
      <w:r>
        <w:rPr>
          <w:rFonts w:asciiTheme="minorEastAsia" w:hAnsiTheme="minorEastAsia" w:eastAsiaTheme="minorEastAsia"/>
          <w:color w:val="auto"/>
          <w:sz w:val="24"/>
          <w:szCs w:val="24"/>
        </w:rPr>
        <w:t>参照</w:t>
      </w:r>
      <w:r>
        <w:rPr>
          <w:rFonts w:hint="eastAsia" w:asciiTheme="minorEastAsia" w:hAnsiTheme="minorEastAsia" w:eastAsiaTheme="minorEastAsia"/>
          <w:color w:val="auto"/>
          <w:sz w:val="24"/>
          <w:szCs w:val="24"/>
        </w:rPr>
        <w:t>正式批复的《东方市创建全国城乡交通运输一体化示范市实施方案》中</w:t>
      </w:r>
      <w:r>
        <w:rPr>
          <w:rFonts w:asciiTheme="minorEastAsia" w:hAnsiTheme="minorEastAsia" w:eastAsiaTheme="minorEastAsia"/>
          <w:color w:val="auto"/>
          <w:sz w:val="24"/>
          <w:szCs w:val="24"/>
        </w:rPr>
        <w:t>的基础设施建设内容，</w:t>
      </w:r>
      <w:r>
        <w:rPr>
          <w:rFonts w:hint="eastAsia" w:asciiTheme="minorEastAsia" w:hAnsiTheme="minorEastAsia" w:eastAsiaTheme="minorEastAsia"/>
          <w:color w:val="auto"/>
          <w:sz w:val="24"/>
          <w:szCs w:val="24"/>
        </w:rPr>
        <w:t>结合实际</w:t>
      </w:r>
      <w:r>
        <w:rPr>
          <w:rFonts w:asciiTheme="minorEastAsia" w:hAnsiTheme="minorEastAsia" w:eastAsiaTheme="minorEastAsia"/>
          <w:color w:val="auto"/>
          <w:sz w:val="24"/>
          <w:szCs w:val="24"/>
        </w:rPr>
        <w:t>需要</w:t>
      </w:r>
      <w:r>
        <w:rPr>
          <w:rFonts w:hint="eastAsia" w:asciiTheme="minorEastAsia" w:hAnsiTheme="minorEastAsia" w:eastAsiaTheme="minorEastAsia"/>
          <w:color w:val="auto"/>
          <w:sz w:val="24"/>
          <w:szCs w:val="24"/>
        </w:rPr>
        <w:t>和</w:t>
      </w:r>
      <w:r>
        <w:rPr>
          <w:rFonts w:asciiTheme="minorEastAsia" w:hAnsiTheme="minorEastAsia" w:eastAsiaTheme="minorEastAsia"/>
          <w:color w:val="auto"/>
          <w:sz w:val="24"/>
          <w:szCs w:val="24"/>
        </w:rPr>
        <w:t>征地情况，</w:t>
      </w:r>
      <w:r>
        <w:rPr>
          <w:rFonts w:hint="eastAsia" w:asciiTheme="minorEastAsia" w:hAnsiTheme="minorEastAsia" w:eastAsiaTheme="minorEastAsia"/>
          <w:color w:val="auto"/>
          <w:sz w:val="24"/>
          <w:szCs w:val="24"/>
        </w:rPr>
        <w:t>负责在</w:t>
      </w:r>
      <w:r>
        <w:rPr>
          <w:rFonts w:asciiTheme="minorEastAsia" w:hAnsiTheme="minorEastAsia" w:eastAsiaTheme="minorEastAsia"/>
          <w:color w:val="auto"/>
          <w:sz w:val="24"/>
          <w:szCs w:val="24"/>
        </w:rPr>
        <w:t>特许经营期内逐</w:t>
      </w:r>
      <w:r>
        <w:rPr>
          <w:rFonts w:hint="eastAsia" w:asciiTheme="minorEastAsia" w:hAnsiTheme="minorEastAsia" w:eastAsiaTheme="minorEastAsia"/>
          <w:color w:val="auto"/>
          <w:sz w:val="24"/>
          <w:szCs w:val="24"/>
        </w:rPr>
        <w:t>个开展</w:t>
      </w:r>
      <w:r>
        <w:rPr>
          <w:rFonts w:asciiTheme="minorEastAsia" w:hAnsiTheme="minorEastAsia" w:eastAsiaTheme="minorEastAsia"/>
          <w:color w:val="auto"/>
          <w:sz w:val="24"/>
          <w:szCs w:val="24"/>
        </w:rPr>
        <w:t>前期工作并推进</w:t>
      </w:r>
      <w:r>
        <w:rPr>
          <w:rFonts w:hint="eastAsia" w:asciiTheme="minorEastAsia" w:hAnsiTheme="minorEastAsia" w:eastAsiaTheme="minorEastAsia"/>
          <w:color w:val="auto"/>
          <w:sz w:val="24"/>
          <w:szCs w:val="24"/>
        </w:rPr>
        <w:t>基础设施</w:t>
      </w:r>
      <w:r>
        <w:rPr>
          <w:rFonts w:asciiTheme="minorEastAsia" w:hAnsiTheme="minorEastAsia" w:eastAsiaTheme="minorEastAsia"/>
          <w:color w:val="auto"/>
          <w:sz w:val="24"/>
          <w:szCs w:val="24"/>
        </w:rPr>
        <w:t>工程建设，</w:t>
      </w:r>
      <w:r>
        <w:rPr>
          <w:rFonts w:hint="eastAsia" w:asciiTheme="minorEastAsia" w:hAnsiTheme="minorEastAsia" w:eastAsiaTheme="minorEastAsia"/>
          <w:color w:val="auto"/>
          <w:sz w:val="24"/>
          <w:szCs w:val="24"/>
        </w:rPr>
        <w:t>在建成</w:t>
      </w:r>
      <w:r>
        <w:rPr>
          <w:rFonts w:asciiTheme="minorEastAsia" w:hAnsiTheme="minorEastAsia" w:eastAsiaTheme="minorEastAsia"/>
          <w:color w:val="auto"/>
          <w:sz w:val="24"/>
          <w:szCs w:val="24"/>
        </w:rPr>
        <w:t>后</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政府部门可通过签订补充协议等方式，</w:t>
      </w:r>
      <w:r>
        <w:rPr>
          <w:rFonts w:hint="eastAsia" w:asciiTheme="minorEastAsia" w:hAnsiTheme="minorEastAsia" w:eastAsiaTheme="minorEastAsia"/>
          <w:color w:val="auto"/>
          <w:sz w:val="24"/>
          <w:szCs w:val="24"/>
        </w:rPr>
        <w:t>逐个</w:t>
      </w:r>
      <w:r>
        <w:rPr>
          <w:rFonts w:asciiTheme="minorEastAsia" w:hAnsiTheme="minorEastAsia" w:eastAsiaTheme="minorEastAsia"/>
          <w:color w:val="auto"/>
          <w:sz w:val="24"/>
          <w:szCs w:val="24"/>
        </w:rPr>
        <w:t>移交给特许经营企业使用</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特许经营企业</w:t>
      </w:r>
      <w:r>
        <w:rPr>
          <w:rFonts w:hint="eastAsia" w:asciiTheme="minorEastAsia" w:hAnsiTheme="minorEastAsia" w:eastAsiaTheme="minorEastAsia"/>
          <w:color w:val="auto"/>
          <w:sz w:val="24"/>
          <w:szCs w:val="24"/>
        </w:rPr>
        <w:t>在</w:t>
      </w:r>
      <w:r>
        <w:rPr>
          <w:rFonts w:asciiTheme="minorEastAsia" w:hAnsiTheme="minorEastAsia" w:eastAsiaTheme="minorEastAsia"/>
          <w:color w:val="auto"/>
          <w:sz w:val="24"/>
          <w:szCs w:val="24"/>
        </w:rPr>
        <w:t>特许经营期内无偿使用</w:t>
      </w:r>
      <w:r>
        <w:rPr>
          <w:rFonts w:hint="eastAsia" w:asciiTheme="minorEastAsia" w:hAnsiTheme="minorEastAsia" w:eastAsiaTheme="minorEastAsia"/>
          <w:color w:val="auto"/>
          <w:sz w:val="24"/>
          <w:szCs w:val="24"/>
        </w:rPr>
        <w:t>相关</w:t>
      </w:r>
      <w:r>
        <w:rPr>
          <w:rFonts w:asciiTheme="minorEastAsia" w:hAnsiTheme="minorEastAsia" w:eastAsiaTheme="minorEastAsia"/>
          <w:color w:val="auto"/>
          <w:sz w:val="24"/>
          <w:szCs w:val="24"/>
        </w:rPr>
        <w:t>基础设施，并做好运营期间的维护管理</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允许</w:t>
      </w:r>
      <w:r>
        <w:rPr>
          <w:rFonts w:hint="eastAsia" w:asciiTheme="minorEastAsia" w:hAnsiTheme="minorEastAsia" w:eastAsiaTheme="minorEastAsia"/>
          <w:color w:val="auto"/>
          <w:sz w:val="24"/>
          <w:szCs w:val="24"/>
        </w:rPr>
        <w:t>特许经营企业利用</w:t>
      </w:r>
      <w:r>
        <w:rPr>
          <w:rFonts w:asciiTheme="minorEastAsia" w:hAnsiTheme="minorEastAsia" w:eastAsiaTheme="minorEastAsia"/>
          <w:color w:val="auto"/>
          <w:sz w:val="24"/>
          <w:szCs w:val="24"/>
        </w:rPr>
        <w:t>基础设施</w:t>
      </w:r>
      <w:r>
        <w:rPr>
          <w:rFonts w:hint="eastAsia" w:asciiTheme="minorEastAsia" w:hAnsiTheme="minorEastAsia" w:eastAsiaTheme="minorEastAsia"/>
          <w:color w:val="auto"/>
          <w:sz w:val="24"/>
          <w:szCs w:val="24"/>
        </w:rPr>
        <w:t>进行</w:t>
      </w:r>
      <w:r>
        <w:rPr>
          <w:rFonts w:asciiTheme="minorEastAsia" w:hAnsiTheme="minorEastAsia" w:eastAsiaTheme="minorEastAsia"/>
          <w:color w:val="auto"/>
          <w:sz w:val="24"/>
          <w:szCs w:val="24"/>
        </w:rPr>
        <w:t>合理经营</w:t>
      </w:r>
      <w:r>
        <w:rPr>
          <w:rFonts w:hint="eastAsia" w:asciiTheme="minorEastAsia" w:hAnsiTheme="minorEastAsia" w:eastAsiaTheme="minorEastAsia"/>
          <w:color w:val="auto"/>
          <w:sz w:val="24"/>
          <w:szCs w:val="24"/>
        </w:rPr>
        <w:t>服务</w:t>
      </w:r>
      <w:r>
        <w:rPr>
          <w:rFonts w:asciiTheme="minorEastAsia" w:hAnsiTheme="minorEastAsia" w:eastAsiaTheme="minorEastAsia"/>
          <w:color w:val="auto"/>
          <w:sz w:val="24"/>
          <w:szCs w:val="24"/>
        </w:rPr>
        <w:t>以获取</w:t>
      </w:r>
      <w:r>
        <w:rPr>
          <w:rFonts w:hint="eastAsia" w:asciiTheme="minorEastAsia" w:hAnsiTheme="minorEastAsia" w:eastAsiaTheme="minorEastAsia"/>
          <w:color w:val="auto"/>
          <w:sz w:val="24"/>
          <w:szCs w:val="24"/>
        </w:rPr>
        <w:t>收入</w:t>
      </w:r>
      <w:r>
        <w:rPr>
          <w:rFonts w:asciiTheme="minorEastAsia" w:hAnsiTheme="minorEastAsia" w:eastAsiaTheme="minorEastAsia"/>
          <w:color w:val="auto"/>
          <w:sz w:val="24"/>
          <w:szCs w:val="24"/>
        </w:rPr>
        <w:t>,该部分收入应</w:t>
      </w:r>
      <w:r>
        <w:rPr>
          <w:rFonts w:hint="eastAsia" w:asciiTheme="minorEastAsia" w:hAnsiTheme="minorEastAsia" w:eastAsiaTheme="minorEastAsia"/>
          <w:color w:val="auto"/>
          <w:sz w:val="24"/>
          <w:szCs w:val="24"/>
        </w:rPr>
        <w:t>当</w:t>
      </w:r>
      <w:r>
        <w:rPr>
          <w:rFonts w:asciiTheme="minorEastAsia" w:hAnsiTheme="minorEastAsia" w:eastAsiaTheme="minorEastAsia"/>
          <w:color w:val="auto"/>
          <w:sz w:val="24"/>
          <w:szCs w:val="24"/>
        </w:rPr>
        <w:t>用于平衡项目收支，减少</w:t>
      </w:r>
      <w:r>
        <w:rPr>
          <w:rFonts w:hint="eastAsia" w:asciiTheme="minorEastAsia" w:hAnsiTheme="minorEastAsia" w:eastAsiaTheme="minorEastAsia"/>
          <w:color w:val="auto"/>
          <w:sz w:val="24"/>
          <w:szCs w:val="24"/>
        </w:rPr>
        <w:t>政府</w:t>
      </w:r>
      <w:r>
        <w:rPr>
          <w:rFonts w:asciiTheme="minorEastAsia" w:hAnsiTheme="minorEastAsia" w:eastAsiaTheme="minorEastAsia"/>
          <w:color w:val="auto"/>
          <w:sz w:val="24"/>
          <w:szCs w:val="24"/>
        </w:rPr>
        <w:t>付费金额，</w:t>
      </w:r>
      <w:r>
        <w:rPr>
          <w:rFonts w:hint="eastAsia" w:asciiTheme="minorEastAsia" w:hAnsiTheme="minorEastAsia" w:eastAsiaTheme="minorEastAsia"/>
          <w:color w:val="auto"/>
          <w:sz w:val="24"/>
          <w:szCs w:val="24"/>
        </w:rPr>
        <w:t>特许经营期结束后</w:t>
      </w:r>
      <w:r>
        <w:rPr>
          <w:rFonts w:asciiTheme="minorEastAsia" w:hAnsiTheme="minorEastAsia" w:eastAsiaTheme="minorEastAsia"/>
          <w:color w:val="auto"/>
          <w:sz w:val="24"/>
          <w:szCs w:val="24"/>
        </w:rPr>
        <w:t>，特许经营企业应无偿将政府移交的设施设备</w:t>
      </w:r>
      <w:r>
        <w:rPr>
          <w:rFonts w:hint="eastAsia" w:asciiTheme="minorEastAsia" w:hAnsiTheme="minorEastAsia" w:eastAsiaTheme="minorEastAsia"/>
          <w:color w:val="auto"/>
          <w:sz w:val="24"/>
          <w:szCs w:val="24"/>
        </w:rPr>
        <w:t>及</w:t>
      </w:r>
      <w:r>
        <w:rPr>
          <w:rFonts w:asciiTheme="minorEastAsia" w:hAnsiTheme="minorEastAsia" w:eastAsiaTheme="minorEastAsia"/>
          <w:color w:val="auto"/>
          <w:sz w:val="24"/>
          <w:szCs w:val="24"/>
        </w:rPr>
        <w:t>特许经营权</w:t>
      </w:r>
      <w:r>
        <w:rPr>
          <w:rFonts w:hint="eastAsia" w:asciiTheme="minorEastAsia" w:hAnsiTheme="minorEastAsia" w:eastAsiaTheme="minorEastAsia"/>
          <w:color w:val="auto"/>
          <w:sz w:val="24"/>
          <w:szCs w:val="24"/>
        </w:rPr>
        <w:t>全部交还</w:t>
      </w:r>
      <w:r>
        <w:rPr>
          <w:rFonts w:asciiTheme="minorEastAsia" w:hAnsiTheme="minorEastAsia" w:eastAsiaTheme="minorEastAsia"/>
          <w:color w:val="auto"/>
          <w:sz w:val="24"/>
          <w:szCs w:val="24"/>
        </w:rPr>
        <w:t>政府</w:t>
      </w:r>
      <w:r>
        <w:rPr>
          <w:rFonts w:hint="eastAsia" w:asciiTheme="minorEastAsia" w:hAnsiTheme="minorEastAsia" w:eastAsiaTheme="minorEastAsia"/>
          <w:color w:val="auto"/>
          <w:sz w:val="24"/>
          <w:szCs w:val="24"/>
        </w:rPr>
        <w:t>或</w:t>
      </w:r>
      <w:r>
        <w:rPr>
          <w:rFonts w:asciiTheme="minorEastAsia" w:hAnsiTheme="minorEastAsia" w:eastAsiaTheme="minorEastAsia"/>
          <w:color w:val="auto"/>
          <w:sz w:val="24"/>
          <w:szCs w:val="24"/>
        </w:rPr>
        <w:t>其他</w:t>
      </w:r>
      <w:r>
        <w:rPr>
          <w:rFonts w:hint="eastAsia" w:asciiTheme="minorEastAsia" w:hAnsiTheme="minorEastAsia" w:eastAsiaTheme="minorEastAsia"/>
          <w:color w:val="auto"/>
          <w:sz w:val="24"/>
          <w:szCs w:val="24"/>
        </w:rPr>
        <w:t>政府</w:t>
      </w:r>
      <w:r>
        <w:rPr>
          <w:rFonts w:asciiTheme="minorEastAsia" w:hAnsiTheme="minorEastAsia" w:eastAsiaTheme="minorEastAsia"/>
          <w:color w:val="auto"/>
          <w:sz w:val="24"/>
          <w:szCs w:val="24"/>
        </w:rPr>
        <w:t>指定</w:t>
      </w:r>
      <w:r>
        <w:rPr>
          <w:rFonts w:hint="eastAsia" w:asciiTheme="minorEastAsia" w:hAnsiTheme="minorEastAsia" w:eastAsiaTheme="minorEastAsia"/>
          <w:color w:val="auto"/>
          <w:sz w:val="24"/>
          <w:szCs w:val="24"/>
        </w:rPr>
        <w:t>机构</w:t>
      </w:r>
      <w:r>
        <w:rPr>
          <w:rFonts w:asciiTheme="minorEastAsia" w:hAnsiTheme="minorEastAsia" w:eastAsiaTheme="minorEastAsia"/>
          <w:color w:val="auto"/>
          <w:sz w:val="24"/>
          <w:szCs w:val="24"/>
        </w:rPr>
        <w:t>。</w:t>
      </w:r>
    </w:p>
    <w:p>
      <w:pPr>
        <w:pStyle w:val="4"/>
        <w:spacing w:before="0" w:after="0" w:line="360" w:lineRule="auto"/>
        <w:ind w:firstLine="643"/>
        <w:rPr>
          <w:rFonts w:asciiTheme="minorEastAsia" w:hAnsiTheme="minorEastAsia" w:eastAsiaTheme="minorEastAsia"/>
          <w:color w:val="auto"/>
          <w:sz w:val="24"/>
        </w:rPr>
      </w:pPr>
      <w:bookmarkStart w:id="86" w:name="_Toc14266218"/>
      <w:bookmarkStart w:id="87" w:name="_Toc19881782"/>
      <w:r>
        <w:rPr>
          <w:rFonts w:asciiTheme="minorEastAsia" w:hAnsiTheme="minorEastAsia" w:eastAsiaTheme="minorEastAsia"/>
          <w:color w:val="auto"/>
          <w:sz w:val="24"/>
        </w:rPr>
        <w:t>2.</w:t>
      </w:r>
      <w:r>
        <w:rPr>
          <w:rFonts w:hint="eastAsia" w:asciiTheme="minorEastAsia" w:hAnsiTheme="minorEastAsia" w:eastAsiaTheme="minorEastAsia"/>
          <w:color w:val="auto"/>
          <w:sz w:val="24"/>
        </w:rPr>
        <w:t>政府授权的项目实施机构</w:t>
      </w:r>
      <w:bookmarkEnd w:id="86"/>
      <w:bookmarkEnd w:id="87"/>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根据《基础设施和公用事业特许经营管理办法》</w:t>
      </w:r>
      <w:r>
        <w:rPr>
          <w:rFonts w:asciiTheme="minorEastAsia" w:hAnsiTheme="minorEastAsia" w:eastAsiaTheme="minorEastAsia"/>
          <w:color w:val="auto"/>
          <w:sz w:val="24"/>
          <w:szCs w:val="24"/>
        </w:rPr>
        <w:t>(六部委2015年第25号令)第十四条规定“县级以上人民政府应当授权有关部门或单位作为实施机构负责特许经营项目有关实施工作，并明确具体授权范围”，东方市交通运输局(以下简称“交通局”)已请示东方市人民政府(以下简称“政府”)并获得相应授权，作为本项目的项目实施机构，负责项目准备、</w:t>
      </w:r>
      <w:r>
        <w:rPr>
          <w:rFonts w:hint="eastAsia" w:asciiTheme="minorEastAsia" w:hAnsiTheme="minorEastAsia" w:eastAsiaTheme="minorEastAsia"/>
          <w:color w:val="auto"/>
          <w:sz w:val="24"/>
          <w:szCs w:val="24"/>
        </w:rPr>
        <w:t>采购、建设</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监管和移交等工作。</w:t>
      </w:r>
    </w:p>
    <w:p>
      <w:pPr>
        <w:pStyle w:val="4"/>
        <w:spacing w:before="0" w:after="0" w:line="360" w:lineRule="auto"/>
        <w:ind w:firstLine="643"/>
        <w:rPr>
          <w:rFonts w:asciiTheme="minorEastAsia" w:hAnsiTheme="minorEastAsia" w:eastAsiaTheme="minorEastAsia"/>
          <w:color w:val="auto"/>
          <w:sz w:val="24"/>
        </w:rPr>
      </w:pPr>
      <w:bookmarkStart w:id="88" w:name="_Toc14266219"/>
      <w:bookmarkStart w:id="89" w:name="_Toc19881783"/>
      <w:r>
        <w:rPr>
          <w:rFonts w:asciiTheme="minorEastAsia" w:hAnsiTheme="minorEastAsia" w:eastAsiaTheme="minorEastAsia"/>
          <w:color w:val="auto"/>
          <w:sz w:val="24"/>
        </w:rPr>
        <w:t>3.</w:t>
      </w:r>
      <w:r>
        <w:rPr>
          <w:rFonts w:hint="eastAsia" w:asciiTheme="minorEastAsia" w:hAnsiTheme="minorEastAsia" w:eastAsiaTheme="minorEastAsia"/>
          <w:color w:val="auto"/>
          <w:sz w:val="24"/>
        </w:rPr>
        <w:t>财政部门（或</w:t>
      </w:r>
      <w:r>
        <w:rPr>
          <w:rFonts w:asciiTheme="minorEastAsia" w:hAnsiTheme="minorEastAsia" w:eastAsiaTheme="minorEastAsia"/>
          <w:color w:val="auto"/>
          <w:sz w:val="24"/>
        </w:rPr>
        <w:t>PPP</w:t>
      </w:r>
      <w:r>
        <w:rPr>
          <w:rFonts w:hint="eastAsia" w:asciiTheme="minorEastAsia" w:hAnsiTheme="minorEastAsia" w:eastAsiaTheme="minorEastAsia"/>
          <w:color w:val="auto"/>
          <w:sz w:val="24"/>
        </w:rPr>
        <w:t>中心）组织开展论证工作</w:t>
      </w:r>
      <w:bookmarkEnd w:id="88"/>
      <w:bookmarkEnd w:id="89"/>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根据《基础设施和公用事业特许经营管理办法》</w:t>
      </w:r>
      <w:r>
        <w:rPr>
          <w:rFonts w:asciiTheme="minorEastAsia" w:hAnsiTheme="minorEastAsia" w:eastAsiaTheme="minorEastAsia"/>
          <w:color w:val="auto"/>
          <w:sz w:val="24"/>
          <w:szCs w:val="24"/>
        </w:rPr>
        <w:t>(六部委2015年第25号令)，并</w:t>
      </w:r>
      <w:r>
        <w:rPr>
          <w:rFonts w:hint="eastAsia" w:asciiTheme="minorEastAsia" w:hAnsiTheme="minorEastAsia" w:eastAsiaTheme="minorEastAsia"/>
          <w:color w:val="auto"/>
          <w:sz w:val="24"/>
          <w:szCs w:val="24"/>
        </w:rPr>
        <w:t>结合财政部《政府和社会资本合作项目财政承受能力论证指引》的通知（财金</w:t>
      </w:r>
      <w:r>
        <w:rPr>
          <w:rFonts w:asciiTheme="minorEastAsia" w:hAnsiTheme="minorEastAsia" w:eastAsiaTheme="minorEastAsia"/>
          <w:color w:val="auto"/>
          <w:sz w:val="24"/>
          <w:szCs w:val="24"/>
        </w:rPr>
        <w:t>[2015]21号）和《PPP物有所值评价指引》的通知（财金[2015]167号）的有关要求，财政部门（或PPP中心）要在前期会同行业主管部门做好项目财政可承受能力和物有所值的论证工作。</w:t>
      </w:r>
    </w:p>
    <w:p>
      <w:pPr>
        <w:pStyle w:val="3"/>
        <w:spacing w:before="0" w:after="0" w:line="360" w:lineRule="auto"/>
        <w:ind w:firstLine="641"/>
        <w:rPr>
          <w:rFonts w:asciiTheme="minorEastAsia" w:hAnsiTheme="minorEastAsia" w:eastAsiaTheme="minorEastAsia"/>
          <w:color w:val="auto"/>
        </w:rPr>
      </w:pPr>
      <w:bookmarkStart w:id="90" w:name="_Toc14266220"/>
      <w:bookmarkStart w:id="91" w:name="_Toc19881784"/>
      <w:r>
        <w:rPr>
          <w:rFonts w:hint="eastAsia" w:asciiTheme="minorEastAsia" w:hAnsiTheme="minorEastAsia" w:eastAsiaTheme="minorEastAsia"/>
          <w:color w:val="auto"/>
        </w:rPr>
        <w:t>（二）项目合作范围</w:t>
      </w:r>
      <w:bookmarkEnd w:id="90"/>
      <w:bookmarkEnd w:id="91"/>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本项目所称特许经营权，指经东方市交通局授予</w:t>
      </w:r>
      <w:r>
        <w:rPr>
          <w:rFonts w:hint="eastAsia" w:asciiTheme="minorEastAsia" w:hAnsiTheme="minorEastAsia" w:eastAsiaTheme="minorEastAsia"/>
          <w:color w:val="auto"/>
          <w:sz w:val="24"/>
          <w:szCs w:val="24"/>
        </w:rPr>
        <w:t>社会资本独资成立</w:t>
      </w:r>
      <w:r>
        <w:rPr>
          <w:rFonts w:asciiTheme="minorEastAsia" w:hAnsiTheme="minorEastAsia" w:eastAsiaTheme="minorEastAsia"/>
          <w:color w:val="auto"/>
          <w:sz w:val="24"/>
          <w:szCs w:val="24"/>
        </w:rPr>
        <w:t>的</w:t>
      </w:r>
      <w:r>
        <w:rPr>
          <w:rFonts w:hint="eastAsia" w:asciiTheme="minorEastAsia" w:hAnsiTheme="minorEastAsia" w:eastAsiaTheme="minorEastAsia"/>
          <w:color w:val="auto"/>
          <w:sz w:val="24"/>
          <w:szCs w:val="24"/>
        </w:rPr>
        <w:t>项目公司</w:t>
      </w:r>
      <w:r>
        <w:rPr>
          <w:rFonts w:asciiTheme="minorEastAsia" w:hAnsiTheme="minorEastAsia" w:eastAsiaTheme="minorEastAsia"/>
          <w:color w:val="auto"/>
          <w:sz w:val="24"/>
          <w:szCs w:val="24"/>
        </w:rPr>
        <w:t>（特许经营企业）在特许期内融资、运营、管理和维护东方市城乡公交的独家权利</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具体包括：</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1）投资、运营、管理和维护东方市城乡公交</w:t>
      </w:r>
      <w:r>
        <w:rPr>
          <w:rFonts w:hint="eastAsia" w:asciiTheme="minorEastAsia" w:hAnsiTheme="minorEastAsia" w:eastAsiaTheme="minorEastAsia"/>
          <w:color w:val="auto"/>
          <w:sz w:val="24"/>
        </w:rPr>
        <w:t>客运</w:t>
      </w:r>
      <w:r>
        <w:rPr>
          <w:rFonts w:asciiTheme="minorEastAsia" w:hAnsiTheme="minorEastAsia" w:eastAsiaTheme="minorEastAsia"/>
          <w:color w:val="auto"/>
          <w:sz w:val="24"/>
        </w:rPr>
        <w:t>，行使和享有规定权利和利益；</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2）根据适用法律和特许协议规定，提供公交客运服务，并向乘客收取及保留票款；</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3）根据适用法律和特许协议规定，利用项目设施直接或允许他人从事非公交业务</w:t>
      </w:r>
      <w:r>
        <w:rPr>
          <w:rFonts w:hint="eastAsia" w:asciiTheme="minorEastAsia" w:hAnsiTheme="minorEastAsia" w:eastAsiaTheme="minorEastAsia"/>
          <w:color w:val="auto"/>
          <w:sz w:val="24"/>
        </w:rPr>
        <w:t>并获取相应收益</w:t>
      </w:r>
      <w:r>
        <w:rPr>
          <w:rFonts w:asciiTheme="minorEastAsia" w:hAnsiTheme="minorEastAsia" w:eastAsiaTheme="minorEastAsia"/>
          <w:color w:val="auto"/>
          <w:sz w:val="24"/>
        </w:rPr>
        <w:t>，包括旅游包车、租车、车辆外观宣传广告</w:t>
      </w:r>
      <w:r>
        <w:rPr>
          <w:rFonts w:hint="eastAsia" w:asciiTheme="minorEastAsia" w:hAnsiTheme="minorEastAsia" w:eastAsiaTheme="minorEastAsia"/>
          <w:color w:val="auto"/>
          <w:sz w:val="24"/>
        </w:rPr>
        <w:t>、充电桩对外使用收费、场站租赁</w:t>
      </w:r>
      <w:r>
        <w:rPr>
          <w:rFonts w:asciiTheme="minorEastAsia" w:hAnsiTheme="minorEastAsia" w:eastAsiaTheme="minorEastAsia"/>
          <w:color w:val="auto"/>
          <w:sz w:val="24"/>
        </w:rPr>
        <w:t>等。</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本项目由特许经营企业对项目的资金筹措、运营管理、债务偿还和资产管理等全过程负责，自主经营，自负盈亏，</w:t>
      </w:r>
      <w:r>
        <w:rPr>
          <w:rFonts w:asciiTheme="minorEastAsia" w:hAnsiTheme="minorEastAsia" w:eastAsiaTheme="minorEastAsia"/>
          <w:color w:val="auto"/>
          <w:sz w:val="24"/>
          <w:szCs w:val="24"/>
        </w:rPr>
        <w:t>不足部分由政府通过可行性</w:t>
      </w:r>
      <w:r>
        <w:rPr>
          <w:rFonts w:hint="eastAsia" w:asciiTheme="minorEastAsia" w:hAnsiTheme="minorEastAsia" w:eastAsiaTheme="minorEastAsia"/>
          <w:color w:val="auto"/>
          <w:sz w:val="24"/>
          <w:szCs w:val="24"/>
        </w:rPr>
        <w:t>缺口</w:t>
      </w:r>
      <w:r>
        <w:rPr>
          <w:rFonts w:asciiTheme="minorEastAsia" w:hAnsiTheme="minorEastAsia" w:eastAsiaTheme="minorEastAsia"/>
          <w:color w:val="auto"/>
          <w:sz w:val="24"/>
          <w:szCs w:val="24"/>
        </w:rPr>
        <w:t>补助</w:t>
      </w:r>
      <w:r>
        <w:rPr>
          <w:rFonts w:hint="eastAsia" w:asciiTheme="minorEastAsia" w:hAnsiTheme="minorEastAsia" w:eastAsiaTheme="minorEastAsia"/>
          <w:color w:val="auto"/>
          <w:sz w:val="24"/>
          <w:szCs w:val="24"/>
        </w:rPr>
        <w:t>进行</w:t>
      </w:r>
      <w:r>
        <w:rPr>
          <w:rFonts w:asciiTheme="minorEastAsia" w:hAnsiTheme="minorEastAsia" w:eastAsiaTheme="minorEastAsia"/>
          <w:color w:val="auto"/>
          <w:sz w:val="24"/>
          <w:szCs w:val="24"/>
        </w:rPr>
        <w:t>付费</w:t>
      </w:r>
      <w:r>
        <w:rPr>
          <w:rFonts w:hint="eastAsia" w:asciiTheme="minorEastAsia" w:hAnsiTheme="minorEastAsia" w:eastAsiaTheme="minorEastAsia"/>
          <w:color w:val="auto"/>
          <w:sz w:val="24"/>
          <w:szCs w:val="24"/>
        </w:rPr>
        <w:t>。项目合同规定的项目合作期限期满后，按照项目合同的约定将本项目场站及附属设施、车辆</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相关资料无偿移交给东方市政府或其指定的机构。</w:t>
      </w:r>
    </w:p>
    <w:p>
      <w:pPr>
        <w:pStyle w:val="3"/>
        <w:spacing w:before="0" w:after="0" w:line="360" w:lineRule="auto"/>
        <w:ind w:firstLine="643"/>
        <w:rPr>
          <w:rFonts w:asciiTheme="minorEastAsia" w:hAnsiTheme="minorEastAsia" w:eastAsiaTheme="minorEastAsia"/>
          <w:color w:val="auto"/>
          <w:sz w:val="24"/>
          <w:szCs w:val="24"/>
        </w:rPr>
      </w:pPr>
      <w:bookmarkStart w:id="92" w:name="_Toc14266221"/>
      <w:bookmarkStart w:id="93" w:name="_Toc19881785"/>
      <w:r>
        <w:rPr>
          <w:rFonts w:hint="eastAsia" w:asciiTheme="minorEastAsia" w:hAnsiTheme="minorEastAsia" w:eastAsiaTheme="minorEastAsia"/>
          <w:color w:val="auto"/>
          <w:sz w:val="24"/>
          <w:szCs w:val="24"/>
        </w:rPr>
        <w:t>（三）项目合作期限</w:t>
      </w:r>
      <w:bookmarkEnd w:id="92"/>
      <w:bookmarkEnd w:id="93"/>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根据本项目运作方式和回报机制，在满足现行法律法规的前提下，本项目合作期限为</w:t>
      </w:r>
      <w:r>
        <w:rPr>
          <w:rFonts w:asciiTheme="minorEastAsia" w:hAnsiTheme="minorEastAsia" w:eastAsiaTheme="minorEastAsia"/>
          <w:color w:val="auto"/>
          <w:sz w:val="24"/>
          <w:szCs w:val="24"/>
        </w:rPr>
        <w:t>16年，含2年建设期，建设期包含在运营期内</w:t>
      </w:r>
      <w:r>
        <w:rPr>
          <w:rFonts w:hint="eastAsia" w:asciiTheme="minorEastAsia" w:hAnsiTheme="minorEastAsia" w:eastAsiaTheme="minorEastAsia"/>
          <w:color w:val="auto"/>
          <w:sz w:val="24"/>
          <w:szCs w:val="24"/>
        </w:rPr>
        <w:t>。</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根据《基础设施和公用事业特许经营管理办法》，本次的特许经营权为无偿授予，禁止</w:t>
      </w:r>
      <w:r>
        <w:rPr>
          <w:rFonts w:hint="eastAsia" w:asciiTheme="minorEastAsia" w:hAnsiTheme="minorEastAsia" w:eastAsiaTheme="minorEastAsia"/>
          <w:color w:val="auto"/>
          <w:sz w:val="24"/>
        </w:rPr>
        <w:t>特许经营企业</w:t>
      </w:r>
      <w:r>
        <w:rPr>
          <w:rFonts w:asciiTheme="minorEastAsia" w:hAnsiTheme="minorEastAsia" w:eastAsiaTheme="minorEastAsia"/>
          <w:color w:val="auto"/>
          <w:sz w:val="24"/>
        </w:rPr>
        <w:t>擅自转让本项目的特许</w:t>
      </w:r>
      <w:r>
        <w:rPr>
          <w:rFonts w:hint="eastAsia" w:asciiTheme="minorEastAsia" w:hAnsiTheme="minorEastAsia" w:eastAsiaTheme="minorEastAsia"/>
          <w:color w:val="auto"/>
          <w:sz w:val="24"/>
        </w:rPr>
        <w:t>经营</w:t>
      </w:r>
      <w:r>
        <w:rPr>
          <w:rFonts w:asciiTheme="minorEastAsia" w:hAnsiTheme="minorEastAsia" w:eastAsiaTheme="minorEastAsia"/>
          <w:color w:val="auto"/>
          <w:sz w:val="24"/>
        </w:rPr>
        <w:t>权。</w:t>
      </w:r>
    </w:p>
    <w:p>
      <w:pPr>
        <w:pStyle w:val="3"/>
        <w:spacing w:before="0" w:after="0" w:line="360" w:lineRule="auto"/>
        <w:ind w:firstLine="643"/>
        <w:rPr>
          <w:rFonts w:asciiTheme="minorEastAsia" w:hAnsiTheme="minorEastAsia" w:eastAsiaTheme="minorEastAsia"/>
          <w:color w:val="auto"/>
          <w:sz w:val="24"/>
          <w:szCs w:val="24"/>
        </w:rPr>
      </w:pPr>
      <w:bookmarkStart w:id="94" w:name="_Toc14266222"/>
      <w:bookmarkStart w:id="95" w:name="_Toc19881786"/>
      <w:r>
        <w:rPr>
          <w:rFonts w:hint="eastAsia" w:asciiTheme="minorEastAsia" w:hAnsiTheme="minorEastAsia" w:eastAsiaTheme="minorEastAsia"/>
          <w:color w:val="auto"/>
          <w:sz w:val="24"/>
          <w:szCs w:val="24"/>
        </w:rPr>
        <w:t>（四）双方的权利和义务</w:t>
      </w:r>
      <w:bookmarkEnd w:id="94"/>
      <w:bookmarkEnd w:id="95"/>
    </w:p>
    <w:p>
      <w:pPr>
        <w:pStyle w:val="4"/>
        <w:spacing w:before="0" w:after="0" w:line="360" w:lineRule="auto"/>
        <w:ind w:firstLine="643"/>
        <w:rPr>
          <w:rFonts w:asciiTheme="minorEastAsia" w:hAnsiTheme="minorEastAsia" w:eastAsiaTheme="minorEastAsia"/>
          <w:color w:val="auto"/>
          <w:sz w:val="24"/>
        </w:rPr>
      </w:pPr>
      <w:bookmarkStart w:id="96" w:name="_Toc532748619"/>
      <w:bookmarkStart w:id="97" w:name="_Toc19881787"/>
      <w:bookmarkStart w:id="98" w:name="_Toc14266223"/>
      <w:r>
        <w:rPr>
          <w:rFonts w:asciiTheme="minorEastAsia" w:hAnsiTheme="minorEastAsia" w:eastAsiaTheme="minorEastAsia"/>
          <w:color w:val="auto"/>
          <w:sz w:val="24"/>
        </w:rPr>
        <w:t>1.</w:t>
      </w:r>
      <w:r>
        <w:rPr>
          <w:rFonts w:hint="eastAsia" w:asciiTheme="minorEastAsia" w:hAnsiTheme="minorEastAsia" w:eastAsiaTheme="minorEastAsia"/>
          <w:color w:val="auto"/>
          <w:sz w:val="24"/>
        </w:rPr>
        <w:t>特许经营企业的权利</w:t>
      </w:r>
      <w:bookmarkEnd w:id="96"/>
      <w:r>
        <w:rPr>
          <w:rFonts w:hint="eastAsia" w:asciiTheme="minorEastAsia" w:hAnsiTheme="minorEastAsia" w:eastAsiaTheme="minorEastAsia"/>
          <w:color w:val="auto"/>
          <w:sz w:val="24"/>
        </w:rPr>
        <w:t>和义务</w:t>
      </w:r>
      <w:bookmarkEnd w:id="97"/>
      <w:bookmarkEnd w:id="98"/>
    </w:p>
    <w:p>
      <w:pPr>
        <w:spacing w:line="360" w:lineRule="auto"/>
        <w:ind w:firstLine="640"/>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）建设期</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特许经营企业</w:t>
      </w:r>
      <w:r>
        <w:rPr>
          <w:rFonts w:asciiTheme="minorEastAsia" w:hAnsiTheme="minorEastAsia" w:eastAsiaTheme="minorEastAsia"/>
          <w:color w:val="auto"/>
          <w:sz w:val="24"/>
          <w:szCs w:val="24"/>
        </w:rPr>
        <w:t>应</w:t>
      </w:r>
      <w:r>
        <w:rPr>
          <w:rFonts w:hint="eastAsia" w:asciiTheme="minorEastAsia" w:hAnsiTheme="minorEastAsia" w:eastAsiaTheme="minorEastAsia"/>
          <w:color w:val="auto"/>
          <w:sz w:val="24"/>
          <w:szCs w:val="24"/>
        </w:rPr>
        <w:t>根据</w:t>
      </w:r>
      <w:r>
        <w:rPr>
          <w:rFonts w:asciiTheme="minorEastAsia" w:hAnsiTheme="minorEastAsia" w:eastAsiaTheme="minorEastAsia"/>
          <w:color w:val="auto"/>
          <w:sz w:val="24"/>
          <w:szCs w:val="24"/>
        </w:rPr>
        <w:t>项目实施内容情况，制定合理的进度计划，</w:t>
      </w:r>
      <w:r>
        <w:rPr>
          <w:rFonts w:hint="eastAsia" w:asciiTheme="minorEastAsia" w:hAnsiTheme="minorEastAsia" w:eastAsiaTheme="minorEastAsia"/>
          <w:color w:val="auto"/>
          <w:sz w:val="24"/>
          <w:szCs w:val="24"/>
        </w:rPr>
        <w:t>尽快</w:t>
      </w:r>
      <w:r>
        <w:rPr>
          <w:rFonts w:asciiTheme="minorEastAsia" w:hAnsiTheme="minorEastAsia" w:eastAsiaTheme="minorEastAsia"/>
          <w:color w:val="auto"/>
          <w:sz w:val="24"/>
          <w:szCs w:val="24"/>
        </w:rPr>
        <w:t>整合经营主体，</w:t>
      </w:r>
      <w:r>
        <w:rPr>
          <w:rFonts w:hint="eastAsia" w:asciiTheme="minorEastAsia" w:hAnsiTheme="minorEastAsia" w:eastAsiaTheme="minorEastAsia"/>
          <w:color w:val="auto"/>
          <w:sz w:val="24"/>
          <w:szCs w:val="24"/>
        </w:rPr>
        <w:t>新购</w:t>
      </w:r>
      <w:r>
        <w:rPr>
          <w:rFonts w:asciiTheme="minorEastAsia" w:hAnsiTheme="minorEastAsia" w:eastAsiaTheme="minorEastAsia"/>
          <w:color w:val="auto"/>
          <w:sz w:val="24"/>
          <w:szCs w:val="24"/>
        </w:rPr>
        <w:t>车辆，加快智能公交系统建设，确保2年内</w:t>
      </w:r>
      <w:r>
        <w:rPr>
          <w:rFonts w:hint="eastAsia" w:asciiTheme="minorEastAsia" w:hAnsiTheme="minorEastAsia" w:eastAsiaTheme="minorEastAsia"/>
          <w:color w:val="auto"/>
          <w:sz w:val="24"/>
          <w:szCs w:val="24"/>
        </w:rPr>
        <w:t>按期</w:t>
      </w:r>
      <w:r>
        <w:rPr>
          <w:rFonts w:asciiTheme="minorEastAsia" w:hAnsiTheme="minorEastAsia" w:eastAsiaTheme="minorEastAsia"/>
          <w:color w:val="auto"/>
          <w:sz w:val="24"/>
          <w:szCs w:val="24"/>
        </w:rPr>
        <w:t>完成</w:t>
      </w:r>
      <w:r>
        <w:rPr>
          <w:rFonts w:hint="eastAsia" w:asciiTheme="minorEastAsia" w:hAnsiTheme="minorEastAsia" w:eastAsiaTheme="minorEastAsia"/>
          <w:color w:val="auto"/>
          <w:sz w:val="24"/>
          <w:szCs w:val="24"/>
        </w:rPr>
        <w:t>所有</w:t>
      </w:r>
      <w:r>
        <w:rPr>
          <w:rFonts w:asciiTheme="minorEastAsia" w:hAnsiTheme="minorEastAsia" w:eastAsiaTheme="minorEastAsia"/>
          <w:color w:val="auto"/>
          <w:sz w:val="24"/>
          <w:szCs w:val="24"/>
        </w:rPr>
        <w:t>项目建设内容</w:t>
      </w:r>
      <w:r>
        <w:rPr>
          <w:rFonts w:hint="eastAsia" w:asciiTheme="minorEastAsia" w:hAnsiTheme="minorEastAsia" w:eastAsiaTheme="minorEastAsia"/>
          <w:color w:val="auto"/>
          <w:sz w:val="24"/>
          <w:szCs w:val="24"/>
        </w:rPr>
        <w:t>。</w:t>
      </w:r>
    </w:p>
    <w:p>
      <w:pPr>
        <w:spacing w:line="360" w:lineRule="auto"/>
        <w:ind w:firstLine="640"/>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）运营期</w:t>
      </w:r>
    </w:p>
    <w:p>
      <w:pPr>
        <w:pStyle w:val="75"/>
        <w:numPr>
          <w:ilvl w:val="0"/>
          <w:numId w:val="1"/>
        </w:numPr>
        <w:ind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特许经营</w:t>
      </w:r>
      <w:r>
        <w:rPr>
          <w:rFonts w:asciiTheme="minorEastAsia" w:hAnsiTheme="minorEastAsia" w:eastAsiaTheme="minorEastAsia"/>
          <w:color w:val="auto"/>
          <w:sz w:val="24"/>
        </w:rPr>
        <w:t>企业的权利</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fldChar w:fldCharType="begin"/>
      </w:r>
      <w:r>
        <w:rPr>
          <w:rFonts w:asciiTheme="minorEastAsia" w:hAnsiTheme="minorEastAsia" w:eastAsiaTheme="minorEastAsia"/>
          <w:color w:val="auto"/>
          <w:sz w:val="24"/>
        </w:rPr>
        <w:instrText xml:space="preserve"> = 1 \* GB3 </w:instrText>
      </w:r>
      <w:r>
        <w:rPr>
          <w:rFonts w:asciiTheme="minorEastAsia" w:hAnsiTheme="minorEastAsia" w:eastAsiaTheme="minorEastAsia"/>
          <w:color w:val="auto"/>
          <w:sz w:val="24"/>
        </w:rPr>
        <w:fldChar w:fldCharType="separate"/>
      </w:r>
      <w:r>
        <w:rPr>
          <w:rFonts w:hint="eastAsia" w:asciiTheme="minorEastAsia" w:hAnsiTheme="minorEastAsia" w:eastAsiaTheme="minorEastAsia"/>
          <w:color w:val="auto"/>
          <w:sz w:val="24"/>
        </w:rPr>
        <w:t>①</w:t>
      </w:r>
      <w:r>
        <w:rPr>
          <w:rFonts w:asciiTheme="minorEastAsia" w:hAnsiTheme="minorEastAsia" w:eastAsiaTheme="minorEastAsia"/>
          <w:color w:val="auto"/>
          <w:sz w:val="24"/>
        </w:rPr>
        <w:fldChar w:fldCharType="end"/>
      </w:r>
      <w:r>
        <w:rPr>
          <w:rFonts w:asciiTheme="minorEastAsia" w:hAnsiTheme="minorEastAsia" w:eastAsiaTheme="minorEastAsia"/>
          <w:color w:val="auto"/>
          <w:sz w:val="24"/>
        </w:rPr>
        <w:t>按照《特许经营协议》的规定，享有在特许期内投资和运营城乡公交线路的权利，并按政策文件享有相关补贴。</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fldChar w:fldCharType="begin"/>
      </w:r>
      <w:r>
        <w:rPr>
          <w:rFonts w:asciiTheme="minorEastAsia" w:hAnsiTheme="minorEastAsia" w:eastAsiaTheme="minorEastAsia"/>
          <w:color w:val="auto"/>
          <w:sz w:val="24"/>
        </w:rPr>
        <w:instrText xml:space="preserve"> = 2 \* GB3 </w:instrText>
      </w:r>
      <w:r>
        <w:rPr>
          <w:rFonts w:asciiTheme="minorEastAsia" w:hAnsiTheme="minorEastAsia" w:eastAsiaTheme="minorEastAsia"/>
          <w:color w:val="auto"/>
          <w:sz w:val="24"/>
        </w:rPr>
        <w:fldChar w:fldCharType="separate"/>
      </w:r>
      <w:r>
        <w:rPr>
          <w:rFonts w:hint="eastAsia" w:asciiTheme="minorEastAsia" w:hAnsiTheme="minorEastAsia" w:eastAsiaTheme="minorEastAsia"/>
          <w:color w:val="auto"/>
          <w:sz w:val="24"/>
        </w:rPr>
        <w:t>②</w:t>
      </w:r>
      <w:r>
        <w:rPr>
          <w:rFonts w:asciiTheme="minorEastAsia" w:hAnsiTheme="minorEastAsia" w:eastAsiaTheme="minorEastAsia"/>
          <w:color w:val="auto"/>
          <w:sz w:val="24"/>
        </w:rPr>
        <w:fldChar w:fldCharType="end"/>
      </w:r>
      <w:r>
        <w:rPr>
          <w:rFonts w:asciiTheme="minorEastAsia" w:hAnsiTheme="minorEastAsia" w:eastAsiaTheme="minorEastAsia"/>
          <w:color w:val="auto"/>
          <w:sz w:val="24"/>
        </w:rPr>
        <w:t>享有根据《特许经营协议》申请并获得票价差额补偿</w:t>
      </w:r>
      <w:r>
        <w:rPr>
          <w:rFonts w:hint="eastAsia" w:asciiTheme="minorEastAsia" w:hAnsiTheme="minorEastAsia" w:eastAsiaTheme="minorEastAsia"/>
          <w:color w:val="auto"/>
          <w:sz w:val="24"/>
        </w:rPr>
        <w:t>（政策性亏损补偿）</w:t>
      </w:r>
      <w:r>
        <w:rPr>
          <w:rFonts w:asciiTheme="minorEastAsia" w:hAnsiTheme="minorEastAsia" w:eastAsiaTheme="minorEastAsia"/>
          <w:color w:val="auto"/>
          <w:sz w:val="24"/>
        </w:rPr>
        <w:t>的权利。</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fldChar w:fldCharType="begin"/>
      </w:r>
      <w:r>
        <w:rPr>
          <w:rFonts w:asciiTheme="minorEastAsia" w:hAnsiTheme="minorEastAsia" w:eastAsiaTheme="minorEastAsia"/>
          <w:color w:val="auto"/>
          <w:sz w:val="24"/>
        </w:rPr>
        <w:instrText xml:space="preserve"> = 3 \* GB3 </w:instrText>
      </w:r>
      <w:r>
        <w:rPr>
          <w:rFonts w:asciiTheme="minorEastAsia" w:hAnsiTheme="minorEastAsia" w:eastAsiaTheme="minorEastAsia"/>
          <w:color w:val="auto"/>
          <w:sz w:val="24"/>
        </w:rPr>
        <w:fldChar w:fldCharType="separate"/>
      </w:r>
      <w:r>
        <w:rPr>
          <w:rFonts w:hint="eastAsia" w:asciiTheme="minorEastAsia" w:hAnsiTheme="minorEastAsia" w:eastAsiaTheme="minorEastAsia"/>
          <w:color w:val="auto"/>
          <w:sz w:val="24"/>
        </w:rPr>
        <w:t>③</w:t>
      </w:r>
      <w:r>
        <w:rPr>
          <w:rFonts w:asciiTheme="minorEastAsia" w:hAnsiTheme="minorEastAsia" w:eastAsiaTheme="minorEastAsia"/>
          <w:color w:val="auto"/>
          <w:sz w:val="24"/>
        </w:rPr>
        <w:fldChar w:fldCharType="end"/>
      </w:r>
      <w:r>
        <w:rPr>
          <w:rFonts w:asciiTheme="minorEastAsia" w:hAnsiTheme="minorEastAsia" w:eastAsiaTheme="minorEastAsia"/>
          <w:color w:val="auto"/>
          <w:sz w:val="24"/>
        </w:rPr>
        <w:t>根据《特许经营协议》，按照相关的安全规定，从事</w:t>
      </w:r>
      <w:r>
        <w:rPr>
          <w:rFonts w:hint="eastAsia" w:asciiTheme="minorEastAsia" w:hAnsiTheme="minorEastAsia" w:eastAsiaTheme="minorEastAsia"/>
          <w:color w:val="auto"/>
          <w:sz w:val="24"/>
        </w:rPr>
        <w:t>场站经营、充电桩</w:t>
      </w:r>
      <w:r>
        <w:rPr>
          <w:rFonts w:asciiTheme="minorEastAsia" w:hAnsiTheme="minorEastAsia" w:eastAsiaTheme="minorEastAsia"/>
          <w:color w:val="auto"/>
          <w:sz w:val="24"/>
        </w:rPr>
        <w:t>服务收费、旅游包车、租车、广告等收入归特许经营企业所有</w:t>
      </w:r>
      <w:r>
        <w:rPr>
          <w:rFonts w:hint="eastAsia" w:asciiTheme="minorEastAsia" w:hAnsiTheme="minorEastAsia" w:eastAsiaTheme="minorEastAsia"/>
          <w:color w:val="auto"/>
          <w:sz w:val="24"/>
        </w:rPr>
        <w:t>，该部分收入应当用于平衡项目收支，减少政府付费金额</w:t>
      </w:r>
      <w:r>
        <w:rPr>
          <w:rFonts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fldChar w:fldCharType="begin"/>
      </w:r>
      <w:r>
        <w:rPr>
          <w:rFonts w:asciiTheme="minorEastAsia" w:hAnsiTheme="minorEastAsia" w:eastAsiaTheme="minorEastAsia"/>
          <w:color w:val="auto"/>
          <w:sz w:val="24"/>
        </w:rPr>
        <w:instrText xml:space="preserve"> = 4 \* GB3 </w:instrText>
      </w:r>
      <w:r>
        <w:rPr>
          <w:rFonts w:asciiTheme="minorEastAsia" w:hAnsiTheme="minorEastAsia" w:eastAsiaTheme="minorEastAsia"/>
          <w:color w:val="auto"/>
          <w:sz w:val="24"/>
        </w:rPr>
        <w:fldChar w:fldCharType="separate"/>
      </w:r>
      <w:r>
        <w:rPr>
          <w:rFonts w:hint="eastAsia" w:asciiTheme="minorEastAsia" w:hAnsiTheme="minorEastAsia" w:eastAsiaTheme="minorEastAsia"/>
          <w:color w:val="auto"/>
          <w:sz w:val="24"/>
        </w:rPr>
        <w:t>④</w:t>
      </w:r>
      <w:r>
        <w:rPr>
          <w:rFonts w:asciiTheme="minorEastAsia" w:hAnsiTheme="minorEastAsia" w:eastAsiaTheme="minorEastAsia"/>
          <w:color w:val="auto"/>
          <w:sz w:val="24"/>
        </w:rPr>
        <w:fldChar w:fldCharType="end"/>
      </w:r>
      <w:r>
        <w:rPr>
          <w:rFonts w:asciiTheme="minorEastAsia" w:hAnsiTheme="minorEastAsia" w:eastAsiaTheme="minorEastAsia"/>
          <w:color w:val="auto"/>
          <w:sz w:val="24"/>
        </w:rPr>
        <w:t>因市政府提出</w:t>
      </w:r>
      <w:r>
        <w:rPr>
          <w:rFonts w:hint="eastAsia" w:asciiTheme="minorEastAsia" w:hAnsiTheme="minorEastAsia" w:eastAsiaTheme="minorEastAsia"/>
          <w:color w:val="auto"/>
          <w:sz w:val="24"/>
        </w:rPr>
        <w:t>约束</w:t>
      </w:r>
      <w:r>
        <w:rPr>
          <w:rFonts w:asciiTheme="minorEastAsia" w:hAnsiTheme="minorEastAsia" w:eastAsiaTheme="minorEastAsia"/>
          <w:color w:val="auto"/>
          <w:sz w:val="24"/>
        </w:rPr>
        <w:t>或法律变更导致投资或运营成本增加，有权获得市政府的补偿，补偿方式包括延长特许期、现金补偿等。</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fldChar w:fldCharType="begin"/>
      </w:r>
      <w:r>
        <w:rPr>
          <w:rFonts w:asciiTheme="minorEastAsia" w:hAnsiTheme="minorEastAsia" w:eastAsiaTheme="minorEastAsia"/>
          <w:color w:val="auto"/>
          <w:sz w:val="24"/>
        </w:rPr>
        <w:instrText xml:space="preserve"> = 5 \* GB3 </w:instrText>
      </w:r>
      <w:r>
        <w:rPr>
          <w:rFonts w:asciiTheme="minorEastAsia" w:hAnsiTheme="minorEastAsia" w:eastAsiaTheme="minorEastAsia"/>
          <w:color w:val="auto"/>
          <w:sz w:val="24"/>
        </w:rPr>
        <w:fldChar w:fldCharType="separate"/>
      </w:r>
      <w:r>
        <w:rPr>
          <w:rFonts w:hint="eastAsia" w:asciiTheme="minorEastAsia" w:hAnsiTheme="minorEastAsia" w:eastAsiaTheme="minorEastAsia"/>
          <w:color w:val="auto"/>
          <w:sz w:val="24"/>
        </w:rPr>
        <w:t>⑤</w:t>
      </w:r>
      <w:r>
        <w:rPr>
          <w:rFonts w:asciiTheme="minorEastAsia" w:hAnsiTheme="minorEastAsia" w:eastAsiaTheme="minorEastAsia"/>
          <w:color w:val="auto"/>
          <w:sz w:val="24"/>
        </w:rPr>
        <w:fldChar w:fldCharType="end"/>
      </w:r>
      <w:r>
        <w:rPr>
          <w:rFonts w:asciiTheme="minorEastAsia" w:hAnsiTheme="minorEastAsia" w:eastAsiaTheme="minorEastAsia"/>
          <w:color w:val="auto"/>
          <w:sz w:val="24"/>
        </w:rPr>
        <w:t>如果市政府违反《特许经营协议》，有权根据《特许经营协议》获得赔偿或补偿。</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fldChar w:fldCharType="begin"/>
      </w:r>
      <w:r>
        <w:rPr>
          <w:rFonts w:asciiTheme="minorEastAsia" w:hAnsiTheme="minorEastAsia" w:eastAsiaTheme="minorEastAsia"/>
          <w:color w:val="auto"/>
          <w:sz w:val="24"/>
        </w:rPr>
        <w:instrText xml:space="preserve"> = 6 \* GB3 </w:instrText>
      </w:r>
      <w:r>
        <w:rPr>
          <w:rFonts w:asciiTheme="minorEastAsia" w:hAnsiTheme="minorEastAsia" w:eastAsiaTheme="minorEastAsia"/>
          <w:color w:val="auto"/>
          <w:sz w:val="24"/>
        </w:rPr>
        <w:fldChar w:fldCharType="separate"/>
      </w:r>
      <w:r>
        <w:rPr>
          <w:rFonts w:hint="eastAsia" w:asciiTheme="minorEastAsia" w:hAnsiTheme="minorEastAsia" w:eastAsiaTheme="minorEastAsia"/>
          <w:color w:val="auto"/>
          <w:sz w:val="24"/>
        </w:rPr>
        <w:t>⑥</w:t>
      </w:r>
      <w:r>
        <w:rPr>
          <w:rFonts w:asciiTheme="minorEastAsia" w:hAnsiTheme="minorEastAsia" w:eastAsiaTheme="minorEastAsia"/>
          <w:color w:val="auto"/>
          <w:sz w:val="24"/>
        </w:rPr>
        <w:fldChar w:fldCharType="end"/>
      </w:r>
      <w:r>
        <w:rPr>
          <w:rFonts w:hint="eastAsia" w:asciiTheme="minorEastAsia" w:hAnsiTheme="minorEastAsia" w:eastAsiaTheme="minorEastAsia"/>
          <w:color w:val="auto"/>
          <w:sz w:val="24"/>
        </w:rPr>
        <w:t>允许特许经营</w:t>
      </w:r>
      <w:r>
        <w:rPr>
          <w:rFonts w:asciiTheme="minorEastAsia" w:hAnsiTheme="minorEastAsia" w:eastAsiaTheme="minorEastAsia"/>
          <w:color w:val="auto"/>
          <w:sz w:val="24"/>
        </w:rPr>
        <w:t>企业根据线路运营情况，合理调整各线路车辆、班次</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但必须取得项目实施机构的书面同意。</w:t>
      </w:r>
    </w:p>
    <w:p>
      <w:pPr>
        <w:pStyle w:val="75"/>
        <w:numPr>
          <w:ilvl w:val="0"/>
          <w:numId w:val="1"/>
        </w:numPr>
        <w:ind w:firstLineChars="0"/>
        <w:rPr>
          <w:rFonts w:asciiTheme="minorEastAsia" w:hAnsiTheme="minorEastAsia" w:eastAsiaTheme="minorEastAsia"/>
          <w:color w:val="auto"/>
          <w:sz w:val="24"/>
        </w:rPr>
      </w:pPr>
      <w:bookmarkStart w:id="99" w:name="_Toc532748620"/>
      <w:r>
        <w:rPr>
          <w:rFonts w:asciiTheme="minorEastAsia" w:hAnsiTheme="minorEastAsia" w:eastAsiaTheme="minorEastAsia"/>
          <w:color w:val="auto"/>
          <w:sz w:val="24"/>
        </w:rPr>
        <w:t>特许经营企业的义务</w:t>
      </w:r>
      <w:bookmarkEnd w:id="99"/>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a)按照线路特许经营协议规定的线路、站点、运营间隔、首末班次时间、车辆数、车型等组织运营。保持良好的车容车貌、站容站貌和客运服务形象。</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b)严格实行“公司化经营”，“公司化经营”系指经营单位将产权明晰、具有完全处分权利的营运车辆，在与运输生产直接关联的经营活动中，最大程度地实现自主经营。必须具有以下几方面特征：</w:t>
      </w:r>
    </w:p>
    <w:p>
      <w:pPr>
        <w:pStyle w:val="75"/>
        <w:numPr>
          <w:ilvl w:val="0"/>
          <w:numId w:val="2"/>
        </w:numPr>
        <w:ind w:left="1061" w:firstLineChars="0"/>
        <w:rPr>
          <w:rFonts w:asciiTheme="minorEastAsia" w:hAnsiTheme="minorEastAsia" w:eastAsiaTheme="minorEastAsia"/>
          <w:color w:val="auto"/>
          <w:sz w:val="24"/>
        </w:rPr>
      </w:pPr>
      <w:r>
        <w:rPr>
          <w:rFonts w:asciiTheme="minorEastAsia" w:hAnsiTheme="minorEastAsia" w:eastAsiaTheme="minorEastAsia"/>
          <w:color w:val="auto"/>
          <w:sz w:val="24"/>
        </w:rPr>
        <w:t>车辆产权清晰。所有车辆必须是企业全额出资购买，车辆产权证件标明属于企业，企业对车辆拥有完全的支配权与处置权。</w:t>
      </w:r>
    </w:p>
    <w:p>
      <w:pPr>
        <w:pStyle w:val="75"/>
        <w:numPr>
          <w:ilvl w:val="0"/>
          <w:numId w:val="2"/>
        </w:numPr>
        <w:ind w:left="1061" w:firstLineChars="0"/>
        <w:rPr>
          <w:rFonts w:asciiTheme="minorEastAsia" w:hAnsiTheme="minorEastAsia" w:eastAsiaTheme="minorEastAsia"/>
          <w:color w:val="auto"/>
          <w:sz w:val="24"/>
        </w:rPr>
      </w:pPr>
      <w:r>
        <w:rPr>
          <w:rFonts w:asciiTheme="minorEastAsia" w:hAnsiTheme="minorEastAsia" w:eastAsiaTheme="minorEastAsia"/>
          <w:color w:val="auto"/>
          <w:sz w:val="24"/>
        </w:rPr>
        <w:t>经营权明确。交通运输主管部门许可给企业的公交客运经营权，必须由被许可企业统一经营，除法律法规规定按照法定条件和程序</w:t>
      </w:r>
      <w:r>
        <w:rPr>
          <w:rFonts w:hint="eastAsia" w:asciiTheme="minorEastAsia" w:hAnsiTheme="minorEastAsia" w:eastAsiaTheme="minorEastAsia"/>
          <w:color w:val="auto"/>
          <w:sz w:val="24"/>
        </w:rPr>
        <w:t>，同时</w:t>
      </w:r>
      <w:r>
        <w:rPr>
          <w:rFonts w:asciiTheme="minorEastAsia" w:hAnsiTheme="minorEastAsia" w:eastAsiaTheme="minorEastAsia"/>
          <w:color w:val="auto"/>
          <w:sz w:val="24"/>
        </w:rPr>
        <w:t>取得政府书面同意可以转让的外，不得转让或出租、承包给他人经营，不得使用社会或个体车辆挂靠经营。</w:t>
      </w:r>
    </w:p>
    <w:p>
      <w:pPr>
        <w:pStyle w:val="75"/>
        <w:numPr>
          <w:ilvl w:val="0"/>
          <w:numId w:val="2"/>
        </w:numPr>
        <w:ind w:left="1061" w:firstLineChars="0"/>
        <w:rPr>
          <w:rFonts w:asciiTheme="minorEastAsia" w:hAnsiTheme="minorEastAsia" w:eastAsiaTheme="minorEastAsia"/>
          <w:color w:val="auto"/>
          <w:sz w:val="24"/>
        </w:rPr>
      </w:pPr>
      <w:r>
        <w:rPr>
          <w:rFonts w:asciiTheme="minorEastAsia" w:hAnsiTheme="minorEastAsia" w:eastAsiaTheme="minorEastAsia"/>
          <w:color w:val="auto"/>
          <w:sz w:val="24"/>
        </w:rPr>
        <w:t>从业人员管理规范。企业必须按照《劳动合同法》的规定，与所聘从业人员签订《劳动合同》，依法统一发放工资，统一缴纳各项社会保险，从业人员享受企业员工各种权益。</w:t>
      </w:r>
    </w:p>
    <w:p>
      <w:pPr>
        <w:pStyle w:val="75"/>
        <w:numPr>
          <w:ilvl w:val="0"/>
          <w:numId w:val="2"/>
        </w:numPr>
        <w:ind w:left="1061" w:firstLineChars="0"/>
        <w:rPr>
          <w:rFonts w:asciiTheme="minorEastAsia" w:hAnsiTheme="minorEastAsia" w:eastAsiaTheme="minorEastAsia"/>
          <w:color w:val="auto"/>
          <w:sz w:val="24"/>
        </w:rPr>
      </w:pPr>
      <w:r>
        <w:rPr>
          <w:rFonts w:asciiTheme="minorEastAsia" w:hAnsiTheme="minorEastAsia" w:eastAsiaTheme="minorEastAsia"/>
          <w:color w:val="auto"/>
          <w:sz w:val="24"/>
        </w:rPr>
        <w:t>财务管理统一。企业设立统一银行帐户，收支统一支配、成本统一核算、税费统一缴纳。</w:t>
      </w:r>
    </w:p>
    <w:p>
      <w:pPr>
        <w:pStyle w:val="75"/>
        <w:numPr>
          <w:ilvl w:val="0"/>
          <w:numId w:val="2"/>
        </w:numPr>
        <w:ind w:left="1061" w:firstLineChars="0"/>
        <w:rPr>
          <w:rFonts w:asciiTheme="minorEastAsia" w:hAnsiTheme="minorEastAsia" w:eastAsiaTheme="minorEastAsia"/>
          <w:color w:val="auto"/>
          <w:sz w:val="24"/>
        </w:rPr>
      </w:pPr>
      <w:r>
        <w:rPr>
          <w:rFonts w:asciiTheme="minorEastAsia" w:hAnsiTheme="minorEastAsia" w:eastAsiaTheme="minorEastAsia"/>
          <w:color w:val="auto"/>
          <w:sz w:val="24"/>
        </w:rPr>
        <w:t>运营管理统一。运营车辆和驾驶员实行公司统一管理、统一调度、统一标识，建立单车技术档案和单车管理台帐。</w:t>
      </w:r>
    </w:p>
    <w:p>
      <w:pPr>
        <w:pStyle w:val="75"/>
        <w:numPr>
          <w:ilvl w:val="0"/>
          <w:numId w:val="2"/>
        </w:numPr>
        <w:ind w:left="1061" w:firstLineChars="0"/>
        <w:rPr>
          <w:rFonts w:asciiTheme="minorEastAsia" w:hAnsiTheme="minorEastAsia" w:eastAsiaTheme="minorEastAsia"/>
          <w:color w:val="auto"/>
          <w:sz w:val="24"/>
        </w:rPr>
      </w:pPr>
      <w:r>
        <w:rPr>
          <w:rFonts w:asciiTheme="minorEastAsia" w:hAnsiTheme="minorEastAsia" w:eastAsiaTheme="minorEastAsia"/>
          <w:color w:val="auto"/>
          <w:sz w:val="24"/>
        </w:rPr>
        <w:t>安全生产主体责任明确。企业对公交客运安全生产、经营风险、服务质量、社会稳定等承担全部责任。</w:t>
      </w:r>
    </w:p>
    <w:p>
      <w:pPr>
        <w:pStyle w:val="75"/>
        <w:numPr>
          <w:ilvl w:val="0"/>
          <w:numId w:val="2"/>
        </w:numPr>
        <w:ind w:left="1061" w:firstLineChars="0"/>
        <w:rPr>
          <w:rFonts w:asciiTheme="minorEastAsia" w:hAnsiTheme="minorEastAsia" w:eastAsiaTheme="minorEastAsia"/>
          <w:color w:val="auto"/>
          <w:sz w:val="24"/>
        </w:rPr>
      </w:pPr>
      <w:r>
        <w:rPr>
          <w:rFonts w:asciiTheme="minorEastAsia" w:hAnsiTheme="minorEastAsia" w:eastAsiaTheme="minorEastAsia"/>
          <w:color w:val="auto"/>
          <w:sz w:val="24"/>
        </w:rPr>
        <w:t>服务标准化。企业必须按国家以及地方相关服务标准，制定和完善相应的服务质量标准、管理制度和管理措施，建立健全服务质量管理机制。</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c)</w:t>
      </w:r>
      <w:r>
        <w:rPr>
          <w:rFonts w:hint="eastAsia" w:asciiTheme="minorEastAsia" w:hAnsiTheme="minorEastAsia" w:eastAsiaTheme="minorEastAsia"/>
          <w:color w:val="auto"/>
          <w:sz w:val="24"/>
          <w:szCs w:val="24"/>
        </w:rPr>
        <w:t>投入运营的车辆应符合国家、省、市有关安全、消防、环保等方面规定：其配套设施和标识应符合行业规范，安装使用智能调度终端，及时向东方市交通局传送运营数据，并</w:t>
      </w:r>
      <w:r>
        <w:rPr>
          <w:rFonts w:asciiTheme="minorEastAsia" w:hAnsiTheme="minorEastAsia" w:eastAsiaTheme="minorEastAsia"/>
          <w:color w:val="auto"/>
          <w:sz w:val="24"/>
          <w:szCs w:val="24"/>
        </w:rPr>
        <w:t>确保</w:t>
      </w:r>
      <w:r>
        <w:rPr>
          <w:rFonts w:hint="eastAsia" w:asciiTheme="minorEastAsia" w:hAnsiTheme="minorEastAsia" w:eastAsiaTheme="minorEastAsia"/>
          <w:color w:val="auto"/>
          <w:sz w:val="24"/>
          <w:szCs w:val="24"/>
        </w:rPr>
        <w:t>历史</w:t>
      </w:r>
      <w:r>
        <w:rPr>
          <w:rFonts w:asciiTheme="minorEastAsia" w:hAnsiTheme="minorEastAsia" w:eastAsiaTheme="minorEastAsia"/>
          <w:color w:val="auto"/>
          <w:sz w:val="24"/>
          <w:szCs w:val="24"/>
        </w:rPr>
        <w:t>运营数据保留至少1年时间</w:t>
      </w:r>
      <w:r>
        <w:rPr>
          <w:rFonts w:hint="eastAsia" w:asciiTheme="minorEastAsia" w:hAnsiTheme="minorEastAsia" w:eastAsiaTheme="minorEastAsia"/>
          <w:color w:val="auto"/>
          <w:sz w:val="24"/>
          <w:szCs w:val="24"/>
        </w:rPr>
        <w:t>以供调阅</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营运时还应按规定随车携带道路运输证件。</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d)</w:t>
      </w:r>
      <w:r>
        <w:rPr>
          <w:rFonts w:hint="eastAsia" w:asciiTheme="minorEastAsia" w:hAnsiTheme="minorEastAsia" w:eastAsiaTheme="minorEastAsia"/>
          <w:color w:val="auto"/>
          <w:sz w:val="24"/>
          <w:szCs w:val="24"/>
        </w:rPr>
        <w:t>新投入的新能源公交车必须服从东方市城乡交通运输一体化示范创建工作，若政府需要回收，则须无条件给予折价回购。</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e)</w:t>
      </w:r>
      <w:r>
        <w:rPr>
          <w:rFonts w:hint="eastAsia" w:asciiTheme="minorEastAsia" w:hAnsiTheme="minorEastAsia" w:eastAsiaTheme="minorEastAsia"/>
          <w:color w:val="auto"/>
          <w:sz w:val="24"/>
          <w:szCs w:val="24"/>
        </w:rPr>
        <w:t>按规定为旅客投保承运人责任险，聘用符合条件和驾驶资格的驾驶员。</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f)</w:t>
      </w:r>
      <w:r>
        <w:rPr>
          <w:rFonts w:hint="eastAsia" w:asciiTheme="minorEastAsia" w:hAnsiTheme="minorEastAsia" w:eastAsiaTheme="minorEastAsia"/>
          <w:color w:val="auto"/>
          <w:sz w:val="24"/>
          <w:szCs w:val="24"/>
        </w:rPr>
        <w:t>严格遵守有关法律、法规和规章的规定，遵守有关安全生产的规定，服从道路运输管理机构的管理，并需承担因市场变化、政策调整和运输规划等产生的风险。</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g)</w:t>
      </w:r>
      <w:r>
        <w:rPr>
          <w:rFonts w:hint="eastAsia" w:asciiTheme="minorEastAsia" w:hAnsiTheme="minorEastAsia" w:eastAsiaTheme="minorEastAsia"/>
          <w:color w:val="auto"/>
          <w:sz w:val="24"/>
          <w:szCs w:val="24"/>
        </w:rPr>
        <w:t>承担安全生产主体责任，建立健全安全生产管理制度和各类应急预案，落实内部安全管理和考核工作。定期组织开展安全生产“拉网式”检查整改，做好从业人员安全生产教育培训和客运车辆日常维护保养工作，确保线路运营无安全隐患。发生安全事故或者影响城市公共汽电车客运运营安全的突发事件时，应在东方市交通局指导下，按照应急预案及时采取应急处置措施。</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h)</w:t>
      </w:r>
      <w:r>
        <w:rPr>
          <w:rFonts w:hint="eastAsia" w:asciiTheme="minorEastAsia" w:hAnsiTheme="minorEastAsia" w:eastAsiaTheme="minorEastAsia"/>
          <w:color w:val="auto"/>
          <w:sz w:val="24"/>
          <w:szCs w:val="24"/>
        </w:rPr>
        <w:t>定期组织客流调查，根据不同季节和节假日客流变化特征情况，制定线路运营计划并组织实施，线路运营计划需变更的应及时向东方市交通局备案。同时定期组织对线路所有站点服务设施、站牌服务信息的检查，发现问题及时整改，保持服务设施完好、站牌信息准确。</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i)</w:t>
      </w:r>
      <w:r>
        <w:rPr>
          <w:rFonts w:hint="eastAsia" w:asciiTheme="minorEastAsia" w:hAnsiTheme="minorEastAsia" w:eastAsiaTheme="minorEastAsia"/>
          <w:color w:val="auto"/>
          <w:sz w:val="24"/>
          <w:szCs w:val="24"/>
        </w:rPr>
        <w:t>每月按时向东方交通运输局上报相关信息和数据，包括企业人员、资产等信息，场站、车辆等设施设备数据，运营线路、客运量及乘客出行特征、运营成本等相关数据，公共汽电车调查数据，企业政策与制度信息等。</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j)</w:t>
      </w:r>
      <w:r>
        <w:rPr>
          <w:rFonts w:hint="eastAsia" w:asciiTheme="minorEastAsia" w:hAnsiTheme="minorEastAsia" w:eastAsiaTheme="minorEastAsia"/>
          <w:color w:val="auto"/>
          <w:sz w:val="24"/>
          <w:szCs w:val="24"/>
        </w:rPr>
        <w:t>接受政府部门（或</w:t>
      </w:r>
      <w:r>
        <w:rPr>
          <w:rFonts w:asciiTheme="minorEastAsia" w:hAnsiTheme="minorEastAsia" w:eastAsiaTheme="minorEastAsia"/>
          <w:color w:val="auto"/>
          <w:sz w:val="24"/>
          <w:szCs w:val="24"/>
        </w:rPr>
        <w:t>政府委托的第三方机构</w:t>
      </w:r>
      <w:r>
        <w:rPr>
          <w:rFonts w:hint="eastAsia" w:asciiTheme="minorEastAsia" w:hAnsiTheme="minorEastAsia" w:eastAsiaTheme="minorEastAsia"/>
          <w:color w:val="auto"/>
          <w:sz w:val="24"/>
          <w:szCs w:val="24"/>
        </w:rPr>
        <w:t>）和社会公众对其服务质量的监督，建立投诉、建议处理机制，在规定期限内予以处理并回复。</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k）接受东方市交通局根据政府惠民政策、市政工程、重大社会活动等工作要求制定的线路运行调整方案，以及为应对突发事件、恶劣天气、抢险救灾等采取的线路临时调度措施，并做好组织实施工作。</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l</w:t>
      </w:r>
      <w:r>
        <w:rPr>
          <w:rFonts w:hint="eastAsia" w:asciiTheme="minorEastAsia" w:hAnsiTheme="minorEastAsia" w:eastAsiaTheme="minorEastAsia"/>
          <w:color w:val="auto"/>
          <w:sz w:val="24"/>
          <w:szCs w:val="24"/>
        </w:rPr>
        <w:t>）严格按照价格主管部门核定标准收费。</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m</w:t>
      </w:r>
      <w:r>
        <w:rPr>
          <w:rFonts w:hint="eastAsia" w:asciiTheme="minorEastAsia" w:hAnsiTheme="minorEastAsia" w:eastAsiaTheme="minorEastAsia"/>
          <w:color w:val="auto"/>
          <w:sz w:val="24"/>
          <w:szCs w:val="24"/>
        </w:rPr>
        <w:t>）运营期</w:t>
      </w:r>
      <w:r>
        <w:rPr>
          <w:rFonts w:asciiTheme="minorEastAsia" w:hAnsiTheme="minorEastAsia" w:eastAsiaTheme="minorEastAsia"/>
          <w:color w:val="auto"/>
          <w:sz w:val="24"/>
          <w:szCs w:val="24"/>
        </w:rPr>
        <w:t>结束后，</w:t>
      </w:r>
      <w:r>
        <w:rPr>
          <w:rFonts w:hint="eastAsia" w:asciiTheme="minorEastAsia" w:hAnsiTheme="minorEastAsia" w:eastAsiaTheme="minorEastAsia"/>
          <w:color w:val="auto"/>
          <w:sz w:val="24"/>
          <w:szCs w:val="24"/>
        </w:rPr>
        <w:t>应无条件将政府投资建设的场站及附属设施、</w:t>
      </w:r>
      <w:r>
        <w:rPr>
          <w:rFonts w:asciiTheme="minorEastAsia" w:hAnsiTheme="minorEastAsia" w:eastAsiaTheme="minorEastAsia"/>
          <w:color w:val="auto"/>
          <w:sz w:val="24"/>
          <w:szCs w:val="24"/>
        </w:rPr>
        <w:t>车辆、相关</w:t>
      </w:r>
      <w:r>
        <w:rPr>
          <w:rFonts w:hint="eastAsia" w:asciiTheme="minorEastAsia" w:hAnsiTheme="minorEastAsia" w:eastAsiaTheme="minorEastAsia"/>
          <w:color w:val="auto"/>
          <w:sz w:val="24"/>
          <w:szCs w:val="24"/>
        </w:rPr>
        <w:t>资料</w:t>
      </w:r>
      <w:r>
        <w:rPr>
          <w:rFonts w:asciiTheme="minorEastAsia" w:hAnsiTheme="minorEastAsia" w:eastAsiaTheme="minorEastAsia"/>
          <w:color w:val="auto"/>
          <w:sz w:val="24"/>
          <w:szCs w:val="24"/>
        </w:rPr>
        <w:t>等无偿</w:t>
      </w:r>
      <w:r>
        <w:rPr>
          <w:rFonts w:hint="eastAsia" w:asciiTheme="minorEastAsia" w:hAnsiTheme="minorEastAsia" w:eastAsiaTheme="minorEastAsia"/>
          <w:color w:val="auto"/>
          <w:sz w:val="24"/>
          <w:szCs w:val="24"/>
        </w:rPr>
        <w:t>移交给政府主管部门或者指定的机构，对于运营期结束而尚未报废的车辆，应移交政府。</w:t>
      </w:r>
    </w:p>
    <w:p>
      <w:pPr>
        <w:pStyle w:val="4"/>
        <w:spacing w:before="0" w:after="0" w:line="360" w:lineRule="auto"/>
        <w:ind w:firstLine="643"/>
        <w:rPr>
          <w:rFonts w:asciiTheme="minorEastAsia" w:hAnsiTheme="minorEastAsia" w:eastAsiaTheme="minorEastAsia"/>
          <w:color w:val="auto"/>
          <w:sz w:val="24"/>
        </w:rPr>
      </w:pPr>
      <w:bookmarkStart w:id="100" w:name="_Toc14266224"/>
      <w:bookmarkStart w:id="101" w:name="_Toc19881788"/>
      <w:r>
        <w:rPr>
          <w:rFonts w:asciiTheme="minorEastAsia" w:hAnsiTheme="minorEastAsia" w:eastAsiaTheme="minorEastAsia"/>
          <w:color w:val="auto"/>
          <w:sz w:val="24"/>
        </w:rPr>
        <w:t>2.</w:t>
      </w:r>
      <w:r>
        <w:rPr>
          <w:rFonts w:hint="eastAsia" w:asciiTheme="minorEastAsia" w:hAnsiTheme="minorEastAsia" w:eastAsiaTheme="minorEastAsia"/>
          <w:color w:val="auto"/>
          <w:sz w:val="24"/>
        </w:rPr>
        <w:t>项目实施机构的</w:t>
      </w:r>
      <w:bookmarkEnd w:id="100"/>
      <w:r>
        <w:rPr>
          <w:rFonts w:hint="eastAsia" w:asciiTheme="minorEastAsia" w:hAnsiTheme="minorEastAsia" w:eastAsiaTheme="minorEastAsia"/>
          <w:color w:val="auto"/>
          <w:sz w:val="24"/>
        </w:rPr>
        <w:t>权利和义务</w:t>
      </w:r>
      <w:bookmarkEnd w:id="101"/>
    </w:p>
    <w:p>
      <w:pPr>
        <w:pStyle w:val="75"/>
        <w:numPr>
          <w:ilvl w:val="0"/>
          <w:numId w:val="3"/>
        </w:numPr>
        <w:ind w:firstLineChars="0"/>
        <w:outlineLvl w:val="3"/>
        <w:rPr>
          <w:rFonts w:asciiTheme="minorEastAsia" w:hAnsiTheme="minorEastAsia" w:eastAsiaTheme="minorEastAsia"/>
          <w:color w:val="auto"/>
          <w:sz w:val="24"/>
        </w:rPr>
      </w:pPr>
      <w:bookmarkStart w:id="102" w:name="_Toc532748628"/>
      <w:r>
        <w:rPr>
          <w:rFonts w:hint="eastAsia" w:asciiTheme="minorEastAsia" w:hAnsiTheme="minorEastAsia" w:eastAsiaTheme="minorEastAsia"/>
          <w:color w:val="auto"/>
          <w:sz w:val="24"/>
        </w:rPr>
        <w:t>项目</w:t>
      </w:r>
      <w:r>
        <w:rPr>
          <w:rFonts w:asciiTheme="minorEastAsia" w:hAnsiTheme="minorEastAsia" w:eastAsiaTheme="minorEastAsia"/>
          <w:color w:val="auto"/>
          <w:sz w:val="24"/>
        </w:rPr>
        <w:t>实施机构的权利</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 1 \* GB3 </w:instrText>
      </w:r>
      <w:r>
        <w:rPr>
          <w:rFonts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①</w: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按《特许经营协议》约定提取履约保函下的款项的权利；</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 2 \* GB3 </w:instrText>
      </w:r>
      <w:r>
        <w:rPr>
          <w:rFonts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②</w: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对特许经营企业投资、运营、维护及移交本项目进行全程实时监管的权利；如发现与本合同存在不相符合的，有权责成特许经营企业限期予以纠正；</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 3 \* GB3 </w:instrText>
      </w:r>
      <w:r>
        <w:rPr>
          <w:rFonts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③</w: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项目实施机构或市政府指定机构或其委托的其他主体，对特许经营企业的投资、运营、管理、安全、质量、服务状况等进行定期评估，并有权定期将评估结果向社会公示，接受公众监督；</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 4 \* GB3 </w:instrText>
      </w:r>
      <w:r>
        <w:rPr>
          <w:rFonts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④</w: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项目实施机构或政府有关部门在建设期内有对特许经营企业的建设情况进行监督检查的权利，包括但不限于在建设期内项目实施机构可以指定政府其他部门或机构对项目进行专项审计检查，相应的费用由项目实施机构负担，检查周期由项目实施机构合理确定，监督范围主要包括对特许经营企业的注册资本的到位情况、资金使用情况、项目进度情况、项目质量情况、项目实施与本合同执行情况等方面，特许经营企业有义务对监督检查工作给予充分配合，提供必要的完整的所需查看的各种文件资料，并对提供资料的真实性负责；</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 5 \* GB3 </w:instrText>
      </w:r>
      <w:r>
        <w:rPr>
          <w:rFonts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⑤</w: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对特许经营企业是否遵守《特许经营协议》的监督检查权及对建设、运营维护的介入权；</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 6 \* GB3 </w:instrText>
      </w:r>
      <w:r>
        <w:rPr>
          <w:rFonts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⑥</w: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特许经营企业如出现下列行为之一者，项目实施机构或市政府有权责令其限期改正，或依法采取有效措施督促其履行义务；逾期不改正的，有权终止本合同，收回本项目经营权；</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1</w:t>
      </w:r>
      <w:r>
        <w:rPr>
          <w:rFonts w:hint="eastAsia" w:asciiTheme="minorEastAsia" w:hAnsiTheme="minorEastAsia" w:eastAsiaTheme="minorEastAsia"/>
          <w:color w:val="auto"/>
          <w:sz w:val="24"/>
          <w:szCs w:val="24"/>
        </w:rPr>
        <w:t>）转让、质押特许经营权或擅自处置、抵押项目设施、设备的；</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2</w:t>
      </w:r>
      <w:r>
        <w:rPr>
          <w:rFonts w:hint="eastAsia" w:asciiTheme="minorEastAsia" w:hAnsiTheme="minorEastAsia" w:eastAsiaTheme="minorEastAsia"/>
          <w:color w:val="auto"/>
          <w:sz w:val="24"/>
          <w:szCs w:val="24"/>
        </w:rPr>
        <w:t>）无合同约定条件、无正当理由擅自停业、歇业，影响到社会公共利益和公共安全的；</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3</w:t>
      </w:r>
      <w:r>
        <w:rPr>
          <w:rFonts w:hint="eastAsia" w:asciiTheme="minorEastAsia" w:hAnsiTheme="minorEastAsia" w:eastAsiaTheme="minorEastAsia"/>
          <w:color w:val="auto"/>
          <w:sz w:val="24"/>
          <w:szCs w:val="24"/>
        </w:rPr>
        <w:t>）因经营管理不善，造成重大质量、安全责任事故，严重影响公众利益的；</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4</w:t>
      </w:r>
      <w:r>
        <w:rPr>
          <w:rFonts w:hint="eastAsia" w:asciiTheme="minorEastAsia" w:hAnsiTheme="minorEastAsia" w:eastAsiaTheme="minorEastAsia"/>
          <w:color w:val="auto"/>
          <w:sz w:val="24"/>
          <w:szCs w:val="24"/>
        </w:rPr>
        <w:t>）被相关部门依法注销、关停的；</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5</w:t>
      </w:r>
      <w:r>
        <w:rPr>
          <w:rFonts w:hint="eastAsia" w:asciiTheme="minorEastAsia" w:hAnsiTheme="minorEastAsia" w:eastAsiaTheme="minorEastAsia"/>
          <w:color w:val="auto"/>
          <w:sz w:val="24"/>
          <w:szCs w:val="24"/>
        </w:rPr>
        <w:t>）违反获得项目时所做的承诺，情节严重的；</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6</w:t>
      </w:r>
      <w:r>
        <w:rPr>
          <w:rFonts w:hint="eastAsia" w:asciiTheme="minorEastAsia" w:hAnsiTheme="minorEastAsia" w:eastAsiaTheme="minorEastAsia"/>
          <w:color w:val="auto"/>
          <w:sz w:val="24"/>
          <w:szCs w:val="24"/>
        </w:rPr>
        <w:t>）实施了法律法规禁止的其他行为，情节严重的。</w:t>
      </w:r>
    </w:p>
    <w:p>
      <w:pPr>
        <w:pStyle w:val="75"/>
        <w:numPr>
          <w:ilvl w:val="0"/>
          <w:numId w:val="3"/>
        </w:numPr>
        <w:ind w:firstLineChars="0"/>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项目</w:t>
      </w:r>
      <w:r>
        <w:rPr>
          <w:rFonts w:asciiTheme="minorEastAsia" w:hAnsiTheme="minorEastAsia" w:eastAsiaTheme="minorEastAsia"/>
          <w:color w:val="auto"/>
          <w:sz w:val="24"/>
        </w:rPr>
        <w:t>实施机构的</w:t>
      </w:r>
      <w:r>
        <w:rPr>
          <w:rFonts w:hint="eastAsia" w:asciiTheme="minorEastAsia" w:hAnsiTheme="minorEastAsia" w:eastAsiaTheme="minorEastAsia"/>
          <w:color w:val="auto"/>
          <w:sz w:val="24"/>
        </w:rPr>
        <w:t>义务</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 1 \* GB3 </w:instrText>
      </w:r>
      <w:r>
        <w:rPr>
          <w:rFonts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①</w: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按照《特许经营协议》的约定及时、足额地向特许经营企业支付应付财政补贴；且负责协调市政府将本项目的财政补贴金额纳入跨年度的财政预算；</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 2 \* GB3 </w:instrText>
      </w:r>
      <w:r>
        <w:rPr>
          <w:rFonts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②</w: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在项目建设运营过程中，协助特许经营企业协调与所涉及的有关单位的关系；</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 3 \* GB3 </w:instrText>
      </w:r>
      <w:r>
        <w:rPr>
          <w:rFonts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③</w: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在项目合作期内，对非可归责于特许经营企业，且项目实施机构或政府方更有能力解决的事项，由项目实施机构或市政府指定的机构负责协调或监管。</w:t>
      </w:r>
    </w:p>
    <w:bookmarkEnd w:id="102"/>
    <w:p>
      <w:pPr>
        <w:pStyle w:val="48"/>
        <w:ind w:firstLine="641"/>
        <w:outlineLvl w:val="0"/>
        <w:rPr>
          <w:rFonts w:asciiTheme="minorEastAsia" w:hAnsiTheme="minorEastAsia" w:eastAsiaTheme="minorEastAsia"/>
          <w:b/>
          <w:color w:val="auto"/>
        </w:rPr>
      </w:pPr>
      <w:bookmarkStart w:id="103" w:name="_Toc14266225"/>
    </w:p>
    <w:p>
      <w:pPr>
        <w:pStyle w:val="48"/>
        <w:ind w:firstLine="641"/>
        <w:outlineLvl w:val="0"/>
        <w:rPr>
          <w:rFonts w:asciiTheme="minorEastAsia" w:hAnsiTheme="minorEastAsia" w:eastAsiaTheme="minorEastAsia"/>
          <w:color w:val="auto"/>
        </w:rPr>
      </w:pPr>
      <w:bookmarkStart w:id="104" w:name="_Toc19891211"/>
      <w:r>
        <w:rPr>
          <w:rFonts w:hint="eastAsia" w:asciiTheme="minorEastAsia" w:hAnsiTheme="minorEastAsia" w:eastAsiaTheme="minorEastAsia"/>
          <w:b/>
          <w:color w:val="auto"/>
        </w:rPr>
        <w:t>四、项目交易结构</w:t>
      </w:r>
      <w:bookmarkEnd w:id="103"/>
      <w:bookmarkEnd w:id="104"/>
    </w:p>
    <w:p>
      <w:pPr>
        <w:pStyle w:val="3"/>
        <w:spacing w:before="0" w:after="0" w:line="360" w:lineRule="auto"/>
        <w:ind w:firstLine="643"/>
        <w:rPr>
          <w:rFonts w:asciiTheme="minorEastAsia" w:hAnsiTheme="minorEastAsia" w:eastAsiaTheme="minorEastAsia"/>
          <w:color w:val="auto"/>
          <w:sz w:val="24"/>
          <w:szCs w:val="24"/>
        </w:rPr>
      </w:pPr>
      <w:bookmarkStart w:id="105" w:name="_Toc14266226"/>
      <w:bookmarkStart w:id="106" w:name="_Toc19881789"/>
      <w:r>
        <w:rPr>
          <w:rFonts w:hint="eastAsia" w:asciiTheme="minorEastAsia" w:hAnsiTheme="minorEastAsia" w:eastAsiaTheme="minorEastAsia"/>
          <w:color w:val="auto"/>
          <w:sz w:val="24"/>
          <w:szCs w:val="24"/>
        </w:rPr>
        <w:t>（一）项目交易结构</w:t>
      </w:r>
      <w:bookmarkEnd w:id="105"/>
      <w:bookmarkEnd w:id="106"/>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本项目采用“移交</w:t>
      </w:r>
      <w:r>
        <w:rPr>
          <w:rFonts w:asciiTheme="minorEastAsia" w:hAnsiTheme="minorEastAsia" w:eastAsiaTheme="minorEastAsia"/>
          <w:color w:val="auto"/>
          <w:sz w:val="24"/>
          <w:szCs w:val="24"/>
        </w:rPr>
        <w:t>-运营-移交（TOT）”的特许经营模式，由东方市人民政府发起，社会资本独立注资成立项目公司（特许经营企业），负责完成本项目的投资以及日常管理养护和运营，以保证公交客运服务功能。运营期16</w:t>
      </w:r>
      <w:r>
        <w:rPr>
          <w:rFonts w:hint="eastAsia" w:asciiTheme="minorEastAsia" w:hAnsiTheme="minorEastAsia" w:eastAsiaTheme="minorEastAsia"/>
          <w:color w:val="auto"/>
          <w:sz w:val="24"/>
          <w:szCs w:val="24"/>
        </w:rPr>
        <w:t>年，经营期满后移交给政府。</w:t>
      </w:r>
    </w:p>
    <w:p>
      <w:pPr>
        <w:spacing w:line="360" w:lineRule="auto"/>
        <w:rPr>
          <w:rFonts w:asciiTheme="minorEastAsia" w:hAnsiTheme="minorEastAsia" w:eastAsiaTheme="minorEastAsia"/>
          <w:color w:val="auto"/>
          <w:sz w:val="24"/>
        </w:rPr>
      </w:pPr>
      <w:r>
        <w:rPr>
          <w:rFonts w:asciiTheme="minorEastAsia" w:hAnsiTheme="minorEastAsia" w:eastAsiaTheme="minorEastAsia"/>
          <w:color w:val="auto"/>
          <w:sz w:val="24"/>
        </w:rPr>
        <w:pict>
          <v:shape id="_x0000_i1027" o:spt="75" type="#_x0000_t75" style="height:256.8pt;width:439.4pt;" filled="f" o:preferrelative="t" stroked="f" coordsize="21600,21600">
            <v:path/>
            <v:fill on="f" focussize="0,0"/>
            <v:stroke on="f" joinstyle="miter"/>
            <v:imagedata r:id="rId20" o:title="22222"/>
            <o:lock v:ext="edit" aspectratio="t"/>
            <w10:wrap type="none"/>
            <w10:anchorlock/>
          </v:shape>
        </w:pic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政府方面，市政府方委托市交通局为</w:t>
      </w:r>
      <w:r>
        <w:rPr>
          <w:rFonts w:asciiTheme="minorEastAsia" w:hAnsiTheme="minorEastAsia" w:eastAsiaTheme="minorEastAsia"/>
          <w:color w:val="auto"/>
          <w:sz w:val="24"/>
          <w:szCs w:val="24"/>
        </w:rPr>
        <w:t>项目实施机构</w:t>
      </w:r>
      <w:r>
        <w:rPr>
          <w:rFonts w:hint="eastAsia" w:asciiTheme="minorEastAsia" w:hAnsiTheme="minorEastAsia" w:eastAsiaTheme="minorEastAsia"/>
          <w:color w:val="auto"/>
          <w:sz w:val="24"/>
          <w:szCs w:val="24"/>
        </w:rPr>
        <w:t>。市交通局作为行政管理主体享有法律赋予的行政监管的职权，同时其作为特许经营项目协议一方签约主体享有相应的契约监管的权利。市交通局有权依据项目特许经营协议（含各类附件）的约定，享有全流程的履约监管权利，并</w:t>
      </w:r>
      <w:r>
        <w:rPr>
          <w:rFonts w:asciiTheme="minorEastAsia" w:hAnsiTheme="minorEastAsia" w:eastAsiaTheme="minorEastAsia"/>
          <w:color w:val="auto"/>
          <w:sz w:val="24"/>
          <w:szCs w:val="24"/>
        </w:rPr>
        <w:t>须根据特许经营协议中</w:t>
      </w:r>
      <w:r>
        <w:rPr>
          <w:rFonts w:hint="eastAsia" w:asciiTheme="minorEastAsia" w:hAnsiTheme="minorEastAsia" w:eastAsiaTheme="minorEastAsia"/>
          <w:color w:val="auto"/>
          <w:sz w:val="24"/>
          <w:szCs w:val="24"/>
        </w:rPr>
        <w:t>载明</w:t>
      </w:r>
      <w:r>
        <w:rPr>
          <w:rFonts w:asciiTheme="minorEastAsia" w:hAnsiTheme="minorEastAsia" w:eastAsiaTheme="minorEastAsia"/>
          <w:color w:val="auto"/>
          <w:sz w:val="24"/>
          <w:szCs w:val="24"/>
        </w:rPr>
        <w:t>的服务需要，及时完成相关</w:t>
      </w:r>
      <w:r>
        <w:rPr>
          <w:rFonts w:hint="eastAsia" w:asciiTheme="minorEastAsia" w:hAnsiTheme="minorEastAsia" w:eastAsiaTheme="minorEastAsia"/>
          <w:color w:val="auto"/>
          <w:sz w:val="24"/>
          <w:szCs w:val="24"/>
        </w:rPr>
        <w:t>配套</w:t>
      </w:r>
      <w:r>
        <w:rPr>
          <w:rFonts w:asciiTheme="minorEastAsia" w:hAnsiTheme="minorEastAsia" w:eastAsiaTheme="minorEastAsia"/>
          <w:color w:val="auto"/>
          <w:sz w:val="24"/>
          <w:szCs w:val="24"/>
        </w:rPr>
        <w:t>基础设施建设</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确保特许经营企业</w:t>
      </w:r>
      <w:r>
        <w:rPr>
          <w:rFonts w:hint="eastAsia" w:asciiTheme="minorEastAsia" w:hAnsiTheme="minorEastAsia" w:eastAsiaTheme="minorEastAsia"/>
          <w:color w:val="auto"/>
          <w:sz w:val="24"/>
          <w:szCs w:val="24"/>
        </w:rPr>
        <w:t>开展</w:t>
      </w:r>
      <w:r>
        <w:rPr>
          <w:rFonts w:asciiTheme="minorEastAsia" w:hAnsiTheme="minorEastAsia" w:eastAsiaTheme="minorEastAsia"/>
          <w:color w:val="auto"/>
          <w:sz w:val="24"/>
          <w:szCs w:val="24"/>
        </w:rPr>
        <w:t>日常运营</w:t>
      </w:r>
      <w:r>
        <w:rPr>
          <w:rFonts w:hint="eastAsia"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社会资本方面，市交通局按照</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让专业的人做专业的事</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的原则，由社会资本独资</w:t>
      </w:r>
      <w:r>
        <w:rPr>
          <w:rFonts w:asciiTheme="minorEastAsia" w:hAnsiTheme="minorEastAsia" w:eastAsiaTheme="minorEastAsia"/>
          <w:color w:val="auto"/>
          <w:sz w:val="24"/>
          <w:szCs w:val="24"/>
        </w:rPr>
        <w:t>设立</w:t>
      </w:r>
      <w:r>
        <w:rPr>
          <w:rFonts w:hint="eastAsia" w:asciiTheme="minorEastAsia" w:hAnsiTheme="minorEastAsia" w:eastAsiaTheme="minorEastAsia"/>
          <w:color w:val="auto"/>
          <w:sz w:val="24"/>
          <w:szCs w:val="24"/>
        </w:rPr>
        <w:t>项目公司（特许经营企业），</w:t>
      </w:r>
      <w:r>
        <w:rPr>
          <w:rFonts w:asciiTheme="minorEastAsia" w:hAnsiTheme="minorEastAsia" w:eastAsiaTheme="minorEastAsia"/>
          <w:color w:val="auto"/>
          <w:sz w:val="24"/>
          <w:szCs w:val="24"/>
        </w:rPr>
        <w:t>并</w:t>
      </w:r>
      <w:r>
        <w:rPr>
          <w:rFonts w:hint="eastAsia" w:asciiTheme="minorEastAsia" w:hAnsiTheme="minorEastAsia" w:eastAsiaTheme="minorEastAsia"/>
          <w:color w:val="auto"/>
          <w:sz w:val="24"/>
          <w:szCs w:val="24"/>
        </w:rPr>
        <w:t>由</w:t>
      </w:r>
      <w:r>
        <w:rPr>
          <w:rFonts w:asciiTheme="minorEastAsia" w:hAnsiTheme="minorEastAsia" w:eastAsiaTheme="minorEastAsia"/>
          <w:color w:val="auto"/>
          <w:sz w:val="24"/>
          <w:szCs w:val="24"/>
        </w:rPr>
        <w:t>特许经营企业</w:t>
      </w:r>
      <w:r>
        <w:rPr>
          <w:rFonts w:hint="eastAsia" w:asciiTheme="minorEastAsia" w:hAnsiTheme="minorEastAsia" w:eastAsiaTheme="minorEastAsia"/>
          <w:color w:val="auto"/>
          <w:sz w:val="24"/>
          <w:szCs w:val="24"/>
        </w:rPr>
        <w:t>全面负责项目的融资、运营及维护等。社会资本方</w:t>
      </w:r>
      <w:r>
        <w:rPr>
          <w:rFonts w:asciiTheme="minorEastAsia" w:hAnsiTheme="minorEastAsia" w:eastAsiaTheme="minorEastAsia"/>
          <w:color w:val="auto"/>
          <w:sz w:val="24"/>
          <w:szCs w:val="24"/>
        </w:rPr>
        <w:t>由公开招标方式确定，中标后与政府方签订《</w:t>
      </w:r>
      <w:r>
        <w:rPr>
          <w:rFonts w:hint="eastAsia" w:asciiTheme="minorEastAsia" w:hAnsiTheme="minorEastAsia" w:eastAsiaTheme="minorEastAsia"/>
          <w:color w:val="auto"/>
          <w:sz w:val="24"/>
          <w:szCs w:val="24"/>
        </w:rPr>
        <w:t>投资协议</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并</w:t>
      </w:r>
      <w:r>
        <w:rPr>
          <w:rFonts w:hint="eastAsia" w:asciiTheme="minorEastAsia" w:hAnsiTheme="minorEastAsia" w:eastAsiaTheme="minorEastAsia"/>
          <w:color w:val="auto"/>
          <w:sz w:val="24"/>
          <w:szCs w:val="24"/>
        </w:rPr>
        <w:t>成立</w:t>
      </w:r>
      <w:r>
        <w:rPr>
          <w:rFonts w:asciiTheme="minorEastAsia" w:hAnsiTheme="minorEastAsia" w:eastAsiaTheme="minorEastAsia"/>
          <w:color w:val="auto"/>
          <w:sz w:val="24"/>
          <w:szCs w:val="24"/>
        </w:rPr>
        <w:t>项目公司</w:t>
      </w:r>
      <w:r>
        <w:rPr>
          <w:rFonts w:hint="eastAsia" w:asciiTheme="minorEastAsia" w:hAnsiTheme="minorEastAsia" w:eastAsiaTheme="minorEastAsia"/>
          <w:color w:val="auto"/>
          <w:sz w:val="24"/>
          <w:szCs w:val="24"/>
        </w:rPr>
        <w:t>（特许经营企业）</w:t>
      </w:r>
      <w:r>
        <w:rPr>
          <w:rFonts w:asciiTheme="minorEastAsia" w:hAnsiTheme="minorEastAsia" w:eastAsiaTheme="minorEastAsia"/>
          <w:color w:val="auto"/>
          <w:sz w:val="24"/>
          <w:szCs w:val="24"/>
        </w:rPr>
        <w:t>，项目公司通过</w:t>
      </w:r>
      <w:r>
        <w:rPr>
          <w:rFonts w:hint="eastAsia" w:asciiTheme="minorEastAsia" w:hAnsiTheme="minorEastAsia" w:eastAsiaTheme="minorEastAsia"/>
          <w:color w:val="auto"/>
          <w:sz w:val="24"/>
          <w:szCs w:val="24"/>
        </w:rPr>
        <w:t>与</w:t>
      </w:r>
      <w:r>
        <w:rPr>
          <w:rFonts w:asciiTheme="minorEastAsia" w:hAnsiTheme="minorEastAsia" w:eastAsiaTheme="minorEastAsia"/>
          <w:color w:val="auto"/>
          <w:sz w:val="24"/>
          <w:szCs w:val="24"/>
        </w:rPr>
        <w:t>政府方签订《</w:t>
      </w:r>
      <w:r>
        <w:rPr>
          <w:rFonts w:hint="eastAsia" w:asciiTheme="minorEastAsia" w:hAnsiTheme="minorEastAsia" w:eastAsiaTheme="minorEastAsia"/>
          <w:color w:val="auto"/>
          <w:sz w:val="24"/>
          <w:szCs w:val="24"/>
        </w:rPr>
        <w:t>特许经营</w:t>
      </w:r>
      <w:r>
        <w:rPr>
          <w:rFonts w:asciiTheme="minorEastAsia" w:hAnsiTheme="minorEastAsia" w:eastAsiaTheme="minorEastAsia"/>
          <w:color w:val="auto"/>
          <w:sz w:val="24"/>
          <w:szCs w:val="24"/>
        </w:rPr>
        <w:t>协议》</w:t>
      </w:r>
      <w:r>
        <w:rPr>
          <w:rFonts w:hint="eastAsia" w:asciiTheme="minorEastAsia" w:hAnsiTheme="minorEastAsia" w:eastAsiaTheme="minorEastAsia"/>
          <w:color w:val="auto"/>
          <w:sz w:val="24"/>
          <w:szCs w:val="24"/>
        </w:rPr>
        <w:t>的</w:t>
      </w:r>
      <w:r>
        <w:rPr>
          <w:rFonts w:asciiTheme="minorEastAsia" w:hAnsiTheme="minorEastAsia" w:eastAsiaTheme="minorEastAsia"/>
          <w:color w:val="auto"/>
          <w:sz w:val="24"/>
          <w:szCs w:val="24"/>
        </w:rPr>
        <w:t>形式，</w:t>
      </w:r>
      <w:r>
        <w:rPr>
          <w:rFonts w:hint="eastAsia" w:asciiTheme="minorEastAsia" w:hAnsiTheme="minorEastAsia" w:eastAsiaTheme="minorEastAsia"/>
          <w:color w:val="auto"/>
          <w:sz w:val="24"/>
          <w:szCs w:val="24"/>
        </w:rPr>
        <w:t>继承</w:t>
      </w:r>
      <w:r>
        <w:rPr>
          <w:rFonts w:asciiTheme="minorEastAsia" w:hAnsiTheme="minorEastAsia" w:eastAsiaTheme="minorEastAsia"/>
          <w:color w:val="auto"/>
          <w:sz w:val="24"/>
          <w:szCs w:val="24"/>
        </w:rPr>
        <w:t>社会资本方在《</w:t>
      </w:r>
      <w:r>
        <w:rPr>
          <w:rFonts w:hint="eastAsia" w:asciiTheme="minorEastAsia" w:hAnsiTheme="minorEastAsia" w:eastAsiaTheme="minorEastAsia"/>
          <w:color w:val="auto"/>
          <w:sz w:val="24"/>
          <w:szCs w:val="24"/>
        </w:rPr>
        <w:t>投资协议</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中</w:t>
      </w:r>
      <w:r>
        <w:rPr>
          <w:rFonts w:asciiTheme="minorEastAsia" w:hAnsiTheme="minorEastAsia" w:eastAsiaTheme="minorEastAsia"/>
          <w:color w:val="auto"/>
          <w:sz w:val="24"/>
          <w:szCs w:val="24"/>
        </w:rPr>
        <w:t>的权利和义务。</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社会公众及公共利益方面，主要是要求特许经营企业保障本项目的长期稳定安全运营，另外</w:t>
      </w:r>
      <w:r>
        <w:rPr>
          <w:rFonts w:asciiTheme="minorEastAsia" w:hAnsiTheme="minorEastAsia" w:eastAsiaTheme="minorEastAsia"/>
          <w:color w:val="auto"/>
          <w:sz w:val="24"/>
          <w:szCs w:val="24"/>
        </w:rPr>
        <w:t>，要求特许经营企业</w:t>
      </w:r>
      <w:r>
        <w:rPr>
          <w:rFonts w:hint="eastAsia" w:asciiTheme="minorEastAsia" w:hAnsiTheme="minorEastAsia" w:eastAsiaTheme="minorEastAsia"/>
          <w:color w:val="auto"/>
          <w:sz w:val="24"/>
          <w:szCs w:val="24"/>
        </w:rPr>
        <w:t>应针对自然灾害、重特大事故、环境公害及人为破坏等各类可能发生的事故和所有危险源制定应急预案和现场处置方案。</w:t>
      </w:r>
    </w:p>
    <w:p>
      <w:pPr>
        <w:pStyle w:val="3"/>
        <w:spacing w:before="0" w:after="0" w:line="360" w:lineRule="auto"/>
        <w:ind w:firstLine="643"/>
        <w:rPr>
          <w:rFonts w:asciiTheme="minorEastAsia" w:hAnsiTheme="minorEastAsia" w:eastAsiaTheme="minorEastAsia"/>
          <w:color w:val="auto"/>
          <w:sz w:val="24"/>
          <w:szCs w:val="24"/>
        </w:rPr>
      </w:pPr>
      <w:bookmarkStart w:id="107" w:name="_Toc14266227"/>
      <w:bookmarkStart w:id="108" w:name="_Toc19881790"/>
      <w:r>
        <w:rPr>
          <w:rFonts w:hint="eastAsia" w:asciiTheme="minorEastAsia" w:hAnsiTheme="minorEastAsia" w:eastAsiaTheme="minorEastAsia"/>
          <w:color w:val="auto"/>
          <w:sz w:val="24"/>
          <w:szCs w:val="24"/>
        </w:rPr>
        <w:t>（二）各方负责事项</w:t>
      </w:r>
      <w:bookmarkEnd w:id="107"/>
      <w:bookmarkEnd w:id="108"/>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1）东方市交通局作为政府</w:t>
      </w:r>
      <w:r>
        <w:rPr>
          <w:rFonts w:hint="eastAsia" w:asciiTheme="minorEastAsia" w:hAnsiTheme="minorEastAsia" w:eastAsiaTheme="minorEastAsia"/>
          <w:color w:val="auto"/>
          <w:sz w:val="24"/>
          <w:szCs w:val="24"/>
        </w:rPr>
        <w:t>授权</w:t>
      </w:r>
      <w:r>
        <w:rPr>
          <w:rFonts w:asciiTheme="minorEastAsia" w:hAnsiTheme="minorEastAsia" w:eastAsiaTheme="minorEastAsia"/>
          <w:color w:val="auto"/>
          <w:sz w:val="24"/>
          <w:szCs w:val="24"/>
        </w:rPr>
        <w:t>代表负责的事项：</w:t>
      </w:r>
      <w:r>
        <w:rPr>
          <w:rFonts w:hint="eastAsia" w:asciiTheme="minorEastAsia" w:hAnsiTheme="minorEastAsia" w:eastAsiaTheme="minorEastAsia"/>
          <w:color w:val="auto"/>
          <w:sz w:val="24"/>
          <w:szCs w:val="24"/>
        </w:rPr>
        <w:t>完成项目用地获取、工可等前期工作咨询、环境影响评价、工程勘察、设计、施工图审批、项目施工、社会资本招标、审计、监理、检测等工作的委托，以及过程监督、竣工验收、运营期内考核、按项目协议</w:t>
      </w:r>
      <w:r>
        <w:rPr>
          <w:rFonts w:asciiTheme="minorEastAsia" w:hAnsiTheme="minorEastAsia" w:eastAsiaTheme="minorEastAsia"/>
          <w:color w:val="auto"/>
          <w:sz w:val="24"/>
          <w:szCs w:val="24"/>
        </w:rPr>
        <w:t>支付特许经营企业</w:t>
      </w:r>
      <w:r>
        <w:rPr>
          <w:rFonts w:hint="eastAsia" w:asciiTheme="minorEastAsia" w:hAnsiTheme="minorEastAsia" w:eastAsiaTheme="minorEastAsia"/>
          <w:color w:val="auto"/>
          <w:sz w:val="24"/>
          <w:szCs w:val="24"/>
        </w:rPr>
        <w:t>可行性缺口补助</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组织资产移交等工作。</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2）社会资本及特许经营企业负责的事项：</w:t>
      </w:r>
      <w:r>
        <w:rPr>
          <w:rFonts w:hint="eastAsia" w:asciiTheme="minorEastAsia" w:hAnsiTheme="minorEastAsia" w:eastAsiaTheme="minorEastAsia"/>
          <w:color w:val="auto"/>
          <w:sz w:val="24"/>
          <w:szCs w:val="24"/>
        </w:rPr>
        <w:t>投标人投标、社会资本</w:t>
      </w:r>
      <w:r>
        <w:rPr>
          <w:rFonts w:asciiTheme="minorEastAsia" w:hAnsiTheme="minorEastAsia" w:eastAsiaTheme="minorEastAsia"/>
          <w:color w:val="auto"/>
          <w:sz w:val="24"/>
          <w:szCs w:val="24"/>
        </w:rPr>
        <w:t>出资、</w:t>
      </w:r>
      <w:r>
        <w:rPr>
          <w:rFonts w:hint="eastAsia" w:asciiTheme="minorEastAsia" w:hAnsiTheme="minorEastAsia" w:eastAsiaTheme="minorEastAsia"/>
          <w:color w:val="auto"/>
          <w:sz w:val="24"/>
          <w:szCs w:val="24"/>
        </w:rPr>
        <w:t>项目</w:t>
      </w:r>
      <w:r>
        <w:rPr>
          <w:rFonts w:asciiTheme="minorEastAsia" w:hAnsiTheme="minorEastAsia" w:eastAsiaTheme="minorEastAsia"/>
          <w:color w:val="auto"/>
          <w:sz w:val="24"/>
          <w:szCs w:val="24"/>
        </w:rPr>
        <w:t>公司筹资</w:t>
      </w:r>
      <w:r>
        <w:rPr>
          <w:rFonts w:hint="eastAsia" w:asciiTheme="minorEastAsia" w:hAnsiTheme="minorEastAsia" w:eastAsiaTheme="minorEastAsia"/>
          <w:color w:val="auto"/>
          <w:sz w:val="24"/>
          <w:szCs w:val="24"/>
        </w:rPr>
        <w:t>、项目</w:t>
      </w:r>
      <w:r>
        <w:rPr>
          <w:rFonts w:asciiTheme="minorEastAsia" w:hAnsiTheme="minorEastAsia" w:eastAsiaTheme="minorEastAsia"/>
          <w:color w:val="auto"/>
          <w:sz w:val="24"/>
          <w:szCs w:val="24"/>
        </w:rPr>
        <w:t>运营及维护、项目管理、</w:t>
      </w:r>
      <w:r>
        <w:rPr>
          <w:rFonts w:hint="eastAsia" w:asciiTheme="minorEastAsia" w:hAnsiTheme="minorEastAsia" w:eastAsiaTheme="minorEastAsia"/>
          <w:color w:val="auto"/>
          <w:sz w:val="24"/>
          <w:szCs w:val="24"/>
        </w:rPr>
        <w:t>项目</w:t>
      </w:r>
      <w:r>
        <w:rPr>
          <w:rFonts w:asciiTheme="minorEastAsia" w:hAnsiTheme="minorEastAsia" w:eastAsiaTheme="minorEastAsia"/>
          <w:color w:val="auto"/>
          <w:sz w:val="24"/>
          <w:szCs w:val="24"/>
        </w:rPr>
        <w:t>移交。</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3）东方市财政局</w:t>
      </w:r>
      <w:r>
        <w:rPr>
          <w:rFonts w:hint="eastAsia" w:asciiTheme="minorEastAsia" w:hAnsiTheme="minorEastAsia" w:eastAsiaTheme="minorEastAsia"/>
          <w:color w:val="auto"/>
          <w:sz w:val="24"/>
          <w:szCs w:val="24"/>
        </w:rPr>
        <w:t>，负责将</w:t>
      </w:r>
      <w:r>
        <w:rPr>
          <w:rFonts w:asciiTheme="minorEastAsia" w:hAnsiTheme="minorEastAsia" w:eastAsiaTheme="minorEastAsia"/>
          <w:color w:val="auto"/>
          <w:sz w:val="24"/>
          <w:szCs w:val="24"/>
        </w:rPr>
        <w:t>年度政府付费数额纳入</w:t>
      </w:r>
      <w:r>
        <w:rPr>
          <w:rFonts w:hint="eastAsia" w:asciiTheme="minorEastAsia" w:hAnsiTheme="minorEastAsia" w:eastAsiaTheme="minorEastAsia"/>
          <w:color w:val="auto"/>
          <w:sz w:val="24"/>
          <w:szCs w:val="24"/>
        </w:rPr>
        <w:t>预算安排</w:t>
      </w:r>
      <w:r>
        <w:rPr>
          <w:rFonts w:asciiTheme="minorEastAsia" w:hAnsiTheme="minorEastAsia" w:eastAsiaTheme="minorEastAsia"/>
          <w:color w:val="auto"/>
          <w:sz w:val="24"/>
          <w:szCs w:val="24"/>
        </w:rPr>
        <w:t>；监督</w:t>
      </w:r>
      <w:r>
        <w:rPr>
          <w:rFonts w:hint="eastAsia" w:asciiTheme="minorEastAsia" w:hAnsiTheme="minorEastAsia" w:eastAsiaTheme="minorEastAsia"/>
          <w:color w:val="auto"/>
          <w:sz w:val="24"/>
          <w:szCs w:val="24"/>
        </w:rPr>
        <w:t>东方市交通局资金</w:t>
      </w:r>
      <w:r>
        <w:rPr>
          <w:rFonts w:asciiTheme="minorEastAsia" w:hAnsiTheme="minorEastAsia" w:eastAsiaTheme="minorEastAsia"/>
          <w:color w:val="auto"/>
          <w:sz w:val="24"/>
          <w:szCs w:val="24"/>
        </w:rPr>
        <w:t>拨付履</w:t>
      </w:r>
      <w:r>
        <w:rPr>
          <w:rFonts w:hint="eastAsia" w:asciiTheme="minorEastAsia" w:hAnsiTheme="minorEastAsia" w:eastAsiaTheme="minorEastAsia"/>
          <w:color w:val="auto"/>
          <w:sz w:val="24"/>
          <w:szCs w:val="24"/>
        </w:rPr>
        <w:t>约</w:t>
      </w:r>
      <w:r>
        <w:rPr>
          <w:rFonts w:asciiTheme="minorEastAsia" w:hAnsiTheme="minorEastAsia" w:eastAsiaTheme="minorEastAsia"/>
          <w:color w:val="auto"/>
          <w:sz w:val="24"/>
          <w:szCs w:val="24"/>
        </w:rPr>
        <w:t>行为。</w:t>
      </w:r>
    </w:p>
    <w:p>
      <w:pPr>
        <w:pStyle w:val="3"/>
        <w:spacing w:before="0" w:after="0" w:line="360" w:lineRule="auto"/>
        <w:ind w:firstLine="643"/>
        <w:rPr>
          <w:rFonts w:asciiTheme="minorEastAsia" w:hAnsiTheme="minorEastAsia" w:eastAsiaTheme="minorEastAsia"/>
          <w:color w:val="auto"/>
          <w:sz w:val="24"/>
          <w:szCs w:val="24"/>
        </w:rPr>
      </w:pPr>
      <w:bookmarkStart w:id="109" w:name="_Toc19881791"/>
      <w:bookmarkStart w:id="110" w:name="_Toc14266228"/>
      <w:r>
        <w:rPr>
          <w:rFonts w:hint="eastAsia" w:asciiTheme="minorEastAsia" w:hAnsiTheme="minorEastAsia" w:eastAsiaTheme="minorEastAsia"/>
          <w:color w:val="auto"/>
          <w:sz w:val="24"/>
          <w:szCs w:val="24"/>
        </w:rPr>
        <w:t>（三）主要实施内容</w:t>
      </w:r>
      <w:bookmarkEnd w:id="109"/>
      <w:bookmarkEnd w:id="110"/>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特许经营企业</w:t>
      </w:r>
      <w:r>
        <w:rPr>
          <w:rFonts w:asciiTheme="minorEastAsia" w:hAnsiTheme="minorEastAsia" w:eastAsiaTheme="minorEastAsia"/>
          <w:color w:val="auto"/>
          <w:sz w:val="24"/>
          <w:szCs w:val="24"/>
        </w:rPr>
        <w:t>需在</w:t>
      </w:r>
      <w:r>
        <w:rPr>
          <w:rFonts w:hint="eastAsia" w:asciiTheme="minorEastAsia" w:hAnsiTheme="minorEastAsia" w:eastAsiaTheme="minorEastAsia"/>
          <w:color w:val="auto"/>
          <w:sz w:val="24"/>
          <w:szCs w:val="24"/>
        </w:rPr>
        <w:t>项目建设期内按期完成线路开通、车辆购置、主体整合、智能公交系统建设等，并在运营期内承担本项目的正常运营维护，并接受服务质量考核</w:t>
      </w:r>
      <w:r>
        <w:rPr>
          <w:rFonts w:asciiTheme="minorEastAsia" w:hAnsiTheme="minorEastAsia" w:eastAsiaTheme="minorEastAsia"/>
          <w:color w:val="auto"/>
          <w:sz w:val="24"/>
          <w:szCs w:val="24"/>
        </w:rPr>
        <w:t>。</w:t>
      </w:r>
    </w:p>
    <w:p>
      <w:pPr>
        <w:pStyle w:val="3"/>
        <w:spacing w:before="0" w:after="0" w:line="360" w:lineRule="auto"/>
        <w:ind w:firstLine="643"/>
        <w:rPr>
          <w:rFonts w:asciiTheme="minorEastAsia" w:hAnsiTheme="minorEastAsia" w:eastAsiaTheme="minorEastAsia"/>
          <w:color w:val="auto"/>
          <w:sz w:val="24"/>
          <w:szCs w:val="24"/>
        </w:rPr>
      </w:pPr>
      <w:bookmarkStart w:id="111" w:name="_Toc14266229"/>
      <w:bookmarkStart w:id="112" w:name="_Toc19881792"/>
      <w:r>
        <w:rPr>
          <w:rFonts w:hint="eastAsia" w:asciiTheme="minorEastAsia" w:hAnsiTheme="minorEastAsia" w:eastAsiaTheme="minorEastAsia"/>
          <w:color w:val="auto"/>
          <w:sz w:val="24"/>
          <w:szCs w:val="24"/>
        </w:rPr>
        <w:t>（四）投资回报</w:t>
      </w:r>
      <w:bookmarkEnd w:id="111"/>
      <w:bookmarkEnd w:id="112"/>
    </w:p>
    <w:p>
      <w:pPr>
        <w:pStyle w:val="4"/>
        <w:spacing w:before="0" w:after="0" w:line="360" w:lineRule="auto"/>
        <w:ind w:firstLine="643"/>
        <w:rPr>
          <w:rFonts w:asciiTheme="minorEastAsia" w:hAnsiTheme="minorEastAsia" w:eastAsiaTheme="minorEastAsia"/>
          <w:color w:val="auto"/>
          <w:sz w:val="24"/>
        </w:rPr>
      </w:pPr>
      <w:bookmarkStart w:id="113" w:name="_Toc14266230"/>
      <w:bookmarkStart w:id="114" w:name="_Toc19881793"/>
      <w:r>
        <w:rPr>
          <w:rFonts w:asciiTheme="minorEastAsia" w:hAnsiTheme="minorEastAsia" w:eastAsiaTheme="minorEastAsia"/>
          <w:color w:val="auto"/>
          <w:sz w:val="24"/>
        </w:rPr>
        <w:t>1.</w:t>
      </w:r>
      <w:r>
        <w:rPr>
          <w:rFonts w:hint="eastAsia" w:asciiTheme="minorEastAsia" w:hAnsiTheme="minorEastAsia" w:eastAsiaTheme="minorEastAsia"/>
          <w:color w:val="auto"/>
          <w:sz w:val="24"/>
        </w:rPr>
        <w:t>回报方式</w:t>
      </w:r>
      <w:bookmarkEnd w:id="113"/>
      <w:bookmarkEnd w:id="114"/>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传统上，社会资本在本项目运营期间的回报方式有使用者付费、政府付费购买服务以及使用者付费与政府可行性缺口补贴相结合三种。</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考虑到本项目属于非盈利性项目，建议采用使用者付费</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购票</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与政府可行性缺口补贴相结合的方式进行投资回报，并将政府可行性缺口补贴费用纳入市级政府公共财政预算，在中长期财政规划中予以落实。</w:t>
      </w:r>
    </w:p>
    <w:p>
      <w:pPr>
        <w:pStyle w:val="4"/>
        <w:spacing w:before="0" w:after="0" w:line="360" w:lineRule="auto"/>
        <w:ind w:firstLine="643"/>
        <w:rPr>
          <w:rFonts w:asciiTheme="minorEastAsia" w:hAnsiTheme="minorEastAsia" w:eastAsiaTheme="minorEastAsia"/>
          <w:color w:val="auto"/>
          <w:sz w:val="24"/>
        </w:rPr>
      </w:pPr>
      <w:bookmarkStart w:id="115" w:name="_Toc19881794"/>
      <w:bookmarkStart w:id="116" w:name="_Toc14266231"/>
      <w:r>
        <w:rPr>
          <w:rFonts w:asciiTheme="minorEastAsia" w:hAnsiTheme="minorEastAsia" w:eastAsiaTheme="minorEastAsia"/>
          <w:color w:val="auto"/>
          <w:sz w:val="24"/>
        </w:rPr>
        <w:t>2.</w:t>
      </w:r>
      <w:r>
        <w:rPr>
          <w:rFonts w:hint="eastAsia" w:asciiTheme="minorEastAsia" w:hAnsiTheme="minorEastAsia" w:eastAsiaTheme="minorEastAsia"/>
          <w:color w:val="auto"/>
          <w:sz w:val="24"/>
        </w:rPr>
        <w:t>回报水平</w:t>
      </w:r>
      <w:bookmarkEnd w:id="115"/>
      <w:bookmarkEnd w:id="116"/>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特许经营企业</w:t>
      </w:r>
      <w:r>
        <w:rPr>
          <w:rFonts w:asciiTheme="minorEastAsia" w:hAnsiTheme="minorEastAsia" w:eastAsiaTheme="minorEastAsia"/>
          <w:color w:val="auto"/>
          <w:sz w:val="24"/>
        </w:rPr>
        <w:t>达到正常服务要求</w:t>
      </w:r>
      <w:r>
        <w:rPr>
          <w:rFonts w:hint="eastAsia" w:asciiTheme="minorEastAsia" w:hAnsiTheme="minorEastAsia" w:eastAsiaTheme="minorEastAsia"/>
          <w:color w:val="auto"/>
          <w:sz w:val="24"/>
        </w:rPr>
        <w:t>情况下的回报</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本方案的回报水平建立在特许经营企业在</w:t>
      </w:r>
      <w:r>
        <w:rPr>
          <w:rFonts w:asciiTheme="minorEastAsia" w:hAnsiTheme="minorEastAsia" w:eastAsiaTheme="minorEastAsia"/>
          <w:color w:val="auto"/>
          <w:sz w:val="24"/>
          <w:szCs w:val="24"/>
        </w:rPr>
        <w:t>2020年1月1</w:t>
      </w:r>
      <w:r>
        <w:rPr>
          <w:rFonts w:hint="eastAsia" w:asciiTheme="minorEastAsia" w:hAnsiTheme="minorEastAsia" w:eastAsiaTheme="minorEastAsia"/>
          <w:color w:val="auto"/>
          <w:sz w:val="24"/>
          <w:szCs w:val="24"/>
        </w:rPr>
        <w:t>日起即达到方案规定的线路运营及车辆标准的前提下，对于特许经营企业在特许经营期限内达到正常服务要求的情况下，分别</w:t>
      </w:r>
      <w:r>
        <w:rPr>
          <w:rFonts w:asciiTheme="minorEastAsia" w:hAnsiTheme="minorEastAsia" w:eastAsiaTheme="minorEastAsia"/>
          <w:color w:val="auto"/>
          <w:sz w:val="24"/>
          <w:szCs w:val="24"/>
        </w:rPr>
        <w:t>从</w:t>
      </w:r>
      <w:r>
        <w:rPr>
          <w:rFonts w:hint="eastAsia" w:asciiTheme="minorEastAsia" w:hAnsiTheme="minorEastAsia" w:eastAsiaTheme="minorEastAsia"/>
          <w:color w:val="auto"/>
          <w:sz w:val="24"/>
          <w:szCs w:val="24"/>
        </w:rPr>
        <w:t>项目资本金回报、融资成本回报、运营补助</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超额收入回报四方面予以考虑：</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项目资本金回报：是指针对社会资本（项目公司）投入的初始项目资本金（不低于初期投资</w:t>
      </w:r>
      <w:r>
        <w:rPr>
          <w:rFonts w:asciiTheme="minorEastAsia" w:hAnsiTheme="minorEastAsia" w:eastAsiaTheme="minorEastAsia"/>
          <w:color w:val="auto"/>
          <w:sz w:val="24"/>
          <w:szCs w:val="24"/>
        </w:rPr>
        <w:t>20%</w:t>
      </w:r>
      <w:r>
        <w:rPr>
          <w:rFonts w:hint="eastAsia" w:asciiTheme="minorEastAsia" w:hAnsiTheme="minorEastAsia" w:eastAsiaTheme="minorEastAsia"/>
          <w:color w:val="auto"/>
          <w:sz w:val="24"/>
          <w:szCs w:val="24"/>
        </w:rPr>
        <w:t>的金额）的投资回报。本方案暂按照</w:t>
      </w:r>
      <w:r>
        <w:rPr>
          <w:rFonts w:asciiTheme="minorEastAsia" w:hAnsiTheme="minorEastAsia" w:eastAsiaTheme="minorEastAsia"/>
          <w:color w:val="auto"/>
          <w:sz w:val="24"/>
          <w:szCs w:val="24"/>
        </w:rPr>
        <w:t>6%</w:t>
      </w:r>
      <w:r>
        <w:rPr>
          <w:rFonts w:hint="eastAsia" w:asciiTheme="minorEastAsia" w:hAnsiTheme="minorEastAsia" w:eastAsiaTheme="minorEastAsia"/>
          <w:color w:val="auto"/>
          <w:sz w:val="24"/>
          <w:szCs w:val="24"/>
        </w:rPr>
        <w:t>的年利率（具体利率以招标文件确定的为准），在特许经营期内，采用“初始项目资本金×年回报率”的方式测算每年固定的付费金额，并结合服务质量考核情况，分季度和社会资本方结算。</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融资成本回报：以扣除项目资本金以外的项目初期投资金额为基数，采用招标确定的融资成本回报率，按“外部融资金额×融资成本回报率”的方式，确定特许经营期内每年固定的回报金额，本方案暂按照中国人民银行公布的五年期以上贷款利率</w:t>
      </w:r>
      <w:r>
        <w:rPr>
          <w:rFonts w:asciiTheme="minorEastAsia" w:hAnsiTheme="minorEastAsia" w:eastAsiaTheme="minorEastAsia"/>
          <w:color w:val="auto"/>
          <w:sz w:val="24"/>
          <w:szCs w:val="24"/>
        </w:rPr>
        <w:t>4.9%</w:t>
      </w:r>
      <w:r>
        <w:rPr>
          <w:rFonts w:hint="eastAsia" w:asciiTheme="minorEastAsia" w:hAnsiTheme="minorEastAsia" w:eastAsiaTheme="minorEastAsia"/>
          <w:color w:val="auto"/>
          <w:sz w:val="24"/>
          <w:szCs w:val="24"/>
        </w:rPr>
        <w:t>上浮</w:t>
      </w:r>
      <w:r>
        <w:rPr>
          <w:rFonts w:asciiTheme="minorEastAsia" w:hAnsiTheme="minorEastAsia" w:eastAsiaTheme="minorEastAsia"/>
          <w:color w:val="auto"/>
          <w:sz w:val="24"/>
          <w:szCs w:val="24"/>
        </w:rPr>
        <w:t>20%</w:t>
      </w:r>
      <w:r>
        <w:rPr>
          <w:rFonts w:hint="eastAsia" w:asciiTheme="minorEastAsia" w:hAnsiTheme="minorEastAsia" w:eastAsiaTheme="minorEastAsia"/>
          <w:color w:val="auto"/>
          <w:sz w:val="24"/>
          <w:szCs w:val="24"/>
        </w:rPr>
        <w:t>（即</w:t>
      </w:r>
      <w:r>
        <w:rPr>
          <w:rFonts w:asciiTheme="minorEastAsia" w:hAnsiTheme="minorEastAsia" w:eastAsiaTheme="minorEastAsia"/>
          <w:color w:val="auto"/>
          <w:sz w:val="24"/>
          <w:szCs w:val="24"/>
        </w:rPr>
        <w:t>5.88%</w:t>
      </w:r>
      <w:r>
        <w:rPr>
          <w:rFonts w:hint="eastAsia" w:asciiTheme="minorEastAsia" w:hAnsiTheme="minorEastAsia" w:eastAsiaTheme="minorEastAsia"/>
          <w:color w:val="auto"/>
          <w:sz w:val="24"/>
          <w:szCs w:val="24"/>
        </w:rPr>
        <w:t>）作为融资成本回报率（具体利率以招标文件确定的为准）进行测算，并结合服务质量考核情况，分季度和社会资本方结算。</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运营补助：包含</w:t>
      </w:r>
      <w:r>
        <w:rPr>
          <w:rFonts w:asciiTheme="minorEastAsia" w:hAnsiTheme="minorEastAsia" w:eastAsiaTheme="minorEastAsia"/>
          <w:color w:val="auto"/>
          <w:sz w:val="24"/>
          <w:szCs w:val="24"/>
        </w:rPr>
        <w:t>两部分，政策性亏损补助以及运营亏损补贴。</w:t>
      </w:r>
      <w:r>
        <w:rPr>
          <w:rFonts w:hint="eastAsia" w:asciiTheme="minorEastAsia" w:hAnsiTheme="minorEastAsia" w:eastAsiaTheme="minorEastAsia"/>
          <w:color w:val="auto"/>
          <w:sz w:val="24"/>
          <w:szCs w:val="24"/>
        </w:rPr>
        <w:t>其中，</w:t>
      </w:r>
      <w:r>
        <w:rPr>
          <w:rFonts w:asciiTheme="minorEastAsia" w:hAnsiTheme="minorEastAsia" w:eastAsiaTheme="minorEastAsia"/>
          <w:b/>
          <w:color w:val="auto"/>
          <w:sz w:val="24"/>
          <w:szCs w:val="24"/>
        </w:rPr>
        <w:t>政策性亏损</w:t>
      </w:r>
      <w:r>
        <w:rPr>
          <w:rFonts w:hint="eastAsia" w:asciiTheme="minorEastAsia" w:hAnsiTheme="minorEastAsia" w:eastAsiaTheme="minorEastAsia"/>
          <w:b/>
          <w:color w:val="auto"/>
          <w:sz w:val="24"/>
          <w:szCs w:val="24"/>
        </w:rPr>
        <w:t>补助</w:t>
      </w:r>
      <w:r>
        <w:rPr>
          <w:rFonts w:asciiTheme="minorEastAsia" w:hAnsiTheme="minorEastAsia" w:eastAsiaTheme="minorEastAsia"/>
          <w:color w:val="auto"/>
          <w:sz w:val="24"/>
          <w:szCs w:val="24"/>
        </w:rPr>
        <w:t>是指</w:t>
      </w:r>
      <w:r>
        <w:rPr>
          <w:rFonts w:hint="eastAsia" w:asciiTheme="minorEastAsia" w:hAnsiTheme="minorEastAsia" w:eastAsiaTheme="minorEastAsia"/>
          <w:color w:val="auto"/>
          <w:sz w:val="24"/>
          <w:szCs w:val="24"/>
        </w:rPr>
        <w:t>对企业实行低票价、减免票、承担政府指令性任务等形成的政策性亏损，经</w:t>
      </w:r>
      <w:r>
        <w:rPr>
          <w:rFonts w:asciiTheme="minorEastAsia" w:hAnsiTheme="minorEastAsia" w:eastAsiaTheme="minorEastAsia"/>
          <w:color w:val="auto"/>
          <w:sz w:val="24"/>
          <w:szCs w:val="24"/>
        </w:rPr>
        <w:t>年度</w:t>
      </w:r>
      <w:r>
        <w:rPr>
          <w:rFonts w:hint="eastAsia" w:asciiTheme="minorEastAsia" w:hAnsiTheme="minorEastAsia" w:eastAsiaTheme="minorEastAsia"/>
          <w:color w:val="auto"/>
          <w:sz w:val="24"/>
          <w:szCs w:val="24"/>
        </w:rPr>
        <w:t>审计后，根据</w:t>
      </w:r>
      <w:r>
        <w:rPr>
          <w:rFonts w:asciiTheme="minorEastAsia" w:hAnsiTheme="minorEastAsia" w:eastAsiaTheme="minorEastAsia"/>
          <w:color w:val="auto"/>
          <w:sz w:val="24"/>
          <w:szCs w:val="24"/>
        </w:rPr>
        <w:t>实际缺口额</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结合服务质量考核进行</w:t>
      </w:r>
      <w:r>
        <w:rPr>
          <w:rFonts w:hint="eastAsia" w:asciiTheme="minorEastAsia" w:hAnsiTheme="minorEastAsia" w:eastAsiaTheme="minorEastAsia"/>
          <w:color w:val="auto"/>
          <w:sz w:val="24"/>
          <w:szCs w:val="24"/>
        </w:rPr>
        <w:t>支付。</w:t>
      </w:r>
      <w:r>
        <w:rPr>
          <w:rFonts w:hint="eastAsia" w:asciiTheme="minorEastAsia" w:hAnsiTheme="minorEastAsia" w:eastAsiaTheme="minorEastAsia"/>
          <w:b/>
          <w:color w:val="auto"/>
          <w:sz w:val="24"/>
          <w:szCs w:val="24"/>
        </w:rPr>
        <w:t>运营亏损</w:t>
      </w:r>
      <w:r>
        <w:rPr>
          <w:rFonts w:asciiTheme="minorEastAsia" w:hAnsiTheme="minorEastAsia" w:eastAsiaTheme="minorEastAsia"/>
          <w:b/>
          <w:color w:val="auto"/>
          <w:sz w:val="24"/>
          <w:szCs w:val="24"/>
        </w:rPr>
        <w:t>补贴</w:t>
      </w:r>
      <w:r>
        <w:rPr>
          <w:rFonts w:hint="eastAsia" w:asciiTheme="minorEastAsia" w:hAnsiTheme="minorEastAsia" w:eastAsiaTheme="minorEastAsia"/>
          <w:color w:val="auto"/>
          <w:sz w:val="24"/>
          <w:szCs w:val="24"/>
        </w:rPr>
        <w:t>是以《实施方案》测算的年度补助金额，结合</w:t>
      </w:r>
      <w:r>
        <w:rPr>
          <w:rFonts w:asciiTheme="minorEastAsia" w:hAnsiTheme="minorEastAsia" w:eastAsiaTheme="minorEastAsia"/>
          <w:color w:val="auto"/>
          <w:sz w:val="24"/>
          <w:szCs w:val="24"/>
        </w:rPr>
        <w:t>招标确定的</w:t>
      </w:r>
      <w:r>
        <w:rPr>
          <w:rFonts w:hint="eastAsia" w:asciiTheme="minorEastAsia" w:hAnsiTheme="minorEastAsia" w:eastAsiaTheme="minorEastAsia"/>
          <w:color w:val="auto"/>
          <w:sz w:val="24"/>
          <w:szCs w:val="24"/>
        </w:rPr>
        <w:t>各</w:t>
      </w:r>
      <w:r>
        <w:rPr>
          <w:rFonts w:asciiTheme="minorEastAsia" w:hAnsiTheme="minorEastAsia" w:eastAsiaTheme="minorEastAsia"/>
          <w:color w:val="auto"/>
          <w:sz w:val="24"/>
          <w:szCs w:val="24"/>
        </w:rPr>
        <w:t>下浮率</w:t>
      </w:r>
      <w:r>
        <w:rPr>
          <w:rFonts w:hint="eastAsia" w:asciiTheme="minorEastAsia" w:hAnsiTheme="minorEastAsia" w:eastAsiaTheme="minorEastAsia"/>
          <w:color w:val="auto"/>
          <w:sz w:val="24"/>
          <w:szCs w:val="24"/>
        </w:rPr>
        <w:t>，确定特许经营期内每年固定的回报金额。运营</w:t>
      </w:r>
      <w:r>
        <w:rPr>
          <w:rFonts w:asciiTheme="minorEastAsia" w:hAnsiTheme="minorEastAsia" w:eastAsiaTheme="minorEastAsia"/>
          <w:color w:val="auto"/>
          <w:sz w:val="24"/>
          <w:szCs w:val="24"/>
        </w:rPr>
        <w:t>补助需</w:t>
      </w:r>
      <w:r>
        <w:rPr>
          <w:rFonts w:hint="eastAsia" w:asciiTheme="minorEastAsia" w:hAnsiTheme="minorEastAsia" w:eastAsiaTheme="minorEastAsia"/>
          <w:color w:val="auto"/>
          <w:sz w:val="24"/>
          <w:szCs w:val="24"/>
        </w:rPr>
        <w:t>结合服务质量考核情况，分季度和社会资本方结算。特许经营期限</w:t>
      </w:r>
      <w:r>
        <w:rPr>
          <w:rFonts w:asciiTheme="minorEastAsia" w:hAnsiTheme="minorEastAsia" w:eastAsiaTheme="minorEastAsia"/>
          <w:color w:val="auto"/>
          <w:sz w:val="24"/>
          <w:szCs w:val="24"/>
        </w:rPr>
        <w:t>内，运营补助接受调价机制调整</w:t>
      </w:r>
      <w:r>
        <w:rPr>
          <w:rFonts w:hint="eastAsia" w:asciiTheme="minorEastAsia" w:hAnsiTheme="minorEastAsia" w:eastAsiaTheme="minorEastAsia"/>
          <w:color w:val="auto"/>
          <w:sz w:val="24"/>
          <w:szCs w:val="24"/>
        </w:rPr>
        <w:t>，并需</w:t>
      </w:r>
      <w:r>
        <w:rPr>
          <w:rFonts w:asciiTheme="minorEastAsia" w:hAnsiTheme="minorEastAsia" w:eastAsiaTheme="minorEastAsia"/>
          <w:color w:val="auto"/>
          <w:sz w:val="24"/>
          <w:szCs w:val="24"/>
        </w:rPr>
        <w:t>结合服务质量考核结果</w:t>
      </w:r>
      <w:r>
        <w:rPr>
          <w:rFonts w:hint="eastAsia" w:asciiTheme="minorEastAsia" w:hAnsiTheme="minorEastAsia" w:eastAsiaTheme="minorEastAsia"/>
          <w:color w:val="auto"/>
          <w:sz w:val="24"/>
          <w:szCs w:val="24"/>
        </w:rPr>
        <w:t>进行支付。</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超额收入回报：若经</w:t>
      </w:r>
      <w:r>
        <w:rPr>
          <w:rFonts w:asciiTheme="minorEastAsia" w:hAnsiTheme="minorEastAsia" w:eastAsiaTheme="minorEastAsia"/>
          <w:color w:val="auto"/>
          <w:sz w:val="24"/>
          <w:szCs w:val="24"/>
        </w:rPr>
        <w:t>审计后，</w:t>
      </w:r>
      <w:r>
        <w:rPr>
          <w:rFonts w:hint="eastAsia" w:asciiTheme="minorEastAsia" w:hAnsiTheme="minorEastAsia" w:eastAsiaTheme="minorEastAsia"/>
          <w:color w:val="auto"/>
          <w:sz w:val="24"/>
          <w:szCs w:val="24"/>
        </w:rPr>
        <w:t>特许经营企业实际完成的年度总收入超过政府方</w:t>
      </w:r>
      <w:r>
        <w:rPr>
          <w:rFonts w:asciiTheme="minorEastAsia" w:hAnsiTheme="minorEastAsia" w:eastAsiaTheme="minorEastAsia"/>
          <w:color w:val="auto"/>
          <w:sz w:val="24"/>
          <w:szCs w:val="24"/>
        </w:rPr>
        <w:t>下达的年度收入基数（</w:t>
      </w:r>
      <w:r>
        <w:rPr>
          <w:rFonts w:hint="eastAsia" w:asciiTheme="minorEastAsia" w:hAnsiTheme="minorEastAsia" w:eastAsiaTheme="minorEastAsia"/>
          <w:color w:val="auto"/>
          <w:sz w:val="24"/>
          <w:szCs w:val="24"/>
        </w:rPr>
        <w:t>无</w:t>
      </w:r>
      <w:r>
        <w:rPr>
          <w:rFonts w:asciiTheme="minorEastAsia" w:hAnsiTheme="minorEastAsia" w:eastAsiaTheme="minorEastAsia"/>
          <w:color w:val="auto"/>
          <w:sz w:val="24"/>
          <w:szCs w:val="24"/>
        </w:rPr>
        <w:t>则按照</w:t>
      </w:r>
      <w:r>
        <w:rPr>
          <w:rFonts w:hint="eastAsia" w:asciiTheme="minorEastAsia" w:hAnsiTheme="minorEastAsia" w:eastAsiaTheme="minorEastAsia"/>
          <w:color w:val="auto"/>
          <w:sz w:val="24"/>
          <w:szCs w:val="24"/>
        </w:rPr>
        <w:t>《实施方案》测算的年度收入</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，则对超出的部分与政府进行收益共享，具体共享比例为政府方</w:t>
      </w:r>
      <w:r>
        <w:rPr>
          <w:rFonts w:asciiTheme="minorEastAsia" w:hAnsiTheme="minorEastAsia" w:eastAsiaTheme="minorEastAsia"/>
          <w:color w:val="auto"/>
          <w:sz w:val="24"/>
          <w:szCs w:val="24"/>
        </w:rPr>
        <w:t>90%，企业方10%，企业方的收益归企业所有，政府方的收益优先用于抵减次年度补助支出，抵减后多出部分则纳入国库管理。</w:t>
      </w:r>
      <w:r>
        <w:rPr>
          <w:rFonts w:hint="eastAsia" w:asciiTheme="minorEastAsia" w:hAnsiTheme="minorEastAsia" w:eastAsiaTheme="minorEastAsia"/>
          <w:color w:val="auto"/>
          <w:sz w:val="24"/>
          <w:szCs w:val="24"/>
        </w:rPr>
        <w:t>超额收入回报</w:t>
      </w:r>
      <w:r>
        <w:rPr>
          <w:rFonts w:asciiTheme="minorEastAsia" w:hAnsiTheme="minorEastAsia" w:eastAsiaTheme="minorEastAsia"/>
          <w:color w:val="auto"/>
          <w:sz w:val="24"/>
          <w:szCs w:val="24"/>
        </w:rPr>
        <w:t>需要</w:t>
      </w:r>
      <w:r>
        <w:rPr>
          <w:rFonts w:hint="eastAsia" w:asciiTheme="minorEastAsia" w:hAnsiTheme="minorEastAsia" w:eastAsiaTheme="minorEastAsia"/>
          <w:color w:val="auto"/>
          <w:sz w:val="24"/>
          <w:szCs w:val="24"/>
        </w:rPr>
        <w:t>满足</w:t>
      </w:r>
      <w:r>
        <w:rPr>
          <w:rFonts w:asciiTheme="minorEastAsia" w:hAnsiTheme="minorEastAsia" w:eastAsiaTheme="minorEastAsia"/>
          <w:color w:val="auto"/>
          <w:sz w:val="24"/>
          <w:szCs w:val="24"/>
        </w:rPr>
        <w:t>服务质量考核标准，</w:t>
      </w:r>
      <w:r>
        <w:rPr>
          <w:rFonts w:hint="eastAsia" w:asciiTheme="minorEastAsia" w:hAnsiTheme="minorEastAsia" w:eastAsiaTheme="minorEastAsia"/>
          <w:color w:val="auto"/>
          <w:sz w:val="24"/>
          <w:szCs w:val="24"/>
        </w:rPr>
        <w:t>在各季度服务质量考核平均分达到“合格”及以上水平时才予以支付。</w:t>
      </w:r>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）特许经营期</w:t>
      </w:r>
      <w:r>
        <w:rPr>
          <w:rFonts w:asciiTheme="minorEastAsia" w:hAnsiTheme="minorEastAsia" w:eastAsiaTheme="minorEastAsia"/>
          <w:color w:val="auto"/>
          <w:sz w:val="24"/>
        </w:rPr>
        <w:t>内</w:t>
      </w:r>
      <w:r>
        <w:rPr>
          <w:rFonts w:hint="eastAsia" w:asciiTheme="minorEastAsia" w:hAnsiTheme="minorEastAsia" w:eastAsiaTheme="minorEastAsia"/>
          <w:color w:val="auto"/>
          <w:sz w:val="24"/>
        </w:rPr>
        <w:t>新增</w:t>
      </w:r>
      <w:r>
        <w:rPr>
          <w:rFonts w:asciiTheme="minorEastAsia" w:hAnsiTheme="minorEastAsia" w:eastAsiaTheme="minorEastAsia"/>
          <w:color w:val="auto"/>
          <w:sz w:val="24"/>
        </w:rPr>
        <w:t>建设</w:t>
      </w:r>
      <w:r>
        <w:rPr>
          <w:rFonts w:hint="eastAsia" w:asciiTheme="minorEastAsia" w:hAnsiTheme="minorEastAsia" w:eastAsiaTheme="minorEastAsia"/>
          <w:color w:val="auto"/>
          <w:sz w:val="24"/>
        </w:rPr>
        <w:t>内容</w:t>
      </w:r>
      <w:r>
        <w:rPr>
          <w:rFonts w:asciiTheme="minorEastAsia" w:hAnsiTheme="minorEastAsia" w:eastAsiaTheme="minorEastAsia"/>
          <w:color w:val="auto"/>
          <w:sz w:val="24"/>
        </w:rPr>
        <w:t>及运营</w:t>
      </w:r>
      <w:r>
        <w:rPr>
          <w:rFonts w:hint="eastAsia" w:asciiTheme="minorEastAsia" w:hAnsiTheme="minorEastAsia" w:eastAsiaTheme="minorEastAsia"/>
          <w:color w:val="auto"/>
          <w:sz w:val="24"/>
        </w:rPr>
        <w:t>服务</w:t>
      </w:r>
      <w:r>
        <w:rPr>
          <w:rFonts w:asciiTheme="minorEastAsia" w:hAnsiTheme="minorEastAsia" w:eastAsiaTheme="minorEastAsia"/>
          <w:color w:val="auto"/>
          <w:sz w:val="24"/>
        </w:rPr>
        <w:t>内容</w:t>
      </w:r>
      <w:r>
        <w:rPr>
          <w:rFonts w:hint="eastAsia" w:asciiTheme="minorEastAsia" w:hAnsiTheme="minorEastAsia" w:eastAsiaTheme="minorEastAsia"/>
          <w:color w:val="auto"/>
          <w:sz w:val="24"/>
        </w:rPr>
        <w:t>的回报</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对于特许经营期限</w:t>
      </w:r>
      <w:r>
        <w:rPr>
          <w:rFonts w:asciiTheme="minorEastAsia" w:hAnsiTheme="minorEastAsia" w:eastAsiaTheme="minorEastAsia"/>
          <w:color w:val="auto"/>
          <w:sz w:val="24"/>
          <w:szCs w:val="24"/>
        </w:rPr>
        <w:t>内需要调整线路及运力的，应</w:t>
      </w:r>
      <w:r>
        <w:rPr>
          <w:rFonts w:hint="eastAsia" w:asciiTheme="minorEastAsia" w:hAnsiTheme="minorEastAsia" w:eastAsiaTheme="minorEastAsia"/>
          <w:b/>
          <w:color w:val="auto"/>
          <w:sz w:val="24"/>
          <w:szCs w:val="24"/>
        </w:rPr>
        <w:t>优先</w:t>
      </w:r>
      <w:r>
        <w:rPr>
          <w:rFonts w:asciiTheme="minorEastAsia" w:hAnsiTheme="minorEastAsia" w:eastAsiaTheme="minorEastAsia"/>
          <w:color w:val="auto"/>
          <w:sz w:val="24"/>
          <w:szCs w:val="24"/>
        </w:rPr>
        <w:t>采用优化线路</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加密</w:t>
      </w:r>
      <w:r>
        <w:rPr>
          <w:rFonts w:hint="eastAsia" w:asciiTheme="minorEastAsia" w:hAnsiTheme="minorEastAsia" w:eastAsiaTheme="minorEastAsia"/>
          <w:color w:val="auto"/>
          <w:sz w:val="24"/>
          <w:szCs w:val="24"/>
        </w:rPr>
        <w:t>班次</w:t>
      </w:r>
      <w:r>
        <w:rPr>
          <w:rFonts w:asciiTheme="minorEastAsia" w:hAnsiTheme="minorEastAsia" w:eastAsiaTheme="minorEastAsia"/>
          <w:color w:val="auto"/>
          <w:sz w:val="24"/>
          <w:szCs w:val="24"/>
        </w:rPr>
        <w:t>等方式提升服务能力，</w:t>
      </w:r>
      <w:r>
        <w:rPr>
          <w:rFonts w:hint="eastAsia" w:asciiTheme="minorEastAsia" w:hAnsiTheme="minorEastAsia" w:eastAsiaTheme="minorEastAsia"/>
          <w:color w:val="auto"/>
          <w:sz w:val="24"/>
          <w:szCs w:val="24"/>
        </w:rPr>
        <w:t>尽量</w:t>
      </w:r>
      <w:r>
        <w:rPr>
          <w:rFonts w:asciiTheme="minorEastAsia" w:hAnsiTheme="minorEastAsia" w:eastAsiaTheme="minorEastAsia"/>
          <w:color w:val="auto"/>
          <w:sz w:val="24"/>
          <w:szCs w:val="24"/>
        </w:rPr>
        <w:t>使用现有运力满足服务标准。</w:t>
      </w:r>
      <w:r>
        <w:rPr>
          <w:rFonts w:hint="eastAsia" w:asciiTheme="minorEastAsia" w:hAnsiTheme="minorEastAsia" w:eastAsiaTheme="minorEastAsia"/>
          <w:color w:val="auto"/>
          <w:sz w:val="24"/>
          <w:szCs w:val="24"/>
        </w:rPr>
        <w:t>在服务标准处于实施方案</w:t>
      </w:r>
      <w:r>
        <w:rPr>
          <w:rFonts w:asciiTheme="minorEastAsia" w:hAnsiTheme="minorEastAsia" w:eastAsiaTheme="minorEastAsia"/>
          <w:color w:val="auto"/>
          <w:sz w:val="24"/>
          <w:szCs w:val="24"/>
        </w:rPr>
        <w:t>确定的</w:t>
      </w:r>
      <w:r>
        <w:rPr>
          <w:rFonts w:hint="eastAsia" w:asciiTheme="minorEastAsia" w:hAnsiTheme="minorEastAsia" w:eastAsiaTheme="minorEastAsia"/>
          <w:color w:val="auto"/>
          <w:sz w:val="24"/>
          <w:szCs w:val="24"/>
        </w:rPr>
        <w:t>当年最低值及最高值区间（本项目</w:t>
      </w:r>
      <w:r>
        <w:rPr>
          <w:rFonts w:asciiTheme="minorEastAsia" w:hAnsiTheme="minorEastAsia" w:eastAsiaTheme="minorEastAsia"/>
          <w:color w:val="auto"/>
          <w:sz w:val="24"/>
          <w:szCs w:val="24"/>
        </w:rPr>
        <w:t>最低值的运营公里数为1627万公里，最高值为2179万公里</w:t>
      </w:r>
      <w:r>
        <w:rPr>
          <w:rFonts w:hint="eastAsia" w:asciiTheme="minorEastAsia" w:hAnsiTheme="minorEastAsia" w:eastAsiaTheme="minorEastAsia"/>
          <w:color w:val="auto"/>
          <w:sz w:val="24"/>
          <w:szCs w:val="24"/>
        </w:rPr>
        <w:t>）的调整，新增部分的回报按照方案测算的当年“每公里可变成本”进行回报（每公里可变成本包括燃料</w:t>
      </w:r>
      <w:r>
        <w:rPr>
          <w:rFonts w:asciiTheme="minorEastAsia" w:hAnsiTheme="minorEastAsia" w:eastAsiaTheme="minorEastAsia"/>
          <w:color w:val="auto"/>
          <w:sz w:val="24"/>
          <w:szCs w:val="24"/>
        </w:rPr>
        <w:t>(电力)消耗费</w:t>
      </w:r>
      <w:r>
        <w:rPr>
          <w:rFonts w:hint="eastAsia" w:asciiTheme="minorEastAsia" w:hAnsiTheme="minorEastAsia" w:eastAsiaTheme="minorEastAsia"/>
          <w:color w:val="auto"/>
          <w:sz w:val="24"/>
          <w:szCs w:val="24"/>
        </w:rPr>
        <w:t>、保修费、轮胎消耗费、保险与事故损失费、安全费和其他直接运营费，不包括人员工资及工资性支出、固定资产折旧费；对于现有运力已经无法满足运营需要，且已经超出服务标准最高值（</w:t>
      </w:r>
      <w:r>
        <w:rPr>
          <w:rFonts w:asciiTheme="minorEastAsia" w:hAnsiTheme="minorEastAsia" w:eastAsiaTheme="minorEastAsia"/>
          <w:color w:val="auto"/>
          <w:sz w:val="24"/>
          <w:szCs w:val="24"/>
        </w:rPr>
        <w:t>2197万公里</w:t>
      </w:r>
      <w:r>
        <w:rPr>
          <w:rFonts w:hint="eastAsia" w:asciiTheme="minorEastAsia" w:hAnsiTheme="minorEastAsia" w:eastAsiaTheme="minorEastAsia"/>
          <w:color w:val="auto"/>
          <w:sz w:val="24"/>
          <w:szCs w:val="24"/>
        </w:rPr>
        <w:t>），确需新开</w:t>
      </w:r>
      <w:r>
        <w:rPr>
          <w:rFonts w:asciiTheme="minorEastAsia" w:hAnsiTheme="minorEastAsia" w:eastAsiaTheme="minorEastAsia"/>
          <w:color w:val="auto"/>
          <w:sz w:val="24"/>
          <w:szCs w:val="24"/>
        </w:rPr>
        <w:t>线路</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新</w:t>
      </w:r>
      <w:r>
        <w:rPr>
          <w:rFonts w:hint="eastAsia" w:asciiTheme="minorEastAsia" w:hAnsiTheme="minorEastAsia" w:eastAsiaTheme="minorEastAsia"/>
          <w:color w:val="auto"/>
          <w:sz w:val="24"/>
          <w:szCs w:val="24"/>
        </w:rPr>
        <w:t>购</w:t>
      </w:r>
      <w:r>
        <w:rPr>
          <w:rFonts w:asciiTheme="minorEastAsia" w:hAnsiTheme="minorEastAsia" w:eastAsiaTheme="minorEastAsia"/>
          <w:color w:val="auto"/>
          <w:sz w:val="24"/>
          <w:szCs w:val="24"/>
        </w:rPr>
        <w:t>车辆</w:t>
      </w:r>
      <w:r>
        <w:rPr>
          <w:rFonts w:hint="eastAsia" w:asciiTheme="minorEastAsia" w:hAnsiTheme="minorEastAsia" w:eastAsiaTheme="minorEastAsia"/>
          <w:color w:val="auto"/>
          <w:sz w:val="24"/>
          <w:szCs w:val="24"/>
        </w:rPr>
        <w:t>等</w:t>
      </w:r>
      <w:r>
        <w:rPr>
          <w:rFonts w:asciiTheme="minorEastAsia" w:hAnsiTheme="minorEastAsia" w:eastAsiaTheme="minorEastAsia"/>
          <w:color w:val="auto"/>
          <w:sz w:val="24"/>
          <w:szCs w:val="24"/>
        </w:rPr>
        <w:t>新增</w:t>
      </w:r>
      <w:r>
        <w:rPr>
          <w:rFonts w:hint="eastAsia" w:asciiTheme="minorEastAsia" w:hAnsiTheme="minorEastAsia" w:eastAsiaTheme="minorEastAsia"/>
          <w:color w:val="auto"/>
          <w:sz w:val="24"/>
          <w:szCs w:val="24"/>
        </w:rPr>
        <w:t>建设</w:t>
      </w:r>
      <w:r>
        <w:rPr>
          <w:rFonts w:asciiTheme="minorEastAsia" w:hAnsiTheme="minorEastAsia" w:eastAsiaTheme="minorEastAsia"/>
          <w:color w:val="auto"/>
          <w:sz w:val="24"/>
          <w:szCs w:val="24"/>
        </w:rPr>
        <w:t>投资的</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应</w:t>
      </w:r>
      <w:r>
        <w:rPr>
          <w:rFonts w:hint="eastAsia" w:asciiTheme="minorEastAsia" w:hAnsiTheme="minorEastAsia" w:eastAsiaTheme="minorEastAsia"/>
          <w:color w:val="auto"/>
          <w:sz w:val="24"/>
          <w:szCs w:val="24"/>
        </w:rPr>
        <w:t>参照</w:t>
      </w:r>
      <w:r>
        <w:rPr>
          <w:rFonts w:asciiTheme="minorEastAsia" w:hAnsiTheme="minorEastAsia" w:eastAsiaTheme="minorEastAsia"/>
          <w:color w:val="auto"/>
          <w:sz w:val="24"/>
          <w:szCs w:val="24"/>
        </w:rPr>
        <w:t>中标价格进行重新计算后纳入回报。</w:t>
      </w:r>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3）特许经营企业未完成年度最低运营公里数的回报</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若</w:t>
      </w:r>
      <w:r>
        <w:rPr>
          <w:rFonts w:asciiTheme="minorEastAsia" w:hAnsiTheme="minorEastAsia" w:eastAsiaTheme="minorEastAsia"/>
          <w:color w:val="auto"/>
          <w:sz w:val="24"/>
          <w:szCs w:val="24"/>
        </w:rPr>
        <w:t>特许经营企业未完成年度服务结果，在未取得政府方同意的前提下，特许经营</w:t>
      </w:r>
      <w:r>
        <w:rPr>
          <w:rFonts w:hint="eastAsia" w:asciiTheme="minorEastAsia" w:hAnsiTheme="minorEastAsia" w:eastAsiaTheme="minorEastAsia"/>
          <w:color w:val="auto"/>
          <w:sz w:val="24"/>
          <w:szCs w:val="24"/>
        </w:rPr>
        <w:t>企业</w:t>
      </w:r>
      <w:r>
        <w:rPr>
          <w:rFonts w:asciiTheme="minorEastAsia" w:hAnsiTheme="minorEastAsia" w:eastAsiaTheme="minorEastAsia"/>
          <w:color w:val="auto"/>
          <w:sz w:val="24"/>
          <w:szCs w:val="24"/>
        </w:rPr>
        <w:t>实际服务结果在最低值</w:t>
      </w:r>
      <w:r>
        <w:rPr>
          <w:rFonts w:hint="eastAsia" w:asciiTheme="minorEastAsia" w:hAnsiTheme="minorEastAsia" w:eastAsiaTheme="minorEastAsia"/>
          <w:color w:val="auto"/>
          <w:sz w:val="24"/>
          <w:szCs w:val="24"/>
        </w:rPr>
        <w:t>以下</w:t>
      </w:r>
      <w:r>
        <w:rPr>
          <w:rFonts w:asciiTheme="minorEastAsia" w:hAnsiTheme="minorEastAsia" w:eastAsiaTheme="minorEastAsia"/>
          <w:color w:val="auto"/>
          <w:sz w:val="24"/>
          <w:szCs w:val="24"/>
        </w:rPr>
        <w:t>，即年度运营公里数少于1627万公里，政府方有权</w:t>
      </w:r>
      <w:r>
        <w:rPr>
          <w:rFonts w:hint="eastAsia" w:asciiTheme="minorEastAsia" w:hAnsiTheme="minorEastAsia" w:eastAsiaTheme="minorEastAsia"/>
          <w:color w:val="auto"/>
          <w:sz w:val="24"/>
          <w:szCs w:val="24"/>
        </w:rPr>
        <w:t>扣除</w:t>
      </w:r>
      <w:r>
        <w:rPr>
          <w:rFonts w:asciiTheme="minorEastAsia" w:hAnsiTheme="minorEastAsia" w:eastAsiaTheme="minorEastAsia"/>
          <w:color w:val="auto"/>
          <w:sz w:val="24"/>
          <w:szCs w:val="24"/>
        </w:rPr>
        <w:t>减少运营公里数乘以每公里可变成本补贴，</w:t>
      </w:r>
      <w:r>
        <w:rPr>
          <w:rFonts w:hint="eastAsia" w:asciiTheme="minorEastAsia" w:hAnsiTheme="minorEastAsia" w:eastAsiaTheme="minorEastAsia"/>
          <w:color w:val="auto"/>
          <w:sz w:val="24"/>
          <w:szCs w:val="24"/>
        </w:rPr>
        <w:t>同时</w:t>
      </w:r>
      <w:r>
        <w:rPr>
          <w:rFonts w:asciiTheme="minorEastAsia" w:hAnsiTheme="minorEastAsia" w:eastAsiaTheme="minorEastAsia"/>
          <w:color w:val="auto"/>
          <w:sz w:val="24"/>
          <w:szCs w:val="24"/>
        </w:rPr>
        <w:t>，在服务质量考核中，做扣分处理。</w:t>
      </w:r>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4）回报水平追加调整机制</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若</w:t>
      </w:r>
      <w:r>
        <w:rPr>
          <w:rFonts w:asciiTheme="minorEastAsia" w:hAnsiTheme="minorEastAsia" w:eastAsiaTheme="minorEastAsia"/>
          <w:color w:val="auto"/>
          <w:sz w:val="24"/>
        </w:rPr>
        <w:t>发生政府方要求的，不同于《</w:t>
      </w:r>
      <w:r>
        <w:rPr>
          <w:rFonts w:hint="eastAsia" w:asciiTheme="minorEastAsia" w:hAnsiTheme="minorEastAsia" w:eastAsiaTheme="minorEastAsia"/>
          <w:color w:val="auto"/>
          <w:sz w:val="24"/>
        </w:rPr>
        <w:t>实施方案</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服务</w:t>
      </w:r>
      <w:r>
        <w:rPr>
          <w:rFonts w:asciiTheme="minorEastAsia" w:hAnsiTheme="minorEastAsia" w:eastAsiaTheme="minorEastAsia"/>
          <w:color w:val="auto"/>
          <w:sz w:val="24"/>
        </w:rPr>
        <w:t>内容的</w:t>
      </w:r>
      <w:r>
        <w:rPr>
          <w:rFonts w:hint="eastAsia" w:asciiTheme="minorEastAsia" w:hAnsiTheme="minorEastAsia" w:eastAsiaTheme="minorEastAsia"/>
          <w:color w:val="auto"/>
          <w:sz w:val="24"/>
        </w:rPr>
        <w:t>服务</w:t>
      </w:r>
      <w:r>
        <w:rPr>
          <w:rFonts w:asciiTheme="minorEastAsia" w:hAnsiTheme="minorEastAsia" w:eastAsiaTheme="minorEastAsia"/>
          <w:color w:val="auto"/>
          <w:sz w:val="24"/>
        </w:rPr>
        <w:t>要求，如校车接送等，在不影响项目正常运营的前提下，优先保障校车接送，费用可按每公里可变成本进行补贴。</w:t>
      </w:r>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5</w:t>
      </w:r>
      <w:r>
        <w:rPr>
          <w:rFonts w:hint="eastAsia" w:asciiTheme="minorEastAsia" w:hAnsiTheme="minorEastAsia" w:eastAsiaTheme="minorEastAsia"/>
          <w:color w:val="auto"/>
          <w:sz w:val="24"/>
        </w:rPr>
        <w:t>）回报</w:t>
      </w:r>
      <w:r>
        <w:rPr>
          <w:rFonts w:asciiTheme="minorEastAsia" w:hAnsiTheme="minorEastAsia" w:eastAsiaTheme="minorEastAsia"/>
          <w:color w:val="auto"/>
          <w:sz w:val="24"/>
        </w:rPr>
        <w:t>水平的</w:t>
      </w:r>
      <w:r>
        <w:rPr>
          <w:rFonts w:hint="eastAsia" w:asciiTheme="minorEastAsia" w:hAnsiTheme="minorEastAsia" w:eastAsiaTheme="minorEastAsia"/>
          <w:color w:val="auto"/>
          <w:sz w:val="24"/>
        </w:rPr>
        <w:t>调整</w:t>
      </w:r>
      <w:r>
        <w:rPr>
          <w:rFonts w:asciiTheme="minorEastAsia" w:hAnsiTheme="minorEastAsia" w:eastAsiaTheme="minorEastAsia"/>
          <w:color w:val="auto"/>
          <w:sz w:val="24"/>
        </w:rPr>
        <w:t>审核</w:t>
      </w:r>
      <w:r>
        <w:rPr>
          <w:rFonts w:hint="eastAsia" w:asciiTheme="minorEastAsia" w:hAnsiTheme="minorEastAsia" w:eastAsiaTheme="minorEastAsia"/>
          <w:color w:val="auto"/>
          <w:sz w:val="24"/>
        </w:rPr>
        <w:t>机制</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在</w:t>
      </w:r>
      <w:r>
        <w:rPr>
          <w:rFonts w:asciiTheme="minorEastAsia" w:hAnsiTheme="minorEastAsia" w:eastAsiaTheme="minorEastAsia"/>
          <w:color w:val="auto"/>
          <w:sz w:val="24"/>
          <w:szCs w:val="24"/>
        </w:rPr>
        <w:t>特许经营期</w:t>
      </w:r>
      <w:r>
        <w:rPr>
          <w:rFonts w:hint="eastAsia" w:asciiTheme="minorEastAsia" w:hAnsiTheme="minorEastAsia" w:eastAsiaTheme="minorEastAsia"/>
          <w:color w:val="auto"/>
          <w:sz w:val="24"/>
          <w:szCs w:val="24"/>
        </w:rPr>
        <w:t>内，发生</w:t>
      </w:r>
      <w:r>
        <w:rPr>
          <w:rFonts w:asciiTheme="minorEastAsia" w:hAnsiTheme="minorEastAsia" w:eastAsiaTheme="minorEastAsia"/>
          <w:color w:val="auto"/>
          <w:sz w:val="24"/>
          <w:szCs w:val="24"/>
        </w:rPr>
        <w:t>任何不同于中标确定的服务标准的调整内容，</w:t>
      </w:r>
      <w:r>
        <w:rPr>
          <w:rFonts w:hint="eastAsia" w:asciiTheme="minorEastAsia" w:hAnsiTheme="minorEastAsia" w:eastAsiaTheme="minorEastAsia"/>
          <w:color w:val="auto"/>
          <w:sz w:val="24"/>
          <w:szCs w:val="24"/>
        </w:rPr>
        <w:t>例如优化线网</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调整</w:t>
      </w:r>
      <w:r>
        <w:rPr>
          <w:rFonts w:asciiTheme="minorEastAsia" w:hAnsiTheme="minorEastAsia" w:eastAsiaTheme="minorEastAsia"/>
          <w:color w:val="auto"/>
          <w:sz w:val="24"/>
          <w:szCs w:val="24"/>
        </w:rPr>
        <w:t>发班、</w:t>
      </w:r>
      <w:r>
        <w:rPr>
          <w:rFonts w:hint="eastAsia" w:asciiTheme="minorEastAsia" w:hAnsiTheme="minorEastAsia" w:eastAsiaTheme="minorEastAsia"/>
          <w:color w:val="auto"/>
          <w:sz w:val="24"/>
          <w:szCs w:val="24"/>
        </w:rPr>
        <w:t>新购车辆</w:t>
      </w:r>
      <w:r>
        <w:rPr>
          <w:rFonts w:asciiTheme="minorEastAsia" w:hAnsiTheme="minorEastAsia" w:eastAsiaTheme="minorEastAsia"/>
          <w:color w:val="auto"/>
          <w:sz w:val="24"/>
          <w:szCs w:val="24"/>
        </w:rPr>
        <w:t>、新增建设内容及运营服务内容</w:t>
      </w:r>
      <w:r>
        <w:rPr>
          <w:rFonts w:hint="eastAsia" w:asciiTheme="minorEastAsia" w:hAnsiTheme="minorEastAsia" w:eastAsiaTheme="minorEastAsia"/>
          <w:color w:val="auto"/>
          <w:sz w:val="24"/>
          <w:szCs w:val="24"/>
        </w:rPr>
        <w:t>的</w:t>
      </w:r>
      <w:r>
        <w:rPr>
          <w:rFonts w:asciiTheme="minorEastAsia" w:hAnsiTheme="minorEastAsia" w:eastAsiaTheme="minorEastAsia"/>
          <w:color w:val="auto"/>
          <w:sz w:val="24"/>
          <w:szCs w:val="24"/>
        </w:rPr>
        <w:t>，均</w:t>
      </w:r>
      <w:r>
        <w:rPr>
          <w:rFonts w:hint="eastAsia" w:asciiTheme="minorEastAsia" w:hAnsiTheme="minorEastAsia" w:eastAsiaTheme="minorEastAsia"/>
          <w:color w:val="auto"/>
          <w:sz w:val="24"/>
          <w:szCs w:val="24"/>
        </w:rPr>
        <w:t>应</w:t>
      </w:r>
      <w:r>
        <w:rPr>
          <w:rFonts w:asciiTheme="minorEastAsia" w:hAnsiTheme="minorEastAsia" w:eastAsiaTheme="minorEastAsia"/>
          <w:color w:val="auto"/>
          <w:sz w:val="24"/>
          <w:szCs w:val="24"/>
        </w:rPr>
        <w:t>先</w:t>
      </w:r>
      <w:r>
        <w:rPr>
          <w:rFonts w:hint="eastAsia" w:asciiTheme="minorEastAsia" w:hAnsiTheme="minorEastAsia" w:eastAsiaTheme="minorEastAsia"/>
          <w:color w:val="auto"/>
          <w:sz w:val="24"/>
          <w:szCs w:val="24"/>
        </w:rPr>
        <w:t>由项目公司向市交通运输局提出申请，市交通运输局审核同意后参照中标价格计算相关费用给项目公司，并报市政府批准，</w:t>
      </w:r>
      <w:r>
        <w:rPr>
          <w:rFonts w:asciiTheme="minorEastAsia" w:hAnsiTheme="minorEastAsia" w:eastAsiaTheme="minorEastAsia"/>
          <w:color w:val="auto"/>
          <w:sz w:val="24"/>
          <w:szCs w:val="24"/>
        </w:rPr>
        <w:t>获批</w:t>
      </w:r>
      <w:r>
        <w:rPr>
          <w:rFonts w:hint="eastAsia" w:asciiTheme="minorEastAsia" w:hAnsiTheme="minorEastAsia" w:eastAsiaTheme="minorEastAsia"/>
          <w:color w:val="auto"/>
          <w:sz w:val="24"/>
          <w:szCs w:val="24"/>
        </w:rPr>
        <w:t>后方能</w:t>
      </w:r>
      <w:r>
        <w:rPr>
          <w:rFonts w:asciiTheme="minorEastAsia" w:hAnsiTheme="minorEastAsia" w:eastAsiaTheme="minorEastAsia"/>
          <w:color w:val="auto"/>
          <w:sz w:val="24"/>
          <w:szCs w:val="24"/>
        </w:rPr>
        <w:t>实施</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并通过签订补充协议的方式纳入</w:t>
      </w:r>
      <w:r>
        <w:rPr>
          <w:rFonts w:hint="eastAsia" w:asciiTheme="minorEastAsia" w:hAnsiTheme="minorEastAsia" w:eastAsiaTheme="minorEastAsia"/>
          <w:color w:val="auto"/>
          <w:sz w:val="24"/>
          <w:szCs w:val="24"/>
        </w:rPr>
        <w:t>年度付费。</w:t>
      </w:r>
    </w:p>
    <w:p>
      <w:pPr>
        <w:pStyle w:val="3"/>
        <w:spacing w:before="0" w:after="0" w:line="360" w:lineRule="auto"/>
        <w:ind w:firstLine="643"/>
        <w:rPr>
          <w:rFonts w:asciiTheme="minorEastAsia" w:hAnsiTheme="minorEastAsia" w:eastAsiaTheme="minorEastAsia"/>
          <w:color w:val="auto"/>
          <w:sz w:val="24"/>
          <w:szCs w:val="24"/>
        </w:rPr>
      </w:pPr>
      <w:bookmarkStart w:id="117" w:name="_Toc14266232"/>
      <w:bookmarkStart w:id="118" w:name="_Toc19881795"/>
      <w:r>
        <w:rPr>
          <w:rFonts w:hint="eastAsia" w:asciiTheme="minorEastAsia" w:hAnsiTheme="minorEastAsia" w:eastAsiaTheme="minorEastAsia"/>
          <w:color w:val="auto"/>
          <w:sz w:val="24"/>
          <w:szCs w:val="24"/>
        </w:rPr>
        <w:t>（五）项目期满移交</w:t>
      </w:r>
      <w:bookmarkEnd w:id="117"/>
      <w:bookmarkEnd w:id="118"/>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特许经营期限到期，特许公司应无条件将政府投资建设的场站及附属设施、</w:t>
      </w:r>
      <w:r>
        <w:rPr>
          <w:rFonts w:asciiTheme="minorEastAsia" w:hAnsiTheme="minorEastAsia" w:eastAsiaTheme="minorEastAsia"/>
          <w:color w:val="auto"/>
          <w:sz w:val="24"/>
          <w:szCs w:val="24"/>
        </w:rPr>
        <w:t>相关资料等无偿</w:t>
      </w:r>
      <w:r>
        <w:rPr>
          <w:rFonts w:hint="eastAsia" w:asciiTheme="minorEastAsia" w:hAnsiTheme="minorEastAsia" w:eastAsiaTheme="minorEastAsia"/>
          <w:color w:val="auto"/>
          <w:sz w:val="24"/>
          <w:szCs w:val="24"/>
        </w:rPr>
        <w:t>移交给政府主管部门或者政府指定的机构，对于运营期结束而尚未报废的车辆，应</w:t>
      </w:r>
      <w:r>
        <w:rPr>
          <w:rFonts w:asciiTheme="minorEastAsia" w:hAnsiTheme="minorEastAsia" w:eastAsiaTheme="minorEastAsia"/>
          <w:color w:val="auto"/>
          <w:sz w:val="24"/>
          <w:szCs w:val="24"/>
        </w:rPr>
        <w:t>移交政府</w:t>
      </w:r>
      <w:r>
        <w:rPr>
          <w:rFonts w:hint="eastAsia" w:asciiTheme="minorEastAsia" w:hAnsiTheme="minorEastAsia" w:eastAsiaTheme="minorEastAsia"/>
          <w:color w:val="auto"/>
          <w:sz w:val="24"/>
          <w:szCs w:val="24"/>
        </w:rPr>
        <w:t>。若特许经营期间发生特许公司和政府共同出资建设的内容，由第三方资产评估机构根据投资比例进行资产评估，由特许公司和政府双方协议处置。</w:t>
      </w:r>
    </w:p>
    <w:p>
      <w:pPr>
        <w:pStyle w:val="3"/>
        <w:spacing w:before="0" w:after="0" w:line="360" w:lineRule="auto"/>
        <w:ind w:firstLine="643"/>
        <w:rPr>
          <w:rFonts w:asciiTheme="minorEastAsia" w:hAnsiTheme="minorEastAsia" w:eastAsiaTheme="minorEastAsia"/>
          <w:color w:val="auto"/>
          <w:sz w:val="24"/>
          <w:szCs w:val="24"/>
        </w:rPr>
      </w:pPr>
      <w:bookmarkStart w:id="119" w:name="_Toc14266233"/>
      <w:bookmarkStart w:id="120" w:name="_Toc19881796"/>
      <w:r>
        <w:rPr>
          <w:rFonts w:hint="eastAsia" w:asciiTheme="minorEastAsia" w:hAnsiTheme="minorEastAsia" w:eastAsiaTheme="minorEastAsia"/>
          <w:color w:val="auto"/>
          <w:sz w:val="24"/>
          <w:szCs w:val="24"/>
        </w:rPr>
        <w:t>（六）政府方的介入权</w:t>
      </w:r>
      <w:bookmarkEnd w:id="119"/>
      <w:bookmarkEnd w:id="120"/>
    </w:p>
    <w:p>
      <w:pPr>
        <w:pStyle w:val="4"/>
        <w:spacing w:before="0" w:after="0" w:line="360" w:lineRule="auto"/>
        <w:ind w:firstLine="643"/>
        <w:rPr>
          <w:rFonts w:asciiTheme="minorEastAsia" w:hAnsiTheme="minorEastAsia" w:eastAsiaTheme="minorEastAsia"/>
          <w:color w:val="auto"/>
          <w:sz w:val="24"/>
        </w:rPr>
      </w:pPr>
      <w:bookmarkStart w:id="121" w:name="_Toc14266234"/>
      <w:bookmarkStart w:id="122" w:name="_Toc19881797"/>
      <w:r>
        <w:rPr>
          <w:rFonts w:asciiTheme="minorEastAsia" w:hAnsiTheme="minorEastAsia" w:eastAsiaTheme="minorEastAsia"/>
          <w:color w:val="auto"/>
          <w:sz w:val="24"/>
        </w:rPr>
        <w:t>1.</w:t>
      </w:r>
      <w:r>
        <w:rPr>
          <w:rFonts w:hint="eastAsia" w:asciiTheme="minorEastAsia" w:hAnsiTheme="minorEastAsia" w:eastAsiaTheme="minorEastAsia"/>
          <w:color w:val="auto"/>
          <w:sz w:val="24"/>
        </w:rPr>
        <w:t>特许经营企业未违约情形的介入</w:t>
      </w:r>
      <w:bookmarkEnd w:id="121"/>
      <w:bookmarkEnd w:id="122"/>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为了</w:t>
      </w:r>
      <w:r>
        <w:rPr>
          <w:rFonts w:asciiTheme="minorEastAsia" w:hAnsiTheme="minorEastAsia" w:eastAsiaTheme="minorEastAsia"/>
          <w:color w:val="auto"/>
          <w:sz w:val="24"/>
        </w:rPr>
        <w:t>保证特许经营企业</w:t>
      </w:r>
      <w:r>
        <w:rPr>
          <w:rFonts w:hint="eastAsia" w:asciiTheme="minorEastAsia" w:hAnsiTheme="minorEastAsia" w:eastAsiaTheme="minorEastAsia"/>
          <w:color w:val="auto"/>
          <w:sz w:val="24"/>
        </w:rPr>
        <w:t>履行</w:t>
      </w:r>
      <w:r>
        <w:rPr>
          <w:rFonts w:asciiTheme="minorEastAsia" w:hAnsiTheme="minorEastAsia" w:eastAsiaTheme="minorEastAsia"/>
          <w:color w:val="auto"/>
          <w:sz w:val="24"/>
        </w:rPr>
        <w:t>合同不会</w:t>
      </w:r>
      <w:r>
        <w:rPr>
          <w:rFonts w:hint="eastAsia" w:asciiTheme="minorEastAsia" w:hAnsiTheme="minorEastAsia" w:eastAsiaTheme="minorEastAsia"/>
          <w:color w:val="auto"/>
          <w:sz w:val="24"/>
        </w:rPr>
        <w:t>受到</w:t>
      </w:r>
      <w:r>
        <w:rPr>
          <w:rFonts w:asciiTheme="minorEastAsia" w:hAnsiTheme="minorEastAsia" w:eastAsiaTheme="minorEastAsia"/>
          <w:color w:val="auto"/>
          <w:sz w:val="24"/>
        </w:rPr>
        <w:t>不必要的干预，以下特定情形下，政府方才拥有介入的权利：</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1）存在危及人身健康或安全、财产安全或环境安全的风险；</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介入</w:t>
      </w:r>
      <w:r>
        <w:rPr>
          <w:rFonts w:asciiTheme="minorEastAsia" w:hAnsiTheme="minorEastAsia" w:eastAsiaTheme="minorEastAsia"/>
          <w:color w:val="auto"/>
          <w:sz w:val="24"/>
        </w:rPr>
        <w:t>项目以接触或行使政府的按法定责任；</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3）发生紧急情况，且政府方合理</w:t>
      </w:r>
      <w:r>
        <w:rPr>
          <w:rFonts w:hint="eastAsia" w:asciiTheme="minorEastAsia" w:hAnsiTheme="minorEastAsia" w:eastAsiaTheme="minorEastAsia"/>
          <w:color w:val="auto"/>
          <w:sz w:val="24"/>
        </w:rPr>
        <w:t>认为</w:t>
      </w:r>
      <w:r>
        <w:rPr>
          <w:rFonts w:asciiTheme="minorEastAsia" w:hAnsiTheme="minorEastAsia" w:eastAsiaTheme="minorEastAsia"/>
          <w:color w:val="auto"/>
          <w:sz w:val="24"/>
        </w:rPr>
        <w:t>该紧急情况将会导致人员伤亡、严重财产损失或造成环境污染，并且会影响项目的</w:t>
      </w:r>
      <w:r>
        <w:rPr>
          <w:rFonts w:hint="eastAsia" w:asciiTheme="minorEastAsia" w:hAnsiTheme="minorEastAsia" w:eastAsiaTheme="minorEastAsia"/>
          <w:color w:val="auto"/>
          <w:sz w:val="24"/>
        </w:rPr>
        <w:t>正常</w:t>
      </w:r>
      <w:r>
        <w:rPr>
          <w:rFonts w:asciiTheme="minorEastAsia" w:hAnsiTheme="minorEastAsia" w:eastAsiaTheme="minorEastAsia"/>
          <w:color w:val="auto"/>
          <w:sz w:val="24"/>
        </w:rPr>
        <w:t>实施。</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如果</w:t>
      </w:r>
      <w:r>
        <w:rPr>
          <w:rFonts w:asciiTheme="minorEastAsia" w:hAnsiTheme="minorEastAsia" w:eastAsiaTheme="minorEastAsia"/>
          <w:color w:val="auto"/>
          <w:sz w:val="24"/>
        </w:rPr>
        <w:t>发生上述（1）</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情形</w:t>
      </w:r>
      <w:r>
        <w:rPr>
          <w:rFonts w:asciiTheme="minorEastAsia" w:hAnsiTheme="minorEastAsia" w:eastAsiaTheme="minorEastAsia"/>
          <w:color w:val="auto"/>
          <w:sz w:val="24"/>
        </w:rPr>
        <w:t>，政府方可以选择介入项目的</w:t>
      </w:r>
      <w:r>
        <w:rPr>
          <w:rFonts w:hint="eastAsia" w:asciiTheme="minorEastAsia" w:hAnsiTheme="minorEastAsia" w:eastAsiaTheme="minorEastAsia"/>
          <w:color w:val="auto"/>
          <w:sz w:val="24"/>
        </w:rPr>
        <w:t>实施</w:t>
      </w:r>
      <w:r>
        <w:rPr>
          <w:rFonts w:asciiTheme="minorEastAsia" w:hAnsiTheme="minorEastAsia" w:eastAsiaTheme="minorEastAsia"/>
          <w:color w:val="auto"/>
          <w:sz w:val="24"/>
        </w:rPr>
        <w:t>，但政府方在介入项目之前必须提前5天以书面形式通知给特许经营企业。</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如果</w:t>
      </w:r>
      <w:r>
        <w:rPr>
          <w:rFonts w:asciiTheme="minorEastAsia" w:hAnsiTheme="minorEastAsia" w:eastAsiaTheme="minorEastAsia"/>
          <w:color w:val="auto"/>
          <w:sz w:val="24"/>
        </w:rPr>
        <w:t>发生上述（3）</w:t>
      </w:r>
      <w:r>
        <w:rPr>
          <w:rFonts w:hint="eastAsia" w:asciiTheme="minorEastAsia" w:hAnsiTheme="minorEastAsia" w:eastAsiaTheme="minorEastAsia"/>
          <w:color w:val="auto"/>
          <w:sz w:val="24"/>
        </w:rPr>
        <w:t>情形</w:t>
      </w:r>
      <w:r>
        <w:rPr>
          <w:rFonts w:asciiTheme="minorEastAsia" w:hAnsiTheme="minorEastAsia" w:eastAsiaTheme="minorEastAsia"/>
          <w:color w:val="auto"/>
          <w:sz w:val="24"/>
        </w:rPr>
        <w:t>，政府方在告知特许经营企业的情况下可以选择介入项目的</w:t>
      </w:r>
      <w:r>
        <w:rPr>
          <w:rFonts w:hint="eastAsia" w:asciiTheme="minorEastAsia" w:hAnsiTheme="minorEastAsia" w:eastAsiaTheme="minorEastAsia"/>
          <w:color w:val="auto"/>
          <w:sz w:val="24"/>
        </w:rPr>
        <w:t>实施</w:t>
      </w:r>
      <w:r>
        <w:rPr>
          <w:rFonts w:asciiTheme="minorEastAsia" w:hAnsiTheme="minorEastAsia" w:eastAsiaTheme="minorEastAsia"/>
          <w:color w:val="auto"/>
          <w:sz w:val="24"/>
        </w:rPr>
        <w:t>。</w:t>
      </w:r>
    </w:p>
    <w:p>
      <w:pPr>
        <w:pStyle w:val="4"/>
        <w:spacing w:before="0" w:after="0" w:line="360" w:lineRule="auto"/>
        <w:ind w:firstLine="643"/>
        <w:rPr>
          <w:rFonts w:asciiTheme="minorEastAsia" w:hAnsiTheme="minorEastAsia" w:eastAsiaTheme="minorEastAsia"/>
          <w:color w:val="auto"/>
          <w:sz w:val="24"/>
        </w:rPr>
      </w:pPr>
      <w:bookmarkStart w:id="123" w:name="_Toc14266235"/>
      <w:bookmarkStart w:id="124" w:name="_Toc19881798"/>
      <w:r>
        <w:rPr>
          <w:rFonts w:asciiTheme="minorEastAsia" w:hAnsiTheme="minorEastAsia" w:eastAsiaTheme="minorEastAsia"/>
          <w:color w:val="auto"/>
          <w:sz w:val="24"/>
        </w:rPr>
        <w:t>2.</w:t>
      </w:r>
      <w:r>
        <w:rPr>
          <w:rFonts w:hint="eastAsia" w:asciiTheme="minorEastAsia" w:hAnsiTheme="minorEastAsia" w:eastAsiaTheme="minorEastAsia"/>
          <w:color w:val="auto"/>
          <w:sz w:val="24"/>
        </w:rPr>
        <w:t>特许经营企业违约情形的介入</w:t>
      </w:r>
      <w:bookmarkEnd w:id="123"/>
      <w:bookmarkEnd w:id="124"/>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如果</w:t>
      </w:r>
      <w:r>
        <w:rPr>
          <w:rFonts w:asciiTheme="minorEastAsia" w:hAnsiTheme="minorEastAsia" w:eastAsiaTheme="minorEastAsia"/>
          <w:color w:val="auto"/>
          <w:sz w:val="24"/>
        </w:rPr>
        <w:t>政府方在行使监督权时发现特许经营企业违约，政府方认为有可能需要介入的，应及时通知项目实施机构并提前以书面通知的形式通知特许经营企业，并</w:t>
      </w:r>
      <w:r>
        <w:rPr>
          <w:rFonts w:hint="eastAsia" w:asciiTheme="minorEastAsia" w:hAnsiTheme="minorEastAsia" w:eastAsiaTheme="minorEastAsia"/>
          <w:color w:val="auto"/>
          <w:sz w:val="24"/>
        </w:rPr>
        <w:t>给予</w:t>
      </w:r>
      <w:r>
        <w:rPr>
          <w:rFonts w:asciiTheme="minorEastAsia" w:hAnsiTheme="minorEastAsia" w:eastAsiaTheme="minorEastAsia"/>
          <w:color w:val="auto"/>
          <w:sz w:val="24"/>
        </w:rPr>
        <w:t>特许经营企业自收到书面通知之日起15天的</w:t>
      </w:r>
      <w:r>
        <w:rPr>
          <w:rFonts w:hint="eastAsia" w:asciiTheme="minorEastAsia" w:hAnsiTheme="minorEastAsia" w:eastAsiaTheme="minorEastAsia"/>
          <w:color w:val="auto"/>
          <w:sz w:val="24"/>
        </w:rPr>
        <w:t>时间</w:t>
      </w:r>
      <w:r>
        <w:rPr>
          <w:rFonts w:asciiTheme="minorEastAsia" w:hAnsiTheme="minorEastAsia" w:eastAsiaTheme="minorEastAsia"/>
          <w:color w:val="auto"/>
          <w:sz w:val="24"/>
        </w:rPr>
        <w:t>开展自行补救工作；如果特许经营企业仍无法补救，政府方才有权行使其介入权。</w:t>
      </w:r>
    </w:p>
    <w:p>
      <w:pPr>
        <w:pStyle w:val="3"/>
        <w:spacing w:before="0" w:after="0" w:line="360" w:lineRule="auto"/>
        <w:ind w:firstLine="643"/>
        <w:rPr>
          <w:rFonts w:asciiTheme="minorEastAsia" w:hAnsiTheme="minorEastAsia" w:eastAsiaTheme="minorEastAsia"/>
          <w:color w:val="auto"/>
          <w:sz w:val="24"/>
          <w:szCs w:val="24"/>
        </w:rPr>
      </w:pPr>
      <w:bookmarkStart w:id="125" w:name="_Toc14266236"/>
      <w:bookmarkStart w:id="126" w:name="_Toc19881799"/>
      <w:r>
        <w:rPr>
          <w:rFonts w:hint="eastAsia" w:asciiTheme="minorEastAsia" w:hAnsiTheme="minorEastAsia" w:eastAsiaTheme="minorEastAsia"/>
          <w:color w:val="auto"/>
          <w:sz w:val="24"/>
          <w:szCs w:val="24"/>
        </w:rPr>
        <w:t>（七）违约责任</w:t>
      </w:r>
      <w:bookmarkEnd w:id="125"/>
      <w:bookmarkEnd w:id="126"/>
    </w:p>
    <w:p>
      <w:pPr>
        <w:pStyle w:val="4"/>
        <w:spacing w:before="0" w:after="0" w:line="360" w:lineRule="auto"/>
        <w:ind w:firstLine="643"/>
        <w:rPr>
          <w:rFonts w:asciiTheme="minorEastAsia" w:hAnsiTheme="minorEastAsia" w:eastAsiaTheme="minorEastAsia"/>
          <w:color w:val="auto"/>
          <w:sz w:val="24"/>
        </w:rPr>
      </w:pPr>
      <w:bookmarkStart w:id="127" w:name="_Toc14266237"/>
      <w:bookmarkStart w:id="128" w:name="_Toc19881800"/>
      <w:bookmarkStart w:id="129" w:name="_Toc532748635"/>
      <w:r>
        <w:rPr>
          <w:rFonts w:asciiTheme="minorEastAsia" w:hAnsiTheme="minorEastAsia" w:eastAsiaTheme="minorEastAsia"/>
          <w:color w:val="auto"/>
          <w:sz w:val="24"/>
        </w:rPr>
        <w:t>1.</w:t>
      </w:r>
      <w:r>
        <w:rPr>
          <w:rFonts w:hint="eastAsia" w:asciiTheme="minorEastAsia" w:hAnsiTheme="minorEastAsia" w:eastAsiaTheme="minorEastAsia"/>
          <w:color w:val="auto"/>
          <w:sz w:val="24"/>
        </w:rPr>
        <w:t>政府方违约赔偿责任</w:t>
      </w:r>
      <w:bookmarkEnd w:id="127"/>
      <w:bookmarkEnd w:id="128"/>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）政府方延迟支付特许经营企业相应的补贴费用，特许经营企业有权发出催告，如政府方在催告通知出具后</w:t>
      </w:r>
      <w:r>
        <w:rPr>
          <w:rFonts w:asciiTheme="minorEastAsia" w:hAnsiTheme="minorEastAsia" w:eastAsiaTheme="minorEastAsia"/>
          <w:color w:val="auto"/>
          <w:sz w:val="24"/>
        </w:rPr>
        <w:t>30</w:t>
      </w:r>
      <w:r>
        <w:rPr>
          <w:rFonts w:hint="eastAsia" w:asciiTheme="minorEastAsia" w:hAnsiTheme="minorEastAsia" w:eastAsiaTheme="minorEastAsia"/>
          <w:color w:val="auto"/>
          <w:sz w:val="24"/>
        </w:rPr>
        <w:t>日内仍未能支付的，则政府方除应支付应付的未付款项外，还应每日向特许经营企业另行支付人民币</w:t>
      </w:r>
      <w:r>
        <w:rPr>
          <w:rFonts w:asciiTheme="minorEastAsia" w:hAnsiTheme="minorEastAsia" w:eastAsiaTheme="minorEastAsia"/>
          <w:color w:val="auto"/>
          <w:sz w:val="24"/>
          <w:u w:val="single"/>
        </w:rPr>
        <w:t xml:space="preserve">  1000</w:t>
      </w:r>
      <w:r>
        <w:rPr>
          <w:rFonts w:hint="eastAsia" w:asciiTheme="minorEastAsia" w:hAnsiTheme="minorEastAsia" w:eastAsiaTheme="minorEastAsia"/>
          <w:color w:val="auto"/>
          <w:sz w:val="24"/>
          <w:u w:val="single"/>
        </w:rPr>
        <w:t>元</w:t>
      </w:r>
      <w:r>
        <w:rPr>
          <w:rFonts w:asciiTheme="minorEastAsia" w:hAnsiTheme="minorEastAsia" w:eastAsiaTheme="minorEastAsia"/>
          <w:color w:val="auto"/>
          <w:sz w:val="24"/>
          <w:u w:val="single"/>
        </w:rPr>
        <w:t>/</w:t>
      </w:r>
      <w:r>
        <w:rPr>
          <w:rFonts w:hint="eastAsia" w:asciiTheme="minorEastAsia" w:hAnsiTheme="minorEastAsia" w:eastAsiaTheme="minorEastAsia"/>
          <w:color w:val="auto"/>
          <w:sz w:val="24"/>
          <w:u w:val="single"/>
        </w:rPr>
        <w:t>日</w:t>
      </w:r>
      <w:r>
        <w:rPr>
          <w:rFonts w:hint="eastAsia" w:asciiTheme="minorEastAsia" w:hAnsiTheme="minorEastAsia" w:eastAsiaTheme="minorEastAsia"/>
          <w:color w:val="auto"/>
          <w:sz w:val="24"/>
        </w:rPr>
        <w:t>的违约金。</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2）如果政府方</w:t>
      </w:r>
      <w:r>
        <w:rPr>
          <w:rFonts w:hint="eastAsia" w:asciiTheme="minorEastAsia" w:hAnsiTheme="minorEastAsia" w:eastAsiaTheme="minorEastAsia"/>
          <w:color w:val="auto"/>
          <w:sz w:val="24"/>
          <w:szCs w:val="24"/>
        </w:rPr>
        <w:t>提取履约保函中的相应金额之后确定政府方属于不当提取，政府方应及时按原路径退还已提取的款项，并支付该款项自提取之日至退还之日的利息，利息按央行公布的同期人民币贷款基准利率计算。</w:t>
      </w:r>
    </w:p>
    <w:p>
      <w:pPr>
        <w:pStyle w:val="4"/>
        <w:spacing w:before="0" w:after="0" w:line="360" w:lineRule="auto"/>
        <w:ind w:firstLine="643"/>
        <w:rPr>
          <w:rFonts w:asciiTheme="minorEastAsia" w:hAnsiTheme="minorEastAsia" w:eastAsiaTheme="minorEastAsia"/>
          <w:color w:val="auto"/>
          <w:sz w:val="24"/>
        </w:rPr>
      </w:pPr>
      <w:bookmarkStart w:id="130" w:name="_Toc19881801"/>
      <w:bookmarkStart w:id="131" w:name="_Toc14266238"/>
      <w:r>
        <w:rPr>
          <w:rFonts w:asciiTheme="minorEastAsia" w:hAnsiTheme="minorEastAsia" w:eastAsiaTheme="minorEastAsia"/>
          <w:color w:val="auto"/>
          <w:sz w:val="24"/>
        </w:rPr>
        <w:t>2.</w:t>
      </w:r>
      <w:r>
        <w:rPr>
          <w:rFonts w:hint="eastAsia" w:asciiTheme="minorEastAsia" w:hAnsiTheme="minorEastAsia" w:eastAsiaTheme="minorEastAsia"/>
          <w:color w:val="auto"/>
          <w:sz w:val="24"/>
        </w:rPr>
        <w:t>特许经营企业违约赔偿责任</w:t>
      </w:r>
      <w:bookmarkEnd w:id="130"/>
      <w:bookmarkEnd w:id="131"/>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）建设期内，由于特许经营企业或依法定程序确定的承包商、供应商的原因导致项目建设延误，则导致项目延误每逾期一日，特许经营企业应向项目实施机构支付人民币</w:t>
      </w:r>
      <w:r>
        <w:rPr>
          <w:rFonts w:asciiTheme="minorEastAsia" w:hAnsiTheme="minorEastAsia" w:eastAsiaTheme="minorEastAsia"/>
          <w:color w:val="auto"/>
          <w:sz w:val="24"/>
          <w:u w:val="single"/>
        </w:rPr>
        <w:t xml:space="preserve">  1</w:t>
      </w:r>
      <w:r>
        <w:rPr>
          <w:rFonts w:hint="eastAsia" w:asciiTheme="minorEastAsia" w:hAnsiTheme="minorEastAsia" w:eastAsiaTheme="minorEastAsia"/>
          <w:color w:val="auto"/>
          <w:sz w:val="24"/>
          <w:u w:val="single"/>
        </w:rPr>
        <w:t>万元</w:t>
      </w:r>
      <w:r>
        <w:rPr>
          <w:rFonts w:asciiTheme="minorEastAsia" w:hAnsiTheme="minorEastAsia" w:eastAsiaTheme="minorEastAsia"/>
          <w:color w:val="auto"/>
          <w:sz w:val="24"/>
          <w:u w:val="single"/>
        </w:rPr>
        <w:t>/</w:t>
      </w:r>
      <w:r>
        <w:rPr>
          <w:rFonts w:hint="eastAsia" w:asciiTheme="minorEastAsia" w:hAnsiTheme="minorEastAsia" w:eastAsiaTheme="minorEastAsia"/>
          <w:color w:val="auto"/>
          <w:sz w:val="24"/>
          <w:u w:val="single"/>
        </w:rPr>
        <w:t>日</w:t>
      </w:r>
      <w:r>
        <w:rPr>
          <w:rFonts w:hint="eastAsia" w:asciiTheme="minorEastAsia" w:hAnsiTheme="minorEastAsia" w:eastAsiaTheme="minorEastAsia"/>
          <w:color w:val="auto"/>
          <w:sz w:val="24"/>
        </w:rPr>
        <w:t>与应完成工程价的万分之五取高值的违约金。若逾期超过</w:t>
      </w:r>
      <w:r>
        <w:rPr>
          <w:rFonts w:asciiTheme="minorEastAsia" w:hAnsiTheme="minorEastAsia" w:eastAsiaTheme="minorEastAsia"/>
          <w:color w:val="auto"/>
          <w:sz w:val="24"/>
        </w:rPr>
        <w:t>60</w:t>
      </w:r>
      <w:r>
        <w:rPr>
          <w:rFonts w:hint="eastAsia" w:asciiTheme="minorEastAsia" w:hAnsiTheme="minorEastAsia" w:eastAsiaTheme="minorEastAsia"/>
          <w:color w:val="auto"/>
          <w:sz w:val="24"/>
        </w:rPr>
        <w:t>日，项目实施机构有权终止《特许经营协议》。</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运营期内，由于特许经营企业未按合同约定履行相应的义务或其他可归责于特许经营企业或特许经营企业委托的运营商、供应商的原因导致项目无法正常运营等，特许经营企业应向项目实施机构支付违约金，每暂停运营一天须支付违约金</w:t>
      </w:r>
      <w:r>
        <w:rPr>
          <w:rFonts w:asciiTheme="minorEastAsia" w:hAnsiTheme="minorEastAsia" w:eastAsiaTheme="minorEastAsia"/>
          <w:color w:val="auto"/>
          <w:sz w:val="24"/>
          <w:u w:val="single"/>
        </w:rPr>
        <w:t xml:space="preserve"> 1</w:t>
      </w:r>
      <w:r>
        <w:rPr>
          <w:rFonts w:hint="eastAsia" w:asciiTheme="minorEastAsia" w:hAnsiTheme="minorEastAsia" w:eastAsiaTheme="minorEastAsia"/>
          <w:color w:val="auto"/>
          <w:sz w:val="24"/>
          <w:u w:val="single"/>
        </w:rPr>
        <w:t>万元</w:t>
      </w:r>
      <w:r>
        <w:rPr>
          <w:rFonts w:hint="eastAsia" w:asciiTheme="minorEastAsia" w:hAnsiTheme="minorEastAsia" w:eastAsiaTheme="minorEastAsia"/>
          <w:color w:val="auto"/>
          <w:sz w:val="24"/>
        </w:rPr>
        <w:t>。若项目中断运营超过</w:t>
      </w:r>
      <w:r>
        <w:rPr>
          <w:rFonts w:asciiTheme="minorEastAsia" w:hAnsiTheme="minorEastAsia" w:eastAsiaTheme="minorEastAsia"/>
          <w:color w:val="auto"/>
          <w:sz w:val="24"/>
        </w:rPr>
        <w:t>30</w:t>
      </w:r>
      <w:r>
        <w:rPr>
          <w:rFonts w:hint="eastAsia" w:asciiTheme="minorEastAsia" w:hAnsiTheme="minorEastAsia" w:eastAsiaTheme="minorEastAsia"/>
          <w:color w:val="auto"/>
          <w:sz w:val="24"/>
        </w:rPr>
        <w:t>日，项目实施机构有权终止《特许经营协议》。</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w:t>
      </w:r>
      <w:r>
        <w:rPr>
          <w:rFonts w:hint="eastAsia" w:asciiTheme="minorEastAsia" w:hAnsiTheme="minorEastAsia" w:eastAsiaTheme="minorEastAsia"/>
          <w:color w:val="auto"/>
          <w:sz w:val="24"/>
        </w:rPr>
        <w:t>）移交期间，由于特许经营企业原因导致其未能按照本合同的要求及时间移交本项目相应工程，每延迟一日应向项目实施机构支付</w:t>
      </w:r>
      <w:r>
        <w:rPr>
          <w:rFonts w:asciiTheme="minorEastAsia" w:hAnsiTheme="minorEastAsia" w:eastAsiaTheme="minorEastAsia"/>
          <w:color w:val="auto"/>
          <w:sz w:val="24"/>
          <w:u w:val="single"/>
        </w:rPr>
        <w:t xml:space="preserve"> 1</w:t>
      </w:r>
      <w:r>
        <w:rPr>
          <w:rFonts w:hint="eastAsia" w:asciiTheme="minorEastAsia" w:hAnsiTheme="minorEastAsia" w:eastAsiaTheme="minorEastAsia"/>
          <w:color w:val="auto"/>
          <w:sz w:val="24"/>
          <w:u w:val="single"/>
        </w:rPr>
        <w:t>万元</w:t>
      </w:r>
      <w:r>
        <w:rPr>
          <w:rFonts w:hint="eastAsia" w:asciiTheme="minorEastAsia" w:hAnsiTheme="minorEastAsia" w:eastAsiaTheme="minorEastAsia"/>
          <w:color w:val="auto"/>
          <w:sz w:val="24"/>
        </w:rPr>
        <w:t>的违约金。</w:t>
      </w:r>
    </w:p>
    <w:p>
      <w:pPr>
        <w:pStyle w:val="3"/>
        <w:spacing w:before="0" w:after="0" w:line="360" w:lineRule="auto"/>
        <w:ind w:firstLine="643"/>
        <w:rPr>
          <w:rFonts w:asciiTheme="minorEastAsia" w:hAnsiTheme="minorEastAsia" w:eastAsiaTheme="minorEastAsia"/>
          <w:color w:val="auto"/>
          <w:sz w:val="24"/>
          <w:szCs w:val="24"/>
        </w:rPr>
      </w:pPr>
      <w:bookmarkStart w:id="132" w:name="_Toc19881802"/>
      <w:bookmarkStart w:id="133" w:name="_Toc14266239"/>
      <w:r>
        <w:rPr>
          <w:rFonts w:hint="eastAsia" w:asciiTheme="minorEastAsia" w:hAnsiTheme="minorEastAsia" w:eastAsiaTheme="minorEastAsia"/>
          <w:color w:val="auto"/>
          <w:sz w:val="24"/>
          <w:szCs w:val="24"/>
        </w:rPr>
        <w:t>（八）提前终止</w:t>
      </w:r>
      <w:bookmarkEnd w:id="132"/>
      <w:bookmarkEnd w:id="133"/>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在以下情形下，项目可提前终止：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）一方违约导致的提前终止；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）法律变更或宏观政策导致的提前终止；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w:t>
      </w:r>
      <w:r>
        <w:rPr>
          <w:rFonts w:hint="eastAsia" w:asciiTheme="minorEastAsia" w:hAnsiTheme="minorEastAsia" w:eastAsiaTheme="minorEastAsia"/>
          <w:color w:val="auto"/>
          <w:sz w:val="24"/>
        </w:rPr>
        <w:t>）不可抗力导致的提前终止。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若《特许经营协议》提前终止，则除非协议另有约定，政府方仅在如下情形时支付特许经营企业合理补偿金（提前终止时政府方对于特许经营企业的补偿须以特许经营企业还清其届时之所有负债为前提），补偿金具体按下表确定：</w:t>
      </w:r>
    </w:p>
    <w:p>
      <w:pPr>
        <w:keepLines/>
        <w:spacing w:line="360" w:lineRule="auto"/>
        <w:jc w:val="center"/>
        <w:textAlignment w:val="center"/>
        <w:rPr>
          <w:rFonts w:asciiTheme="minorEastAsia" w:hAnsiTheme="minorEastAsia" w:eastAsiaTheme="minorEastAsia"/>
          <w:color w:val="auto"/>
          <w:sz w:val="24"/>
        </w:rPr>
      </w:pPr>
      <w:r>
        <w:rPr>
          <w:rFonts w:hint="eastAsia" w:asciiTheme="minorEastAsia" w:hAnsiTheme="minorEastAsia" w:eastAsiaTheme="minorEastAsia"/>
          <w:bCs/>
          <w:color w:val="auto"/>
          <w:sz w:val="24"/>
        </w:rPr>
        <w:t>表</w:t>
      </w:r>
      <w:r>
        <w:rPr>
          <w:rFonts w:asciiTheme="minorEastAsia" w:hAnsiTheme="minorEastAsia" w:eastAsiaTheme="minorEastAsia"/>
          <w:bCs/>
          <w:color w:val="auto"/>
          <w:sz w:val="24"/>
        </w:rPr>
        <w:t xml:space="preserve">4.1 </w:t>
      </w:r>
      <w:r>
        <w:rPr>
          <w:rFonts w:hint="eastAsia" w:asciiTheme="minorEastAsia" w:hAnsiTheme="minorEastAsia" w:eastAsiaTheme="minorEastAsia"/>
          <w:bCs/>
          <w:color w:val="auto"/>
          <w:sz w:val="24"/>
        </w:rPr>
        <w:t>提前终止补偿情形及补偿表</w:t>
      </w:r>
    </w:p>
    <w:tbl>
      <w:tblPr>
        <w:tblStyle w:val="23"/>
        <w:tblW w:w="839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19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197" w:type="dxa"/>
            <w:vAlign w:val="center"/>
          </w:tcPr>
          <w:p>
            <w:pPr>
              <w:spacing w:line="360" w:lineRule="auto"/>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提前终止情形</w:t>
            </w:r>
          </w:p>
        </w:tc>
        <w:tc>
          <w:tcPr>
            <w:tcW w:w="4198" w:type="dxa"/>
            <w:vAlign w:val="center"/>
          </w:tcPr>
          <w:p>
            <w:pPr>
              <w:spacing w:line="360" w:lineRule="auto"/>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终止补偿金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197" w:type="dxa"/>
            <w:vMerge w:val="restart"/>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政府方发出的终止（特许经营企业违约）</w:t>
            </w:r>
          </w:p>
        </w:tc>
        <w:tc>
          <w:tcPr>
            <w:tcW w:w="4198" w:type="dxa"/>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建设期提前终止时，为</w:t>
            </w:r>
            <w:r>
              <w:rPr>
                <w:rFonts w:asciiTheme="minorEastAsia" w:hAnsiTheme="minorEastAsia" w:eastAsiaTheme="minorEastAsia"/>
                <w:color w:val="auto"/>
                <w:sz w:val="24"/>
              </w:rPr>
              <w:t>A1-B+E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197" w:type="dxa"/>
            <w:vMerge w:val="continue"/>
            <w:vAlign w:val="center"/>
          </w:tcPr>
          <w:p>
            <w:pPr>
              <w:spacing w:line="360" w:lineRule="auto"/>
              <w:jc w:val="center"/>
              <w:rPr>
                <w:rFonts w:asciiTheme="minorEastAsia" w:hAnsiTheme="minorEastAsia" w:eastAsiaTheme="minorEastAsia"/>
                <w:color w:val="auto"/>
                <w:sz w:val="24"/>
              </w:rPr>
            </w:pPr>
          </w:p>
        </w:tc>
        <w:tc>
          <w:tcPr>
            <w:tcW w:w="4198" w:type="dxa"/>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运营期提前终止时，为</w:t>
            </w:r>
            <w:r>
              <w:rPr>
                <w:rFonts w:asciiTheme="minorEastAsia" w:hAnsiTheme="minorEastAsia" w:eastAsiaTheme="minorEastAsia"/>
                <w:color w:val="auto"/>
                <w:sz w:val="24"/>
              </w:rPr>
              <w:t>A2-B+E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197" w:type="dxa"/>
            <w:vMerge w:val="restart"/>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特许经营企业发出的终止（政府方违约）</w:t>
            </w:r>
          </w:p>
        </w:tc>
        <w:tc>
          <w:tcPr>
            <w:tcW w:w="4198" w:type="dxa"/>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建设期提前终止时，为</w:t>
            </w:r>
            <w:r>
              <w:rPr>
                <w:rFonts w:asciiTheme="minorEastAsia" w:hAnsiTheme="minorEastAsia" w:eastAsiaTheme="minorEastAsia"/>
                <w:color w:val="auto"/>
                <w:sz w:val="24"/>
              </w:rPr>
              <w:t>A1+B+E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197" w:type="dxa"/>
            <w:vMerge w:val="continue"/>
            <w:vAlign w:val="center"/>
          </w:tcPr>
          <w:p>
            <w:pPr>
              <w:spacing w:line="360" w:lineRule="auto"/>
              <w:jc w:val="center"/>
              <w:rPr>
                <w:rFonts w:asciiTheme="minorEastAsia" w:hAnsiTheme="minorEastAsia" w:eastAsiaTheme="minorEastAsia"/>
                <w:color w:val="auto"/>
                <w:sz w:val="24"/>
              </w:rPr>
            </w:pPr>
          </w:p>
        </w:tc>
        <w:tc>
          <w:tcPr>
            <w:tcW w:w="4198" w:type="dxa"/>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运营期提前终止时，为</w:t>
            </w:r>
            <w:r>
              <w:rPr>
                <w:rFonts w:asciiTheme="minorEastAsia" w:hAnsiTheme="minorEastAsia" w:eastAsiaTheme="minorEastAsia"/>
                <w:color w:val="auto"/>
                <w:sz w:val="24"/>
              </w:rPr>
              <w:t>A2+B+E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197" w:type="dxa"/>
            <w:vMerge w:val="restart"/>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东方市人民政府可控的法律或宏观政策变更导致的终止</w:t>
            </w:r>
          </w:p>
        </w:tc>
        <w:tc>
          <w:tcPr>
            <w:tcW w:w="4198" w:type="dxa"/>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建设期提前终止时，为A1</w:t>
            </w:r>
            <w:r>
              <w:rPr>
                <w:rFonts w:asciiTheme="minorEastAsia" w:hAnsiTheme="minorEastAsia" w:eastAsiaTheme="minorEastAsia"/>
                <w:color w:val="auto"/>
                <w:sz w:val="24"/>
              </w:rPr>
              <w:t>+E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197" w:type="dxa"/>
            <w:vMerge w:val="continue"/>
            <w:vAlign w:val="center"/>
          </w:tcPr>
          <w:p>
            <w:pPr>
              <w:spacing w:line="360" w:lineRule="auto"/>
              <w:jc w:val="center"/>
              <w:rPr>
                <w:rFonts w:asciiTheme="minorEastAsia" w:hAnsiTheme="minorEastAsia" w:eastAsiaTheme="minorEastAsia"/>
                <w:color w:val="auto"/>
                <w:sz w:val="24"/>
              </w:rPr>
            </w:pPr>
          </w:p>
        </w:tc>
        <w:tc>
          <w:tcPr>
            <w:tcW w:w="4198" w:type="dxa"/>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运营期提前终止时，为</w:t>
            </w:r>
            <w:r>
              <w:rPr>
                <w:rFonts w:asciiTheme="minorEastAsia" w:hAnsiTheme="minorEastAsia" w:eastAsiaTheme="minorEastAsia"/>
                <w:color w:val="auto"/>
                <w:sz w:val="24"/>
              </w:rPr>
              <w:t>A2+E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197" w:type="dxa"/>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不可抗力</w:t>
            </w:r>
          </w:p>
        </w:tc>
        <w:tc>
          <w:tcPr>
            <w:tcW w:w="4198" w:type="dxa"/>
            <w:vAlign w:val="center"/>
          </w:tcPr>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A3-C-D</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0.5+E</w:t>
            </w:r>
          </w:p>
        </w:tc>
      </w:tr>
    </w:tbl>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A1为特许经营企业已投入但尚未收回的建设投资（以经审计的数额为准）；</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A2</w:t>
      </w:r>
      <w:r>
        <w:rPr>
          <w:rFonts w:hint="eastAsia" w:asciiTheme="minorEastAsia" w:hAnsiTheme="minorEastAsia" w:eastAsiaTheme="minorEastAsia"/>
          <w:color w:val="auto"/>
          <w:sz w:val="24"/>
        </w:rPr>
        <w:t>为特许经营企业尚未收回的投资本金的现值；</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A3</w:t>
      </w:r>
      <w:r>
        <w:rPr>
          <w:rFonts w:hint="eastAsia" w:asciiTheme="minorEastAsia" w:hAnsiTheme="minorEastAsia" w:eastAsiaTheme="minorEastAsia"/>
          <w:color w:val="auto"/>
          <w:sz w:val="24"/>
        </w:rPr>
        <w:t>为经审计的特许经营企业账面资产净值；</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B</w:t>
      </w:r>
      <w:r>
        <w:rPr>
          <w:rFonts w:hint="eastAsia" w:asciiTheme="minorEastAsia" w:hAnsiTheme="minorEastAsia" w:eastAsiaTheme="minorEastAsia"/>
          <w:color w:val="auto"/>
          <w:sz w:val="24"/>
        </w:rPr>
        <w:t>取值为人民币</w:t>
      </w:r>
      <w:r>
        <w:rPr>
          <w:rFonts w:asciiTheme="minorEastAsia" w:hAnsiTheme="minorEastAsia" w:eastAsiaTheme="minorEastAsia"/>
          <w:color w:val="auto"/>
          <w:sz w:val="24"/>
        </w:rPr>
        <w:t>500</w:t>
      </w:r>
      <w:r>
        <w:rPr>
          <w:rFonts w:hint="eastAsia" w:asciiTheme="minorEastAsia" w:hAnsiTheme="minorEastAsia" w:eastAsiaTheme="minorEastAsia"/>
          <w:color w:val="auto"/>
          <w:sz w:val="24"/>
        </w:rPr>
        <w:t>万元；</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C</w:t>
      </w:r>
      <w:r>
        <w:rPr>
          <w:rFonts w:hint="eastAsia" w:asciiTheme="minorEastAsia" w:hAnsiTheme="minorEastAsia" w:eastAsiaTheme="minorEastAsia"/>
          <w:color w:val="auto"/>
          <w:sz w:val="24"/>
        </w:rPr>
        <w:t>为发生不可抗力情形时，根据本项目的合同及相关保险合同约定，特许经营企业（含贷款方）实际获得的保险赔款；</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D</w:t>
      </w:r>
      <w:r>
        <w:rPr>
          <w:rFonts w:hint="eastAsia" w:asciiTheme="minorEastAsia" w:hAnsiTheme="minorEastAsia" w:eastAsiaTheme="minorEastAsia"/>
          <w:color w:val="auto"/>
          <w:sz w:val="24"/>
        </w:rPr>
        <w:t>为发生不可抗力情形时，因特许经营企业投保不足，导致所获保险赔款无法使项目设施恢复到出险前的正常状态和价值的恢复性建设费用缺额部分（如有）；</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E</w:t>
      </w:r>
      <w:r>
        <w:rPr>
          <w:rFonts w:hint="eastAsia" w:asciiTheme="minorEastAsia" w:hAnsiTheme="minorEastAsia" w:eastAsiaTheme="minorEastAsia"/>
          <w:color w:val="auto"/>
          <w:sz w:val="24"/>
        </w:rPr>
        <w:t>为终止后根据合同的规定，特许经营企业应向项目实施机构移交运营维护所需工器具和备品配件的合理评估值。</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若属政府方发出的终止情形之一的，按照对应公示计算终止补偿金即</w:t>
      </w:r>
      <w:r>
        <w:rPr>
          <w:rFonts w:asciiTheme="minorEastAsia" w:hAnsiTheme="minorEastAsia" w:eastAsiaTheme="minorEastAsia"/>
          <w:color w:val="auto"/>
          <w:sz w:val="24"/>
        </w:rPr>
        <w:t>“A1-B+E”</w:t>
      </w:r>
      <w:r>
        <w:rPr>
          <w:rFonts w:hint="eastAsia" w:asciiTheme="minorEastAsia" w:hAnsiTheme="minorEastAsia" w:eastAsiaTheme="minorEastAsia"/>
          <w:color w:val="auto"/>
          <w:sz w:val="24"/>
        </w:rPr>
        <w:t>或者</w:t>
      </w:r>
      <w:r>
        <w:rPr>
          <w:rFonts w:asciiTheme="minorEastAsia" w:hAnsiTheme="minorEastAsia" w:eastAsiaTheme="minorEastAsia"/>
          <w:color w:val="auto"/>
          <w:sz w:val="24"/>
        </w:rPr>
        <w:t>“A2-B+E”</w:t>
      </w:r>
      <w:r>
        <w:rPr>
          <w:rFonts w:hint="eastAsia" w:asciiTheme="minorEastAsia" w:hAnsiTheme="minorEastAsia" w:eastAsiaTheme="minorEastAsia"/>
          <w:color w:val="auto"/>
          <w:sz w:val="24"/>
        </w:rPr>
        <w:t>的值为负数，或者不可抗力情形下补偿金计算为负值的，则特许经营企业应向项目实施机构支付本条所述负值的绝对值。</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当发生特许经营企业违约而导致政府方发出终止的情形时，对于向特许经营企业支付的终止补偿金，政府方有权根据财政承受能力，在剩余合作期内分期等额无息支付赔偿金额，具体分批次支付比例及支付进度由政府方决定。</w:t>
      </w:r>
    </w:p>
    <w:bookmarkEnd w:id="129"/>
    <w:p>
      <w:pPr>
        <w:pStyle w:val="3"/>
        <w:spacing w:before="0" w:after="0" w:line="360" w:lineRule="auto"/>
        <w:ind w:firstLine="643"/>
        <w:rPr>
          <w:rFonts w:asciiTheme="minorEastAsia" w:hAnsiTheme="minorEastAsia" w:eastAsiaTheme="minorEastAsia"/>
          <w:color w:val="auto"/>
          <w:sz w:val="24"/>
          <w:szCs w:val="24"/>
        </w:rPr>
      </w:pPr>
      <w:bookmarkStart w:id="134" w:name="_Toc19881803"/>
      <w:bookmarkStart w:id="135" w:name="_Toc14266240"/>
      <w:r>
        <w:rPr>
          <w:rFonts w:hint="eastAsia" w:asciiTheme="minorEastAsia" w:hAnsiTheme="minorEastAsia" w:eastAsiaTheme="minorEastAsia"/>
          <w:color w:val="auto"/>
          <w:sz w:val="24"/>
          <w:szCs w:val="24"/>
        </w:rPr>
        <w:t>（九）调价机制</w:t>
      </w:r>
      <w:bookmarkEnd w:id="134"/>
      <w:bookmarkEnd w:id="135"/>
    </w:p>
    <w:p>
      <w:pPr>
        <w:pStyle w:val="48"/>
        <w:rPr>
          <w:rFonts w:asciiTheme="minorEastAsia" w:hAnsiTheme="minorEastAsia" w:eastAsiaTheme="minorEastAsia"/>
          <w:color w:val="auto"/>
          <w:sz w:val="24"/>
          <w:szCs w:val="24"/>
        </w:rPr>
      </w:pPr>
      <w:bookmarkStart w:id="136" w:name="_Hlk532726421"/>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本项目</w:t>
      </w:r>
      <w:r>
        <w:rPr>
          <w:rFonts w:hint="eastAsia" w:asciiTheme="minorEastAsia" w:hAnsiTheme="minorEastAsia" w:eastAsiaTheme="minorEastAsia"/>
          <w:color w:val="auto"/>
          <w:sz w:val="24"/>
          <w:szCs w:val="24"/>
        </w:rPr>
        <w:t>城乡公交客运</w:t>
      </w:r>
      <w:r>
        <w:rPr>
          <w:rFonts w:asciiTheme="minorEastAsia" w:hAnsiTheme="minorEastAsia" w:eastAsiaTheme="minorEastAsia"/>
          <w:color w:val="auto"/>
          <w:sz w:val="24"/>
          <w:szCs w:val="24"/>
        </w:rPr>
        <w:t>服务票价</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运营补助</w:t>
      </w:r>
      <w:r>
        <w:rPr>
          <w:rFonts w:hint="eastAsia" w:asciiTheme="minorEastAsia" w:hAnsiTheme="minorEastAsia" w:eastAsiaTheme="minorEastAsia"/>
          <w:color w:val="auto"/>
          <w:sz w:val="24"/>
          <w:szCs w:val="24"/>
        </w:rPr>
        <w:t>及</w:t>
      </w:r>
      <w:r>
        <w:rPr>
          <w:rFonts w:asciiTheme="minorEastAsia" w:hAnsiTheme="minorEastAsia" w:eastAsiaTheme="minorEastAsia"/>
          <w:color w:val="auto"/>
          <w:sz w:val="24"/>
          <w:szCs w:val="24"/>
        </w:rPr>
        <w:t>每公里可变成本补贴设置调价机制</w:t>
      </w:r>
      <w:r>
        <w:rPr>
          <w:rFonts w:hint="eastAsia" w:asciiTheme="minorEastAsia" w:hAnsiTheme="minorEastAsia" w:eastAsiaTheme="minorEastAsia"/>
          <w:color w:val="auto"/>
          <w:sz w:val="24"/>
          <w:szCs w:val="24"/>
        </w:rPr>
        <w:t>。</w:t>
      </w:r>
    </w:p>
    <w:p>
      <w:pPr>
        <w:pStyle w:val="4"/>
        <w:spacing w:before="0" w:after="0" w:line="360" w:lineRule="auto"/>
        <w:ind w:firstLine="643"/>
        <w:rPr>
          <w:rFonts w:asciiTheme="minorEastAsia" w:hAnsiTheme="minorEastAsia" w:eastAsiaTheme="minorEastAsia"/>
          <w:color w:val="auto"/>
          <w:sz w:val="24"/>
        </w:rPr>
      </w:pPr>
      <w:bookmarkStart w:id="137" w:name="_Toc14266241"/>
      <w:bookmarkStart w:id="138" w:name="_Toc19881804"/>
      <w:r>
        <w:rPr>
          <w:rFonts w:asciiTheme="minorEastAsia" w:hAnsiTheme="minorEastAsia" w:eastAsiaTheme="minorEastAsia"/>
          <w:color w:val="auto"/>
          <w:sz w:val="24"/>
        </w:rPr>
        <w:t>1.</w:t>
      </w:r>
      <w:r>
        <w:rPr>
          <w:rFonts w:hint="eastAsia" w:asciiTheme="minorEastAsia" w:hAnsiTheme="minorEastAsia" w:eastAsiaTheme="minorEastAsia"/>
          <w:color w:val="auto"/>
          <w:sz w:val="24"/>
        </w:rPr>
        <w:t>票价调价机制</w:t>
      </w:r>
      <w:bookmarkEnd w:id="137"/>
      <w:bookmarkEnd w:id="138"/>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以年度为周期，根据价格调整公式，定期</w:t>
      </w:r>
      <w:r>
        <w:rPr>
          <w:rFonts w:hint="eastAsia" w:asciiTheme="minorEastAsia" w:hAnsiTheme="minorEastAsia" w:eastAsiaTheme="minorEastAsia"/>
          <w:color w:val="auto"/>
          <w:sz w:val="24"/>
          <w:szCs w:val="24"/>
        </w:rPr>
        <w:t>对</w:t>
      </w:r>
      <w:r>
        <w:rPr>
          <w:rFonts w:asciiTheme="minorEastAsia" w:hAnsiTheme="minorEastAsia" w:eastAsiaTheme="minorEastAsia"/>
          <w:color w:val="auto"/>
          <w:sz w:val="24"/>
          <w:szCs w:val="24"/>
        </w:rPr>
        <w:t>城乡公交</w:t>
      </w:r>
      <w:r>
        <w:rPr>
          <w:rFonts w:hint="eastAsia" w:asciiTheme="minorEastAsia" w:hAnsiTheme="minorEastAsia" w:eastAsiaTheme="minorEastAsia"/>
          <w:color w:val="auto"/>
          <w:sz w:val="24"/>
          <w:szCs w:val="24"/>
        </w:rPr>
        <w:t>票价</w:t>
      </w:r>
      <w:r>
        <w:rPr>
          <w:rFonts w:asciiTheme="minorEastAsia" w:hAnsiTheme="minorEastAsia" w:eastAsiaTheme="minorEastAsia"/>
          <w:b/>
          <w:color w:val="auto"/>
          <w:sz w:val="24"/>
          <w:szCs w:val="24"/>
        </w:rPr>
        <w:t>分别进行</w:t>
      </w:r>
      <w:r>
        <w:rPr>
          <w:rFonts w:asciiTheme="minorEastAsia" w:hAnsiTheme="minorEastAsia" w:eastAsiaTheme="minorEastAsia"/>
          <w:color w:val="auto"/>
          <w:sz w:val="24"/>
          <w:szCs w:val="24"/>
        </w:rPr>
        <w:t>测算调整。</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城乡公交</w:t>
      </w:r>
      <w:r>
        <w:rPr>
          <w:rFonts w:asciiTheme="minorEastAsia" w:hAnsiTheme="minorEastAsia" w:eastAsiaTheme="minorEastAsia"/>
          <w:color w:val="auto"/>
          <w:sz w:val="24"/>
          <w:szCs w:val="24"/>
        </w:rPr>
        <w:t>客运</w:t>
      </w:r>
      <w:r>
        <w:rPr>
          <w:rFonts w:hint="eastAsia" w:asciiTheme="minorEastAsia" w:hAnsiTheme="minorEastAsia" w:eastAsiaTheme="minorEastAsia"/>
          <w:color w:val="auto"/>
          <w:sz w:val="24"/>
          <w:szCs w:val="24"/>
        </w:rPr>
        <w:t>服务</w:t>
      </w:r>
      <w:r>
        <w:rPr>
          <w:rFonts w:asciiTheme="minorEastAsia" w:hAnsiTheme="minorEastAsia" w:eastAsiaTheme="minorEastAsia"/>
          <w:color w:val="auto"/>
          <w:sz w:val="24"/>
          <w:szCs w:val="24"/>
        </w:rPr>
        <w:t>票价调整公式为：</w:t>
      </w:r>
      <w:r>
        <w:rPr>
          <w:rFonts w:asciiTheme="minorEastAsia" w:hAnsiTheme="minorEastAsia" w:eastAsiaTheme="minorEastAsia"/>
          <w:color w:val="auto"/>
          <w:sz w:val="24"/>
          <w:szCs w:val="24"/>
        </w:rPr>
        <w:pict>
          <v:shape id="_x0000_i1028" o:spt="75" type="#_x0000_t75" style="height:18.8pt;width:96.0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hint=&quot;default&quot;/&gt;&lt;/w:rPr&gt;&lt;/m:ctrlPr&gt;&lt;/m:sSubPr&gt;&lt;m:e&gt;&lt;m:r&gt;&lt;w:rPr&gt;&lt;w:rFonts w:ascii=&quot;Cambria Math&quot; w:h-ansi=&quot;Cambria Math&quot; w:hint=&quot;default&quot;/&gt;&lt;/w:rPr&gt;&lt;m:t&gt;P&lt;/m:t&gt;&lt;/m:r&gt;&lt;m:ctrlPr&gt;&lt;w:rPr&gt;&lt;w:rFonts w:ascii=&quot;Cambria Math&quot; w:h-ansi=&quot;Cambria Math&quot; w:hint=&quot;default&quot;/&gt;&lt;/w:rPr&gt;&lt;/m:ctrlPr&gt;&lt;/m:e&gt;&lt;m:sub&gt;&lt;m:r&gt;&lt;w:rPr&gt;&lt;w:rFonts w:ascii=&quot;Cambria Math&quot; w:h-ansi=&quot;Cambria Math&quot; w:hint=&quot;default&quot;/&gt;&lt;/w:rPr&gt;&lt;m:t&gt;n&lt;/m:t&gt;&lt;/m:r&gt;&lt;m:ctrlPr&gt;&lt;w:rPr&gt;&lt;w:rFonts w:ascii=&quot;Cambria Math&quot; w:h-ansi=&quot;Cambria Math&quot; w:hint=&quot;default&quot;/&gt;&lt;/w:rPr&gt;&lt;/m:ctrlPr&gt;&lt;/m:sub&gt;&lt;/m:sSub&gt;&lt;m:r&gt;&lt;w:rPr&gt;&lt;w:rFonts w:ascii=&quot;Cambria Math&quot; w:h-ansi=&quot;Cambria Math&quot; w:hint=&quot;default&quot;/&gt;&lt;/w:rPr&gt;&lt;m:t&gt;=&lt;/m:t&gt;&lt;/m:r&gt;&lt;m:sSub&gt;&lt;m:sSubPr&gt;&lt;m:ctrlPr&gt;&lt;w:rPr&gt;&lt;w:rFonts w:ascii=&quot;Cambria Math&quot; w:h-ansi=&quot;Cambria Math&quot; w:hint=&quot;default&quot;/&gt;&lt;/w:rPr&gt;&lt;/m:ctrlPr&gt;&lt;/m:sSubPr&gt;&lt;m:e&gt;&lt;m:r&gt;&lt;w:rPr&gt;&lt;w:rFonts w:ascii=&quot;Cambria Math&quot; w:h-ansi=&quot;Cambria Math&quot; w:hint=&quot;default&quot;/&gt;&lt;/w:rPr&gt;&lt;m:t&gt;P&lt;/m:t&gt;&lt;/m:r&gt;&lt;m:ctrlPr&gt;&lt;w:rPr&gt;&lt;w:rFonts w:ascii=&quot;Cambria Math&quot; w:h-ansi=&quot;Cambria Math&quot; w:hint=&quot;default&quot;/&gt;&lt;/w:rPr&gt;&lt;/m:ctrlPr&gt;&lt;/m:e&gt;&lt;m:sub&gt;&lt;m:r&gt;&lt;w:rPr&gt;&lt;w:rFonts w:ascii=&quot;Cambria Math&quot; w:h-ansi=&quot;Cambria Math&quot; w:hint=&quot;default&quot;/&gt;&lt;/w:rPr&gt;&lt;m:t&gt;n-1&lt;/m:t&gt;&lt;/m:r&gt;&lt;m:ctrlPr&gt;&lt;w:rPr&gt;&lt;w:rFonts w:ascii=&quot;Cambria Math&quot; w:h-ansi=&quot;Cambria Math&quot; w:hint=&quot;default&quot;/&gt;&lt;/w:rPr&gt;&lt;/m:ctrlPr&gt;&lt;/m:sub&gt;&lt;/m:sSub&gt;&lt;m:r&gt;&lt;w:rPr&gt;&lt;w:rFonts w:ascii=&quot;Cambria Math&quot; w:h-ansi=&quot;Cambria Math&quot; w:hint=&quot;default&quot;/&gt;&lt;/w:rPr&gt;&lt;m:t&gt;*K&lt;/m:t&gt;&lt;/m:r&gt;&lt;/m:oMath&gt;&lt;/m:oMathPara&gt;&lt;/w:p&gt;&lt;/wx:sect&gt;&lt;/w:body&gt;&lt;/w:wordDocument&gt;">
            <v:path/>
            <v:fill on="f" focussize="0,0"/>
            <v:stroke on="f"/>
            <v:imagedata r:id="rId21" o:title=""/>
            <o:lock v:ext="edit" aspectratio="f"/>
            <w10:wrap type="none"/>
            <w10:anchorlock/>
          </v:shape>
        </w:pict>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29" o:spt="75" type="#_x0000_t75" style="height:28.2pt;width:93.55pt;" filled="f" o:preferrelative="t" stroked="f" coordsize="21600,21600" equationxml="&lt;">
            <v:path/>
            <v:fill on="f" focussize="0,0"/>
            <v:stroke on="f" joinstyle="miter"/>
            <v:imagedata r:id="rId22"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fldChar w:fldCharType="end"/>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其中</w:t>
      </w:r>
      <w:r>
        <w:rPr>
          <w:rFonts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30" o:spt="75" type="#_x0000_t75" style="height:28.2pt;width:14.85pt;" filled="f" o:preferrelative="t" stroked="f" coordsize="21600,21600" equationxml="&lt;">
            <v:path/>
            <v:fill on="f" focussize="0,0"/>
            <v:stroke on="f" joinstyle="miter"/>
            <v:imagedata r:id="rId23"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31" o:spt="75" type="#_x0000_t75" style="height:18.8pt;width:17.0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hint=&quot;default&quot;/&gt;&lt;/w:rPr&gt;&lt;/m:ctrlPr&gt;&lt;/m:sSubPr&gt;&lt;m:e&gt;&lt;m:r&gt;&lt;w:rPr&gt;&lt;w:rFonts w:ascii=&quot;Cambria Math&quot; w:h-ansi=&quot;Cambria Math&quot; w:hint=&quot;default&quot;/&gt;&lt;/w:rPr&gt;&lt;m:t&gt;P&lt;/m:t&gt;&lt;/m:r&gt;&lt;m:ctrlPr&gt;&lt;w:rPr&gt;&lt;w:rFonts w:ascii=&quot;Cambria Math&quot; w:h-ansi=&quot;Cambria Math&quot; w:hint=&quot;default&quot;/&gt;&lt;/w:rPr&gt;&lt;/m:ctrlPr&gt;&lt;/m:e&gt;&lt;m:sub&gt;&lt;m:r&gt;&lt;w:rPr&gt;&lt;w:rFonts w:ascii=&quot;Cambria Math&quot; w:h-ansi=&quot;Cambria Math&quot; w:hint=&quot;default&quot;/&gt;&lt;/w:rPr&gt;&lt;m:t&gt;n&lt;/m:t&gt;&lt;/m:r&gt;&lt;m:ctrlPr&gt;&lt;w:rPr&gt;&lt;w:rFonts w:ascii=&quot;Cambria Math&quot; w:h-ansi=&quot;Cambria Math&quot; w:hint=&quot;default&quot;/&gt;&lt;/w:rPr&gt;&lt;/m:ctrlPr&gt;&lt;/m:sub&gt;&lt;/m:sSub&gt;&lt;/m:oMath&gt;&lt;/m:oMathPara&gt;&lt;/w:p&gt;&lt;/wx:sect&gt;&lt;/w:body&gt;&lt;/w:wordDocument&gt;">
            <v:path/>
            <v:fill on="f" focussize="0,0"/>
            <v:stroke on="f"/>
            <v:imagedata r:id="rId24"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为第</w:t>
      </w:r>
      <w:r>
        <w:rPr>
          <w:rFonts w:asciiTheme="minorEastAsia" w:hAnsiTheme="minorEastAsia" w:eastAsiaTheme="minorEastAsia"/>
          <w:color w:val="auto"/>
          <w:sz w:val="24"/>
          <w:szCs w:val="24"/>
        </w:rPr>
        <w:t>n年城乡公交客运（</w:t>
      </w:r>
      <w:r>
        <w:rPr>
          <w:rFonts w:hint="eastAsia" w:asciiTheme="minorEastAsia" w:hAnsiTheme="minorEastAsia" w:eastAsiaTheme="minorEastAsia"/>
          <w:color w:val="auto"/>
          <w:sz w:val="24"/>
          <w:szCs w:val="24"/>
        </w:rPr>
        <w:t>城市</w:t>
      </w:r>
      <w:r>
        <w:rPr>
          <w:rFonts w:asciiTheme="minorEastAsia" w:hAnsiTheme="minorEastAsia" w:eastAsiaTheme="minorEastAsia"/>
          <w:color w:val="auto"/>
          <w:sz w:val="24"/>
          <w:szCs w:val="24"/>
        </w:rPr>
        <w:t>公交、城乡公交</w:t>
      </w:r>
      <w:r>
        <w:rPr>
          <w:rFonts w:hint="eastAsia" w:asciiTheme="minorEastAsia" w:hAnsiTheme="minorEastAsia" w:eastAsiaTheme="minorEastAsia"/>
          <w:color w:val="auto"/>
          <w:sz w:val="24"/>
          <w:szCs w:val="24"/>
        </w:rPr>
        <w:t>及</w:t>
      </w:r>
      <w:r>
        <w:rPr>
          <w:rFonts w:asciiTheme="minorEastAsia" w:hAnsiTheme="minorEastAsia" w:eastAsiaTheme="minorEastAsia"/>
          <w:color w:val="auto"/>
          <w:sz w:val="24"/>
          <w:szCs w:val="24"/>
        </w:rPr>
        <w:t>后续</w:t>
      </w:r>
      <w:r>
        <w:rPr>
          <w:rFonts w:hint="eastAsia" w:asciiTheme="minorEastAsia" w:hAnsiTheme="minorEastAsia" w:eastAsiaTheme="minorEastAsia"/>
          <w:color w:val="auto"/>
          <w:sz w:val="24"/>
          <w:szCs w:val="24"/>
        </w:rPr>
        <w:t>开通</w:t>
      </w:r>
      <w:r>
        <w:rPr>
          <w:rFonts w:asciiTheme="minorEastAsia" w:hAnsiTheme="minorEastAsia" w:eastAsiaTheme="minorEastAsia"/>
          <w:color w:val="auto"/>
          <w:sz w:val="24"/>
          <w:szCs w:val="24"/>
        </w:rPr>
        <w:t>的镇村公交、旅游公交）</w:t>
      </w:r>
      <w:r>
        <w:rPr>
          <w:rFonts w:hint="eastAsia" w:asciiTheme="minorEastAsia" w:hAnsiTheme="minorEastAsia" w:eastAsiaTheme="minorEastAsia"/>
          <w:color w:val="auto"/>
          <w:sz w:val="24"/>
          <w:szCs w:val="24"/>
        </w:rPr>
        <w:t>调整</w:t>
      </w:r>
      <w:r>
        <w:rPr>
          <w:rFonts w:asciiTheme="minorEastAsia" w:hAnsiTheme="minorEastAsia" w:eastAsiaTheme="minorEastAsia"/>
          <w:color w:val="auto"/>
          <w:sz w:val="24"/>
          <w:szCs w:val="24"/>
        </w:rPr>
        <w:t>后的平均票价；</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32" o:spt="75" type="#_x0000_t75" style="height:28.2pt;width:31.2pt;" filled="f" o:preferrelative="t" stroked="f" coordsize="21600,21600" equationxml="&lt;">
            <v:path/>
            <v:fill on="f" focussize="0,0"/>
            <v:stroke on="f" joinstyle="miter"/>
            <v:imagedata r:id="rId25"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pict>
          <v:shape id="_x0000_i1033" o:spt="75" type="#_x0000_t75" style="height:18.8pt;width:32.0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hint=&quot;default&quot;/&gt;&lt;/w:rPr&gt;&lt;/m:ctrlPr&gt;&lt;/m:sSubPr&gt;&lt;m:e&gt;&lt;m:r&gt;&lt;w:rPr&gt;&lt;w:rFonts w:ascii=&quot;Cambria Math&quot; w:h-ansi=&quot;Cambria Math&quot; w:hint=&quot;default&quot;/&gt;&lt;/w:rPr&gt;&lt;m:t&gt;P&lt;/m:t&gt;&lt;/m:r&gt;&lt;m:ctrlPr&gt;&lt;w:rPr&gt;&lt;w:rFonts w:ascii=&quot;Cambria Math&quot; w:h-ansi=&quot;Cambria Math&quot; w:hint=&quot;default&quot;/&gt;&lt;/w:rPr&gt;&lt;/m:ctrlPr&gt;&lt;/m:e&gt;&lt;m:sub&gt;&lt;m:r&gt;&lt;w:rPr&gt;&lt;w:rFonts w:ascii=&quot;Cambria Math&quot; w:h-ansi=&quot;Cambria Math&quot; w:hint=&quot;default&quot;/&gt;&lt;/w:rPr&gt;&lt;m:t&gt;n&lt;/m:t&gt;&lt;/m:r&gt;&lt;m:r&gt;&lt;m:rPr&gt;&lt;m:sty m:val=&quot;p&quot;/&gt;&lt;/m:rPr&gt;&lt;w:rPr&gt;&lt;w:rFonts w:ascii=&quot;Cambria Math&quot; w:h-ansi=&quot;Cambria Math&quot; w:hint=&quot;default&quot;/&gt;&lt;/w:rPr&gt;&lt;m:t&gt;-1&lt;/m:t&gt;&lt;/m:r&gt;&lt;m:ctrlPr&gt;&lt;w:rPr&gt;&lt;w:rFonts w:ascii=&quot;Cambria Math&quot; w:h-ansi=&quot;Cambria Math&quot; w:hint=&quot;default&quot;/&gt;&lt;/w:rPr&gt;&lt;/m:ctrlPr&gt;&lt;/m:sub&gt;&lt;/m:sSub&gt;&lt;/m:oMath&gt;&lt;/m:oMathPara&gt;&lt;/w:p&gt;&lt;/wx:sect&gt;&lt;/w:body&gt;&lt;/w:wordDocument&gt;">
            <v:path/>
            <v:fill on="f" focussize="0,0"/>
            <v:stroke on="f"/>
            <v:imagedata r:id="rId26" o:title=""/>
            <o:lock v:ext="edit" aspectratio="f"/>
            <w10:wrap type="none"/>
            <w10:anchorlock/>
          </v:shape>
        </w:pict>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第n-1年城乡公交客运（</w:t>
      </w:r>
      <w:r>
        <w:rPr>
          <w:rFonts w:hint="eastAsia" w:asciiTheme="minorEastAsia" w:hAnsiTheme="minorEastAsia" w:eastAsiaTheme="minorEastAsia"/>
          <w:color w:val="auto"/>
          <w:sz w:val="24"/>
          <w:szCs w:val="24"/>
        </w:rPr>
        <w:t>城市</w:t>
      </w:r>
      <w:r>
        <w:rPr>
          <w:rFonts w:asciiTheme="minorEastAsia" w:hAnsiTheme="minorEastAsia" w:eastAsiaTheme="minorEastAsia"/>
          <w:color w:val="auto"/>
          <w:sz w:val="24"/>
          <w:szCs w:val="24"/>
        </w:rPr>
        <w:t>公交、城乡公交、</w:t>
      </w:r>
      <w:r>
        <w:rPr>
          <w:rFonts w:hint="eastAsia" w:asciiTheme="minorEastAsia" w:hAnsiTheme="minorEastAsia" w:eastAsiaTheme="minorEastAsia"/>
          <w:color w:val="auto"/>
          <w:sz w:val="24"/>
          <w:szCs w:val="24"/>
        </w:rPr>
        <w:t>及</w:t>
      </w:r>
      <w:r>
        <w:rPr>
          <w:rFonts w:asciiTheme="minorEastAsia" w:hAnsiTheme="minorEastAsia" w:eastAsiaTheme="minorEastAsia"/>
          <w:color w:val="auto"/>
          <w:sz w:val="24"/>
          <w:szCs w:val="24"/>
        </w:rPr>
        <w:t>后续开通的镇村公交、旅游公交）</w:t>
      </w:r>
      <w:r>
        <w:rPr>
          <w:rFonts w:hint="eastAsia" w:asciiTheme="minorEastAsia" w:hAnsiTheme="minorEastAsia" w:eastAsiaTheme="minorEastAsia"/>
          <w:color w:val="auto"/>
          <w:sz w:val="24"/>
          <w:szCs w:val="24"/>
        </w:rPr>
        <w:t>实际平均票价</w:t>
      </w:r>
      <w:r>
        <w:rPr>
          <w:rFonts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34" o:spt="75" type="#_x0000_t75" style="height:28.2pt;width:11.9pt;" filled="f" o:preferrelative="t" stroked="f" coordsize="21600,21600" equationxml="&lt;">
            <v:path/>
            <v:fill on="f" focussize="0,0"/>
            <v:stroke on="f" joinstyle="miter"/>
            <v:imagedata r:id="rId27"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35" o:spt="75" type="#_x0000_t75" style="height:18.8pt;width:11.1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hint=&quot;default&quot;/&gt;&lt;/w:rPr&gt;&lt;m:t&gt;K&lt;/m:t&gt;&lt;/m:r&gt;&lt;/m:oMath&gt;&lt;/m:oMathPara&gt;&lt;/w:p&gt;&lt;/wx:sect&gt;&lt;/w:body&gt;&lt;/w:wordDocument&gt;">
            <v:path/>
            <v:fill on="f" focussize="0,0"/>
            <v:stroke on="f"/>
            <v:imagedata r:id="rId28"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调价系数，</w:t>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36" o:spt="75" type="#_x0000_t75" style="height:28.2pt;width:97.25pt;" filled="f" o:preferrelative="t" stroked="f" coordsize="21600,21600" equationxml="&lt;">
            <v:path/>
            <v:fill on="f" focussize="0,0"/>
            <v:stroke on="f" joinstyle="miter"/>
            <v:imagedata r:id="rId29"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37" o:spt="75" type="#_x0000_t75" style="height:18.8pt;width:100.3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hint=&quot;default&quot;/&gt;&lt;/w:rPr&gt;&lt;m:t&gt;K&lt;/m:t&gt;&lt;/m:r&gt;&lt;m:r&gt;&lt;m:rPr&gt;&lt;m:sty m:val=&quot;p&quot;/&gt;&lt;/m:rPr&gt;&lt;w:rPr&gt;&lt;w:rFonts w:ascii=&quot;Cambria Math&quot; w:h-ansi=&quot;Cambria Math&quot; w:hint=&quot;fareast&quot;/&gt;&lt;/w:rPr&gt;&lt;m:t&gt;≤&lt;/m:t&gt;&lt;/m:r&gt;&lt;m:sSub&gt;&lt;m:sSubPr&gt;&lt;m:ctrlPr&gt;&lt;w:rPr&gt;&lt;w:rFonts w:ascii=&quot;Cambria Math&quot; w:h-ansi=&quot;Cambria Math&quot; w:hint=&quot;default&quot;/&gt;&lt;/w:rPr&gt;&lt;/m:ctrlPr&gt;&lt;/m:sSubPr&gt;&lt;m:e&gt;&lt;m:r&gt;&lt;w:rPr&gt;&lt;w:rFonts w:ascii=&quot;Cambria Math&quot; w:h-ansi=&quot;Cambria Math&quot; w:hint=&quot;default&quot;/&gt;&lt;/w:rPr&gt;&lt;m:t&gt;I&lt;/m:t&gt;&lt;/m:r&gt;&lt;m:ctrlPr&gt;&lt;w:rPr&gt;&lt;w:rFonts w:ascii=&quot;Cambria Math&quot; w:h-ansi=&quot;Cambria Math&quot; w:hint=&quot;default&quot;/&gt;&lt;/w:rPr&gt;&lt;/m:ctrlPr&gt;&lt;/m:e&gt;&lt;m:sub&gt;&lt;m:r&gt;&lt;w:rPr&gt;&lt;w:rFonts w:ascii=&quot;Cambria Math&quot; w:h-ansi=&quot;Cambria Math&quot; w:hint=&quot;default&quot;/&gt;&lt;/w:rPr&gt;&lt;m:t&gt;n&lt;/m:t&gt;&lt;/m:r&gt;&lt;m:r&gt;&lt;m:rPr&gt;&lt;m:sty m:val=&quot;p&quot;/&gt;&lt;/m:rPr&gt;&lt;w:rPr&gt;&lt;w:rFonts w:ascii=&quot;Cambria Math&quot; w:h-ansi=&quot;Cambria Math&quot; w:hint=&quot;default&quot;/&gt;&lt;/w:rPr&gt;&lt;m:t&gt;-1&lt;/m:t&gt;&lt;/m:r&gt;&lt;m:ctrlPr&gt;&lt;w:rPr&gt;&lt;w:rFonts w:ascii=&quot;Cambria Math&quot; w:h-ansi=&quot;Cambria Math&quot; w:hint=&quot;default&quot;/&gt;&lt;/w:rPr&gt;&lt;/m:ctrlPr&gt;&lt;/m:sub&gt;&lt;/m:sSub&gt;&lt;m:r&gt;&lt;m:rPr&gt;&lt;m:sty m:val=&quot;p&quot;/&gt;&lt;/m:rPr&gt;&lt;w:rPr&gt;&lt;w:rFonts w:ascii=&quot;Cambria Math&quot; w:h-ansi=&quot;Cambria Math&quot; w:hint=&quot;default&quot;/&gt;&lt;/w:rPr&gt;&lt;m:t&gt;/&lt;/m:t&gt;&lt;/m:r&gt;&lt;m:sSub&gt;&lt;m:sSubPr&gt;&lt;m:ctrlPr&gt;&lt;w:rPr&gt;&lt;w:rFonts w:ascii=&quot;Cambria Math&quot; w:h-ansi=&quot;Cambria Math&quot; w:hint=&quot;default&quot;/&gt;&lt;/w:rPr&gt;&lt;/m:ctrlPr&gt;&lt;/m:sSubPr&gt;&lt;m:e&gt;&lt;m:r&gt;&lt;w:rPr&gt;&lt;w:rFonts w:ascii=&quot;Cambria Math&quot; w:h-ansi=&quot;Cambria Math&quot; w:hint=&quot;default&quot;/&gt;&lt;/w:rPr&gt;&lt;m:t&gt;I&lt;/m:t&gt;&lt;/m:r&gt;&lt;m:ctrlPr&gt;&lt;w:rPr&gt;&lt;w:rFonts w:ascii=&quot;Cambria Math&quot; w:h-ansi=&quot;Cambria Math&quot; w:hint=&quot;default&quot;/&gt;&lt;/w:rPr&gt;&lt;/m:ctrlPr&gt;&lt;/m:e&gt;&lt;m:sub&gt;&lt;m:r&gt;&lt;w:rPr&gt;&lt;w:rFonts w:ascii=&quot;Cambria Math&quot; w:h-ansi=&quot;Cambria Math&quot; w:hint=&quot;default&quot;/&gt;&lt;/w:rPr&gt;&lt;m:t&gt;n&lt;/m:t&gt;&lt;/m:r&gt;&lt;m:r&gt;&lt;m:rPr&gt;&lt;m:sty m:val=&quot;p&quot;/&gt;&lt;/m:rPr&gt;&lt;w:rPr&gt;&lt;w:rFonts w:ascii=&quot;Cambria Math&quot; w:h-ansi=&quot;Cambria Math&quot; w:hint=&quot;default&quot;/&gt;&lt;/w:rPr&gt;&lt;m:t&gt;-2&lt;/m:t&gt;&lt;/m:r&gt;&lt;m:ctrlPr&gt;&lt;w:rPr&gt;&lt;w:rFonts w:ascii=&quot;Cambria Math&quot; w:h-ansi=&quot;Cambria Math&quot; w:hint=&quot;default&quot;/&gt;&lt;/w:rPr&gt;&lt;/m:ctrlPr&gt;&lt;/m:sub&gt;&lt;/m:sSub&gt;&lt;/m:oMath&gt;&lt;/m:oMathPara&gt;&lt;/w:p&gt;&lt;/wx:sect&gt;&lt;/w:body&gt;&lt;/w:wordDocument&gt;">
            <v:path/>
            <v:fill on="f" focussize="0,0"/>
            <v:stroke on="f"/>
            <v:imagedata r:id="rId30"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38" o:spt="75" type="#_x0000_t75" style="height:28.2pt;width:64.6pt;" filled="f" o:preferrelative="t" stroked="f" coordsize="21600,21600" equationxml="&lt;">
            <v:path/>
            <v:fill on="f" focussize="0,0"/>
            <v:stroke on="f" joinstyle="miter"/>
            <v:imagedata r:id="rId31"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pict>
          <v:shape id="_x0000_i1039" o:spt="75" type="#_x0000_t75" style="height:18.8pt;width:64.2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hint=&quot;default&quot;/&gt;&lt;/w:rPr&gt;&lt;/m:ctrlPr&gt;&lt;/m:sSubPr&gt;&lt;m:e&gt;&lt;m:r&gt;&lt;w:rPr&gt;&lt;w:rFonts w:ascii=&quot;Cambria Math&quot; w:h-ansi=&quot;Cambria Math&quot; w:hint=&quot;default&quot;/&gt;&lt;/w:rPr&gt;&lt;m:t&gt;I&lt;/m:t&gt;&lt;/m:r&gt;&lt;m:ctrlPr&gt;&lt;w:rPr&gt;&lt;w:rFonts w:ascii=&quot;Cambria Math&quot; w:h-ansi=&quot;Cambria Math&quot; w:hint=&quot;default&quot;/&gt;&lt;/w:rPr&gt;&lt;/m:ctrlPr&gt;&lt;/m:e&gt;&lt;m:sub&gt;&lt;m:r&gt;&lt;w:rPr&gt;&lt;w:rFonts w:ascii=&quot;Cambria Math&quot; w:h-ansi=&quot;Cambria Math&quot; w:hint=&quot;default&quot;/&gt;&lt;/w:rPr&gt;&lt;m:t&gt;n&lt;/m:t&gt;&lt;/m:r&gt;&lt;m:r&gt;&lt;m:rPr&gt;&lt;m:sty m:val=&quot;p&quot;/&gt;&lt;/m:rPr&gt;&lt;w:rPr&gt;&lt;w:rFonts w:ascii=&quot;Cambria Math&quot; w:h-ansi=&quot;Cambria Math&quot; w:hint=&quot;default&quot;/&gt;&lt;/w:rPr&gt;&lt;m:t&gt;-1&lt;/m:t&gt;&lt;/m:r&gt;&lt;m:ctrlPr&gt;&lt;w:rPr&gt;&lt;w:rFonts w:ascii=&quot;Cambria Math&quot; w:h-ansi=&quot;Cambria Math&quot; w:hint=&quot;default&quot;/&gt;&lt;/w:rPr&gt;&lt;/m:ctrlPr&gt;&lt;/m:sub&gt;&lt;/m:sSub&gt;&lt;m:r&gt;&lt;m:rPr&gt;&lt;m:sty m:val=&quot;p&quot;/&gt;&lt;/m:rPr&gt;&lt;w:rPr&gt;&lt;w:rFonts w:ascii=&quot;Cambria Math&quot; w:h-ansi=&quot;Cambria Math&quot; w:hint=&quot;default&quot;/&gt;&lt;/w:rPr&gt;&lt;m:t&gt;/&lt;/m:t&gt;&lt;/m:r&gt;&lt;m:sSub&gt;&lt;m:sSubPr&gt;&lt;m:ctrlPr&gt;&lt;w:rPr&gt;&lt;w:rFonts w:ascii=&quot;Cambria Math&quot; w:h-ansi=&quot;Cambria Math&quot; w:hint=&quot;default&quot;/&gt;&lt;/w:rPr&gt;&lt;/m:ctrlPr&gt;&lt;/m:sSubPr&gt;&lt;m:e&gt;&lt;m:r&gt;&lt;w:rPr&gt;&lt;w:rFonts w:ascii=&quot;Cambria Math&quot; w:h-ansi=&quot;Cambria Math&quot; w:hint=&quot;default&quot;/&gt;&lt;/w:rPr&gt;&lt;m:t&gt;I&lt;/m:t&gt;&lt;/m:r&gt;&lt;m:ctrlPr&gt;&lt;w:rPr&gt;&lt;w:rFonts w:ascii=&quot;Cambria Math&quot; w:h-ansi=&quot;Cambria Math&quot; w:hint=&quot;default&quot;/&gt;&lt;/w:rPr&gt;&lt;/m:ctrlPr&gt;&lt;/m:e&gt;&lt;m:sub&gt;&lt;m:r&gt;&lt;w:rPr&gt;&lt;w:rFonts w:ascii=&quot;Cambria Math&quot; w:h-ansi=&quot;Cambria Math&quot; w:hint=&quot;default&quot;/&gt;&lt;/w:rPr&gt;&lt;m:t&gt;n&lt;/m:t&gt;&lt;/m:r&gt;&lt;m:r&gt;&lt;m:rPr&gt;&lt;m:sty m:val=&quot;p&quot;/&gt;&lt;/m:rPr&gt;&lt;w:rPr&gt;&lt;w:rFonts w:ascii=&quot;Cambria Math&quot; w:h-ansi=&quot;Cambria Math&quot; w:hint=&quot;default&quot;/&gt;&lt;/w:rPr&gt;&lt;m:t&gt;-2&lt;/m:t&gt;&lt;/m:r&gt;&lt;m:ctrlPr&gt;&lt;w:rPr&gt;&lt;w:rFonts w:ascii=&quot;Cambria Math&quot; w:h-ansi=&quot;Cambria Math&quot; w:hint=&quot;default&quot;/&gt;&lt;/w:rPr&gt;&lt;/m:ctrlPr&gt;&lt;/m:sub&gt;&lt;/m:sSub&gt;&lt;/m:oMath&gt;&lt;/m:oMathPara&gt;&lt;/w:p&gt;&lt;/wx:sect&gt;&lt;/w:body&gt;&lt;/w:wordDocument&gt;">
            <v:path/>
            <v:fill on="f" focussize="0,0"/>
            <v:stroke on="f"/>
            <v:imagedata r:id="rId32" o:title=""/>
            <o:lock v:ext="edit" aspectratio="f"/>
            <w10:wrap type="none"/>
            <w10:anchorlock/>
          </v:shape>
        </w:pict>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东方市统计局公布的第n-1年人均可支配收入除以第n-2年时人均可支配收入。</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调价系数</w:t>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40" o:spt="75" type="#_x0000_t75" style="height:28.2pt;width:253.1pt;" filled="f" o:preferrelative="t" stroked="f" coordsize="21600,21600" equationxml="&lt;">
            <v:path/>
            <v:fill on="f" focussize="0,0"/>
            <v:stroke on="f" joinstyle="miter"/>
            <v:imagedata r:id="rId33"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41" o:spt="75" type="#_x0000_t75" style="height:18.8pt;width:250.4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hint=&quot;default&quot;/&gt;&lt;/w:rPr&gt;&lt;m:t&gt;K&lt;/m:t&gt;&lt;/m:r&gt;&lt;m:r&gt;&lt;m:rPr&gt;&lt;m:sty m:val=&quot;p&quot;/&gt;&lt;/m:rPr&gt;&lt;w:rPr&gt;&lt;w:rFonts w:ascii=&quot;Cambria Math&quot; w:h-ansi=&quot;Cambria Math&quot; w:hint=&quot;default&quot;/&gt;&lt;/w:rPr&gt;&lt;m:t&gt;=&lt;/m:t&gt;&lt;/m:r&gt;&lt;m:r&gt;&lt;w:rPr&gt;&lt;w:rFonts w:ascii=&quot;Cambria Math&quot; w:h-ansi=&quot;Cambria Math&quot; w:hint=&quot;default&quot;/&gt;&lt;/w:rPr&gt;&lt;m:t&gt;a&lt;/m:t&gt;&lt;/m:r&gt;&lt;m:r&gt;&lt;m:rPr&gt;&lt;m:sty m:val=&quot;p&quot;/&gt;&lt;/m:rPr&gt;&lt;w:rPr&gt;&lt;w:rFonts w:ascii=&quot;Cambria Math&quot; w:h-ansi=&quot;Cambria Math&quot; w:hint=&quot;default&quot;/&gt;&lt;/w:rPr&gt;&lt;m:t&gt;*&lt;/m:t&gt;&lt;/m:r&gt;&lt;m:sSub&gt;&lt;m:sSubPr&gt;&lt;m:ctrlPr&gt;&lt;w:rPr&gt;&lt;w:rFonts w:ascii=&quot;Cambria Math&quot; w:h-ansi=&quot;Cambria Math&quot; w:hint=&quot;default&quot;/&gt;&lt;/w:rPr&gt;&lt;/m:ctrlPr&gt;&lt;/m:sSubPr&gt;&lt;m:e&gt;&lt;m:r&gt;&lt;w:rPr&gt;&lt;w:rFonts w:ascii=&quot;Cambria Math&quot; w:h-ansi=&quot;Cambria Math&quot; w:hint=&quot;default&quot;/&gt;&lt;/w:rPr&gt;&lt;m:t&gt;CPI&lt;/m:t&gt;&lt;/m:r&gt;&lt;m:ctrlPr&gt;&lt;w:rPr&gt;&lt;w:rFonts w:ascii=&quot;Cambria Math&quot; w:h-ansi=&quot;Cambria Math&quot; w:hint=&quot;default&quot;/&gt;&lt;/w:rPr&gt;&lt;/m:ctrlPr&gt;&lt;/m:e&gt;&lt;m:sub&gt;&lt;m:r&gt;&lt;w:rPr&gt;&lt;w:rFonts w:ascii=&quot;Cambria Math&quot; w:h-ansi=&quot;Cambria Math&quot; w:hint=&quot;default&quot;/&gt;&lt;/w:rPr&gt;&lt;m:t&gt;n&lt;/m:t&gt;&lt;/m:r&gt;&lt;m:r&gt;&lt;m:rPr&gt;&lt;m:sty m:val=&quot;p&quot;/&gt;&lt;/m:rPr&gt;&lt;w:rPr&gt;&lt;w:rFonts w:ascii=&quot;Cambria Math&quot; w:h-ansi=&quot;Cambria Math&quot; w:hint=&quot;default&quot;/&gt;&lt;/w:rPr&gt;&lt;m:t&gt;-1&lt;/m:t&gt;&lt;/m:r&gt;&lt;m:ctrlPr&gt;&lt;w:rPr&gt;&lt;w:rFonts w:ascii=&quot;Cambria Math&quot; w:h-ansi=&quot;Cambria Math&quot; w:hint=&quot;default&quot;/&gt;&lt;/w:rPr&gt;&lt;/m:ctrlPr&gt;&lt;/m:sub&gt;&lt;/m:sSub&gt;&lt;m:r&gt;&lt;m:rPr&gt;&lt;m:sty m:val=&quot;p&quot;/&gt;&lt;/m:rPr&gt;&lt;w:rPr&gt;&lt;w:rFonts w:ascii=&quot;Cambria Math&quot; w:h-ansi=&quot;Cambria Math&quot; w:hint=&quot;default&quot;/&gt;&lt;/w:rPr&gt;&lt;m:t&gt;+&lt;/m:t&gt;&lt;/m:r&gt;&lt;m:r&gt;&lt;w:rPr&gt;&lt;w:rFonts w:ascii=&quot;Cambria Math&quot; w:h-ansi=&quot;Cambria Math&quot; w:hint=&quot;default&quot;/&gt;&lt;/w:rPr&gt;&lt;m:t&gt;b&lt;/m:t&gt;&lt;/m:r&gt;&lt;m:r&gt;&lt;m:rPr&gt;&lt;m:sty m:val=&quot;p&quot;/&gt;&lt;/m:rPr&gt;&lt;w:rPr&gt;&lt;w:rFonts w:ascii=&quot;Cambria Math&quot; w:h-ansi=&quot;Cambria Math&quot; w:hint=&quot;default&quot;/&gt;&lt;/w:rPr&gt;&lt;m:t&gt;*&lt;/m:t&gt;&lt;/m:r&gt;&lt;m:sSub&gt;&lt;m:sSubPr&gt;&lt;m:ctrlPr&gt;&lt;w:rPr&gt;&lt;w:rFonts w:ascii=&quot;Cambria Math&quot; w:h-ansi=&quot;Cambria Math&quot; w:hint=&quot;default&quot;/&gt;&lt;/w:rPr&gt;&lt;/m:ctrlPr&gt;&lt;/m:sSubPr&gt;&lt;m:e&gt;&lt;m:r&gt;&lt;w:rPr&gt;&lt;w:rFonts w:ascii=&quot;Cambria Math&quot; w:h-ansi=&quot;Cambria Math&quot; w:hint=&quot;default&quot;/&gt;&lt;/w:rPr&gt;&lt;m:t&gt;E&lt;/m:t&gt;&lt;/m:r&gt;&lt;m:ctrlPr&gt;&lt;w:rPr&gt;&lt;w:rFonts w:ascii=&quot;Cambria Math&quot; w:h-ansi=&quot;Cambria Math&quot; w:hint=&quot;default&quot;/&gt;&lt;/w:rPr&gt;&lt;/m:ctrlPr&gt;&lt;/m:e&gt;&lt;m:sub&gt;&lt;m:r&gt;&lt;w:rPr&gt;&lt;w:rFonts w:ascii=&quot;Cambria Math&quot; w:h-ansi=&quot;Cambria Math&quot; w:hint=&quot;default&quot;/&gt;&lt;/w:rPr&gt;&lt;m:t&gt;n&lt;/m:t&gt;&lt;/m:r&gt;&lt;m:r&gt;&lt;m:rPr&gt;&lt;m:sty m:val=&quot;p&quot;/&gt;&lt;/m:rPr&gt;&lt;w:rPr&gt;&lt;w:rFonts w:ascii=&quot;Cambria Math&quot; w:h-ansi=&quot;Cambria Math&quot; w:hint=&quot;default&quot;/&gt;&lt;/w:rPr&gt;&lt;m:t&gt;-1&lt;/m:t&gt;&lt;/m:r&gt;&lt;m:ctrlPr&gt;&lt;w:rPr&gt;&lt;w:rFonts w:ascii=&quot;Cambria Math&quot; w:h-ansi=&quot;Cambria Math&quot; w:hint=&quot;default&quot;/&gt;&lt;/w:rPr&gt;&lt;/m:ctrlPr&gt;&lt;/m:sub&gt;&lt;/m:sSub&gt;&lt;m:r&gt;&lt;m:rPr&gt;&lt;m:sty m:val=&quot;p&quot;/&gt;&lt;/m:rPr&gt;&lt;w:rPr&gt;&lt;w:rFonts w:ascii=&quot;Cambria Math&quot; w:h-ansi=&quot;Cambria Math&quot; w:hint=&quot;default&quot;/&gt;&lt;/w:rPr&gt;&lt;m:t&gt;+&lt;/m:t&gt;&lt;/m:r&gt;&lt;m:r&gt;&lt;w:rPr&gt;&lt;w:rFonts w:ascii=&quot;Cambria Math&quot; w:h-ansi=&quot;Cambria Math&quot; w:hint=&quot;default&quot;/&gt;&lt;/w:rPr&gt;&lt;m:t&gt;c&lt;/m:t&gt;&lt;/m:r&gt;&lt;m:r&gt;&lt;m:rPr&gt;&lt;m:sty m:val=&quot;p&quot;/&gt;&lt;/m:rPr&gt;&lt;w:rPr&gt;&lt;w:rFonts w:ascii=&quot;Cambria Math&quot; w:h-ansi=&quot;Cambria Math&quot; w:hint=&quot;default&quot;/&gt;&lt;/w:rPr&gt;&lt;m:t&gt;*&lt;/m:t&gt;&lt;/m:r&gt;&lt;m:sSub&gt;&lt;m:sSubPr&gt;&lt;m:ctrlPr&gt;&lt;w:rPr&gt;&lt;w:rFonts w:ascii=&quot;Cambria Math&quot; w:h-ansi=&quot;Cambria Math&quot; w:hint=&quot;default&quot;/&gt;&lt;/w:rPr&gt;&lt;/m:ctrlPr&gt;&lt;/m:sSubPr&gt;&lt;m:e&gt;&lt;m:r&gt;&lt;w:rPr&gt;&lt;w:rFonts w:ascii=&quot;Cambria Math&quot; w:h-ansi=&quot;Cambria Math&quot; w:hint=&quot;default&quot;/&gt;&lt;/w:rPr&gt;&lt;m:t&gt;L&lt;/m:t&gt;&lt;/m:r&gt;&lt;m:ctrlPr&gt;&lt;w:rPr&gt;&lt;w:rFonts w:ascii=&quot;Cambria Math&quot; w:h-ansi=&quot;Cambria Math&quot; w:hint=&quot;default&quot;/&gt;&lt;/w:rPr&gt;&lt;/m:ctrlPr&gt;&lt;/m:e&gt;&lt;m:sub&gt;&lt;m:r&gt;&lt;w:rPr&gt;&lt;w:rFonts w:ascii=&quot;Cambria Math&quot; w:h-ansi=&quot;Cambria Math&quot; w:hint=&quot;default&quot;/&gt;&lt;/w:rPr&gt;&lt;m:t&gt;n&lt;/m:t&gt;&lt;/m:r&gt;&lt;m:r&gt;&lt;m:rPr&gt;&lt;m:sty m:val=&quot;p&quot;/&gt;&lt;/m:rPr&gt;&lt;w:rPr&gt;&lt;w:rFonts w:ascii=&quot;Cambria Math&quot; w:h-ansi=&quot;Cambria Math&quot; w:hint=&quot;default&quot;/&gt;&lt;/w:rPr&gt;&lt;m:t&gt;-1&lt;/m:t&gt;&lt;/m:r&gt;&lt;m:ctrlPr&gt;&lt;w:rPr&gt;&lt;w:rFonts w:ascii=&quot;Cambria Math&quot; w:h-ansi=&quot;Cambria Math&quot; w:hint=&quot;default&quot;/&gt;&lt;/w:rPr&gt;&lt;/m:ctrlPr&gt;&lt;/m:sub&gt;&lt;/m:sSub&gt;&lt;/m:oMath&gt;&lt;/m:oMathPara&gt;&lt;/w:p&gt;&lt;/wx:sect&gt;&lt;/w:body&gt;&lt;/w:wordDocument&gt;">
            <v:path/>
            <v:fill on="f" focussize="0,0"/>
            <v:stroke on="f"/>
            <v:imagedata r:id="rId34" o:title=""/>
            <o:lock v:ext="edit" aspectratio="f"/>
            <w10:wrap type="none"/>
            <w10:anchorlock/>
          </v:shape>
        </w:pict>
      </w:r>
      <w:r>
        <w:rPr>
          <w:rFonts w:asciiTheme="minorEastAsia" w:hAnsiTheme="minorEastAsia" w:eastAsiaTheme="minorEastAsia"/>
          <w:color w:val="auto"/>
          <w:sz w:val="24"/>
          <w:szCs w:val="24"/>
        </w:rPr>
        <w:fldChar w:fldCharType="end"/>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其中</w:t>
      </w:r>
      <w:r>
        <w:rPr>
          <w:rFonts w:asciiTheme="minorEastAsia" w:hAnsiTheme="minorEastAsia" w:eastAsiaTheme="minorEastAsia"/>
          <w:color w:val="auto"/>
          <w:sz w:val="24"/>
          <w:szCs w:val="24"/>
        </w:rPr>
        <w:t>，</w:t>
      </w:r>
      <w:r>
        <w:rPr>
          <w:rFonts w:hint="default" w:ascii="Cambria Math" w:hAnsi="Cambria Math" w:cs="Cambria Math" w:eastAsiaTheme="minorEastAsia"/>
          <w:color w:val="auto"/>
          <w:sz w:val="24"/>
          <w:szCs w:val="24"/>
        </w:rPr>
        <w:pict>
          <v:shape id="_x0000_i1042" o:spt="75" type="#_x0000_t75" style="height:18.8pt;width:8.9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hint=&quot;default&quot;/&gt;&lt;/w:rPr&gt;&lt;m:t&gt;a&lt;/m:t&gt;&lt;/m:r&gt;&lt;/m:oMath&gt;&lt;/m:oMathPara&gt;&lt;/w:p&gt;&lt;/wx:sect&gt;&lt;/w:body&gt;&lt;/w:wordDocument&gt;">
            <v:path/>
            <v:fill on="f" focussize="0,0"/>
            <v:stroke on="f"/>
            <v:imagedata r:id="rId35" o:title=""/>
            <o:lock v:ext="edit" aspectratio="f"/>
            <w10:wrap type="none"/>
            <w10:anchorlock/>
          </v:shape>
        </w:pict>
      </w:r>
      <w:r>
        <w:rPr>
          <w:rFonts w:hint="default" w:ascii="Cambria Math" w:hAnsi="Cambria Math" w:cs="Cambria Math" w:eastAsiaTheme="minorEastAsia"/>
          <w:color w:val="auto"/>
          <w:sz w:val="24"/>
          <w:szCs w:val="24"/>
        </w:rPr>
        <w:fldChar w:fldCharType="begin"/>
      </w:r>
      <w:r>
        <w:rPr>
          <w:rFonts w:hint="default" w:ascii="Cambria Math" w:hAnsi="Cambria Math" w:cs="Cambria Math" w:eastAsiaTheme="minorEastAsia"/>
          <w:color w:val="auto"/>
          <w:sz w:val="24"/>
          <w:szCs w:val="24"/>
        </w:rPr>
        <w:instrText xml:space="preserve"> QUOTE </w:instrText>
      </w:r>
      <w:r>
        <w:rPr>
          <w:rFonts w:hint="default" w:ascii="Cambria Math" w:hAnsi="Cambria Math" w:cs="Cambria Math" w:eastAsiaTheme="minorEastAsia"/>
          <w:color w:val="auto"/>
          <w:position w:val="-27"/>
          <w:sz w:val="24"/>
          <w:szCs w:val="24"/>
        </w:rPr>
        <w:pict>
          <v:shape id="_x0000_i1043" o:spt="75" type="#_x0000_t75" style="height:28.2pt;width:8.9pt;" filled="f" o:preferrelative="t" stroked="f" coordsize="21600,21600" equationxml="&lt;">
            <v:path/>
            <v:fill on="f" focussize="0,0"/>
            <v:stroke on="f" joinstyle="miter"/>
            <v:imagedata r:id="rId36" chromakey="#FFFFFF" o:title=""/>
            <o:lock v:ext="edit" aspectratio="t"/>
            <w10:wrap type="none"/>
            <w10:anchorlock/>
          </v:shape>
        </w:pict>
      </w:r>
      <w:r>
        <w:rPr>
          <w:rFonts w:hint="default" w:ascii="Cambria Math" w:hAnsi="Cambria Math" w:cs="Cambria Math" w:eastAsiaTheme="minorEastAsia"/>
          <w:color w:val="auto"/>
          <w:sz w:val="24"/>
          <w:szCs w:val="24"/>
        </w:rPr>
        <w:instrText xml:space="preserve"> </w:instrText>
      </w:r>
      <w:r>
        <w:rPr>
          <w:rFonts w:hint="default" w:ascii="Cambria Math" w:hAnsi="Cambria Math" w:cs="Cambria Math" w:eastAsiaTheme="minorEastAsia"/>
          <w:color w:val="auto"/>
          <w:sz w:val="24"/>
          <w:szCs w:val="24"/>
        </w:rPr>
        <w:fldChar w:fldCharType="separate"/>
      </w:r>
      <w:r>
        <w:rPr>
          <w:rFonts w:hint="default" w:ascii="Cambria Math" w:hAnsi="Cambria Math" w:cs="Cambria Math" w:eastAsiaTheme="minorEastAsia"/>
          <w:color w:val="auto"/>
          <w:sz w:val="24"/>
          <w:szCs w:val="24"/>
        </w:rPr>
        <w:fldChar w:fldCharType="end"/>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扣除人工费用、动力费用</w:t>
      </w:r>
      <w:r>
        <w:rPr>
          <w:rFonts w:hint="eastAsia" w:asciiTheme="minorEastAsia" w:hAnsiTheme="minorEastAsia" w:eastAsiaTheme="minorEastAsia"/>
          <w:color w:val="auto"/>
          <w:sz w:val="24"/>
          <w:szCs w:val="24"/>
        </w:rPr>
        <w:t>以外</w:t>
      </w:r>
      <w:r>
        <w:rPr>
          <w:rFonts w:asciiTheme="minorEastAsia" w:hAnsiTheme="minorEastAsia" w:eastAsiaTheme="minorEastAsia"/>
          <w:color w:val="auto"/>
          <w:sz w:val="24"/>
          <w:szCs w:val="24"/>
        </w:rPr>
        <w:t>的其他费用在</w:t>
      </w:r>
      <w:r>
        <w:rPr>
          <w:rFonts w:hint="eastAsia" w:asciiTheme="minorEastAsia" w:hAnsiTheme="minorEastAsia" w:eastAsiaTheme="minorEastAsia"/>
          <w:color w:val="auto"/>
          <w:sz w:val="24"/>
          <w:szCs w:val="24"/>
        </w:rPr>
        <w:t>特许经营企业</w:t>
      </w:r>
      <w:r>
        <w:rPr>
          <w:rFonts w:asciiTheme="minorEastAsia" w:hAnsiTheme="minorEastAsia" w:eastAsiaTheme="minorEastAsia"/>
          <w:color w:val="auto"/>
          <w:sz w:val="24"/>
          <w:szCs w:val="24"/>
        </w:rPr>
        <w:t>运营成本构成中所占的比例，取值30%；</w:t>
      </w:r>
    </w:p>
    <w:p>
      <w:pPr>
        <w:pStyle w:val="48"/>
        <w:rPr>
          <w:rFonts w:asciiTheme="minorEastAsia" w:hAnsiTheme="minorEastAsia" w:eastAsiaTheme="minorEastAsia"/>
          <w:color w:val="auto"/>
          <w:sz w:val="24"/>
          <w:szCs w:val="24"/>
        </w:rPr>
      </w:pPr>
      <w:r>
        <w:rPr>
          <w:rFonts w:hint="default" w:ascii="Cambria Math" w:hAnsi="Cambria Math" w:cs="Cambria Math" w:eastAsiaTheme="minorEastAsia"/>
          <w:b/>
          <w:bCs/>
          <w:color w:val="auto"/>
          <w:sz w:val="24"/>
          <w:szCs w:val="24"/>
        </w:rPr>
        <w:pict>
          <v:shape id="_x0000_i1044" o:spt="75" type="#_x0000_t75" style="height:18.8pt;width:8.6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fareast=&quot;宋体&quot; w:cs=&quot;宋体&quot; w:hint=&quot;fareast&quot;/&gt;&lt;/w:rPr&gt;&lt;m:t&gt;b&lt;/m:t&gt;&lt;/m:r&gt;&lt;/m:oMath&gt;&lt;/m:oMathPara&gt;&lt;/w:p&gt;&lt;/wx:sect&gt;&lt;/w:body&gt;&lt;/w:wordDocument&gt;">
            <v:path/>
            <v:fill on="f" focussize="0,0"/>
            <v:stroke on="f"/>
            <v:imagedata r:id="rId37" o:title=""/>
            <o:lock v:ext="edit" aspectratio="f"/>
            <w10:wrap type="none"/>
            <w10:anchorlock/>
          </v:shape>
        </w:pict>
      </w:r>
      <w:r>
        <w:rPr>
          <w:rFonts w:asciiTheme="minorEastAsia" w:hAnsiTheme="minorEastAsia" w:eastAsiaTheme="minorEastAsia"/>
          <w:b/>
          <w:bCs/>
          <w:color w:val="auto"/>
          <w:sz w:val="24"/>
          <w:szCs w:val="24"/>
        </w:rPr>
        <w:fldChar w:fldCharType="begin"/>
      </w:r>
      <w:r>
        <w:rPr>
          <w:rFonts w:asciiTheme="minorEastAsia" w:hAnsiTheme="minorEastAsia" w:eastAsiaTheme="minorEastAsia"/>
          <w:b/>
          <w:bCs/>
          <w:color w:val="auto"/>
          <w:sz w:val="24"/>
          <w:szCs w:val="24"/>
        </w:rPr>
        <w:instrText xml:space="preserve"> QUOTE </w:instrText>
      </w:r>
      <w:r>
        <w:rPr>
          <w:rFonts w:asciiTheme="minorEastAsia" w:hAnsiTheme="minorEastAsia" w:eastAsiaTheme="minorEastAsia"/>
          <w:b/>
          <w:bCs/>
          <w:color w:val="auto"/>
          <w:position w:val="-27"/>
          <w:sz w:val="24"/>
          <w:szCs w:val="24"/>
        </w:rPr>
        <w:pict>
          <v:shape id="_x0000_i1045" o:spt="75" type="#_x0000_t75" style="height:28.2pt;width:8.9pt;" filled="f" o:preferrelative="t" stroked="f" coordsize="21600,21600" equationxml="&lt;">
            <v:path/>
            <v:fill on="f" focussize="0,0"/>
            <v:stroke on="f" joinstyle="miter"/>
            <v:imagedata r:id="rId36" chromakey="#FFFFFF" o:title=""/>
            <o:lock v:ext="edit" aspectratio="t"/>
            <w10:wrap type="none"/>
            <w10:anchorlock/>
          </v:shape>
        </w:pict>
      </w:r>
      <w:r>
        <w:rPr>
          <w:rFonts w:asciiTheme="minorEastAsia" w:hAnsiTheme="minorEastAsia" w:eastAsiaTheme="minorEastAsia"/>
          <w:b/>
          <w:bCs/>
          <w:color w:val="auto"/>
          <w:sz w:val="24"/>
          <w:szCs w:val="24"/>
        </w:rPr>
        <w:instrText xml:space="preserve"> </w:instrText>
      </w:r>
      <w:r>
        <w:rPr>
          <w:rFonts w:asciiTheme="minorEastAsia" w:hAnsiTheme="minorEastAsia" w:eastAsiaTheme="minorEastAsia"/>
          <w:b/>
          <w:bCs/>
          <w:color w:val="auto"/>
          <w:sz w:val="24"/>
          <w:szCs w:val="24"/>
        </w:rPr>
        <w:fldChar w:fldCharType="separate"/>
      </w:r>
      <w:r>
        <w:rPr>
          <w:rFonts w:asciiTheme="minorEastAsia" w:hAnsiTheme="minorEastAsia" w:eastAsiaTheme="minorEastAsia"/>
          <w:b/>
          <w:bCs/>
          <w:color w:val="auto"/>
          <w:sz w:val="24"/>
          <w:szCs w:val="24"/>
        </w:rPr>
        <w:fldChar w:fldCharType="end"/>
      </w:r>
      <w:r>
        <w:rPr>
          <w:rFonts w:hint="eastAsia" w:asciiTheme="minorEastAsia" w:hAnsiTheme="minorEastAsia" w:eastAsiaTheme="minorEastAsia"/>
          <w:color w:val="auto"/>
          <w:sz w:val="24"/>
          <w:szCs w:val="24"/>
        </w:rPr>
        <w:t>为动力</w:t>
      </w:r>
      <w:r>
        <w:rPr>
          <w:rFonts w:asciiTheme="minorEastAsia" w:hAnsiTheme="minorEastAsia" w:eastAsiaTheme="minorEastAsia"/>
          <w:color w:val="auto"/>
          <w:sz w:val="24"/>
          <w:szCs w:val="24"/>
        </w:rPr>
        <w:t>费用在特许经营企业运营成本构成中所占的比例，取值20%；</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46" o:spt="75" type="#_x0000_t75" style="height:28.2pt;width:7.4pt;" filled="f" o:preferrelative="t" stroked="f" coordsize="21600,21600" equationxml="&lt;">
            <v:path/>
            <v:fill on="f" focussize="0,0"/>
            <v:stroke on="f" joinstyle="miter"/>
            <v:imagedata r:id="rId38"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47" o:spt="75" type="#_x0000_t75" style="height:18.8pt;width:7.3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fareast=&quot;宋体&quot; w:cs=&quot;宋体&quot; w:hint=&quot;fareast&quot;/&gt;&lt;/w:rPr&gt;&lt;m:t&gt;c&lt;/m:t&gt;&lt;/m:r&gt;&lt;/m:oMath&gt;&lt;/m:oMathPara&gt;&lt;/w:p&gt;&lt;/wx:sect&gt;&lt;/w:body&gt;&lt;/w:wordDocument&gt;">
            <v:path/>
            <v:fill on="f" focussize="0,0"/>
            <v:stroke on="f"/>
            <v:imagedata r:id="rId39"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人工费用在公共交通企业运营成本构成中所占的比例</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取值50%；</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48" o:spt="75" type="#_x0000_t75" style="height:28.2pt;width:48.25pt;" filled="f" o:preferrelative="t" stroked="f" coordsize="21600,21600" equationxml="&lt;">
            <v:path/>
            <v:fill on="f" focussize="0,0"/>
            <v:stroke on="f" joinstyle="miter"/>
            <v:imagedata r:id="rId40"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49" o:spt="75" type="#_x0000_t75" style="height:18.8pt;width:45.7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CPI&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r&gt;&lt;m:rPr&gt;&lt;m:sty m:val=&quot;p&quot;/&gt;&lt;/m:rPr&gt;&lt;w:rPr&gt;&lt;w:rFonts w:ascii=&quot;Cambria Math&quot; w:h-ansi=&quot;Cambria Math&quot; w:fareast=&quot;宋体&quot; w:cs=&quot;宋体&quot; w:hint=&quot;fareast&quot;/&gt;&lt;/w:rPr&gt;&lt;m:t&gt;-1&lt;/m:t&gt;&lt;/m:r&gt;&lt;m:ctrlPr&gt;&lt;w:rPr&gt;&lt;w:rFonts w:ascii=&quot;Cambria Math&quot; w:h-ansi=&quot;Cambria Math&quot; w:fareast=&quot;宋体&quot; w:cs=&quot;宋体&quot; w:hint=&quot;fareast&quot;/&gt;&lt;/w:rPr&gt;&lt;/m:ctrlPr&gt;&lt;/m:sub&gt;&lt;/m:sSub&gt;&lt;/m:oMath&gt;&lt;/m:oMathPara&gt;&lt;/w:p&gt;&lt;/wx:sect&gt;&lt;/w:body&gt;&lt;/w:wordDocument&gt;">
            <v:path/>
            <v:fill on="f" focussize="0,0"/>
            <v:stroke on="f"/>
            <v:imagedata r:id="rId41"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东方市统计局公布的第n-1年时的</w:t>
      </w:r>
      <w:r>
        <w:rPr>
          <w:rFonts w:hint="eastAsia" w:asciiTheme="minorEastAsia" w:hAnsiTheme="minorEastAsia" w:eastAsiaTheme="minorEastAsia"/>
          <w:color w:val="auto"/>
          <w:sz w:val="24"/>
          <w:szCs w:val="24"/>
        </w:rPr>
        <w:t>居民</w:t>
      </w:r>
      <w:r>
        <w:rPr>
          <w:rFonts w:asciiTheme="minorEastAsia" w:hAnsiTheme="minorEastAsia" w:eastAsiaTheme="minorEastAsia"/>
          <w:color w:val="auto"/>
          <w:sz w:val="24"/>
          <w:szCs w:val="24"/>
        </w:rPr>
        <w:t>消费价格</w:t>
      </w:r>
      <w:r>
        <w:rPr>
          <w:rFonts w:hint="eastAsia" w:asciiTheme="minorEastAsia" w:hAnsiTheme="minorEastAsia" w:eastAsiaTheme="minorEastAsia"/>
          <w:color w:val="auto"/>
          <w:sz w:val="24"/>
          <w:szCs w:val="24"/>
        </w:rPr>
        <w:t>指数</w:t>
      </w:r>
      <w:r>
        <w:rPr>
          <w:rFonts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50" o:spt="75" type="#_x0000_t75" style="height:28.2pt;width:31.9pt;" filled="f" o:preferrelative="t" stroked="f" coordsize="21600,21600" equationxml="&lt;">
            <v:path/>
            <v:fill on="f" focussize="0,0"/>
            <v:stroke on="f" joinstyle="miter"/>
            <v:imagedata r:id="rId42"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51" o:spt="75" type="#_x0000_t75" style="height:18.8pt;width:30.2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E&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r&gt;&lt;m:rPr&gt;&lt;m:sty m:val=&quot;p&quot;/&gt;&lt;/m:rPr&gt;&lt;w:rPr&gt;&lt;w:rFonts w:ascii=&quot;Cambria Math&quot; w:h-ansi=&quot;Cambria Math&quot; w:fareast=&quot;宋体&quot; w:cs=&quot;宋体&quot; w:hint=&quot;fareast&quot;/&gt;&lt;/w:rPr&gt;&lt;m:t&gt;-1&lt;/m:t&gt;&lt;/m:r&gt;&lt;m:ctrlPr&gt;&lt;w:rPr&gt;&lt;w:rFonts w:ascii=&quot;Cambria Math&quot; w:h-ansi=&quot;Cambria Math&quot; w:fareast=&quot;宋体&quot; w:cs=&quot;宋体&quot; w:hint=&quot;fareast&quot;/&gt;&lt;/w:rPr&gt;&lt;/m:ctrlPr&gt;&lt;/m:sub&gt;&lt;/m:sSub&gt;&lt;/m:oMath&gt;&lt;/m:oMathPara&gt;&lt;/w:p&gt;&lt;/wx:sect&gt;&lt;/w:body&gt;&lt;/w:wordDocument&gt;">
            <v:path/>
            <v:fill on="f" focussize="0,0"/>
            <v:stroke on="f"/>
            <v:imagedata r:id="rId43"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需分类计算</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燃油车</w:t>
      </w:r>
      <w:r>
        <w:rPr>
          <w:rFonts w:asciiTheme="minorEastAsia" w:hAnsiTheme="minorEastAsia" w:eastAsiaTheme="minorEastAsia"/>
          <w:color w:val="auto"/>
          <w:sz w:val="24"/>
          <w:szCs w:val="24"/>
        </w:rPr>
        <w:t>指第n-1年的燃油年均价格与第n-2年的燃油年均价格之比（%）</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新能源公交车</w:t>
      </w:r>
      <w:r>
        <w:rPr>
          <w:rFonts w:hint="eastAsia" w:asciiTheme="minorEastAsia" w:hAnsiTheme="minorEastAsia" w:eastAsiaTheme="minorEastAsia"/>
          <w:color w:val="auto"/>
          <w:sz w:val="24"/>
          <w:szCs w:val="24"/>
        </w:rPr>
        <w:t>指</w:t>
      </w:r>
      <w:r>
        <w:rPr>
          <w:rFonts w:asciiTheme="minorEastAsia" w:hAnsiTheme="minorEastAsia" w:eastAsiaTheme="minorEastAsia"/>
          <w:color w:val="auto"/>
          <w:sz w:val="24"/>
          <w:szCs w:val="24"/>
        </w:rPr>
        <w:t>第n-1年的年均</w:t>
      </w:r>
      <w:r>
        <w:rPr>
          <w:rFonts w:hint="eastAsia" w:asciiTheme="minorEastAsia" w:hAnsiTheme="minorEastAsia" w:eastAsiaTheme="minorEastAsia"/>
          <w:color w:val="auto"/>
          <w:sz w:val="24"/>
          <w:szCs w:val="24"/>
        </w:rPr>
        <w:t>电</w:t>
      </w:r>
      <w:r>
        <w:rPr>
          <w:rFonts w:asciiTheme="minorEastAsia" w:hAnsiTheme="minorEastAsia" w:eastAsiaTheme="minorEastAsia"/>
          <w:color w:val="auto"/>
          <w:sz w:val="24"/>
          <w:szCs w:val="24"/>
        </w:rPr>
        <w:t>价与第n-2年的</w:t>
      </w:r>
      <w:r>
        <w:rPr>
          <w:rFonts w:hint="eastAsia" w:asciiTheme="minorEastAsia" w:hAnsiTheme="minorEastAsia" w:eastAsiaTheme="minorEastAsia"/>
          <w:color w:val="auto"/>
          <w:sz w:val="24"/>
          <w:szCs w:val="24"/>
        </w:rPr>
        <w:t>年均电价</w:t>
      </w:r>
      <w:r>
        <w:rPr>
          <w:rFonts w:asciiTheme="minorEastAsia" w:hAnsiTheme="minorEastAsia" w:eastAsiaTheme="minorEastAsia"/>
          <w:color w:val="auto"/>
          <w:sz w:val="24"/>
          <w:szCs w:val="24"/>
        </w:rPr>
        <w:t>之比（%）</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52" o:spt="75" type="#_x0000_t75" style="height:28.2pt;width:31.2pt;" filled="f" o:preferrelative="t" stroked="f" coordsize="21600,21600" equationxml="&lt;">
            <v:path/>
            <v:fill on="f" focussize="0,0"/>
            <v:stroke on="f" joinstyle="miter"/>
            <v:imagedata r:id="rId25"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53" o:spt="75" type="#_x0000_t75" style="height:18.8pt;width:28.7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L&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r&gt;&lt;m:rPr&gt;&lt;m:sty m:val=&quot;p&quot;/&gt;&lt;/m:rPr&gt;&lt;w:rPr&gt;&lt;w:rFonts w:ascii=&quot;Cambria Math&quot; w:h-ansi=&quot;Cambria Math&quot; w:fareast=&quot;宋体&quot; w:cs=&quot;宋体&quot; w:hint=&quot;fareast&quot;/&gt;&lt;/w:rPr&gt;&lt;m:t&gt;-1&lt;/m:t&gt;&lt;/m:r&gt;&lt;m:ctrlPr&gt;&lt;w:rPr&gt;&lt;w:rFonts w:ascii=&quot;Cambria Math&quot; w:h-ansi=&quot;Cambria Math&quot; w:fareast=&quot;宋体&quot; w:cs=&quot;宋体&quot; w:hint=&quot;fareast&quot;/&gt;&lt;/w:rPr&gt;&lt;/m:ctrlPr&gt;&lt;/m:sub&gt;&lt;/m:sSub&gt;&lt;/m:oMath&gt;&lt;/m:oMathPara&gt;&lt;/w:p&gt;&lt;/wx:sect&gt;&lt;/w:body&gt;&lt;/w:wordDocument&gt;">
            <v:path/>
            <v:fill on="f" focussize="0,0"/>
            <v:stroke on="f"/>
            <v:imagedata r:id="rId44"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东方市统计局公布的第n-1年的交通运输、仓储和邮政业城镇单位在岗职工平均工资与第n-2年的之比（%）</w:t>
      </w:r>
      <w:r>
        <w:rPr>
          <w:rFonts w:hint="eastAsia"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当</w:t>
      </w:r>
      <w:r>
        <w:rPr>
          <w:rFonts w:asciiTheme="minorEastAsia" w:hAnsiTheme="minorEastAsia" w:eastAsiaTheme="minorEastAsia"/>
          <w:color w:val="auto"/>
          <w:sz w:val="24"/>
          <w:szCs w:val="24"/>
        </w:rPr>
        <w:t>平均票价调整幅度大于0.5</w:t>
      </w:r>
      <w:r>
        <w:rPr>
          <w:rFonts w:hint="eastAsia" w:asciiTheme="minorEastAsia" w:hAnsiTheme="minorEastAsia" w:eastAsiaTheme="minorEastAsia"/>
          <w:color w:val="auto"/>
          <w:sz w:val="24"/>
          <w:szCs w:val="24"/>
        </w:rPr>
        <w:t>元</w:t>
      </w:r>
      <w:r>
        <w:rPr>
          <w:rFonts w:asciiTheme="minorEastAsia" w:hAnsiTheme="minorEastAsia" w:eastAsiaTheme="minorEastAsia"/>
          <w:color w:val="auto"/>
          <w:sz w:val="24"/>
          <w:szCs w:val="24"/>
        </w:rPr>
        <w:t>时，启动年度调价。未</w:t>
      </w:r>
      <w:r>
        <w:rPr>
          <w:rFonts w:hint="eastAsia" w:asciiTheme="minorEastAsia" w:hAnsiTheme="minorEastAsia" w:eastAsiaTheme="minorEastAsia"/>
          <w:color w:val="auto"/>
          <w:sz w:val="24"/>
          <w:szCs w:val="24"/>
        </w:rPr>
        <w:t>达到</w:t>
      </w:r>
      <w:r>
        <w:rPr>
          <w:rFonts w:asciiTheme="minorEastAsia" w:hAnsiTheme="minorEastAsia" w:eastAsiaTheme="minorEastAsia"/>
          <w:color w:val="auto"/>
          <w:sz w:val="24"/>
          <w:szCs w:val="24"/>
        </w:rPr>
        <w:t>上述启动条件时，当年不作调整，纳入下一周期累计。</w:t>
      </w:r>
      <w:r>
        <w:rPr>
          <w:rFonts w:hint="eastAsia" w:asciiTheme="minorEastAsia" w:hAnsiTheme="minorEastAsia" w:eastAsiaTheme="minorEastAsia"/>
          <w:color w:val="auto"/>
          <w:sz w:val="24"/>
          <w:szCs w:val="24"/>
        </w:rPr>
        <w:t>调整价格不得超出政府定价（若有时）。</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当</w:t>
      </w:r>
      <w:r>
        <w:rPr>
          <w:rFonts w:asciiTheme="minorEastAsia" w:hAnsiTheme="minorEastAsia" w:eastAsiaTheme="minorEastAsia"/>
          <w:color w:val="auto"/>
          <w:sz w:val="24"/>
          <w:szCs w:val="24"/>
        </w:rPr>
        <w:t>城乡公交客运服务票价调整达到启动条件后，由特许经营企业提出价格调整具体意见和价格调整方案，经</w:t>
      </w:r>
      <w:r>
        <w:rPr>
          <w:rFonts w:hint="eastAsia" w:asciiTheme="minorEastAsia" w:hAnsiTheme="minorEastAsia" w:eastAsiaTheme="minorEastAsia"/>
          <w:color w:val="auto"/>
          <w:sz w:val="24"/>
          <w:szCs w:val="24"/>
        </w:rPr>
        <w:t>交通运输</w:t>
      </w:r>
      <w:r>
        <w:rPr>
          <w:rFonts w:asciiTheme="minorEastAsia" w:hAnsiTheme="minorEastAsia" w:eastAsiaTheme="minorEastAsia"/>
          <w:color w:val="auto"/>
          <w:sz w:val="24"/>
          <w:szCs w:val="24"/>
        </w:rPr>
        <w:t>主管部门委托第三方机构评审、听取各相关职能部门及社会意见，并报请市政府同意后，对外公布实施。</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以</w:t>
      </w:r>
      <w:r>
        <w:rPr>
          <w:rFonts w:asciiTheme="minorEastAsia" w:hAnsiTheme="minorEastAsia" w:eastAsiaTheme="minorEastAsia"/>
          <w:color w:val="auto"/>
          <w:sz w:val="24"/>
          <w:szCs w:val="24"/>
        </w:rPr>
        <w:t>4年为1个周期，由交通</w:t>
      </w:r>
      <w:r>
        <w:rPr>
          <w:rFonts w:hint="eastAsia" w:asciiTheme="minorEastAsia" w:hAnsiTheme="minorEastAsia" w:eastAsiaTheme="minorEastAsia"/>
          <w:color w:val="auto"/>
          <w:sz w:val="24"/>
          <w:szCs w:val="24"/>
        </w:rPr>
        <w:t>运输</w:t>
      </w:r>
      <w:r>
        <w:rPr>
          <w:rFonts w:asciiTheme="minorEastAsia" w:hAnsiTheme="minorEastAsia" w:eastAsiaTheme="minorEastAsia"/>
          <w:color w:val="auto"/>
          <w:sz w:val="24"/>
          <w:szCs w:val="24"/>
        </w:rPr>
        <w:t>主管部门</w:t>
      </w:r>
      <w:r>
        <w:rPr>
          <w:rFonts w:hint="eastAsia" w:asciiTheme="minorEastAsia" w:hAnsiTheme="minorEastAsia" w:eastAsiaTheme="minorEastAsia"/>
          <w:color w:val="auto"/>
          <w:sz w:val="24"/>
          <w:szCs w:val="24"/>
        </w:rPr>
        <w:t>牵头</w:t>
      </w:r>
      <w:r>
        <w:rPr>
          <w:rFonts w:asciiTheme="minorEastAsia" w:hAnsiTheme="minorEastAsia" w:eastAsiaTheme="minorEastAsia"/>
          <w:color w:val="auto"/>
          <w:sz w:val="24"/>
          <w:szCs w:val="24"/>
        </w:rPr>
        <w:t>组织</w:t>
      </w:r>
      <w:r>
        <w:rPr>
          <w:rFonts w:hint="eastAsia" w:asciiTheme="minorEastAsia" w:hAnsiTheme="minorEastAsia" w:eastAsiaTheme="minorEastAsia"/>
          <w:color w:val="auto"/>
          <w:sz w:val="24"/>
          <w:szCs w:val="24"/>
        </w:rPr>
        <w:t>对</w:t>
      </w:r>
      <w:r>
        <w:rPr>
          <w:rFonts w:asciiTheme="minorEastAsia" w:hAnsiTheme="minorEastAsia" w:eastAsiaTheme="minorEastAsia"/>
          <w:color w:val="auto"/>
          <w:sz w:val="24"/>
          <w:szCs w:val="24"/>
        </w:rPr>
        <w:t>城乡公交客运服务调价</w:t>
      </w:r>
      <w:r>
        <w:rPr>
          <w:rFonts w:hint="eastAsia" w:asciiTheme="minorEastAsia" w:hAnsiTheme="minorEastAsia" w:eastAsiaTheme="minorEastAsia"/>
          <w:color w:val="auto"/>
          <w:sz w:val="24"/>
          <w:szCs w:val="24"/>
        </w:rPr>
        <w:t>公式</w:t>
      </w:r>
      <w:r>
        <w:rPr>
          <w:rFonts w:asciiTheme="minorEastAsia" w:hAnsiTheme="minorEastAsia" w:eastAsiaTheme="minorEastAsia"/>
          <w:color w:val="auto"/>
          <w:sz w:val="24"/>
          <w:szCs w:val="24"/>
        </w:rPr>
        <w:t>进行评估。如需</w:t>
      </w:r>
      <w:r>
        <w:rPr>
          <w:rFonts w:hint="eastAsia" w:asciiTheme="minorEastAsia" w:hAnsiTheme="minorEastAsia" w:eastAsiaTheme="minorEastAsia"/>
          <w:color w:val="auto"/>
          <w:sz w:val="24"/>
          <w:szCs w:val="24"/>
        </w:rPr>
        <w:t>调整</w:t>
      </w:r>
      <w:r>
        <w:rPr>
          <w:rFonts w:asciiTheme="minorEastAsia" w:hAnsiTheme="minorEastAsia" w:eastAsiaTheme="minorEastAsia"/>
          <w:color w:val="auto"/>
          <w:sz w:val="24"/>
          <w:szCs w:val="24"/>
        </w:rPr>
        <w:t>，经价格听证会听证，并报请市委、市政府批准后对外公布实施。</w:t>
      </w:r>
    </w:p>
    <w:p>
      <w:pPr>
        <w:pStyle w:val="4"/>
        <w:spacing w:before="0" w:after="0" w:line="360" w:lineRule="auto"/>
        <w:ind w:firstLine="643"/>
        <w:rPr>
          <w:rFonts w:asciiTheme="minorEastAsia" w:hAnsiTheme="minorEastAsia" w:eastAsiaTheme="minorEastAsia"/>
          <w:color w:val="auto"/>
          <w:sz w:val="24"/>
        </w:rPr>
      </w:pPr>
      <w:bookmarkStart w:id="139" w:name="_Toc19881805"/>
      <w:bookmarkStart w:id="140" w:name="_Toc14266242"/>
      <w:r>
        <w:rPr>
          <w:rFonts w:asciiTheme="minorEastAsia" w:hAnsiTheme="minorEastAsia" w:eastAsiaTheme="minorEastAsia"/>
          <w:color w:val="auto"/>
          <w:sz w:val="24"/>
        </w:rPr>
        <w:t>2.</w:t>
      </w:r>
      <w:r>
        <w:rPr>
          <w:rFonts w:hint="eastAsia" w:asciiTheme="minorEastAsia" w:hAnsiTheme="minorEastAsia" w:eastAsiaTheme="minorEastAsia"/>
          <w:color w:val="auto"/>
          <w:sz w:val="24"/>
        </w:rPr>
        <w:t>运营补助调价机制</w:t>
      </w:r>
      <w:bookmarkEnd w:id="139"/>
      <w:bookmarkEnd w:id="140"/>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在</w:t>
      </w:r>
      <w:r>
        <w:rPr>
          <w:rFonts w:asciiTheme="minorEastAsia" w:hAnsiTheme="minorEastAsia" w:eastAsiaTheme="minorEastAsia"/>
          <w:color w:val="auto"/>
          <w:sz w:val="24"/>
        </w:rPr>
        <w:t>运营期内，若海南省交通运输主管部门</w:t>
      </w:r>
      <w:r>
        <w:rPr>
          <w:rFonts w:hint="eastAsia" w:asciiTheme="minorEastAsia" w:hAnsiTheme="minorEastAsia" w:eastAsiaTheme="minorEastAsia"/>
          <w:color w:val="auto"/>
          <w:sz w:val="24"/>
        </w:rPr>
        <w:t>或</w:t>
      </w:r>
      <w:r>
        <w:rPr>
          <w:rFonts w:asciiTheme="minorEastAsia" w:hAnsiTheme="minorEastAsia" w:eastAsiaTheme="minorEastAsia"/>
          <w:color w:val="auto"/>
          <w:sz w:val="24"/>
        </w:rPr>
        <w:t>东方市交通运输主管部门</w:t>
      </w:r>
      <w:r>
        <w:rPr>
          <w:rFonts w:hint="eastAsia" w:asciiTheme="minorEastAsia" w:hAnsiTheme="minorEastAsia" w:eastAsiaTheme="minorEastAsia"/>
          <w:color w:val="auto"/>
          <w:sz w:val="24"/>
        </w:rPr>
        <w:t>颁布了公交行业</w:t>
      </w:r>
      <w:r>
        <w:rPr>
          <w:rFonts w:asciiTheme="minorEastAsia" w:hAnsiTheme="minorEastAsia" w:eastAsiaTheme="minorEastAsia"/>
          <w:color w:val="auto"/>
          <w:sz w:val="24"/>
        </w:rPr>
        <w:t>成本规制办法</w:t>
      </w:r>
      <w:r>
        <w:rPr>
          <w:rFonts w:hint="eastAsia" w:asciiTheme="minorEastAsia" w:hAnsiTheme="minorEastAsia" w:eastAsiaTheme="minorEastAsia"/>
          <w:color w:val="auto"/>
          <w:sz w:val="24"/>
        </w:rPr>
        <w:t>或公交行业</w:t>
      </w:r>
      <w:r>
        <w:rPr>
          <w:rFonts w:asciiTheme="minorEastAsia" w:hAnsiTheme="minorEastAsia" w:eastAsiaTheme="minorEastAsia"/>
          <w:color w:val="auto"/>
          <w:sz w:val="24"/>
        </w:rPr>
        <w:t>成本支出费用标准等相关文件，则自</w:t>
      </w:r>
      <w:r>
        <w:rPr>
          <w:rFonts w:hint="eastAsia" w:asciiTheme="minorEastAsia" w:hAnsiTheme="minorEastAsia" w:eastAsiaTheme="minorEastAsia"/>
          <w:color w:val="auto"/>
          <w:sz w:val="24"/>
        </w:rPr>
        <w:t>该</w:t>
      </w:r>
      <w:r>
        <w:rPr>
          <w:rFonts w:asciiTheme="minorEastAsia" w:hAnsiTheme="minorEastAsia" w:eastAsiaTheme="minorEastAsia"/>
          <w:color w:val="auto"/>
          <w:sz w:val="24"/>
        </w:rPr>
        <w:t>文件生效之日起，运营补助以</w:t>
      </w:r>
      <w:r>
        <w:rPr>
          <w:rFonts w:hint="eastAsia" w:asciiTheme="minorEastAsia" w:hAnsiTheme="minorEastAsia" w:eastAsiaTheme="minorEastAsia"/>
          <w:color w:val="auto"/>
          <w:sz w:val="24"/>
        </w:rPr>
        <w:t>该文件</w:t>
      </w:r>
      <w:r>
        <w:rPr>
          <w:rFonts w:asciiTheme="minorEastAsia" w:hAnsiTheme="minorEastAsia" w:eastAsiaTheme="minorEastAsia"/>
          <w:color w:val="auto"/>
          <w:sz w:val="24"/>
        </w:rPr>
        <w:t>规定的金额为基础</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以</w:t>
      </w:r>
      <w:r>
        <w:rPr>
          <w:rFonts w:hint="eastAsia" w:asciiTheme="minorEastAsia" w:hAnsiTheme="minorEastAsia" w:eastAsiaTheme="minorEastAsia"/>
          <w:color w:val="auto"/>
          <w:sz w:val="24"/>
        </w:rPr>
        <w:t>社会资本方通过</w:t>
      </w:r>
      <w:r>
        <w:rPr>
          <w:rFonts w:asciiTheme="minorEastAsia" w:hAnsiTheme="minorEastAsia" w:eastAsiaTheme="minorEastAsia"/>
          <w:color w:val="auto"/>
          <w:sz w:val="24"/>
        </w:rPr>
        <w:t>招标确定的下浮率及收益率等</w:t>
      </w:r>
      <w:r>
        <w:rPr>
          <w:rFonts w:hint="eastAsia" w:asciiTheme="minorEastAsia" w:hAnsiTheme="minorEastAsia" w:eastAsiaTheme="minorEastAsia"/>
          <w:color w:val="auto"/>
          <w:sz w:val="24"/>
        </w:rPr>
        <w:t>重新</w:t>
      </w:r>
      <w:r>
        <w:rPr>
          <w:rFonts w:asciiTheme="minorEastAsia" w:hAnsiTheme="minorEastAsia" w:eastAsiaTheme="minorEastAsia"/>
          <w:color w:val="auto"/>
          <w:sz w:val="24"/>
        </w:rPr>
        <w:t>测算应付运营</w:t>
      </w:r>
      <w:r>
        <w:rPr>
          <w:rFonts w:hint="eastAsia" w:asciiTheme="minorEastAsia" w:hAnsiTheme="minorEastAsia" w:eastAsiaTheme="minorEastAsia"/>
          <w:color w:val="auto"/>
          <w:sz w:val="24"/>
        </w:rPr>
        <w:t>补助</w:t>
      </w:r>
      <w:r>
        <w:rPr>
          <w:rFonts w:asciiTheme="minorEastAsia" w:hAnsiTheme="minorEastAsia" w:eastAsiaTheme="minorEastAsia"/>
          <w:color w:val="auto"/>
          <w:sz w:val="24"/>
        </w:rPr>
        <w:t>金额。若</w:t>
      </w:r>
      <w:r>
        <w:rPr>
          <w:rFonts w:hint="eastAsia" w:asciiTheme="minorEastAsia" w:hAnsiTheme="minorEastAsia" w:eastAsiaTheme="minorEastAsia"/>
          <w:color w:val="auto"/>
          <w:sz w:val="24"/>
        </w:rPr>
        <w:t>运营期</w:t>
      </w:r>
      <w:r>
        <w:rPr>
          <w:rFonts w:asciiTheme="minorEastAsia" w:hAnsiTheme="minorEastAsia" w:eastAsiaTheme="minorEastAsia"/>
          <w:color w:val="auto"/>
          <w:sz w:val="24"/>
        </w:rPr>
        <w:t>内，海南省交通运输主管部门</w:t>
      </w:r>
      <w:r>
        <w:rPr>
          <w:rFonts w:hint="eastAsia" w:asciiTheme="minorEastAsia" w:hAnsiTheme="minorEastAsia" w:eastAsiaTheme="minorEastAsia"/>
          <w:color w:val="auto"/>
          <w:sz w:val="24"/>
        </w:rPr>
        <w:t>或</w:t>
      </w:r>
      <w:r>
        <w:rPr>
          <w:rFonts w:asciiTheme="minorEastAsia" w:hAnsiTheme="minorEastAsia" w:eastAsiaTheme="minorEastAsia"/>
          <w:color w:val="auto"/>
          <w:sz w:val="24"/>
        </w:rPr>
        <w:t>东方市交通运输主管部门</w:t>
      </w:r>
      <w:r>
        <w:rPr>
          <w:rFonts w:hint="eastAsia" w:asciiTheme="minorEastAsia" w:hAnsiTheme="minorEastAsia" w:eastAsiaTheme="minorEastAsia"/>
          <w:color w:val="auto"/>
          <w:sz w:val="24"/>
        </w:rPr>
        <w:t>没有</w:t>
      </w:r>
      <w:r>
        <w:rPr>
          <w:rFonts w:asciiTheme="minorEastAsia" w:hAnsiTheme="minorEastAsia" w:eastAsiaTheme="minorEastAsia"/>
          <w:color w:val="auto"/>
          <w:sz w:val="24"/>
        </w:rPr>
        <w:t>颁布</w:t>
      </w:r>
      <w:r>
        <w:rPr>
          <w:rFonts w:hint="eastAsia" w:asciiTheme="minorEastAsia" w:hAnsiTheme="minorEastAsia" w:eastAsiaTheme="minorEastAsia"/>
          <w:color w:val="auto"/>
          <w:sz w:val="24"/>
        </w:rPr>
        <w:t>公交行业</w:t>
      </w:r>
      <w:r>
        <w:rPr>
          <w:rFonts w:asciiTheme="minorEastAsia" w:hAnsiTheme="minorEastAsia" w:eastAsiaTheme="minorEastAsia"/>
          <w:color w:val="auto"/>
          <w:sz w:val="24"/>
        </w:rPr>
        <w:t>成本规制办法</w:t>
      </w:r>
      <w:r>
        <w:rPr>
          <w:rFonts w:hint="eastAsia" w:asciiTheme="minorEastAsia" w:hAnsiTheme="minorEastAsia" w:eastAsiaTheme="minorEastAsia"/>
          <w:color w:val="auto"/>
          <w:sz w:val="24"/>
        </w:rPr>
        <w:t>或公交行业</w:t>
      </w:r>
      <w:r>
        <w:rPr>
          <w:rFonts w:asciiTheme="minorEastAsia" w:hAnsiTheme="minorEastAsia" w:eastAsiaTheme="minorEastAsia"/>
          <w:color w:val="auto"/>
          <w:sz w:val="24"/>
        </w:rPr>
        <w:t>成本支出费用标准等相关文件，</w:t>
      </w:r>
      <w:r>
        <w:rPr>
          <w:rFonts w:hint="eastAsia" w:asciiTheme="minorEastAsia" w:hAnsiTheme="minorEastAsia" w:eastAsiaTheme="minorEastAsia"/>
          <w:color w:val="auto"/>
          <w:sz w:val="24"/>
        </w:rPr>
        <w:t>则</w:t>
      </w:r>
      <w:r>
        <w:rPr>
          <w:rFonts w:asciiTheme="minorEastAsia" w:hAnsiTheme="minorEastAsia" w:eastAsiaTheme="minorEastAsia"/>
          <w:color w:val="auto"/>
          <w:sz w:val="24"/>
        </w:rPr>
        <w:t>自第</w:t>
      </w:r>
      <w:r>
        <w:rPr>
          <w:rFonts w:hint="eastAsia" w:asciiTheme="minorEastAsia" w:hAnsiTheme="minorEastAsia" w:eastAsiaTheme="minorEastAsia"/>
          <w:color w:val="auto"/>
          <w:sz w:val="24"/>
        </w:rPr>
        <w:t>三</w:t>
      </w:r>
      <w:r>
        <w:rPr>
          <w:rFonts w:asciiTheme="minorEastAsia" w:hAnsiTheme="minorEastAsia" w:eastAsiaTheme="minorEastAsia"/>
          <w:color w:val="auto"/>
          <w:sz w:val="24"/>
        </w:rPr>
        <w:t>（3）</w:t>
      </w:r>
      <w:r>
        <w:rPr>
          <w:rFonts w:hint="eastAsia" w:asciiTheme="minorEastAsia" w:hAnsiTheme="minorEastAsia" w:eastAsiaTheme="minorEastAsia"/>
          <w:color w:val="auto"/>
          <w:sz w:val="24"/>
        </w:rPr>
        <w:t>个</w:t>
      </w:r>
      <w:r>
        <w:rPr>
          <w:rFonts w:asciiTheme="minorEastAsia" w:hAnsiTheme="minorEastAsia" w:eastAsiaTheme="minorEastAsia"/>
          <w:color w:val="auto"/>
          <w:sz w:val="24"/>
        </w:rPr>
        <w:t>运营年（</w:t>
      </w:r>
      <w:r>
        <w:rPr>
          <w:rFonts w:hint="eastAsia" w:asciiTheme="minorEastAsia" w:hAnsiTheme="minorEastAsia" w:eastAsiaTheme="minorEastAsia"/>
          <w:color w:val="auto"/>
          <w:sz w:val="24"/>
        </w:rPr>
        <w:t>含</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起，</w:t>
      </w:r>
      <w:r>
        <w:rPr>
          <w:rFonts w:asciiTheme="minorEastAsia" w:hAnsiTheme="minorEastAsia" w:eastAsiaTheme="minorEastAsia"/>
          <w:color w:val="auto"/>
          <w:sz w:val="24"/>
        </w:rPr>
        <w:t>每两年</w:t>
      </w:r>
      <w:r>
        <w:rPr>
          <w:rFonts w:hint="eastAsia" w:asciiTheme="minorEastAsia" w:hAnsiTheme="minorEastAsia" w:eastAsiaTheme="minorEastAsia"/>
          <w:color w:val="auto"/>
          <w:sz w:val="24"/>
        </w:rPr>
        <w:t>特许经营</w:t>
      </w:r>
      <w:r>
        <w:rPr>
          <w:rFonts w:asciiTheme="minorEastAsia" w:hAnsiTheme="minorEastAsia" w:eastAsiaTheme="minorEastAsia"/>
          <w:color w:val="auto"/>
          <w:sz w:val="24"/>
        </w:rPr>
        <w:t>企业可以</w:t>
      </w:r>
      <w:r>
        <w:rPr>
          <w:rFonts w:hint="eastAsia" w:asciiTheme="minorEastAsia" w:hAnsiTheme="minorEastAsia" w:eastAsiaTheme="minorEastAsia"/>
          <w:color w:val="auto"/>
          <w:sz w:val="24"/>
        </w:rPr>
        <w:t>申请</w:t>
      </w:r>
      <w:r>
        <w:rPr>
          <w:rFonts w:asciiTheme="minorEastAsia" w:hAnsiTheme="minorEastAsia" w:eastAsiaTheme="minorEastAsia"/>
          <w:color w:val="auto"/>
          <w:sz w:val="24"/>
        </w:rPr>
        <w:t>根据</w:t>
      </w:r>
      <w:r>
        <w:rPr>
          <w:rFonts w:hint="eastAsia" w:asciiTheme="minorEastAsia" w:hAnsiTheme="minorEastAsia" w:eastAsiaTheme="minorEastAsia"/>
          <w:color w:val="auto"/>
          <w:sz w:val="24"/>
        </w:rPr>
        <w:t>调价</w:t>
      </w:r>
      <w:r>
        <w:rPr>
          <w:rFonts w:asciiTheme="minorEastAsia" w:hAnsiTheme="minorEastAsia" w:eastAsiaTheme="minorEastAsia"/>
          <w:color w:val="auto"/>
          <w:sz w:val="24"/>
        </w:rPr>
        <w:t>公式调整</w:t>
      </w:r>
      <w:r>
        <w:rPr>
          <w:rFonts w:hint="eastAsia" w:asciiTheme="minorEastAsia" w:hAnsiTheme="minorEastAsia" w:eastAsiaTheme="minorEastAsia"/>
          <w:color w:val="auto"/>
          <w:sz w:val="24"/>
        </w:rPr>
        <w:t>运营补助</w:t>
      </w:r>
      <w:r>
        <w:rPr>
          <w:rFonts w:asciiTheme="minorEastAsia" w:hAnsiTheme="minorEastAsia" w:eastAsiaTheme="minorEastAsia"/>
          <w:color w:val="auto"/>
          <w:sz w:val="24"/>
        </w:rPr>
        <w:t>，且只在CPI</w:t>
      </w:r>
      <w:r>
        <w:rPr>
          <w:rFonts w:hint="eastAsia" w:asciiTheme="minorEastAsia" w:hAnsiTheme="minorEastAsia" w:eastAsiaTheme="minorEastAsia"/>
          <w:color w:val="auto"/>
          <w:sz w:val="24"/>
        </w:rPr>
        <w:t>指数</w:t>
      </w:r>
      <w:r>
        <w:rPr>
          <w:rFonts w:asciiTheme="minorEastAsia" w:hAnsiTheme="minorEastAsia" w:eastAsiaTheme="minorEastAsia"/>
          <w:color w:val="auto"/>
          <w:sz w:val="24"/>
        </w:rPr>
        <w:t>超过上一次调价时的3%时方能申请调价。</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运营补助调价</w:t>
      </w:r>
      <w:r>
        <w:rPr>
          <w:rFonts w:asciiTheme="minorEastAsia" w:hAnsiTheme="minorEastAsia" w:eastAsiaTheme="minorEastAsia"/>
          <w:color w:val="auto"/>
          <w:sz w:val="24"/>
          <w:szCs w:val="24"/>
        </w:rPr>
        <w:t>公式为：</w:t>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30"/>
          <w:sz w:val="24"/>
          <w:szCs w:val="24"/>
        </w:rPr>
        <w:pict>
          <v:shape id="_x0000_i1054" o:spt="75" type="#_x0000_t75" style="height:31.9pt;width:93.55pt;" filled="f" o:preferrelative="t" stroked="f" coordsize="21600,21600" equationxml="&lt;">
            <v:path/>
            <v:fill on="f" focussize="0,0"/>
            <v:stroke on="f" joinstyle="miter"/>
            <v:imagedata r:id="rId45"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55" o:spt="75" type="#_x0000_t75" style="height:18.8pt;width:84.8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P&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ctrlPr&gt;&lt;w:rPr&gt;&lt;w:rFonts w:ascii=&quot;Cambria Math&quot; w:h-ansi=&quot;Cambria Math&quot; w:fareast=&quot;宋体&quot; w:cs=&quot;宋体&quot; w:hint=&quot;fareast&quot;/&gt;&lt;/w:rPr&gt;&lt;/m:ctrlPr&gt;&lt;/m:sub&gt;&lt;/m:sSub&gt;&lt;m:r&gt;&lt;w:rPr&gt;&lt;w:rFonts w:ascii=&quot;Cambria Math&quot; w:h-ansi=&quot;Cambria Math&quot; w:fareast=&quot;宋体&quot; w:cs=&quot;宋体&quot; w:hint=&quot;fareast&quot;/&gt;&lt;/w:rPr&gt;&lt;m:t&gt;=&lt;/m:t&gt;&lt;/m:r&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P&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ctrlPr&gt;&lt;w:rPr&gt;&lt;w:rFonts w:ascii=&quot;Cambria Math&quot; w:h-ansi=&quot;Cambria Math&quot; w:fareast=&quot;宋体&quot; w:cs=&quot;宋体&quot; w:hint=&quot;fareast&quot;/&gt;&lt;/w:rPr&gt;&lt;/m:ctrlPr&gt;&lt;/m:sub&gt;&lt;/m:sSub&gt;&lt;m:r&gt;&lt;w:rPr&gt;&lt;w:rFonts w:ascii=&quot;Cambria Math&quot; w:h-ansi=&quot;Cambria Math&quot; w:fareast=&quot;宋体&quot; w:cs=&quot;宋体&quot; w:hint=&quot;fareast&quot;/&gt;&lt;/w:rPr&gt;&lt;m:t&gt;'*K&lt;/m:t&gt;&lt;/m:r&gt;&lt;/m:oMath&gt;&lt;/m:oMathPara&gt;&lt;/w:p&gt;&lt;/wx:sect&gt;&lt;/w:body&gt;&lt;/w:wordDocument&gt;">
            <v:path/>
            <v:fill on="f" focussize="0,0"/>
            <v:stroke on="f"/>
            <v:imagedata r:id="rId46" o:title=""/>
            <o:lock v:ext="edit" aspectratio="f"/>
            <w10:wrap type="none"/>
            <w10:anchorlock/>
          </v:shape>
        </w:pict>
      </w:r>
      <w:r>
        <w:rPr>
          <w:rFonts w:asciiTheme="minorEastAsia" w:hAnsiTheme="minorEastAsia" w:eastAsiaTheme="minorEastAsia"/>
          <w:color w:val="auto"/>
          <w:sz w:val="24"/>
          <w:szCs w:val="24"/>
        </w:rPr>
        <w:fldChar w:fldCharType="end"/>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其中</w:t>
      </w:r>
      <w:r>
        <w:rPr>
          <w:rFonts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pict>
          <v:shape id="_x0000_i1056" o:spt="75" type="#_x0000_t75" style="height:18.8pt;width:17.0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P&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ctrlPr&gt;&lt;w:rPr&gt;&lt;w:rFonts w:ascii=&quot;Cambria Math&quot; w:h-ansi=&quot;Cambria Math&quot; w:fareast=&quot;宋体&quot; w:cs=&quot;宋体&quot; w:hint=&quot;fareast&quot;/&gt;&lt;/w:rPr&gt;&lt;/m:ctrlPr&gt;&lt;/m:sub&gt;&lt;/m:sSub&gt;&lt;/m:oMath&gt;&lt;/m:oMathPara&gt;&lt;/w:p&gt;&lt;/wx:sect&gt;&lt;/w:body&gt;&lt;/w:wordDocument&gt;">
            <v:path/>
            <v:fill on="f" focussize="0,0"/>
            <v:stroke on="f"/>
            <v:imagedata r:id="rId24" o:title=""/>
            <o:lock v:ext="edit" aspectratio="f"/>
            <w10:wrap type="none"/>
            <w10:anchorlock/>
          </v:shape>
        </w:pict>
      </w:r>
      <w:r>
        <w:rPr>
          <w:rFonts w:hint="eastAsia" w:asciiTheme="minorEastAsia" w:hAnsiTheme="minorEastAsia" w:eastAsiaTheme="minorEastAsia"/>
          <w:color w:val="auto"/>
          <w:sz w:val="24"/>
          <w:szCs w:val="24"/>
        </w:rPr>
        <w:t>为当期调整</w:t>
      </w:r>
      <w:r>
        <w:rPr>
          <w:rFonts w:asciiTheme="minorEastAsia" w:hAnsiTheme="minorEastAsia" w:eastAsiaTheme="minorEastAsia"/>
          <w:color w:val="auto"/>
          <w:sz w:val="24"/>
          <w:szCs w:val="24"/>
        </w:rPr>
        <w:t>后的运营</w:t>
      </w:r>
      <w:r>
        <w:rPr>
          <w:rFonts w:hint="eastAsia" w:asciiTheme="minorEastAsia" w:hAnsiTheme="minorEastAsia" w:eastAsiaTheme="minorEastAsia"/>
          <w:color w:val="auto"/>
          <w:sz w:val="24"/>
          <w:szCs w:val="24"/>
        </w:rPr>
        <w:t>补助</w:t>
      </w:r>
      <w:r>
        <w:rPr>
          <w:rFonts w:asciiTheme="minorEastAsia" w:hAnsiTheme="minorEastAsia" w:eastAsiaTheme="minorEastAsia"/>
          <w:color w:val="auto"/>
          <w:sz w:val="24"/>
          <w:szCs w:val="24"/>
        </w:rPr>
        <w:t>费用；</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30"/>
          <w:sz w:val="24"/>
          <w:szCs w:val="24"/>
        </w:rPr>
        <w:pict>
          <v:shape id="_x0000_i1057" o:spt="75" type="#_x0000_t75" style="height:31.9pt;width:31.2pt;" filled="f" o:preferrelative="t" stroked="f" coordsize="21600,21600" equationxml="&lt;">
            <v:path/>
            <v:fill on="f" focussize="0,0"/>
            <v:stroke on="f" joinstyle="miter"/>
            <v:imagedata r:id="rId47"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58" o:spt="75" type="#_x0000_t75" style="height:18.8pt;width:20.8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P&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ctrlPr&gt;&lt;w:rPr&gt;&lt;w:rFonts w:ascii=&quot;Cambria Math&quot; w:h-ansi=&quot;Cambria Math&quot; w:fareast=&quot;宋体&quot; w:cs=&quot;宋体&quot; w:hint=&quot;fareast&quot;/&gt;&lt;/w:rPr&gt;&lt;/m:ctrlPr&gt;&lt;/m:sub&gt;&lt;/m:sSub&gt;&lt;m:r&gt;&lt;w:rPr&gt;&lt;w:rFonts w:ascii=&quot;Cambria Math&quot; w:h-ansi=&quot;Cambria Math&quot; w:fareast=&quot;宋体&quot; w:cs=&quot;宋体&quot; w:hint=&quot;fareast&quot;/&gt;&lt;/w:rPr&gt;&lt;m:t&gt;'&lt;/m:t&gt;&lt;/m:r&gt;&lt;/m:oMath&gt;&lt;/m:oMathPara&gt;&lt;/w:p&gt;&lt;/wx:sect&gt;&lt;/w:body&gt;&lt;/w:wordDocument&gt;">
            <v:path/>
            <v:fill on="f" focussize="0,0"/>
            <v:stroke on="f"/>
            <v:imagedata r:id="rId48"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为调价</w:t>
      </w:r>
      <w:r>
        <w:rPr>
          <w:rFonts w:asciiTheme="minorEastAsia" w:hAnsiTheme="minorEastAsia" w:eastAsiaTheme="minorEastAsia"/>
          <w:color w:val="auto"/>
          <w:sz w:val="24"/>
          <w:szCs w:val="24"/>
        </w:rPr>
        <w:t>当期</w:t>
      </w:r>
      <w:r>
        <w:rPr>
          <w:rFonts w:hint="eastAsia" w:asciiTheme="minorEastAsia" w:hAnsiTheme="minorEastAsia" w:eastAsiaTheme="minorEastAsia"/>
          <w:color w:val="auto"/>
          <w:sz w:val="24"/>
          <w:szCs w:val="24"/>
        </w:rPr>
        <w:t>运营补助</w:t>
      </w:r>
      <w:r>
        <w:rPr>
          <w:rFonts w:asciiTheme="minorEastAsia" w:hAnsiTheme="minorEastAsia" w:eastAsiaTheme="minorEastAsia"/>
          <w:color w:val="auto"/>
          <w:sz w:val="24"/>
          <w:szCs w:val="24"/>
        </w:rPr>
        <w:t>费用；</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59" o:spt="75" type="#_x0000_t75" style="height:28.2pt;width:11.9pt;" filled="f" o:preferrelative="t" stroked="f" coordsize="21600,21600" equationxml="&lt;">
            <v:path/>
            <v:fill on="f" focussize="0,0"/>
            <v:stroke on="f" joinstyle="miter"/>
            <v:imagedata r:id="rId27"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60" o:spt="75" type="#_x0000_t75" style="height:18.8pt;width:11.1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fareast=&quot;宋体&quot; w:cs=&quot;宋体&quot; w:hint=&quot;fareast&quot;/&gt;&lt;/w:rPr&gt;&lt;m:t&gt;K&lt;/m:t&gt;&lt;/m:r&gt;&lt;/m:oMath&gt;&lt;/m:oMathPara&gt;&lt;/w:p&gt;&lt;/wx:sect&gt;&lt;/w:body&gt;&lt;/w:wordDocument&gt;">
            <v:path/>
            <v:fill on="f" focussize="0,0"/>
            <v:stroke on="f"/>
            <v:imagedata r:id="rId28"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调价系数，</w:t>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61" o:spt="75" type="#_x0000_t75" style="height:28.2pt;width:97.25pt;" filled="f" o:preferrelative="t" stroked="f" coordsize="21600,21600" equationxml="&lt;">
            <v:path/>
            <v:fill on="f" focussize="0,0"/>
            <v:stroke on="f" joinstyle="miter"/>
            <v:imagedata r:id="rId29"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62" o:spt="75" type="#_x0000_t75" style="height:18.8pt;width:100.3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fareast=&quot;宋体&quot; w:cs=&quot;宋体&quot; w:hint=&quot;fareast&quot;/&gt;&lt;/w:rPr&gt;&lt;m:t&gt;K&lt;/m:t&gt;&lt;/m:r&gt;&lt;m:r&gt;&lt;m:rPr&gt;&lt;m:sty m:val=&quot;p&quot;/&gt;&lt;/m:rPr&gt;&lt;w:rPr&gt;&lt;w:rFonts w:ascii=&quot;Cambria Math&quot; w:h-ansi=&quot;Cambria Math&quot; w:fareast=&quot;宋体&quot; w:cs=&quot;宋体&quot; w:hint=&quot;fareast&quot;/&gt;&lt;/w:rPr&gt;&lt;m:t&gt;≤&lt;/m:t&gt;&lt;/m:r&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I&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1&lt;/m:t&gt;&lt;/m:r&gt;&lt;m:ctrlPr&gt;&lt;w:rPr&gt;&lt;w:rFonts w:ascii=&quot;Cambria Math&quot; w:h-ansi=&quot;Cambria Math&quot; w:fareast=&quot;宋体&quot; w:cs=&quot;宋体&quot; w:hint=&quot;fareast&quot;/&gt;&lt;/w:rPr&gt;&lt;/m:ctrlPr&gt;&lt;/m:sub&gt;&lt;/m:sSub&gt;&lt;m:r&gt;&lt;m:rPr&gt;&lt;m:sty m:val=&quot;p&quot;/&gt;&lt;/m:rPr&gt;&lt;w:rPr&gt;&lt;w:rFonts w:ascii=&quot;Cambria Math&quot; w:h-ansi=&quot;Cambria Math&quot; w:fareast=&quot;宋体&quot; w:cs=&quot;宋体&quot; w:hint=&quot;fareast&quot;/&gt;&lt;/w:rPr&gt;&lt;m:t&gt;/&lt;/m:t&gt;&lt;/m:r&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I&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3&lt;/m:t&gt;&lt;/m:r&gt;&lt;m:ctrlPr&gt;&lt;w:rPr&gt;&lt;w:rFonts w:ascii=&quot;Cambria Math&quot; w:h-ansi=&quot;Cambria Math&quot; w:fareast=&quot;宋体&quot; w:cs=&quot;宋体&quot; w:hint=&quot;fareast&quot;/&gt;&lt;/w:rPr&gt;&lt;/m:ctrlPr&gt;&lt;/m:sub&gt;&lt;/m:sSub&gt;&lt;/m:oMath&gt;&lt;/m:oMathPara&gt;&lt;/w:p&gt;&lt;/wx:sect&gt;&lt;/w:body&gt;&lt;/w:wordDocument&gt;">
            <v:path/>
            <v:fill on="f" focussize="0,0"/>
            <v:stroke on="f"/>
            <v:imagedata r:id="rId49"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QUOTE </w:instrText>
      </w:r>
      <w:r>
        <w:rPr>
          <w:rFonts w:asciiTheme="minorEastAsia" w:hAnsiTheme="minorEastAsia" w:eastAsiaTheme="minorEastAsia"/>
          <w:color w:val="auto"/>
          <w:position w:val="-27"/>
          <w:sz w:val="24"/>
          <w:szCs w:val="24"/>
        </w:rPr>
        <w:pict>
          <v:shape id="_x0000_i1063" o:spt="75" type="#_x0000_t75" style="height:28.2pt;width:64.6pt;" filled="f" o:preferrelative="t" stroked="f" coordsize="21600,21600" equationxml="&lt;">
            <v:path/>
            <v:fill on="f" focussize="0,0"/>
            <v:stroke on="f" joinstyle="miter"/>
            <v:imagedata r:id="rId31" chromakey="#FFFFFF" o:title=""/>
            <o:lock v:ext="edit" aspectratio="t"/>
            <w10:wrap type="none"/>
            <w10:anchorlock/>
          </v:shape>
        </w:pict>
      </w:r>
      <w:r>
        <w:rPr>
          <w:rFonts w:asciiTheme="minorEastAsia" w:hAnsiTheme="minorEastAsia" w:eastAsiaTheme="minorEastAsia"/>
          <w:color w:val="auto"/>
          <w:sz w:val="24"/>
          <w:szCs w:val="24"/>
        </w:rPr>
        <w:instrText xml:space="preserve">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pict>
          <v:shape id="_x0000_i1064" o:spt="75" type="#_x0000_t75" style="height:18.8pt;width:64.2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I&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1&lt;/m:t&gt;&lt;/m:r&gt;&lt;m:ctrlPr&gt;&lt;w:rPr&gt;&lt;w:rFonts w:ascii=&quot;Cambria Math&quot; w:h-ansi=&quot;Cambria Math&quot; w:fareast=&quot;宋体&quot; w:cs=&quot;宋体&quot; w:hint=&quot;fareast&quot;/&gt;&lt;/w:rPr&gt;&lt;/m:ctrlPr&gt;&lt;/m:sub&gt;&lt;/m:sSub&gt;&lt;m:r&gt;&lt;m:rPr&gt;&lt;m:sty m:val=&quot;p&quot;/&gt;&lt;/m:rPr&gt;&lt;w:rPr&gt;&lt;w:rFonts w:ascii=&quot;Cambria Math&quot; w:h-ansi=&quot;Cambria Math&quot; w:fareast=&quot;宋体&quot; w:cs=&quot;宋体&quot; w:hint=&quot;fareast&quot;/&gt;&lt;/w:rPr&gt;&lt;m:t&gt;/&lt;/m:t&gt;&lt;/m:r&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I&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3&lt;/m:t&gt;&lt;/m:r&gt;&lt;m:ctrlPr&gt;&lt;w:rPr&gt;&lt;w:rFonts w:ascii=&quot;Cambria Math&quot; w:h-ansi=&quot;Cambria Math&quot; w:fareast=&quot;宋体&quot; w:cs=&quot;宋体&quot; w:hint=&quot;fareast&quot;/&gt;&lt;/w:rPr&gt;&lt;/m:ctrlPr&gt;&lt;/m:sub&gt;&lt;/m:sSub&gt;&lt;/m:oMath&gt;&lt;/m:oMathPara&gt;&lt;/w:p&gt;&lt;/wx:sect&gt;&lt;/w:body&gt;&lt;/w:wordDocument&gt;">
            <v:path/>
            <v:fill on="f" focussize="0,0"/>
            <v:stroke on="f"/>
            <v:imagedata r:id="rId50" o:title=""/>
            <o:lock v:ext="edit" aspectratio="f"/>
            <w10:wrap type="none"/>
            <w10:anchorlock/>
          </v:shape>
        </w:pic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东方市统计局公布的第n-1年人均可支配收入除以第n-3年时人均可支配收入。</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调价系数</w:t>
      </w:r>
      <w:r>
        <w:rPr>
          <w:rFonts w:asciiTheme="minorEastAsia" w:hAnsiTheme="minorEastAsia" w:eastAsiaTheme="minorEastAsia"/>
          <w:color w:val="auto"/>
          <w:sz w:val="24"/>
          <w:szCs w:val="24"/>
        </w:rPr>
        <w:pict>
          <v:shape id="_x0000_i1065" o:spt="75" type="#_x0000_t75" style="height:23.1pt;width:269.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fareast=&quot;宋体&quot; w:cs=&quot;宋体&quot; w:hint=&quot;fareast&quot;/&gt;&lt;/w:rPr&gt;&lt;m:t&gt;K&lt;/m:t&gt;&lt;/m:r&gt;&lt;m:r&gt;&lt;m:rPr&gt;&lt;m:sty m:val=&quot;p&quot;/&gt;&lt;/m:rPr&gt;&lt;w:rPr&gt;&lt;w:rFonts w:ascii=&quot;Cambria Math&quot; w:h-ansi=&quot;Cambria Math&quot; w:fareast=&quot;宋体&quot; w:cs=&quot;宋体&quot; w:hint=&quot;fareast&quot;/&gt;&lt;/w:rPr&gt;&lt;m:t&gt;=&lt;/m:t&gt;&lt;/m:r&gt;&lt;m:r&gt;&lt;w:rPr&gt;&lt;w:rFonts w:ascii=&quot;Cambria Math&quot; w:h-ansi=&quot;Cambria Math&quot; w:fareast=&quot;宋体&quot; w:cs=&quot;宋体&quot; w:hint=&quot;fareast&quot;/&gt;&lt;/w:rPr&gt;&lt;m:t&gt;a&lt;/m:t&gt;&lt;/m:r&gt;&lt;m:r&gt;&lt;m:rPr&gt;&lt;m:sty m:val=&quot;p&quot;/&gt;&lt;/m:rPr&gt;&lt;w:rPr&gt;&lt;w:rFonts w:ascii=&quot;Cambria Math&quot; w:h-ansi=&quot;Cambria Math&quot; w:fareast=&quot;宋体&quot; w:cs=&quot;宋体&quot; w:hint=&quot;fareast&quot;/&gt;&lt;/w:rPr&gt;&lt;m:t&gt;*&lt;/m:t&gt;&lt;/m:r&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CPI&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r&gt;&lt;m:rPr&gt;&lt;m:sty m:val=&quot;p&quot;/&gt;&lt;/m:rPr&gt;&lt;w:rPr&gt;&lt;w:rFonts w:ascii=&quot;Cambria Math&quot; w:h-ansi=&quot;Cambria Math&quot; w:fareast=&quot;宋体&quot; w:cs=&quot;宋体&quot; w:hint=&quot;fareast&quot;/&gt;&lt;/w:rPr&gt;&lt;m:t&gt;-1&lt;/m:t&gt;&lt;/m:r&gt;&lt;m:ctrlPr&gt;&lt;w:rPr&gt;&lt;w:rFonts w:ascii=&quot;Cambria Math&quot; w:h-ansi=&quot;Cambria Math&quot; w:fareast=&quot;宋体&quot; w:cs=&quot;宋体&quot; w:hint=&quot;fareast&quot;/&gt;&lt;/w:rPr&gt;&lt;/m:ctrlPr&gt;&lt;/m:sub&gt;&lt;/m:sSub&gt;&lt;m:r&gt;&lt;m:rPr&gt;&lt;m:sty m:val=&quot;p&quot;/&gt;&lt;/m:rPr&gt;&lt;w:rPr&gt;&lt;w:rFonts w:ascii=&quot;Cambria Math&quot; w:h-ansi=&quot;Cambria Math&quot; w:fareast=&quot;宋体&quot; w:cs=&quot;宋体&quot; w:hint=&quot;fareast&quot;/&gt;&lt;/w:rPr&gt;&lt;m:t&gt;+&lt;/m:t&gt;&lt;/m:r&gt;&lt;m:r&gt;&lt;w:rPr&gt;&lt;w:rFonts w:ascii=&quot;Cambria Math&quot; w:h-ansi=&quot;Cambria Math&quot; w:fareast=&quot;宋体&quot; w:cs=&quot;宋体&quot; w:hint=&quot;fareast&quot;/&gt;&lt;/w:rPr&gt;&lt;m:t&gt;b&lt;/m:t&gt;&lt;/m:r&gt;&lt;m:r&gt;&lt;m:rPr&gt;&lt;m:sty m:val=&quot;p&quot;/&gt;&lt;/m:rPr&gt;&lt;w:rPr&gt;&lt;w:rFonts w:ascii=&quot;Cambria Math&quot; w:h-ansi=&quot;Cambria Math&quot; w:fareast=&quot;宋体&quot; w:cs=&quot;宋体&quot; w:hint=&quot;fareast&quot;/&gt;&lt;/w:rPr&gt;&lt;m:t&gt;*&lt;/m:t&gt;&lt;/m:r&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E&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r&gt;&lt;m:rPr&gt;&lt;m:sty m:val=&quot;p&quot;/&gt;&lt;/m:rPr&gt;&lt;w:rPr&gt;&lt;w:rFonts w:ascii=&quot;Cambria Math&quot; w:h-ansi=&quot;Cambria Math&quot; w:fareast=&quot;宋体&quot; w:cs=&quot;宋体&quot; w:hint=&quot;fareast&quot;/&gt;&lt;/w:rPr&gt;&lt;m:t&gt;-1&lt;/m:t&gt;&lt;/m:r&gt;&lt;m:ctrlPr&gt;&lt;w:rPr&gt;&lt;w:rFonts w:ascii=&quot;Cambria Math&quot; w:h-ansi=&quot;Cambria Math&quot; w:fareast=&quot;宋体&quot; w:cs=&quot;宋体&quot; w:hint=&quot;fareast&quot;/&gt;&lt;/w:rPr&gt;&lt;/m:ctrlPr&gt;&lt;/m:sub&gt;&lt;/m:sSub&gt;&lt;m:r&gt;&lt;m:rPr&gt;&lt;m:sty m:val=&quot;p&quot;/&gt;&lt;/m:rPr&gt;&lt;w:rPr&gt;&lt;w:rFonts w:ascii=&quot;Cambria Math&quot; w:h-ansi=&quot;Cambria Math&quot; w:fareast=&quot;宋体&quot; w:cs=&quot;宋体&quot; w:hint=&quot;fareast&quot;/&gt;&lt;/w:rPr&gt;&lt;m:t&gt;+&lt;/m:t&gt;&lt;/m:r&gt;&lt;m:r&gt;&lt;w:rPr&gt;&lt;w:rFonts w:ascii=&quot;Cambria Math&quot; w:h-ansi=&quot;Cambria Math&quot; w:fareast=&quot;宋体&quot; w:cs=&quot;宋体&quot; w:hint=&quot;fareast&quot;/&gt;&lt;/w:rPr&gt;&lt;m:t&gt;c&lt;/m:t&gt;&lt;/m:r&gt;&lt;m:r&gt;&lt;m:rPr&gt;&lt;m:sty m:val=&quot;p&quot;/&gt;&lt;/m:rPr&gt;&lt;w:rPr&gt;&lt;w:rFonts w:ascii=&quot;Cambria Math&quot; w:h-ansi=&quot;Cambria Math&quot; w:fareast=&quot;宋体&quot; w:cs=&quot;宋体&quot; w:hint=&quot;fareast&quot;/&gt;&lt;/w:rPr&gt;&lt;m:t&gt;*&lt;/m:t&gt;&lt;/m:r&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L&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r&gt;&lt;m:rPr&gt;&lt;m:sty m:val=&quot;p&quot;/&gt;&lt;/m:rPr&gt;&lt;w:rPr&gt;&lt;w:rFonts w:ascii=&quot;Cambria Math&quot; w:h-ansi=&quot;Cambria Math&quot; w:fareast=&quot;宋体&quot; w:cs=&quot;宋体&quot; w:hint=&quot;fareast&quot;/&gt;&lt;/w:rPr&gt;&lt;m:t&gt;-1&lt;/m:t&gt;&lt;/m:r&gt;&lt;m:ctrlPr&gt;&lt;w:rPr&gt;&lt;w:rFonts w:ascii=&quot;Cambria Math&quot; w:h-ansi=&quot;Cambria Math&quot; w:fareast=&quot;宋体&quot; w:cs=&quot;宋体&quot; w:hint=&quot;fareast&quot;/&gt;&lt;/w:rPr&gt;&lt;/m:ctrlPr&gt;&lt;/m:sub&gt;&lt;/m:sSub&gt;&lt;/m:oMath&gt;&lt;/m:oMathPara&gt;&lt;/w:p&gt;&lt;/wx:sect&gt;&lt;/w:body&gt;&lt;/w:wordDocument&gt;">
            <v:path/>
            <v:fill on="f" focussize="0,0"/>
            <v:stroke on="f"/>
            <v:imagedata r:id="rId51" o:title=""/>
            <o:lock v:ext="edit" aspectratio="f"/>
            <w10:wrap type="none"/>
            <w10:anchorlock/>
          </v:shape>
        </w:pic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其中</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pict>
          <v:shape id="_x0000_i1066" o:spt="75" type="#_x0000_t75" style="height:18.8pt;width:8.9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fareast=&quot;宋体&quot; w:cs=&quot;宋体&quot; w:hint=&quot;fareast&quot;/&gt;&lt;/w:rPr&gt;&lt;m:t&gt;a&lt;/m:t&gt;&lt;/m:r&gt;&lt;/m:oMath&gt;&lt;/m:oMathPara&gt;&lt;/w:p&gt;&lt;/wx:sect&gt;&lt;/w:body&gt;&lt;/w:wordDocument&gt;">
            <v:path/>
            <v:fill on="f" focussize="0,0"/>
            <v:stroke on="f"/>
            <v:imagedata r:id="rId35" o:title=""/>
            <o:lock v:ext="edit" aspectratio="f"/>
            <w10:wrap type="none"/>
            <w10:anchorlock/>
          </v:shape>
        </w:pict>
      </w:r>
      <w:r>
        <w:rPr>
          <w:rFonts w:hint="eastAsia" w:asciiTheme="minorEastAsia" w:hAnsiTheme="minorEastAsia" w:eastAsiaTheme="minorEastAsia"/>
          <w:color w:val="auto"/>
          <w:sz w:val="24"/>
          <w:szCs w:val="24"/>
        </w:rPr>
        <w:t>为轮胎、</w:t>
      </w:r>
      <w:r>
        <w:rPr>
          <w:rFonts w:asciiTheme="minorEastAsia" w:hAnsiTheme="minorEastAsia" w:eastAsiaTheme="minorEastAsia"/>
          <w:color w:val="auto"/>
          <w:sz w:val="24"/>
          <w:szCs w:val="24"/>
        </w:rPr>
        <w:t>保修、固定资产采购等三项费用在</w:t>
      </w:r>
      <w:r>
        <w:rPr>
          <w:rFonts w:hint="eastAsia" w:asciiTheme="minorEastAsia" w:hAnsiTheme="minorEastAsia" w:eastAsiaTheme="minorEastAsia"/>
          <w:color w:val="auto"/>
          <w:sz w:val="24"/>
          <w:szCs w:val="24"/>
        </w:rPr>
        <w:t>特许经营企业</w:t>
      </w:r>
      <w:r>
        <w:rPr>
          <w:rFonts w:asciiTheme="minorEastAsia" w:hAnsiTheme="minorEastAsia" w:eastAsiaTheme="minorEastAsia"/>
          <w:color w:val="auto"/>
          <w:sz w:val="24"/>
          <w:szCs w:val="24"/>
        </w:rPr>
        <w:t>运营成本构成中所占的比例，</w:t>
      </w:r>
      <w:r>
        <w:rPr>
          <w:rFonts w:hint="eastAsia" w:asciiTheme="minorEastAsia" w:hAnsiTheme="minorEastAsia" w:eastAsiaTheme="minorEastAsia"/>
          <w:color w:val="auto"/>
          <w:sz w:val="24"/>
          <w:szCs w:val="24"/>
        </w:rPr>
        <w:pict>
          <v:shape id="_x0000_i1067" o:spt="75" type="#_x0000_t75" style="height:18.8pt;width:8.6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fareast=&quot;宋体&quot; w:cs=&quot;宋体&quot; w:hint=&quot;fareast&quot;/&gt;&lt;/w:rPr&gt;&lt;m:t&gt;b&lt;/m:t&gt;&lt;/m:r&gt;&lt;/m:oMath&gt;&lt;/m:oMathPara&gt;&lt;/w:p&gt;&lt;/wx:sect&gt;&lt;/w:body&gt;&lt;/w:wordDocument&gt;">
            <v:path/>
            <v:fill on="f" focussize="0,0"/>
            <v:stroke on="f"/>
            <v:imagedata r:id="rId37" o:title=""/>
            <o:lock v:ext="edit" aspectratio="f"/>
            <w10:wrap type="none"/>
            <w10:anchorlock/>
          </v:shape>
        </w:pict>
      </w:r>
      <w:r>
        <w:rPr>
          <w:rFonts w:hint="eastAsia" w:asciiTheme="minorEastAsia" w:hAnsiTheme="minorEastAsia" w:eastAsiaTheme="minorEastAsia"/>
          <w:color w:val="auto"/>
          <w:sz w:val="24"/>
          <w:szCs w:val="24"/>
        </w:rPr>
        <w:t>为动力</w:t>
      </w:r>
      <w:r>
        <w:rPr>
          <w:rFonts w:asciiTheme="minorEastAsia" w:hAnsiTheme="minorEastAsia" w:eastAsiaTheme="minorEastAsia"/>
          <w:color w:val="auto"/>
          <w:sz w:val="24"/>
          <w:szCs w:val="24"/>
        </w:rPr>
        <w:t>费用在特许经营企业运营成本构成中所占的比例，</w:t>
      </w:r>
      <w:r>
        <w:rPr>
          <w:rFonts w:hint="eastAsia" w:asciiTheme="minorEastAsia" w:hAnsiTheme="minorEastAsia" w:eastAsiaTheme="minorEastAsia"/>
          <w:color w:val="auto"/>
          <w:sz w:val="24"/>
          <w:szCs w:val="24"/>
        </w:rPr>
        <w:pict>
          <v:shape id="_x0000_i1068" o:spt="75" type="#_x0000_t75" style="height:18.8pt;width:10.8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fareast=&quot;宋体&quot; w:cs=&quot;宋体&quot; w:hint=&quot;fareast&quot;/&gt;&lt;/w:rPr&gt;&lt;m:t&gt; c&lt;/m:t&gt;&lt;/m:r&gt;&lt;/m:oMath&gt;&lt;/m:oMathPara&gt;&lt;/w:p&gt;&lt;/wx:sect&gt;&lt;/w:body&gt;&lt;/w:wordDocument&gt;">
            <v:path/>
            <v:fill on="f" focussize="0,0"/>
            <v:stroke on="f"/>
            <v:imagedata r:id="rId52" o:title=""/>
            <o:lock v:ext="edit" aspectratio="f"/>
            <w10:wrap type="none"/>
            <w10:anchorlock/>
          </v:shape>
        </w:pict>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人工费用在公共交通企业运营成本构成中所占的比例</w:t>
      </w:r>
      <w:r>
        <w:rPr>
          <w:rFonts w:hint="eastAsia"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pict>
          <v:shape id="_x0000_i1069" o:spt="75" type="#_x0000_t75" style="height:18.8pt;width:92.9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fareast=&quot;宋体&quot; w:cs=&quot;宋体&quot; w:hint=&quot;fareast&quot;/&gt;&lt;/w:rPr&gt;&lt;m:t&gt;a+b+c=1&lt;/m:t&gt;&lt;/m:r&gt;&lt;/m:oMath&gt;&lt;/m:oMathPara&gt;&lt;/w:p&gt;&lt;/wx:sect&gt;&lt;/w:body&gt;&lt;/w:wordDocument&gt;">
            <v:path/>
            <v:fill on="f" focussize="0,0"/>
            <v:stroke on="f"/>
            <v:imagedata r:id="rId53" o:title=""/>
            <o:lock v:ext="edit" aspectratio="f"/>
            <w10:wrap type="none"/>
            <w10:anchorlock/>
          </v:shape>
        </w:pict>
      </w:r>
      <w:r>
        <w:rPr>
          <w:rFonts w:hint="eastAsia"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pict>
          <v:shape id="_x0000_i1070" o:spt="75" type="#_x0000_t75" style="height:23.1pt;width:56.8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r&gt;&lt;w:rPr&gt;&lt;w:rFonts w:ascii=&quot;Cambria Math&quot; w:h-ansi=&quot;Cambria Math&quot; w:fareast=&quot;宋体&quot; w:cs=&quot;宋体&quot; w:hint=&quot;fareast&quot;/&gt;&lt;/w:rPr&gt;&lt;m:t&gt;a&lt;/m:t&gt;&lt;/m:r&gt;&lt;m:r&gt;&lt;m:rPr&gt;&lt;m:sty m:val=&quot;p&quot;/&gt;&lt;/m:rPr&gt;&lt;w:rPr&gt;&lt;w:rFonts w:ascii=&quot;Cambria Math&quot; w:h-ansi=&quot;Cambria Math&quot; w:fareast=&quot;宋体&quot; w:cs=&quot;宋体&quot; w:hint=&quot;fareast&quot;/&gt;&lt;/w:rPr&gt;&lt;m:t&gt;、&lt;/m:t&gt;&lt;/m:r&gt;&lt;m:r&gt;&lt;w:rPr&gt;&lt;w:rFonts w:ascii=&quot;Cambria Math&quot; w:h-ansi=&quot;Cambria Math&quot; w:fareast=&quot;宋体&quot; w:cs=&quot;宋体&quot; w:hint=&quot;fareast&quot;/&gt;&lt;/w:rPr&gt;&lt;m:t&gt;b&lt;/m:t&gt;&lt;/m:r&gt;&lt;m:r&gt;&lt;m:rPr&gt;&lt;m:sty m:val=&quot;p&quot;/&gt;&lt;/m:rPr&gt;&lt;w:rPr&gt;&lt;w:rFonts w:ascii=&quot;Cambria Math&quot; w:h-ansi=&quot;Cambria Math&quot; w:fareast=&quot;宋体&quot; w:cs=&quot;宋体&quot; w:hint=&quot;fareast&quot;/&gt;&lt;/w:rPr&gt;&lt;m:t&gt;、&lt;/m:t&gt;&lt;/m:r&gt;&lt;m:r&gt;&lt;w:rPr&gt;&lt;w:rFonts w:ascii=&quot;Cambria Math&quot; w:h-ansi=&quot;Cambria Math&quot; w:fareast=&quot;宋体&quot; w:cs=&quot;宋体&quot; w:hint=&quot;fareast&quot;/&gt;&lt;/w:rPr&gt;&lt;m:t&gt;c&lt;/m:t&gt;&lt;/m:r&gt;&lt;/m:oMath&gt;&lt;/m:oMathPara&gt;&lt;/w:p&gt;&lt;/wx:sect&gt;&lt;/w:body&gt;&lt;/w:wordDocument&gt;">
            <v:path/>
            <v:fill on="f" focussize="0,0"/>
            <v:stroke on="f"/>
            <v:imagedata r:id="rId54" o:title=""/>
            <o:lock v:ext="edit" aspectratio="f"/>
            <w10:wrap type="none"/>
            <w10:anchorlock/>
          </v:shape>
        </w:pict>
      </w:r>
      <w:r>
        <w:rPr>
          <w:rFonts w:hint="eastAsia" w:asciiTheme="minorEastAsia" w:hAnsiTheme="minorEastAsia" w:eastAsiaTheme="minorEastAsia"/>
          <w:color w:val="auto"/>
          <w:sz w:val="24"/>
          <w:szCs w:val="24"/>
        </w:rPr>
        <w:t>的</w:t>
      </w:r>
      <w:r>
        <w:rPr>
          <w:rFonts w:asciiTheme="minorEastAsia" w:hAnsiTheme="minorEastAsia" w:eastAsiaTheme="minorEastAsia"/>
          <w:color w:val="auto"/>
          <w:sz w:val="24"/>
          <w:szCs w:val="24"/>
        </w:rPr>
        <w:t>取值根据调价</w:t>
      </w:r>
      <w:r>
        <w:rPr>
          <w:rFonts w:hint="eastAsia" w:asciiTheme="minorEastAsia" w:hAnsiTheme="minorEastAsia" w:eastAsiaTheme="minorEastAsia"/>
          <w:color w:val="auto"/>
          <w:sz w:val="24"/>
          <w:szCs w:val="24"/>
        </w:rPr>
        <w:t>前一年</w:t>
      </w:r>
      <w:r>
        <w:rPr>
          <w:rFonts w:asciiTheme="minorEastAsia" w:hAnsiTheme="minorEastAsia" w:eastAsiaTheme="minorEastAsia"/>
          <w:color w:val="auto"/>
          <w:sz w:val="24"/>
          <w:szCs w:val="24"/>
        </w:rPr>
        <w:t>实际运营成本中</w:t>
      </w:r>
      <w:r>
        <w:rPr>
          <w:rFonts w:hint="eastAsia" w:asciiTheme="minorEastAsia" w:hAnsiTheme="minorEastAsia" w:eastAsiaTheme="minorEastAsia"/>
          <w:color w:val="auto"/>
          <w:sz w:val="24"/>
          <w:szCs w:val="24"/>
        </w:rPr>
        <w:t>轮胎、保修、固定资产采购及</w:t>
      </w:r>
      <w:r>
        <w:rPr>
          <w:rFonts w:asciiTheme="minorEastAsia" w:hAnsiTheme="minorEastAsia" w:eastAsiaTheme="minorEastAsia"/>
          <w:color w:val="auto"/>
          <w:sz w:val="24"/>
          <w:szCs w:val="24"/>
        </w:rPr>
        <w:t>动力费用、人工费用</w:t>
      </w:r>
      <w:r>
        <w:rPr>
          <w:rFonts w:hint="eastAsia" w:asciiTheme="minorEastAsia" w:hAnsiTheme="minorEastAsia" w:eastAsiaTheme="minorEastAsia"/>
          <w:color w:val="auto"/>
          <w:sz w:val="24"/>
          <w:szCs w:val="24"/>
        </w:rPr>
        <w:t>所占比例</w:t>
      </w:r>
      <w:r>
        <w:rPr>
          <w:rFonts w:asciiTheme="minorEastAsia" w:hAnsiTheme="minorEastAsia" w:eastAsiaTheme="minorEastAsia"/>
          <w:color w:val="auto"/>
          <w:sz w:val="24"/>
          <w:szCs w:val="24"/>
        </w:rPr>
        <w:t>确定；</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pict>
          <v:shape id="_x0000_i1071" o:spt="75" type="#_x0000_t75" style="height:18.8pt;width:45.7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CPI&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r&gt;&lt;m:rPr&gt;&lt;m:sty m:val=&quot;p&quot;/&gt;&lt;/m:rPr&gt;&lt;w:rPr&gt;&lt;w:rFonts w:ascii=&quot;Cambria Math&quot; w:h-ansi=&quot;Cambria Math&quot; w:fareast=&quot;宋体&quot; w:cs=&quot;宋体&quot; w:hint=&quot;fareast&quot;/&gt;&lt;/w:rPr&gt;&lt;m:t&gt;-1&lt;/m:t&gt;&lt;/m:r&gt;&lt;m:ctrlPr&gt;&lt;w:rPr&gt;&lt;w:rFonts w:ascii=&quot;Cambria Math&quot; w:h-ansi=&quot;Cambria Math&quot; w:fareast=&quot;宋体&quot; w:cs=&quot;宋体&quot; w:hint=&quot;fareast&quot;/&gt;&lt;/w:rPr&gt;&lt;/m:ctrlPr&gt;&lt;/m:sub&gt;&lt;/m:sSub&gt;&lt;/m:oMath&gt;&lt;/m:oMathPara&gt;&lt;/w:p&gt;&lt;/wx:sect&gt;&lt;/w:body&gt;&lt;/w:wordDocument&gt;">
            <v:path/>
            <v:fill on="f" focussize="0,0"/>
            <v:stroke on="f"/>
            <v:imagedata r:id="rId41" o:title=""/>
            <o:lock v:ext="edit" aspectratio="f"/>
            <w10:wrap type="none"/>
            <w10:anchorlock/>
          </v:shape>
        </w:pict>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东方市统计局公布的第n-1年时的</w:t>
      </w:r>
      <w:r>
        <w:rPr>
          <w:rFonts w:hint="eastAsia" w:asciiTheme="minorEastAsia" w:hAnsiTheme="minorEastAsia" w:eastAsiaTheme="minorEastAsia"/>
          <w:color w:val="auto"/>
          <w:sz w:val="24"/>
          <w:szCs w:val="24"/>
        </w:rPr>
        <w:t>居民</w:t>
      </w:r>
      <w:r>
        <w:rPr>
          <w:rFonts w:asciiTheme="minorEastAsia" w:hAnsiTheme="minorEastAsia" w:eastAsiaTheme="minorEastAsia"/>
          <w:color w:val="auto"/>
          <w:sz w:val="24"/>
          <w:szCs w:val="24"/>
        </w:rPr>
        <w:t>消费价格</w:t>
      </w:r>
      <w:r>
        <w:rPr>
          <w:rFonts w:hint="eastAsia" w:asciiTheme="minorEastAsia" w:hAnsiTheme="minorEastAsia" w:eastAsiaTheme="minorEastAsia"/>
          <w:color w:val="auto"/>
          <w:sz w:val="24"/>
          <w:szCs w:val="24"/>
        </w:rPr>
        <w:t>指数</w:t>
      </w:r>
      <w:r>
        <w:rPr>
          <w:rFonts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pict>
          <v:shape id="_x0000_i1072" o:spt="75" type="#_x0000_t75" style="height:18.8pt;width:30.2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E&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r&gt;&lt;m:rPr&gt;&lt;m:sty m:val=&quot;p&quot;/&gt;&lt;/m:rPr&gt;&lt;w:rPr&gt;&lt;w:rFonts w:ascii=&quot;Cambria Math&quot; w:h-ansi=&quot;Cambria Math&quot; w:fareast=&quot;宋体&quot; w:cs=&quot;宋体&quot; w:hint=&quot;fareast&quot;/&gt;&lt;/w:rPr&gt;&lt;m:t&gt;-1&lt;/m:t&gt;&lt;/m:r&gt;&lt;m:ctrlPr&gt;&lt;w:rPr&gt;&lt;w:rFonts w:ascii=&quot;Cambria Math&quot; w:h-ansi=&quot;Cambria Math&quot; w:fareast=&quot;宋体&quot; w:cs=&quot;宋体&quot; w:hint=&quot;fareast&quot;/&gt;&lt;/w:rPr&gt;&lt;/m:ctrlPr&gt;&lt;/m:sub&gt;&lt;/m:sSub&gt;&lt;/m:oMath&gt;&lt;/m:oMathPara&gt;&lt;/w:p&gt;&lt;/wx:sect&gt;&lt;/w:body&gt;&lt;/w:wordDocument&gt;">
            <v:path/>
            <v:fill on="f" focussize="0,0"/>
            <v:stroke on="f"/>
            <v:imagedata r:id="rId43" o:title=""/>
            <o:lock v:ext="edit" aspectratio="f"/>
            <w10:wrap type="none"/>
            <w10:anchorlock/>
          </v:shape>
        </w:pict>
      </w:r>
      <w:r>
        <w:rPr>
          <w:rFonts w:hint="eastAsia" w:asciiTheme="minorEastAsia" w:hAnsiTheme="minorEastAsia" w:eastAsiaTheme="minorEastAsia"/>
          <w:color w:val="auto"/>
          <w:sz w:val="24"/>
          <w:szCs w:val="24"/>
        </w:rPr>
        <w:t>需分类计算</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燃油车</w:t>
      </w:r>
      <w:r>
        <w:rPr>
          <w:rFonts w:asciiTheme="minorEastAsia" w:hAnsiTheme="minorEastAsia" w:eastAsiaTheme="minorEastAsia"/>
          <w:color w:val="auto"/>
          <w:sz w:val="24"/>
          <w:szCs w:val="24"/>
        </w:rPr>
        <w:t>指第n-1年的燃油年均价格与第n-3年的燃油年均价格之比（%）</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新能源公交车</w:t>
      </w:r>
      <w:r>
        <w:rPr>
          <w:rFonts w:hint="eastAsia" w:asciiTheme="minorEastAsia" w:hAnsiTheme="minorEastAsia" w:eastAsiaTheme="minorEastAsia"/>
          <w:color w:val="auto"/>
          <w:sz w:val="24"/>
          <w:szCs w:val="24"/>
        </w:rPr>
        <w:t>指</w:t>
      </w:r>
      <w:r>
        <w:rPr>
          <w:rFonts w:asciiTheme="minorEastAsia" w:hAnsiTheme="minorEastAsia" w:eastAsiaTheme="minorEastAsia"/>
          <w:color w:val="auto"/>
          <w:sz w:val="24"/>
          <w:szCs w:val="24"/>
        </w:rPr>
        <w:t>第n-1年的年均</w:t>
      </w:r>
      <w:r>
        <w:rPr>
          <w:rFonts w:hint="eastAsia" w:asciiTheme="minorEastAsia" w:hAnsiTheme="minorEastAsia" w:eastAsiaTheme="minorEastAsia"/>
          <w:color w:val="auto"/>
          <w:sz w:val="24"/>
          <w:szCs w:val="24"/>
        </w:rPr>
        <w:t>电</w:t>
      </w:r>
      <w:r>
        <w:rPr>
          <w:rFonts w:asciiTheme="minorEastAsia" w:hAnsiTheme="minorEastAsia" w:eastAsiaTheme="minorEastAsia"/>
          <w:color w:val="auto"/>
          <w:sz w:val="24"/>
          <w:szCs w:val="24"/>
        </w:rPr>
        <w:t>价与第n-3年的</w:t>
      </w:r>
      <w:r>
        <w:rPr>
          <w:rFonts w:hint="eastAsia" w:asciiTheme="minorEastAsia" w:hAnsiTheme="minorEastAsia" w:eastAsiaTheme="minorEastAsia"/>
          <w:color w:val="auto"/>
          <w:sz w:val="24"/>
          <w:szCs w:val="24"/>
        </w:rPr>
        <w:t>年均电价</w:t>
      </w:r>
      <w:r>
        <w:rPr>
          <w:rFonts w:asciiTheme="minorEastAsia" w:hAnsiTheme="minorEastAsia" w:eastAsiaTheme="minorEastAsia"/>
          <w:color w:val="auto"/>
          <w:sz w:val="24"/>
          <w:szCs w:val="24"/>
        </w:rPr>
        <w:t>之比（%）</w:t>
      </w:r>
      <w:r>
        <w:rPr>
          <w:rFonts w:hint="eastAsia"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pict>
          <v:shape id="_x0000_i1073" o:spt="75" type="#_x0000_t75" style="height:18.8pt;width:28.75pt;" filled="f" o:preferrelative="t" stroked="f" coordsize="21600,21600" equationxml="&lt;?xml version=&quot;1.0&quot; encoding=&quot;UTF-8&quot; standalone=&quot;yes&quot;?&gt;&#13;&#10;&lt;?mso-application progid=&quot;Word.Document&quot;?&gt;&#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1&quot;/&gt;&lt;w:characterSpacingControl w:val=&quot;CompressPunctuation&quot;/&gt;&lt;w:documentProtection w:enforcement=&quot;off&quot;/&gt;&lt;w:doNotEmbedSystemFonts/&gt;&lt;w:defaultTabStop w:val=&quot;420&quot;/&gt;&lt;w:drawingGridHorizontalSpacing w:val=&quot;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fareast=&quot;宋体&quot; w:cs=&quot;宋体&quot; w:hint=&quot;fareast&quot;/&gt;&lt;/w:rPr&gt;&lt;/m:ctrlPr&gt;&lt;/m:sSubPr&gt;&lt;m:e&gt;&lt;m:r&gt;&lt;w:rPr&gt;&lt;w:rFonts w:ascii=&quot;Cambria Math&quot; w:h-ansi=&quot;Cambria Math&quot; w:fareast=&quot;宋体&quot; w:cs=&quot;宋体&quot; w:hint=&quot;fareast&quot;/&gt;&lt;/w:rPr&gt;&lt;m:t&gt;L&lt;/m:t&gt;&lt;/m:r&gt;&lt;m:ctrlPr&gt;&lt;w:rPr&gt;&lt;w:rFonts w:ascii=&quot;Cambria Math&quot; w:h-ansi=&quot;Cambria Math&quot; w:fareast=&quot;宋体&quot; w:cs=&quot;宋体&quot; w:hint=&quot;fareast&quot;/&gt;&lt;/w:rPr&gt;&lt;/m:ctrlPr&gt;&lt;/m:e&gt;&lt;m:sub&gt;&lt;m:r&gt;&lt;w:rPr&gt;&lt;w:rFonts w:ascii=&quot;Cambria Math&quot; w:h-ansi=&quot;Cambria Math&quot; w:fareast=&quot;宋体&quot; w:cs=&quot;宋体&quot; w:hint=&quot;fareast&quot;/&gt;&lt;/w:rPr&gt;&lt;m:t&gt;n&lt;/m:t&gt;&lt;/m:r&gt;&lt;m:r&gt;&lt;m:rPr&gt;&lt;m:sty m:val=&quot;p&quot;/&gt;&lt;/m:rPr&gt;&lt;w:rPr&gt;&lt;w:rFonts w:ascii=&quot;Cambria Math&quot; w:h-ansi=&quot;Cambria Math&quot; w:fareast=&quot;宋体&quot; w:cs=&quot;宋体&quot; w:hint=&quot;fareast&quot;/&gt;&lt;/w:rPr&gt;&lt;m:t&gt;-1&lt;/m:t&gt;&lt;/m:r&gt;&lt;m:ctrlPr&gt;&lt;w:rPr&gt;&lt;w:rFonts w:ascii=&quot;Cambria Math&quot; w:h-ansi=&quot;Cambria Math&quot; w:fareast=&quot;宋体&quot; w:cs=&quot;宋体&quot; w:hint=&quot;fareast&quot;/&gt;&lt;/w:rPr&gt;&lt;/m:ctrlPr&gt;&lt;/m:sub&gt;&lt;/m:sSub&gt;&lt;/m:oMath&gt;&lt;/m:oMathPara&gt;&lt;/w:p&gt;&lt;/wx:sect&gt;&lt;/w:body&gt;&lt;/w:wordDocument&gt;">
            <v:path/>
            <v:fill on="f" focussize="0,0"/>
            <v:stroke on="f"/>
            <v:imagedata r:id="rId44" o:title=""/>
            <o:lock v:ext="edit" aspectratio="f"/>
            <w10:wrap type="none"/>
            <w10:anchorlock/>
          </v:shape>
        </w:pict>
      </w:r>
      <w:r>
        <w:rPr>
          <w:rFonts w:hint="eastAsia" w:asciiTheme="minorEastAsia" w:hAnsiTheme="minorEastAsia" w:eastAsiaTheme="minorEastAsia"/>
          <w:color w:val="auto"/>
          <w:sz w:val="24"/>
          <w:szCs w:val="24"/>
        </w:rPr>
        <w:t>为</w:t>
      </w:r>
      <w:r>
        <w:rPr>
          <w:rFonts w:asciiTheme="minorEastAsia" w:hAnsiTheme="minorEastAsia" w:eastAsiaTheme="minorEastAsia"/>
          <w:color w:val="auto"/>
          <w:sz w:val="24"/>
          <w:szCs w:val="24"/>
        </w:rPr>
        <w:t>东方市统计局公布的第n-1年的交通运输、仓储和邮政业城镇单位在岗职工平均工资与第n-3年的之比（%）</w:t>
      </w:r>
      <w:r>
        <w:rPr>
          <w:rFonts w:hint="eastAsia" w:asciiTheme="minorEastAsia" w:hAnsiTheme="minorEastAsia" w:eastAsiaTheme="minorEastAsia"/>
          <w:color w:val="auto"/>
          <w:sz w:val="24"/>
          <w:szCs w:val="24"/>
        </w:rPr>
        <w:t>。</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当运营补助调价达到启动条件后，由特许经营企业提出运营补助调整具体意见和调整方案，经交通运输主管部门委托第三方机构评审、听取各相关职能部门及社会意见，并报请市政府同意后，于调整年当年起对外公布实施。</w:t>
      </w:r>
    </w:p>
    <w:p>
      <w:pPr>
        <w:pStyle w:val="4"/>
        <w:spacing w:before="0" w:after="0" w:line="360" w:lineRule="auto"/>
        <w:ind w:firstLine="643"/>
        <w:rPr>
          <w:rFonts w:asciiTheme="minorEastAsia" w:hAnsiTheme="minorEastAsia" w:eastAsiaTheme="minorEastAsia"/>
          <w:color w:val="auto"/>
          <w:sz w:val="24"/>
        </w:rPr>
      </w:pPr>
      <w:bookmarkStart w:id="141" w:name="_Toc19881806"/>
      <w:r>
        <w:rPr>
          <w:rFonts w:asciiTheme="minorEastAsia" w:hAnsiTheme="minorEastAsia" w:eastAsiaTheme="minorEastAsia"/>
          <w:color w:val="auto"/>
          <w:sz w:val="24"/>
        </w:rPr>
        <w:t>3.</w:t>
      </w:r>
      <w:r>
        <w:rPr>
          <w:rFonts w:hint="eastAsia" w:asciiTheme="minorEastAsia" w:hAnsiTheme="minorEastAsia" w:eastAsiaTheme="minorEastAsia"/>
          <w:color w:val="auto"/>
          <w:sz w:val="24"/>
        </w:rPr>
        <w:t>每公里可变成本补贴调价机制</w:t>
      </w:r>
      <w:bookmarkEnd w:id="141"/>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每公里可变成本补贴调价机制参照运营补助调价机制同步执行。</w:t>
      </w:r>
    </w:p>
    <w:bookmarkEnd w:id="136"/>
    <w:p>
      <w:pPr>
        <w:pStyle w:val="2"/>
        <w:spacing w:line="360" w:lineRule="auto"/>
        <w:ind w:left="0"/>
        <w:rPr>
          <w:rFonts w:asciiTheme="minorEastAsia" w:hAnsiTheme="minorEastAsia" w:eastAsiaTheme="minorEastAsia"/>
          <w:b/>
          <w:color w:val="auto"/>
          <w:sz w:val="32"/>
          <w:szCs w:val="32"/>
          <w:u w:val="none"/>
        </w:rPr>
      </w:pPr>
      <w:bookmarkStart w:id="142" w:name="_Toc19881807"/>
      <w:bookmarkStart w:id="143" w:name="_Toc14266243"/>
      <w:bookmarkStart w:id="144" w:name="_Toc19891212"/>
      <w:r>
        <w:rPr>
          <w:rFonts w:hint="eastAsia" w:asciiTheme="minorEastAsia" w:hAnsiTheme="minorEastAsia" w:eastAsiaTheme="minorEastAsia"/>
          <w:color w:val="auto"/>
          <w:sz w:val="32"/>
          <w:szCs w:val="32"/>
          <w:u w:val="none"/>
        </w:rPr>
        <w:t>五、监管架构</w:t>
      </w:r>
      <w:bookmarkEnd w:id="142"/>
      <w:bookmarkEnd w:id="143"/>
      <w:bookmarkEnd w:id="144"/>
    </w:p>
    <w:p>
      <w:pPr>
        <w:pStyle w:val="3"/>
        <w:spacing w:line="360" w:lineRule="auto"/>
        <w:ind w:firstLine="643"/>
        <w:rPr>
          <w:rFonts w:asciiTheme="minorEastAsia" w:hAnsiTheme="minorEastAsia" w:eastAsiaTheme="minorEastAsia"/>
          <w:color w:val="auto"/>
          <w:sz w:val="24"/>
          <w:szCs w:val="24"/>
        </w:rPr>
      </w:pPr>
      <w:bookmarkStart w:id="145" w:name="_Toc532748650"/>
      <w:bookmarkStart w:id="146" w:name="_Toc14266244"/>
      <w:bookmarkStart w:id="147" w:name="_Toc19881808"/>
      <w:r>
        <w:rPr>
          <w:rFonts w:hint="eastAsia" w:asciiTheme="minorEastAsia" w:hAnsiTheme="minorEastAsia" w:eastAsiaTheme="minorEastAsia"/>
          <w:color w:val="auto"/>
          <w:sz w:val="24"/>
          <w:szCs w:val="24"/>
        </w:rPr>
        <w:t>（一）授权关系</w:t>
      </w:r>
      <w:bookmarkEnd w:id="145"/>
      <w:bookmarkEnd w:id="146"/>
      <w:bookmarkEnd w:id="147"/>
    </w:p>
    <w:p>
      <w:pPr>
        <w:pStyle w:val="4"/>
        <w:spacing w:line="360" w:lineRule="auto"/>
        <w:ind w:firstLine="643"/>
        <w:rPr>
          <w:rFonts w:asciiTheme="minorEastAsia" w:hAnsiTheme="minorEastAsia" w:eastAsiaTheme="minorEastAsia"/>
          <w:color w:val="auto"/>
          <w:sz w:val="24"/>
        </w:rPr>
      </w:pPr>
      <w:bookmarkStart w:id="148" w:name="_Toc532748651"/>
      <w:bookmarkStart w:id="149" w:name="_Toc14266245"/>
      <w:bookmarkStart w:id="150" w:name="_Toc19881809"/>
      <w:r>
        <w:rPr>
          <w:rFonts w:asciiTheme="minorEastAsia" w:hAnsiTheme="minorEastAsia" w:eastAsiaTheme="minorEastAsia"/>
          <w:color w:val="auto"/>
          <w:sz w:val="24"/>
        </w:rPr>
        <w:t>1.</w:t>
      </w:r>
      <w:r>
        <w:rPr>
          <w:rFonts w:hint="eastAsia" w:asciiTheme="minorEastAsia" w:hAnsiTheme="minorEastAsia" w:eastAsiaTheme="minorEastAsia"/>
          <w:color w:val="auto"/>
          <w:sz w:val="24"/>
        </w:rPr>
        <w:t>政府对项目实施机构的授权</w:t>
      </w:r>
      <w:bookmarkEnd w:id="148"/>
      <w:bookmarkEnd w:id="149"/>
      <w:bookmarkEnd w:id="150"/>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政府确定项目实施机构并对其授权，是特许经营项目推进的必要环节。项目实施机构不仅要牵头编制特许经营实施方案，还要代表政府与社会资本或特许经营企业进行谈判，签订特许经营项目合同（特许经营协议）等重要法律文书，参与到特许经营项目的全过程。在市政府同意的运营公里数额之下，允许项目实施机构根据实际需要，调整部分线路及班次，以满足公共服务的需要。</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东方市</w:t>
      </w:r>
      <w:r>
        <w:rPr>
          <w:rFonts w:asciiTheme="minorEastAsia" w:hAnsiTheme="minorEastAsia" w:eastAsiaTheme="minorEastAsia"/>
          <w:color w:val="auto"/>
          <w:sz w:val="24"/>
          <w:szCs w:val="24"/>
        </w:rPr>
        <w:t>交通运输局为本项目实施机构。</w:t>
      </w:r>
    </w:p>
    <w:p>
      <w:pPr>
        <w:pStyle w:val="4"/>
        <w:spacing w:line="360" w:lineRule="auto"/>
        <w:ind w:firstLine="643"/>
        <w:rPr>
          <w:rFonts w:asciiTheme="minorEastAsia" w:hAnsiTheme="minorEastAsia" w:eastAsiaTheme="minorEastAsia"/>
          <w:color w:val="auto"/>
          <w:sz w:val="24"/>
        </w:rPr>
      </w:pPr>
      <w:bookmarkStart w:id="151" w:name="_Toc532748652"/>
      <w:bookmarkStart w:id="152" w:name="_Toc14266246"/>
      <w:bookmarkStart w:id="153" w:name="_Toc19881810"/>
      <w:r>
        <w:rPr>
          <w:rFonts w:asciiTheme="minorEastAsia" w:hAnsiTheme="minorEastAsia" w:eastAsiaTheme="minorEastAsia"/>
          <w:color w:val="auto"/>
          <w:sz w:val="24"/>
        </w:rPr>
        <w:t>2.</w:t>
      </w:r>
      <w:r>
        <w:rPr>
          <w:rFonts w:hint="eastAsia" w:asciiTheme="minorEastAsia" w:hAnsiTheme="minorEastAsia" w:eastAsiaTheme="minorEastAsia"/>
          <w:color w:val="auto"/>
          <w:sz w:val="24"/>
        </w:rPr>
        <w:t>政府对项目行业归口协调部门的授权</w:t>
      </w:r>
      <w:bookmarkEnd w:id="151"/>
      <w:bookmarkEnd w:id="152"/>
      <w:bookmarkEnd w:id="153"/>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东方市</w:t>
      </w:r>
      <w:r>
        <w:rPr>
          <w:rFonts w:asciiTheme="minorEastAsia" w:hAnsiTheme="minorEastAsia" w:eastAsiaTheme="minorEastAsia"/>
          <w:color w:val="auto"/>
          <w:sz w:val="24"/>
          <w:szCs w:val="24"/>
        </w:rPr>
        <w:t>人民政府通过部门职责界定，授权东方市发改委为特许经营归口协调机构，会同项目实施机构积极争取项目入库，负责对特许经营项目实施方案进行审核，争取补贴资金，协调上级部门等相关事项。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东方市</w:t>
      </w:r>
      <w:r>
        <w:rPr>
          <w:rFonts w:asciiTheme="minorEastAsia" w:hAnsiTheme="minorEastAsia" w:eastAsiaTheme="minorEastAsia"/>
          <w:color w:val="auto"/>
          <w:sz w:val="24"/>
          <w:szCs w:val="24"/>
        </w:rPr>
        <w:t>财政局根据财政部相关规定，负责对物有所值评价报告、财政承受能力</w:t>
      </w:r>
      <w:r>
        <w:rPr>
          <w:rFonts w:hint="eastAsia" w:asciiTheme="minorEastAsia" w:hAnsiTheme="minorEastAsia" w:eastAsiaTheme="minorEastAsia"/>
          <w:color w:val="auto"/>
          <w:sz w:val="24"/>
          <w:szCs w:val="24"/>
        </w:rPr>
        <w:t>论证</w:t>
      </w:r>
      <w:r>
        <w:rPr>
          <w:rFonts w:asciiTheme="minorEastAsia" w:hAnsiTheme="minorEastAsia" w:eastAsiaTheme="minorEastAsia"/>
          <w:color w:val="auto"/>
          <w:sz w:val="24"/>
          <w:szCs w:val="24"/>
        </w:rPr>
        <w:t>报告进行验证，协调上级</w:t>
      </w:r>
      <w:r>
        <w:rPr>
          <w:rFonts w:hint="eastAsia" w:asciiTheme="minorEastAsia" w:hAnsiTheme="minorEastAsia" w:eastAsiaTheme="minorEastAsia"/>
          <w:color w:val="auto"/>
          <w:sz w:val="24"/>
          <w:szCs w:val="24"/>
        </w:rPr>
        <w:t>行业主管</w:t>
      </w:r>
      <w:r>
        <w:rPr>
          <w:rFonts w:asciiTheme="minorEastAsia" w:hAnsiTheme="minorEastAsia" w:eastAsiaTheme="minorEastAsia"/>
          <w:color w:val="auto"/>
          <w:sz w:val="24"/>
          <w:szCs w:val="24"/>
        </w:rPr>
        <w:t>部门等</w:t>
      </w:r>
      <w:r>
        <w:rPr>
          <w:rFonts w:hint="eastAsia" w:asciiTheme="minorEastAsia" w:hAnsiTheme="minorEastAsia" w:eastAsiaTheme="minorEastAsia"/>
          <w:color w:val="auto"/>
          <w:sz w:val="24"/>
          <w:szCs w:val="24"/>
        </w:rPr>
        <w:t>相关</w:t>
      </w:r>
      <w:r>
        <w:rPr>
          <w:rFonts w:asciiTheme="minorEastAsia" w:hAnsiTheme="minorEastAsia" w:eastAsiaTheme="minorEastAsia"/>
          <w:color w:val="auto"/>
          <w:sz w:val="24"/>
          <w:szCs w:val="24"/>
        </w:rPr>
        <w:t>事项。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东方市</w:t>
      </w:r>
      <w:r>
        <w:rPr>
          <w:rFonts w:asciiTheme="minorEastAsia" w:hAnsiTheme="minorEastAsia" w:eastAsiaTheme="minorEastAsia"/>
          <w:color w:val="auto"/>
          <w:sz w:val="24"/>
          <w:szCs w:val="24"/>
        </w:rPr>
        <w:t>人民政府通过部门职责界定，授权东方市交通运输局作为行业管理部门，负责对本项目的建设</w:t>
      </w:r>
      <w:r>
        <w:rPr>
          <w:rFonts w:hint="eastAsia" w:asciiTheme="minorEastAsia" w:hAnsiTheme="minorEastAsia" w:eastAsiaTheme="minorEastAsia"/>
          <w:color w:val="auto"/>
          <w:sz w:val="24"/>
          <w:szCs w:val="24"/>
        </w:rPr>
        <w:t>，并对项目全流程</w:t>
      </w:r>
      <w:r>
        <w:rPr>
          <w:rFonts w:asciiTheme="minorEastAsia" w:hAnsiTheme="minorEastAsia" w:eastAsiaTheme="minorEastAsia"/>
          <w:color w:val="auto"/>
          <w:sz w:val="24"/>
          <w:szCs w:val="24"/>
        </w:rPr>
        <w:t>进行监督</w:t>
      </w:r>
      <w:r>
        <w:rPr>
          <w:rFonts w:hint="eastAsia" w:asciiTheme="minorEastAsia" w:hAnsiTheme="minorEastAsia" w:eastAsiaTheme="minorEastAsia"/>
          <w:color w:val="auto"/>
          <w:sz w:val="24"/>
          <w:szCs w:val="24"/>
        </w:rPr>
        <w:t>管理</w:t>
      </w:r>
      <w:r>
        <w:rPr>
          <w:rFonts w:asciiTheme="minorEastAsia" w:hAnsiTheme="minorEastAsia" w:eastAsiaTheme="minorEastAsia"/>
          <w:color w:val="auto"/>
          <w:sz w:val="24"/>
          <w:szCs w:val="24"/>
        </w:rPr>
        <w:t>。</w:t>
      </w:r>
    </w:p>
    <w:p>
      <w:pPr>
        <w:pStyle w:val="4"/>
        <w:spacing w:line="360" w:lineRule="auto"/>
        <w:ind w:firstLine="643"/>
        <w:rPr>
          <w:rFonts w:asciiTheme="minorEastAsia" w:hAnsiTheme="minorEastAsia" w:eastAsiaTheme="minorEastAsia"/>
          <w:color w:val="auto"/>
          <w:sz w:val="24"/>
        </w:rPr>
      </w:pPr>
      <w:bookmarkStart w:id="154" w:name="_Toc14266247"/>
      <w:bookmarkStart w:id="155" w:name="_Toc19881811"/>
      <w:r>
        <w:rPr>
          <w:rFonts w:asciiTheme="minorEastAsia" w:hAnsiTheme="minorEastAsia" w:eastAsiaTheme="minorEastAsia"/>
          <w:color w:val="auto"/>
          <w:sz w:val="24"/>
        </w:rPr>
        <w:t>3.</w:t>
      </w:r>
      <w:r>
        <w:rPr>
          <w:rFonts w:hint="eastAsia" w:asciiTheme="minorEastAsia" w:hAnsiTheme="minorEastAsia" w:eastAsiaTheme="minorEastAsia"/>
          <w:color w:val="auto"/>
          <w:sz w:val="24"/>
        </w:rPr>
        <w:t>政府通过项目实施机构对社会资本或特许经营企业的授权</w:t>
      </w:r>
      <w:bookmarkEnd w:id="154"/>
      <w:bookmarkEnd w:id="155"/>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政府</w:t>
      </w:r>
      <w:r>
        <w:rPr>
          <w:rFonts w:asciiTheme="minorEastAsia" w:hAnsiTheme="minorEastAsia" w:eastAsiaTheme="minorEastAsia"/>
          <w:color w:val="auto"/>
          <w:sz w:val="24"/>
          <w:szCs w:val="24"/>
        </w:rPr>
        <w:t>通过项目实施机构，对社会资本或特许经营企业授予项目的投资和运营，给予其他必要的政策支持。这些</w:t>
      </w:r>
      <w:r>
        <w:rPr>
          <w:rFonts w:hint="eastAsia" w:asciiTheme="minorEastAsia" w:hAnsiTheme="minorEastAsia" w:eastAsiaTheme="minorEastAsia"/>
          <w:color w:val="auto"/>
          <w:sz w:val="24"/>
          <w:szCs w:val="24"/>
        </w:rPr>
        <w:t>授权</w:t>
      </w:r>
      <w:r>
        <w:rPr>
          <w:rFonts w:asciiTheme="minorEastAsia" w:hAnsiTheme="minorEastAsia" w:eastAsiaTheme="minorEastAsia"/>
          <w:color w:val="auto"/>
          <w:sz w:val="24"/>
          <w:szCs w:val="24"/>
        </w:rPr>
        <w:t>都应</w:t>
      </w:r>
      <w:r>
        <w:rPr>
          <w:rFonts w:hint="eastAsia" w:asciiTheme="minorEastAsia" w:hAnsiTheme="minorEastAsia" w:eastAsiaTheme="minorEastAsia"/>
          <w:color w:val="auto"/>
          <w:sz w:val="24"/>
          <w:szCs w:val="24"/>
        </w:rPr>
        <w:t>体现</w:t>
      </w:r>
      <w:r>
        <w:rPr>
          <w:rFonts w:asciiTheme="minorEastAsia" w:hAnsiTheme="minorEastAsia" w:eastAsiaTheme="minorEastAsia"/>
          <w:color w:val="auto"/>
          <w:sz w:val="24"/>
          <w:szCs w:val="24"/>
        </w:rPr>
        <w:t>在特许经营项目合同（</w:t>
      </w:r>
      <w:r>
        <w:rPr>
          <w:rFonts w:hint="eastAsia" w:asciiTheme="minorEastAsia" w:hAnsiTheme="minorEastAsia" w:eastAsiaTheme="minorEastAsia"/>
          <w:color w:val="auto"/>
          <w:sz w:val="24"/>
          <w:szCs w:val="24"/>
        </w:rPr>
        <w:t>特许经营</w:t>
      </w:r>
      <w:r>
        <w:rPr>
          <w:rFonts w:asciiTheme="minorEastAsia" w:hAnsiTheme="minorEastAsia" w:eastAsiaTheme="minorEastAsia"/>
          <w:color w:val="auto"/>
          <w:sz w:val="24"/>
          <w:szCs w:val="24"/>
        </w:rPr>
        <w:t>协议）</w:t>
      </w:r>
      <w:r>
        <w:rPr>
          <w:rFonts w:hint="eastAsia" w:asciiTheme="minorEastAsia" w:hAnsiTheme="minorEastAsia" w:eastAsiaTheme="minorEastAsia"/>
          <w:color w:val="auto"/>
          <w:sz w:val="24"/>
          <w:szCs w:val="24"/>
        </w:rPr>
        <w:t>中</w:t>
      </w:r>
      <w:r>
        <w:rPr>
          <w:rFonts w:asciiTheme="minorEastAsia" w:hAnsiTheme="minorEastAsia" w:eastAsiaTheme="minorEastAsia"/>
          <w:color w:val="auto"/>
          <w:sz w:val="24"/>
          <w:szCs w:val="24"/>
        </w:rPr>
        <w:t>。本项目</w:t>
      </w:r>
      <w:r>
        <w:rPr>
          <w:rFonts w:hint="eastAsia" w:asciiTheme="minorEastAsia" w:hAnsiTheme="minorEastAsia" w:eastAsiaTheme="minorEastAsia"/>
          <w:color w:val="auto"/>
          <w:sz w:val="24"/>
          <w:szCs w:val="24"/>
        </w:rPr>
        <w:t>特许经营权</w:t>
      </w:r>
      <w:r>
        <w:rPr>
          <w:rFonts w:asciiTheme="minorEastAsia" w:hAnsiTheme="minorEastAsia" w:eastAsiaTheme="minorEastAsia"/>
          <w:color w:val="auto"/>
          <w:sz w:val="24"/>
          <w:szCs w:val="24"/>
        </w:rPr>
        <w:t>的授予是授权核心内容之一。</w:t>
      </w:r>
    </w:p>
    <w:p>
      <w:pPr>
        <w:pStyle w:val="3"/>
        <w:spacing w:line="360" w:lineRule="auto"/>
        <w:ind w:firstLine="643"/>
        <w:rPr>
          <w:rFonts w:asciiTheme="minorEastAsia" w:hAnsiTheme="minorEastAsia" w:eastAsiaTheme="minorEastAsia"/>
          <w:color w:val="auto"/>
          <w:sz w:val="24"/>
          <w:szCs w:val="24"/>
        </w:rPr>
      </w:pPr>
      <w:bookmarkStart w:id="156" w:name="_Toc14266248"/>
      <w:bookmarkStart w:id="157" w:name="_Toc19881812"/>
      <w:bookmarkStart w:id="158" w:name="_Toc532748653"/>
      <w:r>
        <w:rPr>
          <w:rFonts w:hint="eastAsia" w:asciiTheme="minorEastAsia" w:hAnsiTheme="minorEastAsia" w:eastAsiaTheme="minorEastAsia"/>
          <w:color w:val="auto"/>
          <w:sz w:val="24"/>
          <w:szCs w:val="24"/>
        </w:rPr>
        <w:t>（二）监管方式</w:t>
      </w:r>
      <w:bookmarkEnd w:id="156"/>
      <w:bookmarkEnd w:id="157"/>
      <w:bookmarkEnd w:id="158"/>
    </w:p>
    <w:p>
      <w:pPr>
        <w:pStyle w:val="48"/>
        <w:ind w:firstLine="0"/>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pict>
          <v:shape id="_x0000_i1074" o:spt="75" type="#_x0000_t75" style="height:183.35pt;width:413.45pt;" filled="f" o:preferrelative="t" stroked="f" coordsize="21600,21600">
            <v:path/>
            <v:fill on="f" focussize="0,0"/>
            <v:stroke on="f" joinstyle="miter"/>
            <v:imagedata r:id="rId55" o:title=""/>
            <o:lock v:ext="edit" aspectratio="t"/>
            <w10:wrap type="none"/>
            <w10:anchorlock/>
          </v:shape>
        </w:pic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监管方式主要</w:t>
      </w:r>
      <w:r>
        <w:rPr>
          <w:rFonts w:asciiTheme="minorEastAsia" w:hAnsiTheme="minorEastAsia" w:eastAsiaTheme="minorEastAsia"/>
          <w:color w:val="auto"/>
          <w:sz w:val="24"/>
          <w:szCs w:val="24"/>
        </w:rPr>
        <w:t>包括履约管理、行政监管和公众监督等。</w:t>
      </w:r>
    </w:p>
    <w:p>
      <w:pPr>
        <w:pStyle w:val="4"/>
        <w:spacing w:line="360" w:lineRule="auto"/>
        <w:ind w:firstLine="643"/>
        <w:rPr>
          <w:rFonts w:asciiTheme="minorEastAsia" w:hAnsiTheme="minorEastAsia" w:eastAsiaTheme="minorEastAsia"/>
          <w:color w:val="auto"/>
          <w:sz w:val="24"/>
        </w:rPr>
      </w:pPr>
      <w:bookmarkStart w:id="159" w:name="_Toc532748654"/>
      <w:bookmarkStart w:id="160" w:name="_Toc19881813"/>
      <w:bookmarkStart w:id="161" w:name="_Toc14266249"/>
      <w:r>
        <w:rPr>
          <w:rFonts w:asciiTheme="minorEastAsia" w:hAnsiTheme="minorEastAsia" w:eastAsiaTheme="minorEastAsia"/>
          <w:color w:val="auto"/>
          <w:sz w:val="24"/>
        </w:rPr>
        <w:t>1.</w:t>
      </w:r>
      <w:r>
        <w:rPr>
          <w:rFonts w:hint="eastAsia" w:asciiTheme="minorEastAsia" w:hAnsiTheme="minorEastAsia" w:eastAsiaTheme="minorEastAsia"/>
          <w:color w:val="auto"/>
          <w:sz w:val="24"/>
        </w:rPr>
        <w:t>履约管理</w:t>
      </w:r>
      <w:bookmarkEnd w:id="159"/>
      <w:bookmarkEnd w:id="160"/>
      <w:bookmarkEnd w:id="161"/>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该项</w:t>
      </w:r>
      <w:r>
        <w:rPr>
          <w:rFonts w:asciiTheme="minorEastAsia" w:hAnsiTheme="minorEastAsia" w:eastAsiaTheme="minorEastAsia"/>
          <w:color w:val="auto"/>
          <w:sz w:val="24"/>
          <w:szCs w:val="24"/>
        </w:rPr>
        <w:t>监管职责主要</w:t>
      </w:r>
      <w:r>
        <w:rPr>
          <w:rFonts w:hint="eastAsia" w:asciiTheme="minorEastAsia" w:hAnsiTheme="minorEastAsia" w:eastAsiaTheme="minorEastAsia"/>
          <w:color w:val="auto"/>
          <w:sz w:val="24"/>
          <w:szCs w:val="24"/>
        </w:rPr>
        <w:t>由</w:t>
      </w:r>
      <w:r>
        <w:rPr>
          <w:rFonts w:asciiTheme="minorEastAsia" w:hAnsiTheme="minorEastAsia" w:eastAsiaTheme="minorEastAsia"/>
          <w:color w:val="auto"/>
          <w:sz w:val="24"/>
          <w:szCs w:val="24"/>
        </w:rPr>
        <w:t>财政、审计、发改、国资监管部门及项目实施机构承担。</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财政局</w:t>
      </w:r>
      <w:r>
        <w:rPr>
          <w:rFonts w:asciiTheme="minorEastAsia" w:hAnsiTheme="minorEastAsia" w:eastAsiaTheme="minorEastAsia"/>
          <w:color w:val="auto"/>
          <w:sz w:val="24"/>
          <w:szCs w:val="24"/>
        </w:rPr>
        <w:t>负责财政资金拨付管理，监督项目资金的到位与支付。</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发改委</w:t>
      </w:r>
      <w:r>
        <w:rPr>
          <w:rFonts w:asciiTheme="minorEastAsia" w:hAnsiTheme="minorEastAsia" w:eastAsiaTheme="minorEastAsia"/>
          <w:color w:val="auto"/>
          <w:sz w:val="24"/>
          <w:szCs w:val="24"/>
        </w:rPr>
        <w:t>负责工程重大设计变更引起的概算审查，负责工程调概审批，负责工程稽查及上级发改部门的稽查配合。负责</w:t>
      </w:r>
      <w:r>
        <w:rPr>
          <w:rFonts w:hint="eastAsia" w:asciiTheme="minorEastAsia" w:hAnsiTheme="minorEastAsia" w:eastAsiaTheme="minorEastAsia"/>
          <w:color w:val="auto"/>
          <w:sz w:val="24"/>
          <w:szCs w:val="24"/>
        </w:rPr>
        <w:t>项目</w:t>
      </w:r>
      <w:r>
        <w:rPr>
          <w:rFonts w:asciiTheme="minorEastAsia" w:hAnsiTheme="minorEastAsia" w:eastAsiaTheme="minorEastAsia"/>
          <w:color w:val="auto"/>
          <w:sz w:val="24"/>
          <w:szCs w:val="24"/>
        </w:rPr>
        <w:t>软贷款、专项补助资金的</w:t>
      </w:r>
      <w:r>
        <w:rPr>
          <w:rFonts w:hint="eastAsia" w:asciiTheme="minorEastAsia" w:hAnsiTheme="minorEastAsia" w:eastAsiaTheme="minorEastAsia"/>
          <w:color w:val="auto"/>
          <w:sz w:val="24"/>
          <w:szCs w:val="24"/>
        </w:rPr>
        <w:t>申请</w:t>
      </w:r>
      <w:r>
        <w:rPr>
          <w:rFonts w:asciiTheme="minorEastAsia" w:hAnsiTheme="minorEastAsia" w:eastAsiaTheme="minorEastAsia"/>
          <w:color w:val="auto"/>
          <w:sz w:val="24"/>
          <w:szCs w:val="24"/>
        </w:rPr>
        <w:t>等优惠政策落实。</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审计局</w:t>
      </w:r>
      <w:r>
        <w:rPr>
          <w:rFonts w:asciiTheme="minorEastAsia" w:hAnsiTheme="minorEastAsia" w:eastAsiaTheme="minorEastAsia"/>
          <w:color w:val="auto"/>
          <w:sz w:val="24"/>
          <w:szCs w:val="24"/>
        </w:rPr>
        <w:t>负责</w:t>
      </w:r>
      <w:r>
        <w:rPr>
          <w:rFonts w:hint="eastAsia" w:asciiTheme="minorEastAsia" w:hAnsiTheme="minorEastAsia" w:eastAsiaTheme="minorEastAsia"/>
          <w:color w:val="auto"/>
          <w:sz w:val="24"/>
          <w:szCs w:val="24"/>
        </w:rPr>
        <w:t>项目</w:t>
      </w:r>
      <w:r>
        <w:rPr>
          <w:rFonts w:asciiTheme="minorEastAsia" w:hAnsiTheme="minorEastAsia" w:eastAsiaTheme="minorEastAsia"/>
          <w:color w:val="auto"/>
          <w:sz w:val="24"/>
          <w:szCs w:val="24"/>
        </w:rPr>
        <w:t>的合规性审计及项目建设投资</w:t>
      </w:r>
      <w:r>
        <w:rPr>
          <w:rFonts w:hint="eastAsia" w:asciiTheme="minorEastAsia" w:hAnsiTheme="minorEastAsia" w:eastAsiaTheme="minorEastAsia"/>
          <w:color w:val="auto"/>
          <w:sz w:val="24"/>
          <w:szCs w:val="24"/>
        </w:rPr>
        <w:t>等</w:t>
      </w:r>
      <w:r>
        <w:rPr>
          <w:rFonts w:asciiTheme="minorEastAsia" w:hAnsiTheme="minorEastAsia" w:eastAsiaTheme="minorEastAsia"/>
          <w:color w:val="auto"/>
          <w:sz w:val="24"/>
          <w:szCs w:val="24"/>
        </w:rPr>
        <w:t>事项的审计。</w:t>
      </w:r>
      <w:r>
        <w:rPr>
          <w:rFonts w:hint="eastAsia" w:asciiTheme="minorEastAsia" w:hAnsiTheme="minorEastAsia" w:eastAsiaTheme="minorEastAsia"/>
          <w:color w:val="auto"/>
          <w:sz w:val="24"/>
          <w:szCs w:val="24"/>
        </w:rPr>
        <w:t>同时，</w:t>
      </w:r>
      <w:r>
        <w:rPr>
          <w:rFonts w:asciiTheme="minorEastAsia" w:hAnsiTheme="minorEastAsia" w:eastAsiaTheme="minorEastAsia"/>
          <w:color w:val="auto"/>
          <w:sz w:val="24"/>
          <w:szCs w:val="24"/>
        </w:rPr>
        <w:t>政府方可委托第三方审计机构对本项目进行审计，</w:t>
      </w:r>
      <w:r>
        <w:rPr>
          <w:rFonts w:hint="eastAsia" w:asciiTheme="minorEastAsia" w:hAnsiTheme="minorEastAsia" w:eastAsiaTheme="minorEastAsia"/>
          <w:color w:val="auto"/>
          <w:sz w:val="24"/>
          <w:szCs w:val="24"/>
        </w:rPr>
        <w:t>审计内容包括</w:t>
      </w:r>
      <w:r>
        <w:rPr>
          <w:rFonts w:asciiTheme="minorEastAsia" w:hAnsiTheme="minorEastAsia" w:eastAsiaTheme="minorEastAsia"/>
          <w:color w:val="auto"/>
          <w:sz w:val="24"/>
          <w:szCs w:val="24"/>
        </w:rPr>
        <w:t>但不限于</w:t>
      </w:r>
      <w:r>
        <w:rPr>
          <w:rFonts w:hint="eastAsia" w:asciiTheme="minorEastAsia" w:hAnsiTheme="minorEastAsia" w:eastAsiaTheme="minorEastAsia"/>
          <w:color w:val="auto"/>
          <w:sz w:val="24"/>
          <w:szCs w:val="24"/>
        </w:rPr>
        <w:t>以下几个方面：一是审计项目购置资产到位情况，是否按照既定计划如期到位，避免发生固定资产折旧费计提错误；二是审计项目使用者付费收入情况，避免发生使用者付费收入核算错误；三是审计项目绩效考核及付费情况，避免出现可行性缺口补助错误。</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东方市</w:t>
      </w:r>
      <w:r>
        <w:rPr>
          <w:rFonts w:asciiTheme="minorEastAsia" w:hAnsiTheme="minorEastAsia" w:eastAsiaTheme="minorEastAsia"/>
          <w:color w:val="auto"/>
          <w:sz w:val="24"/>
          <w:szCs w:val="24"/>
        </w:rPr>
        <w:t>交通运输局对特许经营企业在合作区的特许经营合同履行情况进行监督管理，必要时派驻常设代表参与工程建设管理。</w:t>
      </w:r>
    </w:p>
    <w:p>
      <w:pPr>
        <w:pStyle w:val="4"/>
        <w:spacing w:line="360" w:lineRule="auto"/>
        <w:ind w:firstLine="643"/>
        <w:rPr>
          <w:rFonts w:asciiTheme="minorEastAsia" w:hAnsiTheme="minorEastAsia" w:eastAsiaTheme="minorEastAsia"/>
          <w:color w:val="auto"/>
          <w:sz w:val="24"/>
        </w:rPr>
      </w:pPr>
      <w:bookmarkStart w:id="162" w:name="_Toc19881814"/>
      <w:bookmarkStart w:id="163" w:name="_Toc532748655"/>
      <w:bookmarkStart w:id="164" w:name="_Toc14266250"/>
      <w:r>
        <w:rPr>
          <w:rFonts w:asciiTheme="minorEastAsia" w:hAnsiTheme="minorEastAsia" w:eastAsiaTheme="minorEastAsia"/>
          <w:color w:val="auto"/>
          <w:sz w:val="24"/>
        </w:rPr>
        <w:t>2.</w:t>
      </w:r>
      <w:r>
        <w:rPr>
          <w:rFonts w:hint="eastAsia" w:asciiTheme="minorEastAsia" w:hAnsiTheme="minorEastAsia" w:eastAsiaTheme="minorEastAsia"/>
          <w:color w:val="auto"/>
          <w:sz w:val="24"/>
        </w:rPr>
        <w:t>行政监管</w:t>
      </w:r>
      <w:bookmarkEnd w:id="162"/>
      <w:bookmarkEnd w:id="163"/>
      <w:bookmarkEnd w:id="164"/>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该项</w:t>
      </w:r>
      <w:r>
        <w:rPr>
          <w:rFonts w:asciiTheme="minorEastAsia" w:hAnsiTheme="minorEastAsia" w:eastAsiaTheme="minorEastAsia"/>
          <w:color w:val="auto"/>
          <w:sz w:val="24"/>
          <w:szCs w:val="24"/>
        </w:rPr>
        <w:t>监管职责主要由规划、国土、住建、环保、水务、防汛办、交通、</w:t>
      </w:r>
      <w:r>
        <w:rPr>
          <w:rFonts w:hint="eastAsia" w:asciiTheme="minorEastAsia" w:hAnsiTheme="minorEastAsia" w:eastAsiaTheme="minorEastAsia"/>
          <w:color w:val="auto"/>
          <w:sz w:val="24"/>
          <w:szCs w:val="24"/>
        </w:rPr>
        <w:t>价格主管</w:t>
      </w:r>
      <w:r>
        <w:rPr>
          <w:rFonts w:asciiTheme="minorEastAsia" w:hAnsiTheme="minorEastAsia" w:eastAsiaTheme="minorEastAsia"/>
          <w:color w:val="auto"/>
          <w:sz w:val="24"/>
          <w:szCs w:val="24"/>
        </w:rPr>
        <w:t>部门承担。</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行业管理部门</w:t>
      </w:r>
      <w:r>
        <w:rPr>
          <w:rFonts w:asciiTheme="minorEastAsia" w:hAnsiTheme="minorEastAsia" w:eastAsiaTheme="minorEastAsia"/>
          <w:color w:val="auto"/>
          <w:sz w:val="24"/>
          <w:szCs w:val="24"/>
        </w:rPr>
        <w:t>依法加强对工程建设、运营及相关活动的监督管理，维护公平竞争秩序，强化质量、安全监督，依法开展检查、验收和责任追究，确保工程质量、安全和公益性效益的发挥，对本项目运营</w:t>
      </w:r>
      <w:r>
        <w:rPr>
          <w:rFonts w:hint="eastAsia" w:asciiTheme="minorEastAsia" w:hAnsiTheme="minorEastAsia" w:eastAsiaTheme="minorEastAsia"/>
          <w:color w:val="auto"/>
          <w:sz w:val="24"/>
          <w:szCs w:val="24"/>
        </w:rPr>
        <w:t>期</w:t>
      </w:r>
      <w:r>
        <w:rPr>
          <w:rFonts w:asciiTheme="minorEastAsia" w:hAnsiTheme="minorEastAsia" w:eastAsiaTheme="minorEastAsia"/>
          <w:color w:val="auto"/>
          <w:sz w:val="24"/>
          <w:szCs w:val="24"/>
        </w:rPr>
        <w:t>内运营维护绩效进行评价。</w:t>
      </w:r>
    </w:p>
    <w:p>
      <w:pPr>
        <w:pStyle w:val="4"/>
        <w:spacing w:line="360" w:lineRule="auto"/>
        <w:ind w:firstLine="643"/>
        <w:rPr>
          <w:rFonts w:asciiTheme="minorEastAsia" w:hAnsiTheme="minorEastAsia" w:eastAsiaTheme="minorEastAsia"/>
          <w:color w:val="auto"/>
          <w:sz w:val="24"/>
        </w:rPr>
      </w:pPr>
      <w:bookmarkStart w:id="165" w:name="_Toc14266251"/>
      <w:bookmarkStart w:id="166" w:name="_Toc532748656"/>
      <w:bookmarkStart w:id="167" w:name="_Toc19881815"/>
      <w:r>
        <w:rPr>
          <w:rFonts w:asciiTheme="minorEastAsia" w:hAnsiTheme="minorEastAsia" w:eastAsiaTheme="minorEastAsia"/>
          <w:color w:val="auto"/>
          <w:sz w:val="24"/>
        </w:rPr>
        <w:t>3.</w:t>
      </w:r>
      <w:r>
        <w:rPr>
          <w:rFonts w:hint="eastAsia" w:asciiTheme="minorEastAsia" w:hAnsiTheme="minorEastAsia" w:eastAsiaTheme="minorEastAsia"/>
          <w:color w:val="auto"/>
          <w:sz w:val="24"/>
        </w:rPr>
        <w:t>公众监督</w:t>
      </w:r>
      <w:bookmarkEnd w:id="165"/>
      <w:bookmarkEnd w:id="166"/>
      <w:bookmarkEnd w:id="167"/>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承担公众</w:t>
      </w:r>
      <w:r>
        <w:rPr>
          <w:rFonts w:asciiTheme="minorEastAsia" w:hAnsiTheme="minorEastAsia" w:eastAsiaTheme="minorEastAsia"/>
          <w:color w:val="auto"/>
          <w:sz w:val="24"/>
          <w:szCs w:val="24"/>
        </w:rPr>
        <w:t>监督职责主要</w:t>
      </w:r>
      <w:r>
        <w:rPr>
          <w:rFonts w:hint="eastAsia" w:asciiTheme="minorEastAsia" w:hAnsiTheme="minorEastAsia" w:eastAsiaTheme="minorEastAsia"/>
          <w:color w:val="auto"/>
          <w:sz w:val="24"/>
          <w:szCs w:val="24"/>
        </w:rPr>
        <w:t>包括</w:t>
      </w:r>
      <w:r>
        <w:rPr>
          <w:rFonts w:asciiTheme="minorEastAsia" w:hAnsiTheme="minorEastAsia" w:eastAsiaTheme="minorEastAsia"/>
          <w:color w:val="auto"/>
          <w:sz w:val="24"/>
          <w:szCs w:val="24"/>
        </w:rPr>
        <w:t>媒体、协会、最终用户及NGO。</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特许经营企业</w:t>
      </w:r>
      <w:r>
        <w:rPr>
          <w:rFonts w:asciiTheme="minorEastAsia" w:hAnsiTheme="minorEastAsia" w:eastAsiaTheme="minorEastAsia"/>
          <w:color w:val="auto"/>
          <w:sz w:val="24"/>
          <w:szCs w:val="24"/>
        </w:rPr>
        <w:t>接受公众监督，行业主管部门接受公众对特许经营企业的意见或建议。</w:t>
      </w:r>
    </w:p>
    <w:p>
      <w:pPr>
        <w:pStyle w:val="2"/>
        <w:spacing w:line="360" w:lineRule="auto"/>
        <w:rPr>
          <w:rFonts w:asciiTheme="minorEastAsia" w:hAnsiTheme="minorEastAsia" w:eastAsiaTheme="minorEastAsia"/>
          <w:b/>
          <w:color w:val="auto"/>
          <w:sz w:val="32"/>
          <w:szCs w:val="32"/>
          <w:u w:val="none"/>
        </w:rPr>
      </w:pPr>
      <w:bookmarkStart w:id="168" w:name="_Toc14266257"/>
      <w:bookmarkStart w:id="169" w:name="_Toc19891213"/>
      <w:bookmarkStart w:id="170" w:name="_Toc19881821"/>
      <w:r>
        <w:rPr>
          <w:rFonts w:hint="eastAsia" w:asciiTheme="minorEastAsia" w:hAnsiTheme="minorEastAsia" w:eastAsiaTheme="minorEastAsia"/>
          <w:color w:val="auto"/>
          <w:sz w:val="32"/>
          <w:szCs w:val="32"/>
          <w:u w:val="none"/>
        </w:rPr>
        <w:t>六、财务测算</w:t>
      </w:r>
      <w:bookmarkEnd w:id="168"/>
      <w:bookmarkEnd w:id="169"/>
      <w:bookmarkEnd w:id="170"/>
    </w:p>
    <w:p>
      <w:pPr>
        <w:pStyle w:val="3"/>
        <w:spacing w:line="360" w:lineRule="auto"/>
        <w:ind w:firstLine="643"/>
        <w:rPr>
          <w:rFonts w:asciiTheme="minorEastAsia" w:hAnsiTheme="minorEastAsia" w:eastAsiaTheme="minorEastAsia"/>
          <w:color w:val="auto"/>
          <w:sz w:val="24"/>
          <w:szCs w:val="24"/>
        </w:rPr>
      </w:pPr>
      <w:bookmarkStart w:id="171" w:name="_Toc14266258"/>
      <w:bookmarkStart w:id="172" w:name="_Toc19881822"/>
      <w:bookmarkStart w:id="173" w:name="_Toc532748596"/>
      <w:r>
        <w:rPr>
          <w:rFonts w:hint="eastAsia" w:asciiTheme="minorEastAsia" w:hAnsiTheme="minorEastAsia" w:eastAsiaTheme="minorEastAsia"/>
          <w:color w:val="auto"/>
          <w:sz w:val="24"/>
          <w:szCs w:val="24"/>
        </w:rPr>
        <w:t>（一）相关假设</w:t>
      </w:r>
      <w:bookmarkEnd w:id="171"/>
      <w:bookmarkEnd w:id="172"/>
      <w:bookmarkEnd w:id="173"/>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本测算数据建立在特许经营企业在</w:t>
      </w:r>
      <w:r>
        <w:rPr>
          <w:rFonts w:asciiTheme="minorEastAsia" w:hAnsiTheme="minorEastAsia" w:eastAsiaTheme="minorEastAsia"/>
          <w:color w:val="auto"/>
          <w:sz w:val="24"/>
        </w:rPr>
        <w:t>2020</w:t>
      </w:r>
      <w:r>
        <w:rPr>
          <w:rFonts w:hint="eastAsia" w:asciiTheme="minorEastAsia" w:hAnsiTheme="minorEastAsia" w:eastAsiaTheme="minorEastAsia"/>
          <w:color w:val="auto"/>
          <w:sz w:val="24"/>
        </w:rPr>
        <w:t>年</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月</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日起即达到方案规定的线路运营及车辆标准的前提下，且在特许经营期限内达到正常服务要求。由于镇村公交和旅游公交建设期暂时延后，具体实施时间由东方市政府视情况决定，故在本次方案中暂未对镇村公交和旅游公交进行说明，相应的财务测算也未列示。</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1.客流量：依据《</w:t>
      </w:r>
      <w:r>
        <w:rPr>
          <w:rFonts w:hint="eastAsia" w:asciiTheme="minorEastAsia" w:hAnsiTheme="minorEastAsia" w:eastAsiaTheme="minorEastAsia"/>
          <w:color w:val="auto"/>
          <w:sz w:val="24"/>
        </w:rPr>
        <w:t>东方市城乡交通运输一体化规划及创建全国城乡交通运输一体化示范市实施方案</w:t>
      </w:r>
      <w:r>
        <w:rPr>
          <w:rFonts w:asciiTheme="minorEastAsia" w:hAnsiTheme="minorEastAsia" w:eastAsiaTheme="minorEastAsia"/>
          <w:color w:val="auto"/>
          <w:sz w:val="24"/>
        </w:rPr>
        <w:t>》项目对东方市客流量的调查</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结合东方市近期公交发展目标对东方市不同类型公交客流情况进行预测</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具体如下表所示</w:t>
      </w:r>
      <w:r>
        <w:rPr>
          <w:rFonts w:hint="eastAsia" w:asciiTheme="minorEastAsia" w:hAnsiTheme="minorEastAsia" w:eastAsiaTheme="minorEastAsia"/>
          <w:color w:val="auto"/>
          <w:sz w:val="24"/>
        </w:rPr>
        <w:t>。</w:t>
      </w:r>
    </w:p>
    <w:p>
      <w:pPr>
        <w:keepLines/>
        <w:spacing w:line="360" w:lineRule="auto"/>
        <w:jc w:val="center"/>
        <w:textAlignment w:val="center"/>
        <w:rPr>
          <w:rFonts w:asciiTheme="minorEastAsia" w:hAnsiTheme="minorEastAsia" w:eastAsiaTheme="minorEastAsia"/>
          <w:b/>
          <w:bCs/>
          <w:color w:val="auto"/>
          <w:sz w:val="24"/>
        </w:rPr>
      </w:pPr>
      <w:r>
        <w:rPr>
          <w:rFonts w:asciiTheme="minorEastAsia" w:hAnsiTheme="minorEastAsia" w:eastAsiaTheme="minorEastAsia"/>
          <w:b/>
          <w:bCs/>
          <w:color w:val="auto"/>
          <w:sz w:val="24"/>
        </w:rPr>
        <w:t>表7.1 东方市不同类型公交2020</w:t>
      </w:r>
      <w:r>
        <w:rPr>
          <w:rFonts w:hint="eastAsia" w:asciiTheme="minorEastAsia" w:hAnsiTheme="minorEastAsia" w:eastAsiaTheme="minorEastAsia"/>
          <w:b/>
          <w:bCs/>
          <w:color w:val="auto"/>
          <w:sz w:val="24"/>
        </w:rPr>
        <w:t>年</w:t>
      </w:r>
      <w:r>
        <w:rPr>
          <w:rFonts w:asciiTheme="minorEastAsia" w:hAnsiTheme="minorEastAsia" w:eastAsiaTheme="minorEastAsia"/>
          <w:b/>
          <w:bCs/>
          <w:color w:val="auto"/>
          <w:sz w:val="24"/>
        </w:rPr>
        <w:t>客流预测情况</w:t>
      </w:r>
    </w:p>
    <w:tbl>
      <w:tblPr>
        <w:tblStyle w:val="23"/>
        <w:tblW w:w="862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1702"/>
        <w:gridCol w:w="1700"/>
        <w:gridCol w:w="170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510" w:type="dxa"/>
            <w:tcBorders>
              <w:top w:val="doub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4"/>
              </w:rPr>
            </w:pPr>
            <w:r>
              <w:rPr>
                <w:rFonts w:hint="eastAsia" w:cs="Arial" w:asciiTheme="minorEastAsia" w:hAnsiTheme="minorEastAsia" w:eastAsiaTheme="minorEastAsia"/>
                <w:color w:val="auto"/>
                <w:kern w:val="0"/>
                <w:sz w:val="24"/>
              </w:rPr>
              <w:t>项目</w:t>
            </w:r>
          </w:p>
        </w:tc>
        <w:tc>
          <w:tcPr>
            <w:tcW w:w="1702" w:type="dxa"/>
            <w:tcBorders>
              <w:top w:val="doub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sz w:val="24"/>
              </w:rPr>
            </w:pPr>
            <w:r>
              <w:rPr>
                <w:rFonts w:hint="eastAsia" w:cs="Arial" w:asciiTheme="minorEastAsia" w:hAnsiTheme="minorEastAsia" w:eastAsiaTheme="minorEastAsia"/>
                <w:color w:val="auto"/>
                <w:sz w:val="24"/>
              </w:rPr>
              <w:t>城区公交</w:t>
            </w:r>
          </w:p>
        </w:tc>
        <w:tc>
          <w:tcPr>
            <w:tcW w:w="1700" w:type="dxa"/>
            <w:tcBorders>
              <w:top w:val="doub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sz w:val="24"/>
              </w:rPr>
            </w:pPr>
            <w:r>
              <w:rPr>
                <w:rFonts w:hint="eastAsia" w:cs="Arial" w:asciiTheme="minorEastAsia" w:hAnsiTheme="minorEastAsia" w:eastAsiaTheme="minorEastAsia"/>
                <w:color w:val="auto"/>
                <w:sz w:val="24"/>
              </w:rPr>
              <w:t>城乡公交</w:t>
            </w:r>
          </w:p>
        </w:tc>
        <w:tc>
          <w:tcPr>
            <w:tcW w:w="1709" w:type="dxa"/>
            <w:tcBorders>
              <w:top w:val="doub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kern w:val="0"/>
                <w:sz w:val="24"/>
              </w:rPr>
            </w:pPr>
            <w:r>
              <w:rPr>
                <w:rFonts w:hint="eastAsia" w:cs="Arial" w:asciiTheme="minorEastAsia" w:hAnsiTheme="minorEastAsia" w:eastAsiaTheme="minorEastAsia"/>
                <w:color w:val="auto"/>
                <w:kern w:val="0"/>
                <w:sz w:val="24"/>
              </w:rPr>
              <w:t>合计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510"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kern w:val="0"/>
                <w:sz w:val="24"/>
              </w:rPr>
            </w:pPr>
            <w:r>
              <w:rPr>
                <w:rFonts w:hint="eastAsia" w:cs="Arial" w:asciiTheme="minorEastAsia" w:hAnsiTheme="minorEastAsia" w:eastAsiaTheme="minorEastAsia"/>
                <w:color w:val="auto"/>
                <w:kern w:val="0"/>
                <w:sz w:val="24"/>
              </w:rPr>
              <w:t>单车日均客流（人次）</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sz w:val="24"/>
              </w:rPr>
            </w:pPr>
            <w:r>
              <w:rPr>
                <w:rFonts w:cs="Arial" w:asciiTheme="minorEastAsia" w:hAnsiTheme="minorEastAsia" w:eastAsiaTheme="minorEastAsia"/>
                <w:color w:val="auto"/>
                <w:sz w:val="24"/>
              </w:rPr>
              <w:t>160</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sz w:val="24"/>
              </w:rPr>
            </w:pPr>
            <w:r>
              <w:rPr>
                <w:rFonts w:cs="Arial" w:asciiTheme="minorEastAsia" w:hAnsiTheme="minorEastAsia" w:eastAsiaTheme="minorEastAsia"/>
                <w:color w:val="auto"/>
                <w:sz w:val="24"/>
              </w:rPr>
              <w:t>120</w:t>
            </w:r>
          </w:p>
        </w:tc>
        <w:tc>
          <w:tcPr>
            <w:tcW w:w="1709"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kern w:val="0"/>
                <w:sz w:val="24"/>
              </w:rPr>
            </w:pPr>
            <w:r>
              <w:rPr>
                <w:rFonts w:cs="Arial" w:asciiTheme="minorEastAsia" w:hAnsiTheme="minorEastAsia" w:eastAsiaTheme="minorEastAsia"/>
                <w:color w:val="auto"/>
                <w:kern w:val="0"/>
                <w:sz w:val="24"/>
              </w:rPr>
              <w:t>280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510"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kern w:val="0"/>
                <w:sz w:val="24"/>
              </w:rPr>
            </w:pPr>
            <w:r>
              <w:rPr>
                <w:rFonts w:hint="eastAsia" w:cs="Arial" w:asciiTheme="minorEastAsia" w:hAnsiTheme="minorEastAsia" w:eastAsiaTheme="minorEastAsia"/>
                <w:color w:val="auto"/>
                <w:kern w:val="0"/>
                <w:sz w:val="24"/>
              </w:rPr>
              <w:t>配车数（辆）</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sz w:val="24"/>
              </w:rPr>
            </w:pPr>
            <w:r>
              <w:rPr>
                <w:rFonts w:cs="Arial" w:asciiTheme="minorEastAsia" w:hAnsiTheme="minorEastAsia" w:eastAsiaTheme="minorEastAsia"/>
                <w:color w:val="auto"/>
                <w:sz w:val="24"/>
              </w:rPr>
              <w:t>102</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sz w:val="24"/>
              </w:rPr>
            </w:pPr>
            <w:r>
              <w:rPr>
                <w:rFonts w:cs="Arial" w:asciiTheme="minorEastAsia" w:hAnsiTheme="minorEastAsia" w:eastAsiaTheme="minorEastAsia"/>
                <w:color w:val="auto"/>
                <w:sz w:val="24"/>
              </w:rPr>
              <w:t>73</w:t>
            </w:r>
          </w:p>
        </w:tc>
        <w:tc>
          <w:tcPr>
            <w:tcW w:w="1709"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kern w:val="0"/>
                <w:sz w:val="24"/>
              </w:rPr>
            </w:pPr>
            <w:r>
              <w:rPr>
                <w:rFonts w:cs="Arial" w:asciiTheme="minorEastAsia" w:hAnsiTheme="minorEastAsia" w:eastAsiaTheme="minorEastAsia"/>
                <w:color w:val="auto"/>
                <w:kern w:val="0"/>
                <w:sz w:val="24"/>
              </w:rPr>
              <w:t>175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510"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kern w:val="0"/>
                <w:sz w:val="24"/>
              </w:rPr>
            </w:pPr>
            <w:r>
              <w:rPr>
                <w:rFonts w:hint="eastAsia" w:cs="Arial" w:asciiTheme="minorEastAsia" w:hAnsiTheme="minorEastAsia" w:eastAsiaTheme="minorEastAsia"/>
                <w:color w:val="auto"/>
                <w:kern w:val="0"/>
                <w:sz w:val="24"/>
              </w:rPr>
              <w:t>实际用车数（辆）</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sz w:val="24"/>
              </w:rPr>
            </w:pPr>
            <w:r>
              <w:rPr>
                <w:rFonts w:cs="Arial" w:asciiTheme="minorEastAsia" w:hAnsiTheme="minorEastAsia" w:eastAsiaTheme="minorEastAsia"/>
                <w:color w:val="auto"/>
                <w:sz w:val="24"/>
              </w:rPr>
              <w:t>96</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sz w:val="24"/>
              </w:rPr>
            </w:pPr>
            <w:r>
              <w:rPr>
                <w:rFonts w:cs="Arial" w:asciiTheme="minorEastAsia" w:hAnsiTheme="minorEastAsia" w:eastAsiaTheme="minorEastAsia"/>
                <w:color w:val="auto"/>
                <w:sz w:val="24"/>
              </w:rPr>
              <w:t>68</w:t>
            </w:r>
          </w:p>
        </w:tc>
        <w:tc>
          <w:tcPr>
            <w:tcW w:w="1709"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kern w:val="0"/>
                <w:sz w:val="24"/>
              </w:rPr>
            </w:pPr>
            <w:r>
              <w:rPr>
                <w:rFonts w:cs="Arial" w:asciiTheme="minorEastAsia" w:hAnsiTheme="minorEastAsia" w:eastAsiaTheme="minorEastAsia"/>
                <w:color w:val="auto"/>
                <w:kern w:val="0"/>
                <w:sz w:val="24"/>
              </w:rPr>
              <w:t>164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510" w:type="dxa"/>
            <w:tcBorders>
              <w:top w:val="single" w:color="auto" w:sz="4" w:space="0"/>
              <w:left w:val="double" w:color="auto" w:sz="4" w:space="0"/>
              <w:bottom w:val="doub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kern w:val="0"/>
                <w:sz w:val="24"/>
              </w:rPr>
            </w:pPr>
            <w:r>
              <w:rPr>
                <w:rFonts w:hint="eastAsia" w:cs="Arial" w:asciiTheme="minorEastAsia" w:hAnsiTheme="minorEastAsia" w:eastAsiaTheme="minorEastAsia"/>
                <w:color w:val="auto"/>
                <w:kern w:val="0"/>
                <w:sz w:val="24"/>
              </w:rPr>
              <w:t>年客流量（万人次）</w:t>
            </w:r>
          </w:p>
        </w:tc>
        <w:tc>
          <w:tcPr>
            <w:tcW w:w="1702"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sz w:val="24"/>
              </w:rPr>
            </w:pPr>
            <w:r>
              <w:rPr>
                <w:rFonts w:cs="Arial" w:asciiTheme="minorEastAsia" w:hAnsiTheme="minorEastAsia" w:eastAsiaTheme="minorEastAsia"/>
                <w:color w:val="auto"/>
                <w:sz w:val="24"/>
              </w:rPr>
              <w:t>560.64</w:t>
            </w:r>
          </w:p>
        </w:tc>
        <w:tc>
          <w:tcPr>
            <w:tcW w:w="1700"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sz w:val="24"/>
              </w:rPr>
            </w:pPr>
            <w:r>
              <w:rPr>
                <w:rFonts w:cs="Arial" w:asciiTheme="minorEastAsia" w:hAnsiTheme="minorEastAsia" w:eastAsiaTheme="minorEastAsia"/>
                <w:color w:val="auto"/>
                <w:sz w:val="24"/>
              </w:rPr>
              <w:t>297.84</w:t>
            </w:r>
          </w:p>
        </w:tc>
        <w:tc>
          <w:tcPr>
            <w:tcW w:w="1709" w:type="dxa"/>
            <w:tcBorders>
              <w:top w:val="single" w:color="auto" w:sz="4" w:space="0"/>
              <w:left w:val="single" w:color="auto" w:sz="4" w:space="0"/>
              <w:bottom w:val="double" w:color="auto" w:sz="4" w:space="0"/>
              <w:right w:val="double" w:color="auto" w:sz="4" w:space="0"/>
            </w:tcBorders>
            <w:shd w:val="clear" w:color="auto" w:fill="auto"/>
            <w:vAlign w:val="center"/>
          </w:tcPr>
          <w:p>
            <w:pPr>
              <w:widowControl/>
              <w:spacing w:line="360" w:lineRule="auto"/>
              <w:ind w:firstLine="440"/>
              <w:jc w:val="center"/>
              <w:rPr>
                <w:rFonts w:cs="Arial" w:asciiTheme="minorEastAsia" w:hAnsiTheme="minorEastAsia" w:eastAsiaTheme="minorEastAsia"/>
                <w:color w:val="auto"/>
                <w:kern w:val="0"/>
                <w:sz w:val="24"/>
              </w:rPr>
            </w:pPr>
            <w:r>
              <w:rPr>
                <w:rFonts w:cs="Arial" w:asciiTheme="minorEastAsia" w:hAnsiTheme="minorEastAsia" w:eastAsiaTheme="minorEastAsia"/>
                <w:color w:val="auto"/>
                <w:kern w:val="0"/>
                <w:sz w:val="24"/>
              </w:rPr>
              <w:t>858.48</w:t>
            </w:r>
          </w:p>
        </w:tc>
      </w:tr>
    </w:tbl>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2.票价：实行政府定价，建议采用</w:t>
      </w:r>
      <w:r>
        <w:rPr>
          <w:rFonts w:hint="eastAsia" w:asciiTheme="minorEastAsia" w:hAnsiTheme="minorEastAsia" w:eastAsiaTheme="minorEastAsia"/>
          <w:color w:val="auto"/>
          <w:sz w:val="24"/>
        </w:rPr>
        <w:t>“社会</w:t>
      </w:r>
      <w:r>
        <w:rPr>
          <w:rFonts w:asciiTheme="minorEastAsia" w:hAnsiTheme="minorEastAsia" w:eastAsiaTheme="minorEastAsia"/>
          <w:color w:val="auto"/>
          <w:sz w:val="24"/>
        </w:rPr>
        <w:t>可承受、财政可承担、</w:t>
      </w:r>
      <w:r>
        <w:rPr>
          <w:rFonts w:hint="eastAsia" w:asciiTheme="minorEastAsia" w:hAnsiTheme="minorEastAsia" w:eastAsiaTheme="minorEastAsia"/>
          <w:color w:val="auto"/>
          <w:sz w:val="24"/>
        </w:rPr>
        <w:t>企业</w:t>
      </w:r>
      <w:r>
        <w:rPr>
          <w:rFonts w:asciiTheme="minorEastAsia" w:hAnsiTheme="minorEastAsia" w:eastAsiaTheme="minorEastAsia"/>
          <w:color w:val="auto"/>
          <w:sz w:val="24"/>
        </w:rPr>
        <w:t>可承载</w:t>
      </w:r>
      <w:r>
        <w:rPr>
          <w:rFonts w:hint="eastAsia" w:asciiTheme="minorEastAsia" w:hAnsiTheme="minorEastAsia" w:eastAsiaTheme="minorEastAsia"/>
          <w:color w:val="auto"/>
          <w:sz w:val="24"/>
        </w:rPr>
        <w:t>”的</w:t>
      </w:r>
      <w:r>
        <w:rPr>
          <w:rFonts w:asciiTheme="minorEastAsia" w:hAnsiTheme="minorEastAsia" w:eastAsiaTheme="minorEastAsia"/>
          <w:color w:val="auto"/>
          <w:sz w:val="24"/>
        </w:rPr>
        <w:t>计程票制，</w:t>
      </w:r>
      <w:r>
        <w:rPr>
          <w:rFonts w:hint="eastAsia" w:asciiTheme="minorEastAsia" w:hAnsiTheme="minorEastAsia" w:eastAsiaTheme="minorEastAsia"/>
          <w:color w:val="auto"/>
          <w:sz w:val="24"/>
        </w:rPr>
        <w:t>线路最高票价</w:t>
      </w:r>
      <w:r>
        <w:rPr>
          <w:rFonts w:asciiTheme="minorEastAsia" w:hAnsiTheme="minorEastAsia" w:eastAsiaTheme="minorEastAsia"/>
          <w:color w:val="auto"/>
          <w:sz w:val="24"/>
        </w:rPr>
        <w:t>=计价费率×线路总里程，计算结果若不为整数，城市公交尾数按“七舍八入”的原则以1元进整，城乡公交尾数按“三七作五，</w:t>
      </w:r>
      <w:r>
        <w:rPr>
          <w:rFonts w:hint="eastAsia" w:asciiTheme="minorEastAsia" w:hAnsiTheme="minorEastAsia" w:eastAsiaTheme="minorEastAsia"/>
          <w:color w:val="auto"/>
          <w:sz w:val="24"/>
        </w:rPr>
        <w:t>二舍八入”的原则以</w:t>
      </w:r>
      <w:r>
        <w:rPr>
          <w:rFonts w:asciiTheme="minorEastAsia" w:hAnsiTheme="minorEastAsia" w:eastAsiaTheme="minorEastAsia"/>
          <w:color w:val="auto"/>
          <w:sz w:val="24"/>
        </w:rPr>
        <w:t>0.5元进整。具体票价</w:t>
      </w:r>
      <w:r>
        <w:rPr>
          <w:rFonts w:hint="eastAsia" w:asciiTheme="minorEastAsia" w:hAnsiTheme="minorEastAsia" w:eastAsiaTheme="minorEastAsia"/>
          <w:color w:val="auto"/>
          <w:sz w:val="24"/>
        </w:rPr>
        <w:t>如下</w:t>
      </w:r>
      <w:r>
        <w:rPr>
          <w:rFonts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城市公交：</w:t>
      </w:r>
      <w:r>
        <w:rPr>
          <w:rFonts w:hint="eastAsia" w:asciiTheme="minorEastAsia" w:hAnsiTheme="minorEastAsia" w:eastAsiaTheme="minorEastAsia"/>
          <w:color w:val="auto"/>
          <w:sz w:val="24"/>
        </w:rPr>
        <w:t>计价</w:t>
      </w:r>
      <w:r>
        <w:rPr>
          <w:rFonts w:asciiTheme="minorEastAsia" w:hAnsiTheme="minorEastAsia" w:eastAsiaTheme="minorEastAsia"/>
          <w:color w:val="auto"/>
          <w:sz w:val="24"/>
        </w:rPr>
        <w:t>费率0.12元/人公里，起步价1元，小于15公里票价1元，15-24公里票价2元，超过24公里票价均3元；城乡公交：</w:t>
      </w:r>
      <w:r>
        <w:rPr>
          <w:rFonts w:hint="eastAsia" w:asciiTheme="minorEastAsia" w:hAnsiTheme="minorEastAsia" w:eastAsiaTheme="minorEastAsia"/>
          <w:color w:val="auto"/>
          <w:sz w:val="24"/>
        </w:rPr>
        <w:t>计价</w:t>
      </w:r>
      <w:r>
        <w:rPr>
          <w:rFonts w:asciiTheme="minorEastAsia" w:hAnsiTheme="minorEastAsia" w:eastAsiaTheme="minorEastAsia"/>
          <w:color w:val="auto"/>
          <w:sz w:val="24"/>
        </w:rPr>
        <w:t>费率0.13</w:t>
      </w:r>
      <w:r>
        <w:rPr>
          <w:rFonts w:hint="eastAsia" w:asciiTheme="minorEastAsia" w:hAnsiTheme="minorEastAsia" w:eastAsiaTheme="minorEastAsia"/>
          <w:color w:val="auto"/>
          <w:sz w:val="24"/>
        </w:rPr>
        <w:t>元</w:t>
      </w:r>
      <w:r>
        <w:rPr>
          <w:rFonts w:asciiTheme="minorEastAsia" w:hAnsiTheme="minorEastAsia" w:eastAsiaTheme="minorEastAsia"/>
          <w:color w:val="auto"/>
          <w:sz w:val="24"/>
        </w:rPr>
        <w:t>/人公里</w:t>
      </w:r>
      <w:r>
        <w:rPr>
          <w:rFonts w:hint="eastAsia" w:asciiTheme="minorEastAsia" w:hAnsiTheme="minorEastAsia" w:eastAsiaTheme="minorEastAsia"/>
          <w:color w:val="auto"/>
          <w:sz w:val="24"/>
        </w:rPr>
        <w:t>，所有</w:t>
      </w:r>
      <w:r>
        <w:rPr>
          <w:rFonts w:asciiTheme="minorEastAsia" w:hAnsiTheme="minorEastAsia" w:eastAsiaTheme="minorEastAsia"/>
          <w:color w:val="auto"/>
          <w:sz w:val="24"/>
        </w:rPr>
        <w:t>线路起步价2元，</w:t>
      </w:r>
      <w:r>
        <w:rPr>
          <w:rFonts w:hint="eastAsia" w:asciiTheme="minorEastAsia" w:hAnsiTheme="minorEastAsia" w:eastAsiaTheme="minorEastAsia"/>
          <w:color w:val="auto"/>
          <w:sz w:val="24"/>
        </w:rPr>
        <w:t>小于</w:t>
      </w:r>
      <w:r>
        <w:rPr>
          <w:rFonts w:asciiTheme="minorEastAsia" w:hAnsiTheme="minorEastAsia" w:eastAsiaTheme="minorEastAsia"/>
          <w:color w:val="auto"/>
          <w:sz w:val="24"/>
        </w:rPr>
        <w:t>15公里票价2</w:t>
      </w:r>
      <w:r>
        <w:rPr>
          <w:rFonts w:hint="eastAsia" w:asciiTheme="minorEastAsia" w:hAnsiTheme="minorEastAsia" w:eastAsiaTheme="minorEastAsia"/>
          <w:color w:val="auto"/>
          <w:sz w:val="24"/>
        </w:rPr>
        <w:t>元，</w:t>
      </w:r>
      <w:r>
        <w:rPr>
          <w:rFonts w:asciiTheme="minorEastAsia" w:hAnsiTheme="minorEastAsia" w:eastAsiaTheme="minorEastAsia"/>
          <w:color w:val="auto"/>
          <w:sz w:val="24"/>
        </w:rPr>
        <w:t>实行阶梯票价</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每增加4公里增加0.5元</w:t>
      </w:r>
      <w:r>
        <w:rPr>
          <w:rFonts w:hint="eastAsia"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为特殊群体设置票价减免、折扣优惠，具体折扣如下：</w:t>
      </w:r>
    </w:p>
    <w:p>
      <w:pPr>
        <w:keepLines/>
        <w:spacing w:line="360" w:lineRule="auto"/>
        <w:jc w:val="center"/>
        <w:textAlignment w:val="center"/>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表</w:t>
      </w:r>
      <w:r>
        <w:rPr>
          <w:rFonts w:asciiTheme="minorEastAsia" w:hAnsiTheme="minorEastAsia" w:eastAsiaTheme="minorEastAsia"/>
          <w:b/>
          <w:bCs/>
          <w:color w:val="auto"/>
          <w:sz w:val="24"/>
        </w:rPr>
        <w:t xml:space="preserve">7.2  </w:t>
      </w:r>
      <w:r>
        <w:rPr>
          <w:rFonts w:hint="eastAsia" w:asciiTheme="minorEastAsia" w:hAnsiTheme="minorEastAsia" w:eastAsiaTheme="minorEastAsia"/>
          <w:b/>
          <w:bCs/>
          <w:color w:val="auto"/>
          <w:sz w:val="24"/>
        </w:rPr>
        <w:t>城市公交客运服务票价折扣体系</w:t>
      </w:r>
    </w:p>
    <w:tbl>
      <w:tblPr>
        <w:tblStyle w:val="23"/>
        <w:tblW w:w="713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330"/>
        <w:gridCol w:w="231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90" w:type="dxa"/>
            <w:vAlign w:val="center"/>
          </w:tcPr>
          <w:p>
            <w:pPr>
              <w:spacing w:line="360" w:lineRule="auto"/>
              <w:jc w:val="center"/>
              <w:rPr>
                <w:rFonts w:cs="宋体" w:asciiTheme="minorEastAsia" w:hAnsiTheme="minorEastAsia" w:eastAsiaTheme="minorEastAsia"/>
                <w:b/>
                <w:color w:val="auto"/>
                <w:kern w:val="0"/>
                <w:szCs w:val="21"/>
              </w:rPr>
            </w:pPr>
            <w:bookmarkStart w:id="174" w:name="_Hlk535953960"/>
            <w:r>
              <w:rPr>
                <w:rFonts w:hint="eastAsia" w:cs="宋体" w:asciiTheme="minorEastAsia" w:hAnsiTheme="minorEastAsia" w:eastAsiaTheme="minorEastAsia"/>
                <w:b/>
                <w:color w:val="auto"/>
                <w:kern w:val="0"/>
                <w:szCs w:val="21"/>
              </w:rPr>
              <w:t>类别</w:t>
            </w:r>
          </w:p>
        </w:tc>
        <w:tc>
          <w:tcPr>
            <w:tcW w:w="2330" w:type="dxa"/>
            <w:vAlign w:val="center"/>
          </w:tcPr>
          <w:p>
            <w:pPr>
              <w:spacing w:line="360" w:lineRule="auto"/>
              <w:jc w:val="center"/>
              <w:rPr>
                <w:rFonts w:cs="宋体" w:asciiTheme="minorEastAsia" w:hAnsiTheme="minorEastAsia" w:eastAsiaTheme="minorEastAsia"/>
                <w:color w:val="auto"/>
                <w:kern w:val="0"/>
                <w:szCs w:val="21"/>
              </w:rPr>
            </w:pPr>
            <w:r>
              <w:rPr>
                <w:rFonts w:hint="eastAsia" w:cs="宋体" w:asciiTheme="minorEastAsia" w:hAnsiTheme="minorEastAsia" w:eastAsiaTheme="minorEastAsia"/>
                <w:b/>
                <w:color w:val="auto"/>
                <w:kern w:val="0"/>
                <w:szCs w:val="21"/>
              </w:rPr>
              <w:t>城市公交</w:t>
            </w:r>
          </w:p>
        </w:tc>
        <w:tc>
          <w:tcPr>
            <w:tcW w:w="2316" w:type="dxa"/>
            <w:vAlign w:val="center"/>
          </w:tcPr>
          <w:p>
            <w:pPr>
              <w:spacing w:line="360" w:lineRule="auto"/>
              <w:jc w:val="center"/>
              <w:rPr>
                <w:rFonts w:cs="宋体" w:asciiTheme="minorEastAsia" w:hAnsiTheme="minorEastAsia" w:eastAsiaTheme="minorEastAsia"/>
                <w:color w:val="auto"/>
                <w:kern w:val="0"/>
                <w:szCs w:val="21"/>
              </w:rPr>
            </w:pPr>
            <w:r>
              <w:rPr>
                <w:rFonts w:hint="eastAsia" w:cs="宋体" w:asciiTheme="minorEastAsia" w:hAnsiTheme="minorEastAsia" w:eastAsiaTheme="minorEastAsia"/>
                <w:b/>
                <w:color w:val="auto"/>
                <w:kern w:val="0"/>
                <w:szCs w:val="21"/>
              </w:rPr>
              <w:t>城乡公交</w:t>
            </w:r>
          </w:p>
        </w:tc>
      </w:tr>
      <w:bookmarkEnd w:id="174"/>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90" w:type="dxa"/>
            <w:vAlign w:val="center"/>
          </w:tcPr>
          <w:p>
            <w:pPr>
              <w:spacing w:line="360" w:lineRule="auto"/>
              <w:jc w:val="center"/>
              <w:rPr>
                <w:rFonts w:cs="宋体" w:asciiTheme="minorEastAsia" w:hAnsiTheme="minorEastAsia" w:eastAsiaTheme="minorEastAsia"/>
                <w:b/>
                <w:color w:val="auto"/>
                <w:kern w:val="0"/>
                <w:szCs w:val="21"/>
              </w:rPr>
            </w:pPr>
            <w:r>
              <w:rPr>
                <w:rFonts w:hint="eastAsia" w:cs="宋体" w:asciiTheme="minorEastAsia" w:hAnsiTheme="minorEastAsia" w:eastAsiaTheme="minorEastAsia"/>
                <w:b/>
                <w:color w:val="auto"/>
                <w:kern w:val="0"/>
                <w:szCs w:val="21"/>
              </w:rPr>
              <w:t>学生卡</w:t>
            </w:r>
          </w:p>
        </w:tc>
        <w:tc>
          <w:tcPr>
            <w:tcW w:w="2330" w:type="dxa"/>
            <w:vAlign w:val="center"/>
          </w:tcPr>
          <w:p>
            <w:pPr>
              <w:spacing w:line="360" w:lineRule="auto"/>
              <w:jc w:val="center"/>
              <w:rPr>
                <w:rFonts w:cs="宋体" w:asciiTheme="minorEastAsia" w:hAnsiTheme="minorEastAsia" w:eastAsiaTheme="minorEastAsia"/>
                <w:color w:val="auto"/>
                <w:kern w:val="0"/>
                <w:szCs w:val="21"/>
              </w:rPr>
            </w:pPr>
            <w:r>
              <w:rPr>
                <w:rFonts w:cs="宋体" w:asciiTheme="minorEastAsia" w:hAnsiTheme="minorEastAsia" w:eastAsiaTheme="minorEastAsia"/>
                <w:color w:val="auto"/>
                <w:kern w:val="0"/>
                <w:szCs w:val="21"/>
              </w:rPr>
              <w:t>5折</w:t>
            </w:r>
          </w:p>
        </w:tc>
        <w:tc>
          <w:tcPr>
            <w:tcW w:w="2316" w:type="dxa"/>
            <w:vAlign w:val="center"/>
          </w:tcPr>
          <w:p>
            <w:pPr>
              <w:spacing w:line="360" w:lineRule="auto"/>
              <w:jc w:val="center"/>
              <w:rPr>
                <w:rFonts w:cs="宋体" w:asciiTheme="minorEastAsia" w:hAnsiTheme="minorEastAsia" w:eastAsiaTheme="minorEastAsia"/>
                <w:color w:val="auto"/>
                <w:kern w:val="0"/>
                <w:szCs w:val="21"/>
              </w:rPr>
            </w:pPr>
            <w:r>
              <w:rPr>
                <w:rFonts w:cs="宋体" w:asciiTheme="minorEastAsia" w:hAnsiTheme="minorEastAsia" w:eastAsiaTheme="minorEastAsia"/>
                <w:color w:val="auto"/>
                <w:kern w:val="0"/>
                <w:szCs w:val="21"/>
              </w:rPr>
              <w:t>6折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90" w:type="dxa"/>
            <w:vAlign w:val="center"/>
          </w:tcPr>
          <w:p>
            <w:pPr>
              <w:spacing w:line="360" w:lineRule="auto"/>
              <w:jc w:val="center"/>
              <w:rPr>
                <w:rFonts w:cs="宋体" w:asciiTheme="minorEastAsia" w:hAnsiTheme="minorEastAsia" w:eastAsiaTheme="minorEastAsia"/>
                <w:b/>
                <w:color w:val="auto"/>
                <w:kern w:val="0"/>
                <w:szCs w:val="21"/>
              </w:rPr>
            </w:pPr>
            <w:r>
              <w:rPr>
                <w:rFonts w:cs="宋体" w:asciiTheme="minorEastAsia" w:hAnsiTheme="minorEastAsia" w:eastAsiaTheme="minorEastAsia"/>
                <w:b/>
                <w:color w:val="auto"/>
                <w:kern w:val="0"/>
                <w:szCs w:val="21"/>
              </w:rPr>
              <w:t>60~70</w:t>
            </w:r>
            <w:r>
              <w:rPr>
                <w:rFonts w:hint="eastAsia" w:cs="宋体" w:asciiTheme="minorEastAsia" w:hAnsiTheme="minorEastAsia" w:eastAsiaTheme="minorEastAsia"/>
                <w:b/>
                <w:color w:val="auto"/>
                <w:kern w:val="0"/>
                <w:szCs w:val="21"/>
              </w:rPr>
              <w:t>岁老人卡</w:t>
            </w:r>
          </w:p>
        </w:tc>
        <w:tc>
          <w:tcPr>
            <w:tcW w:w="2330" w:type="dxa"/>
            <w:vAlign w:val="center"/>
          </w:tcPr>
          <w:p>
            <w:pPr>
              <w:spacing w:line="360" w:lineRule="auto"/>
              <w:jc w:val="center"/>
              <w:rPr>
                <w:rFonts w:cs="宋体" w:asciiTheme="minorEastAsia" w:hAnsiTheme="minorEastAsia" w:eastAsiaTheme="minorEastAsia"/>
                <w:color w:val="auto"/>
                <w:kern w:val="0"/>
                <w:szCs w:val="21"/>
              </w:rPr>
            </w:pPr>
            <w:r>
              <w:rPr>
                <w:rFonts w:cs="宋体" w:asciiTheme="minorEastAsia" w:hAnsiTheme="minorEastAsia" w:eastAsiaTheme="minorEastAsia"/>
                <w:color w:val="auto"/>
                <w:kern w:val="0"/>
                <w:szCs w:val="21"/>
              </w:rPr>
              <w:t>5</w:t>
            </w:r>
            <w:r>
              <w:rPr>
                <w:rFonts w:hint="eastAsia" w:cs="宋体" w:asciiTheme="minorEastAsia" w:hAnsiTheme="minorEastAsia" w:eastAsiaTheme="minorEastAsia"/>
                <w:color w:val="auto"/>
                <w:kern w:val="0"/>
                <w:szCs w:val="21"/>
              </w:rPr>
              <w:t>折</w:t>
            </w:r>
          </w:p>
        </w:tc>
        <w:tc>
          <w:tcPr>
            <w:tcW w:w="2316" w:type="dxa"/>
            <w:vAlign w:val="center"/>
          </w:tcPr>
          <w:p>
            <w:pPr>
              <w:spacing w:line="360" w:lineRule="auto"/>
              <w:jc w:val="center"/>
              <w:rPr>
                <w:rFonts w:cs="宋体" w:asciiTheme="minorEastAsia" w:hAnsiTheme="minorEastAsia" w:eastAsiaTheme="minorEastAsia"/>
                <w:color w:val="auto"/>
                <w:kern w:val="0"/>
                <w:szCs w:val="21"/>
              </w:rPr>
            </w:pPr>
            <w:r>
              <w:rPr>
                <w:rFonts w:cs="宋体" w:asciiTheme="minorEastAsia" w:hAnsiTheme="minorEastAsia" w:eastAsiaTheme="minorEastAsia"/>
                <w:color w:val="auto"/>
                <w:kern w:val="0"/>
                <w:szCs w:val="21"/>
              </w:rPr>
              <w:t>5</w:t>
            </w:r>
            <w:r>
              <w:rPr>
                <w:rFonts w:hint="eastAsia" w:cs="宋体" w:asciiTheme="minorEastAsia" w:hAnsiTheme="minorEastAsia" w:eastAsiaTheme="minorEastAsia"/>
                <w:color w:val="auto"/>
                <w:kern w:val="0"/>
                <w:szCs w:val="21"/>
              </w:rPr>
              <w:t>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90" w:type="dxa"/>
            <w:vAlign w:val="center"/>
          </w:tcPr>
          <w:p>
            <w:pPr>
              <w:spacing w:line="360" w:lineRule="auto"/>
              <w:jc w:val="center"/>
              <w:rPr>
                <w:rFonts w:cs="宋体" w:asciiTheme="minorEastAsia" w:hAnsiTheme="minorEastAsia" w:eastAsiaTheme="minorEastAsia"/>
                <w:b/>
                <w:color w:val="auto"/>
                <w:kern w:val="0"/>
                <w:szCs w:val="21"/>
              </w:rPr>
            </w:pPr>
            <w:r>
              <w:rPr>
                <w:rFonts w:cs="宋体" w:asciiTheme="minorEastAsia" w:hAnsiTheme="minorEastAsia" w:eastAsiaTheme="minorEastAsia"/>
                <w:b/>
                <w:color w:val="auto"/>
                <w:kern w:val="0"/>
                <w:szCs w:val="21"/>
              </w:rPr>
              <w:t>70</w:t>
            </w:r>
            <w:r>
              <w:rPr>
                <w:rFonts w:hint="eastAsia" w:cs="宋体" w:asciiTheme="minorEastAsia" w:hAnsiTheme="minorEastAsia" w:eastAsiaTheme="minorEastAsia"/>
                <w:b/>
                <w:color w:val="auto"/>
                <w:kern w:val="0"/>
                <w:szCs w:val="21"/>
              </w:rPr>
              <w:t>岁以上老人卡</w:t>
            </w:r>
          </w:p>
        </w:tc>
        <w:tc>
          <w:tcPr>
            <w:tcW w:w="2330" w:type="dxa"/>
            <w:vAlign w:val="center"/>
          </w:tcPr>
          <w:p>
            <w:pPr>
              <w:spacing w:line="360" w:lineRule="auto"/>
              <w:jc w:val="center"/>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免票</w:t>
            </w:r>
          </w:p>
        </w:tc>
        <w:tc>
          <w:tcPr>
            <w:tcW w:w="2316" w:type="dxa"/>
            <w:vAlign w:val="center"/>
          </w:tcPr>
          <w:p>
            <w:pPr>
              <w:spacing w:line="360" w:lineRule="auto"/>
              <w:jc w:val="center"/>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免票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90" w:type="dxa"/>
            <w:vAlign w:val="center"/>
          </w:tcPr>
          <w:p>
            <w:pPr>
              <w:spacing w:line="360" w:lineRule="auto"/>
              <w:jc w:val="center"/>
              <w:rPr>
                <w:rFonts w:cs="宋体" w:asciiTheme="minorEastAsia" w:hAnsiTheme="minorEastAsia" w:eastAsiaTheme="minorEastAsia"/>
                <w:b/>
                <w:color w:val="auto"/>
                <w:kern w:val="0"/>
                <w:szCs w:val="21"/>
              </w:rPr>
            </w:pPr>
            <w:r>
              <w:rPr>
                <w:rFonts w:hint="eastAsia" w:cs="宋体" w:asciiTheme="minorEastAsia" w:hAnsiTheme="minorEastAsia" w:eastAsiaTheme="minorEastAsia"/>
                <w:b/>
                <w:color w:val="auto"/>
                <w:kern w:val="0"/>
                <w:szCs w:val="21"/>
              </w:rPr>
              <w:t>残疾人</w:t>
            </w:r>
          </w:p>
        </w:tc>
        <w:tc>
          <w:tcPr>
            <w:tcW w:w="2330" w:type="dxa"/>
            <w:vAlign w:val="center"/>
          </w:tcPr>
          <w:p>
            <w:pPr>
              <w:spacing w:line="360" w:lineRule="auto"/>
              <w:jc w:val="center"/>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免票</w:t>
            </w:r>
          </w:p>
        </w:tc>
        <w:tc>
          <w:tcPr>
            <w:tcW w:w="2316" w:type="dxa"/>
            <w:vAlign w:val="center"/>
          </w:tcPr>
          <w:p>
            <w:pPr>
              <w:spacing w:line="360" w:lineRule="auto"/>
              <w:jc w:val="center"/>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免票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90" w:type="dxa"/>
            <w:vAlign w:val="center"/>
          </w:tcPr>
          <w:p>
            <w:pPr>
              <w:spacing w:line="360" w:lineRule="auto"/>
              <w:jc w:val="center"/>
              <w:rPr>
                <w:rFonts w:cs="宋体" w:asciiTheme="minorEastAsia" w:hAnsiTheme="minorEastAsia" w:eastAsiaTheme="minorEastAsia"/>
                <w:b/>
                <w:color w:val="auto"/>
                <w:kern w:val="0"/>
                <w:szCs w:val="21"/>
              </w:rPr>
            </w:pPr>
            <w:r>
              <w:rPr>
                <w:rFonts w:hint="eastAsia" w:cs="宋体" w:asciiTheme="minorEastAsia" w:hAnsiTheme="minorEastAsia" w:eastAsiaTheme="minorEastAsia"/>
                <w:b/>
                <w:color w:val="auto"/>
                <w:kern w:val="0"/>
                <w:szCs w:val="21"/>
              </w:rPr>
              <w:t>军人</w:t>
            </w:r>
          </w:p>
        </w:tc>
        <w:tc>
          <w:tcPr>
            <w:tcW w:w="2330" w:type="dxa"/>
            <w:vAlign w:val="center"/>
          </w:tcPr>
          <w:p>
            <w:pPr>
              <w:spacing w:line="360" w:lineRule="auto"/>
              <w:jc w:val="center"/>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免票</w:t>
            </w:r>
          </w:p>
        </w:tc>
        <w:tc>
          <w:tcPr>
            <w:tcW w:w="2316" w:type="dxa"/>
            <w:vAlign w:val="center"/>
          </w:tcPr>
          <w:p>
            <w:pPr>
              <w:spacing w:line="360" w:lineRule="auto"/>
              <w:jc w:val="center"/>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免票</w:t>
            </w:r>
          </w:p>
        </w:tc>
      </w:tr>
    </w:tbl>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3.初始投资：</w:t>
      </w:r>
      <w:r>
        <w:rPr>
          <w:rFonts w:hint="eastAsia" w:asciiTheme="minorEastAsia" w:hAnsiTheme="minorEastAsia" w:eastAsiaTheme="minorEastAsia"/>
          <w:color w:val="auto"/>
          <w:sz w:val="24"/>
        </w:rPr>
        <w:t>特许经营企业</w:t>
      </w:r>
      <w:r>
        <w:rPr>
          <w:rFonts w:asciiTheme="minorEastAsia" w:hAnsiTheme="minorEastAsia" w:eastAsiaTheme="minorEastAsia"/>
          <w:color w:val="auto"/>
          <w:sz w:val="24"/>
        </w:rPr>
        <w:t>负责主体</w:t>
      </w:r>
      <w:r>
        <w:rPr>
          <w:rFonts w:hint="eastAsia" w:asciiTheme="minorEastAsia" w:hAnsiTheme="minorEastAsia" w:eastAsiaTheme="minorEastAsia"/>
          <w:color w:val="auto"/>
          <w:sz w:val="24"/>
        </w:rPr>
        <w:t>整合</w:t>
      </w:r>
      <w:r>
        <w:rPr>
          <w:rFonts w:asciiTheme="minorEastAsia" w:hAnsiTheme="minorEastAsia" w:eastAsiaTheme="minorEastAsia"/>
          <w:color w:val="auto"/>
          <w:sz w:val="24"/>
        </w:rPr>
        <w:t>及收购</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车辆购置、</w:t>
      </w:r>
      <w:r>
        <w:rPr>
          <w:rFonts w:hint="eastAsia" w:asciiTheme="minorEastAsia" w:hAnsiTheme="minorEastAsia" w:eastAsiaTheme="minorEastAsia"/>
          <w:color w:val="auto"/>
          <w:sz w:val="24"/>
        </w:rPr>
        <w:t>企业</w:t>
      </w:r>
      <w:r>
        <w:rPr>
          <w:rFonts w:asciiTheme="minorEastAsia" w:hAnsiTheme="minorEastAsia" w:eastAsiaTheme="minorEastAsia"/>
          <w:color w:val="auto"/>
          <w:sz w:val="24"/>
        </w:rPr>
        <w:t>信息化系统建设</w:t>
      </w:r>
      <w:r>
        <w:rPr>
          <w:rFonts w:hint="eastAsia" w:asciiTheme="minorEastAsia" w:hAnsiTheme="minorEastAsia" w:eastAsiaTheme="minorEastAsia"/>
          <w:color w:val="auto"/>
          <w:sz w:val="24"/>
        </w:rPr>
        <w:t>等</w:t>
      </w:r>
      <w:r>
        <w:rPr>
          <w:rFonts w:asciiTheme="minorEastAsia" w:hAnsiTheme="minorEastAsia" w:eastAsiaTheme="minorEastAsia"/>
          <w:color w:val="auto"/>
          <w:sz w:val="24"/>
        </w:rPr>
        <w:t>投资内容，</w:t>
      </w:r>
      <w:r>
        <w:rPr>
          <w:rFonts w:hint="eastAsia" w:asciiTheme="minorEastAsia" w:hAnsiTheme="minorEastAsia" w:eastAsiaTheme="minorEastAsia"/>
          <w:color w:val="auto"/>
          <w:sz w:val="24"/>
        </w:rPr>
        <w:t>初始投资</w:t>
      </w:r>
      <w:r>
        <w:rPr>
          <w:rFonts w:asciiTheme="minorEastAsia" w:hAnsiTheme="minorEastAsia" w:eastAsiaTheme="minorEastAsia"/>
          <w:color w:val="auto"/>
          <w:sz w:val="24"/>
        </w:rPr>
        <w:t>合计约6,279.33万元。</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4.</w:t>
      </w:r>
      <w:r>
        <w:rPr>
          <w:rFonts w:hint="eastAsia" w:asciiTheme="minorEastAsia" w:hAnsiTheme="minorEastAsia" w:eastAsiaTheme="minorEastAsia"/>
          <w:color w:val="auto"/>
          <w:sz w:val="24"/>
        </w:rPr>
        <w:t>营业收入</w:t>
      </w:r>
      <w:r>
        <w:rPr>
          <w:rFonts w:asciiTheme="minorEastAsia" w:hAnsiTheme="minorEastAsia" w:eastAsiaTheme="minorEastAsia"/>
          <w:color w:val="auto"/>
          <w:sz w:val="24"/>
        </w:rPr>
        <w:t>：主要包括</w:t>
      </w:r>
      <w:r>
        <w:rPr>
          <w:rFonts w:hint="eastAsia" w:asciiTheme="minorEastAsia" w:hAnsiTheme="minorEastAsia" w:eastAsiaTheme="minorEastAsia"/>
          <w:color w:val="auto"/>
          <w:sz w:val="24"/>
        </w:rPr>
        <w:t>票价</w:t>
      </w:r>
      <w:r>
        <w:rPr>
          <w:rFonts w:asciiTheme="minorEastAsia" w:hAnsiTheme="minorEastAsia" w:eastAsiaTheme="minorEastAsia"/>
          <w:color w:val="auto"/>
          <w:sz w:val="24"/>
        </w:rPr>
        <w:t>收入、</w:t>
      </w:r>
      <w:r>
        <w:rPr>
          <w:rFonts w:hint="eastAsia" w:asciiTheme="minorEastAsia" w:hAnsiTheme="minorEastAsia" w:eastAsiaTheme="minorEastAsia"/>
          <w:color w:val="auto"/>
          <w:sz w:val="24"/>
        </w:rPr>
        <w:t>广告</w:t>
      </w:r>
      <w:r>
        <w:rPr>
          <w:rFonts w:asciiTheme="minorEastAsia" w:hAnsiTheme="minorEastAsia" w:eastAsiaTheme="minorEastAsia"/>
          <w:color w:val="auto"/>
          <w:sz w:val="24"/>
        </w:rPr>
        <w:t>收入等。</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5.</w:t>
      </w:r>
      <w:r>
        <w:rPr>
          <w:rFonts w:hint="eastAsia" w:asciiTheme="minorEastAsia" w:hAnsiTheme="minorEastAsia" w:eastAsiaTheme="minorEastAsia"/>
          <w:color w:val="auto"/>
          <w:sz w:val="24"/>
        </w:rPr>
        <w:t>直接</w:t>
      </w:r>
      <w:r>
        <w:rPr>
          <w:rFonts w:asciiTheme="minorEastAsia" w:hAnsiTheme="minorEastAsia" w:eastAsiaTheme="minorEastAsia"/>
          <w:color w:val="auto"/>
          <w:sz w:val="24"/>
        </w:rPr>
        <w:t>运营成本：主要包括</w:t>
      </w:r>
      <w:r>
        <w:rPr>
          <w:rFonts w:hint="eastAsia" w:asciiTheme="minorEastAsia" w:hAnsiTheme="minorEastAsia" w:eastAsiaTheme="minorEastAsia"/>
          <w:color w:val="auto"/>
          <w:sz w:val="24"/>
        </w:rPr>
        <w:t>人员工资及工资性支出、燃料</w:t>
      </w:r>
      <w:r>
        <w:rPr>
          <w:rFonts w:asciiTheme="minorEastAsia" w:hAnsiTheme="minorEastAsia" w:eastAsiaTheme="minorEastAsia"/>
          <w:color w:val="auto"/>
          <w:sz w:val="24"/>
        </w:rPr>
        <w:t>(电力)消耗费、折旧费、保修费、轮胎消耗费、保险及事故损失费、安全费、其他直接运营费等。除折旧费以外的其他直接运营成本为可控运营成本。</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6.折旧费：特许经营企业初期投资和追加投资</w:t>
      </w:r>
      <w:r>
        <w:rPr>
          <w:rFonts w:hint="eastAsia" w:asciiTheme="minorEastAsia" w:hAnsiTheme="minorEastAsia" w:eastAsiaTheme="minorEastAsia"/>
          <w:color w:val="auto"/>
          <w:sz w:val="24"/>
        </w:rPr>
        <w:t>的运营车辆，采用平均年限法计提折旧，残值率为</w:t>
      </w:r>
      <w:r>
        <w:rPr>
          <w:rFonts w:asciiTheme="minorEastAsia" w:hAnsiTheme="minorEastAsia" w:eastAsiaTheme="minorEastAsia"/>
          <w:color w:val="auto"/>
          <w:sz w:val="24"/>
        </w:rPr>
        <w:t>5%，折旧年限采用8年。特许经营到期尚未提完折旧的运营车辆，在特许经营期的最后一年（即2035年）加速提完剩余折旧，政府按其残值购买。</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7.税金及附加：测算中运营收入无法弥补运营成本费用，无应缴纳的增值税，故税金及附加暂不做预测。</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8.管理费用：按营业收入的2%测算。</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9.政府付费总额：包括新购置车辆的两级财政补贴和投资回报。新购置车辆的两级财政补贴根据《海南省新能源汽车推广应用省级财政补贴实施办法》测算；投资回报包括项目资本金回报、融资成本回报、运营补助</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超额收入回报</w:t>
      </w:r>
      <w:r>
        <w:rPr>
          <w:rFonts w:hint="eastAsia" w:asciiTheme="minorEastAsia" w:hAnsiTheme="minorEastAsia" w:eastAsiaTheme="minorEastAsia"/>
          <w:color w:val="auto"/>
          <w:sz w:val="24"/>
          <w:szCs w:val="24"/>
        </w:rPr>
        <w:t>四</w:t>
      </w:r>
      <w:r>
        <w:rPr>
          <w:rFonts w:asciiTheme="minorEastAsia" w:hAnsiTheme="minorEastAsia" w:eastAsiaTheme="minorEastAsia"/>
          <w:color w:val="auto"/>
          <w:sz w:val="24"/>
          <w:szCs w:val="24"/>
        </w:rPr>
        <w:t>方面。其中：</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1）项目资本金回报：在特许经营期内，采用“初始项目资本金×6%”的方式测算年回报金额。</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2）融资成本回报：以中国人民银行公布的五年期以上贷款利率4.9%上浮20%</w:t>
      </w:r>
      <w:r>
        <w:rPr>
          <w:rFonts w:hint="eastAsia" w:asciiTheme="minorEastAsia" w:hAnsiTheme="minorEastAsia" w:eastAsiaTheme="minorEastAsia"/>
          <w:color w:val="auto"/>
          <w:sz w:val="24"/>
          <w:szCs w:val="24"/>
        </w:rPr>
        <w:t>作为融资成本回报率，在特许经营期内，采用“外部融资金额×</w:t>
      </w:r>
      <w:r>
        <w:rPr>
          <w:rFonts w:asciiTheme="minorEastAsia" w:hAnsiTheme="minorEastAsia" w:eastAsiaTheme="minorEastAsia"/>
          <w:color w:val="auto"/>
          <w:sz w:val="24"/>
          <w:szCs w:val="24"/>
        </w:rPr>
        <w:t>5.88%</w:t>
      </w:r>
      <w:r>
        <w:rPr>
          <w:rFonts w:hint="eastAsia" w:asciiTheme="minorEastAsia" w:hAnsiTheme="minorEastAsia" w:eastAsiaTheme="minorEastAsia"/>
          <w:color w:val="auto"/>
          <w:sz w:val="24"/>
          <w:szCs w:val="24"/>
        </w:rPr>
        <w:t>”的方式测算年回报金额。</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3）运营补助：</w:t>
      </w:r>
      <w:r>
        <w:rPr>
          <w:rFonts w:hint="eastAsia" w:asciiTheme="minorEastAsia" w:hAnsiTheme="minorEastAsia" w:eastAsiaTheme="minorEastAsia"/>
          <w:color w:val="auto"/>
          <w:sz w:val="24"/>
          <w:szCs w:val="24"/>
        </w:rPr>
        <w:t>亏损</w:t>
      </w:r>
      <w:r>
        <w:rPr>
          <w:rFonts w:asciiTheme="minorEastAsia" w:hAnsiTheme="minorEastAsia" w:eastAsiaTheme="minorEastAsia"/>
          <w:color w:val="auto"/>
          <w:sz w:val="24"/>
          <w:szCs w:val="24"/>
        </w:rPr>
        <w:t>补助方面，即弥补运营成本缺口的金额。</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运营成本缺口＝营业收入－（营业总成本－财务费用）＋新购置车辆的两级财政补贴＋政策性亏损补助</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营业收入＝票价收入＋广告收入＋充电桩收入</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营业总成本＝营业成本＋管理费用＋财务费用</w:t>
      </w:r>
      <w:r>
        <w:rPr>
          <w:rFonts w:asciiTheme="minorEastAsia" w:hAnsiTheme="minorEastAsia" w:eastAsiaTheme="minorEastAsia"/>
          <w:color w:val="auto"/>
          <w:sz w:val="24"/>
          <w:szCs w:val="24"/>
        </w:rPr>
        <w:t>+主体整合需承担的收益补偿、人员安置费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营业成本＝直接运营成本＋无形资产摊销费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4）超额收入回报：</w:t>
      </w:r>
      <w:r>
        <w:rPr>
          <w:rFonts w:hint="eastAsia" w:asciiTheme="minorEastAsia" w:hAnsiTheme="minorEastAsia" w:eastAsiaTheme="minorEastAsia"/>
          <w:color w:val="auto"/>
          <w:sz w:val="24"/>
          <w:szCs w:val="24"/>
        </w:rPr>
        <w:t>由于</w:t>
      </w:r>
      <w:r>
        <w:rPr>
          <w:rFonts w:asciiTheme="minorEastAsia" w:hAnsiTheme="minorEastAsia" w:eastAsiaTheme="minorEastAsia"/>
          <w:color w:val="auto"/>
          <w:sz w:val="24"/>
          <w:szCs w:val="24"/>
        </w:rPr>
        <w:t>超额收入的不确定性，在</w:t>
      </w:r>
      <w:r>
        <w:rPr>
          <w:rFonts w:hint="eastAsia" w:asciiTheme="minorEastAsia" w:hAnsiTheme="minorEastAsia" w:eastAsiaTheme="minorEastAsia"/>
          <w:color w:val="auto"/>
          <w:sz w:val="24"/>
          <w:szCs w:val="24"/>
        </w:rPr>
        <w:t>本次测算中暂不考虑。</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注：新购置车辆的两级财政补贴于年末拨付；项目资本金回报、融资成本回报、运营补助（含政策性亏损补助）按季度拨付。</w:t>
      </w:r>
    </w:p>
    <w:p>
      <w:pPr>
        <w:pStyle w:val="3"/>
        <w:spacing w:line="360" w:lineRule="auto"/>
        <w:ind w:firstLine="643"/>
        <w:rPr>
          <w:rFonts w:asciiTheme="minorEastAsia" w:hAnsiTheme="minorEastAsia" w:eastAsiaTheme="minorEastAsia"/>
          <w:color w:val="auto"/>
          <w:sz w:val="24"/>
          <w:szCs w:val="24"/>
        </w:rPr>
      </w:pPr>
      <w:bookmarkStart w:id="175" w:name="_Toc14266259"/>
      <w:bookmarkStart w:id="176" w:name="_Toc532748597"/>
      <w:bookmarkStart w:id="177" w:name="_Toc19881823"/>
      <w:r>
        <w:rPr>
          <w:rFonts w:hint="eastAsia" w:asciiTheme="minorEastAsia" w:hAnsiTheme="minorEastAsia" w:eastAsiaTheme="minorEastAsia"/>
          <w:color w:val="auto"/>
          <w:sz w:val="24"/>
          <w:szCs w:val="24"/>
        </w:rPr>
        <w:t>（二）投资测算</w:t>
      </w:r>
      <w:bookmarkEnd w:id="175"/>
      <w:bookmarkEnd w:id="176"/>
      <w:bookmarkEnd w:id="177"/>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推荐采用2019年12月31日一次性收购的方案，以该方案为准进行测算。</w:t>
      </w:r>
    </w:p>
    <w:p>
      <w:pPr>
        <w:pStyle w:val="4"/>
        <w:spacing w:line="360" w:lineRule="auto"/>
        <w:ind w:firstLine="643"/>
        <w:rPr>
          <w:rFonts w:asciiTheme="minorEastAsia" w:hAnsiTheme="minorEastAsia" w:eastAsiaTheme="minorEastAsia"/>
          <w:color w:val="auto"/>
          <w:sz w:val="24"/>
        </w:rPr>
      </w:pPr>
      <w:bookmarkStart w:id="178" w:name="_Toc19881824"/>
      <w:bookmarkStart w:id="179" w:name="_Toc14266260"/>
      <w:bookmarkStart w:id="180" w:name="_Toc532748598"/>
      <w:bookmarkStart w:id="181" w:name="_Toc527402583"/>
      <w:r>
        <w:rPr>
          <w:rFonts w:asciiTheme="minorEastAsia" w:hAnsiTheme="minorEastAsia" w:eastAsiaTheme="minorEastAsia"/>
          <w:color w:val="auto"/>
          <w:sz w:val="24"/>
        </w:rPr>
        <w:t>1.</w:t>
      </w:r>
      <w:r>
        <w:rPr>
          <w:rFonts w:hint="eastAsia" w:asciiTheme="minorEastAsia" w:hAnsiTheme="minorEastAsia" w:eastAsiaTheme="minorEastAsia"/>
          <w:color w:val="auto"/>
          <w:sz w:val="24"/>
        </w:rPr>
        <w:t>初期项目建设资金测算</w:t>
      </w:r>
      <w:bookmarkEnd w:id="178"/>
      <w:bookmarkEnd w:id="179"/>
      <w:bookmarkEnd w:id="180"/>
      <w:bookmarkEnd w:id="181"/>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1）主体整合投资</w:t>
      </w:r>
    </w:p>
    <w:p>
      <w:pPr>
        <w:pStyle w:val="48"/>
        <w:ind w:firstLine="643"/>
        <w:rPr>
          <w:rFonts w:asciiTheme="minorEastAsia" w:hAnsiTheme="minorEastAsia" w:eastAsiaTheme="minorEastAsia"/>
          <w:color w:val="auto"/>
          <w:sz w:val="24"/>
          <w:szCs w:val="24"/>
        </w:rPr>
      </w:pPr>
      <w:r>
        <w:rPr>
          <w:rFonts w:asciiTheme="minorEastAsia" w:hAnsiTheme="minorEastAsia" w:eastAsiaTheme="minorEastAsia"/>
          <w:b/>
          <w:color w:val="auto"/>
          <w:sz w:val="24"/>
          <w:szCs w:val="24"/>
        </w:rPr>
        <w:t>收益补偿标准</w:t>
      </w:r>
      <w:r>
        <w:rPr>
          <w:rFonts w:hint="eastAsia" w:asciiTheme="minorEastAsia" w:hAnsiTheme="minorEastAsia" w:eastAsiaTheme="minorEastAsia"/>
          <w:b/>
          <w:color w:val="auto"/>
          <w:sz w:val="24"/>
          <w:szCs w:val="24"/>
        </w:rPr>
        <w:t>：</w:t>
      </w:r>
      <w:r>
        <w:rPr>
          <w:rFonts w:hint="eastAsia" w:asciiTheme="minorEastAsia" w:hAnsiTheme="minorEastAsia" w:eastAsiaTheme="minorEastAsia"/>
          <w:color w:val="auto"/>
          <w:sz w:val="24"/>
          <w:szCs w:val="24"/>
        </w:rPr>
        <w:t>针对经营权尚未到期的车辆，对其剩余经营权进行收益补偿，补偿标准按照行业收入水平及当地居民平均收入水平综合确定为每月</w:t>
      </w:r>
      <w:r>
        <w:rPr>
          <w:rFonts w:asciiTheme="minorEastAsia" w:hAnsiTheme="minorEastAsia" w:eastAsiaTheme="minorEastAsia"/>
          <w:color w:val="auto"/>
          <w:sz w:val="24"/>
          <w:szCs w:val="24"/>
        </w:rPr>
        <w:t>3500元。</w:t>
      </w:r>
    </w:p>
    <w:p>
      <w:pPr>
        <w:pStyle w:val="48"/>
        <w:ind w:firstLine="643"/>
        <w:rPr>
          <w:rFonts w:asciiTheme="minorEastAsia" w:hAnsiTheme="minorEastAsia" w:eastAsiaTheme="minorEastAsia"/>
          <w:color w:val="auto"/>
          <w:sz w:val="24"/>
          <w:szCs w:val="24"/>
        </w:rPr>
      </w:pPr>
      <w:r>
        <w:rPr>
          <w:rFonts w:hint="eastAsia" w:asciiTheme="minorEastAsia" w:hAnsiTheme="minorEastAsia" w:eastAsiaTheme="minorEastAsia"/>
          <w:b/>
          <w:color w:val="auto"/>
          <w:sz w:val="24"/>
          <w:szCs w:val="24"/>
        </w:rPr>
        <w:t>车辆残值收购标准：</w:t>
      </w:r>
      <w:r>
        <w:rPr>
          <w:rFonts w:asciiTheme="minorEastAsia" w:hAnsiTheme="minorEastAsia" w:eastAsiaTheme="minorEastAsia"/>
          <w:color w:val="auto"/>
          <w:sz w:val="24"/>
          <w:szCs w:val="24"/>
        </w:rPr>
        <w:t>每台客运车8年的经营期限，对每台车辆剩余经营期及车辆残值对其进行收购。</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选用平均年限法作为核算方法。因此在计算车辆收购价格时需要用到以下公式：</w:t>
      </w:r>
    </w:p>
    <w:p>
      <w:pPr>
        <w:tabs>
          <w:tab w:val="center" w:pos="4453"/>
          <w:tab w:val="right" w:pos="7826"/>
        </w:tabs>
        <w:spacing w:line="360" w:lineRule="auto"/>
        <w:rPr>
          <w:rFonts w:asciiTheme="minorEastAsia" w:hAnsiTheme="minorEastAsia" w:eastAsiaTheme="minorEastAsia"/>
          <w:color w:val="auto"/>
          <w:sz w:val="24"/>
        </w:rPr>
      </w:pPr>
      <w:r>
        <w:rPr>
          <w:rFonts w:asciiTheme="minorEastAsia" w:hAnsiTheme="minorEastAsia" w:eastAsiaTheme="minorEastAsia"/>
          <w:color w:val="auto"/>
          <w:sz w:val="24"/>
        </w:rPr>
        <w:tab/>
      </w:r>
      <w:r>
        <w:rPr>
          <w:rFonts w:asciiTheme="minorEastAsia" w:hAnsiTheme="minorEastAsia" w:eastAsiaTheme="minorEastAsia"/>
          <w:color w:val="auto"/>
          <w:sz w:val="24"/>
        </w:rPr>
        <w:object>
          <v:shape id="_x0000_i1075" o:spt="75" type="#_x0000_t75" style="height:38.6pt;width:129.15pt;" o:ole="t" filled="f" o:preferrelative="t" stroked="f" coordsize="21600,21600">
            <v:path/>
            <v:fill on="f" focussize="0,0"/>
            <v:stroke on="f" joinstyle="miter"/>
            <v:imagedata r:id="rId57" o:title=""/>
            <o:lock v:ext="edit" aspectratio="t"/>
            <w10:wrap type="none"/>
            <w10:anchorlock/>
          </v:shape>
          <o:OLEObject Type="Embed" ProgID="Equation.3" ShapeID="_x0000_i1075" DrawAspect="Content" ObjectID="_1468075725" r:id="rId56">
            <o:LockedField>false</o:LockedField>
          </o:OLEObject>
        </w:object>
      </w:r>
      <w:r>
        <w:rPr>
          <w:rFonts w:asciiTheme="minorEastAsia" w:hAnsiTheme="minorEastAsia" w:eastAsiaTheme="minorEastAsia"/>
          <w:color w:val="auto"/>
          <w:sz w:val="24"/>
        </w:rPr>
        <w:tab/>
      </w:r>
    </w:p>
    <w:p>
      <w:pPr>
        <w:spacing w:line="360" w:lineRule="auto"/>
        <w:rPr>
          <w:rFonts w:asciiTheme="minorEastAsia" w:hAnsiTheme="minorEastAsia" w:eastAsiaTheme="minorEastAsia"/>
          <w:color w:val="auto"/>
          <w:sz w:val="24"/>
        </w:rPr>
      </w:pPr>
      <w:r>
        <w:rPr>
          <w:rFonts w:asciiTheme="minorEastAsia" w:hAnsiTheme="minorEastAsia" w:eastAsiaTheme="minorEastAsia"/>
          <w:color w:val="auto"/>
          <w:sz w:val="24"/>
        </w:rPr>
        <w:t xml:space="preserve"> 式中：C——单车收购价格（元）；</w:t>
      </w:r>
    </w:p>
    <w:p>
      <w:pPr>
        <w:spacing w:line="360" w:lineRule="auto"/>
        <w:rPr>
          <w:rFonts w:asciiTheme="minorEastAsia" w:hAnsiTheme="minorEastAsia" w:eastAsiaTheme="minorEastAsia"/>
          <w:color w:val="auto"/>
          <w:sz w:val="24"/>
        </w:rPr>
      </w:pPr>
      <w:r>
        <w:rPr>
          <w:rFonts w:asciiTheme="minorEastAsia" w:hAnsiTheme="minorEastAsia" w:eastAsiaTheme="minorEastAsia"/>
          <w:color w:val="auto"/>
          <w:sz w:val="24"/>
        </w:rPr>
        <w:object>
          <v:shape id="_x0000_i1076" o:spt="75" type="#_x0000_t75" style="height:17.05pt;width:17.05pt;" o:ole="t" filled="f" o:preferrelative="t" stroked="f" coordsize="21600,21600">
            <v:path/>
            <v:fill on="f" focussize="0,0"/>
            <v:stroke on="f" joinstyle="miter"/>
            <v:imagedata r:id="rId59" o:title=""/>
            <o:lock v:ext="edit" aspectratio="t"/>
            <w10:wrap type="none"/>
            <w10:anchorlock/>
          </v:shape>
          <o:OLEObject Type="Embed" ProgID="Equation.3" ShapeID="_x0000_i1076" DrawAspect="Content" ObjectID="_1468075726" r:id="rId58">
            <o:LockedField>false</o:LockedField>
          </o:OLEObject>
        </w:object>
      </w:r>
      <w:r>
        <w:rPr>
          <w:rFonts w:asciiTheme="minorEastAsia" w:hAnsiTheme="minorEastAsia" w:eastAsiaTheme="minorEastAsia"/>
          <w:color w:val="auto"/>
          <w:sz w:val="24"/>
        </w:rPr>
        <w:t>——车辆残值率（%）</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此次取值为5%；</w:t>
      </w:r>
    </w:p>
    <w:p>
      <w:pPr>
        <w:spacing w:line="360" w:lineRule="auto"/>
        <w:rPr>
          <w:rFonts w:asciiTheme="minorEastAsia" w:hAnsiTheme="minorEastAsia" w:eastAsiaTheme="minorEastAsia"/>
          <w:color w:val="auto"/>
          <w:sz w:val="24"/>
        </w:rPr>
      </w:pPr>
      <w:r>
        <w:rPr>
          <w:rFonts w:asciiTheme="minorEastAsia" w:hAnsiTheme="minorEastAsia" w:eastAsiaTheme="minorEastAsia"/>
          <w:color w:val="auto"/>
          <w:sz w:val="24"/>
        </w:rPr>
        <w:t xml:space="preserve">       S——车辆</w:t>
      </w:r>
      <w:r>
        <w:rPr>
          <w:rFonts w:hint="eastAsia" w:asciiTheme="minorEastAsia" w:hAnsiTheme="minorEastAsia" w:eastAsiaTheme="minorEastAsia"/>
          <w:color w:val="auto"/>
          <w:sz w:val="24"/>
        </w:rPr>
        <w:t>可使用</w:t>
      </w:r>
      <w:r>
        <w:rPr>
          <w:rFonts w:asciiTheme="minorEastAsia" w:hAnsiTheme="minorEastAsia" w:eastAsiaTheme="minorEastAsia"/>
          <w:color w:val="auto"/>
          <w:sz w:val="24"/>
        </w:rPr>
        <w:t>月数（</w:t>
      </w:r>
      <w:r>
        <w:rPr>
          <w:rFonts w:hint="eastAsia" w:asciiTheme="minorEastAsia" w:hAnsiTheme="minorEastAsia" w:eastAsiaTheme="minorEastAsia"/>
          <w:color w:val="auto"/>
          <w:sz w:val="24"/>
        </w:rPr>
        <w:t>月</w:t>
      </w:r>
      <w:r>
        <w:rPr>
          <w:rFonts w:asciiTheme="minorEastAsia" w:hAnsiTheme="minorEastAsia" w:eastAsiaTheme="minorEastAsia"/>
          <w:color w:val="auto"/>
          <w:sz w:val="24"/>
        </w:rPr>
        <w:t>）；</w:t>
      </w:r>
    </w:p>
    <w:p>
      <w:pPr>
        <w:spacing w:line="360" w:lineRule="auto"/>
        <w:rPr>
          <w:rFonts w:asciiTheme="minorEastAsia" w:hAnsiTheme="minorEastAsia" w:eastAsiaTheme="minorEastAsia"/>
          <w:color w:val="auto"/>
          <w:sz w:val="24"/>
        </w:rPr>
      </w:pPr>
      <w:r>
        <w:rPr>
          <w:rFonts w:asciiTheme="minorEastAsia" w:hAnsiTheme="minorEastAsia" w:eastAsiaTheme="minorEastAsia"/>
          <w:color w:val="auto"/>
          <w:sz w:val="24"/>
        </w:rPr>
        <w:t xml:space="preserve">       P——车辆购入价格（元）；</w:t>
      </w:r>
    </w:p>
    <w:p>
      <w:pPr>
        <w:spacing w:line="360" w:lineRule="auto"/>
        <w:ind w:firstLine="1134"/>
        <w:rPr>
          <w:rFonts w:asciiTheme="minorEastAsia" w:hAnsiTheme="minorEastAsia" w:eastAsiaTheme="minorEastAsia"/>
          <w:color w:val="auto"/>
          <w:sz w:val="24"/>
        </w:rPr>
      </w:pPr>
      <w:r>
        <w:rPr>
          <w:rFonts w:asciiTheme="minorEastAsia" w:hAnsiTheme="minorEastAsia" w:eastAsiaTheme="minorEastAsia"/>
          <w:color w:val="auto"/>
          <w:sz w:val="24"/>
        </w:rPr>
        <w:t>n——车辆</w:t>
      </w:r>
      <w:r>
        <w:rPr>
          <w:rFonts w:hint="eastAsia" w:asciiTheme="minorEastAsia" w:hAnsiTheme="minorEastAsia" w:eastAsiaTheme="minorEastAsia"/>
          <w:color w:val="auto"/>
          <w:sz w:val="24"/>
        </w:rPr>
        <w:t>尚可使用</w:t>
      </w:r>
      <w:r>
        <w:rPr>
          <w:rFonts w:asciiTheme="minorEastAsia" w:hAnsiTheme="minorEastAsia" w:eastAsiaTheme="minorEastAsia"/>
          <w:color w:val="auto"/>
          <w:sz w:val="24"/>
        </w:rPr>
        <w:t>月数（</w:t>
      </w:r>
      <w:r>
        <w:rPr>
          <w:rFonts w:hint="eastAsia" w:asciiTheme="minorEastAsia" w:hAnsiTheme="minorEastAsia" w:eastAsiaTheme="minorEastAsia"/>
          <w:color w:val="auto"/>
          <w:sz w:val="24"/>
        </w:rPr>
        <w:t>月</w:t>
      </w:r>
      <w:r>
        <w:rPr>
          <w:rFonts w:asciiTheme="minorEastAsia" w:hAnsiTheme="minorEastAsia" w:eastAsiaTheme="minorEastAsia"/>
          <w:color w:val="auto"/>
          <w:sz w:val="24"/>
        </w:rPr>
        <w:t>）。</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车辆价格依据相关市场价格进行确定，15座车辆12万元，19座车辆18万元，20—30座车辆20万元，30—50座车辆25万元，50座以上车辆30万元。</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对</w:t>
      </w:r>
      <w:r>
        <w:rPr>
          <w:rFonts w:asciiTheme="minorEastAsia" w:hAnsiTheme="minorEastAsia" w:eastAsiaTheme="minorEastAsia"/>
          <w:color w:val="auto"/>
          <w:sz w:val="24"/>
          <w:szCs w:val="24"/>
        </w:rPr>
        <w:t>2018年初东方市广祥公共交通有限公司购置的47辆未许可公交车辆</w:t>
      </w:r>
      <w:r>
        <w:rPr>
          <w:rFonts w:hint="eastAsia" w:asciiTheme="minorEastAsia" w:hAnsiTheme="minorEastAsia" w:eastAsiaTheme="minorEastAsia"/>
          <w:color w:val="auto"/>
          <w:sz w:val="24"/>
          <w:szCs w:val="24"/>
        </w:rPr>
        <w:t>按照实际</w:t>
      </w:r>
      <w:r>
        <w:rPr>
          <w:rFonts w:asciiTheme="minorEastAsia" w:hAnsiTheme="minorEastAsia" w:eastAsiaTheme="minorEastAsia"/>
          <w:color w:val="auto"/>
          <w:sz w:val="24"/>
          <w:szCs w:val="24"/>
        </w:rPr>
        <w:t>购入价格进行收购。</w:t>
      </w:r>
    </w:p>
    <w:p>
      <w:pPr>
        <w:pStyle w:val="48"/>
        <w:ind w:firstLine="643"/>
        <w:rPr>
          <w:rFonts w:asciiTheme="minorEastAsia" w:hAnsiTheme="minorEastAsia" w:eastAsiaTheme="minorEastAsia"/>
          <w:color w:val="auto"/>
          <w:sz w:val="24"/>
          <w:szCs w:val="24"/>
        </w:rPr>
      </w:pPr>
      <w:r>
        <w:rPr>
          <w:rFonts w:asciiTheme="minorEastAsia" w:hAnsiTheme="minorEastAsia" w:eastAsiaTheme="minorEastAsia"/>
          <w:b/>
          <w:color w:val="auto"/>
          <w:sz w:val="24"/>
          <w:szCs w:val="24"/>
        </w:rPr>
        <w:t>人员安置标准</w:t>
      </w:r>
      <w:r>
        <w:rPr>
          <w:rFonts w:hint="eastAsia" w:asciiTheme="minorEastAsia" w:hAnsiTheme="minorEastAsia" w:eastAsiaTheme="minorEastAsia"/>
          <w:b/>
          <w:color w:val="auto"/>
          <w:sz w:val="24"/>
          <w:szCs w:val="24"/>
        </w:rPr>
        <w:t>：</w:t>
      </w:r>
      <w:r>
        <w:rPr>
          <w:rFonts w:asciiTheme="minorEastAsia" w:hAnsiTheme="minorEastAsia" w:eastAsiaTheme="minorEastAsia"/>
          <w:color w:val="auto"/>
          <w:sz w:val="24"/>
          <w:szCs w:val="24"/>
        </w:rPr>
        <w:t>符合</w:t>
      </w:r>
      <w:r>
        <w:rPr>
          <w:rFonts w:hint="eastAsia" w:asciiTheme="minorEastAsia" w:hAnsiTheme="minorEastAsia" w:eastAsiaTheme="minorEastAsia"/>
          <w:color w:val="auto"/>
          <w:sz w:val="24"/>
          <w:szCs w:val="24"/>
        </w:rPr>
        <w:t>特许公司</w:t>
      </w:r>
      <w:r>
        <w:rPr>
          <w:rFonts w:asciiTheme="minorEastAsia" w:hAnsiTheme="minorEastAsia" w:eastAsiaTheme="minorEastAsia"/>
          <w:color w:val="auto"/>
          <w:sz w:val="24"/>
          <w:szCs w:val="24"/>
        </w:rPr>
        <w:t>录用条件的，每车限录用1名驾驶人员，不再给予人员转岗教育培训补助；不符合录用条件或不需安置的，给予2万元一次性转岗教育培训补助。</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经测算，主体整合时对车辆收购需要投资</w:t>
      </w:r>
      <w:r>
        <w:rPr>
          <w:rFonts w:asciiTheme="minorEastAsia" w:hAnsiTheme="minorEastAsia" w:eastAsiaTheme="minorEastAsia"/>
          <w:color w:val="auto"/>
          <w:sz w:val="24"/>
          <w:szCs w:val="24"/>
        </w:rPr>
        <w:t>2,234.59</w:t>
      </w:r>
      <w:r>
        <w:rPr>
          <w:rFonts w:hint="eastAsia" w:asciiTheme="minorEastAsia" w:hAnsiTheme="minorEastAsia" w:eastAsiaTheme="minorEastAsia"/>
          <w:color w:val="auto"/>
          <w:sz w:val="24"/>
          <w:szCs w:val="24"/>
        </w:rPr>
        <w:t>万元，车辆收益补偿投资需要</w:t>
      </w:r>
      <w:r>
        <w:rPr>
          <w:rFonts w:asciiTheme="minorEastAsia" w:hAnsiTheme="minorEastAsia" w:eastAsiaTheme="minorEastAsia"/>
          <w:color w:val="auto"/>
          <w:sz w:val="24"/>
          <w:szCs w:val="24"/>
        </w:rPr>
        <w:t>56.39</w:t>
      </w:r>
      <w:r>
        <w:rPr>
          <w:rFonts w:hint="eastAsia" w:asciiTheme="minorEastAsia" w:hAnsiTheme="minorEastAsia" w:eastAsiaTheme="minorEastAsia"/>
          <w:color w:val="auto"/>
          <w:sz w:val="24"/>
          <w:szCs w:val="24"/>
        </w:rPr>
        <w:t>万元，人员安置投资需要</w:t>
      </w:r>
      <w:r>
        <w:rPr>
          <w:rFonts w:asciiTheme="minorEastAsia" w:hAnsiTheme="minorEastAsia" w:eastAsiaTheme="minorEastAsia"/>
          <w:color w:val="auto"/>
          <w:sz w:val="24"/>
          <w:szCs w:val="24"/>
        </w:rPr>
        <w:t>70万元，合计总投资额为2,360.98</w:t>
      </w:r>
      <w:r>
        <w:rPr>
          <w:rFonts w:hint="eastAsia" w:asciiTheme="minorEastAsia" w:hAnsiTheme="minorEastAsia" w:eastAsiaTheme="minorEastAsia"/>
          <w:color w:val="auto"/>
          <w:sz w:val="24"/>
          <w:szCs w:val="24"/>
        </w:rPr>
        <w:t>万元。具体见下表：</w:t>
      </w:r>
    </w:p>
    <w:p>
      <w:pPr>
        <w:pStyle w:val="3"/>
        <w:spacing w:line="360" w:lineRule="auto"/>
        <w:ind w:firstLine="643"/>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br w:type="page"/>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7.3</w:t>
      </w:r>
      <w:r>
        <w:rPr>
          <w:rFonts w:hint="eastAsia" w:asciiTheme="minorEastAsia" w:hAnsiTheme="minorEastAsia" w:eastAsiaTheme="minorEastAsia"/>
          <w:b/>
          <w:bCs/>
          <w:color w:val="auto"/>
          <w:szCs w:val="28"/>
        </w:rPr>
        <w:t>主体整合投资估算</w:t>
      </w:r>
    </w:p>
    <w:tbl>
      <w:tblPr>
        <w:tblStyle w:val="23"/>
        <w:tblW w:w="8621"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610"/>
        <w:gridCol w:w="912"/>
        <w:gridCol w:w="1590"/>
        <w:gridCol w:w="1752"/>
        <w:gridCol w:w="151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1"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类型</w:t>
            </w:r>
          </w:p>
        </w:tc>
        <w:tc>
          <w:tcPr>
            <w:tcW w:w="1610"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hint="eastAsia" w:cs="Arial" w:asciiTheme="minorEastAsia" w:hAnsiTheme="minorEastAsia" w:eastAsiaTheme="minorEastAsia"/>
                <w:color w:val="auto"/>
                <w:kern w:val="0"/>
                <w:sz w:val="20"/>
                <w:szCs w:val="20"/>
              </w:rPr>
              <w:t>公司名称</w:t>
            </w:r>
          </w:p>
        </w:tc>
        <w:tc>
          <w:tcPr>
            <w:tcW w:w="912"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hint="eastAsia" w:cs="Arial" w:asciiTheme="minorEastAsia" w:hAnsiTheme="minorEastAsia" w:eastAsiaTheme="minorEastAsia"/>
                <w:color w:val="auto"/>
                <w:kern w:val="0"/>
                <w:sz w:val="20"/>
                <w:szCs w:val="20"/>
              </w:rPr>
              <w:t>车辆数</w:t>
            </w:r>
          </w:p>
        </w:tc>
        <w:tc>
          <w:tcPr>
            <w:tcW w:w="1590"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车辆回收价</w:t>
            </w:r>
          </w:p>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（万元）</w:t>
            </w:r>
          </w:p>
        </w:tc>
        <w:tc>
          <w:tcPr>
            <w:tcW w:w="1752"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剩余经营权补偿</w:t>
            </w:r>
          </w:p>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（万元）</w:t>
            </w:r>
          </w:p>
        </w:tc>
        <w:tc>
          <w:tcPr>
            <w:tcW w:w="151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人员安置补偿</w:t>
            </w:r>
          </w:p>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（万元）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1"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城市公交</w:t>
            </w:r>
          </w:p>
        </w:tc>
        <w:tc>
          <w:tcPr>
            <w:tcW w:w="1610"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hint="eastAsia" w:cs="Arial" w:asciiTheme="minorEastAsia" w:hAnsiTheme="minorEastAsia" w:eastAsiaTheme="minorEastAsia"/>
                <w:color w:val="auto"/>
                <w:kern w:val="0"/>
                <w:sz w:val="20"/>
                <w:szCs w:val="20"/>
              </w:rPr>
              <w:t>广祥</w:t>
            </w:r>
          </w:p>
        </w:tc>
        <w:tc>
          <w:tcPr>
            <w:tcW w:w="912"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50</w:t>
            </w:r>
          </w:p>
        </w:tc>
        <w:tc>
          <w:tcPr>
            <w:tcW w:w="1590"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505.18</w:t>
            </w:r>
          </w:p>
        </w:tc>
        <w:tc>
          <w:tcPr>
            <w:tcW w:w="1752"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35.00</w:t>
            </w:r>
          </w:p>
        </w:tc>
        <w:tc>
          <w:tcPr>
            <w:tcW w:w="1516" w:type="dxa"/>
            <w:vMerge w:val="restart"/>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70.00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1"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城市公交</w:t>
            </w:r>
          </w:p>
        </w:tc>
        <w:tc>
          <w:tcPr>
            <w:tcW w:w="1610"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hint="eastAsia" w:cs="Arial" w:asciiTheme="minorEastAsia" w:hAnsiTheme="minorEastAsia" w:eastAsiaTheme="minorEastAsia"/>
                <w:color w:val="auto"/>
                <w:kern w:val="0"/>
                <w:sz w:val="20"/>
                <w:szCs w:val="20"/>
              </w:rPr>
              <w:t>琼旺</w:t>
            </w:r>
          </w:p>
        </w:tc>
        <w:tc>
          <w:tcPr>
            <w:tcW w:w="912"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w:t>
            </w:r>
          </w:p>
        </w:tc>
        <w:tc>
          <w:tcPr>
            <w:tcW w:w="1590"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14.09</w:t>
            </w:r>
          </w:p>
        </w:tc>
        <w:tc>
          <w:tcPr>
            <w:tcW w:w="1752"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1.41</w:t>
            </w:r>
          </w:p>
        </w:tc>
        <w:tc>
          <w:tcPr>
            <w:tcW w:w="1516" w:type="dxa"/>
            <w:vMerge w:val="continue"/>
            <w:vAlign w:val="center"/>
          </w:tcPr>
          <w:p>
            <w:pPr>
              <w:widowControl/>
              <w:spacing w:line="360" w:lineRule="auto"/>
              <w:jc w:val="right"/>
              <w:rPr>
                <w:rFonts w:cs="Arial" w:asciiTheme="minorEastAsia" w:hAnsiTheme="minorEastAsia" w:eastAsiaTheme="minorEastAsia"/>
                <w:color w:val="auto"/>
                <w:kern w:val="0"/>
                <w:sz w:val="20"/>
                <w:szCs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1"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城市公交</w:t>
            </w:r>
          </w:p>
        </w:tc>
        <w:tc>
          <w:tcPr>
            <w:tcW w:w="1610"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hint="eastAsia" w:cs="Arial" w:asciiTheme="minorEastAsia" w:hAnsiTheme="minorEastAsia" w:eastAsiaTheme="minorEastAsia"/>
                <w:color w:val="auto"/>
                <w:kern w:val="0"/>
                <w:sz w:val="20"/>
                <w:szCs w:val="20"/>
              </w:rPr>
              <w:t>海口秀旅</w:t>
            </w:r>
          </w:p>
        </w:tc>
        <w:tc>
          <w:tcPr>
            <w:tcW w:w="912"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w:t>
            </w:r>
          </w:p>
        </w:tc>
        <w:tc>
          <w:tcPr>
            <w:tcW w:w="1590"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14.09</w:t>
            </w:r>
          </w:p>
        </w:tc>
        <w:tc>
          <w:tcPr>
            <w:tcW w:w="1752"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1.41</w:t>
            </w:r>
          </w:p>
        </w:tc>
        <w:tc>
          <w:tcPr>
            <w:tcW w:w="1516" w:type="dxa"/>
            <w:vMerge w:val="continue"/>
            <w:vAlign w:val="center"/>
          </w:tcPr>
          <w:p>
            <w:pPr>
              <w:widowControl/>
              <w:spacing w:line="360" w:lineRule="auto"/>
              <w:jc w:val="right"/>
              <w:rPr>
                <w:rFonts w:cs="Arial" w:asciiTheme="minorEastAsia" w:hAnsiTheme="minorEastAsia" w:eastAsiaTheme="minorEastAsia"/>
                <w:color w:val="auto"/>
                <w:kern w:val="0"/>
                <w:sz w:val="20"/>
                <w:szCs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1"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城乡班线</w:t>
            </w:r>
          </w:p>
        </w:tc>
        <w:tc>
          <w:tcPr>
            <w:tcW w:w="1610"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hint="eastAsia" w:cs="Arial" w:asciiTheme="minorEastAsia" w:hAnsiTheme="minorEastAsia" w:eastAsiaTheme="minorEastAsia"/>
                <w:color w:val="auto"/>
                <w:kern w:val="0"/>
                <w:sz w:val="20"/>
                <w:szCs w:val="20"/>
              </w:rPr>
              <w:t>海汽</w:t>
            </w:r>
          </w:p>
        </w:tc>
        <w:tc>
          <w:tcPr>
            <w:tcW w:w="912"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4</w:t>
            </w:r>
          </w:p>
        </w:tc>
        <w:tc>
          <w:tcPr>
            <w:tcW w:w="1590"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8.29</w:t>
            </w:r>
          </w:p>
        </w:tc>
        <w:tc>
          <w:tcPr>
            <w:tcW w:w="1752"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7.70</w:t>
            </w:r>
          </w:p>
        </w:tc>
        <w:tc>
          <w:tcPr>
            <w:tcW w:w="1516" w:type="dxa"/>
            <w:vMerge w:val="continue"/>
            <w:vAlign w:val="center"/>
          </w:tcPr>
          <w:p>
            <w:pPr>
              <w:widowControl/>
              <w:spacing w:line="360" w:lineRule="auto"/>
              <w:jc w:val="right"/>
              <w:rPr>
                <w:rFonts w:cs="Arial" w:asciiTheme="minorEastAsia" w:hAnsiTheme="minorEastAsia" w:eastAsiaTheme="minorEastAsia"/>
                <w:color w:val="auto"/>
                <w:kern w:val="0"/>
                <w:sz w:val="20"/>
                <w:szCs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1"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城乡客运</w:t>
            </w:r>
          </w:p>
        </w:tc>
        <w:tc>
          <w:tcPr>
            <w:tcW w:w="1610"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hint="eastAsia" w:cs="Arial" w:asciiTheme="minorEastAsia" w:hAnsiTheme="minorEastAsia" w:eastAsiaTheme="minorEastAsia"/>
                <w:color w:val="auto"/>
                <w:kern w:val="0"/>
                <w:sz w:val="20"/>
                <w:szCs w:val="20"/>
              </w:rPr>
              <w:t>东方客运</w:t>
            </w:r>
          </w:p>
        </w:tc>
        <w:tc>
          <w:tcPr>
            <w:tcW w:w="912"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25</w:t>
            </w:r>
          </w:p>
        </w:tc>
        <w:tc>
          <w:tcPr>
            <w:tcW w:w="1590"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227.93</w:t>
            </w:r>
          </w:p>
        </w:tc>
        <w:tc>
          <w:tcPr>
            <w:tcW w:w="1752"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10.86</w:t>
            </w:r>
          </w:p>
        </w:tc>
        <w:tc>
          <w:tcPr>
            <w:tcW w:w="1516" w:type="dxa"/>
            <w:vMerge w:val="continue"/>
            <w:vAlign w:val="center"/>
          </w:tcPr>
          <w:p>
            <w:pPr>
              <w:widowControl/>
              <w:spacing w:line="360" w:lineRule="auto"/>
              <w:jc w:val="right"/>
              <w:rPr>
                <w:rFonts w:cs="Arial" w:asciiTheme="minorEastAsia" w:hAnsiTheme="minorEastAsia" w:eastAsiaTheme="minorEastAsia"/>
                <w:color w:val="auto"/>
                <w:kern w:val="0"/>
                <w:sz w:val="20"/>
                <w:szCs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1"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p>
        </w:tc>
        <w:tc>
          <w:tcPr>
            <w:tcW w:w="1610"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hint="eastAsia" w:cs="Arial" w:asciiTheme="minorEastAsia" w:hAnsiTheme="minorEastAsia" w:eastAsiaTheme="minorEastAsia"/>
                <w:color w:val="auto"/>
                <w:kern w:val="0"/>
                <w:sz w:val="20"/>
                <w:szCs w:val="20"/>
              </w:rPr>
              <w:t>未经许可车辆</w:t>
            </w:r>
          </w:p>
        </w:tc>
        <w:tc>
          <w:tcPr>
            <w:tcW w:w="912"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47</w:t>
            </w:r>
          </w:p>
        </w:tc>
        <w:tc>
          <w:tcPr>
            <w:tcW w:w="1590"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1,465.00</w:t>
            </w:r>
          </w:p>
        </w:tc>
        <w:tc>
          <w:tcPr>
            <w:tcW w:w="1752"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w:t>
            </w:r>
          </w:p>
        </w:tc>
        <w:tc>
          <w:tcPr>
            <w:tcW w:w="1516" w:type="dxa"/>
            <w:vMerge w:val="continue"/>
            <w:vAlign w:val="center"/>
          </w:tcPr>
          <w:p>
            <w:pPr>
              <w:widowControl/>
              <w:spacing w:line="360" w:lineRule="auto"/>
              <w:jc w:val="right"/>
              <w:rPr>
                <w:rFonts w:cs="Arial" w:asciiTheme="minorEastAsia" w:hAnsiTheme="minorEastAsia" w:eastAsiaTheme="minorEastAsia"/>
                <w:color w:val="auto"/>
                <w:kern w:val="0"/>
                <w:sz w:val="20"/>
                <w:szCs w:val="20"/>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1"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合计</w:t>
            </w:r>
          </w:p>
        </w:tc>
        <w:tc>
          <w:tcPr>
            <w:tcW w:w="1610"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p>
        </w:tc>
        <w:tc>
          <w:tcPr>
            <w:tcW w:w="912"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128</w:t>
            </w:r>
          </w:p>
        </w:tc>
        <w:tc>
          <w:tcPr>
            <w:tcW w:w="1590"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2,234.59</w:t>
            </w:r>
          </w:p>
        </w:tc>
        <w:tc>
          <w:tcPr>
            <w:tcW w:w="1752"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56.39</w:t>
            </w:r>
          </w:p>
        </w:tc>
        <w:tc>
          <w:tcPr>
            <w:tcW w:w="15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70.00</w:t>
            </w:r>
          </w:p>
        </w:tc>
      </w:tr>
    </w:tbl>
    <w:p>
      <w:pPr>
        <w:pStyle w:val="48"/>
        <w:spacing w:beforeLines="5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上述共回收</w:t>
      </w:r>
      <w:r>
        <w:rPr>
          <w:rFonts w:asciiTheme="minorEastAsia" w:hAnsiTheme="minorEastAsia" w:eastAsiaTheme="minorEastAsia"/>
          <w:color w:val="auto"/>
          <w:sz w:val="24"/>
          <w:szCs w:val="24"/>
        </w:rPr>
        <w:t>128辆汽车，其中2020年报废4辆车。</w:t>
      </w:r>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2）新增建设投资</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根据近期东方市项目建设情况，近期建设项目主要为车辆购置、智慧公交系统建设</w:t>
      </w:r>
      <w:r>
        <w:rPr>
          <w:rFonts w:hint="eastAsia" w:asciiTheme="minorEastAsia" w:hAnsiTheme="minorEastAsia" w:eastAsiaTheme="minorEastAsia"/>
          <w:color w:val="auto"/>
          <w:sz w:val="24"/>
          <w:szCs w:val="24"/>
        </w:rPr>
        <w:t>。</w:t>
      </w:r>
    </w:p>
    <w:p>
      <w:pPr>
        <w:pStyle w:val="48"/>
        <w:outlineLvl w:val="4"/>
        <w:rPr>
          <w:rFonts w:asciiTheme="minorEastAsia" w:hAnsiTheme="minorEastAsia" w:eastAsiaTheme="minorEastAsia"/>
          <w:color w:val="auto"/>
          <w:sz w:val="24"/>
          <w:szCs w:val="24"/>
        </w:rPr>
      </w:pPr>
      <w:r>
        <w:rPr>
          <w:rFonts w:cs="Arial" w:asciiTheme="minorEastAsia" w:hAnsiTheme="minorEastAsia" w:eastAsiaTheme="minorEastAsia"/>
          <w:color w:val="auto"/>
          <w:sz w:val="24"/>
          <w:szCs w:val="24"/>
        </w:rPr>
        <w:t>&lt;A&gt;</w:t>
      </w:r>
      <w:r>
        <w:rPr>
          <w:rFonts w:hint="eastAsia" w:asciiTheme="minorEastAsia" w:hAnsiTheme="minorEastAsia" w:eastAsiaTheme="minorEastAsia"/>
          <w:color w:val="auto"/>
          <w:sz w:val="24"/>
          <w:szCs w:val="24"/>
        </w:rPr>
        <w:t>车辆购置</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根据公交运力规划，至2020年需达到175辆公交车辆</w:t>
      </w:r>
      <w:r>
        <w:rPr>
          <w:rFonts w:hint="eastAsia" w:asciiTheme="minorEastAsia" w:hAnsiTheme="minorEastAsia" w:eastAsiaTheme="minorEastAsia"/>
          <w:color w:val="auto"/>
          <w:sz w:val="24"/>
          <w:szCs w:val="24"/>
        </w:rPr>
        <w:t>，拟</w:t>
      </w:r>
      <w:r>
        <w:rPr>
          <w:rFonts w:asciiTheme="minorEastAsia" w:hAnsiTheme="minorEastAsia" w:eastAsiaTheme="minorEastAsia"/>
          <w:color w:val="auto"/>
          <w:sz w:val="24"/>
          <w:szCs w:val="24"/>
        </w:rPr>
        <w:t>对</w:t>
      </w:r>
      <w:r>
        <w:rPr>
          <w:rFonts w:hint="eastAsia" w:asciiTheme="minorEastAsia" w:hAnsiTheme="minorEastAsia" w:eastAsiaTheme="minorEastAsia"/>
          <w:color w:val="auto"/>
          <w:sz w:val="24"/>
          <w:szCs w:val="24"/>
        </w:rPr>
        <w:t>截止主体整合时间</w:t>
      </w:r>
      <w:r>
        <w:rPr>
          <w:rFonts w:asciiTheme="minorEastAsia" w:hAnsiTheme="minorEastAsia" w:eastAsiaTheme="minorEastAsia"/>
          <w:color w:val="auto"/>
          <w:sz w:val="24"/>
          <w:szCs w:val="24"/>
        </w:rPr>
        <w:t>节点</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2019</w:t>
      </w:r>
      <w:r>
        <w:rPr>
          <w:rFonts w:hint="eastAsia" w:asciiTheme="minorEastAsia" w:hAnsiTheme="minorEastAsia" w:eastAsiaTheme="minorEastAsia"/>
          <w:color w:val="auto"/>
          <w:sz w:val="24"/>
          <w:szCs w:val="24"/>
        </w:rPr>
        <w:t>年</w:t>
      </w:r>
      <w:r>
        <w:rPr>
          <w:rFonts w:asciiTheme="minorEastAsia" w:hAnsiTheme="minorEastAsia" w:eastAsiaTheme="minorEastAsia"/>
          <w:color w:val="auto"/>
          <w:sz w:val="24"/>
          <w:szCs w:val="24"/>
        </w:rPr>
        <w:t>12月31日）尚未报废的81辆运营</w:t>
      </w:r>
      <w:r>
        <w:rPr>
          <w:rFonts w:hint="eastAsia" w:asciiTheme="minorEastAsia" w:hAnsiTheme="minorEastAsia" w:eastAsiaTheme="minorEastAsia"/>
          <w:color w:val="auto"/>
          <w:sz w:val="24"/>
          <w:szCs w:val="24"/>
        </w:rPr>
        <w:t>车辆予以</w:t>
      </w:r>
      <w:r>
        <w:rPr>
          <w:rFonts w:asciiTheme="minorEastAsia" w:hAnsiTheme="minorEastAsia" w:eastAsiaTheme="minorEastAsia"/>
          <w:color w:val="auto"/>
          <w:sz w:val="24"/>
          <w:szCs w:val="24"/>
        </w:rPr>
        <w:t>全部收购，同时</w:t>
      </w:r>
      <w:r>
        <w:rPr>
          <w:rFonts w:hint="eastAsia" w:asciiTheme="minorEastAsia" w:hAnsiTheme="minorEastAsia" w:eastAsiaTheme="minorEastAsia"/>
          <w:color w:val="auto"/>
          <w:sz w:val="24"/>
          <w:szCs w:val="24"/>
        </w:rPr>
        <w:t>对</w:t>
      </w:r>
      <w:r>
        <w:rPr>
          <w:rFonts w:asciiTheme="minorEastAsia" w:hAnsiTheme="minorEastAsia" w:eastAsiaTheme="minorEastAsia"/>
          <w:color w:val="auto"/>
          <w:sz w:val="24"/>
          <w:szCs w:val="24"/>
        </w:rPr>
        <w:t>2018年初东方市广祥公共交通有限公司购置的47辆未许可公交车辆整合收购。</w:t>
      </w:r>
      <w:r>
        <w:rPr>
          <w:rFonts w:hint="eastAsia" w:asciiTheme="minorEastAsia" w:hAnsiTheme="minorEastAsia" w:eastAsiaTheme="minorEastAsia"/>
          <w:color w:val="auto"/>
          <w:sz w:val="24"/>
          <w:szCs w:val="24"/>
        </w:rPr>
        <w:t>根据目前城乡客运市场所有可用车辆近期报废期限计算得出，至</w:t>
      </w:r>
      <w:r>
        <w:rPr>
          <w:rFonts w:asciiTheme="minorEastAsia" w:hAnsiTheme="minorEastAsia" w:eastAsiaTheme="minorEastAsia"/>
          <w:color w:val="auto"/>
          <w:sz w:val="24"/>
          <w:szCs w:val="24"/>
        </w:rPr>
        <w:t>2019年12月31日需收购车辆47</w:t>
      </w:r>
      <w:r>
        <w:rPr>
          <w:rFonts w:hint="eastAsia" w:asciiTheme="minorEastAsia" w:hAnsiTheme="minorEastAsia" w:eastAsiaTheme="minorEastAsia"/>
          <w:color w:val="auto"/>
          <w:sz w:val="24"/>
          <w:szCs w:val="24"/>
        </w:rPr>
        <w:t>辆，由于整合之后又有车辆陆续报废（</w:t>
      </w:r>
      <w:r>
        <w:rPr>
          <w:rFonts w:asciiTheme="minorEastAsia" w:hAnsiTheme="minorEastAsia" w:eastAsiaTheme="minorEastAsia"/>
          <w:color w:val="auto"/>
          <w:sz w:val="24"/>
          <w:szCs w:val="24"/>
        </w:rPr>
        <w:t>2020年前报废车辆共计4辆），2020年底前共需新购置51</w:t>
      </w:r>
      <w:r>
        <w:rPr>
          <w:rFonts w:hint="eastAsia" w:asciiTheme="minorEastAsia" w:hAnsiTheme="minorEastAsia" w:eastAsiaTheme="minorEastAsia"/>
          <w:color w:val="auto"/>
          <w:sz w:val="24"/>
          <w:szCs w:val="24"/>
        </w:rPr>
        <w:t>辆新能源公交车，均为</w:t>
      </w:r>
      <w:r>
        <w:rPr>
          <w:rFonts w:asciiTheme="minorEastAsia" w:hAnsiTheme="minorEastAsia" w:eastAsiaTheme="minorEastAsia"/>
          <w:color w:val="auto"/>
          <w:sz w:val="24"/>
          <w:szCs w:val="24"/>
        </w:rPr>
        <w:t>8m级新能源公交车。上述175</w:t>
      </w:r>
      <w:r>
        <w:rPr>
          <w:rFonts w:hint="eastAsia" w:asciiTheme="minorEastAsia" w:hAnsiTheme="minorEastAsia" w:eastAsiaTheme="minorEastAsia"/>
          <w:color w:val="auto"/>
          <w:sz w:val="24"/>
          <w:szCs w:val="24"/>
        </w:rPr>
        <w:t>辆公交车辆第一轮更新将于</w:t>
      </w:r>
      <w:r>
        <w:rPr>
          <w:rFonts w:asciiTheme="minorEastAsia" w:hAnsiTheme="minorEastAsia" w:eastAsiaTheme="minorEastAsia"/>
          <w:color w:val="auto"/>
          <w:sz w:val="24"/>
          <w:szCs w:val="24"/>
        </w:rPr>
        <w:t>2027年12月31日前全部完成；特许经营权到期时（2035年12月31日）共计81辆车需完成第二轮更新。</w:t>
      </w:r>
    </w:p>
    <w:p>
      <w:pPr>
        <w:pStyle w:val="48"/>
        <w:rPr>
          <w:rFonts w:asciiTheme="minorEastAsia" w:hAnsiTheme="minorEastAsia" w:eastAsiaTheme="minorEastAsia"/>
          <w:color w:val="auto"/>
          <w:sz w:val="24"/>
          <w:szCs w:val="24"/>
        </w:rPr>
      </w:pP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7.4</w:t>
      </w:r>
      <w:r>
        <w:rPr>
          <w:rFonts w:hint="eastAsia" w:asciiTheme="minorEastAsia" w:hAnsiTheme="minorEastAsia" w:eastAsiaTheme="minorEastAsia"/>
          <w:b/>
          <w:bCs/>
          <w:color w:val="auto"/>
          <w:szCs w:val="28"/>
        </w:rPr>
        <w:t>车辆购置投资估算</w:t>
      </w:r>
    </w:p>
    <w:tbl>
      <w:tblPr>
        <w:tblStyle w:val="23"/>
        <w:tblW w:w="9818" w:type="dxa"/>
        <w:jc w:val="center"/>
        <w:tblInd w:w="0" w:type="dxa"/>
        <w:tblLayout w:type="fixed"/>
        <w:tblCellMar>
          <w:top w:w="0" w:type="dxa"/>
          <w:left w:w="108" w:type="dxa"/>
          <w:bottom w:w="0" w:type="dxa"/>
          <w:right w:w="108" w:type="dxa"/>
        </w:tblCellMar>
      </w:tblPr>
      <w:tblGrid>
        <w:gridCol w:w="1976"/>
        <w:gridCol w:w="1316"/>
        <w:gridCol w:w="877"/>
        <w:gridCol w:w="1787"/>
        <w:gridCol w:w="1555"/>
        <w:gridCol w:w="2307"/>
      </w:tblGrid>
      <w:tr>
        <w:tblPrEx>
          <w:tblLayout w:type="fixed"/>
          <w:tblCellMar>
            <w:top w:w="0" w:type="dxa"/>
            <w:left w:w="108" w:type="dxa"/>
            <w:bottom w:w="0" w:type="dxa"/>
            <w:right w:w="108" w:type="dxa"/>
          </w:tblCellMar>
        </w:tblPrEx>
        <w:trPr>
          <w:trHeight w:val="660" w:hRule="atLeast"/>
          <w:tblHeader/>
          <w:jc w:val="center"/>
        </w:trPr>
        <w:tc>
          <w:tcPr>
            <w:tcW w:w="1976" w:type="dxa"/>
            <w:tcBorders>
              <w:top w:val="double" w:color="auto" w:sz="6" w:space="0"/>
              <w:left w:val="double" w:color="auto" w:sz="6" w:space="0"/>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公司</w:t>
            </w:r>
          </w:p>
        </w:tc>
        <w:tc>
          <w:tcPr>
            <w:tcW w:w="1316" w:type="dxa"/>
            <w:tcBorders>
              <w:top w:val="double" w:color="auto" w:sz="6" w:space="0"/>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报废时间</w:t>
            </w:r>
          </w:p>
        </w:tc>
        <w:tc>
          <w:tcPr>
            <w:tcW w:w="877" w:type="dxa"/>
            <w:tcBorders>
              <w:top w:val="double" w:color="auto" w:sz="6" w:space="0"/>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车辆数</w:t>
            </w:r>
          </w:p>
        </w:tc>
        <w:tc>
          <w:tcPr>
            <w:tcW w:w="1787" w:type="dxa"/>
            <w:tcBorders>
              <w:top w:val="double" w:color="auto" w:sz="6" w:space="0"/>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初始投资</w:t>
            </w:r>
            <w:r>
              <w:rPr>
                <w:rFonts w:cs="宋体" w:asciiTheme="minorEastAsia" w:hAnsiTheme="minorEastAsia" w:eastAsiaTheme="minorEastAsia"/>
                <w:color w:val="auto"/>
                <w:kern w:val="0"/>
                <w:sz w:val="22"/>
                <w:szCs w:val="22"/>
              </w:rPr>
              <w:br w:type="textWrapping"/>
            </w:r>
            <w:r>
              <w:rPr>
                <w:rFonts w:hint="eastAsia" w:cs="宋体" w:asciiTheme="minorEastAsia" w:hAnsiTheme="minorEastAsia" w:eastAsiaTheme="minorEastAsia"/>
                <w:color w:val="auto"/>
                <w:kern w:val="0"/>
                <w:sz w:val="22"/>
                <w:szCs w:val="22"/>
              </w:rPr>
              <w:t>完成时间节点</w:t>
            </w:r>
          </w:p>
        </w:tc>
        <w:tc>
          <w:tcPr>
            <w:tcW w:w="1555" w:type="dxa"/>
            <w:tcBorders>
              <w:top w:val="double" w:color="auto" w:sz="6" w:space="0"/>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第一轮更新</w:t>
            </w:r>
            <w:r>
              <w:rPr>
                <w:rFonts w:cs="宋体" w:asciiTheme="minorEastAsia" w:hAnsiTheme="minorEastAsia" w:eastAsiaTheme="minorEastAsia"/>
                <w:color w:val="auto"/>
                <w:kern w:val="0"/>
                <w:sz w:val="22"/>
                <w:szCs w:val="22"/>
              </w:rPr>
              <w:br w:type="textWrapping"/>
            </w:r>
            <w:r>
              <w:rPr>
                <w:rFonts w:hint="eastAsia" w:cs="宋体" w:asciiTheme="minorEastAsia" w:hAnsiTheme="minorEastAsia" w:eastAsiaTheme="minorEastAsia"/>
                <w:color w:val="auto"/>
                <w:kern w:val="0"/>
                <w:sz w:val="22"/>
                <w:szCs w:val="22"/>
              </w:rPr>
              <w:t>完成时间节点</w:t>
            </w:r>
          </w:p>
        </w:tc>
        <w:tc>
          <w:tcPr>
            <w:tcW w:w="2307" w:type="dxa"/>
            <w:tcBorders>
              <w:top w:val="double" w:color="auto" w:sz="6" w:space="0"/>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第二轮更新</w:t>
            </w:r>
            <w:r>
              <w:rPr>
                <w:rFonts w:cs="宋体" w:asciiTheme="minorEastAsia" w:hAnsiTheme="minorEastAsia" w:eastAsiaTheme="minorEastAsia"/>
                <w:color w:val="auto"/>
                <w:kern w:val="0"/>
                <w:sz w:val="22"/>
                <w:szCs w:val="22"/>
              </w:rPr>
              <w:br w:type="textWrapping"/>
            </w:r>
            <w:r>
              <w:rPr>
                <w:rFonts w:hint="eastAsia" w:cs="宋体" w:asciiTheme="minorEastAsia" w:hAnsiTheme="minorEastAsia" w:eastAsiaTheme="minorEastAsia"/>
                <w:color w:val="auto"/>
                <w:kern w:val="0"/>
                <w:sz w:val="22"/>
                <w:szCs w:val="22"/>
              </w:rPr>
              <w:t>完成时间节点</w:t>
            </w:r>
          </w:p>
        </w:tc>
      </w:tr>
      <w:tr>
        <w:tblPrEx>
          <w:tblLayout w:type="fixed"/>
          <w:tblCellMar>
            <w:top w:w="0" w:type="dxa"/>
            <w:left w:w="108" w:type="dxa"/>
            <w:bottom w:w="0" w:type="dxa"/>
            <w:right w:w="108" w:type="dxa"/>
          </w:tblCellMar>
        </w:tblPrEx>
        <w:trPr>
          <w:trHeight w:val="270" w:hRule="atLeast"/>
          <w:jc w:val="center"/>
        </w:trPr>
        <w:tc>
          <w:tcPr>
            <w:tcW w:w="1976"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秀旅</w:t>
            </w: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2024/4/27</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w:t>
            </w:r>
          </w:p>
        </w:tc>
        <w:tc>
          <w:tcPr>
            <w:tcW w:w="1787" w:type="dxa"/>
            <w:vMerge w:val="restart"/>
            <w:tcBorders>
              <w:top w:val="nil"/>
              <w:left w:val="single" w:color="auto" w:sz="4" w:space="0"/>
              <w:bottom w:val="nil"/>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2019/12/31</w:t>
            </w: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2024/3/31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2032/3/31</w:t>
            </w:r>
          </w:p>
        </w:tc>
      </w:tr>
      <w:tr>
        <w:tblPrEx>
          <w:tblLayout w:type="fixed"/>
          <w:tblCellMar>
            <w:top w:w="0" w:type="dxa"/>
            <w:left w:w="108" w:type="dxa"/>
            <w:bottom w:w="0" w:type="dxa"/>
            <w:right w:w="108" w:type="dxa"/>
          </w:tblCellMar>
        </w:tblPrEx>
        <w:trPr>
          <w:trHeight w:val="270" w:hRule="atLeast"/>
          <w:jc w:val="center"/>
        </w:trPr>
        <w:tc>
          <w:tcPr>
            <w:tcW w:w="1976"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琼旺</w:t>
            </w: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2024/4/27</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2024/3/31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2032/3/31</w:t>
            </w:r>
          </w:p>
        </w:tc>
      </w:tr>
      <w:tr>
        <w:tblPrEx>
          <w:tblLayout w:type="fixed"/>
          <w:tblCellMar>
            <w:top w:w="0" w:type="dxa"/>
            <w:left w:w="108" w:type="dxa"/>
            <w:bottom w:w="0" w:type="dxa"/>
            <w:right w:w="108" w:type="dxa"/>
          </w:tblCellMar>
        </w:tblPrEx>
        <w:trPr>
          <w:trHeight w:val="270" w:hRule="atLeast"/>
          <w:jc w:val="center"/>
        </w:trPr>
        <w:tc>
          <w:tcPr>
            <w:tcW w:w="1976" w:type="dxa"/>
            <w:vMerge w:val="restart"/>
            <w:tcBorders>
              <w:top w:val="single" w:color="auto" w:sz="4" w:space="0"/>
              <w:left w:val="double" w:color="auto" w:sz="6" w:space="0"/>
              <w:bottom w:val="single" w:color="000000"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广祥</w:t>
            </w: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2024/3/31</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2024/2/28</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2032/2/28</w:t>
            </w:r>
          </w:p>
        </w:tc>
      </w:tr>
      <w:tr>
        <w:tblPrEx>
          <w:tblLayout w:type="fixed"/>
          <w:tblCellMar>
            <w:top w:w="0" w:type="dxa"/>
            <w:left w:w="108" w:type="dxa"/>
            <w:bottom w:w="0" w:type="dxa"/>
            <w:right w:w="108" w:type="dxa"/>
          </w:tblCellMar>
        </w:tblPrEx>
        <w:trPr>
          <w:trHeight w:val="270" w:hRule="atLeast"/>
          <w:jc w:val="center"/>
        </w:trPr>
        <w:tc>
          <w:tcPr>
            <w:tcW w:w="1976" w:type="dxa"/>
            <w:vMerge w:val="continue"/>
            <w:tcBorders>
              <w:top w:val="single" w:color="auto" w:sz="4" w:space="0"/>
              <w:left w:val="double" w:color="auto" w:sz="6" w:space="0"/>
              <w:bottom w:val="single" w:color="000000" w:sz="4" w:space="0"/>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2024/4/13</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2024/3/31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2032/3/31</w:t>
            </w:r>
          </w:p>
        </w:tc>
      </w:tr>
      <w:tr>
        <w:tblPrEx>
          <w:tblLayout w:type="fixed"/>
          <w:tblCellMar>
            <w:top w:w="0" w:type="dxa"/>
            <w:left w:w="108" w:type="dxa"/>
            <w:bottom w:w="0" w:type="dxa"/>
            <w:right w:w="108" w:type="dxa"/>
          </w:tblCellMar>
        </w:tblPrEx>
        <w:trPr>
          <w:trHeight w:val="270" w:hRule="atLeast"/>
          <w:jc w:val="center"/>
        </w:trPr>
        <w:tc>
          <w:tcPr>
            <w:tcW w:w="1976" w:type="dxa"/>
            <w:vMerge w:val="continue"/>
            <w:tcBorders>
              <w:top w:val="single" w:color="auto" w:sz="4" w:space="0"/>
              <w:left w:val="double" w:color="auto" w:sz="6" w:space="0"/>
              <w:bottom w:val="single" w:color="000000" w:sz="4" w:space="0"/>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2024/4/28</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2024/3/31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2032/3/31</w:t>
            </w:r>
          </w:p>
        </w:tc>
      </w:tr>
      <w:tr>
        <w:tblPrEx>
          <w:tblLayout w:type="fixed"/>
          <w:tblCellMar>
            <w:top w:w="0" w:type="dxa"/>
            <w:left w:w="108" w:type="dxa"/>
            <w:bottom w:w="0" w:type="dxa"/>
            <w:right w:w="108" w:type="dxa"/>
          </w:tblCellMar>
        </w:tblPrEx>
        <w:trPr>
          <w:trHeight w:val="270" w:hRule="atLeast"/>
          <w:jc w:val="center"/>
        </w:trPr>
        <w:tc>
          <w:tcPr>
            <w:tcW w:w="1976" w:type="dxa"/>
            <w:vMerge w:val="continue"/>
            <w:tcBorders>
              <w:top w:val="single" w:color="auto" w:sz="4" w:space="0"/>
              <w:left w:val="double" w:color="auto" w:sz="6" w:space="0"/>
              <w:bottom w:val="single" w:color="000000" w:sz="4" w:space="0"/>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2024/4/29</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2024/3/31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2032/3/31</w:t>
            </w:r>
          </w:p>
        </w:tc>
      </w:tr>
      <w:tr>
        <w:tblPrEx>
          <w:tblLayout w:type="fixed"/>
          <w:tblCellMar>
            <w:top w:w="0" w:type="dxa"/>
            <w:left w:w="108" w:type="dxa"/>
            <w:bottom w:w="0" w:type="dxa"/>
            <w:right w:w="108" w:type="dxa"/>
          </w:tblCellMar>
        </w:tblPrEx>
        <w:trPr>
          <w:trHeight w:val="270" w:hRule="atLeast"/>
          <w:jc w:val="center"/>
        </w:trPr>
        <w:tc>
          <w:tcPr>
            <w:tcW w:w="1976" w:type="dxa"/>
            <w:vMerge w:val="continue"/>
            <w:tcBorders>
              <w:top w:val="single" w:color="auto" w:sz="4" w:space="0"/>
              <w:left w:val="double" w:color="auto" w:sz="6" w:space="0"/>
              <w:bottom w:val="single" w:color="000000" w:sz="4" w:space="0"/>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2027/6/6</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47</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2027/12/31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可用至特许经营到期</w:t>
            </w:r>
          </w:p>
        </w:tc>
      </w:tr>
      <w:tr>
        <w:tblPrEx>
          <w:tblLayout w:type="fixed"/>
          <w:tblCellMar>
            <w:top w:w="0" w:type="dxa"/>
            <w:left w:w="108" w:type="dxa"/>
            <w:bottom w:w="0" w:type="dxa"/>
            <w:right w:w="108" w:type="dxa"/>
          </w:tblCellMar>
        </w:tblPrEx>
        <w:trPr>
          <w:trHeight w:val="270" w:hRule="atLeast"/>
          <w:jc w:val="center"/>
        </w:trPr>
        <w:tc>
          <w:tcPr>
            <w:tcW w:w="1976" w:type="dxa"/>
            <w:vMerge w:val="restart"/>
            <w:tcBorders>
              <w:top w:val="nil"/>
              <w:left w:val="double" w:color="auto" w:sz="6" w:space="0"/>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东方客运</w:t>
            </w: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2022/1/14</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2021/12/31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2029/12/31</w:t>
            </w:r>
          </w:p>
        </w:tc>
      </w:tr>
      <w:tr>
        <w:tblPrEx>
          <w:tblLayout w:type="fixed"/>
          <w:tblCellMar>
            <w:top w:w="0" w:type="dxa"/>
            <w:left w:w="108" w:type="dxa"/>
            <w:bottom w:w="0" w:type="dxa"/>
            <w:right w:w="108" w:type="dxa"/>
          </w:tblCellMar>
        </w:tblPrEx>
        <w:trPr>
          <w:trHeight w:val="270" w:hRule="atLeast"/>
          <w:jc w:val="center"/>
        </w:trPr>
        <w:tc>
          <w:tcPr>
            <w:tcW w:w="1976" w:type="dxa"/>
            <w:vMerge w:val="continue"/>
            <w:tcBorders>
              <w:top w:val="nil"/>
              <w:left w:val="double" w:color="auto" w:sz="6"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2022/7/29</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2022/6/30</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2030/6/30</w:t>
            </w:r>
          </w:p>
        </w:tc>
      </w:tr>
      <w:tr>
        <w:tblPrEx>
          <w:tblLayout w:type="fixed"/>
          <w:tblCellMar>
            <w:top w:w="0" w:type="dxa"/>
            <w:left w:w="108" w:type="dxa"/>
            <w:bottom w:w="0" w:type="dxa"/>
            <w:right w:w="108" w:type="dxa"/>
          </w:tblCellMar>
        </w:tblPrEx>
        <w:trPr>
          <w:trHeight w:val="270" w:hRule="atLeast"/>
          <w:jc w:val="center"/>
        </w:trPr>
        <w:tc>
          <w:tcPr>
            <w:tcW w:w="1976" w:type="dxa"/>
            <w:vMerge w:val="continue"/>
            <w:tcBorders>
              <w:top w:val="nil"/>
              <w:left w:val="double" w:color="auto" w:sz="6"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2022/11/17</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2022/10/31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2030/10/31</w:t>
            </w:r>
          </w:p>
        </w:tc>
      </w:tr>
      <w:tr>
        <w:tblPrEx>
          <w:tblLayout w:type="fixed"/>
          <w:tblCellMar>
            <w:top w:w="0" w:type="dxa"/>
            <w:left w:w="108" w:type="dxa"/>
            <w:bottom w:w="0" w:type="dxa"/>
            <w:right w:w="108" w:type="dxa"/>
          </w:tblCellMar>
        </w:tblPrEx>
        <w:trPr>
          <w:trHeight w:val="270" w:hRule="atLeast"/>
          <w:jc w:val="center"/>
        </w:trPr>
        <w:tc>
          <w:tcPr>
            <w:tcW w:w="1976" w:type="dxa"/>
            <w:vMerge w:val="continue"/>
            <w:tcBorders>
              <w:top w:val="nil"/>
              <w:left w:val="double" w:color="auto" w:sz="6"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2024/1/5</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2023/12/31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2031/12/31</w:t>
            </w:r>
          </w:p>
        </w:tc>
      </w:tr>
      <w:tr>
        <w:tblPrEx>
          <w:tblLayout w:type="fixed"/>
          <w:tblCellMar>
            <w:top w:w="0" w:type="dxa"/>
            <w:left w:w="108" w:type="dxa"/>
            <w:bottom w:w="0" w:type="dxa"/>
            <w:right w:w="108" w:type="dxa"/>
          </w:tblCellMar>
        </w:tblPrEx>
        <w:trPr>
          <w:trHeight w:val="270" w:hRule="atLeast"/>
          <w:jc w:val="center"/>
        </w:trPr>
        <w:tc>
          <w:tcPr>
            <w:tcW w:w="1976" w:type="dxa"/>
            <w:vMerge w:val="continue"/>
            <w:tcBorders>
              <w:top w:val="nil"/>
              <w:left w:val="double" w:color="auto" w:sz="6"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2024/1/29</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14</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2023/12/31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2031/12/31</w:t>
            </w:r>
          </w:p>
        </w:tc>
      </w:tr>
      <w:tr>
        <w:tblPrEx>
          <w:tblLayout w:type="fixed"/>
          <w:tblCellMar>
            <w:top w:w="0" w:type="dxa"/>
            <w:left w:w="108" w:type="dxa"/>
            <w:bottom w:w="0" w:type="dxa"/>
            <w:right w:w="108" w:type="dxa"/>
          </w:tblCellMar>
        </w:tblPrEx>
        <w:trPr>
          <w:trHeight w:val="270" w:hRule="atLeast"/>
          <w:jc w:val="center"/>
        </w:trPr>
        <w:tc>
          <w:tcPr>
            <w:tcW w:w="1976" w:type="dxa"/>
            <w:vMerge w:val="continue"/>
            <w:tcBorders>
              <w:top w:val="nil"/>
              <w:left w:val="double" w:color="auto" w:sz="6"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2024/2/2</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w:t>
            </w:r>
          </w:p>
        </w:tc>
        <w:tc>
          <w:tcPr>
            <w:tcW w:w="1787" w:type="dxa"/>
            <w:vMerge w:val="continue"/>
            <w:tcBorders>
              <w:top w:val="nil"/>
              <w:left w:val="single" w:color="auto" w:sz="4" w:space="0"/>
              <w:bottom w:val="nil"/>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2024/1/31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2032/1/31</w:t>
            </w:r>
          </w:p>
        </w:tc>
      </w:tr>
      <w:tr>
        <w:tblPrEx>
          <w:tblLayout w:type="fixed"/>
          <w:tblCellMar>
            <w:top w:w="0" w:type="dxa"/>
            <w:left w:w="108" w:type="dxa"/>
            <w:bottom w:w="0" w:type="dxa"/>
            <w:right w:w="108" w:type="dxa"/>
          </w:tblCellMar>
        </w:tblPrEx>
        <w:trPr>
          <w:trHeight w:val="270" w:hRule="atLeast"/>
          <w:jc w:val="center"/>
        </w:trPr>
        <w:tc>
          <w:tcPr>
            <w:tcW w:w="1976"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海汽</w:t>
            </w: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2020/6/13</w:t>
            </w: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w:t>
            </w:r>
          </w:p>
        </w:tc>
        <w:tc>
          <w:tcPr>
            <w:tcW w:w="178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2020/5/31</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2028/5/31</w:t>
            </w:r>
          </w:p>
        </w:tc>
      </w:tr>
      <w:tr>
        <w:tblPrEx>
          <w:tblLayout w:type="fixed"/>
          <w:tblCellMar>
            <w:top w:w="0" w:type="dxa"/>
            <w:left w:w="108" w:type="dxa"/>
            <w:bottom w:w="0" w:type="dxa"/>
            <w:right w:w="108" w:type="dxa"/>
          </w:tblCellMar>
        </w:tblPrEx>
        <w:trPr>
          <w:trHeight w:val="270" w:hRule="atLeast"/>
          <w:jc w:val="center"/>
        </w:trPr>
        <w:tc>
          <w:tcPr>
            <w:tcW w:w="1976" w:type="dxa"/>
            <w:tcBorders>
              <w:top w:val="single" w:color="auto" w:sz="4" w:space="0"/>
              <w:left w:val="double" w:color="auto" w:sz="6" w:space="0"/>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新增车辆</w:t>
            </w:r>
          </w:p>
        </w:tc>
        <w:tc>
          <w:tcPr>
            <w:tcW w:w="1316"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877"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47</w:t>
            </w:r>
          </w:p>
        </w:tc>
        <w:tc>
          <w:tcPr>
            <w:tcW w:w="1787"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2019/12/31</w:t>
            </w:r>
          </w:p>
        </w:tc>
        <w:tc>
          <w:tcPr>
            <w:tcW w:w="1555" w:type="dxa"/>
            <w:tcBorders>
              <w:top w:val="single" w:color="auto" w:sz="4" w:space="0"/>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2027/12/31</w:t>
            </w:r>
          </w:p>
        </w:tc>
        <w:tc>
          <w:tcPr>
            <w:tcW w:w="2307" w:type="dxa"/>
            <w:tcBorders>
              <w:top w:val="single" w:color="auto" w:sz="4" w:space="0"/>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可用至特许经营到期</w:t>
            </w:r>
          </w:p>
        </w:tc>
      </w:tr>
      <w:tr>
        <w:tblPrEx>
          <w:tblLayout w:type="fixed"/>
          <w:tblCellMar>
            <w:top w:w="0" w:type="dxa"/>
            <w:left w:w="108" w:type="dxa"/>
            <w:bottom w:w="0" w:type="dxa"/>
            <w:right w:w="108" w:type="dxa"/>
          </w:tblCellMar>
        </w:tblPrEx>
        <w:trPr>
          <w:trHeight w:val="270" w:hRule="atLeast"/>
          <w:jc w:val="center"/>
        </w:trPr>
        <w:tc>
          <w:tcPr>
            <w:tcW w:w="1976" w:type="dxa"/>
            <w:tcBorders>
              <w:top w:val="nil"/>
              <w:left w:val="double" w:color="auto" w:sz="6" w:space="0"/>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车辆合计（辆）</w:t>
            </w:r>
          </w:p>
        </w:tc>
        <w:tc>
          <w:tcPr>
            <w:tcW w:w="1316"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87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175</w:t>
            </w:r>
          </w:p>
        </w:tc>
        <w:tc>
          <w:tcPr>
            <w:tcW w:w="178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175</w:t>
            </w:r>
          </w:p>
        </w:tc>
        <w:tc>
          <w:tcPr>
            <w:tcW w:w="155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175</w:t>
            </w:r>
          </w:p>
        </w:tc>
        <w:tc>
          <w:tcPr>
            <w:tcW w:w="2307" w:type="dxa"/>
            <w:tcBorders>
              <w:top w:val="nil"/>
              <w:left w:val="nil"/>
              <w:bottom w:val="single" w:color="auto" w:sz="4"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81</w:t>
            </w:r>
          </w:p>
        </w:tc>
      </w:tr>
      <w:tr>
        <w:tblPrEx>
          <w:tblLayout w:type="fixed"/>
          <w:tblCellMar>
            <w:top w:w="0" w:type="dxa"/>
            <w:left w:w="108" w:type="dxa"/>
            <w:bottom w:w="0" w:type="dxa"/>
            <w:right w:w="108" w:type="dxa"/>
          </w:tblCellMar>
        </w:tblPrEx>
        <w:trPr>
          <w:trHeight w:val="285" w:hRule="atLeast"/>
          <w:jc w:val="center"/>
        </w:trPr>
        <w:tc>
          <w:tcPr>
            <w:tcW w:w="1976" w:type="dxa"/>
            <w:tcBorders>
              <w:top w:val="single" w:color="auto" w:sz="4" w:space="0"/>
              <w:left w:val="double" w:color="auto" w:sz="6" w:space="0"/>
              <w:bottom w:val="double" w:color="auto" w:sz="6"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所需资金（万元）</w:t>
            </w:r>
          </w:p>
        </w:tc>
        <w:tc>
          <w:tcPr>
            <w:tcW w:w="1316" w:type="dxa"/>
            <w:tcBorders>
              <w:top w:val="single" w:color="auto" w:sz="4" w:space="0"/>
              <w:left w:val="nil"/>
              <w:bottom w:val="double" w:color="auto" w:sz="6"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877" w:type="dxa"/>
            <w:tcBorders>
              <w:top w:val="single" w:color="auto" w:sz="4" w:space="0"/>
              <w:left w:val="nil"/>
              <w:bottom w:val="double" w:color="auto" w:sz="6"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787" w:type="dxa"/>
            <w:tcBorders>
              <w:top w:val="single" w:color="auto" w:sz="4" w:space="0"/>
              <w:left w:val="nil"/>
              <w:bottom w:val="double" w:color="auto" w:sz="6"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asciiTheme="minorEastAsia" w:hAnsiTheme="minorEastAsia" w:eastAsiaTheme="minorEastAsia"/>
                <w:color w:val="auto"/>
                <w:sz w:val="22"/>
                <w:szCs w:val="22"/>
              </w:rPr>
              <w:t xml:space="preserve">4,819.59 </w:t>
            </w:r>
          </w:p>
        </w:tc>
        <w:tc>
          <w:tcPr>
            <w:tcW w:w="1555" w:type="dxa"/>
            <w:tcBorders>
              <w:top w:val="single" w:color="auto" w:sz="4" w:space="0"/>
              <w:left w:val="nil"/>
              <w:bottom w:val="double" w:color="auto" w:sz="6"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asciiTheme="minorEastAsia" w:hAnsiTheme="minorEastAsia" w:eastAsiaTheme="minorEastAsia"/>
                <w:color w:val="auto"/>
                <w:sz w:val="22"/>
                <w:szCs w:val="22"/>
              </w:rPr>
              <w:t xml:space="preserve">8,775.00 </w:t>
            </w:r>
          </w:p>
        </w:tc>
        <w:tc>
          <w:tcPr>
            <w:tcW w:w="2307" w:type="dxa"/>
            <w:tcBorders>
              <w:top w:val="single" w:color="auto" w:sz="4" w:space="0"/>
              <w:left w:val="nil"/>
              <w:bottom w:val="double" w:color="auto" w:sz="6" w:space="0"/>
              <w:right w:val="double" w:color="auto" w:sz="6" w:space="0"/>
            </w:tcBorders>
            <w:shd w:val="clear" w:color="000000" w:fill="FFFFFF"/>
            <w:vAlign w:val="center"/>
          </w:tcPr>
          <w:p>
            <w:pPr>
              <w:widowControl/>
              <w:spacing w:line="360" w:lineRule="auto"/>
              <w:jc w:val="center"/>
              <w:rPr>
                <w:rFonts w:cs="宋体" w:asciiTheme="minorEastAsia" w:hAnsiTheme="minorEastAsia" w:eastAsiaTheme="minorEastAsia"/>
                <w:color w:val="auto"/>
                <w:kern w:val="0"/>
                <w:sz w:val="22"/>
                <w:szCs w:val="22"/>
              </w:rPr>
            </w:pPr>
            <w:r>
              <w:rPr>
                <w:rFonts w:asciiTheme="minorEastAsia" w:hAnsiTheme="minorEastAsia" w:eastAsiaTheme="minorEastAsia"/>
                <w:color w:val="auto"/>
                <w:sz w:val="22"/>
                <w:szCs w:val="22"/>
              </w:rPr>
              <w:t xml:space="preserve">3,605.00 </w:t>
            </w:r>
          </w:p>
        </w:tc>
      </w:tr>
    </w:tbl>
    <w:p>
      <w:pPr>
        <w:pStyle w:val="48"/>
        <w:spacing w:beforeLines="50"/>
        <w:ind w:firstLine="0"/>
        <w:outlineLvl w:val="4"/>
        <w:rPr>
          <w:rFonts w:asciiTheme="minorEastAsia" w:hAnsiTheme="minorEastAsia" w:eastAsiaTheme="minorEastAsia"/>
          <w:bCs/>
          <w:color w:val="auto"/>
          <w:sz w:val="24"/>
          <w:szCs w:val="28"/>
        </w:rPr>
      </w:pPr>
      <w:r>
        <w:rPr>
          <w:rFonts w:hint="eastAsia" w:asciiTheme="minorEastAsia" w:hAnsiTheme="minorEastAsia" w:eastAsiaTheme="minorEastAsia"/>
          <w:bCs/>
          <w:color w:val="auto"/>
          <w:sz w:val="24"/>
          <w:szCs w:val="28"/>
        </w:rPr>
        <w:t>注：上表中，广祥</w:t>
      </w:r>
      <w:r>
        <w:rPr>
          <w:rFonts w:asciiTheme="minorEastAsia" w:hAnsiTheme="minorEastAsia" w:eastAsiaTheme="minorEastAsia"/>
          <w:bCs/>
          <w:color w:val="auto"/>
          <w:sz w:val="24"/>
          <w:szCs w:val="28"/>
        </w:rPr>
        <w:t>2024</w:t>
      </w:r>
      <w:r>
        <w:rPr>
          <w:rFonts w:hint="eastAsia" w:asciiTheme="minorEastAsia" w:hAnsiTheme="minorEastAsia" w:eastAsiaTheme="minorEastAsia"/>
          <w:bCs/>
          <w:color w:val="auto"/>
          <w:sz w:val="24"/>
          <w:szCs w:val="28"/>
        </w:rPr>
        <w:t>年</w:t>
      </w:r>
      <w:r>
        <w:rPr>
          <w:rFonts w:asciiTheme="minorEastAsia" w:hAnsiTheme="minorEastAsia" w:eastAsiaTheme="minorEastAsia"/>
          <w:bCs/>
          <w:color w:val="auto"/>
          <w:sz w:val="24"/>
          <w:szCs w:val="28"/>
        </w:rPr>
        <w:t>3</w:t>
      </w:r>
      <w:r>
        <w:rPr>
          <w:rFonts w:hint="eastAsia" w:asciiTheme="minorEastAsia" w:hAnsiTheme="minorEastAsia" w:eastAsiaTheme="minorEastAsia"/>
          <w:bCs/>
          <w:color w:val="auto"/>
          <w:sz w:val="24"/>
          <w:szCs w:val="28"/>
        </w:rPr>
        <w:t>月</w:t>
      </w:r>
      <w:r>
        <w:rPr>
          <w:rFonts w:asciiTheme="minorEastAsia" w:hAnsiTheme="minorEastAsia" w:eastAsiaTheme="minorEastAsia"/>
          <w:bCs/>
          <w:color w:val="auto"/>
          <w:sz w:val="24"/>
          <w:szCs w:val="28"/>
        </w:rPr>
        <w:t>~4</w:t>
      </w:r>
      <w:r>
        <w:rPr>
          <w:rFonts w:hint="eastAsia" w:asciiTheme="minorEastAsia" w:hAnsiTheme="minorEastAsia" w:eastAsiaTheme="minorEastAsia"/>
          <w:bCs/>
          <w:color w:val="auto"/>
          <w:sz w:val="24"/>
          <w:szCs w:val="28"/>
        </w:rPr>
        <w:t>月报废</w:t>
      </w:r>
      <w:r>
        <w:rPr>
          <w:rFonts w:asciiTheme="minorEastAsia" w:hAnsiTheme="minorEastAsia" w:eastAsiaTheme="minorEastAsia"/>
          <w:bCs/>
          <w:color w:val="auto"/>
          <w:sz w:val="24"/>
          <w:szCs w:val="28"/>
        </w:rPr>
        <w:t>50</w:t>
      </w:r>
      <w:r>
        <w:rPr>
          <w:rFonts w:hint="eastAsia" w:asciiTheme="minorEastAsia" w:hAnsiTheme="minorEastAsia" w:eastAsiaTheme="minorEastAsia"/>
          <w:bCs/>
          <w:color w:val="auto"/>
          <w:sz w:val="24"/>
          <w:szCs w:val="28"/>
        </w:rPr>
        <w:t>辆车为</w:t>
      </w:r>
      <w:r>
        <w:rPr>
          <w:rFonts w:asciiTheme="minorEastAsia" w:hAnsiTheme="minorEastAsia" w:eastAsiaTheme="minorEastAsia"/>
          <w:bCs/>
          <w:color w:val="auto"/>
          <w:sz w:val="24"/>
          <w:szCs w:val="28"/>
        </w:rPr>
        <w:t>6</w:t>
      </w:r>
      <w:r>
        <w:rPr>
          <w:rFonts w:hint="eastAsia" w:asciiTheme="minorEastAsia" w:hAnsiTheme="minorEastAsia" w:eastAsiaTheme="minorEastAsia"/>
          <w:bCs/>
          <w:color w:val="auto"/>
          <w:sz w:val="24"/>
          <w:szCs w:val="28"/>
        </w:rPr>
        <w:t>米车辆。</w:t>
      </w:r>
    </w:p>
    <w:p>
      <w:pPr>
        <w:pStyle w:val="48"/>
        <w:spacing w:beforeLines="50"/>
        <w:outlineLvl w:val="4"/>
        <w:rPr>
          <w:rFonts w:cs="Arial" w:asciiTheme="minorEastAsia" w:hAnsiTheme="minorEastAsia" w:eastAsiaTheme="minorEastAsia"/>
          <w:color w:val="auto"/>
          <w:sz w:val="24"/>
          <w:szCs w:val="24"/>
        </w:rPr>
      </w:pPr>
      <w:r>
        <w:rPr>
          <w:rFonts w:cs="Arial" w:asciiTheme="minorEastAsia" w:hAnsiTheme="minorEastAsia" w:eastAsiaTheme="minorEastAsia"/>
          <w:color w:val="auto"/>
          <w:sz w:val="24"/>
          <w:szCs w:val="24"/>
        </w:rPr>
        <w:t>&lt;B&gt;</w:t>
      </w:r>
      <w:r>
        <w:rPr>
          <w:rFonts w:hint="eastAsia" w:cs="Arial" w:asciiTheme="minorEastAsia" w:hAnsiTheme="minorEastAsia" w:eastAsiaTheme="minorEastAsia"/>
          <w:color w:val="auto"/>
          <w:sz w:val="24"/>
          <w:szCs w:val="24"/>
        </w:rPr>
        <w:t>智慧公交系统建设</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根据近期东方市公交线网及车辆规划情况，智慧公交系统建设投资估算如下表所示。</w:t>
      </w:r>
    </w:p>
    <w:p>
      <w:pPr>
        <w:pStyle w:val="48"/>
        <w:rPr>
          <w:rFonts w:asciiTheme="minorEastAsia" w:hAnsiTheme="minorEastAsia" w:eastAsiaTheme="minorEastAsia"/>
          <w:color w:val="auto"/>
          <w:sz w:val="24"/>
          <w:szCs w:val="24"/>
        </w:rPr>
      </w:pPr>
    </w:p>
    <w:p>
      <w:pPr>
        <w:keepLines/>
        <w:spacing w:line="360" w:lineRule="auto"/>
        <w:jc w:val="center"/>
        <w:textAlignment w:val="center"/>
        <w:rPr>
          <w:rFonts w:asciiTheme="minorEastAsia" w:hAnsiTheme="minorEastAsia" w:eastAsiaTheme="minorEastAsia"/>
          <w:b/>
          <w:bCs/>
          <w:color w:val="auto"/>
          <w:szCs w:val="28"/>
        </w:rPr>
      </w:pPr>
      <w:r>
        <w:rPr>
          <w:rFonts w:asciiTheme="minorEastAsia" w:hAnsiTheme="minorEastAsia" w:eastAsiaTheme="minorEastAsia"/>
          <w:b/>
          <w:bCs/>
          <w:color w:val="auto"/>
          <w:szCs w:val="28"/>
        </w:rPr>
        <w:t>表7.5智慧公交系统建设投资估算表</w:t>
      </w:r>
    </w:p>
    <w:tbl>
      <w:tblPr>
        <w:tblStyle w:val="23"/>
        <w:tblW w:w="8621"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6"/>
        <w:gridCol w:w="474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876" w:type="dxa"/>
            <w:shd w:val="clear" w:color="auto" w:fill="auto"/>
            <w:vAlign w:val="bottom"/>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项目类型</w:t>
            </w:r>
          </w:p>
        </w:tc>
        <w:tc>
          <w:tcPr>
            <w:tcW w:w="4745" w:type="dxa"/>
            <w:shd w:val="clear" w:color="auto" w:fill="auto"/>
            <w:vAlign w:val="bottom"/>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投资金额（万元）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876" w:type="dxa"/>
            <w:shd w:val="clear" w:color="auto" w:fill="auto"/>
            <w:vAlign w:val="bottom"/>
          </w:tcPr>
          <w:p>
            <w:pPr>
              <w:widowControl/>
              <w:spacing w:line="360" w:lineRule="auto"/>
              <w:jc w:val="lef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 xml:space="preserve"> 应用软件 </w:t>
            </w:r>
          </w:p>
        </w:tc>
        <w:tc>
          <w:tcPr>
            <w:tcW w:w="4745" w:type="dxa"/>
            <w:shd w:val="clear" w:color="auto" w:fill="auto"/>
            <w:vAlign w:val="bottom"/>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1,038.34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876" w:type="dxa"/>
            <w:shd w:val="clear" w:color="auto" w:fill="auto"/>
            <w:vAlign w:val="bottom"/>
          </w:tcPr>
          <w:p>
            <w:pPr>
              <w:widowControl/>
              <w:spacing w:line="360" w:lineRule="auto"/>
              <w:jc w:val="lef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 xml:space="preserve"> 终端设备 </w:t>
            </w:r>
          </w:p>
        </w:tc>
        <w:tc>
          <w:tcPr>
            <w:tcW w:w="4745" w:type="dxa"/>
            <w:shd w:val="clear" w:color="auto" w:fill="auto"/>
            <w:vAlign w:val="bottom"/>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 xml:space="preserve">   75.01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876" w:type="dxa"/>
            <w:shd w:val="clear" w:color="auto" w:fill="auto"/>
            <w:vAlign w:val="bottom"/>
          </w:tcPr>
          <w:p>
            <w:pPr>
              <w:widowControl/>
              <w:spacing w:line="360" w:lineRule="auto"/>
              <w:jc w:val="lef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 xml:space="preserve"> 合计 </w:t>
            </w:r>
          </w:p>
        </w:tc>
        <w:tc>
          <w:tcPr>
            <w:tcW w:w="4745" w:type="dxa"/>
            <w:shd w:val="clear" w:color="auto" w:fill="auto"/>
            <w:vAlign w:val="bottom"/>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1,113.35</w:t>
            </w:r>
          </w:p>
        </w:tc>
      </w:tr>
    </w:tbl>
    <w:p>
      <w:pPr>
        <w:pStyle w:val="48"/>
        <w:ind w:firstLine="40"/>
        <w:rPr>
          <w:rFonts w:asciiTheme="minorEastAsia" w:hAnsiTheme="minorEastAsia" w:eastAsiaTheme="minorEastAsia"/>
          <w:color w:val="auto"/>
          <w:sz w:val="2"/>
          <w:szCs w:val="2"/>
        </w:rPr>
      </w:pP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汇总主体整合阶段</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总投资情况如下表所示</w:t>
      </w:r>
      <w:r>
        <w:rPr>
          <w:rFonts w:hint="eastAsia" w:asciiTheme="minorEastAsia" w:hAnsiTheme="minorEastAsia" w:eastAsiaTheme="minorEastAsia"/>
          <w:color w:val="auto"/>
          <w:sz w:val="24"/>
          <w:szCs w:val="24"/>
        </w:rPr>
        <w:t>：</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表7.6初始投资估算</w:t>
      </w:r>
    </w:p>
    <w:tbl>
      <w:tblPr>
        <w:tblStyle w:val="23"/>
        <w:tblW w:w="862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78"/>
        <w:gridCol w:w="2321"/>
        <w:gridCol w:w="1283"/>
        <w:gridCol w:w="298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5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序号</w:t>
            </w:r>
          </w:p>
        </w:tc>
        <w:tc>
          <w:tcPr>
            <w:tcW w:w="1278"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阶段</w:t>
            </w:r>
          </w:p>
        </w:tc>
        <w:tc>
          <w:tcPr>
            <w:tcW w:w="232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项目</w:t>
            </w:r>
          </w:p>
        </w:tc>
        <w:tc>
          <w:tcPr>
            <w:tcW w:w="1283"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单位</w:t>
            </w:r>
          </w:p>
        </w:tc>
        <w:tc>
          <w:tcPr>
            <w:tcW w:w="2985"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投资总成本</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5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w:t>
            </w:r>
          </w:p>
        </w:tc>
        <w:tc>
          <w:tcPr>
            <w:tcW w:w="1278" w:type="dxa"/>
            <w:vMerge w:val="restart"/>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主体整合</w:t>
            </w:r>
          </w:p>
        </w:tc>
        <w:tc>
          <w:tcPr>
            <w:tcW w:w="232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车辆回收</w:t>
            </w:r>
          </w:p>
        </w:tc>
        <w:tc>
          <w:tcPr>
            <w:tcW w:w="1283"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万元</w:t>
            </w:r>
          </w:p>
        </w:tc>
        <w:tc>
          <w:tcPr>
            <w:tcW w:w="298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2,234.59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5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w:t>
            </w:r>
          </w:p>
        </w:tc>
        <w:tc>
          <w:tcPr>
            <w:tcW w:w="1278" w:type="dxa"/>
            <w:vMerge w:val="continue"/>
            <w:vAlign w:val="center"/>
          </w:tcPr>
          <w:p>
            <w:pPr>
              <w:widowControl/>
              <w:spacing w:line="360" w:lineRule="auto"/>
              <w:jc w:val="center"/>
              <w:rPr>
                <w:rFonts w:cs="Arial" w:asciiTheme="minorEastAsia" w:hAnsiTheme="minorEastAsia" w:eastAsiaTheme="minorEastAsia"/>
                <w:color w:val="auto"/>
                <w:kern w:val="0"/>
                <w:sz w:val="22"/>
                <w:szCs w:val="22"/>
              </w:rPr>
            </w:pPr>
          </w:p>
        </w:tc>
        <w:tc>
          <w:tcPr>
            <w:tcW w:w="232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剩余经营权</w:t>
            </w:r>
          </w:p>
        </w:tc>
        <w:tc>
          <w:tcPr>
            <w:tcW w:w="1283"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万元</w:t>
            </w:r>
          </w:p>
        </w:tc>
        <w:tc>
          <w:tcPr>
            <w:tcW w:w="298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 xml:space="preserve">   56.39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5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w:t>
            </w:r>
          </w:p>
        </w:tc>
        <w:tc>
          <w:tcPr>
            <w:tcW w:w="1278" w:type="dxa"/>
            <w:vMerge w:val="continue"/>
            <w:vAlign w:val="center"/>
          </w:tcPr>
          <w:p>
            <w:pPr>
              <w:widowControl/>
              <w:spacing w:line="360" w:lineRule="auto"/>
              <w:jc w:val="center"/>
              <w:rPr>
                <w:rFonts w:cs="Arial" w:asciiTheme="minorEastAsia" w:hAnsiTheme="minorEastAsia" w:eastAsiaTheme="minorEastAsia"/>
                <w:color w:val="auto"/>
                <w:kern w:val="0"/>
                <w:sz w:val="22"/>
                <w:szCs w:val="22"/>
              </w:rPr>
            </w:pPr>
          </w:p>
        </w:tc>
        <w:tc>
          <w:tcPr>
            <w:tcW w:w="232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人员安置</w:t>
            </w:r>
          </w:p>
        </w:tc>
        <w:tc>
          <w:tcPr>
            <w:tcW w:w="1283"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万元</w:t>
            </w:r>
          </w:p>
        </w:tc>
        <w:tc>
          <w:tcPr>
            <w:tcW w:w="298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 xml:space="preserve">   70.00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5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w:t>
            </w:r>
          </w:p>
        </w:tc>
        <w:tc>
          <w:tcPr>
            <w:tcW w:w="1278" w:type="dxa"/>
            <w:vMerge w:val="restart"/>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新增建设</w:t>
            </w:r>
          </w:p>
        </w:tc>
        <w:tc>
          <w:tcPr>
            <w:tcW w:w="232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车辆购置</w:t>
            </w:r>
          </w:p>
        </w:tc>
        <w:tc>
          <w:tcPr>
            <w:tcW w:w="1283"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万元</w:t>
            </w:r>
          </w:p>
        </w:tc>
        <w:tc>
          <w:tcPr>
            <w:tcW w:w="298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2,585.00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5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w:t>
            </w:r>
          </w:p>
        </w:tc>
        <w:tc>
          <w:tcPr>
            <w:tcW w:w="1278" w:type="dxa"/>
            <w:vMerge w:val="continue"/>
            <w:vAlign w:val="center"/>
          </w:tcPr>
          <w:p>
            <w:pPr>
              <w:widowControl/>
              <w:spacing w:line="360" w:lineRule="auto"/>
              <w:jc w:val="center"/>
              <w:rPr>
                <w:rFonts w:cs="Arial" w:asciiTheme="minorEastAsia" w:hAnsiTheme="minorEastAsia" w:eastAsiaTheme="minorEastAsia"/>
                <w:color w:val="auto"/>
                <w:kern w:val="0"/>
                <w:sz w:val="22"/>
                <w:szCs w:val="22"/>
              </w:rPr>
            </w:pPr>
          </w:p>
        </w:tc>
        <w:tc>
          <w:tcPr>
            <w:tcW w:w="232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智慧公交系统建设</w:t>
            </w:r>
          </w:p>
        </w:tc>
        <w:tc>
          <w:tcPr>
            <w:tcW w:w="1283"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万元</w:t>
            </w:r>
          </w:p>
        </w:tc>
        <w:tc>
          <w:tcPr>
            <w:tcW w:w="298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1,113.35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5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p>
        </w:tc>
        <w:tc>
          <w:tcPr>
            <w:tcW w:w="1278"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p>
        </w:tc>
        <w:tc>
          <w:tcPr>
            <w:tcW w:w="232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合计</w:t>
            </w:r>
          </w:p>
        </w:tc>
        <w:tc>
          <w:tcPr>
            <w:tcW w:w="1283"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p>
        </w:tc>
        <w:tc>
          <w:tcPr>
            <w:tcW w:w="2985"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6,279.33</w:t>
            </w:r>
          </w:p>
        </w:tc>
      </w:tr>
    </w:tbl>
    <w:p>
      <w:pPr>
        <w:pStyle w:val="4"/>
        <w:tabs>
          <w:tab w:val="left" w:pos="7290"/>
        </w:tabs>
        <w:spacing w:beforeLines="50" w:line="360" w:lineRule="auto"/>
        <w:ind w:firstLine="643"/>
        <w:rPr>
          <w:rFonts w:asciiTheme="minorEastAsia" w:hAnsiTheme="minorEastAsia" w:eastAsiaTheme="minorEastAsia"/>
          <w:color w:val="auto"/>
          <w:sz w:val="24"/>
        </w:rPr>
      </w:pPr>
      <w:bookmarkStart w:id="182" w:name="_Toc532748599"/>
      <w:bookmarkStart w:id="183" w:name="_Toc19881825"/>
      <w:bookmarkStart w:id="184" w:name="_Toc14266261"/>
      <w:bookmarkStart w:id="185" w:name="_Toc527402584"/>
      <w:r>
        <w:rPr>
          <w:rFonts w:asciiTheme="minorEastAsia" w:hAnsiTheme="minorEastAsia" w:eastAsiaTheme="minorEastAsia"/>
          <w:color w:val="auto"/>
          <w:sz w:val="24"/>
        </w:rPr>
        <w:t>2.</w:t>
      </w:r>
      <w:r>
        <w:rPr>
          <w:rFonts w:hint="eastAsia" w:asciiTheme="minorEastAsia" w:hAnsiTheme="minorEastAsia" w:eastAsiaTheme="minorEastAsia"/>
          <w:color w:val="auto"/>
          <w:sz w:val="24"/>
        </w:rPr>
        <w:t>企业运营成本缺口情况测算</w:t>
      </w:r>
      <w:bookmarkEnd w:id="182"/>
      <w:bookmarkEnd w:id="183"/>
      <w:bookmarkEnd w:id="184"/>
      <w:bookmarkEnd w:id="185"/>
      <w:r>
        <w:rPr>
          <w:rFonts w:asciiTheme="minorEastAsia" w:hAnsiTheme="minorEastAsia" w:eastAsiaTheme="minorEastAsia"/>
          <w:color w:val="auto"/>
          <w:sz w:val="24"/>
        </w:rPr>
        <w:tab/>
      </w:r>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1）营业收入估算</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①通过对近年东方市正在运营的公交公司票价、广告等收入数据以及客流量数据统计分析，预计未来年度营业收入。</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票价收入根据客流量及人均票价预测。</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 xml:space="preserve">7.7 </w:t>
      </w:r>
      <w:r>
        <w:rPr>
          <w:rFonts w:hint="eastAsia" w:asciiTheme="minorEastAsia" w:hAnsiTheme="minorEastAsia" w:eastAsiaTheme="minorEastAsia"/>
          <w:b/>
          <w:bCs/>
          <w:color w:val="auto"/>
          <w:szCs w:val="28"/>
        </w:rPr>
        <w:t>初始年度单车票价收入</w:t>
      </w:r>
    </w:p>
    <w:tbl>
      <w:tblPr>
        <w:tblStyle w:val="23"/>
        <w:tblW w:w="8621"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6"/>
        <w:gridCol w:w="1674"/>
        <w:gridCol w:w="2086"/>
        <w:gridCol w:w="213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6"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项目</w:t>
            </w:r>
          </w:p>
        </w:tc>
        <w:tc>
          <w:tcPr>
            <w:tcW w:w="167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单位</w:t>
            </w:r>
          </w:p>
        </w:tc>
        <w:tc>
          <w:tcPr>
            <w:tcW w:w="2086"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城区公交</w:t>
            </w:r>
          </w:p>
        </w:tc>
        <w:tc>
          <w:tcPr>
            <w:tcW w:w="2135"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城乡公交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6"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单车日均客流量</w:t>
            </w:r>
          </w:p>
        </w:tc>
        <w:tc>
          <w:tcPr>
            <w:tcW w:w="167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人次</w:t>
            </w:r>
          </w:p>
        </w:tc>
        <w:tc>
          <w:tcPr>
            <w:tcW w:w="2086" w:type="dxa"/>
            <w:shd w:val="clear" w:color="auto" w:fill="auto"/>
            <w:vAlign w:val="center"/>
          </w:tcPr>
          <w:p>
            <w:pPr>
              <w:spacing w:line="360" w:lineRule="auto"/>
              <w:jc w:val="center"/>
              <w:rPr>
                <w:rFonts w:cs="Arial" w:asciiTheme="minorEastAsia" w:hAnsiTheme="minorEastAsia" w:eastAsiaTheme="minorEastAsia"/>
                <w:color w:val="auto"/>
                <w:sz w:val="22"/>
              </w:rPr>
            </w:pPr>
            <w:r>
              <w:rPr>
                <w:rFonts w:cs="Arial" w:asciiTheme="minorEastAsia" w:hAnsiTheme="minorEastAsia" w:eastAsiaTheme="minorEastAsia"/>
                <w:color w:val="auto"/>
                <w:sz w:val="22"/>
                <w:szCs w:val="22"/>
              </w:rPr>
              <w:t>160.00</w:t>
            </w:r>
          </w:p>
        </w:tc>
        <w:tc>
          <w:tcPr>
            <w:tcW w:w="2135" w:type="dxa"/>
            <w:shd w:val="clear" w:color="auto" w:fill="auto"/>
            <w:vAlign w:val="center"/>
          </w:tcPr>
          <w:p>
            <w:pPr>
              <w:spacing w:line="360" w:lineRule="auto"/>
              <w:jc w:val="center"/>
              <w:rPr>
                <w:rFonts w:cs="Arial" w:asciiTheme="minorEastAsia" w:hAnsiTheme="minorEastAsia" w:eastAsiaTheme="minorEastAsia"/>
                <w:color w:val="auto"/>
                <w:sz w:val="22"/>
              </w:rPr>
            </w:pPr>
            <w:r>
              <w:rPr>
                <w:rFonts w:cs="Arial" w:asciiTheme="minorEastAsia" w:hAnsiTheme="minorEastAsia" w:eastAsiaTheme="minorEastAsia"/>
                <w:color w:val="auto"/>
                <w:sz w:val="22"/>
                <w:szCs w:val="22"/>
              </w:rPr>
              <w:t>120.00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6"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人均票价</w:t>
            </w:r>
          </w:p>
        </w:tc>
        <w:tc>
          <w:tcPr>
            <w:tcW w:w="167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元/人次</w:t>
            </w:r>
          </w:p>
        </w:tc>
        <w:tc>
          <w:tcPr>
            <w:tcW w:w="2086" w:type="dxa"/>
            <w:shd w:val="clear" w:color="auto" w:fill="auto"/>
            <w:vAlign w:val="center"/>
          </w:tcPr>
          <w:p>
            <w:pPr>
              <w:spacing w:line="360" w:lineRule="auto"/>
              <w:jc w:val="center"/>
              <w:rPr>
                <w:rFonts w:cs="Arial" w:asciiTheme="minorEastAsia" w:hAnsiTheme="minorEastAsia" w:eastAsiaTheme="minorEastAsia"/>
                <w:color w:val="auto"/>
                <w:sz w:val="22"/>
              </w:rPr>
            </w:pPr>
            <w:r>
              <w:rPr>
                <w:rFonts w:cs="Arial" w:asciiTheme="minorEastAsia" w:hAnsiTheme="minorEastAsia" w:eastAsiaTheme="minorEastAsia"/>
                <w:color w:val="auto"/>
                <w:sz w:val="22"/>
                <w:szCs w:val="22"/>
              </w:rPr>
              <w:t>1.13</w:t>
            </w:r>
          </w:p>
        </w:tc>
        <w:tc>
          <w:tcPr>
            <w:tcW w:w="2135" w:type="dxa"/>
            <w:shd w:val="clear" w:color="auto" w:fill="auto"/>
            <w:vAlign w:val="center"/>
          </w:tcPr>
          <w:p>
            <w:pPr>
              <w:spacing w:line="360" w:lineRule="auto"/>
              <w:jc w:val="center"/>
              <w:rPr>
                <w:rFonts w:cs="Arial" w:asciiTheme="minorEastAsia" w:hAnsiTheme="minorEastAsia" w:eastAsiaTheme="minorEastAsia"/>
                <w:color w:val="auto"/>
                <w:sz w:val="22"/>
              </w:rPr>
            </w:pPr>
            <w:r>
              <w:rPr>
                <w:rFonts w:cs="Arial" w:asciiTheme="minorEastAsia" w:hAnsiTheme="minorEastAsia" w:eastAsiaTheme="minorEastAsia"/>
                <w:color w:val="auto"/>
                <w:sz w:val="22"/>
                <w:szCs w:val="22"/>
              </w:rPr>
              <w:t>3.40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6"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票价收入</w:t>
            </w:r>
          </w:p>
        </w:tc>
        <w:tc>
          <w:tcPr>
            <w:tcW w:w="1674"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万元/车</w:t>
            </w:r>
          </w:p>
        </w:tc>
        <w:tc>
          <w:tcPr>
            <w:tcW w:w="2086" w:type="dxa"/>
            <w:shd w:val="clear" w:color="auto" w:fill="auto"/>
            <w:vAlign w:val="center"/>
          </w:tcPr>
          <w:p>
            <w:pPr>
              <w:spacing w:line="360" w:lineRule="auto"/>
              <w:jc w:val="center"/>
              <w:rPr>
                <w:rFonts w:cs="Arial" w:asciiTheme="minorEastAsia" w:hAnsiTheme="minorEastAsia" w:eastAsiaTheme="minorEastAsia"/>
                <w:color w:val="auto"/>
                <w:sz w:val="22"/>
              </w:rPr>
            </w:pPr>
            <w:r>
              <w:rPr>
                <w:rFonts w:cs="Arial" w:asciiTheme="minorEastAsia" w:hAnsiTheme="minorEastAsia" w:eastAsiaTheme="minorEastAsia"/>
                <w:color w:val="auto"/>
                <w:sz w:val="22"/>
                <w:szCs w:val="22"/>
              </w:rPr>
              <w:t>6.57</w:t>
            </w:r>
          </w:p>
        </w:tc>
        <w:tc>
          <w:tcPr>
            <w:tcW w:w="2135" w:type="dxa"/>
            <w:shd w:val="clear" w:color="auto" w:fill="auto"/>
            <w:vAlign w:val="center"/>
          </w:tcPr>
          <w:p>
            <w:pPr>
              <w:spacing w:line="360" w:lineRule="auto"/>
              <w:jc w:val="center"/>
              <w:rPr>
                <w:rFonts w:cs="Arial" w:asciiTheme="minorEastAsia" w:hAnsiTheme="minorEastAsia" w:eastAsiaTheme="minorEastAsia"/>
                <w:color w:val="auto"/>
                <w:sz w:val="22"/>
              </w:rPr>
            </w:pPr>
            <w:r>
              <w:rPr>
                <w:rFonts w:cs="Arial" w:asciiTheme="minorEastAsia" w:hAnsiTheme="minorEastAsia" w:eastAsiaTheme="minorEastAsia"/>
                <w:color w:val="auto"/>
                <w:sz w:val="22"/>
                <w:szCs w:val="22"/>
              </w:rPr>
              <w:t>14.89</w:t>
            </w:r>
          </w:p>
        </w:tc>
      </w:tr>
    </w:tbl>
    <w:p>
      <w:pPr>
        <w:spacing w:line="360" w:lineRule="auto"/>
        <w:ind w:firstLine="480"/>
        <w:rPr>
          <w:rFonts w:asciiTheme="minorEastAsia" w:hAnsiTheme="minorEastAsia" w:eastAsiaTheme="minorEastAsia"/>
          <w:color w:val="auto"/>
          <w:szCs w:val="32"/>
        </w:rPr>
      </w:pPr>
      <w:r>
        <w:rPr>
          <w:rFonts w:hint="eastAsia" w:asciiTheme="minorEastAsia" w:hAnsiTheme="minorEastAsia" w:eastAsiaTheme="minorEastAsia"/>
          <w:color w:val="auto"/>
          <w:szCs w:val="32"/>
        </w:rPr>
        <w:t>注：</w:t>
      </w:r>
      <w:r>
        <w:rPr>
          <w:rFonts w:asciiTheme="minorEastAsia" w:hAnsiTheme="minorEastAsia" w:eastAsiaTheme="minorEastAsia"/>
          <w:color w:val="auto"/>
          <w:szCs w:val="32"/>
        </w:rPr>
        <w:t>人均票价为考虑刷卡优惠后，企业实际收入的票价</w:t>
      </w:r>
      <w:r>
        <w:rPr>
          <w:rFonts w:hint="eastAsia" w:asciiTheme="minorEastAsia" w:hAnsiTheme="minorEastAsia" w:eastAsiaTheme="minorEastAsia"/>
          <w:color w:val="auto"/>
          <w:szCs w:val="32"/>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未来年度的单车日均客流量考虑</w:t>
      </w:r>
      <w:r>
        <w:rPr>
          <w:rFonts w:asciiTheme="minorEastAsia" w:hAnsiTheme="minorEastAsia" w:eastAsiaTheme="minorEastAsia"/>
          <w:color w:val="auto"/>
          <w:sz w:val="24"/>
          <w:szCs w:val="24"/>
        </w:rPr>
        <w:t>2%的年增长率，人均票价暂不考虑增长。未来年度票价收入估算表见附件1。</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本项目</w:t>
      </w:r>
      <w:r>
        <w:rPr>
          <w:rFonts w:asciiTheme="minorEastAsia" w:hAnsiTheme="minorEastAsia" w:eastAsiaTheme="minorEastAsia"/>
          <w:color w:val="auto"/>
          <w:sz w:val="24"/>
          <w:szCs w:val="24"/>
        </w:rPr>
        <w:t>由政府方负责充电桩</w:t>
      </w:r>
      <w:r>
        <w:rPr>
          <w:rFonts w:hint="eastAsia" w:asciiTheme="minorEastAsia" w:hAnsiTheme="minorEastAsia" w:eastAsiaTheme="minorEastAsia"/>
          <w:color w:val="auto"/>
          <w:sz w:val="24"/>
          <w:szCs w:val="24"/>
        </w:rPr>
        <w:t>和</w:t>
      </w:r>
      <w:r>
        <w:rPr>
          <w:rFonts w:asciiTheme="minorEastAsia" w:hAnsiTheme="minorEastAsia" w:eastAsiaTheme="minorEastAsia"/>
          <w:color w:val="auto"/>
          <w:sz w:val="24"/>
          <w:szCs w:val="24"/>
        </w:rPr>
        <w:t>场站等配套</w:t>
      </w:r>
      <w:r>
        <w:rPr>
          <w:rFonts w:hint="eastAsia" w:asciiTheme="minorEastAsia" w:hAnsiTheme="minorEastAsia" w:eastAsiaTheme="minorEastAsia"/>
          <w:color w:val="auto"/>
          <w:sz w:val="24"/>
          <w:szCs w:val="24"/>
        </w:rPr>
        <w:t>基础设施</w:t>
      </w:r>
      <w:r>
        <w:rPr>
          <w:rFonts w:asciiTheme="minorEastAsia" w:hAnsiTheme="minorEastAsia" w:eastAsiaTheme="minorEastAsia"/>
          <w:color w:val="auto"/>
          <w:sz w:val="24"/>
          <w:szCs w:val="24"/>
        </w:rPr>
        <w:t>建设，建成后无偿移交给特许经营企业使用，并允许其通过向社会车辆提供付费充电</w:t>
      </w:r>
      <w:r>
        <w:rPr>
          <w:rFonts w:hint="eastAsia" w:asciiTheme="minorEastAsia" w:hAnsiTheme="minorEastAsia" w:eastAsiaTheme="minorEastAsia"/>
          <w:color w:val="auto"/>
          <w:sz w:val="24"/>
          <w:szCs w:val="24"/>
        </w:rPr>
        <w:t>服务以及</w:t>
      </w:r>
      <w:r>
        <w:rPr>
          <w:rFonts w:asciiTheme="minorEastAsia" w:hAnsiTheme="minorEastAsia" w:eastAsiaTheme="minorEastAsia"/>
          <w:color w:val="auto"/>
          <w:sz w:val="24"/>
          <w:szCs w:val="24"/>
        </w:rPr>
        <w:t>场站租赁的方式获取</w:t>
      </w:r>
      <w:r>
        <w:rPr>
          <w:rFonts w:hint="eastAsia" w:asciiTheme="minorEastAsia" w:hAnsiTheme="minorEastAsia" w:eastAsiaTheme="minorEastAsia"/>
          <w:color w:val="auto"/>
          <w:sz w:val="24"/>
          <w:szCs w:val="24"/>
        </w:rPr>
        <w:t>收入</w:t>
      </w:r>
      <w:r>
        <w:rPr>
          <w:rFonts w:asciiTheme="minorEastAsia" w:hAnsiTheme="minorEastAsia" w:eastAsiaTheme="minorEastAsia"/>
          <w:color w:val="auto"/>
          <w:sz w:val="24"/>
          <w:szCs w:val="24"/>
        </w:rPr>
        <w:t>，以补偿日常运营亏损。</w:t>
      </w:r>
      <w:r>
        <w:rPr>
          <w:rFonts w:hint="eastAsia" w:asciiTheme="minorEastAsia" w:hAnsiTheme="minorEastAsia" w:eastAsiaTheme="minorEastAsia"/>
          <w:color w:val="auto"/>
          <w:sz w:val="24"/>
          <w:szCs w:val="24"/>
        </w:rPr>
        <w:t>考虑到充电桩和场站的建成时间、数量均不确定，</w:t>
      </w:r>
      <w:r>
        <w:rPr>
          <w:rFonts w:asciiTheme="minorEastAsia" w:hAnsiTheme="minorEastAsia" w:eastAsiaTheme="minorEastAsia"/>
          <w:color w:val="auto"/>
          <w:sz w:val="24"/>
          <w:szCs w:val="24"/>
        </w:rPr>
        <w:t>本次</w:t>
      </w:r>
      <w:r>
        <w:rPr>
          <w:rFonts w:hint="eastAsia" w:asciiTheme="minorEastAsia" w:hAnsiTheme="minorEastAsia" w:eastAsiaTheme="minorEastAsia"/>
          <w:color w:val="auto"/>
          <w:sz w:val="24"/>
          <w:szCs w:val="24"/>
        </w:rPr>
        <w:t>测算</w:t>
      </w:r>
      <w:r>
        <w:rPr>
          <w:rFonts w:asciiTheme="minorEastAsia" w:hAnsiTheme="minorEastAsia" w:eastAsiaTheme="minorEastAsia"/>
          <w:color w:val="auto"/>
          <w:sz w:val="24"/>
          <w:szCs w:val="24"/>
        </w:rPr>
        <w:t>暂不</w:t>
      </w:r>
      <w:r>
        <w:rPr>
          <w:rFonts w:hint="eastAsia" w:asciiTheme="minorEastAsia" w:hAnsiTheme="minorEastAsia" w:eastAsiaTheme="minorEastAsia"/>
          <w:color w:val="auto"/>
          <w:sz w:val="24"/>
          <w:szCs w:val="24"/>
        </w:rPr>
        <w:t>考虑充电桩收入。后续若开展了充电桩服务，则纳入特许经营企业营业收入估算。</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考虑</w:t>
      </w:r>
      <w:r>
        <w:rPr>
          <w:rFonts w:asciiTheme="minorEastAsia" w:hAnsiTheme="minorEastAsia" w:eastAsiaTheme="minorEastAsia"/>
          <w:color w:val="auto"/>
          <w:sz w:val="24"/>
          <w:szCs w:val="24"/>
        </w:rPr>
        <w:t>到</w:t>
      </w:r>
      <w:r>
        <w:rPr>
          <w:rFonts w:hint="eastAsia" w:asciiTheme="minorEastAsia" w:hAnsiTheme="minorEastAsia" w:eastAsiaTheme="minorEastAsia"/>
          <w:color w:val="auto"/>
          <w:sz w:val="24"/>
          <w:szCs w:val="24"/>
        </w:rPr>
        <w:t>“公交车</w:t>
      </w:r>
      <w:r>
        <w:rPr>
          <w:rFonts w:asciiTheme="minorEastAsia" w:hAnsiTheme="minorEastAsia" w:eastAsiaTheme="minorEastAsia"/>
          <w:color w:val="auto"/>
          <w:sz w:val="24"/>
          <w:szCs w:val="24"/>
        </w:rPr>
        <w:t>带货</w:t>
      </w:r>
      <w:r>
        <w:rPr>
          <w:rFonts w:hint="eastAsia" w:asciiTheme="minorEastAsia" w:hAnsiTheme="minorEastAsia" w:eastAsiaTheme="minorEastAsia"/>
          <w:color w:val="auto"/>
          <w:sz w:val="24"/>
          <w:szCs w:val="24"/>
        </w:rPr>
        <w:t>”等新型</w:t>
      </w:r>
      <w:r>
        <w:rPr>
          <w:rFonts w:asciiTheme="minorEastAsia" w:hAnsiTheme="minorEastAsia" w:eastAsiaTheme="minorEastAsia"/>
          <w:color w:val="auto"/>
          <w:sz w:val="24"/>
          <w:szCs w:val="24"/>
        </w:rPr>
        <w:t>客货</w:t>
      </w:r>
      <w:r>
        <w:rPr>
          <w:rFonts w:hint="eastAsia" w:asciiTheme="minorEastAsia" w:hAnsiTheme="minorEastAsia" w:eastAsiaTheme="minorEastAsia"/>
          <w:color w:val="auto"/>
          <w:sz w:val="24"/>
          <w:szCs w:val="24"/>
        </w:rPr>
        <w:t>运</w:t>
      </w:r>
      <w:r>
        <w:rPr>
          <w:rFonts w:asciiTheme="minorEastAsia" w:hAnsiTheme="minorEastAsia" w:eastAsiaTheme="minorEastAsia"/>
          <w:color w:val="auto"/>
          <w:sz w:val="24"/>
          <w:szCs w:val="24"/>
        </w:rPr>
        <w:t>融合</w:t>
      </w:r>
      <w:r>
        <w:rPr>
          <w:rFonts w:hint="eastAsia" w:asciiTheme="minorEastAsia" w:hAnsiTheme="minorEastAsia" w:eastAsiaTheme="minorEastAsia"/>
          <w:color w:val="auto"/>
          <w:sz w:val="24"/>
          <w:szCs w:val="24"/>
        </w:rPr>
        <w:t>发展</w:t>
      </w:r>
      <w:r>
        <w:rPr>
          <w:rFonts w:asciiTheme="minorEastAsia" w:hAnsiTheme="minorEastAsia" w:eastAsiaTheme="minorEastAsia"/>
          <w:color w:val="auto"/>
          <w:sz w:val="24"/>
          <w:szCs w:val="24"/>
        </w:rPr>
        <w:t>具体形式</w:t>
      </w:r>
      <w:r>
        <w:rPr>
          <w:rFonts w:hint="eastAsia" w:asciiTheme="minorEastAsia" w:hAnsiTheme="minorEastAsia" w:eastAsiaTheme="minorEastAsia"/>
          <w:color w:val="auto"/>
          <w:sz w:val="24"/>
          <w:szCs w:val="24"/>
        </w:rPr>
        <w:t>尚</w:t>
      </w:r>
      <w:r>
        <w:rPr>
          <w:rFonts w:asciiTheme="minorEastAsia" w:hAnsiTheme="minorEastAsia" w:eastAsiaTheme="minorEastAsia"/>
          <w:color w:val="auto"/>
          <w:sz w:val="24"/>
          <w:szCs w:val="24"/>
        </w:rPr>
        <w:t>不明朗，</w:t>
      </w:r>
      <w:r>
        <w:rPr>
          <w:rFonts w:hint="eastAsia" w:asciiTheme="minorEastAsia" w:hAnsiTheme="minorEastAsia" w:eastAsiaTheme="minorEastAsia"/>
          <w:color w:val="auto"/>
          <w:sz w:val="24"/>
          <w:szCs w:val="24"/>
        </w:rPr>
        <w:t>相关</w:t>
      </w:r>
      <w:r>
        <w:rPr>
          <w:rFonts w:asciiTheme="minorEastAsia" w:hAnsiTheme="minorEastAsia" w:eastAsiaTheme="minorEastAsia"/>
          <w:color w:val="auto"/>
          <w:sz w:val="24"/>
          <w:szCs w:val="24"/>
        </w:rPr>
        <w:t>法律法规政策</w:t>
      </w:r>
      <w:r>
        <w:rPr>
          <w:rFonts w:hint="eastAsia" w:asciiTheme="minorEastAsia" w:hAnsiTheme="minorEastAsia" w:eastAsiaTheme="minorEastAsia"/>
          <w:color w:val="auto"/>
          <w:sz w:val="24"/>
          <w:szCs w:val="24"/>
        </w:rPr>
        <w:t>尚未</w:t>
      </w:r>
      <w:r>
        <w:rPr>
          <w:rFonts w:asciiTheme="minorEastAsia" w:hAnsiTheme="minorEastAsia" w:eastAsiaTheme="minorEastAsia"/>
          <w:color w:val="auto"/>
          <w:sz w:val="24"/>
          <w:szCs w:val="24"/>
        </w:rPr>
        <w:t>完善，本次</w:t>
      </w:r>
      <w:r>
        <w:rPr>
          <w:rFonts w:hint="eastAsia" w:asciiTheme="minorEastAsia" w:hAnsiTheme="minorEastAsia" w:eastAsiaTheme="minorEastAsia"/>
          <w:color w:val="auto"/>
          <w:sz w:val="24"/>
          <w:szCs w:val="24"/>
        </w:rPr>
        <w:t>测算</w:t>
      </w:r>
      <w:r>
        <w:rPr>
          <w:rFonts w:asciiTheme="minorEastAsia" w:hAnsiTheme="minorEastAsia" w:eastAsiaTheme="minorEastAsia"/>
          <w:color w:val="auto"/>
          <w:sz w:val="24"/>
          <w:szCs w:val="24"/>
        </w:rPr>
        <w:t>暂不考虑</w:t>
      </w:r>
      <w:r>
        <w:rPr>
          <w:rFonts w:hint="eastAsia" w:asciiTheme="minorEastAsia" w:hAnsiTheme="minorEastAsia" w:eastAsiaTheme="minorEastAsia"/>
          <w:color w:val="auto"/>
          <w:sz w:val="24"/>
          <w:szCs w:val="24"/>
        </w:rPr>
        <w:t>货物运输</w:t>
      </w:r>
      <w:r>
        <w:rPr>
          <w:rFonts w:asciiTheme="minorEastAsia" w:hAnsiTheme="minorEastAsia" w:eastAsiaTheme="minorEastAsia"/>
          <w:color w:val="auto"/>
          <w:sz w:val="24"/>
          <w:szCs w:val="24"/>
        </w:rPr>
        <w:t>收入</w:t>
      </w:r>
      <w:r>
        <w:rPr>
          <w:rFonts w:hint="eastAsia" w:asciiTheme="minorEastAsia" w:hAnsiTheme="minorEastAsia" w:eastAsiaTheme="minorEastAsia"/>
          <w:color w:val="auto"/>
          <w:sz w:val="24"/>
          <w:szCs w:val="24"/>
        </w:rPr>
        <w:t>。后续</w:t>
      </w:r>
      <w:r>
        <w:rPr>
          <w:rFonts w:asciiTheme="minorEastAsia" w:hAnsiTheme="minorEastAsia" w:eastAsiaTheme="minorEastAsia"/>
          <w:color w:val="auto"/>
          <w:sz w:val="24"/>
          <w:szCs w:val="24"/>
        </w:rPr>
        <w:t>若开展</w:t>
      </w:r>
      <w:r>
        <w:rPr>
          <w:rFonts w:hint="eastAsia" w:asciiTheme="minorEastAsia" w:hAnsiTheme="minorEastAsia" w:eastAsiaTheme="minorEastAsia"/>
          <w:color w:val="auto"/>
          <w:sz w:val="24"/>
          <w:szCs w:val="24"/>
        </w:rPr>
        <w:t>了</w:t>
      </w:r>
      <w:r>
        <w:rPr>
          <w:rFonts w:asciiTheme="minorEastAsia" w:hAnsiTheme="minorEastAsia" w:eastAsiaTheme="minorEastAsia"/>
          <w:color w:val="auto"/>
          <w:sz w:val="24"/>
          <w:szCs w:val="24"/>
        </w:rPr>
        <w:t>实际货运服务，则纳入</w:t>
      </w:r>
      <w:r>
        <w:rPr>
          <w:rFonts w:hint="eastAsia" w:asciiTheme="minorEastAsia" w:hAnsiTheme="minorEastAsia" w:eastAsiaTheme="minorEastAsia"/>
          <w:color w:val="auto"/>
          <w:sz w:val="24"/>
          <w:szCs w:val="24"/>
        </w:rPr>
        <w:t>特许经营企业</w:t>
      </w:r>
      <w:r>
        <w:rPr>
          <w:rFonts w:asciiTheme="minorEastAsia" w:hAnsiTheme="minorEastAsia" w:eastAsiaTheme="minorEastAsia"/>
          <w:color w:val="auto"/>
          <w:sz w:val="24"/>
          <w:szCs w:val="24"/>
        </w:rPr>
        <w:t>营业收入估算。</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结合票价收入并综合考虑广告业务等，对未来年度营业收入估算如下：</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 xml:space="preserve">7.8 </w:t>
      </w:r>
      <w:r>
        <w:rPr>
          <w:rFonts w:hint="eastAsia" w:asciiTheme="minorEastAsia" w:hAnsiTheme="minorEastAsia" w:eastAsiaTheme="minorEastAsia"/>
          <w:b/>
          <w:bCs/>
          <w:color w:val="auto"/>
          <w:szCs w:val="28"/>
        </w:rPr>
        <w:t>特许经营期内营业收入</w:t>
      </w:r>
      <w:r>
        <w:rPr>
          <w:rFonts w:asciiTheme="minorEastAsia" w:hAnsiTheme="minorEastAsia" w:eastAsiaTheme="minorEastAsia"/>
          <w:b/>
          <w:bCs/>
          <w:color w:val="auto"/>
          <w:szCs w:val="28"/>
        </w:rPr>
        <w:t>估算表</w:t>
      </w:r>
    </w:p>
    <w:p>
      <w:pPr>
        <w:spacing w:line="360" w:lineRule="auto"/>
        <w:ind w:firstLine="480"/>
        <w:jc w:val="right"/>
        <w:rPr>
          <w:rFonts w:asciiTheme="minorEastAsia" w:hAnsiTheme="minorEastAsia" w:eastAsiaTheme="minorEastAsia"/>
          <w:color w:val="auto"/>
          <w:szCs w:val="32"/>
        </w:rPr>
      </w:pPr>
      <w:r>
        <w:rPr>
          <w:rFonts w:hint="eastAsia" w:asciiTheme="minorEastAsia" w:hAnsiTheme="minorEastAsia" w:eastAsiaTheme="minorEastAsia"/>
          <w:color w:val="auto"/>
          <w:szCs w:val="32"/>
        </w:rPr>
        <w:t>单位</w:t>
      </w:r>
      <w:r>
        <w:rPr>
          <w:rFonts w:asciiTheme="minorEastAsia" w:hAnsiTheme="minorEastAsia" w:eastAsiaTheme="minorEastAsia"/>
          <w:color w:val="auto"/>
          <w:szCs w:val="32"/>
        </w:rPr>
        <w:t>：万元</w:t>
      </w:r>
    </w:p>
    <w:tbl>
      <w:tblPr>
        <w:tblStyle w:val="23"/>
        <w:tblW w:w="10339"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077"/>
        <w:gridCol w:w="1077"/>
        <w:gridCol w:w="1077"/>
        <w:gridCol w:w="1077"/>
        <w:gridCol w:w="1077"/>
        <w:gridCol w:w="1077"/>
        <w:gridCol w:w="1077"/>
        <w:gridCol w:w="107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doub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类别</w:t>
            </w:r>
          </w:p>
        </w:tc>
        <w:tc>
          <w:tcPr>
            <w:tcW w:w="1077" w:type="dxa"/>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2020年</w:t>
            </w:r>
          </w:p>
        </w:tc>
        <w:tc>
          <w:tcPr>
            <w:tcW w:w="1077" w:type="dxa"/>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2021年</w:t>
            </w:r>
          </w:p>
        </w:tc>
        <w:tc>
          <w:tcPr>
            <w:tcW w:w="1077" w:type="dxa"/>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2022年</w:t>
            </w:r>
          </w:p>
        </w:tc>
        <w:tc>
          <w:tcPr>
            <w:tcW w:w="1077" w:type="dxa"/>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2023年</w:t>
            </w:r>
          </w:p>
        </w:tc>
        <w:tc>
          <w:tcPr>
            <w:tcW w:w="1077" w:type="dxa"/>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2024年</w:t>
            </w:r>
          </w:p>
        </w:tc>
        <w:tc>
          <w:tcPr>
            <w:tcW w:w="1077" w:type="dxa"/>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2025年</w:t>
            </w:r>
          </w:p>
        </w:tc>
        <w:tc>
          <w:tcPr>
            <w:tcW w:w="1077" w:type="dxa"/>
            <w:tcBorders>
              <w:top w:val="doub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2026年</w:t>
            </w:r>
          </w:p>
        </w:tc>
        <w:tc>
          <w:tcPr>
            <w:tcW w:w="1077" w:type="dxa"/>
            <w:tcBorders>
              <w:top w:val="doub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2027年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票价收入</w:t>
            </w:r>
            <w:r>
              <w:rPr>
                <w:rFonts w:cs="宋体" w:asciiTheme="minorEastAsia" w:hAnsiTheme="minorEastAsia" w:eastAsiaTheme="minorEastAsia"/>
                <w:b/>
                <w:bCs/>
                <w:color w:val="auto"/>
                <w:kern w:val="0"/>
                <w:szCs w:val="22"/>
              </w:rPr>
              <w:t>-城市</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630.72</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642.55</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654.37</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666.2</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678.02</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689.85</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705.62</w:t>
            </w:r>
          </w:p>
        </w:tc>
        <w:tc>
          <w:tcPr>
            <w:tcW w:w="1077" w:type="dxa"/>
            <w:tcBorders>
              <w:top w:val="sing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721.39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票价收入</w:t>
            </w:r>
            <w:r>
              <w:rPr>
                <w:rFonts w:cs="宋体" w:asciiTheme="minorEastAsia" w:hAnsiTheme="minorEastAsia" w:eastAsiaTheme="minorEastAsia"/>
                <w:b/>
                <w:bCs/>
                <w:color w:val="auto"/>
                <w:kern w:val="0"/>
                <w:szCs w:val="22"/>
              </w:rPr>
              <w:t>-城乡</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1,012.66</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1,029.53</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1,046.41</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1,063.29</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1,088.61</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1,113.92</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1,139.24</w:t>
            </w:r>
          </w:p>
        </w:tc>
        <w:tc>
          <w:tcPr>
            <w:tcW w:w="1077" w:type="dxa"/>
            <w:tcBorders>
              <w:top w:val="sing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1,164.55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票价收入合计</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1,643.38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1,672.08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1,700.78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1,729.49</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1,766.63</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1,803.77</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1,844.86</w:t>
            </w:r>
          </w:p>
        </w:tc>
        <w:tc>
          <w:tcPr>
            <w:tcW w:w="1077" w:type="dxa"/>
            <w:tcBorders>
              <w:top w:val="sing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1,885.94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广告</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58.8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59.98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61.18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62.4</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63.65</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64.92</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66.22</w:t>
            </w:r>
          </w:p>
        </w:tc>
        <w:tc>
          <w:tcPr>
            <w:tcW w:w="1077" w:type="dxa"/>
            <w:tcBorders>
              <w:top w:val="sing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67.54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合计</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1,702.18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1,732.06</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1,761.96</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1,791.89</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1,830.28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1,868.69</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1,911.07</w:t>
            </w:r>
          </w:p>
        </w:tc>
        <w:tc>
          <w:tcPr>
            <w:tcW w:w="1077" w:type="dxa"/>
            <w:tcBorders>
              <w:top w:val="sing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1,953.48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类别</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2028年</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2029年</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2030年</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2031年</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2032年</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2033年</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2034年</w:t>
            </w:r>
          </w:p>
        </w:tc>
        <w:tc>
          <w:tcPr>
            <w:tcW w:w="1077" w:type="dxa"/>
            <w:tcBorders>
              <w:top w:val="sing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b/>
                <w:color w:val="auto"/>
                <w:szCs w:val="21"/>
              </w:rPr>
            </w:pPr>
            <w:r>
              <w:rPr>
                <w:rFonts w:asciiTheme="minorEastAsia" w:hAnsiTheme="minorEastAsia" w:eastAsiaTheme="minorEastAsia"/>
                <w:b/>
                <w:color w:val="auto"/>
                <w:szCs w:val="21"/>
              </w:rPr>
              <w:t>2035年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票价收入</w:t>
            </w:r>
            <w:r>
              <w:rPr>
                <w:rFonts w:cs="宋体" w:asciiTheme="minorEastAsia" w:hAnsiTheme="minorEastAsia" w:eastAsiaTheme="minorEastAsia"/>
                <w:b/>
                <w:bCs/>
                <w:color w:val="auto"/>
                <w:kern w:val="0"/>
                <w:szCs w:val="22"/>
              </w:rPr>
              <w:t>-城市</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737.15</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752.92</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768.69</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784.46</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800.23</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815.99</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831.76</w:t>
            </w:r>
          </w:p>
        </w:tc>
        <w:tc>
          <w:tcPr>
            <w:tcW w:w="1077" w:type="dxa"/>
            <w:tcBorders>
              <w:top w:val="sing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847.53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票价收入</w:t>
            </w:r>
            <w:r>
              <w:rPr>
                <w:rFonts w:cs="宋体" w:asciiTheme="minorEastAsia" w:hAnsiTheme="minorEastAsia" w:eastAsiaTheme="minorEastAsia"/>
                <w:b/>
                <w:bCs/>
                <w:color w:val="auto"/>
                <w:kern w:val="0"/>
                <w:szCs w:val="22"/>
              </w:rPr>
              <w:t>-城乡</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1,189.87</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1,215.19</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1,240.50</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1,265.82</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1,291.14</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1,316.45</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1,341.77</w:t>
            </w:r>
          </w:p>
        </w:tc>
        <w:tc>
          <w:tcPr>
            <w:tcW w:w="1077" w:type="dxa"/>
            <w:tcBorders>
              <w:top w:val="sing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1,367.09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票价收入合计</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1,927.02</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1,968.11</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2,009.19</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2,050.28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2,091.36</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2,132.45</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2,173.53</w:t>
            </w:r>
          </w:p>
        </w:tc>
        <w:tc>
          <w:tcPr>
            <w:tcW w:w="1077" w:type="dxa"/>
            <w:tcBorders>
              <w:top w:val="sing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2,214.62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广告</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68.89</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70.27</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71.68</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73.11</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74.57</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76.06</w:t>
            </w:r>
          </w:p>
        </w:tc>
        <w:tc>
          <w:tcPr>
            <w:tcW w:w="10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77.59</w:t>
            </w:r>
          </w:p>
        </w:tc>
        <w:tc>
          <w:tcPr>
            <w:tcW w:w="1077" w:type="dxa"/>
            <w:tcBorders>
              <w:top w:val="single" w:color="auto" w:sz="4" w:space="0"/>
              <w:left w:val="single" w:color="auto" w:sz="4" w:space="0"/>
              <w:bottom w:val="sing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79.14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23" w:type="dxa"/>
            <w:tcBorders>
              <w:top w:val="single" w:color="auto" w:sz="4" w:space="0"/>
              <w:left w:val="double" w:color="auto" w:sz="4" w:space="0"/>
              <w:bottom w:val="doub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bCs/>
                <w:color w:val="auto"/>
                <w:kern w:val="0"/>
                <w:szCs w:val="22"/>
              </w:rPr>
            </w:pPr>
            <w:r>
              <w:rPr>
                <w:rFonts w:hint="eastAsia" w:cs="宋体" w:asciiTheme="minorEastAsia" w:hAnsiTheme="minorEastAsia" w:eastAsiaTheme="minorEastAsia"/>
                <w:b/>
                <w:bCs/>
                <w:color w:val="auto"/>
                <w:kern w:val="0"/>
                <w:szCs w:val="22"/>
              </w:rPr>
              <w:t>合计</w:t>
            </w:r>
          </w:p>
        </w:tc>
        <w:tc>
          <w:tcPr>
            <w:tcW w:w="1077" w:type="dxa"/>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1,995.92</w:t>
            </w:r>
          </w:p>
        </w:tc>
        <w:tc>
          <w:tcPr>
            <w:tcW w:w="1077" w:type="dxa"/>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2,038.38</w:t>
            </w:r>
          </w:p>
        </w:tc>
        <w:tc>
          <w:tcPr>
            <w:tcW w:w="1077" w:type="dxa"/>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2,080.87</w:t>
            </w:r>
          </w:p>
        </w:tc>
        <w:tc>
          <w:tcPr>
            <w:tcW w:w="1077" w:type="dxa"/>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2,123.39</w:t>
            </w:r>
          </w:p>
        </w:tc>
        <w:tc>
          <w:tcPr>
            <w:tcW w:w="1077" w:type="dxa"/>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2,165.94</w:t>
            </w:r>
          </w:p>
        </w:tc>
        <w:tc>
          <w:tcPr>
            <w:tcW w:w="1077" w:type="dxa"/>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2,208.51</w:t>
            </w:r>
          </w:p>
        </w:tc>
        <w:tc>
          <w:tcPr>
            <w:tcW w:w="1077" w:type="dxa"/>
            <w:tcBorders>
              <w:top w:val="single" w:color="auto" w:sz="4" w:space="0"/>
              <w:left w:val="single" w:color="auto" w:sz="4" w:space="0"/>
              <w:bottom w:val="double" w:color="auto" w:sz="4" w:space="0"/>
              <w:right w:val="sing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2,251.12</w:t>
            </w:r>
          </w:p>
        </w:tc>
        <w:tc>
          <w:tcPr>
            <w:tcW w:w="1077" w:type="dxa"/>
            <w:tcBorders>
              <w:top w:val="single" w:color="auto" w:sz="4" w:space="0"/>
              <w:left w:val="single" w:color="auto" w:sz="4" w:space="0"/>
              <w:bottom w:val="double" w:color="auto" w:sz="4" w:space="0"/>
              <w:right w:val="double" w:color="auto" w:sz="4" w:space="0"/>
            </w:tcBorders>
            <w:shd w:val="clear" w:color="auto" w:fill="auto"/>
            <w:vAlign w:val="center"/>
          </w:tcPr>
          <w:p>
            <w:pPr>
              <w:spacing w:line="360" w:lineRule="auto"/>
              <w:jc w:val="right"/>
              <w:rPr>
                <w:rFonts w:asciiTheme="minorEastAsia" w:hAnsiTheme="minorEastAsia" w:eastAsiaTheme="minorEastAsia"/>
                <w:color w:val="auto"/>
                <w:szCs w:val="21"/>
              </w:rPr>
            </w:pPr>
            <w:r>
              <w:rPr>
                <w:rFonts w:asciiTheme="minorEastAsia" w:hAnsiTheme="minorEastAsia" w:eastAsiaTheme="minorEastAsia"/>
                <w:color w:val="auto"/>
                <w:szCs w:val="21"/>
              </w:rPr>
              <w:t>2,293.75</w:t>
            </w:r>
          </w:p>
        </w:tc>
      </w:tr>
    </w:tbl>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）营业总成本估算</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公交企业正常经营性成本费用项目纳入成本规制范围</w:t>
      </w:r>
      <w:r>
        <w:rPr>
          <w:rFonts w:asciiTheme="minorEastAsia" w:hAnsiTheme="minorEastAsia" w:eastAsiaTheme="minorEastAsia"/>
          <w:color w:val="auto"/>
          <w:sz w:val="24"/>
          <w:szCs w:val="24"/>
        </w:rPr>
        <w:t>,企业营业总成本应由营业成本（含直接运营成本和无形资产摊销费）、期间费用、税金及附加三部分构成，营业总成本具体构成如下表所示：</w:t>
      </w:r>
    </w:p>
    <w:p>
      <w:pPr>
        <w:pStyle w:val="3"/>
        <w:spacing w:line="360" w:lineRule="auto"/>
        <w:ind w:firstLine="643"/>
        <w:rPr>
          <w:rFonts w:asciiTheme="minorEastAsia" w:hAnsiTheme="minorEastAsia" w:eastAsiaTheme="minorEastAsia"/>
          <w:bCs w:val="0"/>
          <w:color w:val="auto"/>
          <w:sz w:val="28"/>
          <w:szCs w:val="28"/>
        </w:rPr>
      </w:pPr>
      <w:r>
        <w:rPr>
          <w:rFonts w:asciiTheme="minorEastAsia" w:hAnsiTheme="minorEastAsia" w:eastAsiaTheme="minorEastAsia"/>
          <w:color w:val="auto"/>
          <w:sz w:val="24"/>
          <w:szCs w:val="24"/>
        </w:rPr>
        <w:br w:type="page"/>
      </w:r>
      <w:r>
        <w:rPr>
          <w:rFonts w:hint="eastAsia" w:asciiTheme="minorEastAsia" w:hAnsiTheme="minorEastAsia" w:eastAsiaTheme="minorEastAsia"/>
          <w:bCs w:val="0"/>
          <w:color w:val="auto"/>
          <w:sz w:val="28"/>
          <w:szCs w:val="28"/>
        </w:rPr>
        <w:t>表</w:t>
      </w:r>
      <w:r>
        <w:rPr>
          <w:rFonts w:asciiTheme="minorEastAsia" w:hAnsiTheme="minorEastAsia" w:eastAsiaTheme="minorEastAsia"/>
          <w:bCs w:val="0"/>
          <w:color w:val="auto"/>
          <w:sz w:val="28"/>
          <w:szCs w:val="28"/>
        </w:rPr>
        <w:t>7.9 营业总成本构成表</w:t>
      </w:r>
    </w:p>
    <w:tbl>
      <w:tblPr>
        <w:tblStyle w:val="23"/>
        <w:tblW w:w="862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8"/>
        <w:gridCol w:w="604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trPr>
        <w:tc>
          <w:tcPr>
            <w:tcW w:w="2578"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营业总成本构成</w:t>
            </w:r>
          </w:p>
        </w:tc>
        <w:tc>
          <w:tcPr>
            <w:tcW w:w="6043" w:type="dxa"/>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成本项目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vMerge w:val="restart"/>
            <w:shd w:val="clear" w:color="auto" w:fill="auto"/>
            <w:vAlign w:val="center"/>
          </w:tcPr>
          <w:p>
            <w:pPr>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直接运营成本</w:t>
            </w: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人员工资及工资性支出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vMerge w:val="continue"/>
            <w:shd w:val="clear" w:color="auto" w:fill="auto"/>
            <w:vAlign w:val="center"/>
          </w:tcPr>
          <w:p>
            <w:pPr>
              <w:spacing w:line="360" w:lineRule="auto"/>
              <w:jc w:val="center"/>
              <w:rPr>
                <w:rFonts w:cs="Arial" w:asciiTheme="minorEastAsia" w:hAnsiTheme="minorEastAsia" w:eastAsiaTheme="minorEastAsia"/>
                <w:color w:val="auto"/>
                <w:kern w:val="0"/>
                <w:sz w:val="22"/>
                <w:szCs w:val="22"/>
              </w:rPr>
            </w:pP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燃料</w:t>
            </w:r>
            <w:r>
              <w:rPr>
                <w:rFonts w:cs="宋体" w:asciiTheme="minorEastAsia" w:hAnsiTheme="minorEastAsia" w:eastAsiaTheme="minorEastAsia"/>
                <w:color w:val="auto"/>
                <w:kern w:val="0"/>
                <w:sz w:val="22"/>
                <w:szCs w:val="22"/>
              </w:rPr>
              <w:t>(电力)消耗费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vMerge w:val="continue"/>
            <w:shd w:val="clear" w:color="auto" w:fill="auto"/>
            <w:vAlign w:val="center"/>
          </w:tcPr>
          <w:p>
            <w:pPr>
              <w:spacing w:line="360" w:lineRule="auto"/>
              <w:jc w:val="center"/>
              <w:rPr>
                <w:rFonts w:cs="Arial" w:asciiTheme="minorEastAsia" w:hAnsiTheme="minorEastAsia" w:eastAsiaTheme="minorEastAsia"/>
                <w:color w:val="auto"/>
                <w:kern w:val="0"/>
                <w:sz w:val="22"/>
                <w:szCs w:val="22"/>
              </w:rPr>
            </w:pP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固定资产折旧费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vMerge w:val="continue"/>
            <w:shd w:val="clear" w:color="auto" w:fill="auto"/>
            <w:vAlign w:val="center"/>
          </w:tcPr>
          <w:p>
            <w:pPr>
              <w:spacing w:line="360" w:lineRule="auto"/>
              <w:jc w:val="center"/>
              <w:rPr>
                <w:rFonts w:cs="Arial" w:asciiTheme="minorEastAsia" w:hAnsiTheme="minorEastAsia" w:eastAsiaTheme="minorEastAsia"/>
                <w:color w:val="auto"/>
                <w:kern w:val="0"/>
                <w:sz w:val="22"/>
                <w:szCs w:val="22"/>
              </w:rPr>
            </w:pP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保修费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vMerge w:val="continue"/>
            <w:shd w:val="clear" w:color="auto" w:fill="auto"/>
            <w:vAlign w:val="center"/>
          </w:tcPr>
          <w:p>
            <w:pPr>
              <w:spacing w:line="360" w:lineRule="auto"/>
              <w:jc w:val="center"/>
              <w:rPr>
                <w:rFonts w:cs="Arial" w:asciiTheme="minorEastAsia" w:hAnsiTheme="minorEastAsia" w:eastAsiaTheme="minorEastAsia"/>
                <w:color w:val="auto"/>
                <w:kern w:val="0"/>
                <w:sz w:val="22"/>
                <w:szCs w:val="22"/>
              </w:rPr>
            </w:pP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轮胎消耗费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vMerge w:val="continue"/>
            <w:shd w:val="clear" w:color="auto" w:fill="auto"/>
            <w:vAlign w:val="center"/>
          </w:tcPr>
          <w:p>
            <w:pPr>
              <w:spacing w:line="360" w:lineRule="auto"/>
              <w:jc w:val="center"/>
              <w:rPr>
                <w:rFonts w:cs="Arial" w:asciiTheme="minorEastAsia" w:hAnsiTheme="minorEastAsia" w:eastAsiaTheme="minorEastAsia"/>
                <w:color w:val="auto"/>
                <w:kern w:val="0"/>
                <w:sz w:val="22"/>
                <w:szCs w:val="22"/>
              </w:rPr>
            </w:pP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保险与事故损失费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vMerge w:val="continue"/>
            <w:shd w:val="clear" w:color="auto" w:fill="auto"/>
            <w:vAlign w:val="center"/>
          </w:tcPr>
          <w:p>
            <w:pPr>
              <w:spacing w:line="360" w:lineRule="auto"/>
              <w:jc w:val="center"/>
              <w:rPr>
                <w:rFonts w:cs="Arial" w:asciiTheme="minorEastAsia" w:hAnsiTheme="minorEastAsia" w:eastAsiaTheme="minorEastAsia"/>
                <w:color w:val="auto"/>
                <w:kern w:val="0"/>
                <w:sz w:val="22"/>
                <w:szCs w:val="22"/>
              </w:rPr>
            </w:pP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安全费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vMerge w:val="continue"/>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其他直接运营费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其他营业成本</w:t>
            </w: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无形资产摊销费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vMerge w:val="restart"/>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期间</w:t>
            </w:r>
            <w:r>
              <w:rPr>
                <w:rFonts w:cs="Arial" w:asciiTheme="minorEastAsia" w:hAnsiTheme="minorEastAsia" w:eastAsiaTheme="minorEastAsia"/>
                <w:color w:val="auto"/>
                <w:kern w:val="0"/>
                <w:sz w:val="22"/>
                <w:szCs w:val="22"/>
              </w:rPr>
              <w:t>费用</w:t>
            </w: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管理费用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vMerge w:val="continue"/>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财务费用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78"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税金及附加</w:t>
            </w:r>
          </w:p>
        </w:tc>
        <w:tc>
          <w:tcPr>
            <w:tcW w:w="6043" w:type="dxa"/>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城建税、教育费附加等</w:t>
            </w:r>
          </w:p>
        </w:tc>
      </w:tr>
    </w:tbl>
    <w:p>
      <w:pPr>
        <w:pStyle w:val="48"/>
        <w:spacing w:beforeLines="50"/>
        <w:rPr>
          <w:rFonts w:cs="Arial" w:asciiTheme="minorEastAsia" w:hAnsiTheme="minorEastAsia" w:eastAsiaTheme="minorEastAsia"/>
          <w:color w:val="auto"/>
          <w:sz w:val="24"/>
          <w:szCs w:val="24"/>
        </w:rPr>
      </w:pPr>
      <w:r>
        <w:rPr>
          <w:rFonts w:cs="Arial" w:asciiTheme="minorEastAsia" w:hAnsiTheme="minorEastAsia" w:eastAsiaTheme="minorEastAsia"/>
          <w:color w:val="auto"/>
          <w:sz w:val="24"/>
          <w:szCs w:val="24"/>
        </w:rPr>
        <w:t>&lt;1&gt;</w:t>
      </w:r>
      <w:r>
        <w:rPr>
          <w:rFonts w:hint="eastAsia" w:cs="Arial" w:asciiTheme="minorEastAsia" w:hAnsiTheme="minorEastAsia" w:eastAsiaTheme="minorEastAsia"/>
          <w:color w:val="auto"/>
          <w:sz w:val="24"/>
          <w:szCs w:val="24"/>
        </w:rPr>
        <w:t>直接运营成本</w:t>
      </w:r>
    </w:p>
    <w:p>
      <w:pPr>
        <w:pStyle w:val="48"/>
        <w:rPr>
          <w:rFonts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①</w:t>
      </w:r>
      <w:r>
        <w:rPr>
          <w:rFonts w:hint="eastAsia" w:asciiTheme="minorEastAsia" w:hAnsiTheme="minorEastAsia" w:eastAsiaTheme="minorEastAsia"/>
          <w:color w:val="auto"/>
          <w:sz w:val="24"/>
          <w:szCs w:val="24"/>
        </w:rPr>
        <w:t>人员工资及工资性支出</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企业提供公共汽电车运营服务所支出的各项人员费用应包括工资、职工福利费、工会经费、职工教育经费、住房公积金及医疗保险费、养老保险费、失业保险费、工伤保险费、生育保险费、补充养老保险、企业年金和补充医疗保险</w:t>
      </w:r>
      <w:r>
        <w:rPr>
          <w:rFonts w:hint="eastAsia" w:asciiTheme="minorEastAsia" w:hAnsiTheme="minorEastAsia" w:eastAsiaTheme="minorEastAsia"/>
          <w:color w:val="auto"/>
          <w:sz w:val="24"/>
          <w:szCs w:val="24"/>
        </w:rPr>
        <w:t>等，</w:t>
      </w:r>
      <w:r>
        <w:rPr>
          <w:rFonts w:asciiTheme="minorEastAsia" w:hAnsiTheme="minorEastAsia" w:eastAsiaTheme="minorEastAsia"/>
          <w:color w:val="auto"/>
          <w:sz w:val="24"/>
          <w:szCs w:val="24"/>
        </w:rPr>
        <w:t>其中工资一项应包含所有职工及管理人员的工资、奖金、津贴、补贴等全部工资性收入。</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人员工资按总额计算，等于人均工资乘以职工人数。职工人数通过不同类别人员与公交车辆的人车比来确定，具体</w:t>
      </w:r>
      <w:r>
        <w:rPr>
          <w:rFonts w:hint="eastAsia" w:asciiTheme="minorEastAsia" w:hAnsiTheme="minorEastAsia" w:eastAsiaTheme="minorEastAsia"/>
          <w:color w:val="auto"/>
          <w:sz w:val="24"/>
          <w:szCs w:val="24"/>
        </w:rPr>
        <w:t>如下：</w:t>
      </w:r>
    </w:p>
    <w:p>
      <w:pPr>
        <w:pStyle w:val="3"/>
        <w:spacing w:line="360" w:lineRule="auto"/>
        <w:ind w:firstLine="643"/>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br w:type="page"/>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7.10 不同类别人员与公交车辆的人车比</w:t>
      </w:r>
    </w:p>
    <w:tbl>
      <w:tblPr>
        <w:tblStyle w:val="23"/>
        <w:tblW w:w="862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6"/>
        <w:gridCol w:w="2974"/>
        <w:gridCol w:w="282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82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人员类别</w:t>
            </w:r>
          </w:p>
        </w:tc>
        <w:tc>
          <w:tcPr>
            <w:tcW w:w="2974"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驾驶员</w:t>
            </w:r>
          </w:p>
        </w:tc>
        <w:tc>
          <w:tcPr>
            <w:tcW w:w="2821"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管理人员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82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城区公交人车比</w:t>
            </w:r>
          </w:p>
        </w:tc>
        <w:tc>
          <w:tcPr>
            <w:tcW w:w="2974"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1.4</w:t>
            </w:r>
          </w:p>
        </w:tc>
        <w:tc>
          <w:tcPr>
            <w:tcW w:w="2821"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0.08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82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城乡公交人车比</w:t>
            </w:r>
          </w:p>
        </w:tc>
        <w:tc>
          <w:tcPr>
            <w:tcW w:w="2974"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1.2</w:t>
            </w:r>
          </w:p>
        </w:tc>
        <w:tc>
          <w:tcPr>
            <w:tcW w:w="2821"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0.08</w:t>
            </w:r>
          </w:p>
        </w:tc>
      </w:tr>
    </w:tbl>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东方市城乡公交客运服务一体化项目</w:t>
      </w:r>
      <w:r>
        <w:rPr>
          <w:rFonts w:hint="eastAsia" w:asciiTheme="minorEastAsia" w:hAnsiTheme="minorEastAsia" w:eastAsiaTheme="minorEastAsia"/>
          <w:color w:val="auto"/>
          <w:sz w:val="24"/>
          <w:szCs w:val="24"/>
        </w:rPr>
        <w:t>对线路</w:t>
      </w:r>
      <w:r>
        <w:rPr>
          <w:rFonts w:asciiTheme="minorEastAsia" w:hAnsiTheme="minorEastAsia" w:eastAsiaTheme="minorEastAsia"/>
          <w:color w:val="auto"/>
          <w:sz w:val="24"/>
          <w:szCs w:val="24"/>
        </w:rPr>
        <w:t>全程票价超过2元的城市公交</w:t>
      </w:r>
      <w:r>
        <w:rPr>
          <w:rFonts w:hint="eastAsia" w:asciiTheme="minorEastAsia" w:hAnsiTheme="minorEastAsia" w:eastAsiaTheme="minorEastAsia"/>
          <w:color w:val="auto"/>
          <w:sz w:val="24"/>
          <w:szCs w:val="24"/>
        </w:rPr>
        <w:t>配置</w:t>
      </w:r>
      <w:r>
        <w:rPr>
          <w:rFonts w:asciiTheme="minorEastAsia" w:hAnsiTheme="minorEastAsia" w:eastAsiaTheme="minorEastAsia"/>
          <w:color w:val="auto"/>
          <w:sz w:val="24"/>
          <w:szCs w:val="24"/>
        </w:rPr>
        <w:t>售票员，</w:t>
      </w:r>
      <w:r>
        <w:rPr>
          <w:rFonts w:hint="eastAsia" w:asciiTheme="minorEastAsia" w:hAnsiTheme="minorEastAsia" w:eastAsiaTheme="minorEastAsia"/>
          <w:color w:val="auto"/>
          <w:sz w:val="24"/>
          <w:szCs w:val="24"/>
        </w:rPr>
        <w:t>对</w:t>
      </w:r>
      <w:r>
        <w:rPr>
          <w:rFonts w:asciiTheme="minorEastAsia" w:hAnsiTheme="minorEastAsia" w:eastAsiaTheme="minorEastAsia"/>
          <w:color w:val="auto"/>
          <w:sz w:val="24"/>
          <w:szCs w:val="24"/>
        </w:rPr>
        <w:t>全程一票制的线路采用无人售票</w:t>
      </w:r>
      <w:r>
        <w:rPr>
          <w:rFonts w:hint="eastAsia" w:asciiTheme="minorEastAsia" w:hAnsiTheme="minorEastAsia" w:eastAsiaTheme="minorEastAsia"/>
          <w:color w:val="auto"/>
          <w:sz w:val="24"/>
          <w:szCs w:val="24"/>
        </w:rPr>
        <w:t>；城乡公交拟采用</w:t>
      </w:r>
      <w:r>
        <w:rPr>
          <w:rFonts w:asciiTheme="minorEastAsia" w:hAnsiTheme="minorEastAsia" w:eastAsiaTheme="minorEastAsia"/>
          <w:color w:val="auto"/>
          <w:sz w:val="24"/>
          <w:szCs w:val="24"/>
        </w:rPr>
        <w:t>分段收费</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分段收费每车需另配备1名售票员</w:t>
      </w:r>
      <w:r>
        <w:rPr>
          <w:rFonts w:hint="eastAsia"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根据上述数据对基准年度单车人员工资及工资性支出估算如下：</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7.11 人员工资测算表</w:t>
      </w:r>
    </w:p>
    <w:tbl>
      <w:tblPr>
        <w:tblStyle w:val="23"/>
        <w:tblW w:w="829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418"/>
        <w:gridCol w:w="1681"/>
        <w:gridCol w:w="1984"/>
        <w:gridCol w:w="156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647"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类别</w:t>
            </w:r>
          </w:p>
        </w:tc>
        <w:tc>
          <w:tcPr>
            <w:tcW w:w="1418"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人车比</w:t>
            </w:r>
          </w:p>
        </w:tc>
        <w:tc>
          <w:tcPr>
            <w:tcW w:w="1681" w:type="dxa"/>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人均</w:t>
            </w:r>
            <w:r>
              <w:rPr>
                <w:rFonts w:hint="eastAsia" w:cs="Arial" w:asciiTheme="minorEastAsia" w:hAnsiTheme="minorEastAsia" w:eastAsiaTheme="minorEastAsia"/>
                <w:color w:val="auto"/>
                <w:kern w:val="0"/>
                <w:sz w:val="22"/>
                <w:szCs w:val="22"/>
              </w:rPr>
              <w:t>薪酬</w:t>
            </w:r>
            <w:r>
              <w:rPr>
                <w:rFonts w:cs="Arial" w:asciiTheme="minorEastAsia" w:hAnsiTheme="minorEastAsia" w:eastAsiaTheme="minorEastAsia"/>
                <w:color w:val="auto"/>
                <w:kern w:val="0"/>
                <w:sz w:val="22"/>
                <w:szCs w:val="22"/>
              </w:rPr>
              <w:t>标准（元/月·人）</w:t>
            </w:r>
          </w:p>
        </w:tc>
        <w:tc>
          <w:tcPr>
            <w:tcW w:w="1984" w:type="dxa"/>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单车人员</w:t>
            </w:r>
            <w:r>
              <w:rPr>
                <w:rFonts w:hint="eastAsia" w:cs="Arial" w:asciiTheme="minorEastAsia" w:hAnsiTheme="minorEastAsia" w:eastAsiaTheme="minorEastAsia"/>
                <w:color w:val="auto"/>
                <w:kern w:val="0"/>
                <w:sz w:val="22"/>
                <w:szCs w:val="22"/>
              </w:rPr>
              <w:t>薪酬</w:t>
            </w:r>
            <w:r>
              <w:rPr>
                <w:rFonts w:cs="Arial" w:asciiTheme="minorEastAsia" w:hAnsiTheme="minorEastAsia" w:eastAsiaTheme="minorEastAsia"/>
                <w:color w:val="auto"/>
                <w:kern w:val="0"/>
                <w:sz w:val="22"/>
                <w:szCs w:val="22"/>
              </w:rPr>
              <w:t>成本（万元/年·车）</w:t>
            </w:r>
          </w:p>
        </w:tc>
        <w:tc>
          <w:tcPr>
            <w:tcW w:w="1566" w:type="dxa"/>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职工薪酬合计（万元）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647"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城区公交</w:t>
            </w:r>
          </w:p>
        </w:tc>
        <w:tc>
          <w:tcPr>
            <w:tcW w:w="1418" w:type="dxa"/>
            <w:shd w:val="clear" w:color="auto" w:fill="auto"/>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1.48</w:t>
            </w:r>
          </w:p>
        </w:tc>
        <w:tc>
          <w:tcPr>
            <w:tcW w:w="1681" w:type="dxa"/>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5,500.00</w:t>
            </w:r>
          </w:p>
        </w:tc>
        <w:tc>
          <w:tcPr>
            <w:tcW w:w="1984" w:type="dxa"/>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9.77 </w:t>
            </w:r>
          </w:p>
        </w:tc>
        <w:tc>
          <w:tcPr>
            <w:tcW w:w="1566" w:type="dxa"/>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937.73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647"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城乡公交</w:t>
            </w:r>
          </w:p>
        </w:tc>
        <w:tc>
          <w:tcPr>
            <w:tcW w:w="1418" w:type="dxa"/>
            <w:shd w:val="clear" w:color="auto" w:fill="auto"/>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2.28</w:t>
            </w:r>
          </w:p>
        </w:tc>
        <w:tc>
          <w:tcPr>
            <w:tcW w:w="1681" w:type="dxa"/>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4,490.00</w:t>
            </w:r>
          </w:p>
        </w:tc>
        <w:tc>
          <w:tcPr>
            <w:tcW w:w="1984" w:type="dxa"/>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12.28 </w:t>
            </w:r>
          </w:p>
        </w:tc>
        <w:tc>
          <w:tcPr>
            <w:tcW w:w="1566" w:type="dxa"/>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835.36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647"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合计</w:t>
            </w:r>
          </w:p>
        </w:tc>
        <w:tc>
          <w:tcPr>
            <w:tcW w:w="1418" w:type="dxa"/>
            <w:shd w:val="clear" w:color="auto" w:fill="auto"/>
            <w:vAlign w:val="center"/>
          </w:tcPr>
          <w:p>
            <w:pPr>
              <w:spacing w:line="360" w:lineRule="auto"/>
              <w:jc w:val="center"/>
              <w:rPr>
                <w:rFonts w:cs="Arial" w:asciiTheme="minorEastAsia" w:hAnsiTheme="minorEastAsia" w:eastAsiaTheme="minorEastAsia"/>
                <w:color w:val="auto"/>
                <w:sz w:val="22"/>
                <w:szCs w:val="22"/>
              </w:rPr>
            </w:pPr>
          </w:p>
        </w:tc>
        <w:tc>
          <w:tcPr>
            <w:tcW w:w="1681" w:type="dxa"/>
            <w:vAlign w:val="center"/>
          </w:tcPr>
          <w:p>
            <w:pPr>
              <w:spacing w:line="360" w:lineRule="auto"/>
              <w:jc w:val="center"/>
              <w:rPr>
                <w:rFonts w:cs="Arial" w:asciiTheme="minorEastAsia" w:hAnsiTheme="minorEastAsia" w:eastAsiaTheme="minorEastAsia"/>
                <w:color w:val="auto"/>
                <w:sz w:val="22"/>
                <w:szCs w:val="22"/>
              </w:rPr>
            </w:pPr>
          </w:p>
        </w:tc>
        <w:tc>
          <w:tcPr>
            <w:tcW w:w="1984" w:type="dxa"/>
            <w:vAlign w:val="center"/>
          </w:tcPr>
          <w:p>
            <w:pPr>
              <w:spacing w:line="360" w:lineRule="auto"/>
              <w:jc w:val="center"/>
              <w:rPr>
                <w:rFonts w:cs="Arial" w:asciiTheme="minorEastAsia" w:hAnsiTheme="minorEastAsia" w:eastAsiaTheme="minorEastAsia"/>
                <w:color w:val="auto"/>
                <w:sz w:val="22"/>
                <w:szCs w:val="22"/>
              </w:rPr>
            </w:pPr>
          </w:p>
        </w:tc>
        <w:tc>
          <w:tcPr>
            <w:tcW w:w="1566" w:type="dxa"/>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1,773.08</w:t>
            </w:r>
          </w:p>
        </w:tc>
      </w:tr>
    </w:tbl>
    <w:p>
      <w:pPr>
        <w:pStyle w:val="48"/>
        <w:spacing w:beforeLines="50"/>
        <w:rPr>
          <w:rFonts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②</w:t>
      </w:r>
      <w:r>
        <w:rPr>
          <w:rFonts w:hint="eastAsia" w:asciiTheme="minorEastAsia" w:hAnsiTheme="minorEastAsia" w:eastAsiaTheme="minorEastAsia"/>
          <w:color w:val="auto"/>
          <w:sz w:val="24"/>
          <w:szCs w:val="24"/>
        </w:rPr>
        <w:t>燃料</w:t>
      </w:r>
      <w:r>
        <w:rPr>
          <w:rFonts w:asciiTheme="minorEastAsia" w:hAnsiTheme="minorEastAsia" w:eastAsiaTheme="minorEastAsia"/>
          <w:color w:val="auto"/>
          <w:sz w:val="24"/>
          <w:szCs w:val="24"/>
        </w:rPr>
        <w:t>(电力)消耗费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企业提供公共汽电车运营服务所支出的燃料和电力消耗费应按照线路、车型进行分类统计。</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燃料消耗费指用于公交运营的燃料消耗费。公式如下：</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燃料消耗费</w:t>
      </w:r>
      <w:r>
        <w:rPr>
          <w:rFonts w:asciiTheme="minorEastAsia" w:hAnsiTheme="minorEastAsia" w:eastAsiaTheme="minorEastAsia"/>
          <w:color w:val="auto"/>
          <w:sz w:val="24"/>
          <w:szCs w:val="24"/>
        </w:rPr>
        <w:t>=车辆行驶里程（百公里）×车型消耗量定额（即电耗，单位（kWh/100km））×年平均燃料单价。</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根据城市公交、城乡公交具有的线路长度及配置从车型估算基准年度单车燃料</w:t>
      </w:r>
      <w:r>
        <w:rPr>
          <w:rFonts w:asciiTheme="minorEastAsia" w:hAnsiTheme="minorEastAsia" w:eastAsiaTheme="minorEastAsia"/>
          <w:color w:val="auto"/>
          <w:sz w:val="24"/>
          <w:szCs w:val="24"/>
        </w:rPr>
        <w:t>(电力)消耗费，本次估算电耗按65kWh/100km计算</w:t>
      </w:r>
      <w:r>
        <w:rPr>
          <w:rFonts w:hint="eastAsia" w:asciiTheme="minorEastAsia" w:hAnsiTheme="minorEastAsia" w:eastAsiaTheme="minorEastAsia"/>
          <w:color w:val="auto"/>
          <w:sz w:val="24"/>
          <w:szCs w:val="24"/>
        </w:rPr>
        <w:t>，具体测算见附件</w:t>
      </w:r>
      <w:r>
        <w:rPr>
          <w:rFonts w:asciiTheme="minorEastAsia" w:hAnsiTheme="minorEastAsia" w:eastAsiaTheme="minorEastAsia"/>
          <w:color w:val="auto"/>
          <w:sz w:val="24"/>
          <w:szCs w:val="24"/>
        </w:rPr>
        <w:t>2</w:t>
      </w:r>
      <w:r>
        <w:rPr>
          <w:rFonts w:hint="eastAsia" w:asciiTheme="minorEastAsia" w:hAnsiTheme="minorEastAsia" w:eastAsiaTheme="minorEastAsia"/>
          <w:color w:val="auto"/>
          <w:sz w:val="24"/>
          <w:szCs w:val="24"/>
        </w:rPr>
        <w:t>，测算结果汇总如下：</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7.12 基准年度燃料消耗费测算表</w:t>
      </w:r>
    </w:p>
    <w:tbl>
      <w:tblPr>
        <w:tblStyle w:val="23"/>
        <w:tblW w:w="8621"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209"/>
        <w:gridCol w:w="1831"/>
        <w:gridCol w:w="192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266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类别</w:t>
            </w:r>
          </w:p>
        </w:tc>
        <w:tc>
          <w:tcPr>
            <w:tcW w:w="2209"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燃料</w:t>
            </w:r>
            <w:r>
              <w:rPr>
                <w:rFonts w:cs="Arial" w:asciiTheme="minorEastAsia" w:hAnsiTheme="minorEastAsia" w:eastAsiaTheme="minorEastAsia"/>
                <w:color w:val="auto"/>
                <w:kern w:val="0"/>
                <w:sz w:val="22"/>
              </w:rPr>
              <w:t>(</w:t>
            </w:r>
            <w:r>
              <w:rPr>
                <w:rFonts w:hint="eastAsia" w:cs="宋体" w:asciiTheme="minorEastAsia" w:hAnsiTheme="minorEastAsia" w:eastAsiaTheme="minorEastAsia"/>
                <w:color w:val="auto"/>
                <w:kern w:val="0"/>
                <w:sz w:val="22"/>
              </w:rPr>
              <w:t>电力</w:t>
            </w:r>
            <w:r>
              <w:rPr>
                <w:rFonts w:cs="Arial" w:asciiTheme="minorEastAsia" w:hAnsiTheme="minorEastAsia" w:eastAsiaTheme="minorEastAsia"/>
                <w:color w:val="auto"/>
                <w:kern w:val="0"/>
                <w:sz w:val="22"/>
              </w:rPr>
              <w:t>)</w:t>
            </w:r>
            <w:r>
              <w:rPr>
                <w:rFonts w:hint="eastAsia" w:cs="宋体" w:asciiTheme="minorEastAsia" w:hAnsiTheme="minorEastAsia" w:eastAsiaTheme="minorEastAsia"/>
                <w:color w:val="auto"/>
                <w:kern w:val="0"/>
                <w:sz w:val="22"/>
              </w:rPr>
              <w:t>消耗费（万元</w:t>
            </w:r>
            <w:r>
              <w:rPr>
                <w:rFonts w:cs="Arial" w:asciiTheme="minorEastAsia" w:hAnsiTheme="minorEastAsia" w:eastAsiaTheme="minorEastAsia"/>
                <w:color w:val="auto"/>
                <w:kern w:val="0"/>
                <w:sz w:val="22"/>
              </w:rPr>
              <w:t>/</w:t>
            </w:r>
            <w:r>
              <w:rPr>
                <w:rFonts w:hint="eastAsia" w:cs="宋体" w:asciiTheme="minorEastAsia" w:hAnsiTheme="minorEastAsia" w:eastAsiaTheme="minorEastAsia"/>
                <w:color w:val="auto"/>
                <w:kern w:val="0"/>
                <w:sz w:val="22"/>
              </w:rPr>
              <w:t>年·车）</w:t>
            </w:r>
          </w:p>
        </w:tc>
        <w:tc>
          <w:tcPr>
            <w:tcW w:w="1831"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车辆数</w:t>
            </w:r>
          </w:p>
        </w:tc>
        <w:tc>
          <w:tcPr>
            <w:tcW w:w="1921"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燃料</w:t>
            </w:r>
            <w:r>
              <w:rPr>
                <w:rFonts w:cs="宋体" w:asciiTheme="minorEastAsia" w:hAnsiTheme="minorEastAsia" w:eastAsiaTheme="minorEastAsia"/>
                <w:color w:val="auto"/>
                <w:kern w:val="0"/>
                <w:sz w:val="22"/>
              </w:rPr>
              <w:t>(电力)消耗费（万元/年）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266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城区公交</w:t>
            </w:r>
          </w:p>
        </w:tc>
        <w:tc>
          <w:tcPr>
            <w:tcW w:w="2209"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6.30</w:t>
            </w:r>
          </w:p>
        </w:tc>
        <w:tc>
          <w:tcPr>
            <w:tcW w:w="183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102</w:t>
            </w:r>
          </w:p>
        </w:tc>
        <w:tc>
          <w:tcPr>
            <w:tcW w:w="192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 xml:space="preserve">642.33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266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城乡公交</w:t>
            </w:r>
          </w:p>
        </w:tc>
        <w:tc>
          <w:tcPr>
            <w:tcW w:w="2209"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5.69</w:t>
            </w:r>
          </w:p>
        </w:tc>
        <w:tc>
          <w:tcPr>
            <w:tcW w:w="183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73</w:t>
            </w:r>
          </w:p>
        </w:tc>
        <w:tc>
          <w:tcPr>
            <w:tcW w:w="1921"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rPr>
            </w:pPr>
            <w:r>
              <w:rPr>
                <w:rFonts w:cs="Arial" w:asciiTheme="minorEastAsia" w:hAnsiTheme="minorEastAsia" w:eastAsiaTheme="minorEastAsia"/>
                <w:color w:val="auto"/>
                <w:kern w:val="0"/>
                <w:sz w:val="22"/>
              </w:rPr>
              <w:t xml:space="preserve">415.20 </w:t>
            </w:r>
          </w:p>
        </w:tc>
      </w:tr>
    </w:tbl>
    <w:p>
      <w:pPr>
        <w:pStyle w:val="48"/>
        <w:ind w:firstLine="40"/>
        <w:rPr>
          <w:rFonts w:cs="Arial" w:asciiTheme="minorEastAsia" w:hAnsiTheme="minorEastAsia" w:eastAsiaTheme="minorEastAsia"/>
          <w:color w:val="auto"/>
          <w:sz w:val="2"/>
          <w:szCs w:val="2"/>
        </w:rPr>
      </w:pPr>
    </w:p>
    <w:p>
      <w:pPr>
        <w:pStyle w:val="48"/>
        <w:spacing w:beforeLines="50"/>
        <w:rPr>
          <w:rFonts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③</w:t>
      </w:r>
      <w:r>
        <w:rPr>
          <w:rFonts w:hint="eastAsia" w:asciiTheme="minorEastAsia" w:hAnsiTheme="minorEastAsia" w:eastAsiaTheme="minorEastAsia"/>
          <w:color w:val="auto"/>
          <w:sz w:val="24"/>
          <w:szCs w:val="24"/>
        </w:rPr>
        <w:t>固定资产折旧费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企业固定资产应按照平均年限法计提折旧，运营车辆及其他固定资产折旧年限根据当地有关规定确定。</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实行特许经营且特许经营期满后资产无偿移交的，固定资产折旧年限最高不应超过特许经营期。</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固定资产折旧费按照其使用用途分别计入相应的成本</w:t>
      </w:r>
      <w:r>
        <w:rPr>
          <w:rFonts w:asciiTheme="minorEastAsia" w:hAnsiTheme="minorEastAsia" w:eastAsiaTheme="minorEastAsia"/>
          <w:color w:val="auto"/>
          <w:sz w:val="24"/>
          <w:szCs w:val="24"/>
        </w:rPr>
        <w:t>项目。公交企业车辆折旧的计提要预留5%的残值。车辆处置</w:t>
      </w:r>
      <w:r>
        <w:rPr>
          <w:rFonts w:hint="eastAsia" w:asciiTheme="minorEastAsia" w:hAnsiTheme="minorEastAsia" w:eastAsiaTheme="minorEastAsia"/>
          <w:color w:val="auto"/>
          <w:sz w:val="24"/>
          <w:szCs w:val="24"/>
        </w:rPr>
        <w:t>时区分以下情况分别处理：因运营车辆已达到使用年限或超过使用年限处置而形成的损失可以计入其他运营费用，形成的收入应计入监审收入，未达到使用年限处置而形成的损失不计入监审成本，形成的收益应计入监审收入，其他固定资产项目参照执行。</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新购公交车均按</w:t>
      </w:r>
      <w:r>
        <w:rPr>
          <w:rFonts w:asciiTheme="minorEastAsia" w:hAnsiTheme="minorEastAsia" w:eastAsiaTheme="minorEastAsia"/>
          <w:color w:val="auto"/>
          <w:sz w:val="24"/>
          <w:szCs w:val="24"/>
        </w:rPr>
        <w:t>8年计算折旧，其他固定资产年限按照国家会计制度规定的最低年限计算。政府出资或补贴形成的固定资产折旧不计入补贴基数，不提折旧，已提折旧的应当扣除。</w:t>
      </w:r>
    </w:p>
    <w:p>
      <w:pPr>
        <w:pStyle w:val="48"/>
        <w:rPr>
          <w:rFonts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④</w:t>
      </w:r>
      <w:r>
        <w:rPr>
          <w:rFonts w:hint="eastAsia" w:asciiTheme="minorEastAsia" w:hAnsiTheme="minorEastAsia" w:eastAsiaTheme="minorEastAsia"/>
          <w:color w:val="auto"/>
          <w:sz w:val="24"/>
          <w:szCs w:val="24"/>
        </w:rPr>
        <w:t>保修费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车辆修理费是指运营车辆发生保养维修等费用支出，不包括其他与公交无关车辆的保养修理费，车辆修理费主要包括车辆零配件费和润滑费，不包括维修人员工资及福利费。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车辆修理费等于标准值乘以车辆运营里程，运营车辆修理费允许在运营车辆修理费标准值的</w:t>
      </w:r>
      <w:r>
        <w:rPr>
          <w:rFonts w:asciiTheme="minorEastAsia" w:hAnsiTheme="minorEastAsia" w:eastAsiaTheme="minorEastAsia"/>
          <w:color w:val="auto"/>
          <w:sz w:val="24"/>
          <w:szCs w:val="24"/>
        </w:rPr>
        <w:t>95%（下限）与105%（上限）之间浮动。起始年度修理费用标准值参考周边城市标准（如《三亚市人民政府办公室关于印发2015年三亚市公交成本规制补贴试运行实施方案的通知（三府办[2016]47号）（此件为准）》），并结合东方市基本情况综合</w:t>
      </w:r>
      <w:r>
        <w:rPr>
          <w:rFonts w:hint="eastAsia" w:asciiTheme="minorEastAsia" w:hAnsiTheme="minorEastAsia" w:eastAsiaTheme="minorEastAsia"/>
          <w:color w:val="auto"/>
          <w:sz w:val="24"/>
          <w:szCs w:val="24"/>
        </w:rPr>
        <w:t>确定中巴（</w:t>
      </w:r>
      <w:r>
        <w:rPr>
          <w:rFonts w:asciiTheme="minorEastAsia" w:hAnsiTheme="minorEastAsia" w:eastAsiaTheme="minorEastAsia"/>
          <w:color w:val="auto"/>
          <w:sz w:val="24"/>
          <w:szCs w:val="24"/>
        </w:rPr>
        <w:t>7至8</w:t>
      </w:r>
      <w:r>
        <w:rPr>
          <w:rFonts w:hint="eastAsia" w:asciiTheme="minorEastAsia" w:hAnsiTheme="minorEastAsia" w:eastAsiaTheme="minorEastAsia"/>
          <w:color w:val="auto"/>
          <w:sz w:val="24"/>
          <w:szCs w:val="24"/>
        </w:rPr>
        <w:t>米级）的修理费用标准值为</w:t>
      </w:r>
      <w:r>
        <w:rPr>
          <w:rFonts w:asciiTheme="minorEastAsia" w:hAnsiTheme="minorEastAsia" w:eastAsiaTheme="minorEastAsia"/>
          <w:color w:val="auto"/>
          <w:sz w:val="24"/>
          <w:szCs w:val="24"/>
        </w:rPr>
        <w:t>200元/1000km。</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根据修理费用标准值及线路长度、发车班次等估算基准年度单车年修理费，</w:t>
      </w:r>
      <w:r>
        <w:rPr>
          <w:rFonts w:hint="eastAsia" w:cs="Microsoft Yi Baiti" w:asciiTheme="minorEastAsia" w:hAnsiTheme="minorEastAsia" w:eastAsiaTheme="minorEastAsia"/>
          <w:color w:val="auto"/>
          <w:sz w:val="24"/>
          <w:szCs w:val="24"/>
        </w:rPr>
        <w:t>具体测算见附</w:t>
      </w:r>
      <w:r>
        <w:rPr>
          <w:rFonts w:hint="eastAsia" w:asciiTheme="minorEastAsia" w:hAnsiTheme="minorEastAsia" w:eastAsiaTheme="minorEastAsia"/>
          <w:color w:val="auto"/>
          <w:sz w:val="24"/>
          <w:szCs w:val="24"/>
        </w:rPr>
        <w:t>件</w:t>
      </w:r>
      <w:r>
        <w:rPr>
          <w:rFonts w:asciiTheme="minorEastAsia" w:hAnsiTheme="minorEastAsia" w:eastAsiaTheme="minorEastAsia"/>
          <w:color w:val="auto"/>
          <w:sz w:val="24"/>
          <w:szCs w:val="24"/>
        </w:rPr>
        <w:t>3</w:t>
      </w:r>
      <w:r>
        <w:rPr>
          <w:rFonts w:hint="eastAsia" w:cs="Microsoft Yi Baiti" w:asciiTheme="minorEastAsia" w:hAnsiTheme="minorEastAsia" w:eastAsiaTheme="minorEastAsia"/>
          <w:color w:val="auto"/>
          <w:sz w:val="24"/>
          <w:szCs w:val="24"/>
        </w:rPr>
        <w:t>，汇总</w:t>
      </w:r>
      <w:r>
        <w:rPr>
          <w:rFonts w:hint="eastAsia" w:asciiTheme="minorEastAsia" w:hAnsiTheme="minorEastAsia" w:eastAsiaTheme="minorEastAsia"/>
          <w:color w:val="auto"/>
          <w:sz w:val="24"/>
          <w:szCs w:val="24"/>
        </w:rPr>
        <w:t>如下：</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 xml:space="preserve">7.13 </w:t>
      </w:r>
      <w:r>
        <w:rPr>
          <w:rFonts w:hint="eastAsia" w:asciiTheme="minorEastAsia" w:hAnsiTheme="minorEastAsia" w:eastAsiaTheme="minorEastAsia"/>
          <w:b/>
          <w:bCs/>
          <w:color w:val="auto"/>
          <w:szCs w:val="28"/>
        </w:rPr>
        <w:t>基准年度修理费用测算表</w:t>
      </w:r>
    </w:p>
    <w:tbl>
      <w:tblPr>
        <w:tblStyle w:val="23"/>
        <w:tblW w:w="8483"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1856"/>
        <w:gridCol w:w="2275"/>
        <w:gridCol w:w="231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2040"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项目</w:t>
            </w:r>
          </w:p>
        </w:tc>
        <w:tc>
          <w:tcPr>
            <w:tcW w:w="1856"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车辆数（辆）</w:t>
            </w:r>
          </w:p>
        </w:tc>
        <w:tc>
          <w:tcPr>
            <w:tcW w:w="2275"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修理费合计（万元</w:t>
            </w:r>
            <w:r>
              <w:rPr>
                <w:rFonts w:cs="宋体" w:asciiTheme="minorEastAsia" w:hAnsiTheme="minorEastAsia" w:eastAsiaTheme="minorEastAsia"/>
                <w:color w:val="auto"/>
                <w:kern w:val="0"/>
              </w:rPr>
              <w:t>/年）</w:t>
            </w:r>
          </w:p>
        </w:tc>
        <w:tc>
          <w:tcPr>
            <w:tcW w:w="2312"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平均单车年修理费（万元</w:t>
            </w:r>
            <w:r>
              <w:rPr>
                <w:rFonts w:cs="宋体" w:asciiTheme="minorEastAsia" w:hAnsiTheme="minorEastAsia" w:eastAsiaTheme="minorEastAsia"/>
                <w:color w:val="auto"/>
                <w:kern w:val="0"/>
              </w:rPr>
              <w:t>/车·年）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2040"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城市公交</w:t>
            </w:r>
          </w:p>
        </w:tc>
        <w:tc>
          <w:tcPr>
            <w:tcW w:w="1856" w:type="dxa"/>
            <w:shd w:val="clear" w:color="auto" w:fill="auto"/>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102</w:t>
            </w:r>
          </w:p>
        </w:tc>
        <w:tc>
          <w:tcPr>
            <w:tcW w:w="2275" w:type="dxa"/>
            <w:shd w:val="clear" w:color="auto" w:fill="auto"/>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197.64 </w:t>
            </w:r>
          </w:p>
        </w:tc>
        <w:tc>
          <w:tcPr>
            <w:tcW w:w="2312" w:type="dxa"/>
            <w:shd w:val="clear" w:color="auto" w:fill="auto"/>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 1.94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40"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城乡公交</w:t>
            </w:r>
          </w:p>
        </w:tc>
        <w:tc>
          <w:tcPr>
            <w:tcW w:w="1856" w:type="dxa"/>
            <w:shd w:val="clear" w:color="auto" w:fill="auto"/>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73</w:t>
            </w:r>
          </w:p>
        </w:tc>
        <w:tc>
          <w:tcPr>
            <w:tcW w:w="2275" w:type="dxa"/>
            <w:shd w:val="clear" w:color="auto" w:fill="auto"/>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127.75 </w:t>
            </w:r>
          </w:p>
        </w:tc>
        <w:tc>
          <w:tcPr>
            <w:tcW w:w="2312" w:type="dxa"/>
            <w:shd w:val="clear" w:color="auto" w:fill="auto"/>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 1.75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40" w:type="dxa"/>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合计</w:t>
            </w:r>
          </w:p>
        </w:tc>
        <w:tc>
          <w:tcPr>
            <w:tcW w:w="1856" w:type="dxa"/>
            <w:shd w:val="clear" w:color="auto" w:fill="auto"/>
            <w:vAlign w:val="center"/>
          </w:tcPr>
          <w:p>
            <w:pPr>
              <w:spacing w:line="360" w:lineRule="auto"/>
              <w:jc w:val="center"/>
              <w:rPr>
                <w:rFonts w:cs="Arial" w:asciiTheme="minorEastAsia" w:hAnsiTheme="minorEastAsia" w:eastAsiaTheme="minorEastAsia"/>
                <w:color w:val="auto"/>
                <w:sz w:val="22"/>
                <w:szCs w:val="22"/>
              </w:rPr>
            </w:pPr>
          </w:p>
        </w:tc>
        <w:tc>
          <w:tcPr>
            <w:tcW w:w="2275" w:type="dxa"/>
            <w:shd w:val="clear" w:color="auto" w:fill="auto"/>
            <w:vAlign w:val="center"/>
          </w:tcPr>
          <w:p>
            <w:pPr>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325.39</w:t>
            </w:r>
          </w:p>
        </w:tc>
        <w:tc>
          <w:tcPr>
            <w:tcW w:w="2312" w:type="dxa"/>
            <w:shd w:val="clear" w:color="auto" w:fill="auto"/>
            <w:vAlign w:val="center"/>
          </w:tcPr>
          <w:p>
            <w:pPr>
              <w:spacing w:line="360" w:lineRule="auto"/>
              <w:jc w:val="center"/>
              <w:rPr>
                <w:rFonts w:cs="Arial" w:asciiTheme="minorEastAsia" w:hAnsiTheme="minorEastAsia" w:eastAsiaTheme="minorEastAsia"/>
                <w:color w:val="auto"/>
                <w:sz w:val="22"/>
                <w:szCs w:val="22"/>
              </w:rPr>
            </w:pPr>
          </w:p>
        </w:tc>
      </w:tr>
    </w:tbl>
    <w:p>
      <w:pPr>
        <w:pStyle w:val="48"/>
        <w:spacing w:beforeLines="50"/>
        <w:rPr>
          <w:rFonts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⑤</w:t>
      </w:r>
      <w:r>
        <w:rPr>
          <w:rFonts w:hint="eastAsia" w:asciiTheme="minorEastAsia" w:hAnsiTheme="minorEastAsia" w:eastAsiaTheme="minorEastAsia"/>
          <w:color w:val="auto"/>
          <w:sz w:val="24"/>
          <w:szCs w:val="24"/>
        </w:rPr>
        <w:t>轮胎消耗费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轮胎消耗费是指为公交运营所发生的轮胎消耗费。轮胎消耗费用等于标准千公里轮胎消耗值乘以车辆运营总里程。起始年度轮胎消耗费用标准值参考周边城市标准（如《三亚市人民政府办公室关于印发</w:t>
      </w:r>
      <w:r>
        <w:rPr>
          <w:rFonts w:asciiTheme="minorEastAsia" w:hAnsiTheme="minorEastAsia" w:eastAsiaTheme="minorEastAsia"/>
          <w:color w:val="auto"/>
          <w:sz w:val="24"/>
          <w:szCs w:val="24"/>
        </w:rPr>
        <w:t>2015年三亚市公交成本规制补贴试运行实施方案的通知（三府办[2016]47号）（此件为准）》），并结合东方市基本情况综合</w:t>
      </w:r>
      <w:r>
        <w:rPr>
          <w:rFonts w:hint="eastAsia" w:asciiTheme="minorEastAsia" w:hAnsiTheme="minorEastAsia" w:eastAsiaTheme="minorEastAsia"/>
          <w:color w:val="auto"/>
          <w:sz w:val="24"/>
          <w:szCs w:val="24"/>
        </w:rPr>
        <w:t>确定中巴（</w:t>
      </w:r>
      <w:r>
        <w:rPr>
          <w:rFonts w:asciiTheme="minorEastAsia" w:hAnsiTheme="minorEastAsia" w:eastAsiaTheme="minorEastAsia"/>
          <w:color w:val="auto"/>
          <w:sz w:val="24"/>
          <w:szCs w:val="24"/>
        </w:rPr>
        <w:t>7至8米级）的轮胎消耗费用标准值为50元/1000km。</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根据轮胎消耗费用标准值及线路长度、发车班次等估算基准年度单车年轮胎消耗费，</w:t>
      </w:r>
      <w:r>
        <w:rPr>
          <w:rFonts w:hint="eastAsia" w:cs="Microsoft Yi Baiti" w:asciiTheme="minorEastAsia" w:hAnsiTheme="minorEastAsia" w:eastAsiaTheme="minorEastAsia"/>
          <w:color w:val="auto"/>
          <w:sz w:val="24"/>
          <w:szCs w:val="24"/>
        </w:rPr>
        <w:t>具体测算见附</w:t>
      </w:r>
      <w:r>
        <w:rPr>
          <w:rFonts w:hint="eastAsia" w:asciiTheme="minorEastAsia" w:hAnsiTheme="minorEastAsia" w:eastAsiaTheme="minorEastAsia"/>
          <w:color w:val="auto"/>
          <w:sz w:val="24"/>
          <w:szCs w:val="24"/>
        </w:rPr>
        <w:t>件</w:t>
      </w:r>
      <w:r>
        <w:rPr>
          <w:rFonts w:asciiTheme="minorEastAsia" w:hAnsiTheme="minorEastAsia" w:eastAsiaTheme="minorEastAsia"/>
          <w:color w:val="auto"/>
          <w:sz w:val="24"/>
          <w:szCs w:val="24"/>
        </w:rPr>
        <w:t>3</w:t>
      </w:r>
      <w:r>
        <w:rPr>
          <w:rFonts w:hint="eastAsia" w:cs="Microsoft Yi Baiti" w:asciiTheme="minorEastAsia" w:hAnsiTheme="minorEastAsia" w:eastAsiaTheme="minorEastAsia"/>
          <w:color w:val="auto"/>
          <w:sz w:val="24"/>
          <w:szCs w:val="24"/>
        </w:rPr>
        <w:t>，汇总</w:t>
      </w:r>
      <w:r>
        <w:rPr>
          <w:rFonts w:hint="eastAsia" w:asciiTheme="minorEastAsia" w:hAnsiTheme="minorEastAsia" w:eastAsiaTheme="minorEastAsia"/>
          <w:color w:val="auto"/>
          <w:sz w:val="24"/>
          <w:szCs w:val="24"/>
        </w:rPr>
        <w:t>如下：</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 xml:space="preserve">7.14 </w:t>
      </w:r>
      <w:r>
        <w:rPr>
          <w:rFonts w:hint="eastAsia" w:asciiTheme="minorEastAsia" w:hAnsiTheme="minorEastAsia" w:eastAsiaTheme="minorEastAsia"/>
          <w:b/>
          <w:bCs/>
          <w:color w:val="auto"/>
          <w:szCs w:val="28"/>
        </w:rPr>
        <w:t>基准年度轮胎消耗费用测算表</w:t>
      </w:r>
    </w:p>
    <w:tbl>
      <w:tblPr>
        <w:tblStyle w:val="23"/>
        <w:tblW w:w="9242"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859"/>
        <w:gridCol w:w="2747"/>
        <w:gridCol w:w="264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1993" w:type="dxa"/>
            <w:shd w:val="clear" w:color="auto" w:fill="auto"/>
            <w:vAlign w:val="center"/>
          </w:tcPr>
          <w:p>
            <w:pPr>
              <w:widowControl/>
              <w:spacing w:line="360" w:lineRule="auto"/>
              <w:ind w:firstLine="440"/>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项目</w:t>
            </w:r>
          </w:p>
        </w:tc>
        <w:tc>
          <w:tcPr>
            <w:tcW w:w="1859"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车辆数（辆）</w:t>
            </w:r>
          </w:p>
        </w:tc>
        <w:tc>
          <w:tcPr>
            <w:tcW w:w="2747"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轮胎消耗费合计（万元</w:t>
            </w:r>
            <w:r>
              <w:rPr>
                <w:rFonts w:cs="宋体" w:asciiTheme="minorEastAsia" w:hAnsiTheme="minorEastAsia" w:eastAsiaTheme="minorEastAsia"/>
                <w:color w:val="auto"/>
                <w:kern w:val="0"/>
                <w:sz w:val="22"/>
                <w:szCs w:val="22"/>
              </w:rPr>
              <w:t>/年）</w:t>
            </w:r>
          </w:p>
        </w:tc>
        <w:tc>
          <w:tcPr>
            <w:tcW w:w="264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平均单车年轮胎消耗费（万元</w:t>
            </w:r>
            <w:r>
              <w:rPr>
                <w:rFonts w:cs="宋体" w:asciiTheme="minorEastAsia" w:hAnsiTheme="minorEastAsia" w:eastAsiaTheme="minorEastAsia"/>
                <w:color w:val="auto"/>
                <w:kern w:val="0"/>
                <w:sz w:val="22"/>
                <w:szCs w:val="22"/>
              </w:rPr>
              <w:t>/车·年）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99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城市公交</w:t>
            </w:r>
          </w:p>
        </w:tc>
        <w:tc>
          <w:tcPr>
            <w:tcW w:w="1859"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102</w:t>
            </w:r>
          </w:p>
        </w:tc>
        <w:tc>
          <w:tcPr>
            <w:tcW w:w="2747"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49.41</w:t>
            </w:r>
          </w:p>
        </w:tc>
        <w:tc>
          <w:tcPr>
            <w:tcW w:w="264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0.48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99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城乡公交</w:t>
            </w:r>
          </w:p>
        </w:tc>
        <w:tc>
          <w:tcPr>
            <w:tcW w:w="1859"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73</w:t>
            </w:r>
          </w:p>
        </w:tc>
        <w:tc>
          <w:tcPr>
            <w:tcW w:w="2747"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31.94</w:t>
            </w:r>
          </w:p>
        </w:tc>
        <w:tc>
          <w:tcPr>
            <w:tcW w:w="264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0.44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99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合计</w:t>
            </w:r>
          </w:p>
        </w:tc>
        <w:tc>
          <w:tcPr>
            <w:tcW w:w="1859"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175</w:t>
            </w:r>
          </w:p>
        </w:tc>
        <w:tc>
          <w:tcPr>
            <w:tcW w:w="2747"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81.35</w:t>
            </w:r>
          </w:p>
        </w:tc>
        <w:tc>
          <w:tcPr>
            <w:tcW w:w="264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0.46</w:t>
            </w:r>
          </w:p>
        </w:tc>
      </w:tr>
    </w:tbl>
    <w:p>
      <w:pPr>
        <w:pStyle w:val="48"/>
        <w:spacing w:beforeLines="50"/>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⑥保险事故损失费及安全费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车辆保险费是指按照国家规定和行业部门规定缴纳的交强险、第三方责任险、车损险等，可根据上一年度的实际支出测算，本次基准年度按照每年每辆车</w:t>
      </w:r>
      <w:r>
        <w:rPr>
          <w:rFonts w:asciiTheme="minorEastAsia" w:hAnsiTheme="minorEastAsia" w:eastAsiaTheme="minorEastAsia"/>
          <w:color w:val="auto"/>
          <w:sz w:val="24"/>
          <w:szCs w:val="24"/>
        </w:rPr>
        <w:t>18,000元估算。</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事故损失应考虑同类成本的历年水平和行业平均水平，通过对责任事故率的考核指标测算并核定事故损失费。在未设定考核指标的情况下，此次基准年度事故损失费按照营业收入的</w:t>
      </w:r>
      <w:r>
        <w:rPr>
          <w:rFonts w:asciiTheme="minorEastAsia" w:hAnsiTheme="minorEastAsia" w:eastAsiaTheme="minorEastAsia"/>
          <w:color w:val="auto"/>
          <w:sz w:val="24"/>
          <w:szCs w:val="24"/>
        </w:rPr>
        <w:t>2‰估算。</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安全费应按照有关规定确定计提比例，本次按照营业收入的</w:t>
      </w:r>
      <w:r>
        <w:rPr>
          <w:rFonts w:asciiTheme="minorEastAsia" w:hAnsiTheme="minorEastAsia" w:eastAsiaTheme="minorEastAsia"/>
          <w:color w:val="auto"/>
          <w:sz w:val="24"/>
          <w:szCs w:val="24"/>
        </w:rPr>
        <w:t>2‰估算。</w:t>
      </w:r>
    </w:p>
    <w:p>
      <w:pPr>
        <w:pStyle w:val="48"/>
        <w:rPr>
          <w:rFonts w:asciiTheme="minorEastAsia" w:hAnsiTheme="minorEastAsia" w:eastAsiaTheme="minorEastAsia"/>
          <w:color w:val="auto"/>
          <w:sz w:val="24"/>
          <w:szCs w:val="24"/>
        </w:rPr>
      </w:pPr>
      <w:r>
        <w:rPr>
          <w:rFonts w:hint="eastAsia" w:cs="Arial" w:asciiTheme="minorEastAsia" w:hAnsiTheme="minorEastAsia" w:eastAsiaTheme="minorEastAsia"/>
          <w:color w:val="auto"/>
          <w:sz w:val="24"/>
          <w:szCs w:val="24"/>
        </w:rPr>
        <w:t>⑦</w:t>
      </w:r>
      <w:r>
        <w:rPr>
          <w:rFonts w:hint="eastAsia" w:asciiTheme="minorEastAsia" w:hAnsiTheme="minorEastAsia" w:eastAsiaTheme="minorEastAsia"/>
          <w:color w:val="auto"/>
          <w:sz w:val="24"/>
          <w:szCs w:val="24"/>
        </w:rPr>
        <w:t>其他直接运营费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其他直接运营费根据车辆行驶里程按照标准值进行测算，标准值取值为</w:t>
      </w:r>
      <w:r>
        <w:rPr>
          <w:rFonts w:asciiTheme="minorEastAsia" w:hAnsiTheme="minorEastAsia" w:eastAsiaTheme="minorEastAsia"/>
          <w:color w:val="auto"/>
          <w:sz w:val="24"/>
          <w:szCs w:val="24"/>
        </w:rPr>
        <w:t>150元/千公里。</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根据线路长度、发车班次等估算基准年度</w:t>
      </w:r>
      <w:r>
        <w:rPr>
          <w:rFonts w:asciiTheme="minorEastAsia" w:hAnsiTheme="minorEastAsia" w:eastAsiaTheme="minorEastAsia"/>
          <w:color w:val="auto"/>
          <w:sz w:val="24"/>
          <w:szCs w:val="24"/>
        </w:rPr>
        <w:t>其他直接运营费</w:t>
      </w:r>
      <w:r>
        <w:rPr>
          <w:rFonts w:hint="eastAsia" w:cs="Microsoft Yi Baiti" w:asciiTheme="minorEastAsia" w:hAnsiTheme="minorEastAsia" w:eastAsiaTheme="minorEastAsia"/>
          <w:color w:val="auto"/>
          <w:sz w:val="24"/>
          <w:szCs w:val="24"/>
        </w:rPr>
        <w:t>，汇总取值</w:t>
      </w:r>
      <w:r>
        <w:rPr>
          <w:rFonts w:hint="eastAsia" w:asciiTheme="minorEastAsia" w:hAnsiTheme="minorEastAsia" w:eastAsiaTheme="minorEastAsia"/>
          <w:color w:val="auto"/>
          <w:sz w:val="24"/>
          <w:szCs w:val="24"/>
        </w:rPr>
        <w:t>如下：</w:t>
      </w:r>
    </w:p>
    <w:p>
      <w:pPr>
        <w:keepLines/>
        <w:spacing w:line="360" w:lineRule="auto"/>
        <w:jc w:val="center"/>
        <w:textAlignment w:val="center"/>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表</w:t>
      </w:r>
      <w:r>
        <w:rPr>
          <w:rFonts w:asciiTheme="minorEastAsia" w:hAnsiTheme="minorEastAsia" w:eastAsiaTheme="minorEastAsia"/>
          <w:b/>
          <w:bCs/>
          <w:color w:val="auto"/>
          <w:sz w:val="24"/>
        </w:rPr>
        <w:t xml:space="preserve">7.15 </w:t>
      </w:r>
      <w:r>
        <w:rPr>
          <w:rFonts w:hint="eastAsia" w:asciiTheme="minorEastAsia" w:hAnsiTheme="minorEastAsia" w:eastAsiaTheme="minorEastAsia"/>
          <w:b/>
          <w:bCs/>
          <w:color w:val="auto"/>
          <w:sz w:val="24"/>
        </w:rPr>
        <w:t>其他运营费测算表</w:t>
      </w:r>
    </w:p>
    <w:tbl>
      <w:tblPr>
        <w:tblStyle w:val="23"/>
        <w:tblW w:w="9242" w:type="dxa"/>
        <w:jc w:val="center"/>
        <w:tblInd w:w="0"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3662"/>
        <w:gridCol w:w="2981"/>
      </w:tblGrid>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599" w:type="dxa"/>
            <w:vMerge w:val="restart"/>
            <w:shd w:val="clear" w:color="auto" w:fill="auto"/>
            <w:vAlign w:val="center"/>
          </w:tcPr>
          <w:p>
            <w:pPr>
              <w:widowControl/>
              <w:spacing w:line="360" w:lineRule="auto"/>
              <w:ind w:firstLine="440"/>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项目</w:t>
            </w:r>
          </w:p>
        </w:tc>
        <w:tc>
          <w:tcPr>
            <w:tcW w:w="6643" w:type="dxa"/>
            <w:gridSpan w:val="2"/>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取值（元</w:t>
            </w:r>
            <w:r>
              <w:rPr>
                <w:rFonts w:cs="宋体" w:asciiTheme="minorEastAsia" w:hAnsiTheme="minorEastAsia" w:eastAsiaTheme="minorEastAsia"/>
                <w:color w:val="auto"/>
                <w:kern w:val="0"/>
                <w:sz w:val="24"/>
              </w:rPr>
              <w:t>/年·车）</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599" w:type="dxa"/>
            <w:vMerge w:val="continue"/>
            <w:vAlign w:val="center"/>
          </w:tcPr>
          <w:p>
            <w:pPr>
              <w:widowControl/>
              <w:spacing w:line="360" w:lineRule="auto"/>
              <w:jc w:val="left"/>
              <w:rPr>
                <w:rFonts w:cs="宋体" w:asciiTheme="minorEastAsia" w:hAnsiTheme="minorEastAsia" w:eastAsiaTheme="minorEastAsia"/>
                <w:color w:val="auto"/>
                <w:kern w:val="0"/>
                <w:sz w:val="24"/>
              </w:rPr>
            </w:pPr>
          </w:p>
        </w:tc>
        <w:tc>
          <w:tcPr>
            <w:tcW w:w="3662"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城市公交</w:t>
            </w:r>
          </w:p>
        </w:tc>
        <w:tc>
          <w:tcPr>
            <w:tcW w:w="2981"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城乡公交</w:t>
            </w:r>
          </w:p>
        </w:tc>
      </w:tr>
      <w:tr>
        <w:tblPrEx>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599"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其他运营费用</w:t>
            </w:r>
          </w:p>
        </w:tc>
        <w:tc>
          <w:tcPr>
            <w:tcW w:w="3662"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14,532.26</w:t>
            </w:r>
          </w:p>
        </w:tc>
        <w:tc>
          <w:tcPr>
            <w:tcW w:w="2981"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13,125.45</w:t>
            </w:r>
          </w:p>
        </w:tc>
      </w:tr>
    </w:tbl>
    <w:p>
      <w:pPr>
        <w:spacing w:line="360" w:lineRule="auto"/>
        <w:ind w:firstLine="480"/>
        <w:rPr>
          <w:rFonts w:asciiTheme="minorEastAsia" w:hAnsiTheme="minorEastAsia" w:eastAsiaTheme="minorEastAsia"/>
          <w:color w:val="auto"/>
          <w:sz w:val="24"/>
        </w:rPr>
      </w:pP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结合对人员工资及工资性支出、燃料</w:t>
      </w:r>
      <w:r>
        <w:rPr>
          <w:rFonts w:asciiTheme="minorEastAsia" w:hAnsiTheme="minorEastAsia" w:eastAsiaTheme="minorEastAsia"/>
          <w:color w:val="auto"/>
          <w:sz w:val="24"/>
          <w:szCs w:val="24"/>
        </w:rPr>
        <w:t>(电力)消耗费、固定资产折旧费、保修费、轮胎消耗费、保险与事故损失费、安全费、其他直接运营费等项目的分析测算，未来年度直接营业总成本估算如下：</w:t>
      </w:r>
    </w:p>
    <w:p>
      <w:pPr>
        <w:pStyle w:val="3"/>
        <w:spacing w:line="360" w:lineRule="auto"/>
        <w:ind w:firstLine="1706" w:firstLineChars="708"/>
        <w:rPr>
          <w:rFonts w:asciiTheme="minorEastAsia" w:hAnsiTheme="minorEastAsia" w:eastAsiaTheme="minorEastAsia"/>
          <w:bCs w:val="0"/>
          <w:color w:val="auto"/>
          <w:sz w:val="28"/>
          <w:szCs w:val="28"/>
        </w:rPr>
      </w:pPr>
      <w:r>
        <w:rPr>
          <w:rFonts w:asciiTheme="minorEastAsia" w:hAnsiTheme="minorEastAsia" w:eastAsiaTheme="minorEastAsia"/>
          <w:color w:val="auto"/>
          <w:sz w:val="24"/>
          <w:szCs w:val="24"/>
        </w:rPr>
        <w:br w:type="page"/>
      </w:r>
      <w:r>
        <w:rPr>
          <w:rFonts w:hint="eastAsia" w:asciiTheme="minorEastAsia" w:hAnsiTheme="minorEastAsia" w:eastAsiaTheme="minorEastAsia"/>
          <w:bCs w:val="0"/>
          <w:color w:val="auto"/>
          <w:sz w:val="28"/>
          <w:szCs w:val="28"/>
        </w:rPr>
        <w:t>表</w:t>
      </w:r>
      <w:r>
        <w:rPr>
          <w:rFonts w:asciiTheme="minorEastAsia" w:hAnsiTheme="minorEastAsia" w:eastAsiaTheme="minorEastAsia"/>
          <w:bCs w:val="0"/>
          <w:color w:val="auto"/>
          <w:sz w:val="28"/>
          <w:szCs w:val="28"/>
        </w:rPr>
        <w:t xml:space="preserve">7.16 </w:t>
      </w:r>
      <w:r>
        <w:rPr>
          <w:rFonts w:hint="eastAsia" w:asciiTheme="minorEastAsia" w:hAnsiTheme="minorEastAsia" w:eastAsiaTheme="minorEastAsia"/>
          <w:bCs w:val="0"/>
          <w:color w:val="auto"/>
          <w:sz w:val="28"/>
          <w:szCs w:val="28"/>
        </w:rPr>
        <w:t>特许经营期内直接运营成本</w:t>
      </w:r>
      <w:r>
        <w:rPr>
          <w:rFonts w:asciiTheme="minorEastAsia" w:hAnsiTheme="minorEastAsia" w:eastAsiaTheme="minorEastAsia"/>
          <w:bCs w:val="0"/>
          <w:color w:val="auto"/>
          <w:sz w:val="28"/>
          <w:szCs w:val="28"/>
        </w:rPr>
        <w:t>估算表</w:t>
      </w:r>
    </w:p>
    <w:p>
      <w:pPr>
        <w:keepLines/>
        <w:spacing w:line="360" w:lineRule="auto"/>
        <w:jc w:val="right"/>
        <w:textAlignment w:val="center"/>
        <w:rPr>
          <w:rFonts w:asciiTheme="minorEastAsia" w:hAnsiTheme="minorEastAsia" w:eastAsiaTheme="minorEastAsia"/>
          <w:bCs/>
          <w:color w:val="auto"/>
          <w:szCs w:val="28"/>
        </w:rPr>
      </w:pPr>
      <w:r>
        <w:rPr>
          <w:rFonts w:hint="eastAsia" w:asciiTheme="minorEastAsia" w:hAnsiTheme="minorEastAsia" w:eastAsiaTheme="minorEastAsia"/>
          <w:bCs/>
          <w:color w:val="auto"/>
          <w:szCs w:val="28"/>
        </w:rPr>
        <w:t>单位：万元</w:t>
      </w:r>
    </w:p>
    <w:tbl>
      <w:tblPr>
        <w:tblStyle w:val="23"/>
        <w:tblW w:w="10508" w:type="dxa"/>
        <w:jc w:val="center"/>
        <w:tblInd w:w="0" w:type="dxa"/>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
      <w:tblGrid>
        <w:gridCol w:w="1529"/>
        <w:gridCol w:w="1123"/>
        <w:gridCol w:w="1123"/>
        <w:gridCol w:w="1123"/>
        <w:gridCol w:w="1122"/>
        <w:gridCol w:w="1122"/>
        <w:gridCol w:w="1122"/>
        <w:gridCol w:w="1122"/>
        <w:gridCol w:w="1122"/>
      </w:tblGrid>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jc w:val="center"/>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
                <w:bCs/>
                <w:color w:val="auto"/>
                <w:kern w:val="0"/>
                <w:sz w:val="20"/>
                <w:szCs w:val="20"/>
              </w:rPr>
              <w:t>类别</w:t>
            </w:r>
          </w:p>
        </w:tc>
        <w:tc>
          <w:tcPr>
            <w:tcW w:w="1123"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2020</w:t>
            </w:r>
            <w:r>
              <w:rPr>
                <w:rFonts w:hint="eastAsia" w:cs="宋体" w:asciiTheme="minorEastAsia" w:hAnsiTheme="minorEastAsia" w:eastAsiaTheme="minorEastAsia"/>
                <w:b/>
                <w:color w:val="auto"/>
                <w:kern w:val="0"/>
                <w:sz w:val="20"/>
                <w:szCs w:val="20"/>
              </w:rPr>
              <w:t>年</w:t>
            </w:r>
          </w:p>
        </w:tc>
        <w:tc>
          <w:tcPr>
            <w:tcW w:w="1123"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2021</w:t>
            </w:r>
            <w:r>
              <w:rPr>
                <w:rFonts w:hint="eastAsia" w:cs="宋体" w:asciiTheme="minorEastAsia" w:hAnsiTheme="minorEastAsia" w:eastAsiaTheme="minorEastAsia"/>
                <w:b/>
                <w:color w:val="auto"/>
                <w:kern w:val="0"/>
                <w:sz w:val="20"/>
                <w:szCs w:val="20"/>
              </w:rPr>
              <w:t>年</w:t>
            </w:r>
          </w:p>
        </w:tc>
        <w:tc>
          <w:tcPr>
            <w:tcW w:w="1123"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2022</w:t>
            </w:r>
            <w:r>
              <w:rPr>
                <w:rFonts w:hint="eastAsia" w:cs="宋体" w:asciiTheme="minorEastAsia" w:hAnsiTheme="minorEastAsia" w:eastAsiaTheme="minorEastAsia"/>
                <w:b/>
                <w:color w:val="auto"/>
                <w:kern w:val="0"/>
                <w:sz w:val="20"/>
                <w:szCs w:val="20"/>
              </w:rPr>
              <w:t>年</w:t>
            </w:r>
          </w:p>
        </w:tc>
        <w:tc>
          <w:tcPr>
            <w:tcW w:w="1122"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2023</w:t>
            </w:r>
            <w:r>
              <w:rPr>
                <w:rFonts w:hint="eastAsia" w:cs="宋体" w:asciiTheme="minorEastAsia" w:hAnsiTheme="minorEastAsia" w:eastAsiaTheme="minorEastAsia"/>
                <w:b/>
                <w:color w:val="auto"/>
                <w:kern w:val="0"/>
                <w:sz w:val="20"/>
                <w:szCs w:val="20"/>
              </w:rPr>
              <w:t>年</w:t>
            </w:r>
          </w:p>
        </w:tc>
        <w:tc>
          <w:tcPr>
            <w:tcW w:w="1122"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2024</w:t>
            </w:r>
            <w:r>
              <w:rPr>
                <w:rFonts w:hint="eastAsia" w:cs="宋体" w:asciiTheme="minorEastAsia" w:hAnsiTheme="minorEastAsia" w:eastAsiaTheme="minorEastAsia"/>
                <w:b/>
                <w:color w:val="auto"/>
                <w:kern w:val="0"/>
                <w:sz w:val="20"/>
                <w:szCs w:val="20"/>
              </w:rPr>
              <w:t>年</w:t>
            </w:r>
          </w:p>
        </w:tc>
        <w:tc>
          <w:tcPr>
            <w:tcW w:w="1122"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2025</w:t>
            </w:r>
            <w:r>
              <w:rPr>
                <w:rFonts w:hint="eastAsia" w:cs="宋体" w:asciiTheme="minorEastAsia" w:hAnsiTheme="minorEastAsia" w:eastAsiaTheme="minorEastAsia"/>
                <w:b/>
                <w:color w:val="auto"/>
                <w:kern w:val="0"/>
                <w:sz w:val="20"/>
                <w:szCs w:val="20"/>
              </w:rPr>
              <w:t>年</w:t>
            </w:r>
          </w:p>
        </w:tc>
        <w:tc>
          <w:tcPr>
            <w:tcW w:w="1122"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2026</w:t>
            </w:r>
            <w:r>
              <w:rPr>
                <w:rFonts w:hint="eastAsia" w:cs="宋体" w:asciiTheme="minorEastAsia" w:hAnsiTheme="minorEastAsia" w:eastAsiaTheme="minorEastAsia"/>
                <w:b/>
                <w:color w:val="auto"/>
                <w:kern w:val="0"/>
                <w:sz w:val="20"/>
                <w:szCs w:val="20"/>
              </w:rPr>
              <w:t>年</w:t>
            </w:r>
          </w:p>
        </w:tc>
        <w:tc>
          <w:tcPr>
            <w:tcW w:w="1122"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2027</w:t>
            </w:r>
            <w:r>
              <w:rPr>
                <w:rFonts w:hint="eastAsia" w:cs="宋体" w:asciiTheme="minorEastAsia" w:hAnsiTheme="minorEastAsia" w:eastAsiaTheme="minorEastAsia"/>
                <w:b/>
                <w:color w:val="auto"/>
                <w:kern w:val="0"/>
                <w:sz w:val="20"/>
                <w:szCs w:val="20"/>
              </w:rPr>
              <w:t>年</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rPr>
                <w:rFonts w:cs="宋体" w:asciiTheme="minorEastAsia" w:hAnsiTheme="minorEastAsia" w:eastAsiaTheme="minorEastAsia"/>
                <w:bCs/>
                <w:color w:val="auto"/>
                <w:kern w:val="0"/>
                <w:sz w:val="20"/>
                <w:szCs w:val="20"/>
              </w:rPr>
            </w:pPr>
            <w:r>
              <w:rPr>
                <w:rFonts w:hint="eastAsia" w:cs="宋体" w:asciiTheme="minorEastAsia" w:hAnsiTheme="minorEastAsia" w:eastAsiaTheme="minorEastAsia"/>
                <w:bCs/>
                <w:color w:val="auto"/>
                <w:kern w:val="0"/>
                <w:sz w:val="20"/>
                <w:szCs w:val="20"/>
              </w:rPr>
              <w:t>人员工资及工资性支出</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1,893.11</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1,930.97</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1,969.60</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2,008.98</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2,049.16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2,090.15</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2,111.07</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2,132.16</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rPr>
                <w:rFonts w:cs="宋体" w:asciiTheme="minorEastAsia" w:hAnsiTheme="minorEastAsia" w:eastAsiaTheme="minorEastAsia"/>
                <w:bCs/>
                <w:color w:val="auto"/>
                <w:kern w:val="0"/>
                <w:sz w:val="20"/>
                <w:szCs w:val="20"/>
              </w:rPr>
            </w:pPr>
            <w:r>
              <w:rPr>
                <w:rFonts w:hint="eastAsia" w:cs="宋体" w:asciiTheme="minorEastAsia" w:hAnsiTheme="minorEastAsia" w:eastAsiaTheme="minorEastAsia"/>
                <w:bCs/>
                <w:color w:val="auto"/>
                <w:kern w:val="0"/>
                <w:sz w:val="20"/>
                <w:szCs w:val="20"/>
              </w:rPr>
              <w:t>燃料</w:t>
            </w:r>
            <w:r>
              <w:rPr>
                <w:rFonts w:cs="宋体" w:asciiTheme="minorEastAsia" w:hAnsiTheme="minorEastAsia" w:eastAsiaTheme="minorEastAsia"/>
                <w:bCs/>
                <w:color w:val="auto"/>
                <w:kern w:val="0"/>
                <w:sz w:val="20"/>
                <w:szCs w:val="20"/>
              </w:rPr>
              <w:t>/</w:t>
            </w:r>
            <w:r>
              <w:rPr>
                <w:rFonts w:hint="eastAsia" w:cs="宋体" w:asciiTheme="minorEastAsia" w:hAnsiTheme="minorEastAsia" w:eastAsiaTheme="minorEastAsia"/>
                <w:bCs/>
                <w:color w:val="auto"/>
                <w:kern w:val="0"/>
                <w:sz w:val="20"/>
                <w:szCs w:val="20"/>
              </w:rPr>
              <w:t>电力消耗费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1,057.53</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1,078.68</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1,100.25</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1,122.26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1,144.70</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1,167.60</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1,179.27</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1,191.06</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rPr>
                <w:rFonts w:cs="宋体" w:asciiTheme="minorEastAsia" w:hAnsiTheme="minorEastAsia" w:eastAsiaTheme="minorEastAsia"/>
                <w:bCs/>
                <w:color w:val="auto"/>
                <w:kern w:val="0"/>
                <w:sz w:val="20"/>
                <w:szCs w:val="20"/>
              </w:rPr>
            </w:pPr>
            <w:r>
              <w:rPr>
                <w:rFonts w:hint="eastAsia" w:cs="宋体" w:asciiTheme="minorEastAsia" w:hAnsiTheme="minorEastAsia" w:eastAsiaTheme="minorEastAsia"/>
                <w:bCs/>
                <w:color w:val="auto"/>
                <w:kern w:val="0"/>
                <w:sz w:val="20"/>
                <w:szCs w:val="20"/>
              </w:rPr>
              <w:t>固定资产折旧费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666.72</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673.31</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681.83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690.89</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888.16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909.03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909.03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1,522.97</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rPr>
                <w:rFonts w:cs="宋体" w:asciiTheme="minorEastAsia" w:hAnsiTheme="minorEastAsia" w:eastAsiaTheme="minorEastAsia"/>
                <w:bCs/>
                <w:color w:val="auto"/>
                <w:kern w:val="0"/>
                <w:sz w:val="20"/>
                <w:szCs w:val="20"/>
              </w:rPr>
            </w:pPr>
            <w:r>
              <w:rPr>
                <w:rFonts w:hint="eastAsia" w:cs="宋体" w:asciiTheme="minorEastAsia" w:hAnsiTheme="minorEastAsia" w:eastAsiaTheme="minorEastAsia"/>
                <w:bCs/>
                <w:color w:val="auto"/>
                <w:kern w:val="0"/>
                <w:sz w:val="20"/>
                <w:szCs w:val="20"/>
              </w:rPr>
              <w:t>保修费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325.39</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331.90</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338.54</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345.31</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352.22</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359.26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362.85</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366.48</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rPr>
                <w:rFonts w:cs="宋体" w:asciiTheme="minorEastAsia" w:hAnsiTheme="minorEastAsia" w:eastAsiaTheme="minorEastAsia"/>
                <w:bCs/>
                <w:color w:val="auto"/>
                <w:kern w:val="0"/>
                <w:sz w:val="20"/>
                <w:szCs w:val="20"/>
              </w:rPr>
            </w:pPr>
            <w:r>
              <w:rPr>
                <w:rFonts w:hint="eastAsia" w:cs="宋体" w:asciiTheme="minorEastAsia" w:hAnsiTheme="minorEastAsia" w:eastAsiaTheme="minorEastAsia"/>
                <w:bCs/>
                <w:color w:val="auto"/>
                <w:kern w:val="0"/>
                <w:sz w:val="20"/>
                <w:szCs w:val="20"/>
              </w:rPr>
              <w:t>轮胎消耗费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81.35</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82.98</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84.63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86.33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88.05</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89.82</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90.71</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91.62</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rPr>
                <w:rFonts w:cs="宋体" w:asciiTheme="minorEastAsia" w:hAnsiTheme="minorEastAsia" w:eastAsiaTheme="minorEastAsia"/>
                <w:bCs/>
                <w:color w:val="auto"/>
                <w:kern w:val="0"/>
                <w:sz w:val="20"/>
                <w:szCs w:val="20"/>
              </w:rPr>
            </w:pPr>
            <w:r>
              <w:rPr>
                <w:rFonts w:hint="eastAsia" w:cs="宋体" w:asciiTheme="minorEastAsia" w:hAnsiTheme="minorEastAsia" w:eastAsiaTheme="minorEastAsia"/>
                <w:bCs/>
                <w:color w:val="auto"/>
                <w:kern w:val="0"/>
                <w:sz w:val="20"/>
                <w:szCs w:val="20"/>
              </w:rPr>
              <w:t>保险与事故损失费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318.64</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325.01</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331.51</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338.14</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344.91</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351.80</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355.32</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358.88</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rPr>
                <w:rFonts w:cs="宋体" w:asciiTheme="minorEastAsia" w:hAnsiTheme="minorEastAsia" w:eastAsiaTheme="minorEastAsia"/>
                <w:bCs/>
                <w:color w:val="auto"/>
                <w:kern w:val="0"/>
                <w:sz w:val="20"/>
                <w:szCs w:val="20"/>
              </w:rPr>
            </w:pPr>
            <w:r>
              <w:rPr>
                <w:rFonts w:hint="eastAsia" w:cs="宋体" w:asciiTheme="minorEastAsia" w:hAnsiTheme="minorEastAsia" w:eastAsiaTheme="minorEastAsia"/>
                <w:bCs/>
                <w:color w:val="auto"/>
                <w:kern w:val="0"/>
                <w:sz w:val="20"/>
                <w:szCs w:val="20"/>
              </w:rPr>
              <w:t>安全费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3.64</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3.71</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3.79</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3.86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3.94</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4.02</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4.06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4.10</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rPr>
                <w:rFonts w:cs="宋体" w:asciiTheme="minorEastAsia" w:hAnsiTheme="minorEastAsia" w:eastAsiaTheme="minorEastAsia"/>
                <w:bCs/>
                <w:color w:val="auto"/>
                <w:kern w:val="0"/>
                <w:sz w:val="20"/>
                <w:szCs w:val="20"/>
              </w:rPr>
            </w:pPr>
            <w:r>
              <w:rPr>
                <w:rFonts w:hint="eastAsia" w:cs="宋体" w:asciiTheme="minorEastAsia" w:hAnsiTheme="minorEastAsia" w:eastAsiaTheme="minorEastAsia"/>
                <w:bCs/>
                <w:color w:val="auto"/>
                <w:kern w:val="0"/>
                <w:sz w:val="20"/>
                <w:szCs w:val="20"/>
              </w:rPr>
              <w:t>其他直接运营费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244.04</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248.93</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253.90</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258.98</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264.16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269.45</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272.14</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274.86</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jc w:val="center"/>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
                <w:bCs/>
                <w:color w:val="auto"/>
                <w:kern w:val="0"/>
                <w:sz w:val="20"/>
                <w:szCs w:val="20"/>
              </w:rPr>
              <w:t>小计</w:t>
            </w:r>
          </w:p>
        </w:tc>
        <w:tc>
          <w:tcPr>
            <w:tcW w:w="1123"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4,590.42</w:t>
            </w:r>
          </w:p>
        </w:tc>
        <w:tc>
          <w:tcPr>
            <w:tcW w:w="1123"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4,675.49</w:t>
            </w:r>
          </w:p>
        </w:tc>
        <w:tc>
          <w:tcPr>
            <w:tcW w:w="1123"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4,764.05</w:t>
            </w:r>
          </w:p>
        </w:tc>
        <w:tc>
          <w:tcPr>
            <w:tcW w:w="1122"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4,854.75</w:t>
            </w:r>
          </w:p>
        </w:tc>
        <w:tc>
          <w:tcPr>
            <w:tcW w:w="1122"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5,135.30</w:t>
            </w:r>
          </w:p>
        </w:tc>
        <w:tc>
          <w:tcPr>
            <w:tcW w:w="1122"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5,241.13</w:t>
            </w:r>
          </w:p>
        </w:tc>
        <w:tc>
          <w:tcPr>
            <w:tcW w:w="1122"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5,284.45</w:t>
            </w:r>
          </w:p>
        </w:tc>
        <w:tc>
          <w:tcPr>
            <w:tcW w:w="1122"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5,942.13</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hint="eastAsia" w:cs="宋体" w:asciiTheme="minorEastAsia" w:hAnsiTheme="minorEastAsia" w:eastAsiaTheme="minorEastAsia"/>
                <w:b/>
                <w:color w:val="auto"/>
                <w:kern w:val="0"/>
                <w:sz w:val="20"/>
                <w:szCs w:val="20"/>
              </w:rPr>
              <w:t>类别</w:t>
            </w:r>
          </w:p>
        </w:tc>
        <w:tc>
          <w:tcPr>
            <w:tcW w:w="1123"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2028</w:t>
            </w:r>
            <w:r>
              <w:rPr>
                <w:rFonts w:hint="eastAsia" w:cs="宋体" w:asciiTheme="minorEastAsia" w:hAnsiTheme="minorEastAsia" w:eastAsiaTheme="minorEastAsia"/>
                <w:b/>
                <w:color w:val="auto"/>
                <w:kern w:val="0"/>
                <w:sz w:val="20"/>
                <w:szCs w:val="20"/>
              </w:rPr>
              <w:t>年</w:t>
            </w:r>
          </w:p>
        </w:tc>
        <w:tc>
          <w:tcPr>
            <w:tcW w:w="1123"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2029</w:t>
            </w:r>
            <w:r>
              <w:rPr>
                <w:rFonts w:hint="eastAsia" w:cs="宋体" w:asciiTheme="minorEastAsia" w:hAnsiTheme="minorEastAsia" w:eastAsiaTheme="minorEastAsia"/>
                <w:b/>
                <w:color w:val="auto"/>
                <w:kern w:val="0"/>
                <w:sz w:val="20"/>
                <w:szCs w:val="20"/>
              </w:rPr>
              <w:t>年</w:t>
            </w:r>
          </w:p>
        </w:tc>
        <w:tc>
          <w:tcPr>
            <w:tcW w:w="1123"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2030</w:t>
            </w:r>
            <w:r>
              <w:rPr>
                <w:rFonts w:hint="eastAsia" w:cs="宋体" w:asciiTheme="minorEastAsia" w:hAnsiTheme="minorEastAsia" w:eastAsiaTheme="minorEastAsia"/>
                <w:b/>
                <w:color w:val="auto"/>
                <w:kern w:val="0"/>
                <w:sz w:val="20"/>
                <w:szCs w:val="20"/>
              </w:rPr>
              <w:t>年</w:t>
            </w:r>
          </w:p>
        </w:tc>
        <w:tc>
          <w:tcPr>
            <w:tcW w:w="1122"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2031</w:t>
            </w:r>
            <w:r>
              <w:rPr>
                <w:rFonts w:hint="eastAsia" w:cs="宋体" w:asciiTheme="minorEastAsia" w:hAnsiTheme="minorEastAsia" w:eastAsiaTheme="minorEastAsia"/>
                <w:b/>
                <w:color w:val="auto"/>
                <w:kern w:val="0"/>
                <w:sz w:val="20"/>
                <w:szCs w:val="20"/>
              </w:rPr>
              <w:t>年</w:t>
            </w:r>
          </w:p>
        </w:tc>
        <w:tc>
          <w:tcPr>
            <w:tcW w:w="1122"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2032</w:t>
            </w:r>
            <w:r>
              <w:rPr>
                <w:rFonts w:hint="eastAsia" w:cs="宋体" w:asciiTheme="minorEastAsia" w:hAnsiTheme="minorEastAsia" w:eastAsiaTheme="minorEastAsia"/>
                <w:b/>
                <w:color w:val="auto"/>
                <w:kern w:val="0"/>
                <w:sz w:val="20"/>
                <w:szCs w:val="20"/>
              </w:rPr>
              <w:t>年</w:t>
            </w:r>
          </w:p>
        </w:tc>
        <w:tc>
          <w:tcPr>
            <w:tcW w:w="1122"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2033</w:t>
            </w:r>
            <w:r>
              <w:rPr>
                <w:rFonts w:hint="eastAsia" w:cs="宋体" w:asciiTheme="minorEastAsia" w:hAnsiTheme="minorEastAsia" w:eastAsiaTheme="minorEastAsia"/>
                <w:b/>
                <w:color w:val="auto"/>
                <w:kern w:val="0"/>
                <w:sz w:val="20"/>
                <w:szCs w:val="20"/>
              </w:rPr>
              <w:t>年</w:t>
            </w:r>
          </w:p>
        </w:tc>
        <w:tc>
          <w:tcPr>
            <w:tcW w:w="1122"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2034</w:t>
            </w:r>
            <w:r>
              <w:rPr>
                <w:rFonts w:hint="eastAsia" w:cs="宋体" w:asciiTheme="minorEastAsia" w:hAnsiTheme="minorEastAsia" w:eastAsiaTheme="minorEastAsia"/>
                <w:b/>
                <w:color w:val="auto"/>
                <w:kern w:val="0"/>
                <w:sz w:val="20"/>
                <w:szCs w:val="20"/>
              </w:rPr>
              <w:t>年</w:t>
            </w:r>
          </w:p>
        </w:tc>
        <w:tc>
          <w:tcPr>
            <w:tcW w:w="1122" w:type="dxa"/>
            <w:shd w:val="clear" w:color="auto" w:fill="auto"/>
            <w:vAlign w:val="center"/>
          </w:tcPr>
          <w:p>
            <w:pPr>
              <w:pStyle w:val="48"/>
              <w:spacing w:beforeLines="50"/>
              <w:ind w:firstLine="0"/>
              <w:jc w:val="center"/>
              <w:rPr>
                <w:rFonts w:cs="宋体" w:asciiTheme="minorEastAsia" w:hAnsiTheme="minorEastAsia" w:eastAsiaTheme="minorEastAsia"/>
                <w:b/>
                <w:color w:val="auto"/>
                <w:kern w:val="0"/>
                <w:sz w:val="20"/>
                <w:szCs w:val="20"/>
              </w:rPr>
            </w:pPr>
            <w:r>
              <w:rPr>
                <w:rFonts w:cs="宋体" w:asciiTheme="minorEastAsia" w:hAnsiTheme="minorEastAsia" w:eastAsiaTheme="minorEastAsia"/>
                <w:b/>
                <w:color w:val="auto"/>
                <w:kern w:val="0"/>
                <w:sz w:val="20"/>
                <w:szCs w:val="20"/>
              </w:rPr>
              <w:t>2035年</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400"/>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Cs/>
                <w:color w:val="auto"/>
                <w:kern w:val="0"/>
                <w:sz w:val="20"/>
                <w:szCs w:val="20"/>
              </w:rPr>
              <w:t>人员工资及工资性支出</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2,153.49</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2,175.03</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2,196.77</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2,218.76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2,240.93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2,263.32</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2,285.97</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2,308.83</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400"/>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Cs/>
                <w:color w:val="auto"/>
                <w:kern w:val="0"/>
                <w:sz w:val="20"/>
                <w:szCs w:val="20"/>
              </w:rPr>
              <w:t>燃料</w:t>
            </w:r>
            <w:r>
              <w:rPr>
                <w:rFonts w:cs="宋体" w:asciiTheme="minorEastAsia" w:hAnsiTheme="minorEastAsia" w:eastAsiaTheme="minorEastAsia"/>
                <w:bCs/>
                <w:color w:val="auto"/>
                <w:kern w:val="0"/>
                <w:sz w:val="20"/>
                <w:szCs w:val="20"/>
              </w:rPr>
              <w:t>/</w:t>
            </w:r>
            <w:r>
              <w:rPr>
                <w:rFonts w:hint="eastAsia" w:cs="宋体" w:asciiTheme="minorEastAsia" w:hAnsiTheme="minorEastAsia" w:eastAsiaTheme="minorEastAsia"/>
                <w:bCs/>
                <w:color w:val="auto"/>
                <w:kern w:val="0"/>
                <w:sz w:val="20"/>
                <w:szCs w:val="20"/>
              </w:rPr>
              <w:t>电力消耗费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1,202.98</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1,215.01</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1,227.16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1,239.43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1,251.82</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1,264.34</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1,276.98</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1,289.75</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400"/>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Cs/>
                <w:color w:val="auto"/>
                <w:kern w:val="0"/>
                <w:sz w:val="20"/>
                <w:szCs w:val="20"/>
              </w:rPr>
              <w:t>固定资产折旧费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1,042.03</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1,042.03</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1,042.03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1,042.03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1,042.03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1,042.03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1,042.03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2,067.93</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400"/>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Cs/>
                <w:color w:val="auto"/>
                <w:kern w:val="0"/>
                <w:sz w:val="20"/>
                <w:szCs w:val="20"/>
              </w:rPr>
              <w:t>保修费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370.15</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373.85</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377.59</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381.36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385.18</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389.03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392.92</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396.85</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400"/>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Cs/>
                <w:color w:val="auto"/>
                <w:kern w:val="0"/>
                <w:sz w:val="20"/>
                <w:szCs w:val="20"/>
              </w:rPr>
              <w:t>轮胎消耗费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92.54</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93.46</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94.40</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95.34</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96.29</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97.26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98.23</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99.21</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400"/>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Cs/>
                <w:color w:val="auto"/>
                <w:kern w:val="0"/>
                <w:sz w:val="20"/>
                <w:szCs w:val="20"/>
              </w:rPr>
              <w:t>保险与事故损失费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362.46</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366.09</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369.75</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373.45</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377.18</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380.95</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384.76</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388.61</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400"/>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Cs/>
                <w:color w:val="auto"/>
                <w:kern w:val="0"/>
                <w:sz w:val="20"/>
                <w:szCs w:val="20"/>
              </w:rPr>
              <w:t>安全费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4.14</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4.18</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4.22</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4.27</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4.31</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4.35</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4.40</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4.44</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400"/>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Cs/>
                <w:color w:val="auto"/>
                <w:kern w:val="0"/>
                <w:sz w:val="20"/>
                <w:szCs w:val="20"/>
              </w:rPr>
              <w:t>其他直接运营费</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277.61</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280.39</w:t>
            </w:r>
          </w:p>
        </w:tc>
        <w:tc>
          <w:tcPr>
            <w:tcW w:w="1123"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283.19</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286.02</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288.88</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291.77</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294.69</w:t>
            </w:r>
          </w:p>
        </w:tc>
        <w:tc>
          <w:tcPr>
            <w:tcW w:w="1122" w:type="dxa"/>
            <w:shd w:val="clear" w:color="auto" w:fill="auto"/>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297.64</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blHeader/>
          <w:jc w:val="center"/>
        </w:trPr>
        <w:tc>
          <w:tcPr>
            <w:tcW w:w="1529" w:type="dxa"/>
            <w:shd w:val="clear" w:color="auto" w:fill="auto"/>
            <w:vAlign w:val="center"/>
          </w:tcPr>
          <w:p>
            <w:pPr>
              <w:pStyle w:val="48"/>
              <w:spacing w:beforeLines="50"/>
              <w:ind w:firstLine="0"/>
              <w:jc w:val="center"/>
              <w:rPr>
                <w:rFonts w:cs="宋体" w:asciiTheme="minorEastAsia" w:hAnsiTheme="minorEastAsia" w:eastAsiaTheme="minorEastAsia"/>
                <w:b/>
                <w:bCs/>
                <w:color w:val="auto"/>
                <w:kern w:val="0"/>
                <w:sz w:val="20"/>
                <w:szCs w:val="20"/>
              </w:rPr>
            </w:pPr>
            <w:r>
              <w:rPr>
                <w:rFonts w:hint="eastAsia" w:cs="宋体" w:asciiTheme="minorEastAsia" w:hAnsiTheme="minorEastAsia" w:eastAsiaTheme="minorEastAsia"/>
                <w:b/>
                <w:bCs/>
                <w:color w:val="auto"/>
                <w:kern w:val="0"/>
                <w:sz w:val="20"/>
                <w:szCs w:val="20"/>
              </w:rPr>
              <w:t>小计</w:t>
            </w:r>
          </w:p>
        </w:tc>
        <w:tc>
          <w:tcPr>
            <w:tcW w:w="1123"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5,505.40</w:t>
            </w:r>
          </w:p>
        </w:tc>
        <w:tc>
          <w:tcPr>
            <w:tcW w:w="1123"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5,550.04</w:t>
            </w:r>
          </w:p>
        </w:tc>
        <w:tc>
          <w:tcPr>
            <w:tcW w:w="1123"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5,595.11</w:t>
            </w:r>
          </w:p>
        </w:tc>
        <w:tc>
          <w:tcPr>
            <w:tcW w:w="1122"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5,640.66</w:t>
            </w:r>
          </w:p>
        </w:tc>
        <w:tc>
          <w:tcPr>
            <w:tcW w:w="1122"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5,686.62</w:t>
            </w:r>
          </w:p>
        </w:tc>
        <w:tc>
          <w:tcPr>
            <w:tcW w:w="1122"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5,733.05</w:t>
            </w:r>
          </w:p>
        </w:tc>
        <w:tc>
          <w:tcPr>
            <w:tcW w:w="1122"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5,779.98</w:t>
            </w:r>
          </w:p>
        </w:tc>
        <w:tc>
          <w:tcPr>
            <w:tcW w:w="1122" w:type="dxa"/>
            <w:shd w:val="clear" w:color="auto" w:fill="auto"/>
            <w:vAlign w:val="center"/>
          </w:tcPr>
          <w:p>
            <w:pPr>
              <w:widowControl/>
              <w:spacing w:line="360" w:lineRule="auto"/>
              <w:jc w:val="right"/>
              <w:rPr>
                <w:rFonts w:cs="宋体" w:asciiTheme="minorEastAsia" w:hAnsiTheme="minorEastAsia" w:eastAsiaTheme="minorEastAsia"/>
                <w:b/>
                <w:color w:val="auto"/>
                <w:kern w:val="0"/>
                <w:sz w:val="22"/>
                <w:szCs w:val="22"/>
              </w:rPr>
            </w:pPr>
            <w:r>
              <w:rPr>
                <w:rFonts w:cs="宋体" w:asciiTheme="minorEastAsia" w:hAnsiTheme="minorEastAsia" w:eastAsiaTheme="minorEastAsia"/>
                <w:b/>
                <w:color w:val="auto"/>
                <w:kern w:val="0"/>
                <w:sz w:val="22"/>
                <w:szCs w:val="22"/>
              </w:rPr>
              <w:t>6,853.26</w:t>
            </w:r>
          </w:p>
        </w:tc>
      </w:tr>
    </w:tbl>
    <w:p>
      <w:pPr>
        <w:spacing w:line="360" w:lineRule="auto"/>
        <w:ind w:firstLine="480"/>
        <w:rPr>
          <w:rFonts w:asciiTheme="minorEastAsia" w:hAnsiTheme="minorEastAsia" w:eastAsiaTheme="minorEastAsia"/>
          <w:color w:val="auto"/>
        </w:rPr>
      </w:pP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7.17</w:t>
      </w:r>
      <w:r>
        <w:rPr>
          <w:rFonts w:hint="eastAsia" w:asciiTheme="minorEastAsia" w:hAnsiTheme="minorEastAsia" w:eastAsiaTheme="minorEastAsia"/>
          <w:b/>
          <w:bCs/>
          <w:color w:val="auto"/>
          <w:szCs w:val="28"/>
        </w:rPr>
        <w:t>特许经营期间单车可控运营成本测算表</w:t>
      </w:r>
    </w:p>
    <w:tbl>
      <w:tblPr>
        <w:tblStyle w:val="23"/>
        <w:tblW w:w="924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3415"/>
        <w:gridCol w:w="1745"/>
        <w:gridCol w:w="1318"/>
        <w:gridCol w:w="1250"/>
        <w:gridCol w:w="151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期间</w:t>
            </w:r>
          </w:p>
        </w:tc>
        <w:tc>
          <w:tcPr>
            <w:tcW w:w="174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2020年度</w:t>
            </w:r>
          </w:p>
        </w:tc>
        <w:tc>
          <w:tcPr>
            <w:tcW w:w="1318"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2021年度</w:t>
            </w:r>
          </w:p>
        </w:tc>
        <w:tc>
          <w:tcPr>
            <w:tcW w:w="1250"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2022年度</w:t>
            </w:r>
          </w:p>
        </w:tc>
        <w:tc>
          <w:tcPr>
            <w:tcW w:w="1514"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2023年度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元</w:t>
            </w:r>
            <w:r>
              <w:rPr>
                <w:rFonts w:cs="宋体" w:asciiTheme="minorEastAsia" w:hAnsiTheme="minorEastAsia" w:eastAsiaTheme="minorEastAsia"/>
                <w:color w:val="auto"/>
                <w:kern w:val="0"/>
                <w:sz w:val="22"/>
                <w:szCs w:val="22"/>
              </w:rPr>
              <w:t>/</w:t>
            </w:r>
            <w:r>
              <w:rPr>
                <w:rFonts w:hint="eastAsia" w:cs="宋体" w:asciiTheme="minorEastAsia" w:hAnsiTheme="minorEastAsia" w:eastAsiaTheme="minorEastAsia"/>
                <w:color w:val="auto"/>
                <w:kern w:val="0"/>
                <w:sz w:val="22"/>
                <w:szCs w:val="22"/>
              </w:rPr>
              <w:t>千公里（可控成本）</w:t>
            </w:r>
          </w:p>
        </w:tc>
        <w:tc>
          <w:tcPr>
            <w:tcW w:w="1745"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2,411.67</w:t>
            </w:r>
          </w:p>
        </w:tc>
        <w:tc>
          <w:tcPr>
            <w:tcW w:w="1318"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2,459.90</w:t>
            </w:r>
          </w:p>
        </w:tc>
        <w:tc>
          <w:tcPr>
            <w:tcW w:w="1250"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2,509.11</w:t>
            </w:r>
          </w:p>
        </w:tc>
        <w:tc>
          <w:tcPr>
            <w:tcW w:w="1514"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2,559.29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单车可控运营成本（万元</w:t>
            </w:r>
            <w:r>
              <w:rPr>
                <w:rFonts w:cs="宋体" w:asciiTheme="minorEastAsia" w:hAnsiTheme="minorEastAsia" w:eastAsiaTheme="minorEastAsia"/>
                <w:color w:val="auto"/>
                <w:kern w:val="0"/>
                <w:sz w:val="22"/>
                <w:szCs w:val="22"/>
              </w:rPr>
              <w:t>/车）</w:t>
            </w:r>
          </w:p>
        </w:tc>
        <w:tc>
          <w:tcPr>
            <w:tcW w:w="1745"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18.34</w:t>
            </w:r>
          </w:p>
        </w:tc>
        <w:tc>
          <w:tcPr>
            <w:tcW w:w="1318"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18.70</w:t>
            </w:r>
          </w:p>
        </w:tc>
        <w:tc>
          <w:tcPr>
            <w:tcW w:w="1250"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19.08</w:t>
            </w:r>
          </w:p>
        </w:tc>
        <w:tc>
          <w:tcPr>
            <w:tcW w:w="1514"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19.46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期间</w:t>
            </w:r>
          </w:p>
        </w:tc>
        <w:tc>
          <w:tcPr>
            <w:tcW w:w="174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2024年度</w:t>
            </w:r>
          </w:p>
        </w:tc>
        <w:tc>
          <w:tcPr>
            <w:tcW w:w="1318"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2025年度</w:t>
            </w:r>
          </w:p>
        </w:tc>
        <w:tc>
          <w:tcPr>
            <w:tcW w:w="1250"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2026年度</w:t>
            </w:r>
          </w:p>
        </w:tc>
        <w:tc>
          <w:tcPr>
            <w:tcW w:w="1514"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2027年度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元</w:t>
            </w:r>
            <w:r>
              <w:rPr>
                <w:rFonts w:cs="宋体" w:asciiTheme="minorEastAsia" w:hAnsiTheme="minorEastAsia" w:eastAsiaTheme="minorEastAsia"/>
                <w:color w:val="auto"/>
                <w:kern w:val="0"/>
                <w:sz w:val="22"/>
                <w:szCs w:val="22"/>
              </w:rPr>
              <w:t>/</w:t>
            </w:r>
            <w:r>
              <w:rPr>
                <w:rFonts w:hint="eastAsia" w:cs="宋体" w:asciiTheme="minorEastAsia" w:hAnsiTheme="minorEastAsia" w:eastAsiaTheme="minorEastAsia"/>
                <w:color w:val="auto"/>
                <w:kern w:val="0"/>
                <w:sz w:val="22"/>
                <w:szCs w:val="22"/>
              </w:rPr>
              <w:t>千公里（可控成本）</w:t>
            </w:r>
          </w:p>
        </w:tc>
        <w:tc>
          <w:tcPr>
            <w:tcW w:w="1745"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2,610.47</w:t>
            </w:r>
          </w:p>
        </w:tc>
        <w:tc>
          <w:tcPr>
            <w:tcW w:w="1318"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2,662.68</w:t>
            </w:r>
          </w:p>
        </w:tc>
        <w:tc>
          <w:tcPr>
            <w:tcW w:w="1250"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2,689.31</w:t>
            </w:r>
          </w:p>
        </w:tc>
        <w:tc>
          <w:tcPr>
            <w:tcW w:w="1514"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2,716.20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单车可控运营成本（万元</w:t>
            </w:r>
            <w:r>
              <w:rPr>
                <w:rFonts w:cs="宋体" w:asciiTheme="minorEastAsia" w:hAnsiTheme="minorEastAsia" w:eastAsiaTheme="minorEastAsia"/>
                <w:color w:val="auto"/>
                <w:kern w:val="0"/>
                <w:sz w:val="22"/>
                <w:szCs w:val="22"/>
              </w:rPr>
              <w:t>/车）</w:t>
            </w:r>
          </w:p>
        </w:tc>
        <w:tc>
          <w:tcPr>
            <w:tcW w:w="1745"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19.85</w:t>
            </w:r>
          </w:p>
        </w:tc>
        <w:tc>
          <w:tcPr>
            <w:tcW w:w="1318"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w:t>
            </w:r>
          </w:p>
        </w:tc>
        <w:tc>
          <w:tcPr>
            <w:tcW w:w="1250"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20.45</w:t>
            </w:r>
          </w:p>
        </w:tc>
        <w:tc>
          <w:tcPr>
            <w:tcW w:w="1514"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20.65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期间</w:t>
            </w:r>
          </w:p>
        </w:tc>
        <w:tc>
          <w:tcPr>
            <w:tcW w:w="174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2028年度</w:t>
            </w:r>
          </w:p>
        </w:tc>
        <w:tc>
          <w:tcPr>
            <w:tcW w:w="1318"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2029年度</w:t>
            </w:r>
          </w:p>
        </w:tc>
        <w:tc>
          <w:tcPr>
            <w:tcW w:w="1250"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2030年度</w:t>
            </w:r>
          </w:p>
        </w:tc>
        <w:tc>
          <w:tcPr>
            <w:tcW w:w="1514"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2031年度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元</w:t>
            </w:r>
            <w:r>
              <w:rPr>
                <w:rFonts w:cs="宋体" w:asciiTheme="minorEastAsia" w:hAnsiTheme="minorEastAsia" w:eastAsiaTheme="minorEastAsia"/>
                <w:color w:val="auto"/>
                <w:kern w:val="0"/>
                <w:sz w:val="22"/>
                <w:szCs w:val="22"/>
              </w:rPr>
              <w:t>/</w:t>
            </w:r>
            <w:r>
              <w:rPr>
                <w:rFonts w:hint="eastAsia" w:cs="宋体" w:asciiTheme="minorEastAsia" w:hAnsiTheme="minorEastAsia" w:eastAsiaTheme="minorEastAsia"/>
                <w:color w:val="auto"/>
                <w:kern w:val="0"/>
                <w:sz w:val="22"/>
                <w:szCs w:val="22"/>
              </w:rPr>
              <w:t>千公里（可控成本）</w:t>
            </w:r>
          </w:p>
        </w:tc>
        <w:tc>
          <w:tcPr>
            <w:tcW w:w="1745"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2,743.36</w:t>
            </w:r>
          </w:p>
        </w:tc>
        <w:tc>
          <w:tcPr>
            <w:tcW w:w="1318"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2,770.80</w:t>
            </w:r>
          </w:p>
        </w:tc>
        <w:tc>
          <w:tcPr>
            <w:tcW w:w="1250"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2,798.50</w:t>
            </w:r>
          </w:p>
        </w:tc>
        <w:tc>
          <w:tcPr>
            <w:tcW w:w="1514"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2,826.49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单车可控运营成本（万元</w:t>
            </w:r>
            <w:r>
              <w:rPr>
                <w:rFonts w:cs="宋体" w:asciiTheme="minorEastAsia" w:hAnsiTheme="minorEastAsia" w:eastAsiaTheme="minorEastAsia"/>
                <w:color w:val="auto"/>
                <w:kern w:val="0"/>
                <w:sz w:val="22"/>
                <w:szCs w:val="22"/>
              </w:rPr>
              <w:t>/车）</w:t>
            </w:r>
          </w:p>
        </w:tc>
        <w:tc>
          <w:tcPr>
            <w:tcW w:w="1745"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20.86</w:t>
            </w:r>
          </w:p>
        </w:tc>
        <w:tc>
          <w:tcPr>
            <w:tcW w:w="1318"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21.07</w:t>
            </w:r>
          </w:p>
        </w:tc>
        <w:tc>
          <w:tcPr>
            <w:tcW w:w="1250"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21.28</w:t>
            </w:r>
          </w:p>
        </w:tc>
        <w:tc>
          <w:tcPr>
            <w:tcW w:w="1514"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21.49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期间</w:t>
            </w:r>
          </w:p>
        </w:tc>
        <w:tc>
          <w:tcPr>
            <w:tcW w:w="174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2032年度</w:t>
            </w:r>
          </w:p>
        </w:tc>
        <w:tc>
          <w:tcPr>
            <w:tcW w:w="1318"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2033年度</w:t>
            </w:r>
          </w:p>
        </w:tc>
        <w:tc>
          <w:tcPr>
            <w:tcW w:w="1250"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2034年度</w:t>
            </w:r>
          </w:p>
        </w:tc>
        <w:tc>
          <w:tcPr>
            <w:tcW w:w="1514"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2035年度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元</w:t>
            </w:r>
            <w:r>
              <w:rPr>
                <w:rFonts w:cs="宋体" w:asciiTheme="minorEastAsia" w:hAnsiTheme="minorEastAsia" w:eastAsiaTheme="minorEastAsia"/>
                <w:color w:val="auto"/>
                <w:kern w:val="0"/>
                <w:sz w:val="22"/>
                <w:szCs w:val="22"/>
              </w:rPr>
              <w:t>/</w:t>
            </w:r>
            <w:r>
              <w:rPr>
                <w:rFonts w:hint="eastAsia" w:cs="宋体" w:asciiTheme="minorEastAsia" w:hAnsiTheme="minorEastAsia" w:eastAsiaTheme="minorEastAsia"/>
                <w:color w:val="auto"/>
                <w:kern w:val="0"/>
                <w:sz w:val="22"/>
                <w:szCs w:val="22"/>
              </w:rPr>
              <w:t>千公里（可控成本）</w:t>
            </w:r>
          </w:p>
        </w:tc>
        <w:tc>
          <w:tcPr>
            <w:tcW w:w="1745"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2,854.76</w:t>
            </w:r>
          </w:p>
        </w:tc>
        <w:tc>
          <w:tcPr>
            <w:tcW w:w="1318"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2,883.30</w:t>
            </w:r>
          </w:p>
        </w:tc>
        <w:tc>
          <w:tcPr>
            <w:tcW w:w="1250"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2,912.13</w:t>
            </w:r>
          </w:p>
        </w:tc>
        <w:tc>
          <w:tcPr>
            <w:tcW w:w="1514"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2,941.25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415" w:type="dxa"/>
            <w:shd w:val="clear" w:color="000000"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单车可控运营成本（万元</w:t>
            </w:r>
            <w:r>
              <w:rPr>
                <w:rFonts w:cs="宋体" w:asciiTheme="minorEastAsia" w:hAnsiTheme="minorEastAsia" w:eastAsiaTheme="minorEastAsia"/>
                <w:color w:val="auto"/>
                <w:kern w:val="0"/>
                <w:sz w:val="22"/>
                <w:szCs w:val="22"/>
              </w:rPr>
              <w:t>/车）</w:t>
            </w:r>
          </w:p>
        </w:tc>
        <w:tc>
          <w:tcPr>
            <w:tcW w:w="1745"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21.70</w:t>
            </w:r>
          </w:p>
        </w:tc>
        <w:tc>
          <w:tcPr>
            <w:tcW w:w="1318"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21.92</w:t>
            </w:r>
          </w:p>
        </w:tc>
        <w:tc>
          <w:tcPr>
            <w:tcW w:w="1250"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22.14</w:t>
            </w:r>
          </w:p>
        </w:tc>
        <w:tc>
          <w:tcPr>
            <w:tcW w:w="1514" w:type="dxa"/>
            <w:shd w:val="clear" w:color="000000" w:fill="auto"/>
            <w:noWrap/>
            <w:vAlign w:val="center"/>
          </w:tcPr>
          <w:p>
            <w:pPr>
              <w:widowControl/>
              <w:spacing w:line="360" w:lineRule="auto"/>
              <w:jc w:val="right"/>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22.36</w:t>
            </w:r>
          </w:p>
        </w:tc>
      </w:tr>
    </w:tbl>
    <w:p>
      <w:pPr>
        <w:pStyle w:val="48"/>
        <w:ind w:firstLine="40"/>
        <w:rPr>
          <w:rFonts w:asciiTheme="minorEastAsia" w:hAnsiTheme="minorEastAsia" w:eastAsiaTheme="minorEastAsia"/>
          <w:color w:val="auto"/>
          <w:sz w:val="2"/>
          <w:szCs w:val="2"/>
        </w:rPr>
      </w:pPr>
    </w:p>
    <w:p>
      <w:pPr>
        <w:pStyle w:val="48"/>
        <w:ind w:firstLine="56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w:t>
      </w:r>
      <w:r>
        <w:rPr>
          <w:rFonts w:asciiTheme="minorEastAsia" w:hAnsiTheme="minorEastAsia" w:eastAsiaTheme="minorEastAsia"/>
          <w:color w:val="auto"/>
          <w:sz w:val="24"/>
          <w:szCs w:val="24"/>
        </w:rPr>
        <w:t>1、</w:t>
      </w:r>
      <w:r>
        <w:rPr>
          <w:rFonts w:hint="eastAsia" w:asciiTheme="minorEastAsia" w:hAnsiTheme="minorEastAsia" w:eastAsiaTheme="minorEastAsia"/>
          <w:color w:val="auto"/>
          <w:sz w:val="24"/>
          <w:szCs w:val="24"/>
        </w:rPr>
        <w:t>城市公交年行驶里程为</w:t>
      </w:r>
      <w:r>
        <w:rPr>
          <w:rFonts w:asciiTheme="minorEastAsia" w:hAnsiTheme="minorEastAsia" w:eastAsiaTheme="minorEastAsia"/>
          <w:color w:val="auto"/>
          <w:sz w:val="24"/>
          <w:szCs w:val="24"/>
        </w:rPr>
        <w:t>9,881,937km，城乡公交年行驶里程为6,387,719km，合计年行驶里程为16,269,656km</w:t>
      </w:r>
      <w:r>
        <w:rPr>
          <w:rFonts w:hint="eastAsia" w:asciiTheme="minorEastAsia" w:hAnsiTheme="minorEastAsia" w:eastAsiaTheme="minorEastAsia"/>
          <w:color w:val="auto"/>
          <w:sz w:val="24"/>
          <w:szCs w:val="24"/>
        </w:rPr>
        <w:t>。</w:t>
      </w:r>
    </w:p>
    <w:p>
      <w:pPr>
        <w:pStyle w:val="48"/>
        <w:ind w:firstLine="56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w:t>
      </w:r>
      <w:r>
        <w:rPr>
          <w:rFonts w:asciiTheme="minorEastAsia" w:hAnsiTheme="minorEastAsia" w:eastAsiaTheme="minorEastAsia"/>
          <w:color w:val="auto"/>
          <w:sz w:val="24"/>
          <w:szCs w:val="24"/>
        </w:rPr>
        <w:t>2</w:t>
      </w:r>
      <w:r>
        <w:rPr>
          <w:rFonts w:hint="eastAsia" w:asciiTheme="minorEastAsia" w:hAnsiTheme="minorEastAsia" w:eastAsiaTheme="minorEastAsia"/>
          <w:color w:val="auto"/>
          <w:sz w:val="24"/>
          <w:szCs w:val="24"/>
        </w:rPr>
        <w:t>、上表列示了特许经营前两年的直接运营成本估算情况。直接运营成本考虑了一定的增长率。若车辆购置价、单车可控运营成本有所下降，直接运营成本也将随之下降。</w:t>
      </w:r>
    </w:p>
    <w:p>
      <w:pPr>
        <w:pStyle w:val="48"/>
        <w:ind w:firstLine="56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w:t>
      </w:r>
      <w:r>
        <w:rPr>
          <w:rFonts w:asciiTheme="minorEastAsia" w:hAnsiTheme="minorEastAsia" w:eastAsiaTheme="minorEastAsia"/>
          <w:color w:val="auto"/>
          <w:sz w:val="24"/>
          <w:szCs w:val="24"/>
        </w:rPr>
        <w:t>3、上述直接运营成本均按照线路服务标准（年运营里程）设定的最低值</w:t>
      </w:r>
      <w:r>
        <w:rPr>
          <w:rFonts w:hint="eastAsia" w:asciiTheme="minorEastAsia" w:hAnsiTheme="minorEastAsia" w:eastAsiaTheme="minorEastAsia"/>
          <w:color w:val="auto"/>
          <w:sz w:val="24"/>
          <w:szCs w:val="24"/>
        </w:rPr>
        <w:t>测算；若服务标准处于实施方案确定的当年最低值及最高值区间的调整，不考虑新增车辆，人车比不变，故新增部分的回报按照方案测算的当年“每公里可变运营成本”进行回报（每公里可变运营成本包括燃料</w:t>
      </w:r>
      <w:r>
        <w:rPr>
          <w:rFonts w:asciiTheme="minorEastAsia" w:hAnsiTheme="minorEastAsia" w:eastAsiaTheme="minorEastAsia"/>
          <w:color w:val="auto"/>
          <w:sz w:val="24"/>
          <w:szCs w:val="24"/>
        </w:rPr>
        <w:t>(电力)消耗费、保修费、轮胎消耗费、保险与事故损</w:t>
      </w:r>
      <w:r>
        <w:rPr>
          <w:rFonts w:hint="eastAsia" w:asciiTheme="minorEastAsia" w:hAnsiTheme="minorEastAsia" w:eastAsiaTheme="minorEastAsia"/>
          <w:color w:val="auto"/>
          <w:sz w:val="24"/>
          <w:szCs w:val="24"/>
        </w:rPr>
        <w:t>失费、安全费和其他直接运营费，不包括人员工资及工资性支出、固定资产折旧费）。</w:t>
      </w:r>
    </w:p>
    <w:p>
      <w:pPr>
        <w:pStyle w:val="48"/>
        <w:ind w:firstLine="56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运营期内，服务标准处于最低值及</w:t>
      </w:r>
      <w:r>
        <w:rPr>
          <w:rFonts w:asciiTheme="minorEastAsia" w:hAnsiTheme="minorEastAsia" w:eastAsiaTheme="minorEastAsia"/>
          <w:color w:val="auto"/>
          <w:sz w:val="24"/>
          <w:szCs w:val="24"/>
        </w:rPr>
        <w:t>最高值</w:t>
      </w:r>
      <w:r>
        <w:rPr>
          <w:rFonts w:hint="eastAsia" w:asciiTheme="minorEastAsia" w:hAnsiTheme="minorEastAsia" w:eastAsiaTheme="minorEastAsia"/>
          <w:color w:val="auto"/>
          <w:sz w:val="24"/>
          <w:szCs w:val="24"/>
        </w:rPr>
        <w:t>区间时的每公里可变运营成本测算</w:t>
      </w:r>
      <w:r>
        <w:rPr>
          <w:rFonts w:asciiTheme="minorEastAsia" w:hAnsiTheme="minorEastAsia" w:eastAsiaTheme="minorEastAsia"/>
          <w:color w:val="auto"/>
          <w:sz w:val="24"/>
          <w:szCs w:val="24"/>
        </w:rPr>
        <w:t>结果</w:t>
      </w:r>
      <w:r>
        <w:rPr>
          <w:rFonts w:hint="eastAsia" w:asciiTheme="minorEastAsia" w:hAnsiTheme="minorEastAsia" w:eastAsiaTheme="minorEastAsia"/>
          <w:color w:val="auto"/>
          <w:sz w:val="24"/>
          <w:szCs w:val="24"/>
        </w:rPr>
        <w:t>如下：</w:t>
      </w:r>
    </w:p>
    <w:p>
      <w:pPr>
        <w:pStyle w:val="3"/>
        <w:spacing w:line="360" w:lineRule="auto"/>
        <w:ind w:firstLine="1767" w:firstLineChars="550"/>
        <w:jc w:val="left"/>
        <w:rPr>
          <w:rFonts w:asciiTheme="minorEastAsia" w:hAnsiTheme="minorEastAsia" w:eastAsiaTheme="minorEastAsia"/>
          <w:bCs w:val="0"/>
          <w:color w:val="auto"/>
          <w:sz w:val="28"/>
          <w:szCs w:val="28"/>
        </w:rPr>
      </w:pPr>
      <w:r>
        <w:rPr>
          <w:rFonts w:asciiTheme="minorEastAsia" w:hAnsiTheme="minorEastAsia" w:eastAsiaTheme="minorEastAsia"/>
          <w:color w:val="auto"/>
        </w:rPr>
        <w:br w:type="page"/>
      </w:r>
      <w:r>
        <w:rPr>
          <w:rFonts w:hint="eastAsia" w:asciiTheme="minorEastAsia" w:hAnsiTheme="minorEastAsia" w:eastAsiaTheme="minorEastAsia"/>
          <w:bCs w:val="0"/>
          <w:color w:val="auto"/>
          <w:sz w:val="28"/>
          <w:szCs w:val="28"/>
        </w:rPr>
        <w:t>表</w:t>
      </w:r>
      <w:r>
        <w:rPr>
          <w:rFonts w:asciiTheme="minorEastAsia" w:hAnsiTheme="minorEastAsia" w:eastAsiaTheme="minorEastAsia"/>
          <w:bCs w:val="0"/>
          <w:color w:val="auto"/>
          <w:sz w:val="28"/>
          <w:szCs w:val="28"/>
        </w:rPr>
        <w:t>7.18</w:t>
      </w:r>
      <w:r>
        <w:rPr>
          <w:rFonts w:hint="eastAsia" w:asciiTheme="minorEastAsia" w:hAnsiTheme="minorEastAsia" w:eastAsiaTheme="minorEastAsia"/>
          <w:bCs w:val="0"/>
          <w:color w:val="auto"/>
          <w:sz w:val="28"/>
          <w:szCs w:val="28"/>
        </w:rPr>
        <w:t>特许经营期间每公里</w:t>
      </w:r>
      <w:r>
        <w:rPr>
          <w:rFonts w:asciiTheme="minorEastAsia" w:hAnsiTheme="minorEastAsia" w:eastAsiaTheme="minorEastAsia"/>
          <w:bCs w:val="0"/>
          <w:color w:val="auto"/>
          <w:sz w:val="28"/>
          <w:szCs w:val="28"/>
        </w:rPr>
        <w:t>可变</w:t>
      </w:r>
      <w:r>
        <w:rPr>
          <w:rFonts w:hint="eastAsia" w:asciiTheme="minorEastAsia" w:hAnsiTheme="minorEastAsia" w:eastAsiaTheme="minorEastAsia"/>
          <w:bCs w:val="0"/>
          <w:color w:val="auto"/>
          <w:sz w:val="28"/>
          <w:szCs w:val="28"/>
        </w:rPr>
        <w:t>成本测算表</w:t>
      </w:r>
    </w:p>
    <w:tbl>
      <w:tblPr>
        <w:tblStyle w:val="23"/>
        <w:tblW w:w="10750" w:type="dxa"/>
        <w:jc w:val="center"/>
        <w:tblInd w:w="23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151"/>
        <w:gridCol w:w="1151"/>
        <w:gridCol w:w="1220"/>
        <w:gridCol w:w="1241"/>
        <w:gridCol w:w="1241"/>
        <w:gridCol w:w="1241"/>
        <w:gridCol w:w="1241"/>
        <w:gridCol w:w="115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113"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期间</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2020年度</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2021年度</w:t>
            </w:r>
          </w:p>
        </w:tc>
        <w:tc>
          <w:tcPr>
            <w:tcW w:w="1220"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2022年度</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2023年度</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2024年度</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2025年度</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2026年度</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2027年度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11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可变运营成本</w:t>
            </w:r>
            <w:r>
              <w:rPr>
                <w:rFonts w:cs="宋体" w:asciiTheme="minorEastAsia" w:hAnsiTheme="minorEastAsia" w:eastAsiaTheme="minorEastAsia"/>
                <w:color w:val="auto"/>
                <w:kern w:val="0"/>
                <w:sz w:val="22"/>
                <w:szCs w:val="22"/>
              </w:rPr>
              <w:br w:type="textWrapping"/>
            </w:r>
            <w:r>
              <w:rPr>
                <w:rFonts w:hint="eastAsia" w:cs="宋体" w:asciiTheme="minorEastAsia" w:hAnsiTheme="minorEastAsia" w:eastAsiaTheme="minorEastAsia"/>
                <w:color w:val="auto"/>
                <w:kern w:val="0"/>
                <w:sz w:val="22"/>
                <w:szCs w:val="22"/>
              </w:rPr>
              <w:t>（元</w:t>
            </w:r>
            <w:r>
              <w:rPr>
                <w:rFonts w:cs="宋体" w:asciiTheme="minorEastAsia" w:hAnsiTheme="minorEastAsia" w:eastAsiaTheme="minorEastAsia"/>
                <w:color w:val="auto"/>
                <w:kern w:val="0"/>
                <w:sz w:val="22"/>
                <w:szCs w:val="22"/>
              </w:rPr>
              <w:t>/km）</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1.23</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1.25</w:t>
            </w:r>
          </w:p>
        </w:tc>
        <w:tc>
          <w:tcPr>
            <w:tcW w:w="1220"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1.28</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1.30</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1.33</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1.35</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1.37</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1.38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113"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期间</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2028年度</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2029年度</w:t>
            </w:r>
          </w:p>
        </w:tc>
        <w:tc>
          <w:tcPr>
            <w:tcW w:w="1220"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2030年度</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2031年度</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2032年度</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2033年度</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2034年度</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2035年度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113"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可变运营成本</w:t>
            </w:r>
            <w:r>
              <w:rPr>
                <w:rFonts w:cs="宋体" w:asciiTheme="minorEastAsia" w:hAnsiTheme="minorEastAsia" w:eastAsiaTheme="minorEastAsia"/>
                <w:color w:val="auto"/>
                <w:kern w:val="0"/>
                <w:sz w:val="22"/>
                <w:szCs w:val="22"/>
              </w:rPr>
              <w:br w:type="textWrapping"/>
            </w:r>
            <w:r>
              <w:rPr>
                <w:rFonts w:hint="eastAsia" w:cs="宋体" w:asciiTheme="minorEastAsia" w:hAnsiTheme="minorEastAsia" w:eastAsiaTheme="minorEastAsia"/>
                <w:color w:val="auto"/>
                <w:kern w:val="0"/>
                <w:sz w:val="22"/>
                <w:szCs w:val="22"/>
              </w:rPr>
              <w:t>（元</w:t>
            </w:r>
            <w:r>
              <w:rPr>
                <w:rFonts w:cs="宋体" w:asciiTheme="minorEastAsia" w:hAnsiTheme="minorEastAsia" w:eastAsiaTheme="minorEastAsia"/>
                <w:color w:val="auto"/>
                <w:kern w:val="0"/>
                <w:sz w:val="22"/>
                <w:szCs w:val="22"/>
              </w:rPr>
              <w:t>/km）</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1.39</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1.41</w:t>
            </w:r>
          </w:p>
        </w:tc>
        <w:tc>
          <w:tcPr>
            <w:tcW w:w="1220"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1.42</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1.43</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1.45</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1.46</w:t>
            </w:r>
          </w:p>
        </w:tc>
        <w:tc>
          <w:tcPr>
            <w:tcW w:w="124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1.48</w:t>
            </w:r>
          </w:p>
        </w:tc>
        <w:tc>
          <w:tcPr>
            <w:tcW w:w="1151"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t>1.49</w:t>
            </w:r>
          </w:p>
        </w:tc>
      </w:tr>
    </w:tbl>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&lt;2&gt;</w:t>
      </w:r>
      <w:r>
        <w:rPr>
          <w:rFonts w:hint="eastAsia" w:asciiTheme="minorEastAsia" w:hAnsiTheme="minorEastAsia" w:eastAsiaTheme="minorEastAsia"/>
          <w:color w:val="auto"/>
          <w:sz w:val="24"/>
          <w:szCs w:val="24"/>
        </w:rPr>
        <w:t>期间费用</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期间费用包括管理费用、财务费用等。管理费用指管理部门为组织和管理公司生产经营所发生的费用支出，包括办公用房租金、差旅费、办公费、招待费、折旧等。不包括管理人员工资及福利费等。</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管理费用标准值等于营业成本乘以管理费率</w:t>
      </w:r>
      <w:r>
        <w:rPr>
          <w:rFonts w:hint="eastAsia"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管理费率是指剔除职工薪酬后的管理费用总额占营业成本的比例。管理费率标准值确定为营业收入的</w:t>
      </w:r>
      <w:r>
        <w:rPr>
          <w:rFonts w:asciiTheme="minorEastAsia" w:hAnsiTheme="minorEastAsia" w:eastAsiaTheme="minorEastAsia"/>
          <w:color w:val="auto"/>
          <w:sz w:val="24"/>
          <w:szCs w:val="24"/>
        </w:rPr>
        <w:t>2%。</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财务费用原则上指在生产经营过程中为筹集日常运营车辆购置及更新资金和必要的办公场所购置资金而发生的固定资产贷款费用，包括利息收支和金融机构手续费。</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贷款规模按固定资产增量需求的一定比例核定</w:t>
      </w:r>
      <w:r>
        <w:rPr>
          <w:rFonts w:hint="eastAsia" w:asciiTheme="minorEastAsia" w:hAnsiTheme="minorEastAsia" w:eastAsiaTheme="minorEastAsia"/>
          <w:color w:val="auto"/>
          <w:sz w:val="24"/>
          <w:szCs w:val="24"/>
        </w:rPr>
        <w:t>，本次按照项目资本金和外部融资分别占初始投资总额的</w:t>
      </w:r>
      <w:r>
        <w:rPr>
          <w:rFonts w:asciiTheme="minorEastAsia" w:hAnsiTheme="minorEastAsia" w:eastAsiaTheme="minorEastAsia"/>
          <w:color w:val="auto"/>
          <w:sz w:val="24"/>
          <w:szCs w:val="24"/>
        </w:rPr>
        <w:t>20%和80%测算，即贷款规模6400</w:t>
      </w:r>
      <w:r>
        <w:rPr>
          <w:rFonts w:hint="eastAsia" w:asciiTheme="minorEastAsia" w:hAnsiTheme="minorEastAsia" w:eastAsiaTheme="minorEastAsia"/>
          <w:color w:val="auto"/>
          <w:sz w:val="24"/>
          <w:szCs w:val="24"/>
        </w:rPr>
        <w:t>万元。财务费用利息支出标准值以核定的贷款规模乘以银行贷款利率（按</w:t>
      </w:r>
      <w:r>
        <w:rPr>
          <w:rFonts w:asciiTheme="minorEastAsia" w:hAnsiTheme="minorEastAsia" w:eastAsiaTheme="minorEastAsia"/>
          <w:color w:val="auto"/>
          <w:sz w:val="24"/>
          <w:szCs w:val="24"/>
        </w:rPr>
        <w:t>5年期贷款利率上浮20%考虑</w:t>
      </w:r>
      <w:r>
        <w:rPr>
          <w:rFonts w:hint="eastAsia" w:asciiTheme="minorEastAsia" w:hAnsiTheme="minorEastAsia" w:eastAsiaTheme="minorEastAsia"/>
          <w:color w:val="auto"/>
          <w:sz w:val="24"/>
          <w:szCs w:val="24"/>
        </w:rPr>
        <w:t>）水平确定。</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&lt;3&gt;</w:t>
      </w:r>
      <w:r>
        <w:rPr>
          <w:rFonts w:hint="eastAsia" w:asciiTheme="minorEastAsia" w:hAnsiTheme="minorEastAsia" w:eastAsiaTheme="minorEastAsia"/>
          <w:color w:val="auto"/>
          <w:sz w:val="24"/>
          <w:szCs w:val="24"/>
        </w:rPr>
        <w:t>税金及附加</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税金及附加是指企业经营活动应负担的相关税费。如前所述，协助特许经营企业从税务部门取得优惠政策，包括城市公交场站、道路客运站的运营用地免征土地使用税，企业新购置的公共汽（电）车免征车辆购置税，免征公共交通车船的车船税，城市公共交通基础设施免征城市基础设施配套费等。故税金及附加主要为城市维护建设税、教育费附加、印花税等。</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测算中营业收入无法弥补运营成本费用，无应缴纳的增值税，故税金及附加暂不做预测。</w:t>
      </w:r>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3）运营成本缺口估算</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根据上述方法确定基准年度</w:t>
      </w:r>
      <w:r>
        <w:rPr>
          <w:rFonts w:hint="eastAsia" w:asciiTheme="minorEastAsia" w:hAnsiTheme="minorEastAsia" w:eastAsiaTheme="minorEastAsia"/>
          <w:color w:val="auto"/>
          <w:sz w:val="24"/>
          <w:szCs w:val="24"/>
        </w:rPr>
        <w:t>特许经营企业营业收入及营业总成本；</w:t>
      </w:r>
      <w:r>
        <w:rPr>
          <w:rFonts w:asciiTheme="minorEastAsia" w:hAnsiTheme="minorEastAsia" w:eastAsiaTheme="minorEastAsia"/>
          <w:color w:val="auto"/>
          <w:sz w:val="24"/>
          <w:szCs w:val="24"/>
        </w:rPr>
        <w:t>以后年度在基准年度的基础上给予一定的增长率</w:t>
      </w:r>
      <w:r>
        <w:rPr>
          <w:rFonts w:hint="eastAsia" w:asciiTheme="minorEastAsia" w:hAnsiTheme="minorEastAsia" w:eastAsiaTheme="minorEastAsia"/>
          <w:color w:val="auto"/>
          <w:sz w:val="24"/>
          <w:szCs w:val="24"/>
        </w:rPr>
        <w:t>。在此基础上，对特许经营企业运营成本缺口估算如下：</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7.19</w:t>
      </w:r>
      <w:r>
        <w:rPr>
          <w:rFonts w:hint="eastAsia" w:asciiTheme="minorEastAsia" w:hAnsiTheme="minorEastAsia" w:eastAsiaTheme="minorEastAsia"/>
          <w:b/>
          <w:bCs/>
          <w:color w:val="auto"/>
          <w:szCs w:val="28"/>
        </w:rPr>
        <w:t>运营成本缺口测算表</w:t>
      </w:r>
    </w:p>
    <w:tbl>
      <w:tblPr>
        <w:tblStyle w:val="23"/>
        <w:tblW w:w="10292"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132"/>
        <w:gridCol w:w="1119"/>
        <w:gridCol w:w="1117"/>
        <w:gridCol w:w="1117"/>
        <w:gridCol w:w="1115"/>
        <w:gridCol w:w="1115"/>
        <w:gridCol w:w="1115"/>
        <w:gridCol w:w="109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tblHeader/>
          <w:jc w:val="center"/>
        </w:trPr>
        <w:tc>
          <w:tcPr>
            <w:tcW w:w="1372" w:type="dxa"/>
            <w:tcBorders>
              <w:top w:val="doub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b/>
                <w:color w:val="auto"/>
                <w:kern w:val="0"/>
                <w:sz w:val="18"/>
                <w:szCs w:val="18"/>
              </w:rPr>
            </w:pPr>
            <w:r>
              <w:rPr>
                <w:rFonts w:hint="eastAsia" w:cs="宋体" w:asciiTheme="minorEastAsia" w:hAnsiTheme="minorEastAsia" w:eastAsiaTheme="minorEastAsia"/>
                <w:b/>
                <w:color w:val="auto"/>
                <w:kern w:val="0"/>
                <w:sz w:val="18"/>
                <w:szCs w:val="18"/>
              </w:rPr>
              <w:t>科目</w:t>
            </w:r>
          </w:p>
        </w:tc>
        <w:tc>
          <w:tcPr>
            <w:tcW w:w="1132" w:type="dxa"/>
            <w:tcBorders>
              <w:top w:val="doub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2020</w:t>
            </w:r>
            <w:r>
              <w:rPr>
                <w:rFonts w:hint="eastAsia" w:cs="宋体" w:asciiTheme="minorEastAsia" w:hAnsiTheme="minorEastAsia" w:eastAsiaTheme="minorEastAsia"/>
                <w:b/>
                <w:color w:val="auto"/>
                <w:kern w:val="0"/>
                <w:sz w:val="18"/>
                <w:szCs w:val="18"/>
              </w:rPr>
              <w:t>年</w:t>
            </w:r>
          </w:p>
        </w:tc>
        <w:tc>
          <w:tcPr>
            <w:tcW w:w="1119" w:type="dxa"/>
            <w:tcBorders>
              <w:top w:val="doub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2021</w:t>
            </w:r>
            <w:r>
              <w:rPr>
                <w:rFonts w:hint="eastAsia" w:cs="宋体" w:asciiTheme="minorEastAsia" w:hAnsiTheme="minorEastAsia" w:eastAsiaTheme="minorEastAsia"/>
                <w:b/>
                <w:color w:val="auto"/>
                <w:kern w:val="0"/>
                <w:sz w:val="18"/>
                <w:szCs w:val="18"/>
              </w:rPr>
              <w:t>年</w:t>
            </w:r>
          </w:p>
        </w:tc>
        <w:tc>
          <w:tcPr>
            <w:tcW w:w="1117" w:type="dxa"/>
            <w:tcBorders>
              <w:top w:val="doub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2022</w:t>
            </w:r>
            <w:r>
              <w:rPr>
                <w:rFonts w:hint="eastAsia" w:cs="宋体" w:asciiTheme="minorEastAsia" w:hAnsiTheme="minorEastAsia" w:eastAsiaTheme="minorEastAsia"/>
                <w:b/>
                <w:color w:val="auto"/>
                <w:kern w:val="0"/>
                <w:sz w:val="18"/>
                <w:szCs w:val="18"/>
              </w:rPr>
              <w:t>年</w:t>
            </w:r>
          </w:p>
        </w:tc>
        <w:tc>
          <w:tcPr>
            <w:tcW w:w="1117" w:type="dxa"/>
            <w:tcBorders>
              <w:top w:val="doub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2023</w:t>
            </w:r>
            <w:r>
              <w:rPr>
                <w:rFonts w:hint="eastAsia" w:cs="宋体" w:asciiTheme="minorEastAsia" w:hAnsiTheme="minorEastAsia" w:eastAsiaTheme="minorEastAsia"/>
                <w:b/>
                <w:color w:val="auto"/>
                <w:kern w:val="0"/>
                <w:sz w:val="18"/>
                <w:szCs w:val="18"/>
              </w:rPr>
              <w:t>年</w:t>
            </w:r>
          </w:p>
        </w:tc>
        <w:tc>
          <w:tcPr>
            <w:tcW w:w="1115" w:type="dxa"/>
            <w:tcBorders>
              <w:top w:val="doub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2024</w:t>
            </w:r>
            <w:r>
              <w:rPr>
                <w:rFonts w:hint="eastAsia" w:cs="宋体" w:asciiTheme="minorEastAsia" w:hAnsiTheme="minorEastAsia" w:eastAsiaTheme="minorEastAsia"/>
                <w:b/>
                <w:color w:val="auto"/>
                <w:kern w:val="0"/>
                <w:sz w:val="18"/>
                <w:szCs w:val="18"/>
              </w:rPr>
              <w:t>年</w:t>
            </w:r>
          </w:p>
        </w:tc>
        <w:tc>
          <w:tcPr>
            <w:tcW w:w="1115" w:type="dxa"/>
            <w:tcBorders>
              <w:top w:val="doub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2025</w:t>
            </w:r>
            <w:r>
              <w:rPr>
                <w:rFonts w:hint="eastAsia" w:cs="宋体" w:asciiTheme="minorEastAsia" w:hAnsiTheme="minorEastAsia" w:eastAsiaTheme="minorEastAsia"/>
                <w:b/>
                <w:color w:val="auto"/>
                <w:kern w:val="0"/>
                <w:sz w:val="18"/>
                <w:szCs w:val="18"/>
              </w:rPr>
              <w:t>年</w:t>
            </w:r>
          </w:p>
        </w:tc>
        <w:tc>
          <w:tcPr>
            <w:tcW w:w="1115" w:type="dxa"/>
            <w:tcBorders>
              <w:top w:val="doub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2026</w:t>
            </w:r>
            <w:r>
              <w:rPr>
                <w:rFonts w:hint="eastAsia" w:cs="宋体" w:asciiTheme="minorEastAsia" w:hAnsiTheme="minorEastAsia" w:eastAsiaTheme="minorEastAsia"/>
                <w:b/>
                <w:color w:val="auto"/>
                <w:kern w:val="0"/>
                <w:sz w:val="18"/>
                <w:szCs w:val="18"/>
              </w:rPr>
              <w:t>年</w:t>
            </w:r>
          </w:p>
        </w:tc>
        <w:tc>
          <w:tcPr>
            <w:tcW w:w="1090" w:type="dxa"/>
            <w:tcBorders>
              <w:top w:val="doub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2027年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一、营业总收入</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1,702.18</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1,732.06</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1,761.96</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1,791.89</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1,830.28</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1,868.69</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1,911.07</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1,953.48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其中：营业收入</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1,702.18</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1,732.06</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1,761.96</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1,791.89</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1,830.28</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1,868.69</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1,911.07</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1,953.48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二、营业总成本</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5,169.89</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5,367.99</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5,458.32</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5,550.83</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5,837.00</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5,833.61</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5,766.46</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6,437.29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其中：营业成本</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4,701.76</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4,898.16</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4,986.72</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5,077.42</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5,357.97</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5,352.47</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5,284.45</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5,942.13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管理费用</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91.81</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93.51</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95.28</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97.09</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102.71</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104.82</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105.69</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118.84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财务费用</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减：收益补偿、人员安置</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126.39</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加：政策性亏损补助</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388.94</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395.86</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402.78</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409.71</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418.11</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426.52</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436.25</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445.97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三、运营成本缺口</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-3,205.15 </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-3,240.07 </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-3,293.58 </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-3,349.24 </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-3,588.61 </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-3,538.39 </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-3,419.14 </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-4,037.83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四、运营成本缺口（剔除财务费用）</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-2,828.83 </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-2,863.75 </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-2,917.26 </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-2,972.92 </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-3,212.29 </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-3,162.07 </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-3,042.82 </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-3,661.51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center"/>
              <w:rPr>
                <w:rFonts w:cs="宋体" w:asciiTheme="minorEastAsia" w:hAnsiTheme="minorEastAsia" w:eastAsiaTheme="minorEastAsia"/>
                <w:b/>
                <w:color w:val="auto"/>
                <w:kern w:val="0"/>
                <w:sz w:val="18"/>
                <w:szCs w:val="18"/>
              </w:rPr>
            </w:pPr>
            <w:r>
              <w:rPr>
                <w:rFonts w:hint="eastAsia" w:cs="宋体" w:asciiTheme="minorEastAsia" w:hAnsiTheme="minorEastAsia" w:eastAsiaTheme="minorEastAsia"/>
                <w:b/>
                <w:color w:val="auto"/>
                <w:kern w:val="0"/>
                <w:sz w:val="18"/>
                <w:szCs w:val="18"/>
              </w:rPr>
              <w:t>科目</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2028</w:t>
            </w:r>
            <w:r>
              <w:rPr>
                <w:rFonts w:hint="eastAsia" w:cs="宋体" w:asciiTheme="minorEastAsia" w:hAnsiTheme="minorEastAsia" w:eastAsiaTheme="minorEastAsia"/>
                <w:b/>
                <w:color w:val="auto"/>
                <w:kern w:val="0"/>
                <w:sz w:val="18"/>
                <w:szCs w:val="18"/>
              </w:rPr>
              <w:t>年</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2029年</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2030年</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2031年</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2032年</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2033年</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2034年</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center"/>
              <w:rPr>
                <w:rFonts w:cs="宋体" w:asciiTheme="minorEastAsia" w:hAnsiTheme="minorEastAsia" w:eastAsiaTheme="minorEastAsia"/>
                <w:b/>
                <w:color w:val="auto"/>
                <w:kern w:val="0"/>
                <w:sz w:val="18"/>
                <w:szCs w:val="18"/>
              </w:rPr>
            </w:pPr>
            <w:r>
              <w:rPr>
                <w:rFonts w:cs="宋体" w:asciiTheme="minorEastAsia" w:hAnsiTheme="minorEastAsia" w:eastAsiaTheme="minorEastAsia"/>
                <w:b/>
                <w:color w:val="auto"/>
                <w:kern w:val="0"/>
                <w:sz w:val="18"/>
                <w:szCs w:val="18"/>
              </w:rPr>
              <w:t>2035年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一、营业总收入</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1,995.92</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2,038.38</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2,080.87</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2,123.39</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2,165.94</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2,208.51</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2,251.12</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2,293.75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其中：营业收入</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1,995.92</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2,038.38</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2,080.87</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2,123.39</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2,165.94</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2,208.51</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2,251.12</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2,293.75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二、营业总成本</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5,991.83</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6,037.36</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6,083.33</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6,129.79</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6,176.67</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6,224.03</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6,271.90</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7,366.65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其中：营业成本</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5,505.40</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5,550.04</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5,595.11</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5,640.66</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5,686.62</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5,733.05</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5,779.98</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6,853.26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管理费用</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110.11</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111.00</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111.90</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112.81</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113.73</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114.66</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115.60</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137.07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财务费用</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376.32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减：收益补偿、人员安置</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加：政策性亏损补助</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455.70</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465.42</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475.14</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484.87</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494.59</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504.31</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514.04</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523.76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sing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三、运营成本缺口</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-3,540.22 </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-3,533.56 </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-3,527.32 </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-3,521.54 </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-3,516.15 </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-3,511.21 </w:t>
            </w:r>
          </w:p>
        </w:tc>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-3,506.75 </w:t>
            </w:r>
          </w:p>
        </w:tc>
        <w:tc>
          <w:tcPr>
            <w:tcW w:w="1090" w:type="dxa"/>
            <w:tcBorders>
              <w:top w:val="single" w:color="auto" w:sz="4" w:space="0"/>
              <w:left w:val="single" w:color="auto" w:sz="4" w:space="0"/>
              <w:bottom w:val="sing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-4,549.14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372" w:type="dxa"/>
            <w:tcBorders>
              <w:top w:val="single" w:color="auto" w:sz="4" w:space="0"/>
              <w:left w:val="double" w:color="auto" w:sz="4" w:space="0"/>
              <w:bottom w:val="double" w:color="auto" w:sz="4" w:space="0"/>
              <w:right w:val="single" w:color="auto" w:sz="4" w:space="0"/>
            </w:tcBorders>
            <w:shd w:val="clear" w:color="000000" w:fill="FFFFFF"/>
            <w:vAlign w:val="center"/>
          </w:tcPr>
          <w:p>
            <w:pPr>
              <w:widowControl/>
              <w:spacing w:line="360" w:lineRule="auto"/>
              <w:jc w:val="left"/>
              <w:rPr>
                <w:rFonts w:cs="宋体" w:asciiTheme="minorEastAsia" w:hAnsiTheme="minorEastAsia" w:eastAsiaTheme="minorEastAsia"/>
                <w:color w:val="auto"/>
                <w:kern w:val="0"/>
                <w:sz w:val="18"/>
                <w:szCs w:val="18"/>
              </w:rPr>
            </w:pPr>
            <w:r>
              <w:rPr>
                <w:rFonts w:hint="eastAsia" w:cs="宋体" w:asciiTheme="minorEastAsia" w:hAnsiTheme="minorEastAsia" w:eastAsiaTheme="minorEastAsia"/>
                <w:color w:val="auto"/>
                <w:kern w:val="0"/>
                <w:sz w:val="18"/>
                <w:szCs w:val="18"/>
              </w:rPr>
              <w:t>四、运营成本缺口（剔除财务费用）</w:t>
            </w:r>
          </w:p>
        </w:tc>
        <w:tc>
          <w:tcPr>
            <w:tcW w:w="1132"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-3,163.90 </w:t>
            </w:r>
          </w:p>
        </w:tc>
        <w:tc>
          <w:tcPr>
            <w:tcW w:w="1119"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-3,157.24 </w:t>
            </w:r>
          </w:p>
        </w:tc>
        <w:tc>
          <w:tcPr>
            <w:tcW w:w="1117"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-3,151.00 </w:t>
            </w:r>
          </w:p>
        </w:tc>
        <w:tc>
          <w:tcPr>
            <w:tcW w:w="1117"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-3,145.22 </w:t>
            </w:r>
          </w:p>
        </w:tc>
        <w:tc>
          <w:tcPr>
            <w:tcW w:w="1115"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-3,139.83 </w:t>
            </w:r>
          </w:p>
        </w:tc>
        <w:tc>
          <w:tcPr>
            <w:tcW w:w="1115"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-3,134.89 </w:t>
            </w:r>
          </w:p>
        </w:tc>
        <w:tc>
          <w:tcPr>
            <w:tcW w:w="1115"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-3,130.43 </w:t>
            </w:r>
          </w:p>
        </w:tc>
        <w:tc>
          <w:tcPr>
            <w:tcW w:w="1090" w:type="dxa"/>
            <w:tcBorders>
              <w:top w:val="single" w:color="auto" w:sz="4" w:space="0"/>
              <w:left w:val="single" w:color="auto" w:sz="4" w:space="0"/>
              <w:bottom w:val="double" w:color="auto" w:sz="4" w:space="0"/>
              <w:right w:val="doub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sz w:val="18"/>
                <w:szCs w:val="18"/>
              </w:rPr>
            </w:pPr>
            <w:r>
              <w:rPr>
                <w:rFonts w:cs="宋体" w:asciiTheme="minorEastAsia" w:hAnsiTheme="minorEastAsia" w:eastAsiaTheme="minorEastAsia"/>
                <w:color w:val="auto"/>
                <w:kern w:val="0"/>
                <w:sz w:val="18"/>
                <w:szCs w:val="18"/>
              </w:rPr>
              <w:t xml:space="preserve">-4,172.82 </w:t>
            </w:r>
          </w:p>
        </w:tc>
      </w:tr>
    </w:tbl>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w:t>
      </w:r>
      <w:r>
        <w:rPr>
          <w:rFonts w:asciiTheme="minorEastAsia" w:hAnsiTheme="minorEastAsia" w:eastAsiaTheme="minorEastAsia"/>
          <w:color w:val="auto"/>
          <w:sz w:val="24"/>
          <w:szCs w:val="24"/>
        </w:rPr>
        <w:t>1、“收益补偿、人员安置费”为特许经营企业在初始投资时，资源整合所需支付的剩余经营权补偿56.39</w:t>
      </w:r>
      <w:r>
        <w:rPr>
          <w:rFonts w:hint="eastAsia" w:asciiTheme="minorEastAsia" w:hAnsiTheme="minorEastAsia" w:eastAsiaTheme="minorEastAsia"/>
          <w:color w:val="auto"/>
          <w:sz w:val="24"/>
          <w:szCs w:val="24"/>
        </w:rPr>
        <w:t>万元和人员安置费</w:t>
      </w:r>
      <w:r>
        <w:rPr>
          <w:rFonts w:asciiTheme="minorEastAsia" w:hAnsiTheme="minorEastAsia" w:eastAsiaTheme="minorEastAsia"/>
          <w:color w:val="auto"/>
          <w:sz w:val="24"/>
          <w:szCs w:val="24"/>
        </w:rPr>
        <w:t>70万元。</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w:t>
      </w:r>
      <w:r>
        <w:rPr>
          <w:rFonts w:asciiTheme="minorEastAsia" w:hAnsiTheme="minorEastAsia" w:eastAsiaTheme="minorEastAsia"/>
          <w:color w:val="auto"/>
          <w:sz w:val="24"/>
          <w:szCs w:val="24"/>
        </w:rPr>
        <w:t>2、本次假设运营车辆到期报废的变现收入与其残值金额相等，故净收益为零，不单独预测。</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w:t>
      </w:r>
      <w:r>
        <w:rPr>
          <w:rFonts w:asciiTheme="minorEastAsia" w:hAnsiTheme="minorEastAsia" w:eastAsiaTheme="minorEastAsia"/>
          <w:color w:val="auto"/>
          <w:sz w:val="24"/>
          <w:szCs w:val="24"/>
        </w:rPr>
        <w:t>3、“运营成本缺口（剔除财务费用）”为政府拨付运营补助的测算基础。</w:t>
      </w:r>
    </w:p>
    <w:p>
      <w:pPr>
        <w:spacing w:line="360" w:lineRule="auto"/>
        <w:ind w:firstLine="641"/>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4）政府付费估算</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政府付费总额包括新购置车辆的两级财政补贴和投资回报。新购置车辆的两级财政补贴根据《海南省新能源汽车推广应用省级财政补贴实施办法》测算；投资回报包括项目资本金回报、融资成本回报、运营补助（含政策性亏损补助）、超额收入回报四方面。其中：</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①项目资本金回报：在特许经营期内，采用“初始项目资本金×</w:t>
      </w:r>
      <w:r>
        <w:rPr>
          <w:rFonts w:asciiTheme="minorEastAsia" w:hAnsiTheme="minorEastAsia" w:eastAsiaTheme="minorEastAsia"/>
          <w:color w:val="auto"/>
          <w:sz w:val="24"/>
          <w:szCs w:val="24"/>
        </w:rPr>
        <w:t>6%”的方式测算年回报金额，初始项目资本金设定为1600</w:t>
      </w:r>
      <w:r>
        <w:rPr>
          <w:rFonts w:hint="eastAsia" w:asciiTheme="minorEastAsia" w:hAnsiTheme="minorEastAsia" w:eastAsiaTheme="minorEastAsia"/>
          <w:color w:val="auto"/>
          <w:sz w:val="24"/>
          <w:szCs w:val="24"/>
        </w:rPr>
        <w:t>万元。</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②融资成本回报：以中国人民银行公布的五年期以上贷款利率</w:t>
      </w:r>
      <w:r>
        <w:rPr>
          <w:rFonts w:asciiTheme="minorEastAsia" w:hAnsiTheme="minorEastAsia" w:eastAsiaTheme="minorEastAsia"/>
          <w:color w:val="auto"/>
          <w:sz w:val="24"/>
          <w:szCs w:val="24"/>
        </w:rPr>
        <w:t>4.9%上浮20%作</w:t>
      </w:r>
      <w:r>
        <w:rPr>
          <w:rFonts w:hint="eastAsia" w:asciiTheme="minorEastAsia" w:hAnsiTheme="minorEastAsia" w:eastAsiaTheme="minorEastAsia"/>
          <w:color w:val="auto"/>
          <w:sz w:val="24"/>
          <w:szCs w:val="24"/>
        </w:rPr>
        <w:t>为融资成本回报率，在特许经营期内，采用“外部融资金额×</w:t>
      </w:r>
      <w:r>
        <w:rPr>
          <w:rFonts w:asciiTheme="minorEastAsia" w:hAnsiTheme="minorEastAsia" w:eastAsiaTheme="minorEastAsia"/>
          <w:color w:val="auto"/>
          <w:sz w:val="24"/>
          <w:szCs w:val="24"/>
        </w:rPr>
        <w:t>5.88%”</w:t>
      </w:r>
      <w:r>
        <w:rPr>
          <w:rFonts w:hint="eastAsia" w:asciiTheme="minorEastAsia" w:hAnsiTheme="minorEastAsia" w:eastAsiaTheme="minorEastAsia"/>
          <w:color w:val="auto"/>
          <w:sz w:val="24"/>
          <w:szCs w:val="24"/>
        </w:rPr>
        <w:t>的方式测算年回报金额。外部融资金额设定为</w:t>
      </w:r>
      <w:r>
        <w:rPr>
          <w:rFonts w:asciiTheme="minorEastAsia" w:hAnsiTheme="minorEastAsia" w:eastAsiaTheme="minorEastAsia"/>
          <w:color w:val="auto"/>
          <w:sz w:val="24"/>
          <w:szCs w:val="24"/>
        </w:rPr>
        <w:t>6400</w:t>
      </w:r>
      <w:r>
        <w:rPr>
          <w:rFonts w:hint="eastAsia" w:asciiTheme="minorEastAsia" w:hAnsiTheme="minorEastAsia" w:eastAsiaTheme="minorEastAsia"/>
          <w:color w:val="auto"/>
          <w:sz w:val="24"/>
          <w:szCs w:val="24"/>
        </w:rPr>
        <w:t>万元。</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③政策性亏损补助：是对企业实行低票价、减免票、承担政府指令性任务等形成的政策性亏损，根据实际缺口额，结合服务质量考核结果，进行</w:t>
      </w:r>
      <w:r>
        <w:rPr>
          <w:rFonts w:asciiTheme="minorEastAsia" w:hAnsiTheme="minorEastAsia" w:eastAsiaTheme="minorEastAsia"/>
          <w:color w:val="auto"/>
          <w:sz w:val="24"/>
          <w:szCs w:val="24"/>
        </w:rPr>
        <w:t>支付。</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④运营补助：即弥补运营成本缺口的金额。</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运营成本缺口＝营业总收入－（营业总成本－财务费用）＋新购置车辆的两级财政补贴＋政策性亏损补助</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营业收入＝票价收入＋广告收入＋充电桩收入</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营业总成本＝营业成本＋管理费用＋财务费用</w:t>
      </w:r>
      <w:r>
        <w:rPr>
          <w:rFonts w:asciiTheme="minorEastAsia" w:hAnsiTheme="minorEastAsia" w:eastAsiaTheme="minorEastAsia"/>
          <w:color w:val="auto"/>
          <w:sz w:val="24"/>
          <w:szCs w:val="24"/>
        </w:rPr>
        <w:t>+主体整合需承担的收益补偿、人员安置费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⑤超额收入回报：本次测算中不考虑。</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特许经营期内，政府付费金额测算汇总如下表：</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7.20</w:t>
      </w:r>
      <w:r>
        <w:rPr>
          <w:rFonts w:hint="eastAsia" w:asciiTheme="minorEastAsia" w:hAnsiTheme="minorEastAsia" w:eastAsiaTheme="minorEastAsia"/>
          <w:b/>
          <w:bCs/>
          <w:color w:val="auto"/>
          <w:szCs w:val="28"/>
        </w:rPr>
        <w:t>政府付费情况测算</w:t>
      </w:r>
    </w:p>
    <w:p>
      <w:pPr>
        <w:spacing w:line="360" w:lineRule="auto"/>
        <w:ind w:firstLine="480"/>
        <w:jc w:val="right"/>
        <w:rPr>
          <w:rFonts w:asciiTheme="minorEastAsia" w:hAnsiTheme="minorEastAsia" w:eastAsiaTheme="minorEastAsia"/>
          <w:color w:val="auto"/>
          <w:szCs w:val="32"/>
        </w:rPr>
      </w:pPr>
      <w:r>
        <w:rPr>
          <w:rFonts w:hint="eastAsia" w:asciiTheme="minorEastAsia" w:hAnsiTheme="minorEastAsia" w:eastAsiaTheme="minorEastAsia"/>
          <w:color w:val="auto"/>
          <w:szCs w:val="32"/>
        </w:rPr>
        <w:t>单位</w:t>
      </w:r>
      <w:r>
        <w:rPr>
          <w:rFonts w:asciiTheme="minorEastAsia" w:hAnsiTheme="minorEastAsia" w:eastAsiaTheme="minorEastAsia"/>
          <w:color w:val="auto"/>
          <w:szCs w:val="32"/>
        </w:rPr>
        <w:t>：万元</w:t>
      </w:r>
    </w:p>
    <w:tbl>
      <w:tblPr>
        <w:tblStyle w:val="23"/>
        <w:tblW w:w="10610"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016"/>
        <w:gridCol w:w="1116"/>
        <w:gridCol w:w="1016"/>
        <w:gridCol w:w="1016"/>
        <w:gridCol w:w="1116"/>
        <w:gridCol w:w="1116"/>
        <w:gridCol w:w="1116"/>
        <w:gridCol w:w="1116"/>
        <w:gridCol w:w="111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blHeader/>
          <w:jc w:val="center"/>
        </w:trPr>
        <w:tc>
          <w:tcPr>
            <w:tcW w:w="866"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期间</w:t>
            </w:r>
          </w:p>
        </w:tc>
        <w:tc>
          <w:tcPr>
            <w:tcW w:w="2132" w:type="dxa"/>
            <w:gridSpan w:val="2"/>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运营补助</w:t>
            </w:r>
          </w:p>
        </w:tc>
        <w:tc>
          <w:tcPr>
            <w:tcW w:w="2032" w:type="dxa"/>
            <w:gridSpan w:val="2"/>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合理利润</w:t>
            </w:r>
          </w:p>
        </w:tc>
        <w:tc>
          <w:tcPr>
            <w:tcW w:w="5580" w:type="dxa"/>
            <w:gridSpan w:val="5"/>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政府付费计划</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jc w:val="center"/>
        </w:trPr>
        <w:tc>
          <w:tcPr>
            <w:tcW w:w="866" w:type="dxa"/>
            <w:vMerge w:val="continue"/>
            <w:vAlign w:val="center"/>
          </w:tcPr>
          <w:p>
            <w:pPr>
              <w:widowControl/>
              <w:spacing w:line="360" w:lineRule="auto"/>
              <w:jc w:val="center"/>
              <w:rPr>
                <w:rFonts w:cs="宋体" w:asciiTheme="minorEastAsia" w:hAnsiTheme="minorEastAsia" w:eastAsiaTheme="minorEastAsia"/>
                <w:color w:val="auto"/>
                <w:kern w:val="0"/>
                <w:sz w:val="20"/>
                <w:szCs w:val="20"/>
              </w:rPr>
            </w:pPr>
          </w:p>
        </w:tc>
        <w:tc>
          <w:tcPr>
            <w:tcW w:w="101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政策性亏损补助</w:t>
            </w:r>
          </w:p>
        </w:tc>
        <w:tc>
          <w:tcPr>
            <w:tcW w:w="111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运营亏损补助</w:t>
            </w:r>
          </w:p>
        </w:tc>
        <w:tc>
          <w:tcPr>
            <w:tcW w:w="101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项目资本金回报</w:t>
            </w:r>
          </w:p>
        </w:tc>
        <w:tc>
          <w:tcPr>
            <w:tcW w:w="101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外部融资回报</w:t>
            </w:r>
          </w:p>
        </w:tc>
        <w:tc>
          <w:tcPr>
            <w:tcW w:w="111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第一季度</w:t>
            </w:r>
          </w:p>
        </w:tc>
        <w:tc>
          <w:tcPr>
            <w:tcW w:w="111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第二季度</w:t>
            </w:r>
          </w:p>
        </w:tc>
        <w:tc>
          <w:tcPr>
            <w:tcW w:w="111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第三季度</w:t>
            </w:r>
          </w:p>
        </w:tc>
        <w:tc>
          <w:tcPr>
            <w:tcW w:w="111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第四季度</w:t>
            </w:r>
          </w:p>
        </w:tc>
        <w:tc>
          <w:tcPr>
            <w:tcW w:w="1116" w:type="dxa"/>
            <w:shd w:val="clear" w:color="auto" w:fill="auto"/>
            <w:vAlign w:val="center"/>
          </w:tcPr>
          <w:p>
            <w:pPr>
              <w:widowControl/>
              <w:spacing w:line="360" w:lineRule="auto"/>
              <w:jc w:val="center"/>
              <w:rPr>
                <w:rFonts w:cs="宋体" w:asciiTheme="minorEastAsia" w:hAnsiTheme="minorEastAsia" w:eastAsiaTheme="minorEastAsia"/>
                <w:color w:val="auto"/>
                <w:kern w:val="0"/>
                <w:sz w:val="20"/>
                <w:szCs w:val="20"/>
              </w:rPr>
            </w:pPr>
            <w:r>
              <w:rPr>
                <w:rFonts w:hint="eastAsia" w:cs="宋体" w:asciiTheme="minorEastAsia" w:hAnsiTheme="minorEastAsia" w:eastAsiaTheme="minorEastAsia"/>
                <w:color w:val="auto"/>
                <w:kern w:val="0"/>
                <w:sz w:val="20"/>
                <w:szCs w:val="20"/>
              </w:rPr>
              <w:t>合计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2020</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388.94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2,828.83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922.52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922.52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922.52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922.52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3,690.10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2021</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395.86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2,863.75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932.98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932.98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932.98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932.98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3,731.94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2022</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402.78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2,917.26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948.09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948.09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948.09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948.09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3,792.36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2023</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409.71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2,972.92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963.74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963.74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963.74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963.74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3,854.94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2024</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418.11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3,212.29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1,025.68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1,025.68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1,025.68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1,025.68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4,102.72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2025</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426.52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3,162.07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1,015.23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1,015.23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1,015.23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1,015.23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4,060.91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2026</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436.25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3,042.82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987.85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987.85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987.85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987.85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3,951.39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2027</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445.97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3,661.51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1,144.95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1,144.95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1,144.95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1,144.95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4,579.81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2028</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455.70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3,163.90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1,022.98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1,022.98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1,022.98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1,022.98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4,091.91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2029</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465.42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3,157.24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1,023.75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1,023.75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1,023.75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1,023.75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4,094.98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2030</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475.14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3,151.00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1,024.62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1,024.62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1,024.62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1,024.62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4,098.46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2031</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484.87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3,145.22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1,025.60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1,025.60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1,025.60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1,025.60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4,102.40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2032</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494.59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3,139.83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1,026.68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1,026.68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1,026.68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1,026.68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4,106.74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2033</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504.31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3,134.89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1,027.88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1,027.88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1,027.88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1,027.88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4,111.52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2034</w:t>
            </w:r>
            <w:r>
              <w:rPr>
                <w:rFonts w:hint="eastAsia" w:cs="Arial" w:asciiTheme="minorEastAsia" w:hAnsiTheme="minorEastAsia" w:eastAsiaTheme="minorEastAsia"/>
                <w:color w:val="auto"/>
                <w:kern w:val="0"/>
                <w:sz w:val="20"/>
                <w:szCs w:val="20"/>
              </w:rPr>
              <w:t>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514.04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3,130.43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1,029.20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1,029.20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1,029.20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1,029.20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4,116.78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cs="Arial" w:asciiTheme="minorEastAsia" w:hAnsiTheme="minorEastAsia" w:eastAsiaTheme="minorEastAsia"/>
                <w:color w:val="auto"/>
                <w:kern w:val="0"/>
                <w:sz w:val="20"/>
                <w:szCs w:val="20"/>
              </w:rPr>
              <w:t>2035年</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523.76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4,172.82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96.00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376.32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1,292.22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1,292.22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1,292.22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1,292.22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5,168.90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shd w:val="clear" w:color="auto" w:fill="auto"/>
            <w:vAlign w:val="center"/>
          </w:tcPr>
          <w:p>
            <w:pPr>
              <w:widowControl/>
              <w:spacing w:line="360" w:lineRule="auto"/>
              <w:jc w:val="center"/>
              <w:rPr>
                <w:rFonts w:cs="Arial" w:asciiTheme="minorEastAsia" w:hAnsiTheme="minorEastAsia" w:eastAsiaTheme="minorEastAsia"/>
                <w:color w:val="auto"/>
                <w:kern w:val="0"/>
                <w:sz w:val="20"/>
                <w:szCs w:val="20"/>
              </w:rPr>
            </w:pPr>
            <w:r>
              <w:rPr>
                <w:rFonts w:hint="eastAsia" w:cs="Arial" w:asciiTheme="minorEastAsia" w:hAnsiTheme="minorEastAsia" w:eastAsiaTheme="minorEastAsia"/>
                <w:color w:val="auto"/>
                <w:kern w:val="0"/>
                <w:sz w:val="20"/>
                <w:szCs w:val="20"/>
              </w:rPr>
              <w:t>合计</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7,241.98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50,856.76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1,536.00 </w:t>
            </w:r>
          </w:p>
        </w:tc>
        <w:tc>
          <w:tcPr>
            <w:tcW w:w="10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6,021.12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16,413.97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16,413.97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16,413.97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16,413.97 </w:t>
            </w:r>
          </w:p>
        </w:tc>
        <w:tc>
          <w:tcPr>
            <w:tcW w:w="1116" w:type="dxa"/>
            <w:shd w:val="clear" w:color="auto" w:fill="auto"/>
            <w:vAlign w:val="center"/>
          </w:tcPr>
          <w:p>
            <w:pPr>
              <w:widowControl/>
              <w:spacing w:line="360" w:lineRule="auto"/>
              <w:jc w:val="right"/>
              <w:rPr>
                <w:rFonts w:cs="Arial" w:asciiTheme="minorEastAsia" w:hAnsiTheme="minorEastAsia" w:eastAsiaTheme="minorEastAsia"/>
                <w:color w:val="auto"/>
                <w:kern w:val="0"/>
                <w:sz w:val="20"/>
                <w:szCs w:val="20"/>
              </w:rPr>
            </w:pPr>
            <w:r>
              <w:rPr>
                <w:rFonts w:asciiTheme="minorEastAsia" w:hAnsiTheme="minorEastAsia" w:eastAsiaTheme="minorEastAsia"/>
                <w:color w:val="auto"/>
                <w:szCs w:val="21"/>
              </w:rPr>
              <w:t xml:space="preserve">65,655.86 </w:t>
            </w:r>
          </w:p>
        </w:tc>
      </w:tr>
    </w:tbl>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注1、上述政府各季度付费金额仅为当季度应付金额，不代表当季度支付。实际付费时间应参照服务质量考核周期，在下一季度完成上季度考核后进行付费。</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w:t>
      </w:r>
      <w:r>
        <w:rPr>
          <w:rFonts w:asciiTheme="minorEastAsia" w:hAnsiTheme="minorEastAsia" w:eastAsiaTheme="minorEastAsia"/>
          <w:color w:val="auto"/>
          <w:sz w:val="24"/>
          <w:szCs w:val="24"/>
        </w:rPr>
        <w:t>2、上述政府付费总额中政策性亏损补助和运营补助的占比较大。在特许经营期内，若启动调价机制，将对政府付费总额产生影响。若特许经营企业积极拓展其他相关运营收入，并实施有效的成本管控降低车辆购置价、单车可控运营成本，则政府付费总额将随之下降。</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注</w:t>
      </w:r>
      <w:r>
        <w:rPr>
          <w:rFonts w:asciiTheme="minorEastAsia" w:hAnsiTheme="minorEastAsia" w:eastAsiaTheme="minorEastAsia"/>
          <w:color w:val="auto"/>
          <w:sz w:val="24"/>
          <w:szCs w:val="24"/>
        </w:rPr>
        <w:t>3、上述政府付费总额的测算仅基于本项目所列的初期</w:t>
      </w:r>
      <w:r>
        <w:rPr>
          <w:rFonts w:hint="eastAsia" w:asciiTheme="minorEastAsia" w:hAnsiTheme="minorEastAsia" w:eastAsiaTheme="minorEastAsia"/>
          <w:color w:val="auto"/>
          <w:sz w:val="24"/>
          <w:szCs w:val="24"/>
        </w:rPr>
        <w:t>开通城市公交和城乡公交线路，若东方市政府后续根据</w:t>
      </w:r>
      <w:r>
        <w:rPr>
          <w:rFonts w:asciiTheme="minorEastAsia" w:hAnsiTheme="minorEastAsia" w:eastAsiaTheme="minorEastAsia"/>
          <w:color w:val="auto"/>
          <w:sz w:val="24"/>
          <w:szCs w:val="24"/>
        </w:rPr>
        <w:t>实际需求陆续</w:t>
      </w:r>
      <w:r>
        <w:rPr>
          <w:rFonts w:hint="eastAsia" w:asciiTheme="minorEastAsia" w:hAnsiTheme="minorEastAsia" w:eastAsiaTheme="minorEastAsia"/>
          <w:color w:val="auto"/>
          <w:sz w:val="24"/>
          <w:szCs w:val="24"/>
        </w:rPr>
        <w:t>开通镇村公交、旅游公交以及</w:t>
      </w:r>
      <w:r>
        <w:rPr>
          <w:rFonts w:asciiTheme="minorEastAsia" w:hAnsiTheme="minorEastAsia" w:eastAsiaTheme="minorEastAsia"/>
          <w:color w:val="auto"/>
          <w:sz w:val="24"/>
          <w:szCs w:val="24"/>
        </w:rPr>
        <w:t>新增其他</w:t>
      </w:r>
      <w:r>
        <w:rPr>
          <w:rFonts w:hint="eastAsia" w:asciiTheme="minorEastAsia" w:hAnsiTheme="minorEastAsia" w:eastAsiaTheme="minorEastAsia"/>
          <w:color w:val="auto"/>
          <w:sz w:val="24"/>
          <w:szCs w:val="24"/>
        </w:rPr>
        <w:t>城乡</w:t>
      </w:r>
      <w:r>
        <w:rPr>
          <w:rFonts w:asciiTheme="minorEastAsia" w:hAnsiTheme="minorEastAsia" w:eastAsiaTheme="minorEastAsia"/>
          <w:color w:val="auto"/>
          <w:sz w:val="24"/>
          <w:szCs w:val="24"/>
        </w:rPr>
        <w:t>公交线路</w:t>
      </w:r>
      <w:r>
        <w:rPr>
          <w:rFonts w:hint="eastAsia" w:asciiTheme="minorEastAsia" w:hAnsiTheme="minorEastAsia" w:eastAsiaTheme="minorEastAsia"/>
          <w:color w:val="auto"/>
          <w:sz w:val="24"/>
          <w:szCs w:val="24"/>
        </w:rPr>
        <w:t>，其相应的政府付费总额可参考如下方式测算：</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①新能源补贴：有无该项补贴视新增线路计划的当年有无相关补贴政策而定。</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②政策性亏损补助：测算方式同本方案</w:t>
      </w:r>
      <w:r>
        <w:rPr>
          <w:rFonts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③运营补助：即弥补运营成本缺口的金额，测算方式同本方案。</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运营成本缺口＝营业总收入－（营业总成本－财务费用）＋新购置车辆的两级财政补贴＋政策性亏损补助</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营业总成本＝营业成本＋管理费用＋财务费用</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营业成本可参考城市公交、城乡公交在特许经营企业特许经营期内约定的考核标准进行估算，如单车采购成本（下浮率）、可控直接运营成本（按单车或千公里年度成本核算）等。</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④项目资本金回报：基于新增的规模分别考虑新增的项目资本金投入和外部融资金额，回报率参考特许经营期内约定的回报水平。</w:t>
      </w:r>
    </w:p>
    <w:p>
      <w:pPr>
        <w:keepNext/>
        <w:keepLines/>
        <w:spacing w:line="360" w:lineRule="auto"/>
        <w:ind w:firstLine="640"/>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5</w:t>
      </w:r>
      <w:r>
        <w:rPr>
          <w:rFonts w:hint="eastAsia" w:asciiTheme="minorEastAsia" w:hAnsiTheme="minorEastAsia" w:eastAsiaTheme="minorEastAsia"/>
          <w:color w:val="auto"/>
          <w:sz w:val="24"/>
        </w:rPr>
        <w:t>）财务指标</w:t>
      </w:r>
      <w:r>
        <w:rPr>
          <w:rFonts w:asciiTheme="minorEastAsia" w:hAnsiTheme="minorEastAsia" w:eastAsiaTheme="minorEastAsia"/>
          <w:color w:val="auto"/>
          <w:sz w:val="24"/>
        </w:rPr>
        <w:t>分析</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财务指标分析是以上述投资规模、收入、成本、费用及财政补贴为基础进行分析计算；涉及的财务指标包括内部收益率、投资利润率、财务净现值、投资回收期、投资利税率等。考虑到</w:t>
      </w:r>
      <w:r>
        <w:rPr>
          <w:rFonts w:asciiTheme="minorEastAsia" w:hAnsiTheme="minorEastAsia" w:eastAsiaTheme="minorEastAsia"/>
          <w:color w:val="auto"/>
          <w:sz w:val="24"/>
          <w:szCs w:val="24"/>
        </w:rPr>
        <w:t>本项目</w:t>
      </w:r>
      <w:r>
        <w:rPr>
          <w:rFonts w:hint="eastAsia" w:asciiTheme="minorEastAsia" w:hAnsiTheme="minorEastAsia" w:eastAsiaTheme="minorEastAsia"/>
          <w:color w:val="auto"/>
          <w:sz w:val="24"/>
          <w:szCs w:val="24"/>
        </w:rPr>
        <w:t>初期</w:t>
      </w:r>
      <w:r>
        <w:rPr>
          <w:rFonts w:asciiTheme="minorEastAsia" w:hAnsiTheme="minorEastAsia" w:eastAsiaTheme="minorEastAsia"/>
          <w:color w:val="auto"/>
          <w:sz w:val="24"/>
          <w:szCs w:val="24"/>
        </w:rPr>
        <w:t>投资和政府补贴的</w:t>
      </w:r>
      <w:r>
        <w:rPr>
          <w:rFonts w:hint="eastAsia" w:asciiTheme="minorEastAsia" w:hAnsiTheme="minorEastAsia" w:eastAsiaTheme="minorEastAsia"/>
          <w:color w:val="auto"/>
          <w:sz w:val="24"/>
          <w:szCs w:val="24"/>
        </w:rPr>
        <w:t>特殊</w:t>
      </w:r>
      <w:r>
        <w:rPr>
          <w:rFonts w:asciiTheme="minorEastAsia" w:hAnsiTheme="minorEastAsia" w:eastAsiaTheme="minorEastAsia"/>
          <w:color w:val="auto"/>
          <w:sz w:val="24"/>
          <w:szCs w:val="24"/>
        </w:rPr>
        <w:t>情况，仅对</w:t>
      </w:r>
      <w:r>
        <w:rPr>
          <w:rFonts w:hint="eastAsia" w:asciiTheme="minorEastAsia" w:hAnsiTheme="minorEastAsia" w:eastAsiaTheme="minorEastAsia"/>
          <w:color w:val="auto"/>
          <w:sz w:val="24"/>
          <w:szCs w:val="24"/>
        </w:rPr>
        <w:t>投资利润率</w:t>
      </w:r>
      <w:r>
        <w:rPr>
          <w:rFonts w:asciiTheme="minorEastAsia" w:hAnsiTheme="minorEastAsia" w:eastAsiaTheme="minorEastAsia"/>
          <w:color w:val="auto"/>
          <w:sz w:val="24"/>
          <w:szCs w:val="24"/>
        </w:rPr>
        <w:t>、财务净现值、</w:t>
      </w:r>
      <w:r>
        <w:rPr>
          <w:rFonts w:hint="eastAsia" w:asciiTheme="minorEastAsia" w:hAnsiTheme="minorEastAsia" w:eastAsiaTheme="minorEastAsia"/>
          <w:color w:val="auto"/>
          <w:sz w:val="24"/>
          <w:szCs w:val="24"/>
        </w:rPr>
        <w:t>投资回收期、</w:t>
      </w:r>
      <w:r>
        <w:rPr>
          <w:rFonts w:asciiTheme="minorEastAsia" w:hAnsiTheme="minorEastAsia" w:eastAsiaTheme="minorEastAsia"/>
          <w:color w:val="auto"/>
          <w:sz w:val="24"/>
          <w:szCs w:val="24"/>
        </w:rPr>
        <w:t>投资利税率进行分析</w:t>
      </w:r>
      <w:r>
        <w:rPr>
          <w:rFonts w:hint="eastAsia" w:asciiTheme="minorEastAsia" w:hAnsiTheme="minorEastAsia" w:eastAsiaTheme="minorEastAsia"/>
          <w:color w:val="auto"/>
          <w:sz w:val="24"/>
          <w:szCs w:val="24"/>
        </w:rPr>
        <w:t>。</w:t>
      </w:r>
    </w:p>
    <w:p>
      <w:pPr>
        <w:spacing w:line="360" w:lineRule="auto"/>
        <w:ind w:firstLine="640"/>
        <w:rPr>
          <w:rFonts w:asciiTheme="minorEastAsia" w:hAnsiTheme="minorEastAsia" w:eastAsiaTheme="minorEastAsia"/>
          <w:color w:val="auto"/>
          <w:sz w:val="24"/>
        </w:rPr>
      </w:pPr>
      <w:r>
        <w:rPr>
          <w:rFonts w:hint="eastAsia" w:cs="Arial" w:asciiTheme="minorEastAsia" w:hAnsiTheme="minorEastAsia" w:eastAsiaTheme="minorEastAsia"/>
          <w:color w:val="auto"/>
          <w:sz w:val="24"/>
        </w:rPr>
        <w:t>具体计算结果如下：</w:t>
      </w:r>
    </w:p>
    <w:p>
      <w:pPr>
        <w:keepLines/>
        <w:spacing w:line="360" w:lineRule="auto"/>
        <w:jc w:val="center"/>
        <w:textAlignment w:val="center"/>
        <w:rPr>
          <w:rFonts w:asciiTheme="minorEastAsia" w:hAnsiTheme="minorEastAsia" w:eastAsiaTheme="minorEastAsia"/>
          <w:b/>
          <w:bCs/>
          <w:color w:val="auto"/>
          <w:szCs w:val="28"/>
        </w:rPr>
      </w:pPr>
      <w:r>
        <w:rPr>
          <w:rFonts w:hint="eastAsia" w:asciiTheme="minorEastAsia" w:hAnsiTheme="minorEastAsia" w:eastAsiaTheme="minorEastAsia"/>
          <w:b/>
          <w:bCs/>
          <w:color w:val="auto"/>
          <w:szCs w:val="28"/>
        </w:rPr>
        <w:t>表</w:t>
      </w:r>
      <w:r>
        <w:rPr>
          <w:rFonts w:asciiTheme="minorEastAsia" w:hAnsiTheme="minorEastAsia" w:eastAsiaTheme="minorEastAsia"/>
          <w:b/>
          <w:bCs/>
          <w:color w:val="auto"/>
          <w:szCs w:val="28"/>
        </w:rPr>
        <w:t>7.21</w:t>
      </w:r>
      <w:r>
        <w:rPr>
          <w:rFonts w:hint="eastAsia" w:asciiTheme="minorEastAsia" w:hAnsiTheme="minorEastAsia" w:eastAsiaTheme="minorEastAsia"/>
          <w:b/>
          <w:bCs/>
          <w:color w:val="auto"/>
          <w:szCs w:val="28"/>
        </w:rPr>
        <w:t>特许经营企业财务指标分析</w:t>
      </w:r>
    </w:p>
    <w:tbl>
      <w:tblPr>
        <w:tblStyle w:val="23"/>
        <w:tblW w:w="862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894"/>
        <w:gridCol w:w="511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1616" w:type="dxa"/>
            <w:shd w:val="clear" w:color="auto" w:fill="auto"/>
            <w:vAlign w:val="center"/>
          </w:tcPr>
          <w:p>
            <w:pPr>
              <w:widowControl/>
              <w:spacing w:line="360" w:lineRule="auto"/>
              <w:jc w:val="center"/>
              <w:rPr>
                <w:rFonts w:cs="Arial" w:asciiTheme="minorEastAsia" w:hAnsiTheme="minorEastAsia" w:eastAsiaTheme="minorEastAsia"/>
                <w:b/>
                <w:color w:val="auto"/>
                <w:kern w:val="0"/>
                <w:sz w:val="22"/>
                <w:szCs w:val="20"/>
              </w:rPr>
            </w:pPr>
            <w:r>
              <w:rPr>
                <w:rFonts w:cs="Arial" w:asciiTheme="minorEastAsia" w:hAnsiTheme="minorEastAsia" w:eastAsiaTheme="minorEastAsia"/>
                <w:b/>
                <w:color w:val="auto"/>
                <w:kern w:val="0"/>
                <w:sz w:val="22"/>
                <w:szCs w:val="20"/>
              </w:rPr>
              <w:t>项目</w:t>
            </w:r>
          </w:p>
        </w:tc>
        <w:tc>
          <w:tcPr>
            <w:tcW w:w="1894" w:type="dxa"/>
            <w:shd w:val="clear" w:color="000000" w:fill="FFFFFF"/>
            <w:vAlign w:val="center"/>
          </w:tcPr>
          <w:p>
            <w:pPr>
              <w:widowControl/>
              <w:spacing w:line="360" w:lineRule="auto"/>
              <w:jc w:val="center"/>
              <w:rPr>
                <w:rFonts w:cs="Arial" w:asciiTheme="minorEastAsia" w:hAnsiTheme="minorEastAsia" w:eastAsiaTheme="minorEastAsia"/>
                <w:b/>
                <w:color w:val="auto"/>
                <w:kern w:val="0"/>
                <w:sz w:val="22"/>
                <w:szCs w:val="20"/>
              </w:rPr>
            </w:pPr>
            <w:r>
              <w:rPr>
                <w:rFonts w:cs="Arial" w:asciiTheme="minorEastAsia" w:hAnsiTheme="minorEastAsia" w:eastAsiaTheme="minorEastAsia"/>
                <w:b/>
                <w:color w:val="auto"/>
                <w:kern w:val="0"/>
                <w:sz w:val="22"/>
                <w:szCs w:val="20"/>
              </w:rPr>
              <w:t>指标</w:t>
            </w:r>
          </w:p>
        </w:tc>
        <w:tc>
          <w:tcPr>
            <w:tcW w:w="5111" w:type="dxa"/>
            <w:shd w:val="clear" w:color="auto" w:fill="auto"/>
            <w:vAlign w:val="center"/>
          </w:tcPr>
          <w:p>
            <w:pPr>
              <w:widowControl/>
              <w:spacing w:line="360" w:lineRule="auto"/>
              <w:jc w:val="center"/>
              <w:rPr>
                <w:rFonts w:cs="Arial" w:asciiTheme="minorEastAsia" w:hAnsiTheme="minorEastAsia" w:eastAsiaTheme="minorEastAsia"/>
                <w:b/>
                <w:color w:val="auto"/>
                <w:kern w:val="0"/>
                <w:sz w:val="22"/>
                <w:szCs w:val="20"/>
              </w:rPr>
            </w:pPr>
            <w:r>
              <w:rPr>
                <w:rFonts w:cs="Arial" w:asciiTheme="minorEastAsia" w:hAnsiTheme="minorEastAsia" w:eastAsiaTheme="minorEastAsia"/>
                <w:b/>
                <w:color w:val="auto"/>
                <w:kern w:val="0"/>
                <w:sz w:val="22"/>
                <w:szCs w:val="20"/>
              </w:rPr>
              <w:t>公式或含义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616"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0"/>
              </w:rPr>
            </w:pPr>
            <w:r>
              <w:rPr>
                <w:rFonts w:hint="eastAsia" w:cs="Arial" w:asciiTheme="minorEastAsia" w:hAnsiTheme="minorEastAsia" w:eastAsiaTheme="minorEastAsia"/>
                <w:color w:val="auto"/>
                <w:kern w:val="0"/>
                <w:sz w:val="22"/>
                <w:szCs w:val="20"/>
              </w:rPr>
              <w:t>投资利润率</w:t>
            </w:r>
          </w:p>
        </w:tc>
        <w:tc>
          <w:tcPr>
            <w:tcW w:w="1894" w:type="dxa"/>
            <w:shd w:val="clear" w:color="000000" w:fill="FFFFFF"/>
            <w:vAlign w:val="center"/>
          </w:tcPr>
          <w:p>
            <w:pPr>
              <w:widowControl/>
              <w:spacing w:line="360" w:lineRule="auto"/>
              <w:jc w:val="center"/>
              <w:rPr>
                <w:rFonts w:cs="Arial" w:asciiTheme="minorEastAsia" w:hAnsiTheme="minorEastAsia" w:eastAsiaTheme="minorEastAsia"/>
                <w:color w:val="auto"/>
                <w:kern w:val="0"/>
                <w:sz w:val="22"/>
                <w:szCs w:val="20"/>
              </w:rPr>
            </w:pPr>
            <w:r>
              <w:rPr>
                <w:rFonts w:cs="Arial" w:asciiTheme="minorEastAsia" w:hAnsiTheme="minorEastAsia" w:eastAsiaTheme="minorEastAsia"/>
                <w:color w:val="auto"/>
                <w:kern w:val="0"/>
                <w:sz w:val="22"/>
                <w:szCs w:val="20"/>
              </w:rPr>
              <w:t>6.00%</w:t>
            </w:r>
          </w:p>
        </w:tc>
        <w:tc>
          <w:tcPr>
            <w:tcW w:w="5111" w:type="dxa"/>
            <w:shd w:val="clear" w:color="auto" w:fill="auto"/>
            <w:vAlign w:val="center"/>
          </w:tcPr>
          <w:p>
            <w:pPr>
              <w:widowControl/>
              <w:spacing w:line="360" w:lineRule="auto"/>
              <w:rPr>
                <w:rFonts w:cs="Arial" w:asciiTheme="minorEastAsia" w:hAnsiTheme="minorEastAsia" w:eastAsiaTheme="minorEastAsia"/>
                <w:color w:val="auto"/>
                <w:kern w:val="0"/>
                <w:sz w:val="22"/>
                <w:szCs w:val="20"/>
              </w:rPr>
            </w:pPr>
            <w:r>
              <w:rPr>
                <w:rFonts w:cs="Arial" w:asciiTheme="minorEastAsia" w:hAnsiTheme="minorEastAsia" w:eastAsiaTheme="minorEastAsia"/>
                <w:color w:val="auto"/>
                <w:kern w:val="0"/>
                <w:sz w:val="22"/>
                <w:szCs w:val="20"/>
              </w:rPr>
              <w:t>投资利润率(ROI)=平均息税前利润(EBIT)/总投资(TI)*100%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616"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0"/>
              </w:rPr>
            </w:pPr>
            <w:r>
              <w:rPr>
                <w:rFonts w:hint="eastAsia" w:cs="Arial" w:asciiTheme="minorEastAsia" w:hAnsiTheme="minorEastAsia" w:eastAsiaTheme="minorEastAsia"/>
                <w:color w:val="auto"/>
                <w:kern w:val="0"/>
                <w:sz w:val="22"/>
                <w:szCs w:val="20"/>
              </w:rPr>
              <w:t>财务净现值</w:t>
            </w:r>
          </w:p>
        </w:tc>
        <w:tc>
          <w:tcPr>
            <w:tcW w:w="1894" w:type="dxa"/>
            <w:shd w:val="clear" w:color="000000" w:fill="FFFFFF"/>
            <w:vAlign w:val="center"/>
          </w:tcPr>
          <w:p>
            <w:pPr>
              <w:widowControl/>
              <w:spacing w:line="360" w:lineRule="auto"/>
              <w:jc w:val="center"/>
              <w:rPr>
                <w:rFonts w:cs="Arial" w:asciiTheme="minorEastAsia" w:hAnsiTheme="minorEastAsia" w:eastAsiaTheme="minorEastAsia"/>
                <w:color w:val="auto"/>
                <w:kern w:val="0"/>
                <w:sz w:val="22"/>
                <w:szCs w:val="20"/>
              </w:rPr>
            </w:pPr>
            <w:r>
              <w:rPr>
                <w:rFonts w:cs="Arial" w:asciiTheme="minorEastAsia" w:hAnsiTheme="minorEastAsia" w:eastAsiaTheme="minorEastAsia"/>
                <w:color w:val="auto"/>
                <w:kern w:val="0"/>
                <w:sz w:val="22"/>
                <w:szCs w:val="20"/>
              </w:rPr>
              <w:t xml:space="preserve"> 2,731.53</w:t>
            </w:r>
            <w:r>
              <w:rPr>
                <w:rFonts w:hint="eastAsia" w:cs="Arial" w:asciiTheme="minorEastAsia" w:hAnsiTheme="minorEastAsia" w:eastAsiaTheme="minorEastAsia"/>
                <w:color w:val="auto"/>
                <w:kern w:val="0"/>
                <w:sz w:val="22"/>
                <w:szCs w:val="20"/>
              </w:rPr>
              <w:t>万元</w:t>
            </w:r>
          </w:p>
        </w:tc>
        <w:tc>
          <w:tcPr>
            <w:tcW w:w="5111" w:type="dxa"/>
            <w:shd w:val="clear" w:color="auto" w:fill="auto"/>
            <w:vAlign w:val="center"/>
          </w:tcPr>
          <w:p>
            <w:pPr>
              <w:widowControl/>
              <w:spacing w:line="360" w:lineRule="auto"/>
              <w:rPr>
                <w:rFonts w:cs="Arial" w:asciiTheme="minorEastAsia" w:hAnsiTheme="minorEastAsia" w:eastAsiaTheme="minorEastAsia"/>
                <w:color w:val="auto"/>
                <w:kern w:val="0"/>
                <w:sz w:val="22"/>
                <w:szCs w:val="20"/>
              </w:rPr>
            </w:pPr>
            <w:r>
              <w:rPr>
                <w:rFonts w:cs="Arial" w:asciiTheme="minorEastAsia" w:hAnsiTheme="minorEastAsia" w:eastAsiaTheme="minorEastAsia"/>
                <w:color w:val="auto"/>
                <w:kern w:val="0"/>
                <w:sz w:val="22"/>
                <w:szCs w:val="20"/>
              </w:rPr>
              <w:t>财务净现值(FNPV)亦称"累计净现值"。拟建项目按部门或行业的基准收益率或设定的折现率，将计算期内各年的净现金流量折现到建设起点年份 (基准年) 的现值累计数，是企业经济评价的辅助指标。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616"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0"/>
              </w:rPr>
            </w:pPr>
            <w:r>
              <w:rPr>
                <w:rFonts w:hint="eastAsia" w:cs="Arial" w:asciiTheme="minorEastAsia" w:hAnsiTheme="minorEastAsia" w:eastAsiaTheme="minorEastAsia"/>
                <w:color w:val="auto"/>
                <w:kern w:val="0"/>
                <w:sz w:val="22"/>
                <w:szCs w:val="20"/>
              </w:rPr>
              <w:t>投资回收期（静态）</w:t>
            </w:r>
          </w:p>
        </w:tc>
        <w:tc>
          <w:tcPr>
            <w:tcW w:w="1894" w:type="dxa"/>
            <w:shd w:val="clear" w:color="000000" w:fill="FFFFFF"/>
            <w:vAlign w:val="center"/>
          </w:tcPr>
          <w:p>
            <w:pPr>
              <w:widowControl/>
              <w:spacing w:line="360" w:lineRule="auto"/>
              <w:jc w:val="center"/>
              <w:rPr>
                <w:rFonts w:cs="Arial" w:asciiTheme="minorEastAsia" w:hAnsiTheme="minorEastAsia" w:eastAsiaTheme="minorEastAsia"/>
                <w:color w:val="auto"/>
                <w:kern w:val="0"/>
                <w:sz w:val="22"/>
                <w:szCs w:val="20"/>
              </w:rPr>
            </w:pPr>
            <w:r>
              <w:rPr>
                <w:rFonts w:cs="Arial" w:asciiTheme="minorEastAsia" w:hAnsiTheme="minorEastAsia" w:eastAsiaTheme="minorEastAsia"/>
                <w:color w:val="auto"/>
                <w:kern w:val="0"/>
                <w:sz w:val="22"/>
                <w:szCs w:val="20"/>
              </w:rPr>
              <w:t xml:space="preserve"> 15.21</w:t>
            </w:r>
            <w:r>
              <w:rPr>
                <w:rFonts w:hint="eastAsia" w:cs="Arial" w:asciiTheme="minorEastAsia" w:hAnsiTheme="minorEastAsia" w:eastAsiaTheme="minorEastAsia"/>
                <w:color w:val="auto"/>
                <w:kern w:val="0"/>
                <w:sz w:val="22"/>
                <w:szCs w:val="20"/>
              </w:rPr>
              <w:t>年</w:t>
            </w:r>
          </w:p>
        </w:tc>
        <w:tc>
          <w:tcPr>
            <w:tcW w:w="5111" w:type="dxa"/>
            <w:shd w:val="clear" w:color="auto" w:fill="auto"/>
            <w:vAlign w:val="center"/>
          </w:tcPr>
          <w:p>
            <w:pPr>
              <w:widowControl/>
              <w:spacing w:line="360" w:lineRule="auto"/>
              <w:rPr>
                <w:rFonts w:cs="Arial" w:asciiTheme="minorEastAsia" w:hAnsiTheme="minorEastAsia" w:eastAsiaTheme="minorEastAsia"/>
                <w:color w:val="auto"/>
                <w:kern w:val="0"/>
                <w:sz w:val="22"/>
                <w:szCs w:val="20"/>
              </w:rPr>
            </w:pPr>
            <w:r>
              <w:rPr>
                <w:rFonts w:hint="eastAsia" w:cs="Arial" w:asciiTheme="minorEastAsia" w:hAnsiTheme="minorEastAsia" w:eastAsiaTheme="minorEastAsia"/>
                <w:color w:val="auto"/>
                <w:kern w:val="0"/>
                <w:sz w:val="22"/>
                <w:szCs w:val="20"/>
              </w:rPr>
              <w:t>静态投资回收期是在不考虑资金时间价值的条件下，以项目的净收益回收其全部投资所需要的时间。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616"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0"/>
              </w:rPr>
            </w:pPr>
            <w:r>
              <w:rPr>
                <w:rFonts w:hint="eastAsia" w:cs="Arial" w:asciiTheme="minorEastAsia" w:hAnsiTheme="minorEastAsia" w:eastAsiaTheme="minorEastAsia"/>
                <w:color w:val="auto"/>
                <w:kern w:val="0"/>
                <w:sz w:val="22"/>
                <w:szCs w:val="20"/>
              </w:rPr>
              <w:t>投资回收期（动态）</w:t>
            </w:r>
          </w:p>
        </w:tc>
        <w:tc>
          <w:tcPr>
            <w:tcW w:w="1894" w:type="dxa"/>
            <w:shd w:val="clear" w:color="000000" w:fill="FFFFFF"/>
            <w:vAlign w:val="center"/>
          </w:tcPr>
          <w:p>
            <w:pPr>
              <w:widowControl/>
              <w:spacing w:line="360" w:lineRule="auto"/>
              <w:jc w:val="center"/>
              <w:rPr>
                <w:rFonts w:cs="Arial" w:asciiTheme="minorEastAsia" w:hAnsiTheme="minorEastAsia" w:eastAsiaTheme="minorEastAsia"/>
                <w:color w:val="auto"/>
                <w:kern w:val="0"/>
                <w:sz w:val="22"/>
                <w:szCs w:val="20"/>
              </w:rPr>
            </w:pPr>
            <w:r>
              <w:rPr>
                <w:rFonts w:cs="Arial" w:asciiTheme="minorEastAsia" w:hAnsiTheme="minorEastAsia" w:eastAsiaTheme="minorEastAsia"/>
                <w:color w:val="auto"/>
                <w:kern w:val="0"/>
                <w:sz w:val="22"/>
                <w:szCs w:val="20"/>
              </w:rPr>
              <w:t xml:space="preserve"> 14.68</w:t>
            </w:r>
            <w:r>
              <w:rPr>
                <w:rFonts w:hint="eastAsia" w:cs="Arial" w:asciiTheme="minorEastAsia" w:hAnsiTheme="minorEastAsia" w:eastAsiaTheme="minorEastAsia"/>
                <w:color w:val="auto"/>
                <w:kern w:val="0"/>
                <w:sz w:val="22"/>
                <w:szCs w:val="20"/>
              </w:rPr>
              <w:t>年</w:t>
            </w:r>
          </w:p>
        </w:tc>
        <w:tc>
          <w:tcPr>
            <w:tcW w:w="5111" w:type="dxa"/>
            <w:shd w:val="clear" w:color="auto" w:fill="auto"/>
            <w:vAlign w:val="center"/>
          </w:tcPr>
          <w:p>
            <w:pPr>
              <w:widowControl/>
              <w:spacing w:line="360" w:lineRule="auto"/>
              <w:rPr>
                <w:rFonts w:cs="Arial" w:asciiTheme="minorEastAsia" w:hAnsiTheme="minorEastAsia" w:eastAsiaTheme="minorEastAsia"/>
                <w:color w:val="auto"/>
                <w:kern w:val="0"/>
                <w:sz w:val="22"/>
                <w:szCs w:val="20"/>
              </w:rPr>
            </w:pPr>
            <w:r>
              <w:rPr>
                <w:rFonts w:hint="eastAsia" w:cs="Arial" w:asciiTheme="minorEastAsia" w:hAnsiTheme="minorEastAsia" w:eastAsiaTheme="minorEastAsia"/>
                <w:color w:val="auto"/>
                <w:kern w:val="0"/>
                <w:sz w:val="22"/>
                <w:szCs w:val="20"/>
              </w:rPr>
              <w:t>动态投资回收期是把投资项目各年的净现金流量按基准收益率折成现值之后，再来推算投资回收期。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616" w:type="dxa"/>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0"/>
              </w:rPr>
            </w:pPr>
            <w:r>
              <w:rPr>
                <w:rFonts w:cs="Arial" w:asciiTheme="minorEastAsia" w:hAnsiTheme="minorEastAsia" w:eastAsiaTheme="minorEastAsia"/>
                <w:color w:val="auto"/>
                <w:kern w:val="0"/>
                <w:sz w:val="22"/>
                <w:szCs w:val="20"/>
              </w:rPr>
              <w:t>投资利税率</w:t>
            </w:r>
          </w:p>
        </w:tc>
        <w:tc>
          <w:tcPr>
            <w:tcW w:w="1894" w:type="dxa"/>
            <w:shd w:val="clear" w:color="000000" w:fill="FFFFFF"/>
            <w:vAlign w:val="center"/>
          </w:tcPr>
          <w:p>
            <w:pPr>
              <w:widowControl/>
              <w:spacing w:line="360" w:lineRule="auto"/>
              <w:jc w:val="center"/>
              <w:rPr>
                <w:rFonts w:cs="Arial" w:asciiTheme="minorEastAsia" w:hAnsiTheme="minorEastAsia" w:eastAsiaTheme="minorEastAsia"/>
                <w:color w:val="auto"/>
                <w:kern w:val="0"/>
                <w:sz w:val="22"/>
                <w:szCs w:val="20"/>
              </w:rPr>
            </w:pPr>
            <w:r>
              <w:rPr>
                <w:rFonts w:cs="Arial" w:asciiTheme="minorEastAsia" w:hAnsiTheme="minorEastAsia" w:eastAsiaTheme="minorEastAsia"/>
                <w:color w:val="auto"/>
                <w:kern w:val="0"/>
                <w:sz w:val="22"/>
                <w:szCs w:val="20"/>
              </w:rPr>
              <w:t>6.00%</w:t>
            </w:r>
          </w:p>
        </w:tc>
        <w:tc>
          <w:tcPr>
            <w:tcW w:w="5111" w:type="dxa"/>
            <w:shd w:val="clear" w:color="auto" w:fill="auto"/>
            <w:vAlign w:val="center"/>
          </w:tcPr>
          <w:p>
            <w:pPr>
              <w:widowControl/>
              <w:spacing w:line="360" w:lineRule="auto"/>
              <w:rPr>
                <w:rFonts w:cs="Arial" w:asciiTheme="minorEastAsia" w:hAnsiTheme="minorEastAsia" w:eastAsiaTheme="minorEastAsia"/>
                <w:color w:val="auto"/>
                <w:kern w:val="0"/>
                <w:sz w:val="22"/>
                <w:szCs w:val="20"/>
              </w:rPr>
            </w:pPr>
            <w:r>
              <w:rPr>
                <w:rFonts w:cs="Arial" w:asciiTheme="minorEastAsia" w:hAnsiTheme="minorEastAsia" w:eastAsiaTheme="minorEastAsia"/>
                <w:color w:val="auto"/>
                <w:kern w:val="0"/>
                <w:sz w:val="22"/>
                <w:szCs w:val="20"/>
              </w:rPr>
              <w:t>投资利税率=平均利税总额/总投资*100%</w:t>
            </w:r>
          </w:p>
        </w:tc>
      </w:tr>
    </w:tbl>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投资利润率是指项目的年息税前利润与总投资的比率，计算出的投资利润率应与行业的标准投资利润率或行业的平均投资利润率进行比较，若大于</w:t>
      </w:r>
      <w:r>
        <w:rPr>
          <w:rFonts w:asciiTheme="minorEastAsia" w:hAnsiTheme="minorEastAsia" w:eastAsiaTheme="minorEastAsia"/>
          <w:color w:val="auto"/>
          <w:sz w:val="24"/>
          <w:szCs w:val="24"/>
        </w:rPr>
        <w:t>(或等于)标准投资利润率或平均投资利润率，则认为项目是可以考虑接受的，否则不可行。</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财务净现值（</w:t>
      </w:r>
      <w:r>
        <w:rPr>
          <w:rFonts w:asciiTheme="minorEastAsia" w:hAnsiTheme="minorEastAsia" w:eastAsiaTheme="minorEastAsia"/>
          <w:color w:val="auto"/>
          <w:sz w:val="24"/>
          <w:szCs w:val="24"/>
        </w:rPr>
        <w:t>FNPV）是评价技术方案盈利能力的绝对指标。当FNPV≥0时，说明该方案能够满足基准收益率（本次按8%估算）要求的盈利水平，该方案在财务上是可行的;当FNPV&lt;0时，说明该方案不能满足基准收益率要求的盈利要求，该技术方案不可行。</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投资回收期亦称“投资回收年限”，是投资项目投产后获得的收益总额达到该投资项目投入的投资总额所需要的时间</w:t>
      </w:r>
      <w:r>
        <w:rPr>
          <w:rFonts w:asciiTheme="minorEastAsia" w:hAnsiTheme="minorEastAsia" w:eastAsiaTheme="minorEastAsia"/>
          <w:color w:val="auto"/>
          <w:sz w:val="24"/>
          <w:szCs w:val="24"/>
        </w:rPr>
        <w:t>(年限)。当投资回收期短于特许经营期时，该技术方案可行。</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投资利税率是指项目达到设计生产能力后的一个正常生产年份的年利税总额或项目生产经营期内的年平均利税总额与总投资的比率，当投资利税率高于或等于行业基准投资利税率时，证明项目可以采纳。</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内部收益率，就是资金流入现值总额与资金流出现值总额相等、净现值等于零时的折现率。考虑到本项目的初期投资及后续的投资及经营成本等都有政府的补贴，在考虑政府补贴的情况下几乎不存在净现值为</w:t>
      </w:r>
      <w:r>
        <w:rPr>
          <w:rFonts w:asciiTheme="minorEastAsia" w:hAnsiTheme="minorEastAsia" w:eastAsiaTheme="minorEastAsia"/>
          <w:color w:val="auto"/>
          <w:sz w:val="24"/>
          <w:szCs w:val="24"/>
        </w:rPr>
        <w:t>0的情况，因此不适合测算内部收益率。</w:t>
      </w:r>
    </w:p>
    <w:p>
      <w:pPr>
        <w:pStyle w:val="4"/>
        <w:spacing w:before="0" w:after="0" w:line="360" w:lineRule="auto"/>
        <w:ind w:firstLine="641"/>
        <w:rPr>
          <w:rFonts w:asciiTheme="minorEastAsia" w:hAnsiTheme="minorEastAsia" w:eastAsiaTheme="minorEastAsia"/>
          <w:color w:val="auto"/>
          <w:sz w:val="24"/>
        </w:rPr>
      </w:pPr>
      <w:bookmarkStart w:id="186" w:name="_Toc532748600"/>
      <w:bookmarkStart w:id="187" w:name="_Toc14266262"/>
      <w:bookmarkStart w:id="188" w:name="_Toc19881826"/>
      <w:r>
        <w:rPr>
          <w:rFonts w:asciiTheme="minorEastAsia" w:hAnsiTheme="minorEastAsia" w:eastAsiaTheme="minorEastAsia"/>
          <w:color w:val="auto"/>
          <w:sz w:val="24"/>
        </w:rPr>
        <w:t>3.</w:t>
      </w:r>
      <w:r>
        <w:rPr>
          <w:rFonts w:hint="eastAsia" w:asciiTheme="minorEastAsia" w:hAnsiTheme="minorEastAsia" w:eastAsiaTheme="minorEastAsia"/>
          <w:color w:val="auto"/>
          <w:sz w:val="24"/>
        </w:rPr>
        <w:t>政府付费资金来源及发放建议</w:t>
      </w:r>
      <w:bookmarkEnd w:id="186"/>
      <w:bookmarkEnd w:id="187"/>
      <w:bookmarkEnd w:id="188"/>
    </w:p>
    <w:p>
      <w:pPr>
        <w:keepNext/>
        <w:keepLines/>
        <w:spacing w:line="360" w:lineRule="auto"/>
        <w:ind w:firstLine="640"/>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1）付费资金来源</w:t>
      </w:r>
    </w:p>
    <w:p>
      <w:pPr>
        <w:pStyle w:val="48"/>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 1 \* GB3 </w:instrText>
      </w:r>
      <w:r>
        <w:rPr>
          <w:rFonts w:asciiTheme="minorEastAsia" w:hAnsiTheme="minorEastAsia" w:eastAsiaTheme="minorEastAsia"/>
          <w:color w:val="auto"/>
          <w:sz w:val="24"/>
          <w:szCs w:val="24"/>
        </w:rPr>
        <w:fldChar w:fldCharType="separate"/>
      </w:r>
      <w:r>
        <w:rPr>
          <w:rFonts w:hint="eastAsia" w:asciiTheme="minorEastAsia" w:hAnsiTheme="minorEastAsia" w:eastAsiaTheme="minorEastAsia"/>
          <w:color w:val="auto"/>
          <w:sz w:val="24"/>
          <w:szCs w:val="24"/>
        </w:rPr>
        <w:t>①</w:t>
      </w:r>
      <w:r>
        <w:rPr>
          <w:rFonts w:asciiTheme="minorEastAsia" w:hAnsiTheme="minorEastAsia" w:eastAsiaTheme="minorEastAsia"/>
          <w:color w:val="auto"/>
          <w:sz w:val="24"/>
          <w:szCs w:val="24"/>
        </w:rPr>
        <w:fldChar w:fldCharType="end"/>
      </w:r>
      <w:r>
        <w:rPr>
          <w:rFonts w:hint="eastAsia" w:asciiTheme="minorEastAsia" w:hAnsiTheme="minorEastAsia" w:eastAsiaTheme="minorEastAsia"/>
          <w:color w:val="auto"/>
          <w:sz w:val="24"/>
          <w:szCs w:val="24"/>
        </w:rPr>
        <w:t>新能源汽车运营补贴：根据《财政部科技部工业和信息化部发展改革委关于调整新能源汽车推广应用财政补贴政策的通知》（财建〔</w:t>
      </w:r>
      <w:r>
        <w:rPr>
          <w:rFonts w:asciiTheme="minorEastAsia" w:hAnsiTheme="minorEastAsia" w:eastAsiaTheme="minorEastAsia"/>
          <w:color w:val="auto"/>
          <w:sz w:val="24"/>
          <w:szCs w:val="24"/>
        </w:rPr>
        <w:t>2016</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958</w:t>
      </w:r>
      <w:r>
        <w:rPr>
          <w:rFonts w:hint="eastAsia" w:asciiTheme="minorEastAsia" w:hAnsiTheme="minorEastAsia" w:eastAsiaTheme="minorEastAsia"/>
          <w:color w:val="auto"/>
          <w:sz w:val="24"/>
          <w:szCs w:val="24"/>
        </w:rPr>
        <w:t>号）中关于新能源公交车运营补助的规定，</w:t>
      </w:r>
      <w:r>
        <w:rPr>
          <w:rFonts w:asciiTheme="minorEastAsia" w:hAnsiTheme="minorEastAsia" w:eastAsiaTheme="minorEastAsia"/>
          <w:color w:val="auto"/>
          <w:sz w:val="24"/>
          <w:szCs w:val="24"/>
        </w:rPr>
        <w:t>2019</w:t>
      </w:r>
      <w:r>
        <w:rPr>
          <w:rFonts w:hint="eastAsia" w:asciiTheme="minorEastAsia" w:hAnsiTheme="minorEastAsia" w:eastAsiaTheme="minorEastAsia"/>
          <w:color w:val="auto"/>
          <w:sz w:val="24"/>
          <w:szCs w:val="24"/>
        </w:rPr>
        <w:t>年所购车辆可获得新能源公交车运营中央补贴约</w:t>
      </w:r>
      <w:r>
        <w:rPr>
          <w:rFonts w:asciiTheme="minorEastAsia" w:hAnsiTheme="minorEastAsia" w:eastAsiaTheme="minorEastAsia"/>
          <w:color w:val="auto"/>
          <w:sz w:val="24"/>
          <w:szCs w:val="24"/>
        </w:rPr>
        <w:t>504</w:t>
      </w:r>
      <w:r>
        <w:rPr>
          <w:rFonts w:hint="eastAsia" w:asciiTheme="minorEastAsia" w:hAnsiTheme="minorEastAsia" w:eastAsiaTheme="minorEastAsia"/>
          <w:color w:val="auto"/>
          <w:sz w:val="24"/>
          <w:szCs w:val="24"/>
        </w:rPr>
        <w:t>万元，于</w:t>
      </w:r>
      <w:r>
        <w:rPr>
          <w:rFonts w:asciiTheme="minorEastAsia" w:hAnsiTheme="minorEastAsia" w:eastAsiaTheme="minorEastAsia"/>
          <w:color w:val="auto"/>
          <w:sz w:val="24"/>
          <w:szCs w:val="24"/>
        </w:rPr>
        <w:t>2020</w:t>
      </w:r>
      <w:r>
        <w:rPr>
          <w:rFonts w:hint="eastAsia" w:asciiTheme="minorEastAsia" w:hAnsiTheme="minorEastAsia" w:eastAsiaTheme="minorEastAsia"/>
          <w:color w:val="auto"/>
          <w:sz w:val="24"/>
          <w:szCs w:val="24"/>
        </w:rPr>
        <w:t>年发放到位。</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fldChar w:fldCharType="begin"/>
      </w:r>
      <w:r>
        <w:rPr>
          <w:rFonts w:asciiTheme="minorEastAsia" w:hAnsiTheme="minorEastAsia" w:eastAsiaTheme="minorEastAsia"/>
          <w:color w:val="auto"/>
          <w:sz w:val="24"/>
        </w:rPr>
        <w:instrText xml:space="preserve"> = 2 \* GB3 </w:instrText>
      </w:r>
      <w:r>
        <w:rPr>
          <w:rFonts w:asciiTheme="minorEastAsia" w:hAnsiTheme="minorEastAsia" w:eastAsiaTheme="minorEastAsia"/>
          <w:color w:val="auto"/>
          <w:sz w:val="24"/>
        </w:rPr>
        <w:fldChar w:fldCharType="separate"/>
      </w:r>
      <w:r>
        <w:rPr>
          <w:rFonts w:hint="eastAsia" w:asciiTheme="minorEastAsia" w:hAnsiTheme="minorEastAsia" w:eastAsiaTheme="minorEastAsia"/>
          <w:color w:val="auto"/>
          <w:sz w:val="24"/>
        </w:rPr>
        <w:t>②</w:t>
      </w:r>
      <w:r>
        <w:rPr>
          <w:rFonts w:asciiTheme="minorEastAsia" w:hAnsiTheme="minorEastAsia" w:eastAsiaTheme="minorEastAsia"/>
          <w:color w:val="auto"/>
          <w:sz w:val="24"/>
        </w:rPr>
        <w:fldChar w:fldCharType="end"/>
      </w:r>
      <w:r>
        <w:rPr>
          <w:rFonts w:hint="eastAsia" w:asciiTheme="minorEastAsia" w:hAnsiTheme="minorEastAsia" w:eastAsiaTheme="minorEastAsia"/>
          <w:color w:val="auto"/>
          <w:sz w:val="24"/>
        </w:rPr>
        <w:t>新能源</w:t>
      </w:r>
      <w:r>
        <w:rPr>
          <w:rFonts w:asciiTheme="minorEastAsia" w:hAnsiTheme="minorEastAsia" w:eastAsiaTheme="minorEastAsia"/>
          <w:color w:val="auto"/>
          <w:sz w:val="24"/>
        </w:rPr>
        <w:t>汽车购车补贴：</w:t>
      </w:r>
      <w:r>
        <w:rPr>
          <w:rFonts w:hint="eastAsia" w:asciiTheme="minorEastAsia" w:hAnsiTheme="minorEastAsia" w:eastAsiaTheme="minorEastAsia"/>
          <w:color w:val="auto"/>
          <w:sz w:val="24"/>
        </w:rPr>
        <w:t>根据《海南省新能源汽车推广应用省级财政补贴实施办法》（琼财建〔</w:t>
      </w:r>
      <w:r>
        <w:rPr>
          <w:rFonts w:asciiTheme="minorEastAsia" w:hAnsiTheme="minorEastAsia" w:eastAsiaTheme="minorEastAsia"/>
          <w:color w:val="auto"/>
          <w:sz w:val="24"/>
        </w:rPr>
        <w:t>2017〕1587号）、《关于进一步完善新能源汽车推广应用财政补贴政策的通知》</w:t>
      </w:r>
      <w:r>
        <w:rPr>
          <w:rFonts w:hint="eastAsia" w:asciiTheme="minorEastAsia" w:hAnsiTheme="minorEastAsia" w:eastAsiaTheme="minorEastAsia"/>
          <w:color w:val="auto"/>
          <w:sz w:val="24"/>
        </w:rPr>
        <w:t>（财建〔</w:t>
      </w:r>
      <w:r>
        <w:rPr>
          <w:rFonts w:asciiTheme="minorEastAsia" w:hAnsiTheme="minorEastAsia" w:eastAsiaTheme="minorEastAsia"/>
          <w:color w:val="auto"/>
          <w:sz w:val="24"/>
        </w:rPr>
        <w:t>2019〕138号）由市政府代企业申请的</w:t>
      </w:r>
      <w:r>
        <w:rPr>
          <w:rFonts w:hint="eastAsia" w:asciiTheme="minorEastAsia" w:hAnsiTheme="minorEastAsia" w:eastAsiaTheme="minorEastAsia"/>
          <w:color w:val="auto"/>
          <w:sz w:val="24"/>
        </w:rPr>
        <w:t>中央</w:t>
      </w:r>
      <w:r>
        <w:rPr>
          <w:rFonts w:asciiTheme="minorEastAsia" w:hAnsiTheme="minorEastAsia" w:eastAsiaTheme="minorEastAsia"/>
          <w:color w:val="auto"/>
          <w:sz w:val="24"/>
        </w:rPr>
        <w:t>、省级新能源车辆购车补贴</w:t>
      </w:r>
      <w:r>
        <w:rPr>
          <w:rFonts w:hint="eastAsia" w:asciiTheme="minorEastAsia" w:hAnsiTheme="minorEastAsia" w:eastAsiaTheme="minorEastAsia"/>
          <w:color w:val="auto"/>
          <w:sz w:val="24"/>
        </w:rPr>
        <w:t>最高可获得</w:t>
      </w:r>
      <w:r>
        <w:rPr>
          <w:rFonts w:asciiTheme="minorEastAsia" w:hAnsiTheme="minorEastAsia" w:eastAsiaTheme="minorEastAsia"/>
          <w:color w:val="auto"/>
          <w:sz w:val="24"/>
        </w:rPr>
        <w:t>281.25</w:t>
      </w:r>
      <w:r>
        <w:rPr>
          <w:rFonts w:hint="eastAsia" w:asciiTheme="minorEastAsia" w:hAnsiTheme="minorEastAsia" w:eastAsiaTheme="minorEastAsia"/>
          <w:color w:val="auto"/>
          <w:sz w:val="24"/>
        </w:rPr>
        <w:t>万元，</w:t>
      </w:r>
      <w:r>
        <w:rPr>
          <w:rFonts w:asciiTheme="minorEastAsia" w:hAnsiTheme="minorEastAsia" w:eastAsiaTheme="minorEastAsia"/>
          <w:color w:val="auto"/>
          <w:sz w:val="24"/>
        </w:rPr>
        <w:t>根据</w:t>
      </w:r>
      <w:r>
        <w:rPr>
          <w:rFonts w:hint="eastAsia" w:asciiTheme="minorEastAsia" w:hAnsiTheme="minorEastAsia" w:eastAsiaTheme="minorEastAsia"/>
          <w:color w:val="auto"/>
          <w:sz w:val="24"/>
        </w:rPr>
        <w:t>实施方案</w:t>
      </w:r>
      <w:r>
        <w:rPr>
          <w:rFonts w:asciiTheme="minorEastAsia" w:hAnsiTheme="minorEastAsia" w:eastAsiaTheme="minorEastAsia"/>
          <w:color w:val="auto"/>
          <w:sz w:val="24"/>
        </w:rPr>
        <w:t>车辆购置时序，</w:t>
      </w:r>
      <w:r>
        <w:rPr>
          <w:rFonts w:hint="eastAsia" w:asciiTheme="minorEastAsia" w:hAnsiTheme="minorEastAsia" w:eastAsiaTheme="minorEastAsia"/>
          <w:color w:val="auto"/>
          <w:sz w:val="24"/>
        </w:rPr>
        <w:t>实际</w:t>
      </w:r>
      <w:r>
        <w:rPr>
          <w:rFonts w:asciiTheme="minorEastAsia" w:hAnsiTheme="minorEastAsia" w:eastAsiaTheme="minorEastAsia"/>
          <w:color w:val="auto"/>
          <w:sz w:val="24"/>
        </w:rPr>
        <w:t>2020年拨付268.75万元，2021年拨付12.5</w:t>
      </w:r>
      <w:r>
        <w:rPr>
          <w:rFonts w:hint="eastAsia" w:asciiTheme="minorEastAsia" w:hAnsiTheme="minorEastAsia" w:eastAsiaTheme="minorEastAsia"/>
          <w:color w:val="auto"/>
          <w:sz w:val="24"/>
        </w:rPr>
        <w:t>万元。</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综合</w:t>
      </w:r>
      <w:r>
        <w:rPr>
          <w:rFonts w:asciiTheme="minorEastAsia" w:hAnsiTheme="minorEastAsia" w:eastAsiaTheme="minorEastAsia"/>
          <w:color w:val="auto"/>
          <w:sz w:val="24"/>
          <w:szCs w:val="24"/>
        </w:rPr>
        <w:t>上述两项补贴资金来源，2019-2020</w:t>
      </w:r>
      <w:r>
        <w:rPr>
          <w:rFonts w:hint="eastAsia" w:asciiTheme="minorEastAsia" w:hAnsiTheme="minorEastAsia" w:eastAsiaTheme="minorEastAsia"/>
          <w:color w:val="auto"/>
          <w:sz w:val="24"/>
          <w:szCs w:val="24"/>
        </w:rPr>
        <w:t>年</w:t>
      </w:r>
      <w:r>
        <w:rPr>
          <w:rFonts w:asciiTheme="minorEastAsia" w:hAnsiTheme="minorEastAsia" w:eastAsiaTheme="minorEastAsia"/>
          <w:color w:val="auto"/>
          <w:sz w:val="24"/>
          <w:szCs w:val="24"/>
        </w:rPr>
        <w:t>期间</w:t>
      </w:r>
      <w:r>
        <w:rPr>
          <w:rFonts w:hint="eastAsia" w:asciiTheme="minorEastAsia" w:hAnsiTheme="minorEastAsia" w:eastAsiaTheme="minorEastAsia"/>
          <w:color w:val="auto"/>
          <w:sz w:val="24"/>
          <w:szCs w:val="24"/>
        </w:rPr>
        <w:t>东方市政府可获得的中央、省级补贴资金约为</w:t>
      </w:r>
      <w:r>
        <w:rPr>
          <w:rFonts w:asciiTheme="minorEastAsia" w:hAnsiTheme="minorEastAsia" w:eastAsiaTheme="minorEastAsia"/>
          <w:color w:val="auto"/>
          <w:sz w:val="24"/>
          <w:szCs w:val="24"/>
        </w:rPr>
        <w:t>785.25万元，</w:t>
      </w:r>
      <w:r>
        <w:rPr>
          <w:rFonts w:hint="eastAsia" w:asciiTheme="minorEastAsia" w:hAnsiTheme="minorEastAsia" w:eastAsiaTheme="minorEastAsia"/>
          <w:color w:val="auto"/>
          <w:sz w:val="24"/>
          <w:szCs w:val="24"/>
        </w:rPr>
        <w:t>考虑到未来新能源补贴政策将会取消，</w:t>
      </w:r>
      <w:r>
        <w:rPr>
          <w:rFonts w:hint="eastAsia" w:asciiTheme="minorEastAsia" w:hAnsiTheme="minorEastAsia" w:eastAsiaTheme="minorEastAsia"/>
          <w:b/>
          <w:color w:val="auto"/>
          <w:sz w:val="24"/>
          <w:szCs w:val="24"/>
        </w:rPr>
        <w:t>本项目暂不将该项补贴测算纳入固定补贴金额</w:t>
      </w:r>
      <w:r>
        <w:rPr>
          <w:rFonts w:hint="eastAsia" w:asciiTheme="minorEastAsia" w:hAnsiTheme="minorEastAsia" w:eastAsiaTheme="minorEastAsia"/>
          <w:color w:val="auto"/>
          <w:sz w:val="24"/>
          <w:szCs w:val="24"/>
        </w:rPr>
        <w:t>，对于项目后期因政策变动所获得的，东方市政府本级以外的新能源补贴，将</w:t>
      </w:r>
      <w:r>
        <w:rPr>
          <w:rFonts w:asciiTheme="minorEastAsia" w:hAnsiTheme="minorEastAsia" w:eastAsiaTheme="minorEastAsia"/>
          <w:color w:val="auto"/>
          <w:sz w:val="24"/>
          <w:szCs w:val="24"/>
        </w:rPr>
        <w:t>由政府代企业申请，</w:t>
      </w:r>
      <w:r>
        <w:rPr>
          <w:rFonts w:hint="eastAsia" w:asciiTheme="minorEastAsia" w:hAnsiTheme="minorEastAsia" w:eastAsiaTheme="minorEastAsia"/>
          <w:color w:val="auto"/>
          <w:sz w:val="24"/>
          <w:szCs w:val="24"/>
        </w:rPr>
        <w:t>作为当年度财政补贴资金来源的一部分予以拨付，剩余补贴资金缺口部分另需市级</w:t>
      </w:r>
      <w:r>
        <w:rPr>
          <w:rFonts w:asciiTheme="minorEastAsia" w:hAnsiTheme="minorEastAsia" w:eastAsiaTheme="minorEastAsia"/>
          <w:color w:val="auto"/>
          <w:sz w:val="24"/>
          <w:szCs w:val="24"/>
        </w:rPr>
        <w:t>财政</w:t>
      </w:r>
      <w:r>
        <w:rPr>
          <w:rFonts w:hint="eastAsia" w:asciiTheme="minorEastAsia" w:hAnsiTheme="minorEastAsia" w:eastAsiaTheme="minorEastAsia"/>
          <w:color w:val="auto"/>
          <w:sz w:val="24"/>
          <w:szCs w:val="24"/>
        </w:rPr>
        <w:t>补足，</w:t>
      </w:r>
      <w:r>
        <w:rPr>
          <w:rFonts w:asciiTheme="minorEastAsia" w:hAnsiTheme="minorEastAsia" w:eastAsiaTheme="minorEastAsia"/>
          <w:color w:val="auto"/>
          <w:sz w:val="24"/>
          <w:szCs w:val="24"/>
        </w:rPr>
        <w:t>具体</w:t>
      </w:r>
      <w:r>
        <w:rPr>
          <w:rFonts w:hint="eastAsia" w:asciiTheme="minorEastAsia" w:hAnsiTheme="minorEastAsia" w:eastAsiaTheme="minorEastAsia"/>
          <w:color w:val="auto"/>
          <w:sz w:val="24"/>
          <w:szCs w:val="24"/>
        </w:rPr>
        <w:t>发放</w:t>
      </w:r>
      <w:r>
        <w:rPr>
          <w:rFonts w:asciiTheme="minorEastAsia" w:hAnsiTheme="minorEastAsia" w:eastAsiaTheme="minorEastAsia"/>
          <w:color w:val="auto"/>
          <w:sz w:val="24"/>
          <w:szCs w:val="24"/>
        </w:rPr>
        <w:t>金额</w:t>
      </w:r>
      <w:r>
        <w:rPr>
          <w:rFonts w:hint="eastAsia" w:asciiTheme="minorEastAsia" w:hAnsiTheme="minorEastAsia" w:eastAsiaTheme="minorEastAsia"/>
          <w:color w:val="auto"/>
          <w:sz w:val="24"/>
          <w:szCs w:val="24"/>
        </w:rPr>
        <w:t>须与</w:t>
      </w:r>
      <w:r>
        <w:rPr>
          <w:rFonts w:asciiTheme="minorEastAsia" w:hAnsiTheme="minorEastAsia" w:eastAsiaTheme="minorEastAsia"/>
          <w:color w:val="auto"/>
          <w:sz w:val="24"/>
          <w:szCs w:val="24"/>
        </w:rPr>
        <w:t>特许经营企业季度考核情况挂钩，</w:t>
      </w:r>
      <w:r>
        <w:rPr>
          <w:rFonts w:hint="eastAsia" w:asciiTheme="minorEastAsia" w:hAnsiTheme="minorEastAsia" w:eastAsiaTheme="minorEastAsia"/>
          <w:color w:val="auto"/>
          <w:sz w:val="24"/>
          <w:szCs w:val="24"/>
        </w:rPr>
        <w:t>并</w:t>
      </w:r>
      <w:r>
        <w:rPr>
          <w:rFonts w:asciiTheme="minorEastAsia" w:hAnsiTheme="minorEastAsia" w:eastAsiaTheme="minorEastAsia"/>
          <w:color w:val="auto"/>
          <w:sz w:val="24"/>
          <w:szCs w:val="24"/>
        </w:rPr>
        <w:t>结合服务质量考核情况进行支付</w:t>
      </w:r>
      <w:r>
        <w:rPr>
          <w:rFonts w:hint="eastAsia"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后续经营期限内</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根据国</w:t>
      </w:r>
      <w:r>
        <w:rPr>
          <w:rFonts w:asciiTheme="minorEastAsia" w:hAnsiTheme="minorEastAsia" w:eastAsiaTheme="minorEastAsia"/>
          <w:color w:val="auto"/>
          <w:sz w:val="24"/>
          <w:szCs w:val="24"/>
        </w:rPr>
        <w:t>、省、市政策调整情况，</w:t>
      </w:r>
      <w:r>
        <w:rPr>
          <w:rFonts w:hint="eastAsia" w:asciiTheme="minorEastAsia" w:hAnsiTheme="minorEastAsia" w:eastAsiaTheme="minorEastAsia"/>
          <w:color w:val="auto"/>
          <w:sz w:val="24"/>
          <w:szCs w:val="24"/>
        </w:rPr>
        <w:t>优先城乡公交客运</w:t>
      </w:r>
      <w:r>
        <w:rPr>
          <w:rFonts w:asciiTheme="minorEastAsia" w:hAnsiTheme="minorEastAsia" w:eastAsiaTheme="minorEastAsia"/>
          <w:color w:val="auto"/>
          <w:sz w:val="24"/>
          <w:szCs w:val="24"/>
        </w:rPr>
        <w:t>领域</w:t>
      </w:r>
      <w:r>
        <w:rPr>
          <w:rFonts w:hint="eastAsia" w:asciiTheme="minorEastAsia" w:hAnsiTheme="minorEastAsia" w:eastAsiaTheme="minorEastAsia"/>
          <w:color w:val="auto"/>
          <w:sz w:val="24"/>
          <w:szCs w:val="24"/>
        </w:rPr>
        <w:t>的</w:t>
      </w:r>
      <w:r>
        <w:rPr>
          <w:rFonts w:asciiTheme="minorEastAsia" w:hAnsiTheme="minorEastAsia" w:eastAsiaTheme="minorEastAsia"/>
          <w:color w:val="auto"/>
          <w:sz w:val="24"/>
          <w:szCs w:val="24"/>
        </w:rPr>
        <w:t>补贴用于特许经营期</w:t>
      </w:r>
      <w:r>
        <w:rPr>
          <w:rFonts w:hint="eastAsia" w:asciiTheme="minorEastAsia" w:hAnsiTheme="minorEastAsia" w:eastAsiaTheme="minorEastAsia"/>
          <w:color w:val="auto"/>
          <w:sz w:val="24"/>
          <w:szCs w:val="24"/>
        </w:rPr>
        <w:t>内</w:t>
      </w:r>
      <w:r>
        <w:rPr>
          <w:rFonts w:asciiTheme="minorEastAsia" w:hAnsiTheme="minorEastAsia" w:eastAsiaTheme="minorEastAsia"/>
          <w:color w:val="auto"/>
          <w:sz w:val="24"/>
          <w:szCs w:val="24"/>
        </w:rPr>
        <w:t>的补贴补偿，缺口部分由</w:t>
      </w:r>
      <w:r>
        <w:rPr>
          <w:rFonts w:hint="eastAsia" w:asciiTheme="minorEastAsia" w:hAnsiTheme="minorEastAsia" w:eastAsiaTheme="minorEastAsia"/>
          <w:color w:val="auto"/>
          <w:sz w:val="24"/>
          <w:szCs w:val="24"/>
        </w:rPr>
        <w:t>市级财政</w:t>
      </w:r>
      <w:r>
        <w:rPr>
          <w:rFonts w:asciiTheme="minorEastAsia" w:hAnsiTheme="minorEastAsia" w:eastAsiaTheme="minorEastAsia"/>
          <w:color w:val="auto"/>
          <w:sz w:val="24"/>
          <w:szCs w:val="24"/>
        </w:rPr>
        <w:t>补足</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并</w:t>
      </w:r>
      <w:r>
        <w:rPr>
          <w:rFonts w:hint="eastAsia" w:asciiTheme="minorEastAsia" w:hAnsiTheme="minorEastAsia" w:eastAsiaTheme="minorEastAsia"/>
          <w:color w:val="auto"/>
          <w:sz w:val="24"/>
          <w:szCs w:val="24"/>
        </w:rPr>
        <w:t>结合</w:t>
      </w:r>
      <w:r>
        <w:rPr>
          <w:rFonts w:asciiTheme="minorEastAsia" w:hAnsiTheme="minorEastAsia" w:eastAsiaTheme="minorEastAsia"/>
          <w:color w:val="auto"/>
          <w:sz w:val="24"/>
          <w:szCs w:val="24"/>
        </w:rPr>
        <w:t>服务质量考核情况发放。</w:t>
      </w:r>
      <w:r>
        <w:rPr>
          <w:rFonts w:hint="eastAsia" w:asciiTheme="minorEastAsia" w:hAnsiTheme="minorEastAsia" w:eastAsiaTheme="minorEastAsia"/>
          <w:color w:val="auto"/>
          <w:sz w:val="24"/>
          <w:szCs w:val="24"/>
        </w:rPr>
        <w:t>如</w:t>
      </w:r>
      <w:r>
        <w:rPr>
          <w:rFonts w:asciiTheme="minorEastAsia" w:hAnsiTheme="minorEastAsia" w:eastAsiaTheme="minorEastAsia"/>
          <w:color w:val="auto"/>
          <w:sz w:val="24"/>
          <w:szCs w:val="24"/>
        </w:rPr>
        <w:t>未来出台新的新能源汽车购车补贴政策，双方</w:t>
      </w:r>
      <w:r>
        <w:rPr>
          <w:rFonts w:hint="eastAsia" w:asciiTheme="minorEastAsia" w:hAnsiTheme="minorEastAsia" w:eastAsiaTheme="minorEastAsia"/>
          <w:color w:val="auto"/>
          <w:sz w:val="24"/>
          <w:szCs w:val="24"/>
        </w:rPr>
        <w:t>再</w:t>
      </w:r>
      <w:r>
        <w:rPr>
          <w:rFonts w:asciiTheme="minorEastAsia" w:hAnsiTheme="minorEastAsia" w:eastAsiaTheme="minorEastAsia"/>
          <w:color w:val="auto"/>
          <w:sz w:val="24"/>
          <w:szCs w:val="24"/>
        </w:rPr>
        <w:t>另行协商</w:t>
      </w:r>
      <w:r>
        <w:rPr>
          <w:rFonts w:hint="eastAsia" w:asciiTheme="minorEastAsia" w:hAnsiTheme="minorEastAsia" w:eastAsiaTheme="minorEastAsia"/>
          <w:color w:val="auto"/>
          <w:sz w:val="24"/>
          <w:szCs w:val="24"/>
        </w:rPr>
        <w:t>。</w:t>
      </w:r>
    </w:p>
    <w:p>
      <w:pPr>
        <w:keepNext/>
        <w:keepLines/>
        <w:spacing w:line="360" w:lineRule="auto"/>
        <w:ind w:firstLine="640"/>
        <w:outlineLvl w:val="3"/>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政府</w:t>
      </w:r>
      <w:r>
        <w:rPr>
          <w:rFonts w:asciiTheme="minorEastAsia" w:hAnsiTheme="minorEastAsia" w:eastAsiaTheme="minorEastAsia"/>
          <w:color w:val="auto"/>
          <w:sz w:val="24"/>
        </w:rPr>
        <w:t>付费资金发放</w:t>
      </w:r>
      <w:r>
        <w:rPr>
          <w:rFonts w:hint="eastAsia" w:asciiTheme="minorEastAsia" w:hAnsiTheme="minorEastAsia" w:eastAsiaTheme="minorEastAsia"/>
          <w:color w:val="auto"/>
          <w:sz w:val="24"/>
        </w:rPr>
        <w:t>建议</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政府对</w:t>
      </w:r>
      <w:r>
        <w:rPr>
          <w:rFonts w:asciiTheme="minorEastAsia" w:hAnsiTheme="minorEastAsia" w:eastAsiaTheme="minorEastAsia"/>
          <w:color w:val="auto"/>
          <w:sz w:val="24"/>
          <w:szCs w:val="24"/>
        </w:rPr>
        <w:t>特许经营企业发放的</w:t>
      </w:r>
      <w:r>
        <w:rPr>
          <w:rFonts w:hint="eastAsia" w:asciiTheme="minorEastAsia" w:hAnsiTheme="minorEastAsia" w:eastAsiaTheme="minorEastAsia"/>
          <w:color w:val="auto"/>
          <w:sz w:val="24"/>
          <w:szCs w:val="24"/>
        </w:rPr>
        <w:t>年度付费总金额包括项目资本金回报、融资成本回报、运营补助（含政策性亏损</w:t>
      </w:r>
      <w:r>
        <w:rPr>
          <w:rFonts w:asciiTheme="minorEastAsia" w:hAnsiTheme="minorEastAsia" w:eastAsiaTheme="minorEastAsia"/>
          <w:color w:val="auto"/>
          <w:sz w:val="24"/>
          <w:szCs w:val="24"/>
        </w:rPr>
        <w:t>补助</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超额收入回报四部分。</w:t>
      </w:r>
      <w:r>
        <w:rPr>
          <w:rFonts w:asciiTheme="minorEastAsia" w:hAnsiTheme="minorEastAsia" w:eastAsiaTheme="minorEastAsia"/>
          <w:color w:val="auto"/>
          <w:sz w:val="24"/>
          <w:szCs w:val="24"/>
        </w:rPr>
        <w:t>其中</w:t>
      </w:r>
      <w:r>
        <w:rPr>
          <w:rFonts w:hint="eastAsia" w:asciiTheme="minorEastAsia" w:hAnsiTheme="minorEastAsia" w:eastAsiaTheme="minorEastAsia"/>
          <w:color w:val="auto"/>
          <w:sz w:val="24"/>
          <w:szCs w:val="24"/>
        </w:rPr>
        <w:t>项目资本金回报、融资成本回报以</w:t>
      </w:r>
      <w:r>
        <w:rPr>
          <w:rFonts w:asciiTheme="minorEastAsia" w:hAnsiTheme="minorEastAsia" w:eastAsiaTheme="minorEastAsia"/>
          <w:color w:val="auto"/>
          <w:sz w:val="24"/>
          <w:szCs w:val="24"/>
        </w:rPr>
        <w:t>招标确定的回报率为准，</w:t>
      </w:r>
      <w:r>
        <w:rPr>
          <w:rFonts w:hint="eastAsia" w:asciiTheme="minorEastAsia" w:hAnsiTheme="minorEastAsia" w:eastAsiaTheme="minorEastAsia"/>
          <w:color w:val="auto"/>
          <w:sz w:val="24"/>
          <w:szCs w:val="24"/>
        </w:rPr>
        <w:t>运营</w:t>
      </w:r>
      <w:r>
        <w:rPr>
          <w:rFonts w:asciiTheme="minorEastAsia" w:hAnsiTheme="minorEastAsia" w:eastAsiaTheme="minorEastAsia"/>
          <w:color w:val="auto"/>
          <w:sz w:val="24"/>
          <w:szCs w:val="24"/>
        </w:rPr>
        <w:t>补助以</w:t>
      </w:r>
      <w:r>
        <w:rPr>
          <w:rFonts w:hint="eastAsia" w:asciiTheme="minorEastAsia" w:hAnsiTheme="minorEastAsia" w:eastAsiaTheme="minorEastAsia"/>
          <w:color w:val="auto"/>
          <w:sz w:val="24"/>
          <w:szCs w:val="24"/>
        </w:rPr>
        <w:t>招标确定</w:t>
      </w:r>
      <w:r>
        <w:rPr>
          <w:rFonts w:asciiTheme="minorEastAsia" w:hAnsiTheme="minorEastAsia" w:eastAsiaTheme="minorEastAsia"/>
          <w:color w:val="auto"/>
          <w:sz w:val="24"/>
          <w:szCs w:val="24"/>
        </w:rPr>
        <w:t>的基准值（</w:t>
      </w:r>
      <w:r>
        <w:rPr>
          <w:rFonts w:hint="eastAsia" w:asciiTheme="minorEastAsia" w:hAnsiTheme="minorEastAsia" w:eastAsiaTheme="minorEastAsia"/>
          <w:color w:val="auto"/>
          <w:sz w:val="24"/>
          <w:szCs w:val="24"/>
        </w:rPr>
        <w:t>或</w:t>
      </w:r>
      <w:r>
        <w:rPr>
          <w:rFonts w:asciiTheme="minorEastAsia" w:hAnsiTheme="minorEastAsia" w:eastAsiaTheme="minorEastAsia"/>
          <w:color w:val="auto"/>
          <w:sz w:val="24"/>
          <w:szCs w:val="24"/>
        </w:rPr>
        <w:t>调价后）</w:t>
      </w:r>
      <w:r>
        <w:rPr>
          <w:rFonts w:hint="eastAsia" w:asciiTheme="minorEastAsia" w:hAnsiTheme="minorEastAsia" w:eastAsiaTheme="minorEastAsia"/>
          <w:color w:val="auto"/>
          <w:sz w:val="24"/>
          <w:szCs w:val="24"/>
        </w:rPr>
        <w:t>为准</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政策性亏损</w:t>
      </w:r>
      <w:r>
        <w:rPr>
          <w:rFonts w:asciiTheme="minorEastAsia" w:hAnsiTheme="minorEastAsia" w:eastAsiaTheme="minorEastAsia"/>
          <w:color w:val="auto"/>
          <w:sz w:val="24"/>
          <w:szCs w:val="24"/>
        </w:rPr>
        <w:t>补助</w:t>
      </w:r>
      <w:r>
        <w:rPr>
          <w:rFonts w:hint="eastAsia" w:asciiTheme="minorEastAsia" w:hAnsiTheme="minorEastAsia" w:eastAsiaTheme="minorEastAsia"/>
          <w:color w:val="auto"/>
          <w:sz w:val="24"/>
          <w:szCs w:val="24"/>
        </w:rPr>
        <w:t>及</w:t>
      </w:r>
      <w:r>
        <w:rPr>
          <w:rFonts w:asciiTheme="minorEastAsia" w:hAnsiTheme="minorEastAsia" w:eastAsiaTheme="minorEastAsia"/>
          <w:color w:val="auto"/>
          <w:sz w:val="24"/>
          <w:szCs w:val="24"/>
        </w:rPr>
        <w:t>超额收入回报以</w:t>
      </w:r>
      <w:r>
        <w:rPr>
          <w:rFonts w:hint="eastAsia" w:asciiTheme="minorEastAsia" w:hAnsiTheme="minorEastAsia" w:eastAsiaTheme="minorEastAsia"/>
          <w:color w:val="auto"/>
          <w:sz w:val="24"/>
          <w:szCs w:val="24"/>
        </w:rPr>
        <w:t>每年度</w:t>
      </w:r>
      <w:r>
        <w:rPr>
          <w:rFonts w:asciiTheme="minorEastAsia" w:hAnsiTheme="minorEastAsia" w:eastAsiaTheme="minorEastAsia"/>
          <w:color w:val="auto"/>
          <w:sz w:val="24"/>
          <w:szCs w:val="24"/>
        </w:rPr>
        <w:t>审计结果为准，应</w:t>
      </w:r>
      <w:r>
        <w:rPr>
          <w:rFonts w:hint="eastAsia" w:asciiTheme="minorEastAsia" w:hAnsiTheme="minorEastAsia" w:eastAsiaTheme="minorEastAsia"/>
          <w:color w:val="auto"/>
          <w:sz w:val="24"/>
          <w:szCs w:val="24"/>
        </w:rPr>
        <w:t>付费</w:t>
      </w:r>
      <w:r>
        <w:rPr>
          <w:rFonts w:asciiTheme="minorEastAsia" w:hAnsiTheme="minorEastAsia" w:eastAsiaTheme="minorEastAsia"/>
          <w:color w:val="auto"/>
          <w:sz w:val="24"/>
          <w:szCs w:val="24"/>
        </w:rPr>
        <w:t>总额</w:t>
      </w:r>
      <w:r>
        <w:rPr>
          <w:rFonts w:hint="eastAsia" w:asciiTheme="minorEastAsia" w:hAnsiTheme="minorEastAsia" w:eastAsiaTheme="minorEastAsia"/>
          <w:color w:val="auto"/>
          <w:sz w:val="24"/>
          <w:szCs w:val="24"/>
        </w:rPr>
        <w:t>由</w:t>
      </w:r>
      <w:r>
        <w:rPr>
          <w:rFonts w:asciiTheme="minorEastAsia" w:hAnsiTheme="minorEastAsia" w:eastAsiaTheme="minorEastAsia"/>
          <w:color w:val="auto"/>
          <w:sz w:val="24"/>
          <w:szCs w:val="24"/>
        </w:rPr>
        <w:t>以上</w:t>
      </w:r>
      <w:r>
        <w:rPr>
          <w:rFonts w:hint="eastAsia" w:asciiTheme="minorEastAsia" w:hAnsiTheme="minorEastAsia" w:eastAsiaTheme="minorEastAsia"/>
          <w:color w:val="auto"/>
          <w:sz w:val="24"/>
          <w:szCs w:val="24"/>
        </w:rPr>
        <w:t>各</w:t>
      </w:r>
      <w:r>
        <w:rPr>
          <w:rFonts w:asciiTheme="minorEastAsia" w:hAnsiTheme="minorEastAsia" w:eastAsiaTheme="minorEastAsia"/>
          <w:color w:val="auto"/>
          <w:sz w:val="24"/>
          <w:szCs w:val="24"/>
        </w:rPr>
        <w:t>部分加总确定，</w:t>
      </w:r>
      <w:r>
        <w:rPr>
          <w:rFonts w:hint="eastAsia" w:asciiTheme="minorEastAsia" w:hAnsiTheme="minorEastAsia" w:eastAsiaTheme="minorEastAsia"/>
          <w:color w:val="auto"/>
          <w:sz w:val="24"/>
          <w:szCs w:val="24"/>
        </w:rPr>
        <w:t>其中项目资本金回报、融资成本回报、运营补助（含</w:t>
      </w:r>
      <w:r>
        <w:rPr>
          <w:rFonts w:asciiTheme="minorEastAsia" w:hAnsiTheme="minorEastAsia" w:eastAsiaTheme="minorEastAsia"/>
          <w:color w:val="auto"/>
          <w:sz w:val="24"/>
          <w:szCs w:val="24"/>
        </w:rPr>
        <w:t>政策性亏损补助</w:t>
      </w:r>
      <w:r>
        <w:rPr>
          <w:rFonts w:hint="eastAsia" w:asciiTheme="minorEastAsia" w:hAnsiTheme="minorEastAsia" w:eastAsiaTheme="minorEastAsia"/>
          <w:color w:val="auto"/>
          <w:sz w:val="24"/>
          <w:szCs w:val="24"/>
        </w:rPr>
        <w:t>）的实际</w:t>
      </w:r>
      <w:r>
        <w:rPr>
          <w:rFonts w:asciiTheme="minorEastAsia" w:hAnsiTheme="minorEastAsia" w:eastAsiaTheme="minorEastAsia"/>
          <w:color w:val="auto"/>
          <w:sz w:val="24"/>
          <w:szCs w:val="24"/>
        </w:rPr>
        <w:t>付费金额</w:t>
      </w:r>
      <w:r>
        <w:rPr>
          <w:rFonts w:hint="eastAsia" w:asciiTheme="minorEastAsia" w:hAnsiTheme="minorEastAsia" w:eastAsiaTheme="minorEastAsia"/>
          <w:color w:val="auto"/>
          <w:sz w:val="24"/>
          <w:szCs w:val="24"/>
        </w:rPr>
        <w:t>需</w:t>
      </w:r>
      <w:r>
        <w:rPr>
          <w:rFonts w:asciiTheme="minorEastAsia" w:hAnsiTheme="minorEastAsia" w:eastAsiaTheme="minorEastAsia"/>
          <w:color w:val="auto"/>
          <w:sz w:val="24"/>
          <w:szCs w:val="24"/>
        </w:rPr>
        <w:t>结合</w:t>
      </w:r>
      <w:r>
        <w:rPr>
          <w:rFonts w:hint="eastAsia" w:asciiTheme="minorEastAsia" w:hAnsiTheme="minorEastAsia" w:eastAsiaTheme="minorEastAsia"/>
          <w:color w:val="auto"/>
          <w:sz w:val="24"/>
          <w:szCs w:val="24"/>
        </w:rPr>
        <w:t>季度</w:t>
      </w:r>
      <w:r>
        <w:rPr>
          <w:rFonts w:asciiTheme="minorEastAsia" w:hAnsiTheme="minorEastAsia" w:eastAsiaTheme="minorEastAsia"/>
          <w:color w:val="auto"/>
          <w:sz w:val="24"/>
          <w:szCs w:val="24"/>
        </w:rPr>
        <w:t>服务质量考核情况进行支付</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超额收入回报需结合年度服务质量考核综合结果进行支付</w:t>
      </w:r>
      <w:r>
        <w:rPr>
          <w:rFonts w:hint="eastAsia" w:asciiTheme="minorEastAsia" w:hAnsiTheme="minorEastAsia" w:eastAsiaTheme="minorEastAsia"/>
          <w:color w:val="auto"/>
          <w:sz w:val="24"/>
          <w:szCs w:val="24"/>
        </w:rPr>
        <w:t>。</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服务</w:t>
      </w:r>
      <w:r>
        <w:rPr>
          <w:rFonts w:asciiTheme="minorEastAsia" w:hAnsiTheme="minorEastAsia" w:eastAsiaTheme="minorEastAsia"/>
          <w:color w:val="auto"/>
          <w:sz w:val="24"/>
          <w:szCs w:val="24"/>
        </w:rPr>
        <w:t>质量考核</w:t>
      </w:r>
      <w:r>
        <w:rPr>
          <w:rFonts w:hint="eastAsia" w:asciiTheme="minorEastAsia" w:hAnsiTheme="minorEastAsia" w:eastAsiaTheme="minorEastAsia"/>
          <w:color w:val="auto"/>
          <w:sz w:val="24"/>
          <w:szCs w:val="24"/>
        </w:rPr>
        <w:t>应</w:t>
      </w:r>
      <w:r>
        <w:rPr>
          <w:rFonts w:asciiTheme="minorEastAsia" w:hAnsiTheme="minorEastAsia" w:eastAsiaTheme="minorEastAsia"/>
          <w:color w:val="auto"/>
          <w:sz w:val="24"/>
          <w:szCs w:val="24"/>
        </w:rPr>
        <w:t>由交通主管部门</w:t>
      </w:r>
      <w:r>
        <w:rPr>
          <w:rFonts w:hint="eastAsia" w:asciiTheme="minorEastAsia" w:hAnsiTheme="minorEastAsia" w:eastAsiaTheme="minorEastAsia"/>
          <w:color w:val="auto"/>
          <w:sz w:val="24"/>
          <w:szCs w:val="24"/>
        </w:rPr>
        <w:t>开展，服务</w:t>
      </w:r>
      <w:r>
        <w:rPr>
          <w:rFonts w:asciiTheme="minorEastAsia" w:hAnsiTheme="minorEastAsia" w:eastAsiaTheme="minorEastAsia"/>
          <w:color w:val="auto"/>
          <w:sz w:val="24"/>
          <w:szCs w:val="24"/>
        </w:rPr>
        <w:t>质量考核应对企业的线路、车辆、</w:t>
      </w:r>
      <w:r>
        <w:rPr>
          <w:rFonts w:hint="eastAsia" w:asciiTheme="minorEastAsia" w:hAnsiTheme="minorEastAsia" w:eastAsiaTheme="minorEastAsia"/>
          <w:color w:val="auto"/>
          <w:sz w:val="24"/>
          <w:szCs w:val="24"/>
        </w:rPr>
        <w:t>公交</w:t>
      </w:r>
      <w:r>
        <w:rPr>
          <w:rFonts w:asciiTheme="minorEastAsia" w:hAnsiTheme="minorEastAsia" w:eastAsiaTheme="minorEastAsia"/>
          <w:color w:val="auto"/>
          <w:sz w:val="24"/>
          <w:szCs w:val="24"/>
        </w:rPr>
        <w:t>分担</w:t>
      </w:r>
      <w:r>
        <w:rPr>
          <w:rFonts w:hint="eastAsia" w:asciiTheme="minorEastAsia" w:hAnsiTheme="minorEastAsia" w:eastAsiaTheme="minorEastAsia"/>
          <w:color w:val="auto"/>
          <w:sz w:val="24"/>
          <w:szCs w:val="24"/>
        </w:rPr>
        <w:t>率</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乘客满意度</w:t>
      </w:r>
      <w:r>
        <w:rPr>
          <w:rFonts w:asciiTheme="minorEastAsia" w:hAnsiTheme="minorEastAsia" w:eastAsiaTheme="minorEastAsia"/>
          <w:color w:val="auto"/>
          <w:sz w:val="24"/>
          <w:szCs w:val="24"/>
        </w:rPr>
        <w:t>、安全管理、</w:t>
      </w:r>
      <w:r>
        <w:rPr>
          <w:rFonts w:hint="eastAsia" w:asciiTheme="minorEastAsia" w:hAnsiTheme="minorEastAsia" w:eastAsiaTheme="minorEastAsia"/>
          <w:color w:val="auto"/>
          <w:sz w:val="24"/>
          <w:szCs w:val="24"/>
        </w:rPr>
        <w:t>信息化管理、</w:t>
      </w:r>
      <w:r>
        <w:rPr>
          <w:rFonts w:asciiTheme="minorEastAsia" w:hAnsiTheme="minorEastAsia" w:eastAsiaTheme="minorEastAsia"/>
          <w:color w:val="auto"/>
          <w:sz w:val="24"/>
          <w:szCs w:val="24"/>
        </w:rPr>
        <w:t>营运收入、营运成本考核</w:t>
      </w:r>
      <w:r>
        <w:rPr>
          <w:rFonts w:hint="eastAsia" w:asciiTheme="minorEastAsia" w:hAnsiTheme="minorEastAsia" w:eastAsiaTheme="minorEastAsia"/>
          <w:color w:val="auto"/>
          <w:sz w:val="24"/>
          <w:szCs w:val="24"/>
        </w:rPr>
        <w:t>等行业运行</w:t>
      </w:r>
      <w:r>
        <w:rPr>
          <w:rFonts w:asciiTheme="minorEastAsia" w:hAnsiTheme="minorEastAsia" w:eastAsiaTheme="minorEastAsia"/>
          <w:color w:val="auto"/>
          <w:sz w:val="24"/>
          <w:szCs w:val="24"/>
        </w:rPr>
        <w:t>指标和企业经营情况做总体考核</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考核结果与补贴发放</w:t>
      </w:r>
      <w:r>
        <w:rPr>
          <w:rFonts w:hint="eastAsia" w:asciiTheme="minorEastAsia" w:hAnsiTheme="minorEastAsia" w:eastAsiaTheme="minorEastAsia"/>
          <w:color w:val="auto"/>
          <w:sz w:val="24"/>
          <w:szCs w:val="24"/>
        </w:rPr>
        <w:t>金</w:t>
      </w:r>
      <w:r>
        <w:rPr>
          <w:rFonts w:asciiTheme="minorEastAsia" w:hAnsiTheme="minorEastAsia" w:eastAsiaTheme="minorEastAsia"/>
          <w:color w:val="auto"/>
          <w:sz w:val="24"/>
          <w:szCs w:val="24"/>
        </w:rPr>
        <w:t>额直接挂钩。具体考核标准</w:t>
      </w:r>
      <w:r>
        <w:rPr>
          <w:rFonts w:hint="eastAsia" w:asciiTheme="minorEastAsia" w:hAnsiTheme="minorEastAsia" w:eastAsiaTheme="minorEastAsia"/>
          <w:color w:val="auto"/>
          <w:sz w:val="24"/>
          <w:szCs w:val="24"/>
        </w:rPr>
        <w:t>见附件</w:t>
      </w:r>
      <w:r>
        <w:rPr>
          <w:rFonts w:asciiTheme="minorEastAsia" w:hAnsiTheme="minorEastAsia" w:eastAsiaTheme="minorEastAsia"/>
          <w:color w:val="auto"/>
          <w:sz w:val="24"/>
          <w:szCs w:val="24"/>
        </w:rPr>
        <w:t>5。</w:t>
      </w:r>
    </w:p>
    <w:p>
      <w:pPr>
        <w:pStyle w:val="48"/>
        <w:outlineLvl w:val="3"/>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3）付费安排</w:t>
      </w:r>
    </w:p>
    <w:p>
      <w:pPr>
        <w:pStyle w:val="48"/>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项目资本金回报、融资成本回报、运营补助（含政策性亏损补助）三部分的付费方式为“季度考核+季度</w:t>
      </w:r>
      <w:r>
        <w:rPr>
          <w:rFonts w:asciiTheme="minorEastAsia" w:hAnsiTheme="minorEastAsia" w:eastAsiaTheme="minorEastAsia"/>
          <w:color w:val="auto"/>
          <w:sz w:val="24"/>
          <w:szCs w:val="24"/>
        </w:rPr>
        <w:t>付费+年度清算”，根据项目公司中标确定的回报率和下浮率，等额确定每年每季度</w:t>
      </w:r>
      <w:r>
        <w:rPr>
          <w:rFonts w:hint="eastAsia" w:asciiTheme="minorEastAsia" w:hAnsiTheme="minorEastAsia" w:eastAsiaTheme="minorEastAsia"/>
          <w:color w:val="auto"/>
          <w:sz w:val="24"/>
          <w:szCs w:val="24"/>
        </w:rPr>
        <w:t>付费</w:t>
      </w:r>
      <w:r>
        <w:rPr>
          <w:rFonts w:asciiTheme="minorEastAsia" w:hAnsiTheme="minorEastAsia" w:eastAsiaTheme="minorEastAsia"/>
          <w:color w:val="auto"/>
          <w:sz w:val="24"/>
          <w:szCs w:val="24"/>
        </w:rPr>
        <w:t>资金，在每季度服务质量考核工作结束后30天内完成</w:t>
      </w:r>
      <w:r>
        <w:rPr>
          <w:rFonts w:hint="eastAsia" w:asciiTheme="minorEastAsia" w:hAnsiTheme="minorEastAsia" w:eastAsiaTheme="minorEastAsia"/>
          <w:color w:val="auto"/>
          <w:sz w:val="24"/>
          <w:szCs w:val="24"/>
        </w:rPr>
        <w:t>付费</w:t>
      </w:r>
      <w:r>
        <w:rPr>
          <w:rFonts w:asciiTheme="minorEastAsia" w:hAnsiTheme="minorEastAsia" w:eastAsiaTheme="minorEastAsia"/>
          <w:color w:val="auto"/>
          <w:sz w:val="24"/>
          <w:szCs w:val="24"/>
        </w:rPr>
        <w:t>，在年末根据审计情况，结合服务质量考核结果，对未满足服务标准的</w:t>
      </w:r>
      <w:r>
        <w:rPr>
          <w:rFonts w:hint="eastAsia" w:asciiTheme="minorEastAsia" w:hAnsiTheme="minorEastAsia" w:eastAsiaTheme="minorEastAsia"/>
          <w:color w:val="auto"/>
          <w:sz w:val="24"/>
          <w:szCs w:val="24"/>
        </w:rPr>
        <w:t>已付</w:t>
      </w:r>
      <w:r>
        <w:rPr>
          <w:rFonts w:asciiTheme="minorEastAsia" w:hAnsiTheme="minorEastAsia" w:eastAsiaTheme="minorEastAsia"/>
          <w:color w:val="auto"/>
          <w:sz w:val="24"/>
          <w:szCs w:val="24"/>
        </w:rPr>
        <w:t>资金予以相应扣除；超额收入回报的付费方式为“年度清算”，需满足年度服务质量考核综合等级达到“合格”及以上，在每年末进行审计并根据年度服务质量考核情况完成相应付费。</w:t>
      </w:r>
    </w:p>
    <w:p>
      <w:pPr>
        <w:pStyle w:val="48"/>
        <w:rPr>
          <w:rFonts w:cs="Arial" w:asciiTheme="minorEastAsia" w:hAnsiTheme="minorEastAsia" w:eastAsiaTheme="minorEastAsia"/>
          <w:color w:val="auto"/>
          <w:sz w:val="24"/>
          <w:szCs w:val="24"/>
        </w:rPr>
      </w:pPr>
    </w:p>
    <w:p>
      <w:pPr>
        <w:pStyle w:val="48"/>
        <w:rPr>
          <w:rFonts w:cs="Arial" w:asciiTheme="minorEastAsia" w:hAnsiTheme="minorEastAsia" w:eastAsiaTheme="minorEastAsia"/>
          <w:color w:val="auto"/>
        </w:rPr>
        <w:sectPr>
          <w:headerReference r:id="rId7" w:type="default"/>
          <w:footerReference r:id="rId8" w:type="default"/>
          <w:pgSz w:w="11906" w:h="16838"/>
          <w:pgMar w:top="1440" w:right="1440" w:bottom="1440" w:left="1440" w:header="851" w:footer="992" w:gutter="0"/>
          <w:cols w:space="425" w:num="1"/>
          <w:docGrid w:type="lines" w:linePitch="381" w:charSpace="0"/>
        </w:sectPr>
      </w:pPr>
    </w:p>
    <w:p>
      <w:pPr>
        <w:pStyle w:val="2"/>
        <w:spacing w:after="190" w:line="360" w:lineRule="auto"/>
        <w:ind w:firstLine="640"/>
        <w:jc w:val="left"/>
        <w:rPr>
          <w:rFonts w:asciiTheme="minorEastAsia" w:hAnsiTheme="minorEastAsia" w:eastAsiaTheme="minorEastAsia"/>
          <w:color w:val="auto"/>
        </w:rPr>
      </w:pPr>
      <w:bookmarkStart w:id="189" w:name="_Toc19891214"/>
      <w:bookmarkStart w:id="190" w:name="_Toc14266263"/>
      <w:bookmarkStart w:id="191" w:name="_Toc19881827"/>
      <w:bookmarkStart w:id="192" w:name="_Toc532748657"/>
      <w:r>
        <w:rPr>
          <w:rFonts w:hint="eastAsia" w:asciiTheme="minorEastAsia" w:hAnsiTheme="minorEastAsia" w:eastAsiaTheme="minorEastAsia"/>
          <w:color w:val="auto"/>
        </w:rPr>
        <w:t>附件</w:t>
      </w:r>
      <w:r>
        <w:rPr>
          <w:rFonts w:asciiTheme="minorEastAsia" w:hAnsiTheme="minorEastAsia" w:eastAsiaTheme="minorEastAsia"/>
          <w:color w:val="auto"/>
        </w:rPr>
        <w:t>1：</w:t>
      </w:r>
      <w:r>
        <w:rPr>
          <w:rFonts w:hint="eastAsia" w:asciiTheme="minorEastAsia" w:hAnsiTheme="minorEastAsia" w:eastAsiaTheme="minorEastAsia"/>
          <w:color w:val="auto"/>
        </w:rPr>
        <w:t>未来年度票价收入估算表</w:t>
      </w:r>
      <w:bookmarkEnd w:id="189"/>
      <w:bookmarkEnd w:id="190"/>
      <w:bookmarkEnd w:id="191"/>
      <w:bookmarkEnd w:id="192"/>
    </w:p>
    <w:p>
      <w:pPr>
        <w:spacing w:line="360" w:lineRule="auto"/>
        <w:ind w:firstLine="149" w:firstLineChars="71"/>
        <w:rPr>
          <w:rFonts w:asciiTheme="minorEastAsia" w:hAnsiTheme="minorEastAsia" w:eastAsiaTheme="minorEastAsia"/>
          <w:color w:val="auto"/>
        </w:rPr>
      </w:pPr>
      <w:r>
        <w:rPr>
          <w:rFonts w:hint="eastAsia" w:asciiTheme="minorEastAsia" w:hAnsiTheme="minorEastAsia" w:eastAsiaTheme="minorEastAsia"/>
          <w:color w:val="auto"/>
        </w:rPr>
        <w:t>（</w:t>
      </w:r>
      <w:r>
        <w:rPr>
          <w:rFonts w:asciiTheme="minorEastAsia" w:hAnsiTheme="minorEastAsia" w:eastAsiaTheme="minorEastAsia"/>
          <w:color w:val="auto"/>
        </w:rPr>
        <w:t>1</w:t>
      </w:r>
      <w:r>
        <w:rPr>
          <w:rFonts w:hint="eastAsia" w:asciiTheme="minorEastAsia" w:hAnsiTheme="minorEastAsia" w:eastAsiaTheme="minorEastAsia"/>
          <w:color w:val="auto"/>
        </w:rPr>
        <w:t>）单车日均客流量预测（人次）</w:t>
      </w:r>
    </w:p>
    <w:tbl>
      <w:tblPr>
        <w:tblStyle w:val="23"/>
        <w:tblW w:w="14775" w:type="dxa"/>
        <w:jc w:val="center"/>
        <w:tblInd w:w="0" w:type="dxa"/>
        <w:tblLayout w:type="fixed"/>
        <w:tblCellMar>
          <w:top w:w="0" w:type="dxa"/>
          <w:left w:w="108" w:type="dxa"/>
          <w:bottom w:w="0" w:type="dxa"/>
          <w:right w:w="108" w:type="dxa"/>
        </w:tblCellMar>
      </w:tblPr>
      <w:tblGrid>
        <w:gridCol w:w="1283"/>
        <w:gridCol w:w="799"/>
        <w:gridCol w:w="848"/>
        <w:gridCol w:w="848"/>
        <w:gridCol w:w="848"/>
        <w:gridCol w:w="848"/>
        <w:gridCol w:w="848"/>
        <w:gridCol w:w="848"/>
        <w:gridCol w:w="848"/>
        <w:gridCol w:w="848"/>
        <w:gridCol w:w="845"/>
        <w:gridCol w:w="845"/>
        <w:gridCol w:w="845"/>
        <w:gridCol w:w="845"/>
        <w:gridCol w:w="845"/>
        <w:gridCol w:w="845"/>
        <w:gridCol w:w="839"/>
      </w:tblGrid>
      <w:tr>
        <w:tblPrEx>
          <w:tblLayout w:type="fixed"/>
          <w:tblCellMar>
            <w:top w:w="0" w:type="dxa"/>
            <w:left w:w="108" w:type="dxa"/>
            <w:bottom w:w="0" w:type="dxa"/>
            <w:right w:w="108" w:type="dxa"/>
          </w:tblCellMar>
        </w:tblPrEx>
        <w:trPr>
          <w:trHeight w:val="285" w:hRule="atLeast"/>
          <w:jc w:val="center"/>
        </w:trPr>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类别</w:t>
            </w:r>
          </w:p>
        </w:tc>
        <w:tc>
          <w:tcPr>
            <w:tcW w:w="79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2020年</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2021年</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2022年</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2023年</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2024年</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2025年</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2026年</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2027年</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2028年</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2029年</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2030年</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2031年</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2032年</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2033年</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2034年</w:t>
            </w:r>
          </w:p>
        </w:tc>
        <w:tc>
          <w:tcPr>
            <w:tcW w:w="83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2035年</w:t>
            </w:r>
          </w:p>
        </w:tc>
      </w:tr>
      <w:tr>
        <w:tblPrEx>
          <w:tblLayout w:type="fixed"/>
          <w:tblCellMar>
            <w:top w:w="0" w:type="dxa"/>
            <w:left w:w="108" w:type="dxa"/>
            <w:bottom w:w="0" w:type="dxa"/>
            <w:right w:w="108" w:type="dxa"/>
          </w:tblCellMar>
        </w:tblPrEx>
        <w:trPr>
          <w:trHeight w:val="285" w:hRule="atLeast"/>
          <w:jc w:val="center"/>
        </w:trPr>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cs="Arial"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城区公交</w:t>
            </w:r>
          </w:p>
        </w:tc>
        <w:tc>
          <w:tcPr>
            <w:tcW w:w="79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160</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163</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166</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169</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172</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175</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179</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183</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187</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191</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195</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199</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203</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207</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211</w:t>
            </w:r>
          </w:p>
        </w:tc>
        <w:tc>
          <w:tcPr>
            <w:tcW w:w="83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215</w:t>
            </w:r>
          </w:p>
        </w:tc>
      </w:tr>
      <w:tr>
        <w:tblPrEx>
          <w:tblLayout w:type="fixed"/>
          <w:tblCellMar>
            <w:top w:w="0" w:type="dxa"/>
            <w:left w:w="108" w:type="dxa"/>
            <w:bottom w:w="0" w:type="dxa"/>
            <w:right w:w="108" w:type="dxa"/>
          </w:tblCellMar>
        </w:tblPrEx>
        <w:trPr>
          <w:trHeight w:val="285" w:hRule="atLeast"/>
          <w:jc w:val="center"/>
        </w:trPr>
        <w:tc>
          <w:tcPr>
            <w:tcW w:w="12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cs="Arial"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城乡公交</w:t>
            </w:r>
          </w:p>
        </w:tc>
        <w:tc>
          <w:tcPr>
            <w:tcW w:w="79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120</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122</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124</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126</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129</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132</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135</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138</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141</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144</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147</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150</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153</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156</w:t>
            </w:r>
          </w:p>
        </w:tc>
        <w:tc>
          <w:tcPr>
            <w:tcW w:w="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159</w:t>
            </w:r>
          </w:p>
        </w:tc>
        <w:tc>
          <w:tcPr>
            <w:tcW w:w="83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sz w:val="22"/>
                <w:szCs w:val="22"/>
              </w:rPr>
              <w:t>162</w:t>
            </w:r>
          </w:p>
        </w:tc>
      </w:tr>
    </w:tbl>
    <w:p>
      <w:pPr>
        <w:spacing w:line="360" w:lineRule="auto"/>
        <w:ind w:firstLine="71" w:firstLineChars="71"/>
        <w:rPr>
          <w:rFonts w:asciiTheme="minorEastAsia" w:hAnsiTheme="minorEastAsia" w:eastAsiaTheme="minorEastAsia"/>
          <w:color w:val="auto"/>
          <w:sz w:val="10"/>
          <w:szCs w:val="10"/>
        </w:rPr>
      </w:pPr>
    </w:p>
    <w:p>
      <w:pPr>
        <w:spacing w:line="360" w:lineRule="auto"/>
        <w:ind w:firstLine="149" w:firstLineChars="71"/>
        <w:rPr>
          <w:rFonts w:asciiTheme="minorEastAsia" w:hAnsiTheme="minorEastAsia" w:eastAsiaTheme="minorEastAsia"/>
          <w:color w:val="auto"/>
        </w:rPr>
      </w:pPr>
      <w:r>
        <w:rPr>
          <w:rFonts w:hint="eastAsia" w:asciiTheme="minorEastAsia" w:hAnsiTheme="minorEastAsia" w:eastAsiaTheme="minorEastAsia"/>
          <w:color w:val="auto"/>
        </w:rPr>
        <w:t>（</w:t>
      </w:r>
      <w:r>
        <w:rPr>
          <w:rFonts w:asciiTheme="minorEastAsia" w:hAnsiTheme="minorEastAsia" w:eastAsiaTheme="minorEastAsia"/>
          <w:color w:val="auto"/>
        </w:rPr>
        <w:t>2</w:t>
      </w:r>
      <w:r>
        <w:rPr>
          <w:rFonts w:hint="eastAsia" w:asciiTheme="minorEastAsia" w:hAnsiTheme="minorEastAsia" w:eastAsiaTheme="minorEastAsia"/>
          <w:color w:val="auto"/>
        </w:rPr>
        <w:t>）票价收入预测（万元</w:t>
      </w:r>
      <w:r>
        <w:rPr>
          <w:rFonts w:asciiTheme="minorEastAsia" w:hAnsiTheme="minorEastAsia" w:eastAsiaTheme="minorEastAsia"/>
          <w:color w:val="auto"/>
        </w:rPr>
        <w:t>/</w:t>
      </w:r>
      <w:r>
        <w:rPr>
          <w:rFonts w:hint="eastAsia" w:asciiTheme="minorEastAsia" w:hAnsiTheme="minorEastAsia" w:eastAsiaTheme="minorEastAsia"/>
          <w:color w:val="auto"/>
        </w:rPr>
        <w:t>车）</w:t>
      </w:r>
    </w:p>
    <w:tbl>
      <w:tblPr>
        <w:tblStyle w:val="23"/>
        <w:tblW w:w="14917" w:type="dxa"/>
        <w:jc w:val="center"/>
        <w:tblInd w:w="0" w:type="dxa"/>
        <w:tblLayout w:type="fixed"/>
        <w:tblCellMar>
          <w:top w:w="0" w:type="dxa"/>
          <w:left w:w="108" w:type="dxa"/>
          <w:bottom w:w="0" w:type="dxa"/>
          <w:right w:w="108" w:type="dxa"/>
        </w:tblCellMar>
      </w:tblPr>
      <w:tblGrid>
        <w:gridCol w:w="1135"/>
        <w:gridCol w:w="863"/>
        <w:gridCol w:w="863"/>
        <w:gridCol w:w="862"/>
        <w:gridCol w:w="862"/>
        <w:gridCol w:w="862"/>
        <w:gridCol w:w="862"/>
        <w:gridCol w:w="862"/>
        <w:gridCol w:w="862"/>
        <w:gridCol w:w="862"/>
        <w:gridCol w:w="862"/>
        <w:gridCol w:w="862"/>
        <w:gridCol w:w="862"/>
        <w:gridCol w:w="862"/>
        <w:gridCol w:w="862"/>
        <w:gridCol w:w="862"/>
        <w:gridCol w:w="850"/>
      </w:tblGrid>
      <w:tr>
        <w:tblPrEx>
          <w:tblLayout w:type="fixed"/>
          <w:tblCellMar>
            <w:top w:w="0" w:type="dxa"/>
            <w:left w:w="108" w:type="dxa"/>
            <w:bottom w:w="0" w:type="dxa"/>
            <w:right w:w="108" w:type="dxa"/>
          </w:tblCellMar>
        </w:tblPrEx>
        <w:trPr>
          <w:trHeight w:val="285" w:hRule="atLeast"/>
          <w:jc w:val="center"/>
        </w:trPr>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类别</w:t>
            </w:r>
          </w:p>
        </w:tc>
        <w:tc>
          <w:tcPr>
            <w:tcW w:w="86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2020年</w:t>
            </w:r>
          </w:p>
        </w:tc>
        <w:tc>
          <w:tcPr>
            <w:tcW w:w="86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2021年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2022年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2023年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2024年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2025年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2026年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2027年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2028年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2029年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2030年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2031年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2032年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2033年</w:t>
            </w:r>
          </w:p>
        </w:tc>
        <w:tc>
          <w:tcPr>
            <w:tcW w:w="86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2034年</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2035年</w:t>
            </w:r>
          </w:p>
        </w:tc>
      </w:tr>
      <w:tr>
        <w:tblPrEx>
          <w:tblLayout w:type="fixed"/>
          <w:tblCellMar>
            <w:top w:w="0" w:type="dxa"/>
            <w:left w:w="108" w:type="dxa"/>
            <w:bottom w:w="0" w:type="dxa"/>
            <w:right w:w="108" w:type="dxa"/>
          </w:tblCellMar>
        </w:tblPrEx>
        <w:trPr>
          <w:trHeight w:val="285" w:hRule="atLeast"/>
          <w:jc w:val="center"/>
        </w:trPr>
        <w:tc>
          <w:tcPr>
            <w:tcW w:w="113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城区公交</w:t>
            </w:r>
          </w:p>
        </w:tc>
        <w:tc>
          <w:tcPr>
            <w:tcW w:w="86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6.57 </w:t>
            </w:r>
          </w:p>
        </w:tc>
        <w:tc>
          <w:tcPr>
            <w:tcW w:w="86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6.69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6.82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6.94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7.06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7.19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7.35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7.51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7.68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7.84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8.01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8.17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8.34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8.50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8.66 </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8.83 </w:t>
            </w:r>
          </w:p>
        </w:tc>
      </w:tr>
      <w:tr>
        <w:tblPrEx>
          <w:tblLayout w:type="fixed"/>
          <w:tblCellMar>
            <w:top w:w="0" w:type="dxa"/>
            <w:left w:w="108" w:type="dxa"/>
            <w:bottom w:w="0" w:type="dxa"/>
            <w:right w:w="108" w:type="dxa"/>
          </w:tblCellMar>
        </w:tblPrEx>
        <w:trPr>
          <w:trHeight w:val="285" w:hRule="atLeast"/>
          <w:jc w:val="center"/>
        </w:trPr>
        <w:tc>
          <w:tcPr>
            <w:tcW w:w="113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城乡公交</w:t>
            </w:r>
          </w:p>
        </w:tc>
        <w:tc>
          <w:tcPr>
            <w:tcW w:w="86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14.89 </w:t>
            </w:r>
          </w:p>
        </w:tc>
        <w:tc>
          <w:tcPr>
            <w:tcW w:w="863"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15.14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15.39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15.64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16.01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16.38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16.75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17.13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17.50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17.87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18.24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18.62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18.99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19.36 </w:t>
            </w:r>
          </w:p>
        </w:tc>
        <w:tc>
          <w:tcPr>
            <w:tcW w:w="86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19.73 </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Arial" w:asciiTheme="minorEastAsia" w:hAnsiTheme="minorEastAsia" w:eastAsiaTheme="minorEastAsia"/>
                <w:color w:val="auto"/>
                <w:sz w:val="22"/>
                <w:szCs w:val="22"/>
              </w:rPr>
            </w:pPr>
            <w:r>
              <w:rPr>
                <w:rFonts w:cs="Arial" w:asciiTheme="minorEastAsia" w:hAnsiTheme="minorEastAsia" w:eastAsiaTheme="minorEastAsia"/>
                <w:color w:val="auto"/>
                <w:sz w:val="22"/>
                <w:szCs w:val="22"/>
              </w:rPr>
              <w:t xml:space="preserve">20.10 </w:t>
            </w:r>
          </w:p>
        </w:tc>
      </w:tr>
    </w:tbl>
    <w:p>
      <w:pPr>
        <w:spacing w:line="360" w:lineRule="auto"/>
        <w:ind w:firstLine="480"/>
        <w:rPr>
          <w:rFonts w:asciiTheme="minorEastAsia" w:hAnsiTheme="minorEastAsia" w:eastAsiaTheme="minorEastAsia"/>
          <w:color w:val="auto"/>
        </w:rPr>
      </w:pPr>
    </w:p>
    <w:p>
      <w:pPr>
        <w:pStyle w:val="2"/>
        <w:spacing w:after="190" w:line="360" w:lineRule="auto"/>
        <w:ind w:firstLine="640"/>
        <w:rPr>
          <w:rFonts w:asciiTheme="minorEastAsia" w:hAnsiTheme="minorEastAsia" w:eastAsiaTheme="minorEastAsia"/>
          <w:color w:val="auto"/>
        </w:rPr>
        <w:sectPr>
          <w:pgSz w:w="16838" w:h="11906" w:orient="landscape"/>
          <w:pgMar w:top="1800" w:right="1440" w:bottom="1800" w:left="1440" w:header="851" w:footer="992" w:gutter="0"/>
          <w:cols w:space="425" w:num="1"/>
          <w:docGrid w:type="lines" w:linePitch="381" w:charSpace="0"/>
        </w:sectPr>
      </w:pPr>
    </w:p>
    <w:p>
      <w:pPr>
        <w:pStyle w:val="2"/>
        <w:spacing w:after="190" w:line="360" w:lineRule="auto"/>
        <w:ind w:firstLine="640"/>
        <w:rPr>
          <w:rFonts w:asciiTheme="minorEastAsia" w:hAnsiTheme="minorEastAsia" w:eastAsiaTheme="minorEastAsia"/>
          <w:color w:val="auto"/>
        </w:rPr>
      </w:pPr>
      <w:bookmarkStart w:id="193" w:name="_Toc14266264"/>
      <w:bookmarkStart w:id="194" w:name="_Toc19881828"/>
      <w:bookmarkStart w:id="195" w:name="_Toc532748660"/>
      <w:bookmarkStart w:id="196" w:name="_Toc19891215"/>
      <w:r>
        <w:rPr>
          <w:rFonts w:hint="eastAsia" w:asciiTheme="minorEastAsia" w:hAnsiTheme="minorEastAsia" w:eastAsiaTheme="minorEastAsia"/>
          <w:color w:val="auto"/>
        </w:rPr>
        <w:t>附件</w:t>
      </w:r>
      <w:r>
        <w:rPr>
          <w:rFonts w:asciiTheme="minorEastAsia" w:hAnsiTheme="minorEastAsia" w:eastAsiaTheme="minorEastAsia"/>
          <w:color w:val="auto"/>
        </w:rPr>
        <w:t>2：燃料费用估算</w:t>
      </w:r>
      <w:bookmarkEnd w:id="193"/>
      <w:bookmarkEnd w:id="194"/>
      <w:bookmarkEnd w:id="195"/>
      <w:bookmarkEnd w:id="196"/>
    </w:p>
    <w:p>
      <w:pPr>
        <w:spacing w:line="360" w:lineRule="auto"/>
        <w:ind w:firstLine="480"/>
        <w:rPr>
          <w:rFonts w:asciiTheme="minorEastAsia" w:hAnsiTheme="minorEastAsia" w:eastAsiaTheme="minorEastAsia"/>
          <w:color w:val="auto"/>
        </w:rPr>
      </w:pPr>
      <w:r>
        <w:rPr>
          <w:rFonts w:hint="eastAsia" w:asciiTheme="minorEastAsia" w:hAnsiTheme="minorEastAsia" w:eastAsiaTheme="minorEastAsia"/>
          <w:color w:val="auto"/>
        </w:rPr>
        <w:t>（</w:t>
      </w:r>
      <w:r>
        <w:rPr>
          <w:rFonts w:asciiTheme="minorEastAsia" w:hAnsiTheme="minorEastAsia" w:eastAsiaTheme="minorEastAsia"/>
          <w:color w:val="auto"/>
        </w:rPr>
        <w:t>1）城市公交</w:t>
      </w:r>
    </w:p>
    <w:tbl>
      <w:tblPr>
        <w:tblStyle w:val="23"/>
        <w:tblW w:w="14459" w:type="dxa"/>
        <w:tblInd w:w="108" w:type="dxa"/>
        <w:tblLayout w:type="fixed"/>
        <w:tblCellMar>
          <w:top w:w="0" w:type="dxa"/>
          <w:left w:w="108" w:type="dxa"/>
          <w:bottom w:w="0" w:type="dxa"/>
          <w:right w:w="108" w:type="dxa"/>
        </w:tblCellMar>
      </w:tblPr>
      <w:tblGrid>
        <w:gridCol w:w="1276"/>
        <w:gridCol w:w="1003"/>
        <w:gridCol w:w="1123"/>
        <w:gridCol w:w="1134"/>
        <w:gridCol w:w="1834"/>
        <w:gridCol w:w="2135"/>
        <w:gridCol w:w="1765"/>
        <w:gridCol w:w="1300"/>
        <w:gridCol w:w="1330"/>
        <w:gridCol w:w="1559"/>
      </w:tblGrid>
      <w:tr>
        <w:tblPrEx>
          <w:tblLayout w:type="fixed"/>
          <w:tblCellMar>
            <w:top w:w="0" w:type="dxa"/>
            <w:left w:w="108" w:type="dxa"/>
            <w:bottom w:w="0" w:type="dxa"/>
            <w:right w:w="108" w:type="dxa"/>
          </w:tblCellMar>
        </w:tblPrEx>
        <w:trPr>
          <w:trHeight w:val="612" w:hRule="atLeast"/>
        </w:trPr>
        <w:tc>
          <w:tcPr>
            <w:tcW w:w="1276"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线路编号</w:t>
            </w:r>
          </w:p>
        </w:tc>
        <w:tc>
          <w:tcPr>
            <w:tcW w:w="100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线路长度（</w:t>
            </w:r>
            <w:r>
              <w:rPr>
                <w:rFonts w:cs="宋体" w:asciiTheme="minorEastAsia" w:hAnsiTheme="minorEastAsia" w:eastAsiaTheme="minorEastAsia"/>
                <w:color w:val="auto"/>
                <w:kern w:val="0"/>
              </w:rPr>
              <w:t>km</w:t>
            </w:r>
            <w:r>
              <w:rPr>
                <w:rFonts w:hint="eastAsia" w:cs="宋体" w:asciiTheme="minorEastAsia" w:hAnsiTheme="minorEastAsia" w:eastAsiaTheme="minorEastAsia"/>
                <w:color w:val="auto"/>
                <w:kern w:val="0"/>
              </w:rPr>
              <w:t>）</w:t>
            </w:r>
          </w:p>
        </w:tc>
        <w:tc>
          <w:tcPr>
            <w:tcW w:w="112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配车数</w:t>
            </w:r>
          </w:p>
        </w:tc>
        <w:tc>
          <w:tcPr>
            <w:tcW w:w="11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日发车班次</w:t>
            </w:r>
          </w:p>
        </w:tc>
        <w:tc>
          <w:tcPr>
            <w:tcW w:w="18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单车平均日发车班次</w:t>
            </w:r>
            <w:r>
              <w:rPr>
                <w:rFonts w:cs="宋体" w:asciiTheme="minorEastAsia" w:hAnsiTheme="minorEastAsia" w:eastAsiaTheme="minorEastAsia"/>
                <w:color w:val="auto"/>
                <w:kern w:val="0"/>
              </w:rPr>
              <w:t>(</w:t>
            </w:r>
            <w:r>
              <w:rPr>
                <w:rFonts w:hint="eastAsia" w:cs="宋体" w:asciiTheme="minorEastAsia" w:hAnsiTheme="minorEastAsia" w:eastAsiaTheme="minorEastAsia"/>
                <w:color w:val="auto"/>
                <w:kern w:val="0"/>
              </w:rPr>
              <w:t>双向</w:t>
            </w:r>
            <w:r>
              <w:rPr>
                <w:rFonts w:cs="宋体" w:asciiTheme="minorEastAsia" w:hAnsiTheme="minorEastAsia" w:eastAsiaTheme="minorEastAsia"/>
                <w:color w:val="auto"/>
                <w:kern w:val="0"/>
              </w:rPr>
              <w:t>)</w:t>
            </w:r>
          </w:p>
        </w:tc>
        <w:tc>
          <w:tcPr>
            <w:tcW w:w="213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单车年行驶里程（</w:t>
            </w:r>
            <w:r>
              <w:rPr>
                <w:rFonts w:cs="宋体" w:asciiTheme="minorEastAsia" w:hAnsiTheme="minorEastAsia" w:eastAsiaTheme="minorEastAsia"/>
                <w:color w:val="auto"/>
                <w:kern w:val="0"/>
              </w:rPr>
              <w:t>km</w:t>
            </w:r>
            <w:r>
              <w:rPr>
                <w:rFonts w:hint="eastAsia" w:cs="宋体" w:asciiTheme="minorEastAsia" w:hAnsiTheme="minorEastAsia" w:eastAsiaTheme="minorEastAsia"/>
                <w:color w:val="auto"/>
                <w:kern w:val="0"/>
              </w:rPr>
              <w:t>）</w:t>
            </w:r>
          </w:p>
        </w:tc>
        <w:tc>
          <w:tcPr>
            <w:tcW w:w="1765" w:type="dxa"/>
            <w:tcBorders>
              <w:top w:val="single" w:color="auto" w:sz="8" w:space="0"/>
              <w:left w:val="nil"/>
              <w:bottom w:val="nil"/>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电耗</w:t>
            </w:r>
          </w:p>
        </w:tc>
        <w:tc>
          <w:tcPr>
            <w:tcW w:w="130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电价</w:t>
            </w:r>
            <w:r>
              <w:rPr>
                <w:rFonts w:cs="宋体" w:asciiTheme="minorEastAsia" w:hAnsiTheme="minorEastAsia" w:eastAsiaTheme="minorEastAsia"/>
                <w:color w:val="auto"/>
                <w:kern w:val="0"/>
              </w:rPr>
              <w:t>(</w:t>
            </w:r>
            <w:r>
              <w:rPr>
                <w:rFonts w:hint="eastAsia" w:cs="宋体" w:asciiTheme="minorEastAsia" w:hAnsiTheme="minorEastAsia" w:eastAsiaTheme="minorEastAsia"/>
                <w:color w:val="auto"/>
                <w:kern w:val="0"/>
              </w:rPr>
              <w:t>元</w:t>
            </w:r>
            <w:r>
              <w:rPr>
                <w:rFonts w:cs="宋体" w:asciiTheme="minorEastAsia" w:hAnsiTheme="minorEastAsia" w:eastAsiaTheme="minorEastAsia"/>
                <w:color w:val="auto"/>
                <w:kern w:val="0"/>
              </w:rPr>
              <w:t>/kWh)</w:t>
            </w:r>
          </w:p>
        </w:tc>
        <w:tc>
          <w:tcPr>
            <w:tcW w:w="133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单车年耗电成本</w:t>
            </w:r>
            <w:r>
              <w:rPr>
                <w:rFonts w:cs="宋体" w:asciiTheme="minorEastAsia" w:hAnsiTheme="minorEastAsia" w:eastAsiaTheme="minorEastAsia"/>
                <w:color w:val="auto"/>
                <w:kern w:val="0"/>
              </w:rPr>
              <w:t>(</w:t>
            </w:r>
            <w:r>
              <w:rPr>
                <w:rFonts w:hint="eastAsia" w:cs="宋体" w:asciiTheme="minorEastAsia" w:hAnsiTheme="minorEastAsia" w:eastAsiaTheme="minorEastAsia"/>
                <w:color w:val="auto"/>
                <w:kern w:val="0"/>
              </w:rPr>
              <w:t>万元</w:t>
            </w:r>
            <w:r>
              <w:rPr>
                <w:rFonts w:cs="宋体" w:asciiTheme="minorEastAsia" w:hAnsiTheme="minorEastAsia" w:eastAsiaTheme="minorEastAsia"/>
                <w:color w:val="auto"/>
                <w:kern w:val="0"/>
              </w:rPr>
              <w:t>)</w:t>
            </w:r>
          </w:p>
        </w:tc>
        <w:tc>
          <w:tcPr>
            <w:tcW w:w="155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年耗电成本</w:t>
            </w:r>
            <w:r>
              <w:rPr>
                <w:rFonts w:cs="宋体" w:asciiTheme="minorEastAsia" w:hAnsiTheme="minorEastAsia" w:eastAsiaTheme="minorEastAsia"/>
                <w:color w:val="auto"/>
                <w:kern w:val="0"/>
              </w:rPr>
              <w:t>(</w:t>
            </w:r>
            <w:r>
              <w:rPr>
                <w:rFonts w:hint="eastAsia" w:cs="宋体" w:asciiTheme="minorEastAsia" w:hAnsiTheme="minorEastAsia" w:eastAsiaTheme="minorEastAsia"/>
                <w:color w:val="auto"/>
                <w:kern w:val="0"/>
              </w:rPr>
              <w:t>万元</w:t>
            </w:r>
            <w:r>
              <w:rPr>
                <w:rFonts w:cs="宋体" w:asciiTheme="minorEastAsia" w:hAnsiTheme="minorEastAsia" w:eastAsiaTheme="minorEastAsia"/>
                <w:color w:val="auto"/>
                <w:kern w:val="0"/>
              </w:rPr>
              <w:t>)</w:t>
            </w:r>
          </w:p>
        </w:tc>
      </w:tr>
      <w:tr>
        <w:tblPrEx>
          <w:tblLayout w:type="fixed"/>
          <w:tblCellMar>
            <w:top w:w="0" w:type="dxa"/>
            <w:left w:w="108" w:type="dxa"/>
            <w:bottom w:w="0" w:type="dxa"/>
            <w:right w:w="108" w:type="dxa"/>
          </w:tblCellMar>
        </w:tblPrEx>
        <w:trPr>
          <w:trHeight w:val="378" w:hRule="atLeast"/>
        </w:trPr>
        <w:tc>
          <w:tcPr>
            <w:tcW w:w="1276"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360" w:lineRule="auto"/>
              <w:jc w:val="center"/>
              <w:rPr>
                <w:rFonts w:cs="宋体" w:asciiTheme="minorEastAsia" w:hAnsiTheme="minorEastAsia" w:eastAsiaTheme="minorEastAsia"/>
                <w:color w:val="auto"/>
                <w:kern w:val="0"/>
              </w:rPr>
            </w:pPr>
          </w:p>
        </w:tc>
        <w:tc>
          <w:tcPr>
            <w:tcW w:w="1003"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360" w:lineRule="auto"/>
              <w:jc w:val="center"/>
              <w:rPr>
                <w:rFonts w:cs="宋体" w:asciiTheme="minorEastAsia" w:hAnsiTheme="minorEastAsia" w:eastAsiaTheme="minorEastAsia"/>
                <w:color w:val="auto"/>
                <w:kern w:val="0"/>
              </w:rPr>
            </w:pPr>
          </w:p>
        </w:tc>
        <w:tc>
          <w:tcPr>
            <w:tcW w:w="1123"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360" w:lineRule="auto"/>
              <w:jc w:val="center"/>
              <w:rPr>
                <w:rFonts w:cs="宋体" w:asciiTheme="minorEastAsia" w:hAnsiTheme="minorEastAsia" w:eastAsiaTheme="minorEastAsia"/>
                <w:color w:val="auto"/>
                <w:kern w:val="0"/>
              </w:rPr>
            </w:pPr>
          </w:p>
        </w:tc>
        <w:tc>
          <w:tcPr>
            <w:tcW w:w="1134"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360" w:lineRule="auto"/>
              <w:jc w:val="center"/>
              <w:rPr>
                <w:rFonts w:cs="宋体" w:asciiTheme="minorEastAsia" w:hAnsiTheme="minorEastAsia" w:eastAsiaTheme="minorEastAsia"/>
                <w:color w:val="auto"/>
                <w:kern w:val="0"/>
              </w:rPr>
            </w:pPr>
          </w:p>
        </w:tc>
        <w:tc>
          <w:tcPr>
            <w:tcW w:w="1834"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360" w:lineRule="auto"/>
              <w:jc w:val="center"/>
              <w:rPr>
                <w:rFonts w:cs="宋体" w:asciiTheme="minorEastAsia" w:hAnsiTheme="minorEastAsia" w:eastAsiaTheme="minorEastAsia"/>
                <w:color w:val="auto"/>
                <w:kern w:val="0"/>
              </w:rPr>
            </w:pPr>
          </w:p>
        </w:tc>
        <w:tc>
          <w:tcPr>
            <w:tcW w:w="2135"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360" w:lineRule="auto"/>
              <w:jc w:val="center"/>
              <w:rPr>
                <w:rFonts w:cs="宋体" w:asciiTheme="minorEastAsia" w:hAnsiTheme="minorEastAsia" w:eastAsiaTheme="minorEastAsia"/>
                <w:color w:val="auto"/>
                <w:kern w:val="0"/>
              </w:rPr>
            </w:pPr>
          </w:p>
        </w:tc>
        <w:tc>
          <w:tcPr>
            <w:tcW w:w="1765"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w:t>
            </w:r>
            <w:r>
              <w:rPr>
                <w:rFonts w:cs="宋体" w:asciiTheme="minorEastAsia" w:hAnsiTheme="minorEastAsia" w:eastAsiaTheme="minorEastAsia"/>
                <w:color w:val="auto"/>
                <w:kern w:val="0"/>
              </w:rPr>
              <w:t>kWh/100km</w:t>
            </w:r>
            <w:r>
              <w:rPr>
                <w:rFonts w:hint="eastAsia" w:cs="宋体" w:asciiTheme="minorEastAsia" w:hAnsiTheme="minorEastAsia" w:eastAsiaTheme="minorEastAsia"/>
                <w:color w:val="auto"/>
                <w:kern w:val="0"/>
              </w:rPr>
              <w:t>）</w:t>
            </w:r>
          </w:p>
        </w:tc>
        <w:tc>
          <w:tcPr>
            <w:tcW w:w="1300"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360" w:lineRule="auto"/>
              <w:jc w:val="center"/>
              <w:rPr>
                <w:rFonts w:cs="宋体" w:asciiTheme="minorEastAsia" w:hAnsiTheme="minorEastAsia" w:eastAsiaTheme="minorEastAsia"/>
                <w:color w:val="auto"/>
                <w:kern w:val="0"/>
              </w:rPr>
            </w:pPr>
          </w:p>
        </w:tc>
        <w:tc>
          <w:tcPr>
            <w:tcW w:w="1330"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360" w:lineRule="auto"/>
              <w:jc w:val="center"/>
              <w:rPr>
                <w:rFonts w:cs="宋体" w:asciiTheme="minorEastAsia" w:hAnsiTheme="minorEastAsia" w:eastAsiaTheme="minorEastAsia"/>
                <w:color w:val="auto"/>
                <w:kern w:val="0"/>
              </w:rPr>
            </w:pP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360" w:lineRule="auto"/>
              <w:jc w:val="center"/>
              <w:rPr>
                <w:rFonts w:cs="宋体" w:asciiTheme="minorEastAsia" w:hAnsiTheme="minorEastAsia" w:eastAsiaTheme="minorEastAsia"/>
                <w:color w:val="auto"/>
                <w:kern w:val="0"/>
              </w:rPr>
            </w:pP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101</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11.6</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178</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22.25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94,206.50</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6.12</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48.99</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102</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10.8</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178</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22.25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87,709.50</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5.7</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45.61</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103</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19.7</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134</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16.75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120,440.88</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7.83</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62.63</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104</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178</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22.25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81,212.50</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5.28</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42.23</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105</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10.4</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178</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22.25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84,461.00</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5.49</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43.92</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106</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10.6</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178</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22.25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86,085.25</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5.6</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44.76</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107</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12.5</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166</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20.75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94,671.88</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6.15</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49.23</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108</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20.6</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134</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16.75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125,943.25</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8.19</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65.49</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109</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12.6</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166</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20.75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95,429.25</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6.2</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49.62</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110</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17.5</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134</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16.75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106,990.63</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6.95</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55.64</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111</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14.3</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166</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20.75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108,304.63</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7.04</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56.32</w:t>
            </w:r>
          </w:p>
        </w:tc>
      </w:tr>
      <w:tr>
        <w:tblPrEx>
          <w:tblLayout w:type="fixed"/>
          <w:tblCellMar>
            <w:top w:w="0" w:type="dxa"/>
            <w:left w:w="108" w:type="dxa"/>
            <w:bottom w:w="0" w:type="dxa"/>
            <w:right w:w="108" w:type="dxa"/>
          </w:tblCellMar>
        </w:tblPrEx>
        <w:trPr>
          <w:trHeight w:val="324" w:hRule="atLeast"/>
        </w:trPr>
        <w:tc>
          <w:tcPr>
            <w:tcW w:w="1276" w:type="dxa"/>
            <w:tcBorders>
              <w:top w:val="nil"/>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112</w:t>
            </w:r>
          </w:p>
        </w:tc>
        <w:tc>
          <w:tcPr>
            <w:tcW w:w="100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24.5</w:t>
            </w:r>
          </w:p>
        </w:tc>
        <w:tc>
          <w:tcPr>
            <w:tcW w:w="1123"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134" w:type="dxa"/>
            <w:tcBorders>
              <w:top w:val="nil"/>
              <w:left w:val="nil"/>
              <w:bottom w:val="single" w:color="auto" w:sz="8" w:space="0"/>
              <w:right w:val="single" w:color="auto" w:sz="8"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134</w:t>
            </w:r>
          </w:p>
        </w:tc>
        <w:tc>
          <w:tcPr>
            <w:tcW w:w="1834"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16.75</w:t>
            </w:r>
          </w:p>
        </w:tc>
        <w:tc>
          <w:tcPr>
            <w:tcW w:w="213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149,786.88</w:t>
            </w:r>
          </w:p>
        </w:tc>
        <w:tc>
          <w:tcPr>
            <w:tcW w:w="1765"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65</w:t>
            </w:r>
          </w:p>
        </w:tc>
        <w:tc>
          <w:tcPr>
            <w:tcW w:w="130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w:t>
            </w:r>
          </w:p>
        </w:tc>
        <w:tc>
          <w:tcPr>
            <w:tcW w:w="1330"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9.74</w:t>
            </w:r>
          </w:p>
        </w:tc>
        <w:tc>
          <w:tcPr>
            <w:tcW w:w="1559" w:type="dxa"/>
            <w:tcBorders>
              <w:top w:val="nil"/>
              <w:left w:val="nil"/>
              <w:bottom w:val="single" w:color="auto" w:sz="8" w:space="0"/>
              <w:right w:val="single" w:color="auto" w:sz="8" w:space="0"/>
            </w:tcBorders>
            <w:shd w:val="clear" w:color="auto" w:fill="auto"/>
            <w:noWrap/>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77.89</w:t>
            </w:r>
          </w:p>
        </w:tc>
      </w:tr>
    </w:tbl>
    <w:p>
      <w:pPr>
        <w:widowControl/>
        <w:spacing w:line="360" w:lineRule="auto"/>
        <w:jc w:val="left"/>
        <w:rPr>
          <w:rFonts w:asciiTheme="minorEastAsia" w:hAnsiTheme="minorEastAsia" w:eastAsiaTheme="minorEastAsia"/>
          <w:color w:val="auto"/>
        </w:rPr>
      </w:pPr>
      <w:r>
        <w:rPr>
          <w:rFonts w:asciiTheme="minorEastAsia" w:hAnsiTheme="minorEastAsia" w:eastAsiaTheme="minorEastAsia"/>
          <w:color w:val="auto"/>
        </w:rPr>
        <w:br w:type="page"/>
      </w:r>
    </w:p>
    <w:p>
      <w:pPr>
        <w:spacing w:line="360" w:lineRule="auto"/>
        <w:ind w:firstLine="480"/>
        <w:rPr>
          <w:rFonts w:asciiTheme="minorEastAsia" w:hAnsiTheme="minorEastAsia" w:eastAsiaTheme="minorEastAsia"/>
          <w:color w:val="auto"/>
        </w:rPr>
      </w:pPr>
      <w:r>
        <w:rPr>
          <w:rFonts w:hint="eastAsia" w:asciiTheme="minorEastAsia" w:hAnsiTheme="minorEastAsia" w:eastAsiaTheme="minorEastAsia"/>
          <w:color w:val="auto"/>
        </w:rPr>
        <w:t>（</w:t>
      </w:r>
      <w:r>
        <w:rPr>
          <w:rFonts w:asciiTheme="minorEastAsia" w:hAnsiTheme="minorEastAsia" w:eastAsiaTheme="minorEastAsia"/>
          <w:color w:val="auto"/>
        </w:rPr>
        <w:t>2）城乡公交</w:t>
      </w:r>
    </w:p>
    <w:tbl>
      <w:tblPr>
        <w:tblStyle w:val="23"/>
        <w:tblW w:w="14143" w:type="dxa"/>
        <w:tblInd w:w="0" w:type="dxa"/>
        <w:tblLayout w:type="fixed"/>
        <w:tblCellMar>
          <w:top w:w="0" w:type="dxa"/>
          <w:left w:w="108" w:type="dxa"/>
          <w:bottom w:w="0" w:type="dxa"/>
          <w:right w:w="108" w:type="dxa"/>
        </w:tblCellMar>
      </w:tblPr>
      <w:tblGrid>
        <w:gridCol w:w="963"/>
        <w:gridCol w:w="1061"/>
        <w:gridCol w:w="1061"/>
        <w:gridCol w:w="1287"/>
        <w:gridCol w:w="1887"/>
        <w:gridCol w:w="1587"/>
        <w:gridCol w:w="1776"/>
        <w:gridCol w:w="1392"/>
        <w:gridCol w:w="1570"/>
        <w:gridCol w:w="1559"/>
      </w:tblGrid>
      <w:tr>
        <w:tblPrEx>
          <w:tblLayout w:type="fixed"/>
          <w:tblCellMar>
            <w:top w:w="0" w:type="dxa"/>
            <w:left w:w="108" w:type="dxa"/>
            <w:bottom w:w="0" w:type="dxa"/>
            <w:right w:w="108" w:type="dxa"/>
          </w:tblCellMar>
        </w:tblPrEx>
        <w:trPr>
          <w:trHeight w:val="570" w:hRule="atLeast"/>
        </w:trPr>
        <w:tc>
          <w:tcPr>
            <w:tcW w:w="9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线路编号</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线路长度（</w:t>
            </w:r>
            <w:r>
              <w:rPr>
                <w:rFonts w:cs="宋体" w:asciiTheme="minorEastAsia" w:hAnsiTheme="minorEastAsia" w:eastAsiaTheme="minorEastAsia"/>
                <w:color w:val="auto"/>
                <w:kern w:val="0"/>
              </w:rPr>
              <w:t>km）</w:t>
            </w:r>
          </w:p>
        </w:tc>
        <w:tc>
          <w:tcPr>
            <w:tcW w:w="106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配车数</w:t>
            </w:r>
          </w:p>
        </w:tc>
        <w:tc>
          <w:tcPr>
            <w:tcW w:w="128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日发车班次</w:t>
            </w:r>
          </w:p>
        </w:tc>
        <w:tc>
          <w:tcPr>
            <w:tcW w:w="188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单车平均日发车班次</w:t>
            </w:r>
            <w:r>
              <w:rPr>
                <w:rFonts w:cs="宋体" w:asciiTheme="minorEastAsia" w:hAnsiTheme="minorEastAsia" w:eastAsiaTheme="minorEastAsia"/>
                <w:color w:val="auto"/>
                <w:kern w:val="0"/>
              </w:rPr>
              <w:t>(双向)</w:t>
            </w:r>
          </w:p>
        </w:tc>
        <w:tc>
          <w:tcPr>
            <w:tcW w:w="158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单车年行驶里程（</w:t>
            </w:r>
            <w:r>
              <w:rPr>
                <w:rFonts w:cs="宋体" w:asciiTheme="minorEastAsia" w:hAnsiTheme="minorEastAsia" w:eastAsiaTheme="minorEastAsia"/>
                <w:color w:val="auto"/>
                <w:kern w:val="0"/>
              </w:rPr>
              <w:t>km）</w:t>
            </w:r>
          </w:p>
        </w:tc>
        <w:tc>
          <w:tcPr>
            <w:tcW w:w="177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电耗</w:t>
            </w:r>
          </w:p>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w:t>
            </w:r>
            <w:r>
              <w:rPr>
                <w:rFonts w:cs="宋体" w:asciiTheme="minorEastAsia" w:hAnsiTheme="minorEastAsia" w:eastAsiaTheme="minorEastAsia"/>
                <w:color w:val="auto"/>
                <w:kern w:val="0"/>
              </w:rPr>
              <w:t>kWh/100km）</w:t>
            </w:r>
          </w:p>
        </w:tc>
        <w:tc>
          <w:tcPr>
            <w:tcW w:w="139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电价</w:t>
            </w:r>
            <w:r>
              <w:rPr>
                <w:rFonts w:cs="宋体" w:asciiTheme="minorEastAsia" w:hAnsiTheme="minorEastAsia" w:eastAsiaTheme="minorEastAsia"/>
                <w:color w:val="auto"/>
                <w:kern w:val="0"/>
              </w:rPr>
              <w:t>(元/kWh)</w:t>
            </w:r>
          </w:p>
        </w:tc>
        <w:tc>
          <w:tcPr>
            <w:tcW w:w="157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单车年耗电成本</w:t>
            </w:r>
            <w:r>
              <w:rPr>
                <w:rFonts w:cs="宋体" w:asciiTheme="minorEastAsia" w:hAnsiTheme="minorEastAsia" w:eastAsiaTheme="minorEastAsia"/>
                <w:color w:val="auto"/>
                <w:kern w:val="0"/>
              </w:rPr>
              <w:t>(万元)</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rPr>
              <w:t>年耗电成本</w:t>
            </w:r>
            <w:r>
              <w:rPr>
                <w:rFonts w:cs="宋体" w:asciiTheme="minorEastAsia" w:hAnsiTheme="minorEastAsia" w:eastAsiaTheme="minorEastAsia"/>
                <w:color w:val="auto"/>
                <w:kern w:val="0"/>
              </w:rPr>
              <w:t>(万元)</w:t>
            </w:r>
          </w:p>
        </w:tc>
      </w:tr>
      <w:tr>
        <w:tblPrEx>
          <w:tblLayout w:type="fixed"/>
          <w:tblCellMar>
            <w:top w:w="0" w:type="dxa"/>
            <w:left w:w="108" w:type="dxa"/>
            <w:bottom w:w="0" w:type="dxa"/>
            <w:right w:w="108" w:type="dxa"/>
          </w:tblCellMar>
        </w:tblPrEx>
        <w:trPr>
          <w:trHeight w:val="435" w:hRule="atLeast"/>
        </w:trPr>
        <w:tc>
          <w:tcPr>
            <w:tcW w:w="96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201路</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45.9</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w:t>
            </w:r>
          </w:p>
        </w:tc>
        <w:tc>
          <w:tcPr>
            <w:tcW w:w="1287"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120</w:t>
            </w:r>
          </w:p>
        </w:tc>
        <w:tc>
          <w:tcPr>
            <w:tcW w:w="18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6.00</w:t>
            </w:r>
          </w:p>
        </w:tc>
        <w:tc>
          <w:tcPr>
            <w:tcW w:w="15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100,521.00</w:t>
            </w:r>
          </w:p>
        </w:tc>
        <w:tc>
          <w:tcPr>
            <w:tcW w:w="17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65.00</w:t>
            </w:r>
          </w:p>
        </w:tc>
        <w:tc>
          <w:tcPr>
            <w:tcW w:w="13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1.00</w:t>
            </w:r>
          </w:p>
        </w:tc>
        <w:tc>
          <w:tcPr>
            <w:tcW w:w="157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6.53</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130.68</w:t>
            </w:r>
          </w:p>
        </w:tc>
      </w:tr>
      <w:tr>
        <w:tblPrEx>
          <w:tblLayout w:type="fixed"/>
          <w:tblCellMar>
            <w:top w:w="0" w:type="dxa"/>
            <w:left w:w="108" w:type="dxa"/>
            <w:bottom w:w="0" w:type="dxa"/>
            <w:right w:w="108" w:type="dxa"/>
          </w:tblCellMar>
        </w:tblPrEx>
        <w:trPr>
          <w:trHeight w:val="435" w:hRule="atLeast"/>
        </w:trPr>
        <w:tc>
          <w:tcPr>
            <w:tcW w:w="96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202路</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48.5</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w:t>
            </w:r>
          </w:p>
        </w:tc>
        <w:tc>
          <w:tcPr>
            <w:tcW w:w="1287"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18</w:t>
            </w:r>
          </w:p>
        </w:tc>
        <w:tc>
          <w:tcPr>
            <w:tcW w:w="18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4.50</w:t>
            </w:r>
          </w:p>
        </w:tc>
        <w:tc>
          <w:tcPr>
            <w:tcW w:w="15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79,661.25</w:t>
            </w:r>
          </w:p>
        </w:tc>
        <w:tc>
          <w:tcPr>
            <w:tcW w:w="17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65.00</w:t>
            </w:r>
          </w:p>
        </w:tc>
        <w:tc>
          <w:tcPr>
            <w:tcW w:w="13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1.00</w:t>
            </w:r>
          </w:p>
        </w:tc>
        <w:tc>
          <w:tcPr>
            <w:tcW w:w="157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5.18</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20.71</w:t>
            </w:r>
          </w:p>
        </w:tc>
      </w:tr>
      <w:tr>
        <w:tblPrEx>
          <w:tblLayout w:type="fixed"/>
          <w:tblCellMar>
            <w:top w:w="0" w:type="dxa"/>
            <w:left w:w="108" w:type="dxa"/>
            <w:bottom w:w="0" w:type="dxa"/>
            <w:right w:w="108" w:type="dxa"/>
          </w:tblCellMar>
        </w:tblPrEx>
        <w:trPr>
          <w:trHeight w:val="435" w:hRule="atLeast"/>
        </w:trPr>
        <w:tc>
          <w:tcPr>
            <w:tcW w:w="96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203路</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40.5</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w:t>
            </w:r>
          </w:p>
        </w:tc>
        <w:tc>
          <w:tcPr>
            <w:tcW w:w="1287"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72</w:t>
            </w:r>
          </w:p>
        </w:tc>
        <w:tc>
          <w:tcPr>
            <w:tcW w:w="18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7.20</w:t>
            </w:r>
          </w:p>
        </w:tc>
        <w:tc>
          <w:tcPr>
            <w:tcW w:w="15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106,434.00</w:t>
            </w:r>
          </w:p>
        </w:tc>
        <w:tc>
          <w:tcPr>
            <w:tcW w:w="17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65.00</w:t>
            </w:r>
          </w:p>
        </w:tc>
        <w:tc>
          <w:tcPr>
            <w:tcW w:w="13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1.00</w:t>
            </w:r>
          </w:p>
        </w:tc>
        <w:tc>
          <w:tcPr>
            <w:tcW w:w="157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6.92</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69.18</w:t>
            </w:r>
          </w:p>
        </w:tc>
      </w:tr>
      <w:tr>
        <w:tblPrEx>
          <w:tblLayout w:type="fixed"/>
          <w:tblCellMar>
            <w:top w:w="0" w:type="dxa"/>
            <w:left w:w="108" w:type="dxa"/>
            <w:bottom w:w="0" w:type="dxa"/>
            <w:right w:w="108" w:type="dxa"/>
          </w:tblCellMar>
        </w:tblPrEx>
        <w:trPr>
          <w:trHeight w:val="435" w:hRule="atLeast"/>
        </w:trPr>
        <w:tc>
          <w:tcPr>
            <w:tcW w:w="96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204路</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26.9</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w:t>
            </w:r>
          </w:p>
        </w:tc>
        <w:tc>
          <w:tcPr>
            <w:tcW w:w="1287"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76</w:t>
            </w:r>
          </w:p>
        </w:tc>
        <w:tc>
          <w:tcPr>
            <w:tcW w:w="18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7.60</w:t>
            </w:r>
          </w:p>
        </w:tc>
        <w:tc>
          <w:tcPr>
            <w:tcW w:w="15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74,620.60</w:t>
            </w:r>
          </w:p>
        </w:tc>
        <w:tc>
          <w:tcPr>
            <w:tcW w:w="17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65.00</w:t>
            </w:r>
          </w:p>
        </w:tc>
        <w:tc>
          <w:tcPr>
            <w:tcW w:w="13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1.00</w:t>
            </w:r>
          </w:p>
        </w:tc>
        <w:tc>
          <w:tcPr>
            <w:tcW w:w="157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4.85</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48.50</w:t>
            </w:r>
          </w:p>
        </w:tc>
      </w:tr>
      <w:tr>
        <w:tblPrEx>
          <w:tblLayout w:type="fixed"/>
          <w:tblCellMar>
            <w:top w:w="0" w:type="dxa"/>
            <w:left w:w="108" w:type="dxa"/>
            <w:bottom w:w="0" w:type="dxa"/>
            <w:right w:w="108" w:type="dxa"/>
          </w:tblCellMar>
        </w:tblPrEx>
        <w:trPr>
          <w:trHeight w:val="435" w:hRule="atLeast"/>
        </w:trPr>
        <w:tc>
          <w:tcPr>
            <w:tcW w:w="96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205路</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36.5</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w:t>
            </w:r>
          </w:p>
        </w:tc>
        <w:tc>
          <w:tcPr>
            <w:tcW w:w="1287"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26</w:t>
            </w:r>
          </w:p>
        </w:tc>
        <w:tc>
          <w:tcPr>
            <w:tcW w:w="18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6.50</w:t>
            </w:r>
          </w:p>
        </w:tc>
        <w:tc>
          <w:tcPr>
            <w:tcW w:w="15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86,596.25</w:t>
            </w:r>
          </w:p>
        </w:tc>
        <w:tc>
          <w:tcPr>
            <w:tcW w:w="17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65.00</w:t>
            </w:r>
          </w:p>
        </w:tc>
        <w:tc>
          <w:tcPr>
            <w:tcW w:w="13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1.00</w:t>
            </w:r>
          </w:p>
        </w:tc>
        <w:tc>
          <w:tcPr>
            <w:tcW w:w="157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5.63</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22.52</w:t>
            </w:r>
          </w:p>
        </w:tc>
      </w:tr>
      <w:tr>
        <w:tblPrEx>
          <w:tblLayout w:type="fixed"/>
          <w:tblCellMar>
            <w:top w:w="0" w:type="dxa"/>
            <w:left w:w="108" w:type="dxa"/>
            <w:bottom w:w="0" w:type="dxa"/>
            <w:right w:w="108" w:type="dxa"/>
          </w:tblCellMar>
        </w:tblPrEx>
        <w:trPr>
          <w:trHeight w:val="435" w:hRule="atLeast"/>
        </w:trPr>
        <w:tc>
          <w:tcPr>
            <w:tcW w:w="96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206路</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44.3</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14</w:t>
            </w:r>
          </w:p>
        </w:tc>
        <w:tc>
          <w:tcPr>
            <w:tcW w:w="1287"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84</w:t>
            </w:r>
          </w:p>
        </w:tc>
        <w:tc>
          <w:tcPr>
            <w:tcW w:w="18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6.00</w:t>
            </w:r>
          </w:p>
        </w:tc>
        <w:tc>
          <w:tcPr>
            <w:tcW w:w="15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97,017.00</w:t>
            </w:r>
          </w:p>
        </w:tc>
        <w:tc>
          <w:tcPr>
            <w:tcW w:w="17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65.00</w:t>
            </w:r>
          </w:p>
        </w:tc>
        <w:tc>
          <w:tcPr>
            <w:tcW w:w="13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1.00</w:t>
            </w:r>
          </w:p>
        </w:tc>
        <w:tc>
          <w:tcPr>
            <w:tcW w:w="157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6.31</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88.29</w:t>
            </w:r>
          </w:p>
        </w:tc>
      </w:tr>
      <w:tr>
        <w:tblPrEx>
          <w:tblLayout w:type="fixed"/>
          <w:tblCellMar>
            <w:top w:w="0" w:type="dxa"/>
            <w:left w:w="108" w:type="dxa"/>
            <w:bottom w:w="0" w:type="dxa"/>
            <w:right w:w="108" w:type="dxa"/>
          </w:tblCellMar>
        </w:tblPrEx>
        <w:trPr>
          <w:trHeight w:val="435" w:hRule="atLeast"/>
        </w:trPr>
        <w:tc>
          <w:tcPr>
            <w:tcW w:w="96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207路</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55.7</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w:t>
            </w:r>
          </w:p>
        </w:tc>
        <w:tc>
          <w:tcPr>
            <w:tcW w:w="1287"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18</w:t>
            </w:r>
          </w:p>
        </w:tc>
        <w:tc>
          <w:tcPr>
            <w:tcW w:w="18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4.50</w:t>
            </w:r>
          </w:p>
        </w:tc>
        <w:tc>
          <w:tcPr>
            <w:tcW w:w="15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91,487.25</w:t>
            </w:r>
          </w:p>
        </w:tc>
        <w:tc>
          <w:tcPr>
            <w:tcW w:w="17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65.00</w:t>
            </w:r>
          </w:p>
        </w:tc>
        <w:tc>
          <w:tcPr>
            <w:tcW w:w="13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1.00</w:t>
            </w:r>
          </w:p>
        </w:tc>
        <w:tc>
          <w:tcPr>
            <w:tcW w:w="157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5.95</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23.79</w:t>
            </w:r>
          </w:p>
        </w:tc>
      </w:tr>
      <w:tr>
        <w:tblPrEx>
          <w:tblLayout w:type="fixed"/>
          <w:tblCellMar>
            <w:top w:w="0" w:type="dxa"/>
            <w:left w:w="108" w:type="dxa"/>
            <w:bottom w:w="0" w:type="dxa"/>
            <w:right w:w="108" w:type="dxa"/>
          </w:tblCellMar>
        </w:tblPrEx>
        <w:trPr>
          <w:trHeight w:val="435" w:hRule="atLeast"/>
        </w:trPr>
        <w:tc>
          <w:tcPr>
            <w:tcW w:w="96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208路</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60.8</w:t>
            </w:r>
          </w:p>
        </w:tc>
        <w:tc>
          <w:tcPr>
            <w:tcW w:w="1061"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w:t>
            </w:r>
          </w:p>
        </w:tc>
        <w:tc>
          <w:tcPr>
            <w:tcW w:w="1287"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4.00</w:t>
            </w:r>
          </w:p>
        </w:tc>
        <w:tc>
          <w:tcPr>
            <w:tcW w:w="158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88,768.00</w:t>
            </w:r>
          </w:p>
        </w:tc>
        <w:tc>
          <w:tcPr>
            <w:tcW w:w="17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65.00</w:t>
            </w:r>
          </w:p>
        </w:tc>
        <w:tc>
          <w:tcPr>
            <w:tcW w:w="13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1.00</w:t>
            </w:r>
          </w:p>
        </w:tc>
        <w:tc>
          <w:tcPr>
            <w:tcW w:w="157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5.77</w:t>
            </w:r>
          </w:p>
        </w:tc>
        <w:tc>
          <w:tcPr>
            <w:tcW w:w="155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11.54</w:t>
            </w:r>
          </w:p>
        </w:tc>
      </w:tr>
    </w:tbl>
    <w:p>
      <w:pPr>
        <w:spacing w:line="360" w:lineRule="auto"/>
        <w:ind w:firstLine="480"/>
        <w:rPr>
          <w:rFonts w:asciiTheme="minorEastAsia" w:hAnsiTheme="minorEastAsia" w:eastAsiaTheme="minorEastAsia"/>
          <w:color w:val="auto"/>
        </w:rPr>
      </w:pPr>
    </w:p>
    <w:p>
      <w:pPr>
        <w:spacing w:line="360" w:lineRule="auto"/>
        <w:rPr>
          <w:rFonts w:asciiTheme="minorEastAsia" w:hAnsiTheme="minorEastAsia" w:eastAsiaTheme="minorEastAsia"/>
          <w:color w:val="auto"/>
        </w:rPr>
        <w:sectPr>
          <w:pgSz w:w="16838" w:h="11906" w:orient="landscape"/>
          <w:pgMar w:top="1800" w:right="1440" w:bottom="1800" w:left="1440" w:header="851" w:footer="992" w:gutter="0"/>
          <w:cols w:space="425" w:num="1"/>
          <w:docGrid w:type="lines" w:linePitch="381" w:charSpace="0"/>
        </w:sectPr>
      </w:pPr>
    </w:p>
    <w:p>
      <w:pPr>
        <w:pStyle w:val="2"/>
        <w:spacing w:after="190" w:line="360" w:lineRule="auto"/>
        <w:ind w:firstLine="640"/>
        <w:rPr>
          <w:rFonts w:asciiTheme="minorEastAsia" w:hAnsiTheme="minorEastAsia" w:eastAsiaTheme="minorEastAsia"/>
          <w:color w:val="auto"/>
        </w:rPr>
      </w:pPr>
      <w:bookmarkStart w:id="197" w:name="_Toc532748661"/>
      <w:bookmarkStart w:id="198" w:name="_Toc14266265"/>
      <w:bookmarkStart w:id="199" w:name="_Toc19891216"/>
      <w:bookmarkStart w:id="200" w:name="_Toc19881829"/>
      <w:r>
        <w:rPr>
          <w:rFonts w:hint="eastAsia" w:asciiTheme="minorEastAsia" w:hAnsiTheme="minorEastAsia" w:eastAsiaTheme="minorEastAsia"/>
          <w:color w:val="auto"/>
        </w:rPr>
        <w:t>附件</w:t>
      </w:r>
      <w:r>
        <w:rPr>
          <w:rFonts w:asciiTheme="minorEastAsia" w:hAnsiTheme="minorEastAsia" w:eastAsiaTheme="minorEastAsia"/>
          <w:color w:val="auto"/>
        </w:rPr>
        <w:t>3：单车年修理费、轮胎消耗费预估</w:t>
      </w:r>
      <w:bookmarkEnd w:id="197"/>
      <w:bookmarkEnd w:id="198"/>
      <w:bookmarkEnd w:id="199"/>
      <w:bookmarkEnd w:id="200"/>
    </w:p>
    <w:p>
      <w:pPr>
        <w:spacing w:line="360" w:lineRule="auto"/>
        <w:ind w:firstLine="480"/>
        <w:rPr>
          <w:rFonts w:asciiTheme="minorEastAsia" w:hAnsiTheme="minorEastAsia" w:eastAsiaTheme="minorEastAsia"/>
          <w:color w:val="auto"/>
        </w:rPr>
      </w:pPr>
      <w:r>
        <w:rPr>
          <w:rFonts w:hint="eastAsia" w:asciiTheme="minorEastAsia" w:hAnsiTheme="minorEastAsia" w:eastAsiaTheme="minorEastAsia"/>
          <w:color w:val="auto"/>
        </w:rPr>
        <w:t>（</w:t>
      </w:r>
      <w:r>
        <w:rPr>
          <w:rFonts w:asciiTheme="minorEastAsia" w:hAnsiTheme="minorEastAsia" w:eastAsiaTheme="minorEastAsia"/>
          <w:color w:val="auto"/>
        </w:rPr>
        <w:t>1）城市公交</w:t>
      </w:r>
    </w:p>
    <w:tbl>
      <w:tblPr>
        <w:tblStyle w:val="23"/>
        <w:tblW w:w="14174" w:type="dxa"/>
        <w:tblInd w:w="0" w:type="dxa"/>
        <w:tblLayout w:type="fixed"/>
        <w:tblCellMar>
          <w:top w:w="0" w:type="dxa"/>
          <w:left w:w="108" w:type="dxa"/>
          <w:bottom w:w="0" w:type="dxa"/>
          <w:right w:w="108" w:type="dxa"/>
        </w:tblCellMar>
      </w:tblPr>
      <w:tblGrid>
        <w:gridCol w:w="1592"/>
        <w:gridCol w:w="1718"/>
        <w:gridCol w:w="1327"/>
        <w:gridCol w:w="1845"/>
        <w:gridCol w:w="1982"/>
        <w:gridCol w:w="1630"/>
        <w:gridCol w:w="2135"/>
        <w:gridCol w:w="1945"/>
      </w:tblGrid>
      <w:tr>
        <w:tblPrEx>
          <w:tblLayout w:type="fixed"/>
          <w:tblCellMar>
            <w:top w:w="0" w:type="dxa"/>
            <w:left w:w="108" w:type="dxa"/>
            <w:bottom w:w="0" w:type="dxa"/>
            <w:right w:w="108" w:type="dxa"/>
          </w:tblCellMar>
        </w:tblPrEx>
        <w:trPr>
          <w:trHeight w:val="855" w:hRule="atLeast"/>
        </w:trPr>
        <w:tc>
          <w:tcPr>
            <w:tcW w:w="15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480"/>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线路编号</w:t>
            </w:r>
          </w:p>
        </w:tc>
        <w:tc>
          <w:tcPr>
            <w:tcW w:w="171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线路长度（</w:t>
            </w:r>
            <w:r>
              <w:rPr>
                <w:rFonts w:cs="宋体" w:asciiTheme="minorEastAsia" w:hAnsiTheme="minorEastAsia" w:eastAsiaTheme="minorEastAsia"/>
                <w:color w:val="auto"/>
                <w:kern w:val="0"/>
              </w:rPr>
              <w:t>km）</w:t>
            </w:r>
          </w:p>
        </w:tc>
        <w:tc>
          <w:tcPr>
            <w:tcW w:w="132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配车数</w:t>
            </w:r>
          </w:p>
        </w:tc>
        <w:tc>
          <w:tcPr>
            <w:tcW w:w="18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单车年行驶里程（</w:t>
            </w:r>
            <w:r>
              <w:rPr>
                <w:rFonts w:cs="宋体" w:asciiTheme="minorEastAsia" w:hAnsiTheme="minorEastAsia" w:eastAsiaTheme="minorEastAsia"/>
                <w:color w:val="auto"/>
                <w:kern w:val="0"/>
              </w:rPr>
              <w:t>km）</w:t>
            </w:r>
          </w:p>
        </w:tc>
        <w:tc>
          <w:tcPr>
            <w:tcW w:w="198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修理费用标准值（元</w:t>
            </w:r>
            <w:r>
              <w:rPr>
                <w:rFonts w:cs="宋体" w:asciiTheme="minorEastAsia" w:hAnsiTheme="minorEastAsia" w:eastAsiaTheme="minorEastAsia"/>
                <w:color w:val="auto"/>
                <w:kern w:val="0"/>
              </w:rPr>
              <w:t>/1000km）</w:t>
            </w:r>
          </w:p>
        </w:tc>
        <w:tc>
          <w:tcPr>
            <w:tcW w:w="163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修理费用（元</w:t>
            </w:r>
            <w:r>
              <w:rPr>
                <w:rFonts w:cs="宋体" w:asciiTheme="minorEastAsia" w:hAnsiTheme="minorEastAsia" w:eastAsiaTheme="minorEastAsia"/>
                <w:color w:val="auto"/>
                <w:kern w:val="0"/>
              </w:rPr>
              <w:t>/年）</w:t>
            </w:r>
          </w:p>
        </w:tc>
        <w:tc>
          <w:tcPr>
            <w:tcW w:w="213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轮胎消耗费用标准值（元</w:t>
            </w:r>
            <w:r>
              <w:rPr>
                <w:rFonts w:cs="宋体" w:asciiTheme="minorEastAsia" w:hAnsiTheme="minorEastAsia" w:eastAsiaTheme="minorEastAsia"/>
                <w:color w:val="auto"/>
                <w:kern w:val="0"/>
              </w:rPr>
              <w:t>/1000km）</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轮胎消耗费用</w:t>
            </w:r>
            <w:r>
              <w:rPr>
                <w:rFonts w:cs="宋体" w:asciiTheme="minorEastAsia" w:hAnsiTheme="minorEastAsia" w:eastAsiaTheme="minorEastAsia"/>
                <w:color w:val="auto"/>
                <w:kern w:val="0"/>
              </w:rPr>
              <w:br w:type="textWrapping"/>
            </w:r>
            <w:r>
              <w:rPr>
                <w:rFonts w:hint="eastAsia" w:cs="宋体" w:asciiTheme="minorEastAsia" w:hAnsiTheme="minorEastAsia" w:eastAsiaTheme="minorEastAsia"/>
                <w:color w:val="auto"/>
                <w:kern w:val="0"/>
              </w:rPr>
              <w:t>（元</w:t>
            </w:r>
            <w:r>
              <w:rPr>
                <w:rFonts w:cs="宋体" w:asciiTheme="minorEastAsia" w:hAnsiTheme="minorEastAsia" w:eastAsiaTheme="minorEastAsia"/>
                <w:color w:val="auto"/>
                <w:kern w:val="0"/>
              </w:rPr>
              <w:t>/年）</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101</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11.6</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94,206.50</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150,730.40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37,682.60</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102</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10.8</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87,709.50</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140,335.20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35,083.80</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103</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19.7</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120,440.88</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192,705.40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48,176.35</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104</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81,212.50</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129,940.00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32,485.00</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105</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10.4</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84,461.00</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135,137.60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33,784.40</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106</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10.6</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86,085.25</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137,736.40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34,434.10</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107</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12.5</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94,671.88</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151,475.00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37,868.75</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108</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20.6</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125,943.25</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201,509.20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50,377.30</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109</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12.6</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95,429.25</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152,686.80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38,171.70</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110</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17.5</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106,990.63</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171,185.00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42,796.25</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111</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14.3</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108,304.63</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173,287.40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43,321.85</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112</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24.5</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149,786.88</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239,659.00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59,914.75</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备用车辆</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r>
      <w:tr>
        <w:tblPrEx>
          <w:tblLayout w:type="fixed"/>
          <w:tblCellMar>
            <w:top w:w="0" w:type="dxa"/>
            <w:left w:w="108" w:type="dxa"/>
            <w:bottom w:w="0" w:type="dxa"/>
            <w:right w:w="108" w:type="dxa"/>
          </w:tblCellMar>
        </w:tblPrEx>
        <w:trPr>
          <w:trHeight w:val="285" w:hRule="atLeast"/>
        </w:trPr>
        <w:tc>
          <w:tcPr>
            <w:tcW w:w="1592"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合计</w:t>
            </w:r>
          </w:p>
        </w:tc>
        <w:tc>
          <w:tcPr>
            <w:tcW w:w="171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175.1</w:t>
            </w:r>
          </w:p>
        </w:tc>
        <w:tc>
          <w:tcPr>
            <w:tcW w:w="132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102</w:t>
            </w:r>
          </w:p>
        </w:tc>
        <w:tc>
          <w:tcPr>
            <w:tcW w:w="18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19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p>
        </w:tc>
        <w:tc>
          <w:tcPr>
            <w:tcW w:w="1630"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1,976,387.40</w:t>
            </w:r>
          </w:p>
        </w:tc>
        <w:tc>
          <w:tcPr>
            <w:tcW w:w="213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p>
        </w:tc>
        <w:tc>
          <w:tcPr>
            <w:tcW w:w="194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494,096.85</w:t>
            </w:r>
          </w:p>
        </w:tc>
      </w:tr>
    </w:tbl>
    <w:p>
      <w:pPr>
        <w:widowControl/>
        <w:spacing w:line="360" w:lineRule="auto"/>
        <w:jc w:val="left"/>
        <w:rPr>
          <w:rFonts w:asciiTheme="minorEastAsia" w:hAnsiTheme="minorEastAsia" w:eastAsiaTheme="minorEastAsia"/>
          <w:color w:val="auto"/>
        </w:rPr>
      </w:pPr>
      <w:r>
        <w:rPr>
          <w:rFonts w:asciiTheme="minorEastAsia" w:hAnsiTheme="minorEastAsia" w:eastAsiaTheme="minorEastAsia"/>
          <w:color w:val="auto"/>
        </w:rPr>
        <w:br w:type="page"/>
      </w:r>
    </w:p>
    <w:p>
      <w:pPr>
        <w:spacing w:line="360" w:lineRule="auto"/>
        <w:ind w:firstLine="480"/>
        <w:rPr>
          <w:rFonts w:asciiTheme="minorEastAsia" w:hAnsiTheme="minorEastAsia" w:eastAsiaTheme="minorEastAsia"/>
          <w:color w:val="auto"/>
        </w:rPr>
      </w:pPr>
      <w:r>
        <w:rPr>
          <w:rFonts w:hint="eastAsia" w:asciiTheme="minorEastAsia" w:hAnsiTheme="minorEastAsia" w:eastAsiaTheme="minorEastAsia"/>
          <w:color w:val="auto"/>
        </w:rPr>
        <w:t>（</w:t>
      </w:r>
      <w:r>
        <w:rPr>
          <w:rFonts w:asciiTheme="minorEastAsia" w:hAnsiTheme="minorEastAsia" w:eastAsiaTheme="minorEastAsia"/>
          <w:color w:val="auto"/>
        </w:rPr>
        <w:t>2）城乡公交</w:t>
      </w:r>
    </w:p>
    <w:tbl>
      <w:tblPr>
        <w:tblStyle w:val="23"/>
        <w:tblW w:w="14168" w:type="dxa"/>
        <w:tblInd w:w="0" w:type="dxa"/>
        <w:tblLayout w:type="fixed"/>
        <w:tblCellMar>
          <w:top w:w="0" w:type="dxa"/>
          <w:left w:w="108" w:type="dxa"/>
          <w:bottom w:w="0" w:type="dxa"/>
          <w:right w:w="108" w:type="dxa"/>
        </w:tblCellMar>
      </w:tblPr>
      <w:tblGrid>
        <w:gridCol w:w="1641"/>
        <w:gridCol w:w="1774"/>
        <w:gridCol w:w="1374"/>
        <w:gridCol w:w="1904"/>
        <w:gridCol w:w="1626"/>
        <w:gridCol w:w="1655"/>
        <w:gridCol w:w="2182"/>
        <w:gridCol w:w="2012"/>
      </w:tblGrid>
      <w:tr>
        <w:tblPrEx>
          <w:tblLayout w:type="fixed"/>
          <w:tblCellMar>
            <w:top w:w="0" w:type="dxa"/>
            <w:left w:w="108" w:type="dxa"/>
            <w:bottom w:w="0" w:type="dxa"/>
            <w:right w:w="108" w:type="dxa"/>
          </w:tblCellMar>
        </w:tblPrEx>
        <w:trPr>
          <w:trHeight w:val="855" w:hRule="atLeast"/>
        </w:trPr>
        <w:tc>
          <w:tcPr>
            <w:tcW w:w="16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线路编号</w:t>
            </w:r>
          </w:p>
        </w:tc>
        <w:tc>
          <w:tcPr>
            <w:tcW w:w="177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线路长度（</w:t>
            </w:r>
            <w:r>
              <w:rPr>
                <w:rFonts w:cs="宋体" w:asciiTheme="minorEastAsia" w:hAnsiTheme="minorEastAsia" w:eastAsiaTheme="minorEastAsia"/>
                <w:color w:val="auto"/>
                <w:kern w:val="0"/>
              </w:rPr>
              <w:t>km）</w:t>
            </w:r>
          </w:p>
        </w:tc>
        <w:tc>
          <w:tcPr>
            <w:tcW w:w="137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配车数</w:t>
            </w:r>
          </w:p>
        </w:tc>
        <w:tc>
          <w:tcPr>
            <w:tcW w:w="190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单车年行驶里程（</w:t>
            </w:r>
            <w:r>
              <w:rPr>
                <w:rFonts w:cs="宋体" w:asciiTheme="minorEastAsia" w:hAnsiTheme="minorEastAsia" w:eastAsiaTheme="minorEastAsia"/>
                <w:color w:val="auto"/>
                <w:kern w:val="0"/>
              </w:rPr>
              <w:t>km）</w:t>
            </w:r>
          </w:p>
        </w:tc>
        <w:tc>
          <w:tcPr>
            <w:tcW w:w="162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修理费用标准值（元</w:t>
            </w:r>
            <w:r>
              <w:rPr>
                <w:rFonts w:cs="宋体" w:asciiTheme="minorEastAsia" w:hAnsiTheme="minorEastAsia" w:eastAsiaTheme="minorEastAsia"/>
                <w:color w:val="auto"/>
                <w:kern w:val="0"/>
              </w:rPr>
              <w:t>/1000km）</w:t>
            </w:r>
          </w:p>
        </w:tc>
        <w:tc>
          <w:tcPr>
            <w:tcW w:w="165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修理费用</w:t>
            </w:r>
          </w:p>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（元</w:t>
            </w:r>
            <w:r>
              <w:rPr>
                <w:rFonts w:cs="宋体" w:asciiTheme="minorEastAsia" w:hAnsiTheme="minorEastAsia" w:eastAsiaTheme="minorEastAsia"/>
                <w:color w:val="auto"/>
                <w:kern w:val="0"/>
              </w:rPr>
              <w:t>/年）</w:t>
            </w:r>
          </w:p>
        </w:tc>
        <w:tc>
          <w:tcPr>
            <w:tcW w:w="218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轮胎消耗费用标准值（元</w:t>
            </w:r>
            <w:r>
              <w:rPr>
                <w:rFonts w:cs="宋体" w:asciiTheme="minorEastAsia" w:hAnsiTheme="minorEastAsia" w:eastAsiaTheme="minorEastAsia"/>
                <w:color w:val="auto"/>
                <w:kern w:val="0"/>
              </w:rPr>
              <w:t>/1000km）</w:t>
            </w:r>
          </w:p>
        </w:tc>
        <w:tc>
          <w:tcPr>
            <w:tcW w:w="2012"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轮胎消耗费用</w:t>
            </w:r>
            <w:r>
              <w:rPr>
                <w:rFonts w:cs="宋体" w:asciiTheme="minorEastAsia" w:hAnsiTheme="minorEastAsia" w:eastAsiaTheme="minorEastAsia"/>
                <w:color w:val="auto"/>
                <w:kern w:val="0"/>
              </w:rPr>
              <w:br w:type="textWrapping"/>
            </w:r>
            <w:r>
              <w:rPr>
                <w:rFonts w:hint="eastAsia" w:cs="宋体" w:asciiTheme="minorEastAsia" w:hAnsiTheme="minorEastAsia" w:eastAsiaTheme="minorEastAsia"/>
                <w:color w:val="auto"/>
                <w:kern w:val="0"/>
              </w:rPr>
              <w:t>（元</w:t>
            </w:r>
            <w:r>
              <w:rPr>
                <w:rFonts w:cs="宋体" w:asciiTheme="minorEastAsia" w:hAnsiTheme="minorEastAsia" w:eastAsiaTheme="minorEastAsia"/>
                <w:color w:val="auto"/>
                <w:kern w:val="0"/>
              </w:rPr>
              <w:t>/年）</w:t>
            </w:r>
          </w:p>
        </w:tc>
      </w:tr>
      <w:tr>
        <w:tblPrEx>
          <w:tblLayout w:type="fixed"/>
          <w:tblCellMar>
            <w:top w:w="0" w:type="dxa"/>
            <w:left w:w="108" w:type="dxa"/>
            <w:bottom w:w="0" w:type="dxa"/>
            <w:right w:w="108" w:type="dxa"/>
          </w:tblCellMar>
        </w:tblPrEx>
        <w:trPr>
          <w:trHeight w:val="285" w:hRule="atLeast"/>
        </w:trPr>
        <w:tc>
          <w:tcPr>
            <w:tcW w:w="164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201</w:t>
            </w:r>
          </w:p>
        </w:tc>
        <w:tc>
          <w:tcPr>
            <w:tcW w:w="17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45.9</w:t>
            </w:r>
          </w:p>
        </w:tc>
        <w:tc>
          <w:tcPr>
            <w:tcW w:w="13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w:t>
            </w:r>
          </w:p>
        </w:tc>
        <w:tc>
          <w:tcPr>
            <w:tcW w:w="190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100,521.00</w:t>
            </w:r>
          </w:p>
        </w:tc>
        <w:tc>
          <w:tcPr>
            <w:tcW w:w="1626"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5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402,084.00</w:t>
            </w:r>
          </w:p>
        </w:tc>
        <w:tc>
          <w:tcPr>
            <w:tcW w:w="21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201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100,521.00</w:t>
            </w:r>
          </w:p>
        </w:tc>
      </w:tr>
      <w:tr>
        <w:tblPrEx>
          <w:tblLayout w:type="fixed"/>
          <w:tblCellMar>
            <w:top w:w="0" w:type="dxa"/>
            <w:left w:w="108" w:type="dxa"/>
            <w:bottom w:w="0" w:type="dxa"/>
            <w:right w:w="108" w:type="dxa"/>
          </w:tblCellMar>
        </w:tblPrEx>
        <w:trPr>
          <w:trHeight w:val="285" w:hRule="atLeast"/>
        </w:trPr>
        <w:tc>
          <w:tcPr>
            <w:tcW w:w="164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202</w:t>
            </w:r>
          </w:p>
        </w:tc>
        <w:tc>
          <w:tcPr>
            <w:tcW w:w="17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48.5</w:t>
            </w:r>
          </w:p>
        </w:tc>
        <w:tc>
          <w:tcPr>
            <w:tcW w:w="13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w:t>
            </w:r>
          </w:p>
        </w:tc>
        <w:tc>
          <w:tcPr>
            <w:tcW w:w="190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79,661.25</w:t>
            </w:r>
          </w:p>
        </w:tc>
        <w:tc>
          <w:tcPr>
            <w:tcW w:w="1626"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5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63,729.00</w:t>
            </w:r>
          </w:p>
        </w:tc>
        <w:tc>
          <w:tcPr>
            <w:tcW w:w="21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201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15,932.25</w:t>
            </w:r>
          </w:p>
        </w:tc>
      </w:tr>
      <w:tr>
        <w:tblPrEx>
          <w:tblLayout w:type="fixed"/>
          <w:tblCellMar>
            <w:top w:w="0" w:type="dxa"/>
            <w:left w:w="108" w:type="dxa"/>
            <w:bottom w:w="0" w:type="dxa"/>
            <w:right w:w="108" w:type="dxa"/>
          </w:tblCellMar>
        </w:tblPrEx>
        <w:trPr>
          <w:trHeight w:val="285" w:hRule="atLeast"/>
        </w:trPr>
        <w:tc>
          <w:tcPr>
            <w:tcW w:w="164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203</w:t>
            </w:r>
          </w:p>
        </w:tc>
        <w:tc>
          <w:tcPr>
            <w:tcW w:w="17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40.5</w:t>
            </w:r>
          </w:p>
        </w:tc>
        <w:tc>
          <w:tcPr>
            <w:tcW w:w="13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w:t>
            </w:r>
          </w:p>
        </w:tc>
        <w:tc>
          <w:tcPr>
            <w:tcW w:w="190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106,434.00</w:t>
            </w:r>
          </w:p>
        </w:tc>
        <w:tc>
          <w:tcPr>
            <w:tcW w:w="1626"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5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212,868.00</w:t>
            </w:r>
          </w:p>
        </w:tc>
        <w:tc>
          <w:tcPr>
            <w:tcW w:w="21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201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53,217.00</w:t>
            </w:r>
          </w:p>
        </w:tc>
      </w:tr>
      <w:tr>
        <w:tblPrEx>
          <w:tblLayout w:type="fixed"/>
          <w:tblCellMar>
            <w:top w:w="0" w:type="dxa"/>
            <w:left w:w="108" w:type="dxa"/>
            <w:bottom w:w="0" w:type="dxa"/>
            <w:right w:w="108" w:type="dxa"/>
          </w:tblCellMar>
        </w:tblPrEx>
        <w:trPr>
          <w:trHeight w:val="285" w:hRule="atLeast"/>
        </w:trPr>
        <w:tc>
          <w:tcPr>
            <w:tcW w:w="164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204</w:t>
            </w:r>
          </w:p>
        </w:tc>
        <w:tc>
          <w:tcPr>
            <w:tcW w:w="17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26.9</w:t>
            </w:r>
          </w:p>
        </w:tc>
        <w:tc>
          <w:tcPr>
            <w:tcW w:w="13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10</w:t>
            </w:r>
          </w:p>
        </w:tc>
        <w:tc>
          <w:tcPr>
            <w:tcW w:w="190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74,620.60</w:t>
            </w:r>
          </w:p>
        </w:tc>
        <w:tc>
          <w:tcPr>
            <w:tcW w:w="1626"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5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149,241.20</w:t>
            </w:r>
          </w:p>
        </w:tc>
        <w:tc>
          <w:tcPr>
            <w:tcW w:w="21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201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37,310.30</w:t>
            </w:r>
          </w:p>
        </w:tc>
      </w:tr>
      <w:tr>
        <w:tblPrEx>
          <w:tblLayout w:type="fixed"/>
          <w:tblCellMar>
            <w:top w:w="0" w:type="dxa"/>
            <w:left w:w="108" w:type="dxa"/>
            <w:bottom w:w="0" w:type="dxa"/>
            <w:right w:w="108" w:type="dxa"/>
          </w:tblCellMar>
        </w:tblPrEx>
        <w:trPr>
          <w:trHeight w:val="285" w:hRule="atLeast"/>
        </w:trPr>
        <w:tc>
          <w:tcPr>
            <w:tcW w:w="164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205</w:t>
            </w:r>
          </w:p>
        </w:tc>
        <w:tc>
          <w:tcPr>
            <w:tcW w:w="17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36.5</w:t>
            </w:r>
          </w:p>
        </w:tc>
        <w:tc>
          <w:tcPr>
            <w:tcW w:w="13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w:t>
            </w:r>
          </w:p>
        </w:tc>
        <w:tc>
          <w:tcPr>
            <w:tcW w:w="190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86,596.25</w:t>
            </w:r>
          </w:p>
        </w:tc>
        <w:tc>
          <w:tcPr>
            <w:tcW w:w="1626"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5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69,277.00</w:t>
            </w:r>
          </w:p>
        </w:tc>
        <w:tc>
          <w:tcPr>
            <w:tcW w:w="21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201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17,319.25</w:t>
            </w:r>
          </w:p>
        </w:tc>
      </w:tr>
      <w:tr>
        <w:tblPrEx>
          <w:tblLayout w:type="fixed"/>
          <w:tblCellMar>
            <w:top w:w="0" w:type="dxa"/>
            <w:left w:w="108" w:type="dxa"/>
            <w:bottom w:w="0" w:type="dxa"/>
            <w:right w:w="108" w:type="dxa"/>
          </w:tblCellMar>
        </w:tblPrEx>
        <w:trPr>
          <w:trHeight w:val="285" w:hRule="atLeast"/>
        </w:trPr>
        <w:tc>
          <w:tcPr>
            <w:tcW w:w="164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206</w:t>
            </w:r>
          </w:p>
        </w:tc>
        <w:tc>
          <w:tcPr>
            <w:tcW w:w="17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44.3</w:t>
            </w:r>
          </w:p>
        </w:tc>
        <w:tc>
          <w:tcPr>
            <w:tcW w:w="13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14</w:t>
            </w:r>
          </w:p>
        </w:tc>
        <w:tc>
          <w:tcPr>
            <w:tcW w:w="190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97,017.00</w:t>
            </w:r>
          </w:p>
        </w:tc>
        <w:tc>
          <w:tcPr>
            <w:tcW w:w="1626"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5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271,647.60</w:t>
            </w:r>
          </w:p>
        </w:tc>
        <w:tc>
          <w:tcPr>
            <w:tcW w:w="21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201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67,911.90</w:t>
            </w:r>
          </w:p>
        </w:tc>
      </w:tr>
      <w:tr>
        <w:tblPrEx>
          <w:tblLayout w:type="fixed"/>
          <w:tblCellMar>
            <w:top w:w="0" w:type="dxa"/>
            <w:left w:w="108" w:type="dxa"/>
            <w:bottom w:w="0" w:type="dxa"/>
            <w:right w:w="108" w:type="dxa"/>
          </w:tblCellMar>
        </w:tblPrEx>
        <w:trPr>
          <w:trHeight w:val="285" w:hRule="atLeast"/>
        </w:trPr>
        <w:tc>
          <w:tcPr>
            <w:tcW w:w="164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207</w:t>
            </w:r>
          </w:p>
        </w:tc>
        <w:tc>
          <w:tcPr>
            <w:tcW w:w="17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55.7</w:t>
            </w:r>
          </w:p>
        </w:tc>
        <w:tc>
          <w:tcPr>
            <w:tcW w:w="13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w:t>
            </w:r>
          </w:p>
        </w:tc>
        <w:tc>
          <w:tcPr>
            <w:tcW w:w="190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91,487.25</w:t>
            </w:r>
          </w:p>
        </w:tc>
        <w:tc>
          <w:tcPr>
            <w:tcW w:w="1626"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5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73,189.80</w:t>
            </w:r>
          </w:p>
        </w:tc>
        <w:tc>
          <w:tcPr>
            <w:tcW w:w="21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201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18,297.45</w:t>
            </w:r>
          </w:p>
        </w:tc>
      </w:tr>
      <w:tr>
        <w:tblPrEx>
          <w:tblLayout w:type="fixed"/>
          <w:tblCellMar>
            <w:top w:w="0" w:type="dxa"/>
            <w:left w:w="108" w:type="dxa"/>
            <w:bottom w:w="0" w:type="dxa"/>
            <w:right w:w="108" w:type="dxa"/>
          </w:tblCellMar>
        </w:tblPrEx>
        <w:trPr>
          <w:trHeight w:val="285" w:hRule="atLeast"/>
        </w:trPr>
        <w:tc>
          <w:tcPr>
            <w:tcW w:w="164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208</w:t>
            </w:r>
          </w:p>
        </w:tc>
        <w:tc>
          <w:tcPr>
            <w:tcW w:w="17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60.8</w:t>
            </w:r>
          </w:p>
        </w:tc>
        <w:tc>
          <w:tcPr>
            <w:tcW w:w="13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w:t>
            </w:r>
          </w:p>
        </w:tc>
        <w:tc>
          <w:tcPr>
            <w:tcW w:w="190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88,768.00</w:t>
            </w:r>
          </w:p>
        </w:tc>
        <w:tc>
          <w:tcPr>
            <w:tcW w:w="1626"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200.00</w:t>
            </w:r>
          </w:p>
        </w:tc>
        <w:tc>
          <w:tcPr>
            <w:tcW w:w="165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35,507.20</w:t>
            </w:r>
          </w:p>
        </w:tc>
        <w:tc>
          <w:tcPr>
            <w:tcW w:w="218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50.00</w:t>
            </w:r>
          </w:p>
        </w:tc>
        <w:tc>
          <w:tcPr>
            <w:tcW w:w="201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8,876.80</w:t>
            </w:r>
          </w:p>
        </w:tc>
      </w:tr>
      <w:tr>
        <w:tblPrEx>
          <w:tblLayout w:type="fixed"/>
          <w:tblCellMar>
            <w:top w:w="0" w:type="dxa"/>
            <w:left w:w="108" w:type="dxa"/>
            <w:bottom w:w="0" w:type="dxa"/>
            <w:right w:w="108" w:type="dxa"/>
          </w:tblCellMar>
        </w:tblPrEx>
        <w:trPr>
          <w:trHeight w:val="285" w:hRule="atLeast"/>
        </w:trPr>
        <w:tc>
          <w:tcPr>
            <w:tcW w:w="164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备用车辆</w:t>
            </w:r>
          </w:p>
        </w:tc>
        <w:tc>
          <w:tcPr>
            <w:tcW w:w="17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13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5</w:t>
            </w:r>
          </w:p>
        </w:tc>
        <w:tc>
          <w:tcPr>
            <w:tcW w:w="190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162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165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218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201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r>
      <w:tr>
        <w:tblPrEx>
          <w:tblLayout w:type="fixed"/>
          <w:tblCellMar>
            <w:top w:w="0" w:type="dxa"/>
            <w:left w:w="108" w:type="dxa"/>
            <w:bottom w:w="0" w:type="dxa"/>
            <w:right w:w="108" w:type="dxa"/>
          </w:tblCellMar>
        </w:tblPrEx>
        <w:trPr>
          <w:trHeight w:val="285" w:hRule="atLeast"/>
        </w:trPr>
        <w:tc>
          <w:tcPr>
            <w:tcW w:w="164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合计</w:t>
            </w:r>
          </w:p>
        </w:tc>
        <w:tc>
          <w:tcPr>
            <w:tcW w:w="17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359.1</w:t>
            </w:r>
          </w:p>
        </w:tc>
        <w:tc>
          <w:tcPr>
            <w:tcW w:w="137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cs="宋体" w:asciiTheme="minorEastAsia" w:hAnsiTheme="minorEastAsia" w:eastAsiaTheme="minorEastAsia"/>
                <w:color w:val="auto"/>
                <w:kern w:val="0"/>
              </w:rPr>
              <w:t>73</w:t>
            </w:r>
          </w:p>
        </w:tc>
        <w:tc>
          <w:tcPr>
            <w:tcW w:w="1904"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162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1655"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1,277,543.80</w:t>
            </w:r>
          </w:p>
        </w:tc>
        <w:tc>
          <w:tcPr>
            <w:tcW w:w="2182"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w:t>
            </w:r>
          </w:p>
        </w:tc>
        <w:tc>
          <w:tcPr>
            <w:tcW w:w="2012" w:type="dxa"/>
            <w:tcBorders>
              <w:top w:val="nil"/>
              <w:left w:val="nil"/>
              <w:bottom w:val="single" w:color="auto" w:sz="4" w:space="0"/>
              <w:right w:val="single" w:color="auto" w:sz="4" w:space="0"/>
            </w:tcBorders>
            <w:shd w:val="clear" w:color="auto" w:fill="auto"/>
            <w:vAlign w:val="center"/>
          </w:tcPr>
          <w:p>
            <w:pPr>
              <w:widowControl/>
              <w:spacing w:line="360" w:lineRule="auto"/>
              <w:jc w:val="righ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319,385.95</w:t>
            </w:r>
          </w:p>
        </w:tc>
      </w:tr>
    </w:tbl>
    <w:p>
      <w:pPr>
        <w:spacing w:line="360" w:lineRule="auto"/>
        <w:rPr>
          <w:rFonts w:asciiTheme="minorEastAsia" w:hAnsiTheme="minorEastAsia" w:eastAsiaTheme="minorEastAsia"/>
          <w:color w:val="auto"/>
        </w:rPr>
      </w:pPr>
    </w:p>
    <w:p>
      <w:pPr>
        <w:pStyle w:val="2"/>
        <w:spacing w:after="190" w:line="360" w:lineRule="auto"/>
        <w:ind w:left="0"/>
        <w:rPr>
          <w:rFonts w:asciiTheme="minorEastAsia" w:hAnsiTheme="minorEastAsia" w:eastAsiaTheme="minorEastAsia"/>
          <w:color w:val="auto"/>
        </w:rPr>
      </w:pPr>
      <w:bookmarkStart w:id="201" w:name="_Toc19881830"/>
      <w:bookmarkStart w:id="202" w:name="_Toc19891217"/>
      <w:bookmarkStart w:id="203" w:name="_Toc14266266"/>
      <w:bookmarkStart w:id="204" w:name="_Toc532748662"/>
      <w:r>
        <w:rPr>
          <w:rFonts w:hint="eastAsia" w:asciiTheme="minorEastAsia" w:hAnsiTheme="minorEastAsia" w:eastAsiaTheme="minorEastAsia"/>
          <w:color w:val="auto"/>
        </w:rPr>
        <w:t>附件</w:t>
      </w:r>
      <w:r>
        <w:rPr>
          <w:rFonts w:asciiTheme="minorEastAsia" w:hAnsiTheme="minorEastAsia" w:eastAsiaTheme="minorEastAsia"/>
          <w:color w:val="auto"/>
        </w:rPr>
        <w:t>4：收入支出汇总表及平衡表</w:t>
      </w:r>
      <w:bookmarkEnd w:id="201"/>
      <w:bookmarkEnd w:id="202"/>
      <w:bookmarkEnd w:id="203"/>
    </w:p>
    <w:p>
      <w:pPr>
        <w:spacing w:line="360" w:lineRule="auto"/>
        <w:ind w:firstLine="40"/>
        <w:rPr>
          <w:rFonts w:asciiTheme="minorEastAsia" w:hAnsiTheme="minorEastAsia" w:eastAsiaTheme="minorEastAsia"/>
          <w:color w:val="auto"/>
          <w:sz w:val="2"/>
          <w:szCs w:val="2"/>
        </w:rPr>
      </w:pPr>
    </w:p>
    <w:tbl>
      <w:tblPr>
        <w:tblStyle w:val="23"/>
        <w:tblW w:w="14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096"/>
        <w:gridCol w:w="2416"/>
        <w:gridCol w:w="1407"/>
        <w:gridCol w:w="1268"/>
        <w:gridCol w:w="1269"/>
        <w:gridCol w:w="1310"/>
        <w:gridCol w:w="1278"/>
        <w:gridCol w:w="1278"/>
        <w:gridCol w:w="1275"/>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jc w:val="center"/>
        </w:trPr>
        <w:tc>
          <w:tcPr>
            <w:tcW w:w="4490" w:type="dxa"/>
            <w:gridSpan w:val="3"/>
            <w:shd w:val="clear" w:color="auto" w:fill="auto"/>
            <w:noWrap/>
            <w:vAlign w:val="center"/>
          </w:tcPr>
          <w:p>
            <w:pPr>
              <w:widowControl/>
              <w:spacing w:line="360" w:lineRule="auto"/>
              <w:ind w:firstLine="442"/>
              <w:jc w:val="center"/>
              <w:rPr>
                <w:rFonts w:cs="宋体" w:asciiTheme="minorEastAsia" w:hAnsiTheme="minorEastAsia" w:eastAsiaTheme="minorEastAsia"/>
                <w:b/>
                <w:bCs/>
                <w:color w:val="auto"/>
                <w:kern w:val="0"/>
                <w:sz w:val="22"/>
                <w:szCs w:val="22"/>
              </w:rPr>
            </w:pPr>
            <w:r>
              <w:rPr>
                <w:rFonts w:hint="eastAsia" w:cs="宋体" w:asciiTheme="minorEastAsia" w:hAnsiTheme="minorEastAsia" w:eastAsiaTheme="minorEastAsia"/>
                <w:b/>
                <w:bCs/>
                <w:color w:val="auto"/>
                <w:kern w:val="0"/>
                <w:sz w:val="22"/>
                <w:szCs w:val="22"/>
              </w:rPr>
              <w:t>期间</w:t>
            </w:r>
          </w:p>
        </w:tc>
        <w:tc>
          <w:tcPr>
            <w:tcW w:w="1407"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2020</w:t>
            </w:r>
            <w:r>
              <w:rPr>
                <w:rFonts w:hint="eastAsia" w:cs="Arial" w:asciiTheme="minorEastAsia" w:hAnsiTheme="minorEastAsia" w:eastAsiaTheme="minorEastAsia"/>
                <w:b/>
                <w:bCs/>
                <w:color w:val="auto"/>
                <w:kern w:val="0"/>
                <w:sz w:val="22"/>
                <w:szCs w:val="22"/>
              </w:rPr>
              <w:t>年</w:t>
            </w:r>
          </w:p>
        </w:tc>
        <w:tc>
          <w:tcPr>
            <w:tcW w:w="1268"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2021</w:t>
            </w:r>
            <w:r>
              <w:rPr>
                <w:rFonts w:hint="eastAsia" w:cs="Arial" w:asciiTheme="minorEastAsia" w:hAnsiTheme="minorEastAsia" w:eastAsiaTheme="minorEastAsia"/>
                <w:b/>
                <w:bCs/>
                <w:color w:val="auto"/>
                <w:kern w:val="0"/>
                <w:sz w:val="22"/>
                <w:szCs w:val="22"/>
              </w:rPr>
              <w:t>年</w:t>
            </w:r>
          </w:p>
        </w:tc>
        <w:tc>
          <w:tcPr>
            <w:tcW w:w="1269"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2022</w:t>
            </w:r>
            <w:r>
              <w:rPr>
                <w:rFonts w:hint="eastAsia" w:cs="Arial" w:asciiTheme="minorEastAsia" w:hAnsiTheme="minorEastAsia" w:eastAsiaTheme="minorEastAsia"/>
                <w:b/>
                <w:bCs/>
                <w:color w:val="auto"/>
                <w:kern w:val="0"/>
                <w:sz w:val="22"/>
                <w:szCs w:val="22"/>
              </w:rPr>
              <w:t>年</w:t>
            </w:r>
          </w:p>
        </w:tc>
        <w:tc>
          <w:tcPr>
            <w:tcW w:w="1310"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2023</w:t>
            </w:r>
            <w:r>
              <w:rPr>
                <w:rFonts w:hint="eastAsia" w:cs="Arial" w:asciiTheme="minorEastAsia" w:hAnsiTheme="minorEastAsia" w:eastAsiaTheme="minorEastAsia"/>
                <w:b/>
                <w:bCs/>
                <w:color w:val="auto"/>
                <w:kern w:val="0"/>
                <w:sz w:val="22"/>
                <w:szCs w:val="22"/>
              </w:rPr>
              <w:t>年</w:t>
            </w:r>
          </w:p>
        </w:tc>
        <w:tc>
          <w:tcPr>
            <w:tcW w:w="1278"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2024</w:t>
            </w:r>
            <w:r>
              <w:rPr>
                <w:rFonts w:hint="eastAsia" w:cs="Arial" w:asciiTheme="minorEastAsia" w:hAnsiTheme="minorEastAsia" w:eastAsiaTheme="minorEastAsia"/>
                <w:b/>
                <w:bCs/>
                <w:color w:val="auto"/>
                <w:kern w:val="0"/>
                <w:sz w:val="22"/>
                <w:szCs w:val="22"/>
              </w:rPr>
              <w:t>年</w:t>
            </w:r>
          </w:p>
        </w:tc>
        <w:tc>
          <w:tcPr>
            <w:tcW w:w="1278"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2025</w:t>
            </w:r>
            <w:r>
              <w:rPr>
                <w:rFonts w:hint="eastAsia" w:cs="Arial" w:asciiTheme="minorEastAsia" w:hAnsiTheme="minorEastAsia" w:eastAsiaTheme="minorEastAsia"/>
                <w:b/>
                <w:bCs/>
                <w:color w:val="auto"/>
                <w:kern w:val="0"/>
                <w:sz w:val="22"/>
                <w:szCs w:val="22"/>
              </w:rPr>
              <w:t>年</w:t>
            </w:r>
          </w:p>
        </w:tc>
        <w:tc>
          <w:tcPr>
            <w:tcW w:w="1275"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2026</w:t>
            </w:r>
            <w:r>
              <w:rPr>
                <w:rFonts w:hint="eastAsia" w:cs="Arial" w:asciiTheme="minorEastAsia" w:hAnsiTheme="minorEastAsia" w:eastAsiaTheme="minorEastAsia"/>
                <w:b/>
                <w:bCs/>
                <w:color w:val="auto"/>
                <w:kern w:val="0"/>
                <w:sz w:val="22"/>
                <w:szCs w:val="22"/>
              </w:rPr>
              <w:t>年</w:t>
            </w:r>
          </w:p>
        </w:tc>
        <w:tc>
          <w:tcPr>
            <w:tcW w:w="1214"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2027</w:t>
            </w:r>
            <w:r>
              <w:rPr>
                <w:rFonts w:hint="eastAsia" w:cs="Arial" w:asciiTheme="minorEastAsia" w:hAnsiTheme="minorEastAsia" w:eastAsiaTheme="minorEastAsia"/>
                <w:b/>
                <w:bCs/>
                <w:color w:val="auto"/>
                <w:kern w:val="0"/>
                <w:sz w:val="22"/>
                <w:szCs w:val="2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常规性收入项目</w:t>
            </w:r>
          </w:p>
        </w:tc>
        <w:tc>
          <w:tcPr>
            <w:tcW w:w="1096"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营业收入</w:t>
            </w:r>
          </w:p>
        </w:tc>
        <w:tc>
          <w:tcPr>
            <w:tcW w:w="2416" w:type="dxa"/>
            <w:shd w:val="clear" w:color="auto" w:fill="auto"/>
            <w:noWrap/>
            <w:vAlign w:val="center"/>
          </w:tcPr>
          <w:p>
            <w:pPr>
              <w:widowControl/>
              <w:spacing w:line="360" w:lineRule="auto"/>
              <w:jc w:val="left"/>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票价收入合计</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1,643.38</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1,672.08</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1,700.78</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1,729.49</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1,766.63</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1,803.77</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1,844.86</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1,885.94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广告</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58.80</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59.98</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61.18</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62.40</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63.65</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64.92</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66.22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小计</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1,702.18</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1,732.06</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1,761.96</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1,791.89</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1,830.28</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1,868.69</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1,911.07</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1,953.48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政府补助类收入</w:t>
            </w:r>
          </w:p>
        </w:tc>
        <w:tc>
          <w:tcPr>
            <w:tcW w:w="2416" w:type="dxa"/>
            <w:shd w:val="clear" w:color="auto" w:fill="auto"/>
            <w:noWrap/>
            <w:vAlign w:val="center"/>
          </w:tcPr>
          <w:p>
            <w:pPr>
              <w:widowControl/>
              <w:spacing w:line="360" w:lineRule="auto"/>
              <w:jc w:val="left"/>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政策性亏损补助</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388.94</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395.86</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402.78</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409.71</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418.11</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426.52</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436.25</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445.97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运营补助</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2,828.83</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2,863.75</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2,917.26</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2,972.92</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3,212.29</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3,162.07</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3,042.82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3,661.51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项目资本金回报</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融资成本回报</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小计</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3,690.10</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3,731.94</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3,792.36</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3,854.94</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4,102.72</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4,060.91</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3,951.39</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4,579.81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4" w:type="dxa"/>
            <w:gridSpan w:val="2"/>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非常规性流入项目</w:t>
            </w:r>
          </w:p>
        </w:tc>
        <w:tc>
          <w:tcPr>
            <w:tcW w:w="2416" w:type="dxa"/>
            <w:shd w:val="clear" w:color="auto" w:fill="auto"/>
            <w:noWrap/>
            <w:vAlign w:val="center"/>
          </w:tcPr>
          <w:p>
            <w:pPr>
              <w:widowControl/>
              <w:spacing w:line="360" w:lineRule="auto"/>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资本金流入</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1,600.00</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4" w:type="dxa"/>
            <w:gridSpan w:val="2"/>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借款流入</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6,400.00</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4490" w:type="dxa"/>
            <w:gridSpan w:val="3"/>
            <w:shd w:val="clear" w:color="auto" w:fill="auto"/>
            <w:noWrap/>
            <w:vAlign w:val="center"/>
          </w:tcPr>
          <w:p>
            <w:pPr>
              <w:widowControl/>
              <w:spacing w:line="360" w:lineRule="auto"/>
              <w:jc w:val="center"/>
              <w:rPr>
                <w:rFonts w:cs="宋体" w:asciiTheme="minorEastAsia" w:hAnsiTheme="minorEastAsia" w:eastAsiaTheme="minorEastAsia"/>
                <w:b/>
                <w:bCs/>
                <w:color w:val="auto"/>
                <w:kern w:val="0"/>
                <w:sz w:val="22"/>
                <w:szCs w:val="22"/>
              </w:rPr>
            </w:pPr>
            <w:r>
              <w:rPr>
                <w:rFonts w:hint="eastAsia" w:cs="宋体" w:asciiTheme="minorEastAsia" w:hAnsiTheme="minorEastAsia" w:eastAsiaTheme="minorEastAsia"/>
                <w:b/>
                <w:bCs/>
                <w:color w:val="auto"/>
                <w:kern w:val="0"/>
                <w:sz w:val="22"/>
                <w:szCs w:val="22"/>
              </w:rPr>
              <w:t>收入合计</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13,392.27</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5,463.99</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5,554.32</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5,646.83</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5,933.00</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5,929.61</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5,862.46</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6,533.29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常规性支出项目</w:t>
            </w:r>
          </w:p>
        </w:tc>
        <w:tc>
          <w:tcPr>
            <w:tcW w:w="1096"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可控直接运营成本</w:t>
            </w:r>
          </w:p>
        </w:tc>
        <w:tc>
          <w:tcPr>
            <w:tcW w:w="2416" w:type="dxa"/>
            <w:shd w:val="clear" w:color="auto" w:fill="auto"/>
            <w:noWrap/>
            <w:vAlign w:val="center"/>
          </w:tcPr>
          <w:p>
            <w:pPr>
              <w:widowControl/>
              <w:spacing w:line="360" w:lineRule="auto"/>
              <w:jc w:val="left"/>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人员工资及工资性支出</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1,893.11</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1,930.97</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1,969.60</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2,008.98</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2,049.16</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2,090.15</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2,111.07</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2,132.16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燃料</w:t>
            </w:r>
            <w:r>
              <w:rPr>
                <w:rFonts w:cs="宋体" w:asciiTheme="minorEastAsia" w:hAnsiTheme="minorEastAsia" w:eastAsiaTheme="minorEastAsia"/>
                <w:color w:val="auto"/>
                <w:kern w:val="0"/>
                <w:sz w:val="22"/>
                <w:szCs w:val="22"/>
              </w:rPr>
              <w:t>/</w:t>
            </w:r>
            <w:r>
              <w:rPr>
                <w:rFonts w:hint="eastAsia" w:cs="宋体" w:asciiTheme="minorEastAsia" w:hAnsiTheme="minorEastAsia" w:eastAsiaTheme="minorEastAsia"/>
                <w:color w:val="auto"/>
                <w:kern w:val="0"/>
                <w:sz w:val="22"/>
                <w:szCs w:val="22"/>
              </w:rPr>
              <w:t>电力消耗费</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1,057.53</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1,078.68</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1,100.25</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1,122.26</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1,144.70</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1,167.60</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1,179.27</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1,191.06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保修费</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325.39</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331.90</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338.54</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345.31</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352.22</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359.26</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362.85</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366.48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轮胎消耗费</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81.35</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82.98</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84.63</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86.33</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88.05</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89.82</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90.71</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保险与事故损失费</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318.64</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325.01</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331.51</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338.14</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344.91</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351.80</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355.32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安全费</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3.64</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3.71</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3.79</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3.86</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3.94</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4.02</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4.06</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其他直接运营费</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244.04</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248.93</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253.90</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258.98</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264.16</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269.45</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272.14</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274.86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小计</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3,923.70</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4,002.18</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4,082.22</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4,163.86</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4,247.14</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4,332.10</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4,375.42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4,419.16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restart"/>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其他成本</w:t>
            </w:r>
          </w:p>
        </w:tc>
        <w:tc>
          <w:tcPr>
            <w:tcW w:w="2416" w:type="dxa"/>
            <w:shd w:val="clear" w:color="auto" w:fill="auto"/>
            <w:noWrap/>
            <w:vAlign w:val="center"/>
          </w:tcPr>
          <w:p>
            <w:pPr>
              <w:widowControl/>
              <w:spacing w:line="360" w:lineRule="auto"/>
              <w:jc w:val="left"/>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管理费用</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91.81</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93.51</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95.28</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97.09</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102.71</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104.82</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105.69</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财务费用</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收益补偿、人员安置</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126.39</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6"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小计</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594.52</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469.83</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471.60</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473.41</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479.03</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481.14</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482.01</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495.16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4" w:type="dxa"/>
            <w:gridSpan w:val="2"/>
            <w:vMerge w:val="restart"/>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非常规性支出项目</w:t>
            </w:r>
          </w:p>
        </w:tc>
        <w:tc>
          <w:tcPr>
            <w:tcW w:w="2416" w:type="dxa"/>
            <w:shd w:val="clear" w:color="auto" w:fill="auto"/>
            <w:noWrap/>
            <w:vAlign w:val="center"/>
          </w:tcPr>
          <w:p>
            <w:pPr>
              <w:widowControl/>
              <w:spacing w:line="360" w:lineRule="auto"/>
              <w:jc w:val="left"/>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借款流出</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4" w:type="dxa"/>
            <w:gridSpan w:val="2"/>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营运资金增加额</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1,717.44</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-359.27</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25.18</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26.07</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103.24</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-17.42</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-45.64</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261.84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4" w:type="dxa"/>
            <w:gridSpan w:val="2"/>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left"/>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资本性支出</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6,152.94</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55.00</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165.00</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825.00</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2,340.00</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4" w:type="dxa"/>
            <w:gridSpan w:val="2"/>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小计</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7,870.38</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-304.27</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190.18</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851.07</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2,443.24</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-17.42</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-45.64</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5,431.84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490" w:type="dxa"/>
            <w:gridSpan w:val="3"/>
            <w:shd w:val="clear" w:color="auto" w:fill="auto"/>
            <w:noWrap/>
            <w:vAlign w:val="center"/>
          </w:tcPr>
          <w:p>
            <w:pPr>
              <w:widowControl/>
              <w:spacing w:line="360" w:lineRule="auto"/>
              <w:jc w:val="center"/>
              <w:rPr>
                <w:rFonts w:cs="宋体" w:asciiTheme="minorEastAsia" w:hAnsiTheme="minorEastAsia" w:eastAsiaTheme="minorEastAsia"/>
                <w:b/>
                <w:bCs/>
                <w:color w:val="auto"/>
                <w:kern w:val="0"/>
                <w:sz w:val="22"/>
                <w:szCs w:val="22"/>
              </w:rPr>
            </w:pPr>
            <w:r>
              <w:rPr>
                <w:rFonts w:hint="eastAsia" w:cs="宋体" w:asciiTheme="minorEastAsia" w:hAnsiTheme="minorEastAsia" w:eastAsiaTheme="minorEastAsia"/>
                <w:b/>
                <w:bCs/>
                <w:color w:val="auto"/>
                <w:kern w:val="0"/>
                <w:sz w:val="22"/>
                <w:szCs w:val="22"/>
              </w:rPr>
              <w:t>支出合计</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12,388.60</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4,167.74</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4,744.00</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5,488.34</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7,169.41</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4,795.82</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4,811.79</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10,346.16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4490" w:type="dxa"/>
            <w:gridSpan w:val="3"/>
            <w:shd w:val="clear" w:color="auto" w:fill="auto"/>
            <w:noWrap/>
            <w:vAlign w:val="center"/>
          </w:tcPr>
          <w:p>
            <w:pPr>
              <w:widowControl/>
              <w:spacing w:line="360" w:lineRule="auto"/>
              <w:jc w:val="center"/>
              <w:rPr>
                <w:rFonts w:cs="宋体" w:asciiTheme="minorEastAsia" w:hAnsiTheme="minorEastAsia" w:eastAsiaTheme="minorEastAsia"/>
                <w:b/>
                <w:bCs/>
                <w:color w:val="auto"/>
                <w:kern w:val="0"/>
                <w:sz w:val="22"/>
                <w:szCs w:val="22"/>
              </w:rPr>
            </w:pPr>
            <w:r>
              <w:rPr>
                <w:rFonts w:hint="eastAsia" w:cs="宋体" w:asciiTheme="minorEastAsia" w:hAnsiTheme="minorEastAsia" w:eastAsiaTheme="minorEastAsia"/>
                <w:b/>
                <w:bCs/>
                <w:color w:val="auto"/>
                <w:kern w:val="0"/>
                <w:sz w:val="22"/>
                <w:szCs w:val="22"/>
              </w:rPr>
              <w:t>结余金额</w:t>
            </w:r>
          </w:p>
        </w:tc>
        <w:tc>
          <w:tcPr>
            <w:tcW w:w="1407"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1,003.68</w:t>
            </w:r>
          </w:p>
        </w:tc>
        <w:tc>
          <w:tcPr>
            <w:tcW w:w="1268"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1,296.25</w:t>
            </w:r>
          </w:p>
        </w:tc>
        <w:tc>
          <w:tcPr>
            <w:tcW w:w="1269"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810.32</w:t>
            </w:r>
          </w:p>
        </w:tc>
        <w:tc>
          <w:tcPr>
            <w:tcW w:w="1310"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158.48</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-1,236.41</w:t>
            </w:r>
          </w:p>
        </w:tc>
        <w:tc>
          <w:tcPr>
            <w:tcW w:w="1278"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1,133.79</w:t>
            </w:r>
          </w:p>
        </w:tc>
        <w:tc>
          <w:tcPr>
            <w:tcW w:w="1275"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1,050.67</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-3,812.87</w:t>
            </w:r>
          </w:p>
        </w:tc>
      </w:tr>
    </w:tbl>
    <w:p>
      <w:pPr>
        <w:widowControl/>
        <w:spacing w:line="360" w:lineRule="auto"/>
        <w:jc w:val="left"/>
        <w:rPr>
          <w:rFonts w:asciiTheme="minorEastAsia" w:hAnsiTheme="minorEastAsia" w:eastAsiaTheme="minorEastAsia"/>
          <w:color w:val="auto"/>
        </w:rPr>
      </w:pPr>
    </w:p>
    <w:p>
      <w:pPr>
        <w:spacing w:line="360" w:lineRule="auto"/>
        <w:ind w:firstLine="480"/>
        <w:rPr>
          <w:rFonts w:asciiTheme="minorEastAsia" w:hAnsiTheme="minorEastAsia" w:eastAsiaTheme="minorEastAsia"/>
          <w:color w:val="auto"/>
        </w:rPr>
      </w:pPr>
      <w:r>
        <w:rPr>
          <w:rFonts w:hint="eastAsia" w:asciiTheme="minorEastAsia" w:hAnsiTheme="minorEastAsia" w:eastAsiaTheme="minorEastAsia"/>
          <w:color w:val="auto"/>
        </w:rPr>
        <w:t>（续表）</w:t>
      </w:r>
    </w:p>
    <w:tbl>
      <w:tblPr>
        <w:tblStyle w:val="23"/>
        <w:tblW w:w="149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098"/>
        <w:gridCol w:w="2416"/>
        <w:gridCol w:w="1400"/>
        <w:gridCol w:w="1301"/>
        <w:gridCol w:w="1421"/>
        <w:gridCol w:w="1265"/>
        <w:gridCol w:w="1343"/>
        <w:gridCol w:w="1277"/>
        <w:gridCol w:w="1277"/>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jc w:val="center"/>
        </w:trPr>
        <w:tc>
          <w:tcPr>
            <w:tcW w:w="4492" w:type="dxa"/>
            <w:gridSpan w:val="3"/>
            <w:shd w:val="clear" w:color="auto" w:fill="auto"/>
            <w:noWrap/>
            <w:vAlign w:val="center"/>
          </w:tcPr>
          <w:p>
            <w:pPr>
              <w:widowControl/>
              <w:spacing w:line="360" w:lineRule="auto"/>
              <w:ind w:firstLine="442"/>
              <w:jc w:val="center"/>
              <w:rPr>
                <w:rFonts w:cs="宋体" w:asciiTheme="minorEastAsia" w:hAnsiTheme="minorEastAsia" w:eastAsiaTheme="minorEastAsia"/>
                <w:b/>
                <w:bCs/>
                <w:color w:val="auto"/>
                <w:kern w:val="0"/>
                <w:sz w:val="22"/>
                <w:szCs w:val="22"/>
              </w:rPr>
            </w:pPr>
            <w:r>
              <w:rPr>
                <w:rFonts w:hint="eastAsia" w:cs="宋体" w:asciiTheme="minorEastAsia" w:hAnsiTheme="minorEastAsia" w:eastAsiaTheme="minorEastAsia"/>
                <w:b/>
                <w:bCs/>
                <w:color w:val="auto"/>
                <w:kern w:val="0"/>
                <w:sz w:val="22"/>
                <w:szCs w:val="22"/>
              </w:rPr>
              <w:t>期间</w:t>
            </w:r>
          </w:p>
        </w:tc>
        <w:tc>
          <w:tcPr>
            <w:tcW w:w="1400"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2028</w:t>
            </w:r>
            <w:r>
              <w:rPr>
                <w:rFonts w:hint="eastAsia" w:cs="Arial" w:asciiTheme="minorEastAsia" w:hAnsiTheme="minorEastAsia" w:eastAsiaTheme="minorEastAsia"/>
                <w:b/>
                <w:bCs/>
                <w:color w:val="auto"/>
                <w:kern w:val="0"/>
                <w:sz w:val="22"/>
                <w:szCs w:val="22"/>
              </w:rPr>
              <w:t>年</w:t>
            </w:r>
          </w:p>
        </w:tc>
        <w:tc>
          <w:tcPr>
            <w:tcW w:w="1301"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2029</w:t>
            </w:r>
            <w:r>
              <w:rPr>
                <w:rFonts w:hint="eastAsia" w:cs="Arial" w:asciiTheme="minorEastAsia" w:hAnsiTheme="minorEastAsia" w:eastAsiaTheme="minorEastAsia"/>
                <w:b/>
                <w:bCs/>
                <w:color w:val="auto"/>
                <w:kern w:val="0"/>
                <w:sz w:val="22"/>
                <w:szCs w:val="22"/>
              </w:rPr>
              <w:t>年</w:t>
            </w:r>
          </w:p>
        </w:tc>
        <w:tc>
          <w:tcPr>
            <w:tcW w:w="1421"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2030</w:t>
            </w:r>
            <w:r>
              <w:rPr>
                <w:rFonts w:hint="eastAsia" w:cs="Arial" w:asciiTheme="minorEastAsia" w:hAnsiTheme="minorEastAsia" w:eastAsiaTheme="minorEastAsia"/>
                <w:b/>
                <w:bCs/>
                <w:color w:val="auto"/>
                <w:kern w:val="0"/>
                <w:sz w:val="22"/>
                <w:szCs w:val="22"/>
              </w:rPr>
              <w:t>年</w:t>
            </w:r>
          </w:p>
        </w:tc>
        <w:tc>
          <w:tcPr>
            <w:tcW w:w="1265"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2031</w:t>
            </w:r>
            <w:r>
              <w:rPr>
                <w:rFonts w:hint="eastAsia" w:cs="Arial" w:asciiTheme="minorEastAsia" w:hAnsiTheme="minorEastAsia" w:eastAsiaTheme="minorEastAsia"/>
                <w:b/>
                <w:bCs/>
                <w:color w:val="auto"/>
                <w:kern w:val="0"/>
                <w:sz w:val="22"/>
                <w:szCs w:val="22"/>
              </w:rPr>
              <w:t>年</w:t>
            </w:r>
          </w:p>
        </w:tc>
        <w:tc>
          <w:tcPr>
            <w:tcW w:w="1343"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2032</w:t>
            </w:r>
            <w:r>
              <w:rPr>
                <w:rFonts w:hint="eastAsia" w:cs="Arial" w:asciiTheme="minorEastAsia" w:hAnsiTheme="minorEastAsia" w:eastAsiaTheme="minorEastAsia"/>
                <w:b/>
                <w:bCs/>
                <w:color w:val="auto"/>
                <w:kern w:val="0"/>
                <w:sz w:val="22"/>
                <w:szCs w:val="22"/>
              </w:rPr>
              <w:t>年</w:t>
            </w:r>
          </w:p>
        </w:tc>
        <w:tc>
          <w:tcPr>
            <w:tcW w:w="1277"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2033</w:t>
            </w:r>
            <w:r>
              <w:rPr>
                <w:rFonts w:hint="eastAsia" w:cs="Arial" w:asciiTheme="minorEastAsia" w:hAnsiTheme="minorEastAsia" w:eastAsiaTheme="minorEastAsia"/>
                <w:b/>
                <w:bCs/>
                <w:color w:val="auto"/>
                <w:kern w:val="0"/>
                <w:sz w:val="22"/>
                <w:szCs w:val="22"/>
              </w:rPr>
              <w:t>年</w:t>
            </w:r>
          </w:p>
        </w:tc>
        <w:tc>
          <w:tcPr>
            <w:tcW w:w="1277"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2034</w:t>
            </w:r>
            <w:r>
              <w:rPr>
                <w:rFonts w:hint="eastAsia" w:cs="Arial" w:asciiTheme="minorEastAsia" w:hAnsiTheme="minorEastAsia" w:eastAsiaTheme="minorEastAsia"/>
                <w:b/>
                <w:bCs/>
                <w:color w:val="auto"/>
                <w:kern w:val="0"/>
                <w:sz w:val="22"/>
                <w:szCs w:val="22"/>
              </w:rPr>
              <w:t>年</w:t>
            </w:r>
          </w:p>
        </w:tc>
        <w:tc>
          <w:tcPr>
            <w:tcW w:w="1214" w:type="dxa"/>
            <w:shd w:val="clear" w:color="auto" w:fill="auto"/>
            <w:noWrap/>
            <w:vAlign w:val="center"/>
          </w:tcPr>
          <w:p>
            <w:pPr>
              <w:widowControl/>
              <w:spacing w:line="360" w:lineRule="auto"/>
              <w:jc w:val="center"/>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2035</w:t>
            </w:r>
            <w:r>
              <w:rPr>
                <w:rFonts w:hint="eastAsia" w:cs="Arial" w:asciiTheme="minorEastAsia" w:hAnsiTheme="minorEastAsia" w:eastAsiaTheme="minorEastAsia"/>
                <w:b/>
                <w:bCs/>
                <w:color w:val="auto"/>
                <w:kern w:val="0"/>
                <w:sz w:val="22"/>
                <w:szCs w:val="2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常规性收入项目</w:t>
            </w:r>
          </w:p>
        </w:tc>
        <w:tc>
          <w:tcPr>
            <w:tcW w:w="1098"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营业收入</w:t>
            </w: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学生接送</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1,927.02</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1,968.11</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2,009.19</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2,050.28</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2,091.36</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2,132.45</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2,173.53</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2,214.62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票价收入</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68.89</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70.27</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71.68</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73.11</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74.57</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76.06</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77.59</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小计</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1,995.92</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2,038.38</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2,080.87</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2,123.39</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2,165.94</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2,208.51</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2,251.12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2,293.75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政府补助类收入</w:t>
            </w: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政策性亏损补助</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455.70</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465.42</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475.14</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484.87</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494.59</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504.31</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514.04</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523.76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运营补助</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3,163.90</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3,157.24</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3,151.00</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3,145.22</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3,139.83</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3,134.89</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3,130.43</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4,172.82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项目资本金回报</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融资成本回报</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小计</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4,091.91</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4,094.98</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4,098.46</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4,102.40</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4,106.74</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4,111.52</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4,116.78</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5,168.90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6" w:type="dxa"/>
            <w:gridSpan w:val="2"/>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非常规性流入项目</w:t>
            </w: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资本金流入</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6" w:type="dxa"/>
            <w:gridSpan w:val="2"/>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借款流入</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4492" w:type="dxa"/>
            <w:gridSpan w:val="3"/>
            <w:shd w:val="clear" w:color="auto" w:fill="auto"/>
            <w:noWrap/>
            <w:vAlign w:val="center"/>
          </w:tcPr>
          <w:p>
            <w:pPr>
              <w:widowControl/>
              <w:spacing w:line="360" w:lineRule="auto"/>
              <w:jc w:val="center"/>
              <w:rPr>
                <w:rFonts w:cs="宋体" w:asciiTheme="minorEastAsia" w:hAnsiTheme="minorEastAsia" w:eastAsiaTheme="minorEastAsia"/>
                <w:b/>
                <w:bCs/>
                <w:color w:val="auto"/>
                <w:kern w:val="0"/>
                <w:sz w:val="22"/>
                <w:szCs w:val="22"/>
              </w:rPr>
            </w:pPr>
            <w:r>
              <w:rPr>
                <w:rFonts w:hint="eastAsia" w:cs="宋体" w:asciiTheme="minorEastAsia" w:hAnsiTheme="minorEastAsia" w:eastAsiaTheme="minorEastAsia"/>
                <w:b/>
                <w:bCs/>
                <w:color w:val="auto"/>
                <w:kern w:val="0"/>
                <w:sz w:val="22"/>
                <w:szCs w:val="22"/>
              </w:rPr>
              <w:t>收入合计</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6,087.83</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6,133.36</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6,179.33</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6,225.79</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6,272.67</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6,320.03</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6,367.90</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7,462.65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常规性支出项目</w:t>
            </w:r>
          </w:p>
        </w:tc>
        <w:tc>
          <w:tcPr>
            <w:tcW w:w="1098"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可控直接运营成本</w:t>
            </w: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人员工资及工资性支出</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2,153.49</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2,175.03</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2,196.77</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2,218.76</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2,240.93</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2,263.32</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2,285.97</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2,308.83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燃料（电力）消耗费</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1,202.98</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1,215.01</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1,227.16</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1,239.43</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1,251.82</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1,264.34</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1,276.98</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1,289.75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保修费</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370.15</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373.85</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377.59</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381.36</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385.18</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389.03</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392.92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396.85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轮胎消耗费</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92.54</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93.46</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94.40</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95.34</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96.29</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97.26</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98.23</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99.21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保险与事故损失费</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362.46</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366.09</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369.75</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373.45</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377.18</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380.95</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384.76</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388.61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安全费</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4.14</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4.18</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4.22</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4.27</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4.31</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4.35</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4.40</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其他直接运营费</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277.61</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280.39</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283.19</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286.02</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288.88</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291.77</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294.69</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297.64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小计</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4,463.37</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4,508.01</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4,553.08</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4,598.63</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4,644.59</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4,691.02</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4,737.95</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4,785.33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restart"/>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其他成本</w:t>
            </w: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管理费用</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110.11</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111.00</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111.90</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112.81</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113.73</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114.66</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115.60</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137.07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财务费用</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376.32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收益补偿、人员安置</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7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1098" w:type="dxa"/>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小计</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486.43</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487.32</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488.22</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489.13</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490.05</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490.98</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491.92</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513.39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6" w:type="dxa"/>
            <w:gridSpan w:val="2"/>
            <w:vMerge w:val="restart"/>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非常规性支出项目</w:t>
            </w: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借款流出</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6,400.00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6" w:type="dxa"/>
            <w:gridSpan w:val="2"/>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营运资金增加额</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-203.29</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1.28</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1.45</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1.64</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1.81</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1.99</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2.19</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-1,518.53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6" w:type="dxa"/>
            <w:gridSpan w:val="2"/>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资本性支出</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220.00</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55.00</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165.00</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825.00</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2,340.00</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76" w:type="dxa"/>
            <w:gridSpan w:val="2"/>
            <w:vMerge w:val="continue"/>
            <w:vAlign w:val="center"/>
          </w:tcPr>
          <w:p>
            <w:pPr>
              <w:widowControl/>
              <w:spacing w:line="360" w:lineRule="auto"/>
              <w:jc w:val="center"/>
              <w:rPr>
                <w:rFonts w:cs="宋体" w:asciiTheme="minorEastAsia" w:hAnsiTheme="minorEastAsia" w:eastAsiaTheme="minorEastAsia"/>
                <w:color w:val="auto"/>
                <w:kern w:val="0"/>
                <w:sz w:val="22"/>
                <w:szCs w:val="22"/>
              </w:rPr>
            </w:pPr>
          </w:p>
        </w:tc>
        <w:tc>
          <w:tcPr>
            <w:tcW w:w="2416" w:type="dxa"/>
            <w:shd w:val="clear" w:color="auto" w:fill="auto"/>
            <w:noWrap/>
            <w:vAlign w:val="center"/>
          </w:tcPr>
          <w:p>
            <w:pPr>
              <w:widowControl/>
              <w:spacing w:line="360" w:lineRule="auto"/>
              <w:jc w:val="center"/>
              <w:rPr>
                <w:rFonts w:cs="Arial" w:asciiTheme="minorEastAsia" w:hAnsiTheme="minorEastAsia" w:eastAsiaTheme="minorEastAsia"/>
                <w:color w:val="auto"/>
                <w:kern w:val="0"/>
                <w:sz w:val="22"/>
                <w:szCs w:val="22"/>
              </w:rPr>
            </w:pPr>
            <w:r>
              <w:rPr>
                <w:rFonts w:hint="eastAsia" w:cs="Arial" w:asciiTheme="minorEastAsia" w:hAnsiTheme="minorEastAsia" w:eastAsiaTheme="minorEastAsia"/>
                <w:color w:val="auto"/>
                <w:kern w:val="0"/>
                <w:sz w:val="22"/>
                <w:szCs w:val="22"/>
              </w:rPr>
              <w:t>小计</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16.71</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56.28</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166.45</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826.64</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2,341.81</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1.99</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2.19</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4,881.47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492" w:type="dxa"/>
            <w:gridSpan w:val="3"/>
            <w:shd w:val="clear" w:color="auto" w:fill="auto"/>
            <w:noWrap/>
            <w:vAlign w:val="center"/>
          </w:tcPr>
          <w:p>
            <w:pPr>
              <w:widowControl/>
              <w:spacing w:line="360" w:lineRule="auto"/>
              <w:jc w:val="center"/>
              <w:rPr>
                <w:rFonts w:cs="宋体" w:asciiTheme="minorEastAsia" w:hAnsiTheme="minorEastAsia" w:eastAsiaTheme="minorEastAsia"/>
                <w:b/>
                <w:bCs/>
                <w:color w:val="auto"/>
                <w:kern w:val="0"/>
                <w:sz w:val="22"/>
                <w:szCs w:val="22"/>
              </w:rPr>
            </w:pPr>
            <w:r>
              <w:rPr>
                <w:rFonts w:hint="eastAsia" w:cs="宋体" w:asciiTheme="minorEastAsia" w:hAnsiTheme="minorEastAsia" w:eastAsiaTheme="minorEastAsia"/>
                <w:b/>
                <w:bCs/>
                <w:color w:val="auto"/>
                <w:kern w:val="0"/>
                <w:sz w:val="22"/>
                <w:szCs w:val="22"/>
              </w:rPr>
              <w:t>支出合计</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4,966.51</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5,051.61</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5,207.75</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5,914.40</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7,476.45</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5,183.99</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5,232.06</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color w:val="auto"/>
                <w:kern w:val="0"/>
                <w:sz w:val="22"/>
                <w:szCs w:val="22"/>
              </w:rPr>
            </w:pPr>
            <w:r>
              <w:rPr>
                <w:rFonts w:cs="Arial" w:asciiTheme="minorEastAsia" w:hAnsiTheme="minorEastAsia" w:eastAsiaTheme="minorEastAsia"/>
                <w:color w:val="auto"/>
                <w:kern w:val="0"/>
                <w:sz w:val="22"/>
                <w:szCs w:val="22"/>
              </w:rPr>
              <w:t>10,180.19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4492" w:type="dxa"/>
            <w:gridSpan w:val="3"/>
            <w:shd w:val="clear" w:color="auto" w:fill="auto"/>
            <w:noWrap/>
            <w:vAlign w:val="center"/>
          </w:tcPr>
          <w:p>
            <w:pPr>
              <w:widowControl/>
              <w:spacing w:line="360" w:lineRule="auto"/>
              <w:jc w:val="center"/>
              <w:rPr>
                <w:rFonts w:cs="宋体" w:asciiTheme="minorEastAsia" w:hAnsiTheme="minorEastAsia" w:eastAsiaTheme="minorEastAsia"/>
                <w:b/>
                <w:bCs/>
                <w:color w:val="auto"/>
                <w:kern w:val="0"/>
                <w:sz w:val="22"/>
                <w:szCs w:val="22"/>
              </w:rPr>
            </w:pPr>
            <w:r>
              <w:rPr>
                <w:rFonts w:hint="eastAsia" w:cs="宋体" w:asciiTheme="minorEastAsia" w:hAnsiTheme="minorEastAsia" w:eastAsiaTheme="minorEastAsia"/>
                <w:b/>
                <w:bCs/>
                <w:color w:val="auto"/>
                <w:kern w:val="0"/>
                <w:sz w:val="22"/>
                <w:szCs w:val="22"/>
              </w:rPr>
              <w:t>结余金额</w:t>
            </w:r>
          </w:p>
        </w:tc>
        <w:tc>
          <w:tcPr>
            <w:tcW w:w="1400"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1,121.32</w:t>
            </w:r>
          </w:p>
        </w:tc>
        <w:tc>
          <w:tcPr>
            <w:tcW w:w="1301"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1,081.75</w:t>
            </w:r>
          </w:p>
        </w:tc>
        <w:tc>
          <w:tcPr>
            <w:tcW w:w="1421"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971.58</w:t>
            </w:r>
          </w:p>
        </w:tc>
        <w:tc>
          <w:tcPr>
            <w:tcW w:w="1265"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311.39</w:t>
            </w:r>
          </w:p>
        </w:tc>
        <w:tc>
          <w:tcPr>
            <w:tcW w:w="1343"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-1,203.77</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1,136.04</w:t>
            </w:r>
          </w:p>
        </w:tc>
        <w:tc>
          <w:tcPr>
            <w:tcW w:w="1277"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1,135.84</w:t>
            </w:r>
          </w:p>
        </w:tc>
        <w:tc>
          <w:tcPr>
            <w:tcW w:w="1214" w:type="dxa"/>
            <w:shd w:val="clear" w:color="auto" w:fill="auto"/>
            <w:noWrap/>
            <w:vAlign w:val="center"/>
          </w:tcPr>
          <w:p>
            <w:pPr>
              <w:widowControl/>
              <w:spacing w:line="360" w:lineRule="auto"/>
              <w:jc w:val="right"/>
              <w:rPr>
                <w:rFonts w:cs="Arial" w:asciiTheme="minorEastAsia" w:hAnsiTheme="minorEastAsia" w:eastAsiaTheme="minorEastAsia"/>
                <w:b/>
                <w:bCs/>
                <w:color w:val="auto"/>
                <w:kern w:val="0"/>
                <w:sz w:val="22"/>
                <w:szCs w:val="22"/>
              </w:rPr>
            </w:pPr>
            <w:r>
              <w:rPr>
                <w:rFonts w:cs="Arial" w:asciiTheme="minorEastAsia" w:hAnsiTheme="minorEastAsia" w:eastAsiaTheme="minorEastAsia"/>
                <w:b/>
                <w:bCs/>
                <w:color w:val="auto"/>
                <w:kern w:val="0"/>
                <w:sz w:val="22"/>
                <w:szCs w:val="22"/>
              </w:rPr>
              <w:t>-2,717.54</w:t>
            </w:r>
          </w:p>
        </w:tc>
      </w:tr>
      <w:bookmarkEnd w:id="204"/>
    </w:tbl>
    <w:p>
      <w:pPr>
        <w:spacing w:line="360" w:lineRule="auto"/>
        <w:rPr>
          <w:rFonts w:asciiTheme="minorEastAsia" w:hAnsiTheme="minorEastAsia" w:eastAsiaTheme="minorEastAsia"/>
          <w:color w:val="auto"/>
        </w:rPr>
        <w:sectPr>
          <w:pgSz w:w="16838" w:h="11906" w:orient="landscape"/>
          <w:pgMar w:top="1800" w:right="1440" w:bottom="1800" w:left="1440" w:header="851" w:footer="992" w:gutter="0"/>
          <w:cols w:space="425" w:num="1"/>
          <w:docGrid w:type="lines" w:linePitch="381" w:charSpace="0"/>
        </w:sectPr>
      </w:pPr>
    </w:p>
    <w:p>
      <w:pPr>
        <w:pStyle w:val="2"/>
        <w:spacing w:after="156" w:line="360" w:lineRule="auto"/>
        <w:ind w:firstLine="640"/>
        <w:rPr>
          <w:rFonts w:asciiTheme="minorEastAsia" w:hAnsiTheme="minorEastAsia" w:eastAsiaTheme="minorEastAsia"/>
          <w:color w:val="auto"/>
          <w:sz w:val="24"/>
          <w:szCs w:val="24"/>
        </w:rPr>
      </w:pPr>
      <w:bookmarkStart w:id="205" w:name="_Toc19881831"/>
      <w:bookmarkStart w:id="206" w:name="_Toc14266267"/>
      <w:bookmarkStart w:id="207" w:name="_Toc19891218"/>
      <w:bookmarkStart w:id="208" w:name="_Toc532748663"/>
      <w:r>
        <w:rPr>
          <w:rFonts w:hint="eastAsia" w:asciiTheme="minorEastAsia" w:hAnsiTheme="minorEastAsia" w:eastAsiaTheme="minorEastAsia"/>
          <w:color w:val="auto"/>
          <w:sz w:val="24"/>
          <w:szCs w:val="24"/>
        </w:rPr>
        <w:t>附件</w:t>
      </w:r>
      <w:r>
        <w:rPr>
          <w:rFonts w:asciiTheme="minorEastAsia" w:hAnsiTheme="minorEastAsia" w:eastAsiaTheme="minorEastAsia"/>
          <w:color w:val="auto"/>
          <w:sz w:val="24"/>
          <w:szCs w:val="24"/>
        </w:rPr>
        <w:t>5</w:t>
      </w:r>
      <w:r>
        <w:rPr>
          <w:rFonts w:hint="eastAsia" w:asciiTheme="minorEastAsia" w:hAnsiTheme="minorEastAsia" w:eastAsiaTheme="minorEastAsia"/>
          <w:color w:val="auto"/>
          <w:sz w:val="24"/>
          <w:szCs w:val="24"/>
        </w:rPr>
        <w:t>：东方市城乡公交企业服务质量考核办法</w:t>
      </w:r>
      <w:bookmarkEnd w:id="205"/>
      <w:bookmarkEnd w:id="206"/>
      <w:bookmarkEnd w:id="207"/>
      <w:bookmarkEnd w:id="208"/>
    </w:p>
    <w:p>
      <w:pPr>
        <w:spacing w:line="360" w:lineRule="auto"/>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东方市城乡公交企业服务质量考核办法</w:t>
      </w:r>
    </w:p>
    <w:p>
      <w:pPr>
        <w:pStyle w:val="79"/>
        <w:spacing w:before="156" w:line="360" w:lineRule="auto"/>
        <w:ind w:firstLine="400"/>
        <w:jc w:val="center"/>
        <w:rPr>
          <w:rFonts w:asciiTheme="minorEastAsia" w:hAnsiTheme="minorEastAsia" w:eastAsiaTheme="minorEastAsia"/>
          <w:color w:val="auto"/>
          <w:sz w:val="24"/>
          <w:szCs w:val="24"/>
        </w:rPr>
      </w:pP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第一条为切实</w:t>
      </w:r>
      <w:r>
        <w:rPr>
          <w:rFonts w:asciiTheme="minorEastAsia" w:hAnsiTheme="minorEastAsia" w:eastAsiaTheme="minorEastAsia"/>
          <w:color w:val="auto"/>
          <w:sz w:val="24"/>
        </w:rPr>
        <w:t>贯彻落实国家城市公共交通</w:t>
      </w:r>
      <w:r>
        <w:rPr>
          <w:rFonts w:hint="eastAsia" w:asciiTheme="minorEastAsia" w:hAnsiTheme="minorEastAsia" w:eastAsiaTheme="minorEastAsia"/>
          <w:color w:val="auto"/>
          <w:sz w:val="24"/>
        </w:rPr>
        <w:t>优先发展</w:t>
      </w:r>
      <w:r>
        <w:rPr>
          <w:rFonts w:asciiTheme="minorEastAsia" w:hAnsiTheme="minorEastAsia" w:eastAsiaTheme="minorEastAsia"/>
          <w:color w:val="auto"/>
          <w:sz w:val="24"/>
        </w:rPr>
        <w:t>战略</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建立科学规范的监督考核</w:t>
      </w:r>
      <w:r>
        <w:rPr>
          <w:rFonts w:hint="eastAsia" w:asciiTheme="minorEastAsia" w:hAnsiTheme="minorEastAsia" w:eastAsiaTheme="minorEastAsia"/>
          <w:color w:val="auto"/>
          <w:sz w:val="24"/>
        </w:rPr>
        <w:t>城乡公交企业</w:t>
      </w:r>
      <w:r>
        <w:rPr>
          <w:rFonts w:asciiTheme="minorEastAsia" w:hAnsiTheme="minorEastAsia" w:eastAsiaTheme="minorEastAsia"/>
          <w:color w:val="auto"/>
          <w:sz w:val="24"/>
        </w:rPr>
        <w:t>运营机制，促进公交企业加强内部管理、改善安全营运服务水平，特制定本办法。</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第二条本办法</w:t>
      </w:r>
      <w:r>
        <w:rPr>
          <w:rFonts w:asciiTheme="minorEastAsia" w:hAnsiTheme="minorEastAsia" w:eastAsiaTheme="minorEastAsia"/>
          <w:color w:val="auto"/>
          <w:sz w:val="24"/>
        </w:rPr>
        <w:t>适用于东方市城乡公交企业的安全营运服务考核工作。</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依据</w:t>
      </w:r>
      <w:r>
        <w:rPr>
          <w:rFonts w:asciiTheme="minorEastAsia" w:hAnsiTheme="minorEastAsia" w:eastAsiaTheme="minorEastAsia"/>
          <w:color w:val="auto"/>
          <w:sz w:val="24"/>
        </w:rPr>
        <w:t>本办法产生的考核结果，作为交通运输行政主管部门和财政部门确定公交企业季度财政</w:t>
      </w:r>
      <w:r>
        <w:rPr>
          <w:rFonts w:hint="eastAsia" w:asciiTheme="minorEastAsia" w:hAnsiTheme="minorEastAsia" w:eastAsiaTheme="minorEastAsia"/>
          <w:color w:val="auto"/>
          <w:sz w:val="24"/>
        </w:rPr>
        <w:t>付费资金</w:t>
      </w:r>
      <w:r>
        <w:rPr>
          <w:rFonts w:asciiTheme="minorEastAsia" w:hAnsiTheme="minorEastAsia" w:eastAsiaTheme="minorEastAsia"/>
          <w:color w:val="auto"/>
          <w:sz w:val="24"/>
        </w:rPr>
        <w:t>额度的重要依据。</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第三条市</w:t>
      </w:r>
      <w:r>
        <w:rPr>
          <w:rFonts w:asciiTheme="minorEastAsia" w:hAnsiTheme="minorEastAsia" w:eastAsiaTheme="minorEastAsia"/>
          <w:color w:val="auto"/>
          <w:sz w:val="24"/>
        </w:rPr>
        <w:t>交通运输局</w:t>
      </w:r>
      <w:r>
        <w:rPr>
          <w:rFonts w:hint="eastAsia" w:asciiTheme="minorEastAsia" w:hAnsiTheme="minorEastAsia" w:eastAsiaTheme="minorEastAsia"/>
          <w:color w:val="auto"/>
          <w:sz w:val="24"/>
        </w:rPr>
        <w:t>负责统筹</w:t>
      </w:r>
      <w:r>
        <w:rPr>
          <w:rFonts w:asciiTheme="minorEastAsia" w:hAnsiTheme="minorEastAsia" w:eastAsiaTheme="minorEastAsia"/>
          <w:color w:val="auto"/>
          <w:sz w:val="24"/>
        </w:rPr>
        <w:t>全市城乡公交企业的安全营运服务质量考核工作</w:t>
      </w:r>
      <w:r>
        <w:rPr>
          <w:rFonts w:hint="eastAsia"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市交通</w:t>
      </w:r>
      <w:r>
        <w:rPr>
          <w:rFonts w:hint="eastAsia" w:asciiTheme="minorEastAsia" w:hAnsiTheme="minorEastAsia" w:eastAsiaTheme="minorEastAsia"/>
          <w:color w:val="auto"/>
          <w:sz w:val="24"/>
        </w:rPr>
        <w:t>管理总站负责开展</w:t>
      </w:r>
      <w:r>
        <w:rPr>
          <w:rFonts w:asciiTheme="minorEastAsia" w:hAnsiTheme="minorEastAsia" w:eastAsiaTheme="minorEastAsia"/>
          <w:color w:val="auto"/>
          <w:sz w:val="24"/>
        </w:rPr>
        <w:t>日常服务质量考核</w:t>
      </w:r>
      <w:r>
        <w:rPr>
          <w:rFonts w:hint="eastAsia" w:asciiTheme="minorEastAsia" w:hAnsiTheme="minorEastAsia" w:eastAsiaTheme="minorEastAsia"/>
          <w:color w:val="auto"/>
          <w:sz w:val="24"/>
        </w:rPr>
        <w:t>具体工作</w:t>
      </w:r>
      <w:r>
        <w:rPr>
          <w:rFonts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根据</w:t>
      </w:r>
      <w:r>
        <w:rPr>
          <w:rFonts w:asciiTheme="minorEastAsia" w:hAnsiTheme="minorEastAsia" w:eastAsiaTheme="minorEastAsia"/>
          <w:color w:val="auto"/>
          <w:sz w:val="24"/>
        </w:rPr>
        <w:t>日常具体考核工作需要，考核部门应当会同相关</w:t>
      </w:r>
      <w:r>
        <w:rPr>
          <w:rFonts w:hint="eastAsia" w:asciiTheme="minorEastAsia" w:hAnsiTheme="minorEastAsia" w:eastAsiaTheme="minorEastAsia"/>
          <w:color w:val="auto"/>
          <w:sz w:val="24"/>
        </w:rPr>
        <w:t>管委会</w:t>
      </w:r>
      <w:r>
        <w:rPr>
          <w:rFonts w:asciiTheme="minorEastAsia" w:hAnsiTheme="minorEastAsia" w:eastAsiaTheme="minorEastAsia"/>
          <w:color w:val="auto"/>
          <w:sz w:val="24"/>
        </w:rPr>
        <w:t>的职能部门共同考核。</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第四条公交</w:t>
      </w:r>
      <w:r>
        <w:rPr>
          <w:rFonts w:asciiTheme="minorEastAsia" w:hAnsiTheme="minorEastAsia" w:eastAsiaTheme="minorEastAsia"/>
          <w:color w:val="auto"/>
          <w:sz w:val="24"/>
        </w:rPr>
        <w:t>企业</w:t>
      </w:r>
      <w:r>
        <w:rPr>
          <w:rFonts w:hint="eastAsia" w:asciiTheme="minorEastAsia" w:hAnsiTheme="minorEastAsia" w:eastAsiaTheme="minorEastAsia"/>
          <w:color w:val="auto"/>
          <w:sz w:val="24"/>
        </w:rPr>
        <w:t>服务</w:t>
      </w:r>
      <w:r>
        <w:rPr>
          <w:rFonts w:asciiTheme="minorEastAsia" w:hAnsiTheme="minorEastAsia" w:eastAsiaTheme="minorEastAsia"/>
          <w:color w:val="auto"/>
          <w:sz w:val="24"/>
        </w:rPr>
        <w:t>质量考核应遵循下列原则：</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（一）客观性</w:t>
      </w:r>
      <w:r>
        <w:rPr>
          <w:rFonts w:asciiTheme="minorEastAsia" w:hAnsiTheme="minorEastAsia" w:eastAsiaTheme="minorEastAsia"/>
          <w:color w:val="auto"/>
          <w:sz w:val="24"/>
        </w:rPr>
        <w:t>原则。各考核事项和考核标准应服务号法律法规规定及本市公交行业实际。</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（二）真实性</w:t>
      </w:r>
      <w:r>
        <w:rPr>
          <w:rFonts w:asciiTheme="minorEastAsia" w:hAnsiTheme="minorEastAsia" w:eastAsiaTheme="minorEastAsia"/>
          <w:color w:val="auto"/>
          <w:sz w:val="24"/>
        </w:rPr>
        <w:t>原则。考核结果应真实、准确、完整地记录和反应</w:t>
      </w:r>
      <w:r>
        <w:rPr>
          <w:rFonts w:hint="eastAsia" w:asciiTheme="minorEastAsia" w:hAnsiTheme="minorEastAsia" w:eastAsiaTheme="minorEastAsia"/>
          <w:color w:val="auto"/>
          <w:sz w:val="24"/>
        </w:rPr>
        <w:t>城乡</w:t>
      </w:r>
      <w:r>
        <w:rPr>
          <w:rFonts w:asciiTheme="minorEastAsia" w:hAnsiTheme="minorEastAsia" w:eastAsiaTheme="minorEastAsia"/>
          <w:color w:val="auto"/>
          <w:sz w:val="24"/>
        </w:rPr>
        <w:t>公交企业生产经营实际。</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（三）时效性</w:t>
      </w:r>
      <w:r>
        <w:rPr>
          <w:rFonts w:asciiTheme="minorEastAsia" w:hAnsiTheme="minorEastAsia" w:eastAsiaTheme="minorEastAsia"/>
          <w:color w:val="auto"/>
          <w:sz w:val="24"/>
        </w:rPr>
        <w:t>原则。考核以定量为主、定性为</w:t>
      </w:r>
      <w:r>
        <w:rPr>
          <w:rFonts w:hint="eastAsia" w:asciiTheme="minorEastAsia" w:hAnsiTheme="minorEastAsia" w:eastAsiaTheme="minorEastAsia"/>
          <w:color w:val="auto"/>
          <w:sz w:val="24"/>
        </w:rPr>
        <w:t>辅</w:t>
      </w:r>
      <w:r>
        <w:rPr>
          <w:rFonts w:asciiTheme="minorEastAsia" w:hAnsiTheme="minorEastAsia" w:eastAsiaTheme="minorEastAsia"/>
          <w:color w:val="auto"/>
          <w:sz w:val="24"/>
        </w:rPr>
        <w:t>，侧重结果性指标的考核，确保考核的简约性和时效性。</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第五条公交企业</w:t>
      </w:r>
      <w:r>
        <w:rPr>
          <w:rFonts w:asciiTheme="minorEastAsia" w:hAnsiTheme="minorEastAsia" w:eastAsiaTheme="minorEastAsia"/>
          <w:color w:val="auto"/>
          <w:sz w:val="24"/>
        </w:rPr>
        <w:t>服务质量考核指标分为每</w:t>
      </w:r>
      <w:r>
        <w:rPr>
          <w:rFonts w:hint="eastAsia" w:asciiTheme="minorEastAsia" w:hAnsiTheme="minorEastAsia" w:eastAsiaTheme="minorEastAsia"/>
          <w:color w:val="auto"/>
          <w:sz w:val="24"/>
        </w:rPr>
        <w:t>季</w:t>
      </w:r>
      <w:r>
        <w:rPr>
          <w:rFonts w:asciiTheme="minorEastAsia" w:hAnsiTheme="minorEastAsia" w:eastAsiaTheme="minorEastAsia"/>
          <w:color w:val="auto"/>
          <w:sz w:val="24"/>
        </w:rPr>
        <w:t>度固定考核的固定指标和根据</w:t>
      </w:r>
      <w:r>
        <w:rPr>
          <w:rFonts w:hint="eastAsia" w:asciiTheme="minorEastAsia" w:hAnsiTheme="minorEastAsia" w:eastAsiaTheme="minorEastAsia"/>
          <w:color w:val="auto"/>
          <w:sz w:val="24"/>
        </w:rPr>
        <w:t>季</w:t>
      </w:r>
      <w:r>
        <w:rPr>
          <w:rFonts w:asciiTheme="minorEastAsia" w:hAnsiTheme="minorEastAsia" w:eastAsiaTheme="minorEastAsia"/>
          <w:color w:val="auto"/>
          <w:sz w:val="24"/>
        </w:rPr>
        <w:t>度重点</w:t>
      </w:r>
      <w:r>
        <w:rPr>
          <w:rFonts w:hint="eastAsia" w:asciiTheme="minorEastAsia" w:hAnsiTheme="minorEastAsia" w:eastAsiaTheme="minorEastAsia"/>
          <w:color w:val="auto"/>
          <w:sz w:val="24"/>
        </w:rPr>
        <w:t>工作</w:t>
      </w:r>
      <w:r>
        <w:rPr>
          <w:rFonts w:asciiTheme="minorEastAsia" w:hAnsiTheme="minorEastAsia" w:eastAsiaTheme="minorEastAsia"/>
          <w:color w:val="auto"/>
          <w:sz w:val="24"/>
        </w:rPr>
        <w:t>需要考核的</w:t>
      </w:r>
      <w:r>
        <w:rPr>
          <w:rFonts w:hint="eastAsia" w:asciiTheme="minorEastAsia" w:hAnsiTheme="minorEastAsia" w:eastAsiaTheme="minorEastAsia"/>
          <w:color w:val="auto"/>
          <w:sz w:val="24"/>
        </w:rPr>
        <w:t>季</w:t>
      </w:r>
      <w:r>
        <w:rPr>
          <w:rFonts w:asciiTheme="minorEastAsia" w:hAnsiTheme="minorEastAsia" w:eastAsiaTheme="minorEastAsia"/>
          <w:color w:val="auto"/>
          <w:sz w:val="24"/>
        </w:rPr>
        <w:t>度指标两类。</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（一）固定</w:t>
      </w:r>
      <w:r>
        <w:rPr>
          <w:rFonts w:asciiTheme="minorEastAsia" w:hAnsiTheme="minorEastAsia" w:eastAsiaTheme="minorEastAsia"/>
          <w:color w:val="auto"/>
          <w:sz w:val="24"/>
        </w:rPr>
        <w:t>指标</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1.安全指标（27</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1）企业公交车辆季度交通违章率（5</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计算公式</w:t>
      </w:r>
      <w:r>
        <w:rPr>
          <w:rFonts w:asciiTheme="minorEastAsia" w:hAnsiTheme="minorEastAsia" w:eastAsiaTheme="minorEastAsia"/>
          <w:color w:val="auto"/>
          <w:sz w:val="24"/>
        </w:rPr>
        <w:t>为：</w:t>
      </w:r>
      <w:r>
        <w:rPr>
          <w:rFonts w:hint="eastAsia" w:asciiTheme="minorEastAsia" w:hAnsiTheme="minorEastAsia" w:eastAsiaTheme="minorEastAsia"/>
          <w:color w:val="auto"/>
          <w:sz w:val="24"/>
        </w:rPr>
        <w:t>公安交管部门认定的企业公交车辆季度交通违章次数÷企业当季度平均公交车辆数×</w:t>
      </w:r>
      <w:r>
        <w:rPr>
          <w:rFonts w:asciiTheme="minorEastAsia" w:hAnsiTheme="minorEastAsia" w:eastAsiaTheme="minorEastAsia"/>
          <w:color w:val="auto"/>
          <w:sz w:val="24"/>
        </w:rPr>
        <w:t>100%</w:t>
      </w:r>
      <w:r>
        <w:rPr>
          <w:rFonts w:hint="eastAsia" w:asciiTheme="minorEastAsia" w:hAnsiTheme="minorEastAsia" w:eastAsiaTheme="minorEastAsia"/>
          <w:color w:val="auto"/>
          <w:sz w:val="24"/>
        </w:rPr>
        <w:t>；该项</w:t>
      </w:r>
      <w:r>
        <w:rPr>
          <w:rFonts w:asciiTheme="minorEastAsia" w:hAnsiTheme="minorEastAsia" w:eastAsiaTheme="minorEastAsia"/>
          <w:color w:val="auto"/>
          <w:sz w:val="24"/>
        </w:rPr>
        <w:t>考核</w:t>
      </w:r>
      <w:r>
        <w:rPr>
          <w:rFonts w:hint="eastAsia" w:asciiTheme="minorEastAsia" w:hAnsiTheme="minorEastAsia" w:eastAsiaTheme="minorEastAsia"/>
          <w:color w:val="auto"/>
          <w:sz w:val="24"/>
        </w:rPr>
        <w:t>基础分</w:t>
      </w:r>
      <w:r>
        <w:rPr>
          <w:rFonts w:asciiTheme="minorEastAsia" w:hAnsiTheme="minorEastAsia" w:eastAsiaTheme="minorEastAsia"/>
          <w:color w:val="auto"/>
          <w:sz w:val="24"/>
        </w:rPr>
        <w:t>为5</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，考核</w:t>
      </w:r>
      <w:r>
        <w:rPr>
          <w:rFonts w:hint="eastAsia" w:asciiTheme="minorEastAsia" w:hAnsiTheme="minorEastAsia" w:eastAsiaTheme="minorEastAsia"/>
          <w:color w:val="auto"/>
          <w:sz w:val="24"/>
        </w:rPr>
        <w:t>目标</w:t>
      </w:r>
      <w:r>
        <w:rPr>
          <w:rFonts w:asciiTheme="minorEastAsia" w:hAnsiTheme="minorEastAsia" w:eastAsiaTheme="minorEastAsia"/>
          <w:color w:val="auto"/>
          <w:sz w:val="24"/>
        </w:rPr>
        <w:t>值为2%，</w:t>
      </w:r>
      <w:r>
        <w:rPr>
          <w:rFonts w:hint="eastAsia" w:asciiTheme="minorEastAsia" w:hAnsiTheme="minorEastAsia" w:eastAsiaTheme="minorEastAsia"/>
          <w:color w:val="auto"/>
          <w:sz w:val="24"/>
        </w:rPr>
        <w:t>每增加或减少</w:t>
      </w:r>
      <w:r>
        <w:rPr>
          <w:rFonts w:asciiTheme="minorEastAsia" w:hAnsiTheme="minorEastAsia" w:eastAsiaTheme="minorEastAsia"/>
          <w:color w:val="auto"/>
          <w:sz w:val="24"/>
        </w:rPr>
        <w:t>0.5个百分点，扣或加0.2分，扣完为止。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2）企业公交车辆季度有责交通事故率（6</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计算公式</w:t>
      </w:r>
      <w:r>
        <w:rPr>
          <w:rFonts w:asciiTheme="minorEastAsia" w:hAnsiTheme="minorEastAsia" w:eastAsiaTheme="minorEastAsia"/>
          <w:color w:val="auto"/>
          <w:sz w:val="24"/>
        </w:rPr>
        <w:t>为：</w:t>
      </w:r>
      <w:r>
        <w:rPr>
          <w:rFonts w:hint="eastAsia" w:asciiTheme="minorEastAsia" w:hAnsiTheme="minorEastAsia" w:eastAsiaTheme="minorEastAsia"/>
          <w:color w:val="auto"/>
          <w:sz w:val="24"/>
        </w:rPr>
        <w:t>公安交管部门认定的企业公交车辆季度交通事故次数÷企业季度实际运营总里程，单位：起／千万公里；该项</w:t>
      </w:r>
      <w:r>
        <w:rPr>
          <w:rFonts w:asciiTheme="minorEastAsia" w:hAnsiTheme="minorEastAsia" w:eastAsiaTheme="minorEastAsia"/>
          <w:color w:val="auto"/>
          <w:sz w:val="24"/>
        </w:rPr>
        <w:t>考核基础分为6</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，考核</w:t>
      </w:r>
      <w:r>
        <w:rPr>
          <w:rFonts w:hint="eastAsia" w:asciiTheme="minorEastAsia" w:hAnsiTheme="minorEastAsia" w:eastAsiaTheme="minorEastAsia"/>
          <w:color w:val="auto"/>
          <w:sz w:val="24"/>
        </w:rPr>
        <w:t>目标</w:t>
      </w:r>
      <w:r>
        <w:rPr>
          <w:rFonts w:asciiTheme="minorEastAsia" w:hAnsiTheme="minorEastAsia" w:eastAsiaTheme="minorEastAsia"/>
          <w:color w:val="auto"/>
          <w:sz w:val="24"/>
        </w:rPr>
        <w:t>值为2%</w:t>
      </w:r>
      <w:r>
        <w:rPr>
          <w:rFonts w:hint="eastAsia" w:asciiTheme="minorEastAsia" w:hAnsiTheme="minorEastAsia" w:eastAsiaTheme="minorEastAsia"/>
          <w:color w:val="auto"/>
          <w:sz w:val="24"/>
        </w:rPr>
        <w:t>，每增加或减少</w:t>
      </w:r>
      <w:r>
        <w:rPr>
          <w:rFonts w:asciiTheme="minorEastAsia" w:hAnsiTheme="minorEastAsia" w:eastAsiaTheme="minorEastAsia"/>
          <w:color w:val="auto"/>
          <w:sz w:val="24"/>
        </w:rPr>
        <w:t>0.5个百分点，扣或加0.2分，扣完为止。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3）企业公交车辆承担同责及以上责任事故死亡人数（6</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公安交管部门认定的企业公交车辆承担同责及以上责任事故死亡人数；</w:t>
      </w:r>
      <w:r>
        <w:rPr>
          <w:rFonts w:asciiTheme="minorEastAsia" w:hAnsiTheme="minorEastAsia" w:eastAsiaTheme="minorEastAsia"/>
          <w:color w:val="auto"/>
          <w:sz w:val="24"/>
        </w:rPr>
        <w:t>该项考核基础分为6</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企业公交车辆承担同责及以上责任事故死亡人数为</w:t>
      </w:r>
      <w:r>
        <w:rPr>
          <w:rFonts w:asciiTheme="minorEastAsia" w:hAnsiTheme="minorEastAsia" w:eastAsiaTheme="minorEastAsia"/>
          <w:color w:val="auto"/>
          <w:sz w:val="24"/>
        </w:rPr>
        <w:t>0时得满分，每增加1人扣1分，扣完为止。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4）企业安全隐患整改项目完成率（5</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计算公式</w:t>
      </w:r>
      <w:r>
        <w:rPr>
          <w:rFonts w:asciiTheme="minorEastAsia" w:hAnsiTheme="minorEastAsia" w:eastAsiaTheme="minorEastAsia"/>
          <w:color w:val="auto"/>
          <w:sz w:val="24"/>
        </w:rPr>
        <w:t>为：</w:t>
      </w:r>
      <w:r>
        <w:rPr>
          <w:rFonts w:hint="eastAsia" w:asciiTheme="minorEastAsia" w:hAnsiTheme="minorEastAsia" w:eastAsiaTheme="minorEastAsia"/>
          <w:color w:val="auto"/>
          <w:sz w:val="24"/>
        </w:rPr>
        <w:t>企业按期完成安全隐患整改项目数÷政府相关职能部门下达的限期完成的安全隐患整改项目数×</w:t>
      </w:r>
      <w:r>
        <w:rPr>
          <w:rFonts w:asciiTheme="minorEastAsia" w:hAnsiTheme="minorEastAsia" w:eastAsiaTheme="minorEastAsia"/>
          <w:color w:val="auto"/>
          <w:sz w:val="24"/>
        </w:rPr>
        <w:t>100%；该项考核基础分为5</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企业安全隐患检查整改项目完成率达不到</w:t>
      </w:r>
      <w:r>
        <w:rPr>
          <w:rFonts w:asciiTheme="minorEastAsia" w:hAnsiTheme="minorEastAsia" w:eastAsiaTheme="minorEastAsia"/>
          <w:color w:val="auto"/>
          <w:sz w:val="24"/>
        </w:rPr>
        <w:t>100%的，每减少一个百分点扣0.5分，扣完为止。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5）企业安全事故及时上报情况（5</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企业在事故发生后应当及时并不超过</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小时内向交通运输行政主管部门报告；该项</w:t>
      </w:r>
      <w:r>
        <w:rPr>
          <w:rFonts w:asciiTheme="minorEastAsia" w:hAnsiTheme="minorEastAsia" w:eastAsiaTheme="minorEastAsia"/>
          <w:color w:val="auto"/>
          <w:sz w:val="24"/>
        </w:rPr>
        <w:t>考核基础分为5</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企业未在事故发生后</w:t>
      </w:r>
      <w:r>
        <w:rPr>
          <w:rFonts w:asciiTheme="minorEastAsia" w:hAnsiTheme="minorEastAsia" w:eastAsiaTheme="minorEastAsia"/>
          <w:color w:val="auto"/>
          <w:sz w:val="24"/>
        </w:rPr>
        <w:t>1小时内上报信息的，1起扣0.5分，扣完为止；如因漏报瞒报等情况导致管理部门安全信息倒流的，扣除本项全部分值。</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6）企业发生重特大安全生产责任事故情况（否决项）</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该项</w:t>
      </w:r>
      <w:r>
        <w:rPr>
          <w:rFonts w:asciiTheme="minorEastAsia" w:hAnsiTheme="minorEastAsia" w:eastAsiaTheme="minorEastAsia"/>
          <w:color w:val="auto"/>
          <w:sz w:val="24"/>
        </w:rPr>
        <w:t>为否决项指标，发生重特大安全生产责任事故的，</w:t>
      </w:r>
      <w:r>
        <w:rPr>
          <w:rFonts w:hint="eastAsia" w:asciiTheme="minorEastAsia" w:hAnsiTheme="minorEastAsia" w:eastAsiaTheme="minorEastAsia"/>
          <w:color w:val="auto"/>
          <w:sz w:val="24"/>
        </w:rPr>
        <w:t>扣除</w:t>
      </w:r>
      <w:r>
        <w:rPr>
          <w:rFonts w:asciiTheme="minorEastAsia" w:hAnsiTheme="minorEastAsia" w:eastAsiaTheme="minorEastAsia"/>
          <w:color w:val="auto"/>
          <w:sz w:val="24"/>
        </w:rPr>
        <w:t>本大项全部分值（26</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2.发展指标</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23</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1）线路发展计划完成</w:t>
      </w:r>
      <w:r>
        <w:rPr>
          <w:rFonts w:hint="eastAsia" w:asciiTheme="minorEastAsia" w:hAnsiTheme="minorEastAsia" w:eastAsiaTheme="minorEastAsia"/>
          <w:color w:val="auto"/>
          <w:sz w:val="24"/>
        </w:rPr>
        <w:t>情况（</w:t>
      </w:r>
      <w:r>
        <w:rPr>
          <w:rFonts w:asciiTheme="minorEastAsia" w:hAnsiTheme="minorEastAsia" w:eastAsiaTheme="minorEastAsia"/>
          <w:color w:val="auto"/>
          <w:sz w:val="24"/>
        </w:rPr>
        <w:t>3分）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根据城乡公交发展规划、社会经济建设和人民群众的出行需求，编制季度城乡线路发展计划。该项考核基础分为</w:t>
      </w:r>
      <w:r>
        <w:rPr>
          <w:rFonts w:asciiTheme="minorEastAsia" w:hAnsiTheme="minorEastAsia" w:eastAsiaTheme="minorEastAsia"/>
          <w:color w:val="auto"/>
          <w:sz w:val="24"/>
        </w:rPr>
        <w:t>3</w:t>
      </w:r>
      <w:r>
        <w:rPr>
          <w:rFonts w:hint="eastAsia" w:asciiTheme="minorEastAsia" w:hAnsiTheme="minorEastAsia" w:eastAsiaTheme="minorEastAsia"/>
          <w:color w:val="auto"/>
          <w:sz w:val="24"/>
        </w:rPr>
        <w:t>分，每少完成</w:t>
      </w:r>
      <w:r>
        <w:rPr>
          <w:rFonts w:asciiTheme="minorEastAsia" w:hAnsiTheme="minorEastAsia" w:eastAsiaTheme="minorEastAsia"/>
          <w:color w:val="auto"/>
          <w:sz w:val="24"/>
        </w:rPr>
        <w:t>1条，减0.5分。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2）车辆发展计划完成情况</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3分）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根据季</w:t>
      </w:r>
      <w:r>
        <w:rPr>
          <w:rFonts w:asciiTheme="minorEastAsia" w:hAnsiTheme="minorEastAsia" w:eastAsiaTheme="minorEastAsia"/>
          <w:color w:val="auto"/>
          <w:sz w:val="24"/>
        </w:rPr>
        <w:t>度公交线路发展计划，编制</w:t>
      </w:r>
      <w:r>
        <w:rPr>
          <w:rFonts w:hint="eastAsia" w:asciiTheme="minorEastAsia" w:hAnsiTheme="minorEastAsia" w:eastAsiaTheme="minorEastAsia"/>
          <w:color w:val="auto"/>
          <w:sz w:val="24"/>
        </w:rPr>
        <w:t>季</w:t>
      </w:r>
      <w:r>
        <w:rPr>
          <w:rFonts w:asciiTheme="minorEastAsia" w:hAnsiTheme="minorEastAsia" w:eastAsiaTheme="minorEastAsia"/>
          <w:color w:val="auto"/>
          <w:sz w:val="24"/>
        </w:rPr>
        <w:t>度城乡公交车辆发展计划。该项</w:t>
      </w:r>
      <w:r>
        <w:rPr>
          <w:rFonts w:hint="eastAsia" w:asciiTheme="minorEastAsia" w:hAnsiTheme="minorEastAsia" w:eastAsiaTheme="minorEastAsia"/>
          <w:color w:val="auto"/>
          <w:sz w:val="24"/>
        </w:rPr>
        <w:t>考核</w:t>
      </w:r>
      <w:r>
        <w:rPr>
          <w:rFonts w:asciiTheme="minorEastAsia" w:hAnsiTheme="minorEastAsia" w:eastAsiaTheme="minorEastAsia"/>
          <w:color w:val="auto"/>
          <w:sz w:val="24"/>
        </w:rPr>
        <w:t>基础分为3</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，每少完成1辆，减0.2</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3）企业季度运营里程计划完成情况（4</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根据季度公交</w:t>
      </w:r>
      <w:r>
        <w:rPr>
          <w:rFonts w:asciiTheme="minorEastAsia" w:hAnsiTheme="minorEastAsia" w:eastAsiaTheme="minorEastAsia"/>
          <w:color w:val="auto"/>
          <w:sz w:val="24"/>
        </w:rPr>
        <w:t>线路</w:t>
      </w:r>
      <w:r>
        <w:rPr>
          <w:rFonts w:hint="eastAsia" w:asciiTheme="minorEastAsia" w:hAnsiTheme="minorEastAsia" w:eastAsiaTheme="minorEastAsia"/>
          <w:color w:val="auto"/>
          <w:sz w:val="24"/>
        </w:rPr>
        <w:t>发展</w:t>
      </w:r>
      <w:r>
        <w:rPr>
          <w:rFonts w:asciiTheme="minorEastAsia" w:hAnsiTheme="minorEastAsia" w:eastAsiaTheme="minorEastAsia"/>
          <w:color w:val="auto"/>
          <w:sz w:val="24"/>
        </w:rPr>
        <w:t>计划</w:t>
      </w:r>
      <w:r>
        <w:rPr>
          <w:rFonts w:hint="eastAsia" w:asciiTheme="minorEastAsia" w:hAnsiTheme="minorEastAsia" w:eastAsiaTheme="minorEastAsia"/>
          <w:color w:val="auto"/>
          <w:sz w:val="24"/>
        </w:rPr>
        <w:t>和线路运营服务</w:t>
      </w:r>
      <w:r>
        <w:rPr>
          <w:rFonts w:asciiTheme="minorEastAsia" w:hAnsiTheme="minorEastAsia" w:eastAsiaTheme="minorEastAsia"/>
          <w:color w:val="auto"/>
          <w:sz w:val="24"/>
        </w:rPr>
        <w:t>标准核</w:t>
      </w:r>
      <w:r>
        <w:rPr>
          <w:rFonts w:hint="eastAsia" w:asciiTheme="minorEastAsia" w:hAnsiTheme="minorEastAsia" w:eastAsiaTheme="minorEastAsia"/>
          <w:color w:val="auto"/>
          <w:sz w:val="24"/>
        </w:rPr>
        <w:t>，编制季度运营里程目标计划。计算</w:t>
      </w:r>
      <w:r>
        <w:rPr>
          <w:rFonts w:asciiTheme="minorEastAsia" w:hAnsiTheme="minorEastAsia" w:eastAsiaTheme="minorEastAsia"/>
          <w:color w:val="auto"/>
          <w:sz w:val="24"/>
        </w:rPr>
        <w:t>公式为：</w:t>
      </w:r>
      <w:r>
        <w:rPr>
          <w:rFonts w:hint="eastAsia" w:asciiTheme="minorEastAsia" w:hAnsiTheme="minorEastAsia" w:eastAsiaTheme="minorEastAsia"/>
          <w:color w:val="auto"/>
          <w:sz w:val="24"/>
        </w:rPr>
        <w:t>企业季度实际运营总里程÷根据公交线路运营服务标准企业季度应当完成的运营总里程×</w:t>
      </w:r>
      <w:r>
        <w:rPr>
          <w:rFonts w:asciiTheme="minorEastAsia" w:hAnsiTheme="minorEastAsia" w:eastAsiaTheme="minorEastAsia"/>
          <w:color w:val="auto"/>
          <w:sz w:val="24"/>
        </w:rPr>
        <w:t>100%</w:t>
      </w:r>
      <w:r>
        <w:rPr>
          <w:rFonts w:hint="eastAsia" w:asciiTheme="minorEastAsia" w:hAnsiTheme="minorEastAsia" w:eastAsiaTheme="minorEastAsia"/>
          <w:color w:val="auto"/>
          <w:sz w:val="24"/>
        </w:rPr>
        <w:t>。该项考核基础分为</w:t>
      </w:r>
      <w:r>
        <w:rPr>
          <w:rFonts w:asciiTheme="minorEastAsia" w:hAnsiTheme="minorEastAsia" w:eastAsiaTheme="minorEastAsia"/>
          <w:color w:val="auto"/>
          <w:sz w:val="24"/>
        </w:rPr>
        <w:t>4</w:t>
      </w:r>
      <w:r>
        <w:rPr>
          <w:rFonts w:hint="eastAsia" w:asciiTheme="minorEastAsia" w:hAnsiTheme="minorEastAsia" w:eastAsiaTheme="minorEastAsia"/>
          <w:color w:val="auto"/>
          <w:sz w:val="24"/>
        </w:rPr>
        <w:t>分，完成率达不到</w:t>
      </w:r>
      <w:r>
        <w:rPr>
          <w:rFonts w:asciiTheme="minorEastAsia" w:hAnsiTheme="minorEastAsia" w:eastAsiaTheme="minorEastAsia"/>
          <w:color w:val="auto"/>
          <w:sz w:val="24"/>
        </w:rPr>
        <w:t>100%的，每减少一个百分点扣0.5分，扣完为止。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4）公交分担率发展计划完成情况</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4</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根据上季度公交分担率的实际增长速度，结合线路、车辆发展计划，合理制定当季度的公交分担率增长目标指标。该项考核基础分为</w:t>
      </w:r>
      <w:r>
        <w:rPr>
          <w:rFonts w:asciiTheme="minorEastAsia" w:hAnsiTheme="minorEastAsia" w:eastAsiaTheme="minorEastAsia"/>
          <w:color w:val="auto"/>
          <w:sz w:val="24"/>
        </w:rPr>
        <w:t>4</w:t>
      </w:r>
      <w:r>
        <w:rPr>
          <w:rFonts w:hint="eastAsia" w:asciiTheme="minorEastAsia" w:hAnsiTheme="minorEastAsia" w:eastAsiaTheme="minorEastAsia"/>
          <w:color w:val="auto"/>
          <w:sz w:val="24"/>
        </w:rPr>
        <w:t>分，完成率达不到</w:t>
      </w:r>
      <w:r>
        <w:rPr>
          <w:rFonts w:asciiTheme="minorEastAsia" w:hAnsiTheme="minorEastAsia" w:eastAsiaTheme="minorEastAsia"/>
          <w:color w:val="auto"/>
          <w:sz w:val="24"/>
        </w:rPr>
        <w:t>100%的，每减少一个百分点扣0.5分，扣完为止。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5）公交智能化发展情况（4</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根据公交智能化系统建设工程推进情况，合理制定当季度公交智能化考核目标。该项考核基础分为</w:t>
      </w:r>
      <w:r>
        <w:rPr>
          <w:rFonts w:asciiTheme="minorEastAsia" w:hAnsiTheme="minorEastAsia" w:eastAsiaTheme="minorEastAsia"/>
          <w:color w:val="auto"/>
          <w:sz w:val="24"/>
        </w:rPr>
        <w:t>4</w:t>
      </w:r>
      <w:r>
        <w:rPr>
          <w:rFonts w:hint="eastAsia" w:asciiTheme="minorEastAsia" w:hAnsiTheme="minorEastAsia" w:eastAsiaTheme="minorEastAsia"/>
          <w:color w:val="auto"/>
          <w:sz w:val="24"/>
        </w:rPr>
        <w:t>分，根据季度工程推进和工作完成情况，酌情加减分，加分不超过</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6）日常运营信息记录及上报情况（5分）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企业应如实、准确填报日常</w:t>
      </w:r>
      <w:r>
        <w:rPr>
          <w:rFonts w:asciiTheme="minorEastAsia" w:hAnsiTheme="minorEastAsia" w:eastAsiaTheme="minorEastAsia"/>
          <w:color w:val="auto"/>
          <w:sz w:val="24"/>
        </w:rPr>
        <w:t>运营信息和</w:t>
      </w:r>
      <w:r>
        <w:rPr>
          <w:rFonts w:hint="eastAsia" w:asciiTheme="minorEastAsia" w:hAnsiTheme="minorEastAsia" w:eastAsiaTheme="minorEastAsia"/>
          <w:color w:val="auto"/>
          <w:sz w:val="24"/>
        </w:rPr>
        <w:t>营业收支情况，做好台账记录，并</w:t>
      </w:r>
      <w:r>
        <w:rPr>
          <w:rFonts w:asciiTheme="minorEastAsia" w:hAnsiTheme="minorEastAsia" w:eastAsiaTheme="minorEastAsia"/>
          <w:color w:val="auto"/>
          <w:sz w:val="24"/>
        </w:rPr>
        <w:t>及时上报信息。</w:t>
      </w:r>
      <w:r>
        <w:rPr>
          <w:rFonts w:hint="eastAsia" w:asciiTheme="minorEastAsia" w:hAnsiTheme="minorEastAsia" w:eastAsiaTheme="minorEastAsia"/>
          <w:color w:val="auto"/>
          <w:sz w:val="24"/>
        </w:rPr>
        <w:t>根据日常运营信息记录和上报工作完成情况，酌情加减分，加分不超过</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分。若企业财务账目记录出现人为原因的瞒报收入、虚增支出且超过真实值</w:t>
      </w:r>
      <w:r>
        <w:rPr>
          <w:rFonts w:asciiTheme="minorEastAsia" w:hAnsiTheme="minorEastAsia" w:eastAsiaTheme="minorEastAsia"/>
          <w:color w:val="auto"/>
          <w:sz w:val="24"/>
        </w:rPr>
        <w:t>2%的，本项不得分。</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3.服务指标（25</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1）企业公交线路首末班车正点发车情况（4</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结合日常工作，进行市场检查、台账检查，智能化系统报表检查，对乘客投诉情况进行统计分析，每月随机抽查</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次，每季度抽查</w:t>
      </w:r>
      <w:r>
        <w:rPr>
          <w:rFonts w:asciiTheme="minorEastAsia" w:hAnsiTheme="minorEastAsia" w:eastAsiaTheme="minorEastAsia"/>
          <w:color w:val="auto"/>
          <w:sz w:val="24"/>
        </w:rPr>
        <w:t>6次。该项考核基础分为4</w:t>
      </w:r>
      <w:r>
        <w:rPr>
          <w:rFonts w:hint="eastAsia" w:asciiTheme="minorEastAsia" w:hAnsiTheme="minorEastAsia" w:eastAsiaTheme="minorEastAsia"/>
          <w:color w:val="auto"/>
          <w:sz w:val="24"/>
        </w:rPr>
        <w:t>分，考核目标值为</w:t>
      </w:r>
      <w:r>
        <w:rPr>
          <w:rFonts w:asciiTheme="minorEastAsia" w:hAnsiTheme="minorEastAsia" w:eastAsiaTheme="minorEastAsia"/>
          <w:color w:val="auto"/>
          <w:sz w:val="24"/>
        </w:rPr>
        <w:t>95%，每减少或增加1个百分点，扣或加0.2分，扣完为止。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2）企业公交线路早晚高峰平均出车率（4</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结合日常工作，进行市场检查、台账检查，智能化系统报表检查，对乘客投诉情况进行统计分析，每月随机抽查</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次，每季度抽查</w:t>
      </w:r>
      <w:r>
        <w:rPr>
          <w:rFonts w:asciiTheme="minorEastAsia" w:hAnsiTheme="minorEastAsia" w:eastAsiaTheme="minorEastAsia"/>
          <w:color w:val="auto"/>
          <w:sz w:val="24"/>
        </w:rPr>
        <w:t>6次。该项考核基础分为4</w:t>
      </w:r>
      <w:r>
        <w:rPr>
          <w:rFonts w:hint="eastAsia" w:asciiTheme="minorEastAsia" w:hAnsiTheme="minorEastAsia" w:eastAsiaTheme="minorEastAsia"/>
          <w:color w:val="auto"/>
          <w:sz w:val="24"/>
        </w:rPr>
        <w:t>分，考核目标值为</w:t>
      </w:r>
      <w:r>
        <w:rPr>
          <w:rFonts w:asciiTheme="minorEastAsia" w:hAnsiTheme="minorEastAsia" w:eastAsiaTheme="minorEastAsia"/>
          <w:color w:val="auto"/>
          <w:sz w:val="24"/>
        </w:rPr>
        <w:t>90%，每减少或增加1个百分点，扣或加0.3分，扣完为止。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3）公交车辆车容车貌情况（4分）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结合日常工作，进行市场检查、台账检查，智能化系统报表检查，对乘客投诉情况进行统计分析，对车辆安装智能监控设备使用情况进行抽查，每月随机抽查</w:t>
      </w:r>
      <w:r>
        <w:rPr>
          <w:rFonts w:asciiTheme="minorEastAsia" w:hAnsiTheme="minorEastAsia" w:eastAsiaTheme="minorEastAsia"/>
          <w:color w:val="auto"/>
          <w:sz w:val="24"/>
        </w:rPr>
        <w:t>2次，每季度抽查6次。该项考核基础分为4</w:t>
      </w:r>
      <w:r>
        <w:rPr>
          <w:rFonts w:hint="eastAsia" w:asciiTheme="minorEastAsia" w:hAnsiTheme="minorEastAsia" w:eastAsiaTheme="minorEastAsia"/>
          <w:color w:val="auto"/>
          <w:sz w:val="24"/>
        </w:rPr>
        <w:t>分，每次抽查公交车辆车容车貌不符合要求的扣</w:t>
      </w:r>
      <w:r>
        <w:rPr>
          <w:rFonts w:asciiTheme="minorEastAsia" w:hAnsiTheme="minorEastAsia" w:eastAsiaTheme="minorEastAsia"/>
          <w:color w:val="auto"/>
          <w:sz w:val="24"/>
        </w:rPr>
        <w:t>1分，扣完为止。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4</w:t>
      </w:r>
      <w:r>
        <w:rPr>
          <w:rFonts w:hint="eastAsia" w:asciiTheme="minorEastAsia" w:hAnsiTheme="minorEastAsia" w:eastAsiaTheme="minorEastAsia"/>
          <w:color w:val="auto"/>
          <w:sz w:val="24"/>
        </w:rPr>
        <w:t>）企业办理群众投诉及时率、办结率和满意率（</w:t>
      </w:r>
      <w:r>
        <w:rPr>
          <w:rFonts w:asciiTheme="minorEastAsia" w:hAnsiTheme="minorEastAsia" w:eastAsiaTheme="minorEastAsia"/>
          <w:color w:val="auto"/>
          <w:sz w:val="24"/>
        </w:rPr>
        <w:t>5</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结合日常工作，进行市场检查、台账检查，智能化系统报表检查，对乘客投诉情况进行统计分析，每月随机抽查</w:t>
      </w:r>
      <w:r>
        <w:rPr>
          <w:rFonts w:asciiTheme="minorEastAsia" w:hAnsiTheme="minorEastAsia" w:eastAsiaTheme="minorEastAsia"/>
          <w:color w:val="auto"/>
          <w:sz w:val="24"/>
        </w:rPr>
        <w:t>2</w:t>
      </w:r>
      <w:r>
        <w:rPr>
          <w:rFonts w:hint="eastAsia" w:asciiTheme="minorEastAsia" w:hAnsiTheme="minorEastAsia" w:eastAsiaTheme="minorEastAsia"/>
          <w:color w:val="auto"/>
          <w:sz w:val="24"/>
        </w:rPr>
        <w:t>次，每季度抽查</w:t>
      </w:r>
      <w:r>
        <w:rPr>
          <w:rFonts w:asciiTheme="minorEastAsia" w:hAnsiTheme="minorEastAsia" w:eastAsiaTheme="minorEastAsia"/>
          <w:color w:val="auto"/>
          <w:sz w:val="24"/>
        </w:rPr>
        <w:t>6次。该项考核基础分为5</w:t>
      </w:r>
      <w:r>
        <w:rPr>
          <w:rFonts w:hint="eastAsia" w:asciiTheme="minorEastAsia" w:hAnsiTheme="minorEastAsia" w:eastAsiaTheme="minorEastAsia"/>
          <w:color w:val="auto"/>
          <w:sz w:val="24"/>
        </w:rPr>
        <w:t>分，考核目标值为</w:t>
      </w:r>
      <w:r>
        <w:rPr>
          <w:rFonts w:asciiTheme="minorEastAsia" w:hAnsiTheme="minorEastAsia" w:eastAsiaTheme="minorEastAsia"/>
          <w:color w:val="auto"/>
          <w:sz w:val="24"/>
        </w:rPr>
        <w:t>95%，每减少或增加1个百分点，扣或加0.2分，扣完为止。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5</w:t>
      </w:r>
      <w:r>
        <w:rPr>
          <w:rFonts w:hint="eastAsia" w:asciiTheme="minorEastAsia" w:hAnsiTheme="minorEastAsia" w:eastAsiaTheme="minorEastAsia"/>
          <w:color w:val="auto"/>
          <w:sz w:val="24"/>
        </w:rPr>
        <w:t>）企业发生有责曝光事件情况（</w:t>
      </w:r>
      <w:r>
        <w:rPr>
          <w:rFonts w:asciiTheme="minorEastAsia" w:hAnsiTheme="minorEastAsia" w:eastAsiaTheme="minorEastAsia"/>
          <w:color w:val="auto"/>
          <w:sz w:val="24"/>
        </w:rPr>
        <w:t>3</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根据媒体曝光情况进行核实，该项考核基础分为</w:t>
      </w:r>
      <w:r>
        <w:rPr>
          <w:rFonts w:asciiTheme="minorEastAsia" w:hAnsiTheme="minorEastAsia" w:eastAsiaTheme="minorEastAsia"/>
          <w:color w:val="auto"/>
          <w:sz w:val="24"/>
        </w:rPr>
        <w:t>3</w:t>
      </w:r>
      <w:r>
        <w:rPr>
          <w:rFonts w:hint="eastAsia" w:asciiTheme="minorEastAsia" w:hAnsiTheme="minorEastAsia" w:eastAsiaTheme="minorEastAsia"/>
          <w:color w:val="auto"/>
          <w:sz w:val="24"/>
        </w:rPr>
        <w:t>分，企业经核实发生有责曝光事件的，每次扣</w:t>
      </w:r>
      <w:r>
        <w:rPr>
          <w:rFonts w:asciiTheme="minorEastAsia" w:hAnsiTheme="minorEastAsia" w:eastAsiaTheme="minorEastAsia"/>
          <w:color w:val="auto"/>
          <w:sz w:val="24"/>
        </w:rPr>
        <w:t>1分；被省级及以上媒体曝光并造成重大影响的，每次扣2分；扣完为止。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6</w:t>
      </w:r>
      <w:r>
        <w:rPr>
          <w:rFonts w:hint="eastAsia" w:asciiTheme="minorEastAsia" w:hAnsiTheme="minorEastAsia" w:eastAsiaTheme="minorEastAsia"/>
          <w:color w:val="auto"/>
          <w:sz w:val="24"/>
        </w:rPr>
        <w:t>）企业发生影响公交线路正常营运重大事件情况（</w:t>
      </w:r>
      <w:r>
        <w:rPr>
          <w:rFonts w:asciiTheme="minorEastAsia" w:hAnsiTheme="minorEastAsia" w:eastAsiaTheme="minorEastAsia"/>
          <w:color w:val="auto"/>
          <w:sz w:val="24"/>
        </w:rPr>
        <w:t>5</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该项考核基础分为</w:t>
      </w:r>
      <w:r>
        <w:rPr>
          <w:rFonts w:asciiTheme="minorEastAsia" w:hAnsiTheme="minorEastAsia" w:eastAsiaTheme="minorEastAsia"/>
          <w:color w:val="auto"/>
          <w:sz w:val="24"/>
        </w:rPr>
        <w:t>5</w:t>
      </w:r>
      <w:r>
        <w:rPr>
          <w:rFonts w:hint="eastAsia" w:asciiTheme="minorEastAsia" w:hAnsiTheme="minorEastAsia" w:eastAsiaTheme="minorEastAsia"/>
          <w:color w:val="auto"/>
          <w:sz w:val="24"/>
        </w:rPr>
        <w:t>分，企业发生影响公交线路正常运营的重大事件的，每起</w:t>
      </w:r>
      <w:r>
        <w:rPr>
          <w:rFonts w:asciiTheme="minorEastAsia" w:hAnsiTheme="minorEastAsia" w:eastAsiaTheme="minorEastAsia"/>
          <w:color w:val="auto"/>
          <w:sz w:val="24"/>
        </w:rPr>
        <w:t>2分，扣完为止。</w:t>
      </w:r>
    </w:p>
    <w:p>
      <w:pPr>
        <w:spacing w:line="360" w:lineRule="auto"/>
        <w:ind w:firstLine="640"/>
        <w:rPr>
          <w:rFonts w:asciiTheme="minorEastAsia" w:hAnsiTheme="minorEastAsia" w:eastAsiaTheme="minorEastAsia"/>
          <w:color w:val="auto"/>
          <w:sz w:val="24"/>
        </w:rPr>
      </w:pPr>
      <w:r>
        <w:rPr>
          <w:rFonts w:asciiTheme="minorEastAsia" w:hAnsiTheme="minorEastAsia" w:eastAsiaTheme="minorEastAsia"/>
          <w:color w:val="auto"/>
          <w:sz w:val="24"/>
        </w:rPr>
        <w:t>4.执行政府指令指标（15分）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1）企业执行政府因城市建设、重大社会活动、突发事件、恶劣气候和抢险救灾需要而采取的临时措施情况；该项考核基础分为8</w:t>
      </w:r>
      <w:r>
        <w:rPr>
          <w:rFonts w:hint="eastAsia" w:asciiTheme="minorEastAsia" w:hAnsiTheme="minorEastAsia" w:eastAsiaTheme="minorEastAsia"/>
          <w:color w:val="auto"/>
          <w:sz w:val="24"/>
        </w:rPr>
        <w:t>分，企业拒绝执行政府指令，每次扣</w:t>
      </w:r>
      <w:r>
        <w:rPr>
          <w:rFonts w:asciiTheme="minorEastAsia" w:hAnsiTheme="minorEastAsia" w:eastAsiaTheme="minorEastAsia"/>
          <w:color w:val="auto"/>
          <w:sz w:val="24"/>
        </w:rPr>
        <w:t>5分；执行政府指令不到位的，每次酌情扣2-5分；扣完为止。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2）企业执行公交行业管理部门下达的公交线路新辟、调整、延伸、延长服务时间等指令性任务情况。该项考核基础分为7</w:t>
      </w:r>
      <w:r>
        <w:rPr>
          <w:rFonts w:hint="eastAsia" w:asciiTheme="minorEastAsia" w:hAnsiTheme="minorEastAsia" w:eastAsiaTheme="minorEastAsia"/>
          <w:color w:val="auto"/>
          <w:sz w:val="24"/>
        </w:rPr>
        <w:t>分，企业拒绝执行政府指令，每次扣</w:t>
      </w:r>
      <w:r>
        <w:rPr>
          <w:rFonts w:asciiTheme="minorEastAsia" w:hAnsiTheme="minorEastAsia" w:eastAsiaTheme="minorEastAsia"/>
          <w:color w:val="auto"/>
          <w:sz w:val="24"/>
        </w:rPr>
        <w:t>5分；执行政</w:t>
      </w:r>
      <w:r>
        <w:rPr>
          <w:rFonts w:hint="eastAsia" w:asciiTheme="minorEastAsia" w:hAnsiTheme="minorEastAsia" w:eastAsiaTheme="minorEastAsia"/>
          <w:color w:val="auto"/>
          <w:sz w:val="24"/>
        </w:rPr>
        <w:t>府指令不到位的，每次酌情扣</w:t>
      </w:r>
      <w:r>
        <w:rPr>
          <w:rFonts w:asciiTheme="minorEastAsia" w:hAnsiTheme="minorEastAsia" w:eastAsiaTheme="minorEastAsia"/>
          <w:color w:val="auto"/>
          <w:sz w:val="24"/>
        </w:rPr>
        <w:t>2-5分；扣完为止。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（二）季度</w:t>
      </w:r>
      <w:r>
        <w:rPr>
          <w:rFonts w:asciiTheme="minorEastAsia" w:hAnsiTheme="minorEastAsia" w:eastAsiaTheme="minorEastAsia"/>
          <w:color w:val="auto"/>
          <w:sz w:val="24"/>
        </w:rPr>
        <w:t>指标</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10</w:t>
      </w:r>
      <w:r>
        <w:rPr>
          <w:rFonts w:hint="eastAsia" w:asciiTheme="minorEastAsia" w:hAnsiTheme="minorEastAsia" w:eastAsiaTheme="minorEastAsia"/>
          <w:color w:val="auto"/>
          <w:sz w:val="24"/>
        </w:rPr>
        <w:t>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1）</w:t>
      </w:r>
      <w:r>
        <w:rPr>
          <w:rFonts w:hint="eastAsia" w:asciiTheme="minorEastAsia" w:hAnsiTheme="minorEastAsia" w:eastAsiaTheme="minorEastAsia"/>
          <w:color w:val="auto"/>
          <w:sz w:val="24"/>
        </w:rPr>
        <w:t>企业执行的公交行业管理部门下达的季度收入指标完成情况</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该指标</w:t>
      </w:r>
      <w:r>
        <w:rPr>
          <w:rFonts w:asciiTheme="minorEastAsia" w:hAnsiTheme="minorEastAsia" w:eastAsiaTheme="minorEastAsia"/>
          <w:color w:val="auto"/>
          <w:sz w:val="24"/>
        </w:rPr>
        <w:t>为政府方下达的，企业当季度需完成的收入指标的完成情况，该指标基础分为3分，</w:t>
      </w:r>
      <w:r>
        <w:rPr>
          <w:rFonts w:hint="eastAsia" w:asciiTheme="minorEastAsia" w:hAnsiTheme="minorEastAsia" w:eastAsiaTheme="minorEastAsia"/>
          <w:color w:val="auto"/>
          <w:sz w:val="24"/>
        </w:rPr>
        <w:t>每</w:t>
      </w:r>
      <w:r>
        <w:rPr>
          <w:rFonts w:asciiTheme="minorEastAsia" w:hAnsiTheme="minorEastAsia" w:eastAsiaTheme="minorEastAsia"/>
          <w:color w:val="auto"/>
          <w:sz w:val="24"/>
        </w:rPr>
        <w:t>少完成1%扣0.1分，扣完为止。</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asciiTheme="minorEastAsia" w:hAnsiTheme="minorEastAsia" w:eastAsiaTheme="minorEastAsia"/>
          <w:color w:val="auto"/>
          <w:sz w:val="24"/>
        </w:rPr>
        <w:t>2）其他季度指标</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7分）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市交通运输局根据季度重点工作需要，确定公交企业每季度重点考核指标，</w:t>
      </w:r>
      <w:r>
        <w:rPr>
          <w:rFonts w:asciiTheme="minorEastAsia" w:hAnsiTheme="minorEastAsia" w:eastAsiaTheme="minorEastAsia"/>
          <w:color w:val="auto"/>
          <w:sz w:val="24"/>
        </w:rPr>
        <w:t>根据</w:t>
      </w:r>
      <w:r>
        <w:rPr>
          <w:rFonts w:hint="eastAsia" w:asciiTheme="minorEastAsia" w:hAnsiTheme="minorEastAsia" w:eastAsiaTheme="minorEastAsia"/>
          <w:color w:val="auto"/>
          <w:sz w:val="24"/>
        </w:rPr>
        <w:t>指标</w:t>
      </w:r>
      <w:r>
        <w:rPr>
          <w:rFonts w:asciiTheme="minorEastAsia" w:hAnsiTheme="minorEastAsia" w:eastAsiaTheme="minorEastAsia"/>
          <w:color w:val="auto"/>
          <w:sz w:val="24"/>
        </w:rPr>
        <w:t>完成情况</w:t>
      </w:r>
      <w:r>
        <w:rPr>
          <w:rFonts w:hint="eastAsia" w:asciiTheme="minorEastAsia" w:hAnsiTheme="minorEastAsia" w:eastAsiaTheme="minorEastAsia"/>
          <w:color w:val="auto"/>
          <w:sz w:val="24"/>
        </w:rPr>
        <w:t>酌情加减分</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该项指标基础分</w:t>
      </w:r>
      <w:r>
        <w:rPr>
          <w:rFonts w:asciiTheme="minorEastAsia" w:hAnsiTheme="minorEastAsia" w:eastAsiaTheme="minorEastAsia"/>
          <w:color w:val="auto"/>
          <w:sz w:val="24"/>
        </w:rPr>
        <w:t>为7</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，加分不超过2分。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第六条服务质量</w:t>
      </w:r>
      <w:r>
        <w:rPr>
          <w:rFonts w:asciiTheme="minorEastAsia" w:hAnsiTheme="minorEastAsia" w:eastAsiaTheme="minorEastAsia"/>
          <w:color w:val="auto"/>
          <w:sz w:val="24"/>
        </w:rPr>
        <w:t>考核每</w:t>
      </w:r>
      <w:r>
        <w:rPr>
          <w:rFonts w:hint="eastAsia" w:asciiTheme="minorEastAsia" w:hAnsiTheme="minorEastAsia" w:eastAsiaTheme="minorEastAsia"/>
          <w:color w:val="auto"/>
          <w:sz w:val="24"/>
        </w:rPr>
        <w:t>季度</w:t>
      </w:r>
      <w:r>
        <w:rPr>
          <w:rFonts w:asciiTheme="minorEastAsia" w:hAnsiTheme="minorEastAsia" w:eastAsiaTheme="minorEastAsia"/>
          <w:color w:val="auto"/>
          <w:sz w:val="24"/>
        </w:rPr>
        <w:t>开展一次，</w:t>
      </w:r>
      <w:r>
        <w:rPr>
          <w:rFonts w:hint="eastAsia" w:asciiTheme="minorEastAsia" w:hAnsiTheme="minorEastAsia" w:eastAsiaTheme="minorEastAsia"/>
          <w:color w:val="auto"/>
          <w:sz w:val="24"/>
        </w:rPr>
        <w:t>考核主管部门</w:t>
      </w:r>
      <w:r>
        <w:rPr>
          <w:rFonts w:asciiTheme="minorEastAsia" w:hAnsiTheme="minorEastAsia" w:eastAsiaTheme="minorEastAsia"/>
          <w:color w:val="auto"/>
          <w:sz w:val="24"/>
        </w:rPr>
        <w:t>应当在</w:t>
      </w:r>
      <w:r>
        <w:rPr>
          <w:rFonts w:hint="eastAsia" w:asciiTheme="minorEastAsia" w:hAnsiTheme="minorEastAsia" w:eastAsiaTheme="minorEastAsia"/>
          <w:color w:val="auto"/>
          <w:sz w:val="24"/>
        </w:rPr>
        <w:t>每季</w:t>
      </w:r>
      <w:r>
        <w:rPr>
          <w:rFonts w:asciiTheme="minorEastAsia" w:hAnsiTheme="minorEastAsia" w:eastAsiaTheme="minorEastAsia"/>
          <w:color w:val="auto"/>
          <w:sz w:val="24"/>
        </w:rPr>
        <w:t>度</w:t>
      </w:r>
      <w:r>
        <w:rPr>
          <w:rFonts w:hint="eastAsia" w:asciiTheme="minorEastAsia" w:hAnsiTheme="minorEastAsia" w:eastAsiaTheme="minorEastAsia"/>
          <w:color w:val="auto"/>
          <w:sz w:val="24"/>
        </w:rPr>
        <w:t>开始</w:t>
      </w:r>
      <w:r>
        <w:rPr>
          <w:rFonts w:asciiTheme="minorEastAsia" w:hAnsiTheme="minorEastAsia" w:eastAsiaTheme="minorEastAsia"/>
          <w:color w:val="auto"/>
          <w:sz w:val="24"/>
        </w:rPr>
        <w:t>的15日之内，完成上</w:t>
      </w:r>
      <w:r>
        <w:rPr>
          <w:rFonts w:hint="eastAsia" w:asciiTheme="minorEastAsia" w:hAnsiTheme="minorEastAsia" w:eastAsiaTheme="minorEastAsia"/>
          <w:color w:val="auto"/>
          <w:sz w:val="24"/>
        </w:rPr>
        <w:t>季度</w:t>
      </w:r>
      <w:r>
        <w:rPr>
          <w:rFonts w:asciiTheme="minorEastAsia" w:hAnsiTheme="minorEastAsia" w:eastAsiaTheme="minorEastAsia"/>
          <w:color w:val="auto"/>
          <w:sz w:val="24"/>
        </w:rPr>
        <w:t>公交企业服务质量考核工作，并</w:t>
      </w:r>
      <w:r>
        <w:rPr>
          <w:rFonts w:hint="eastAsia" w:asciiTheme="minorEastAsia" w:hAnsiTheme="minorEastAsia" w:eastAsiaTheme="minorEastAsia"/>
          <w:color w:val="auto"/>
          <w:sz w:val="24"/>
        </w:rPr>
        <w:t>在</w:t>
      </w:r>
      <w:r>
        <w:rPr>
          <w:rFonts w:asciiTheme="minorEastAsia" w:hAnsiTheme="minorEastAsia" w:eastAsiaTheme="minorEastAsia"/>
          <w:color w:val="auto"/>
          <w:sz w:val="24"/>
        </w:rPr>
        <w:t>每</w:t>
      </w:r>
      <w:r>
        <w:rPr>
          <w:rFonts w:hint="eastAsia" w:asciiTheme="minorEastAsia" w:hAnsiTheme="minorEastAsia" w:eastAsiaTheme="minorEastAsia"/>
          <w:color w:val="auto"/>
          <w:sz w:val="24"/>
        </w:rPr>
        <w:t>季度</w:t>
      </w:r>
      <w:r>
        <w:rPr>
          <w:rFonts w:asciiTheme="minorEastAsia" w:hAnsiTheme="minorEastAsia" w:eastAsiaTheme="minorEastAsia"/>
          <w:color w:val="auto"/>
          <w:sz w:val="24"/>
        </w:rPr>
        <w:t>末前确定并下达</w:t>
      </w:r>
      <w:r>
        <w:rPr>
          <w:rFonts w:hint="eastAsia" w:asciiTheme="minorEastAsia" w:hAnsiTheme="minorEastAsia" w:eastAsiaTheme="minorEastAsia"/>
          <w:color w:val="auto"/>
          <w:sz w:val="24"/>
        </w:rPr>
        <w:t>下季度</w:t>
      </w:r>
      <w:r>
        <w:rPr>
          <w:rFonts w:asciiTheme="minorEastAsia" w:hAnsiTheme="minorEastAsia" w:eastAsiaTheme="minorEastAsia"/>
          <w:color w:val="auto"/>
          <w:sz w:val="24"/>
        </w:rPr>
        <w:t>固定指标考核值和</w:t>
      </w:r>
      <w:r>
        <w:rPr>
          <w:rFonts w:hint="eastAsia" w:asciiTheme="minorEastAsia" w:hAnsiTheme="minorEastAsia" w:eastAsiaTheme="minorEastAsia"/>
          <w:color w:val="auto"/>
          <w:sz w:val="24"/>
        </w:rPr>
        <w:t>季</w:t>
      </w:r>
      <w:r>
        <w:rPr>
          <w:rFonts w:asciiTheme="minorEastAsia" w:hAnsiTheme="minorEastAsia" w:eastAsiaTheme="minorEastAsia"/>
          <w:color w:val="auto"/>
          <w:sz w:val="24"/>
        </w:rPr>
        <w:t>度指标具体内容（</w:t>
      </w:r>
      <w:r>
        <w:rPr>
          <w:rFonts w:hint="eastAsia" w:asciiTheme="minorEastAsia" w:hAnsiTheme="minorEastAsia" w:eastAsiaTheme="minorEastAsia"/>
          <w:color w:val="auto"/>
          <w:sz w:val="24"/>
        </w:rPr>
        <w:t>含</w:t>
      </w:r>
      <w:r>
        <w:rPr>
          <w:rFonts w:asciiTheme="minorEastAsia" w:hAnsiTheme="minorEastAsia" w:eastAsiaTheme="minorEastAsia"/>
          <w:color w:val="auto"/>
          <w:sz w:val="24"/>
        </w:rPr>
        <w:t>指标值）</w:t>
      </w:r>
      <w:r>
        <w:rPr>
          <w:rFonts w:hint="eastAsia"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第七条考核</w:t>
      </w:r>
      <w:r>
        <w:rPr>
          <w:rFonts w:asciiTheme="minorEastAsia" w:hAnsiTheme="minorEastAsia" w:eastAsiaTheme="minorEastAsia"/>
          <w:color w:val="auto"/>
          <w:sz w:val="24"/>
        </w:rPr>
        <w:t>部门通过现场检查、技术监控以及乘客委员会成员和行风监督员检查记录、新闻媒体曝光、群众举报投诉等途径，对公交企业服务质量进行考核。</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考核</w:t>
      </w:r>
      <w:r>
        <w:rPr>
          <w:rFonts w:asciiTheme="minorEastAsia" w:hAnsiTheme="minorEastAsia" w:eastAsiaTheme="minorEastAsia"/>
          <w:color w:val="auto"/>
          <w:sz w:val="24"/>
        </w:rPr>
        <w:t>部门可以组织</w:t>
      </w:r>
      <w:r>
        <w:rPr>
          <w:rFonts w:hint="eastAsia" w:asciiTheme="minorEastAsia" w:hAnsiTheme="minorEastAsia" w:eastAsiaTheme="minorEastAsia"/>
          <w:color w:val="auto"/>
          <w:sz w:val="24"/>
        </w:rPr>
        <w:t>相关</w:t>
      </w:r>
      <w:r>
        <w:rPr>
          <w:rFonts w:asciiTheme="minorEastAsia" w:hAnsiTheme="minorEastAsia" w:eastAsiaTheme="minorEastAsia"/>
          <w:color w:val="auto"/>
          <w:sz w:val="24"/>
        </w:rPr>
        <w:t>单位或者委托中介机构，进行检查、调查、采集数据等工作。</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城市公交</w:t>
      </w:r>
      <w:r>
        <w:rPr>
          <w:rFonts w:asciiTheme="minorEastAsia" w:hAnsiTheme="minorEastAsia" w:eastAsiaTheme="minorEastAsia"/>
          <w:color w:val="auto"/>
          <w:sz w:val="24"/>
        </w:rPr>
        <w:t>企业应当</w:t>
      </w:r>
      <w:r>
        <w:rPr>
          <w:rFonts w:hint="eastAsia" w:asciiTheme="minorEastAsia" w:hAnsiTheme="minorEastAsia" w:eastAsiaTheme="minorEastAsia"/>
          <w:color w:val="auto"/>
          <w:sz w:val="24"/>
        </w:rPr>
        <w:t>积极</w:t>
      </w:r>
      <w:r>
        <w:rPr>
          <w:rFonts w:asciiTheme="minorEastAsia" w:hAnsiTheme="minorEastAsia" w:eastAsiaTheme="minorEastAsia"/>
          <w:color w:val="auto"/>
          <w:sz w:val="24"/>
        </w:rPr>
        <w:t>、主动配合考核工作。</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第八条考核</w:t>
      </w:r>
      <w:r>
        <w:rPr>
          <w:rFonts w:asciiTheme="minorEastAsia" w:hAnsiTheme="minorEastAsia" w:eastAsiaTheme="minorEastAsia"/>
          <w:color w:val="auto"/>
          <w:sz w:val="24"/>
        </w:rPr>
        <w:t>结果实行扣分和加分并用的</w:t>
      </w:r>
      <w:r>
        <w:rPr>
          <w:rFonts w:hint="eastAsia" w:asciiTheme="minorEastAsia" w:hAnsiTheme="minorEastAsia" w:eastAsiaTheme="minorEastAsia"/>
          <w:color w:val="auto"/>
          <w:sz w:val="24"/>
        </w:rPr>
        <w:t>得分</w:t>
      </w:r>
      <w:r>
        <w:rPr>
          <w:rFonts w:asciiTheme="minorEastAsia" w:hAnsiTheme="minorEastAsia" w:eastAsiaTheme="minorEastAsia"/>
          <w:color w:val="auto"/>
          <w:sz w:val="24"/>
        </w:rPr>
        <w:t>制，基本</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为100分（</w:t>
      </w:r>
      <w:r>
        <w:rPr>
          <w:rFonts w:hint="eastAsia" w:asciiTheme="minorEastAsia" w:hAnsiTheme="minorEastAsia" w:eastAsiaTheme="minorEastAsia"/>
          <w:color w:val="auto"/>
          <w:sz w:val="24"/>
        </w:rPr>
        <w:t>其中：</w:t>
      </w:r>
      <w:r>
        <w:rPr>
          <w:rFonts w:asciiTheme="minorEastAsia" w:hAnsiTheme="minorEastAsia" w:eastAsiaTheme="minorEastAsia"/>
          <w:color w:val="auto"/>
          <w:sz w:val="24"/>
        </w:rPr>
        <w:t>固定指标考核结果占90</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季</w:t>
      </w:r>
      <w:r>
        <w:rPr>
          <w:rFonts w:asciiTheme="minorEastAsia" w:hAnsiTheme="minorEastAsia" w:eastAsiaTheme="minorEastAsia"/>
          <w:color w:val="auto"/>
          <w:sz w:val="24"/>
        </w:rPr>
        <w:t>度指标考核结果占10</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固定指标</w:t>
      </w:r>
      <w:r>
        <w:rPr>
          <w:rFonts w:asciiTheme="minorEastAsia" w:hAnsiTheme="minorEastAsia" w:eastAsiaTheme="minorEastAsia"/>
          <w:color w:val="auto"/>
          <w:sz w:val="24"/>
        </w:rPr>
        <w:t>具体考核方法附后。</w:t>
      </w:r>
      <w:r>
        <w:rPr>
          <w:rFonts w:hint="eastAsia" w:asciiTheme="minorEastAsia" w:hAnsiTheme="minorEastAsia" w:eastAsiaTheme="minorEastAsia"/>
          <w:color w:val="auto"/>
          <w:sz w:val="24"/>
        </w:rPr>
        <w:t>季度</w:t>
      </w:r>
      <w:r>
        <w:rPr>
          <w:rFonts w:asciiTheme="minorEastAsia" w:hAnsiTheme="minorEastAsia" w:eastAsiaTheme="minorEastAsia"/>
          <w:color w:val="auto"/>
          <w:sz w:val="24"/>
        </w:rPr>
        <w:t>指标考核办法在</w:t>
      </w:r>
      <w:r>
        <w:rPr>
          <w:rFonts w:hint="eastAsia" w:asciiTheme="minorEastAsia" w:hAnsiTheme="minorEastAsia" w:eastAsiaTheme="minorEastAsia"/>
          <w:color w:val="auto"/>
          <w:sz w:val="24"/>
        </w:rPr>
        <w:t>当季</w:t>
      </w:r>
      <w:r>
        <w:rPr>
          <w:rFonts w:asciiTheme="minorEastAsia" w:hAnsiTheme="minorEastAsia" w:eastAsiaTheme="minorEastAsia"/>
          <w:color w:val="auto"/>
          <w:sz w:val="24"/>
        </w:rPr>
        <w:t>下达指标</w:t>
      </w:r>
      <w:r>
        <w:rPr>
          <w:rFonts w:hint="eastAsia" w:asciiTheme="minorEastAsia" w:hAnsiTheme="minorEastAsia" w:eastAsiaTheme="minorEastAsia"/>
          <w:color w:val="auto"/>
          <w:sz w:val="24"/>
        </w:rPr>
        <w:t>时</w:t>
      </w:r>
      <w:r>
        <w:rPr>
          <w:rFonts w:asciiTheme="minorEastAsia" w:hAnsiTheme="minorEastAsia" w:eastAsiaTheme="minorEastAsia"/>
          <w:color w:val="auto"/>
          <w:sz w:val="24"/>
        </w:rPr>
        <w:t>明确。</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第九条建立</w:t>
      </w:r>
      <w:r>
        <w:rPr>
          <w:rFonts w:asciiTheme="minorEastAsia" w:hAnsiTheme="minorEastAsia" w:eastAsiaTheme="minorEastAsia"/>
          <w:color w:val="auto"/>
          <w:sz w:val="24"/>
        </w:rPr>
        <w:t>城乡公交企业服务质量考核结果复核制度。</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城乡公交</w:t>
      </w:r>
      <w:r>
        <w:rPr>
          <w:rFonts w:asciiTheme="minorEastAsia" w:hAnsiTheme="minorEastAsia" w:eastAsiaTheme="minorEastAsia"/>
          <w:color w:val="auto"/>
          <w:sz w:val="24"/>
        </w:rPr>
        <w:t>企业对</w:t>
      </w:r>
      <w:r>
        <w:rPr>
          <w:rFonts w:hint="eastAsia" w:asciiTheme="minorEastAsia" w:hAnsiTheme="minorEastAsia" w:eastAsiaTheme="minorEastAsia"/>
          <w:color w:val="auto"/>
          <w:sz w:val="24"/>
        </w:rPr>
        <w:t>季</w:t>
      </w:r>
      <w:r>
        <w:rPr>
          <w:rFonts w:asciiTheme="minorEastAsia" w:hAnsiTheme="minorEastAsia" w:eastAsiaTheme="minorEastAsia"/>
          <w:color w:val="auto"/>
          <w:sz w:val="24"/>
        </w:rPr>
        <w:t>度考核结果有异议的，可以自收到考核结果后的5个工作日内向市交通</w:t>
      </w:r>
      <w:r>
        <w:rPr>
          <w:rFonts w:hint="eastAsia" w:asciiTheme="minorEastAsia" w:hAnsiTheme="minorEastAsia" w:eastAsiaTheme="minorEastAsia"/>
          <w:color w:val="auto"/>
          <w:sz w:val="24"/>
        </w:rPr>
        <w:t>管理总站提出</w:t>
      </w:r>
      <w:r>
        <w:rPr>
          <w:rFonts w:asciiTheme="minorEastAsia" w:hAnsiTheme="minorEastAsia" w:eastAsiaTheme="minorEastAsia"/>
          <w:color w:val="auto"/>
          <w:sz w:val="24"/>
        </w:rPr>
        <w:t>书面复核申请，</w:t>
      </w:r>
      <w:r>
        <w:rPr>
          <w:rFonts w:hint="eastAsia" w:asciiTheme="minorEastAsia" w:hAnsiTheme="minorEastAsia" w:eastAsiaTheme="minorEastAsia"/>
          <w:color w:val="auto"/>
          <w:sz w:val="24"/>
        </w:rPr>
        <w:t>逾期</w:t>
      </w:r>
      <w:r>
        <w:rPr>
          <w:rFonts w:asciiTheme="minorEastAsia" w:hAnsiTheme="minorEastAsia" w:eastAsiaTheme="minorEastAsia"/>
          <w:color w:val="auto"/>
          <w:sz w:val="24"/>
        </w:rPr>
        <w:t>未提出书面申请的，视为无</w:t>
      </w:r>
      <w:r>
        <w:rPr>
          <w:rFonts w:hint="eastAsia" w:asciiTheme="minorEastAsia" w:hAnsiTheme="minorEastAsia" w:eastAsiaTheme="minorEastAsia"/>
          <w:color w:val="auto"/>
          <w:sz w:val="24"/>
        </w:rPr>
        <w:t>异议</w:t>
      </w:r>
      <w:r>
        <w:rPr>
          <w:rFonts w:asciiTheme="minorEastAsia" w:hAnsiTheme="minorEastAsia" w:eastAsiaTheme="minorEastAsia"/>
          <w:color w:val="auto"/>
          <w:sz w:val="24"/>
        </w:rPr>
        <w:t>。市交通</w:t>
      </w:r>
      <w:r>
        <w:rPr>
          <w:rFonts w:hint="eastAsia" w:asciiTheme="minorEastAsia" w:hAnsiTheme="minorEastAsia" w:eastAsiaTheme="minorEastAsia"/>
          <w:color w:val="auto"/>
          <w:sz w:val="24"/>
        </w:rPr>
        <w:t>管理总站</w:t>
      </w:r>
      <w:r>
        <w:rPr>
          <w:rFonts w:asciiTheme="minorEastAsia" w:hAnsiTheme="minorEastAsia" w:eastAsiaTheme="minorEastAsia"/>
          <w:color w:val="auto"/>
          <w:sz w:val="24"/>
        </w:rPr>
        <w:t>收到复核申请后，应当在5个工作日内完成复核并将复核意见反馈相关</w:t>
      </w:r>
      <w:r>
        <w:rPr>
          <w:rFonts w:hint="eastAsia" w:asciiTheme="minorEastAsia" w:hAnsiTheme="minorEastAsia" w:eastAsiaTheme="minorEastAsia"/>
          <w:color w:val="auto"/>
          <w:sz w:val="24"/>
        </w:rPr>
        <w:t>公交</w:t>
      </w:r>
      <w:r>
        <w:rPr>
          <w:rFonts w:asciiTheme="minorEastAsia" w:hAnsiTheme="minorEastAsia" w:eastAsiaTheme="minorEastAsia"/>
          <w:color w:val="auto"/>
          <w:sz w:val="24"/>
        </w:rPr>
        <w:t>企业。</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城乡公交</w:t>
      </w:r>
      <w:r>
        <w:rPr>
          <w:rFonts w:asciiTheme="minorEastAsia" w:hAnsiTheme="minorEastAsia" w:eastAsiaTheme="minorEastAsia"/>
          <w:color w:val="auto"/>
          <w:sz w:val="24"/>
        </w:rPr>
        <w:t>企业对复核意见仍有异议的，可以自收到复核意见后的5个工作日内，向市交通运输局提出书面申诉，</w:t>
      </w:r>
      <w:r>
        <w:rPr>
          <w:rFonts w:hint="eastAsia" w:asciiTheme="minorEastAsia" w:hAnsiTheme="minorEastAsia" w:eastAsiaTheme="minorEastAsia"/>
          <w:color w:val="auto"/>
          <w:sz w:val="24"/>
        </w:rPr>
        <w:t>逾期未</w:t>
      </w:r>
      <w:r>
        <w:rPr>
          <w:rFonts w:asciiTheme="minorEastAsia" w:hAnsiTheme="minorEastAsia" w:eastAsiaTheme="minorEastAsia"/>
          <w:color w:val="auto"/>
          <w:sz w:val="24"/>
        </w:rPr>
        <w:t>提出书面申诉的，</w:t>
      </w:r>
      <w:r>
        <w:rPr>
          <w:rFonts w:hint="eastAsia" w:asciiTheme="minorEastAsia" w:hAnsiTheme="minorEastAsia" w:eastAsiaTheme="minorEastAsia"/>
          <w:color w:val="auto"/>
          <w:sz w:val="24"/>
        </w:rPr>
        <w:t>视为</w:t>
      </w:r>
      <w:r>
        <w:rPr>
          <w:rFonts w:asciiTheme="minorEastAsia" w:hAnsiTheme="minorEastAsia" w:eastAsiaTheme="minorEastAsia"/>
          <w:color w:val="auto"/>
          <w:sz w:val="24"/>
        </w:rPr>
        <w:t>接受</w:t>
      </w:r>
      <w:r>
        <w:rPr>
          <w:rFonts w:hint="eastAsia" w:asciiTheme="minorEastAsia" w:hAnsiTheme="minorEastAsia" w:eastAsiaTheme="minorEastAsia"/>
          <w:color w:val="auto"/>
          <w:sz w:val="24"/>
        </w:rPr>
        <w:t>复核</w:t>
      </w:r>
      <w:r>
        <w:rPr>
          <w:rFonts w:asciiTheme="minorEastAsia" w:hAnsiTheme="minorEastAsia" w:eastAsiaTheme="minorEastAsia"/>
          <w:color w:val="auto"/>
          <w:sz w:val="24"/>
        </w:rPr>
        <w:t>意见。市</w:t>
      </w:r>
      <w:r>
        <w:rPr>
          <w:rFonts w:hint="eastAsia" w:asciiTheme="minorEastAsia" w:hAnsiTheme="minorEastAsia" w:eastAsiaTheme="minorEastAsia"/>
          <w:color w:val="auto"/>
          <w:sz w:val="24"/>
        </w:rPr>
        <w:t>交通运输局</w:t>
      </w:r>
      <w:r>
        <w:rPr>
          <w:rFonts w:asciiTheme="minorEastAsia" w:hAnsiTheme="minorEastAsia" w:eastAsiaTheme="minorEastAsia"/>
          <w:color w:val="auto"/>
          <w:sz w:val="24"/>
        </w:rPr>
        <w:t>收到申诉后，应在10</w:t>
      </w:r>
      <w:r>
        <w:rPr>
          <w:rFonts w:hint="eastAsia" w:asciiTheme="minorEastAsia" w:hAnsiTheme="minorEastAsia" w:eastAsiaTheme="minorEastAsia"/>
          <w:color w:val="auto"/>
          <w:sz w:val="24"/>
        </w:rPr>
        <w:t>个</w:t>
      </w:r>
      <w:r>
        <w:rPr>
          <w:rFonts w:asciiTheme="minorEastAsia" w:hAnsiTheme="minorEastAsia" w:eastAsiaTheme="minorEastAsia"/>
          <w:color w:val="auto"/>
          <w:sz w:val="24"/>
        </w:rPr>
        <w:t>工作日内完成裁定并将裁定决定反馈相关</w:t>
      </w:r>
      <w:r>
        <w:rPr>
          <w:rFonts w:hint="eastAsia" w:asciiTheme="minorEastAsia" w:hAnsiTheme="minorEastAsia" w:eastAsiaTheme="minorEastAsia"/>
          <w:color w:val="auto"/>
          <w:sz w:val="24"/>
        </w:rPr>
        <w:t>公交</w:t>
      </w:r>
      <w:r>
        <w:rPr>
          <w:rFonts w:asciiTheme="minorEastAsia" w:hAnsiTheme="minorEastAsia" w:eastAsiaTheme="minorEastAsia"/>
          <w:color w:val="auto"/>
          <w:sz w:val="24"/>
        </w:rPr>
        <w:t>企业。考核</w:t>
      </w:r>
      <w:r>
        <w:rPr>
          <w:rFonts w:hint="eastAsia" w:asciiTheme="minorEastAsia" w:hAnsiTheme="minorEastAsia" w:eastAsiaTheme="minorEastAsia"/>
          <w:color w:val="auto"/>
          <w:sz w:val="24"/>
        </w:rPr>
        <w:t>主管部门</w:t>
      </w:r>
      <w:r>
        <w:rPr>
          <w:rFonts w:asciiTheme="minorEastAsia" w:hAnsiTheme="minorEastAsia" w:eastAsiaTheme="minorEastAsia"/>
          <w:color w:val="auto"/>
          <w:sz w:val="24"/>
        </w:rPr>
        <w:t>的裁定决定为最终结果。</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第十条建立城乡公交</w:t>
      </w:r>
      <w:r>
        <w:rPr>
          <w:rFonts w:asciiTheme="minorEastAsia" w:hAnsiTheme="minorEastAsia" w:eastAsiaTheme="minorEastAsia"/>
          <w:color w:val="auto"/>
          <w:sz w:val="24"/>
        </w:rPr>
        <w:t>企业服务质量考核结果与城乡公交企业</w:t>
      </w:r>
      <w:r>
        <w:rPr>
          <w:rFonts w:hint="eastAsia" w:asciiTheme="minorEastAsia" w:hAnsiTheme="minorEastAsia" w:eastAsiaTheme="minorEastAsia"/>
          <w:color w:val="auto"/>
          <w:sz w:val="24"/>
        </w:rPr>
        <w:t>应得</w:t>
      </w:r>
      <w:r>
        <w:rPr>
          <w:rFonts w:asciiTheme="minorEastAsia" w:hAnsiTheme="minorEastAsia" w:eastAsiaTheme="minorEastAsia"/>
          <w:color w:val="auto"/>
          <w:sz w:val="24"/>
        </w:rPr>
        <w:t>财政综合补贴资金额关联机制。</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企业年度</w:t>
      </w:r>
      <w:r>
        <w:rPr>
          <w:rFonts w:asciiTheme="minorEastAsia" w:hAnsiTheme="minorEastAsia" w:eastAsiaTheme="minorEastAsia"/>
          <w:color w:val="auto"/>
          <w:sz w:val="24"/>
        </w:rPr>
        <w:t>应补贴资金=</w:t>
      </w:r>
      <w:r>
        <w:rPr>
          <w:rFonts w:hint="eastAsia" w:asciiTheme="minorEastAsia" w:hAnsiTheme="minorEastAsia" w:eastAsiaTheme="minorEastAsia"/>
          <w:color w:val="auto"/>
          <w:sz w:val="24"/>
        </w:rPr>
        <w:t>企业各季度</w:t>
      </w:r>
      <w:r>
        <w:rPr>
          <w:rFonts w:asciiTheme="minorEastAsia" w:hAnsiTheme="minorEastAsia" w:eastAsiaTheme="minorEastAsia"/>
          <w:color w:val="auto"/>
          <w:sz w:val="24"/>
        </w:rPr>
        <w:t>应补贴资金总额+年度超额收入回报</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企业各季度</w:t>
      </w:r>
      <w:r>
        <w:rPr>
          <w:rFonts w:asciiTheme="minorEastAsia" w:hAnsiTheme="minorEastAsia" w:eastAsiaTheme="minorEastAsia"/>
          <w:color w:val="auto"/>
          <w:sz w:val="24"/>
        </w:rPr>
        <w:t>应补贴资金=</w:t>
      </w:r>
      <w:r>
        <w:rPr>
          <w:rFonts w:hint="eastAsia" w:asciiTheme="minorEastAsia" w:hAnsiTheme="minorEastAsia" w:eastAsiaTheme="minorEastAsia"/>
          <w:color w:val="auto"/>
          <w:sz w:val="24"/>
        </w:rPr>
        <w:t>（当年度项目资本金回报</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当</w:t>
      </w:r>
      <w:r>
        <w:rPr>
          <w:rFonts w:asciiTheme="minorEastAsia" w:hAnsiTheme="minorEastAsia" w:eastAsiaTheme="minorEastAsia"/>
          <w:color w:val="auto"/>
          <w:sz w:val="24"/>
        </w:rPr>
        <w:t>年度融资成本回报+</w:t>
      </w:r>
      <w:r>
        <w:rPr>
          <w:rFonts w:hint="eastAsia" w:asciiTheme="minorEastAsia" w:hAnsiTheme="minorEastAsia" w:eastAsiaTheme="minorEastAsia"/>
          <w:color w:val="auto"/>
          <w:sz w:val="24"/>
        </w:rPr>
        <w:t>当</w:t>
      </w:r>
      <w:r>
        <w:rPr>
          <w:rFonts w:asciiTheme="minorEastAsia" w:hAnsiTheme="minorEastAsia" w:eastAsiaTheme="minorEastAsia"/>
          <w:color w:val="auto"/>
          <w:sz w:val="24"/>
        </w:rPr>
        <w:t>年度运营补助）÷4×当季度考核后的支付比例</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企业年度超额</w:t>
      </w:r>
      <w:r>
        <w:rPr>
          <w:rFonts w:asciiTheme="minorEastAsia" w:hAnsiTheme="minorEastAsia" w:eastAsiaTheme="minorEastAsia"/>
          <w:color w:val="auto"/>
          <w:sz w:val="24"/>
        </w:rPr>
        <w:t>收入回报=</w:t>
      </w:r>
      <w:r>
        <w:rPr>
          <w:rFonts w:hint="eastAsia" w:asciiTheme="minorEastAsia" w:hAnsiTheme="minorEastAsia" w:eastAsiaTheme="minorEastAsia"/>
          <w:color w:val="auto"/>
          <w:sz w:val="24"/>
        </w:rPr>
        <w:t>当</w:t>
      </w:r>
      <w:r>
        <w:rPr>
          <w:rFonts w:asciiTheme="minorEastAsia" w:hAnsiTheme="minorEastAsia" w:eastAsiaTheme="minorEastAsia"/>
          <w:color w:val="auto"/>
          <w:sz w:val="24"/>
        </w:rPr>
        <w:t>年度超额完成的</w:t>
      </w:r>
      <w:r>
        <w:rPr>
          <w:rFonts w:hint="eastAsia" w:asciiTheme="minorEastAsia" w:hAnsiTheme="minorEastAsia" w:eastAsiaTheme="minorEastAsia"/>
          <w:color w:val="auto"/>
          <w:sz w:val="24"/>
        </w:rPr>
        <w:t>收入×</w:t>
      </w:r>
      <w:r>
        <w:rPr>
          <w:rFonts w:asciiTheme="minorEastAsia" w:hAnsiTheme="minorEastAsia" w:eastAsiaTheme="minorEastAsia"/>
          <w:color w:val="auto"/>
          <w:sz w:val="24"/>
        </w:rPr>
        <w:t>10%</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各季度</w:t>
      </w:r>
      <w:r>
        <w:rPr>
          <w:rFonts w:asciiTheme="minorEastAsia" w:hAnsiTheme="minorEastAsia" w:eastAsiaTheme="minorEastAsia"/>
          <w:color w:val="auto"/>
          <w:sz w:val="24"/>
        </w:rPr>
        <w:t>考核后的支付比例由</w:t>
      </w:r>
      <w:r>
        <w:rPr>
          <w:rFonts w:hint="eastAsia" w:asciiTheme="minorEastAsia" w:hAnsiTheme="minorEastAsia" w:eastAsiaTheme="minorEastAsia"/>
          <w:color w:val="auto"/>
          <w:sz w:val="24"/>
        </w:rPr>
        <w:t>各</w:t>
      </w:r>
      <w:r>
        <w:rPr>
          <w:rFonts w:asciiTheme="minorEastAsia" w:hAnsiTheme="minorEastAsia" w:eastAsiaTheme="minorEastAsia"/>
          <w:color w:val="auto"/>
          <w:sz w:val="24"/>
        </w:rPr>
        <w:t>季度考核</w:t>
      </w:r>
      <w:r>
        <w:rPr>
          <w:rFonts w:hint="eastAsia" w:asciiTheme="minorEastAsia" w:hAnsiTheme="minorEastAsia" w:eastAsiaTheme="minorEastAsia"/>
          <w:color w:val="auto"/>
          <w:sz w:val="24"/>
        </w:rPr>
        <w:t>分值</w:t>
      </w:r>
      <w:r>
        <w:rPr>
          <w:rFonts w:asciiTheme="minorEastAsia" w:hAnsiTheme="minorEastAsia" w:eastAsiaTheme="minorEastAsia"/>
          <w:color w:val="auto"/>
          <w:sz w:val="24"/>
        </w:rPr>
        <w:t>确定：</w:t>
      </w:r>
      <w:r>
        <w:rPr>
          <w:rFonts w:hint="eastAsia" w:asciiTheme="minorEastAsia" w:hAnsiTheme="minorEastAsia" w:eastAsiaTheme="minorEastAsia"/>
          <w:color w:val="auto"/>
          <w:sz w:val="24"/>
        </w:rPr>
        <w:t>公交企业</w:t>
      </w:r>
      <w:r>
        <w:rPr>
          <w:rFonts w:asciiTheme="minorEastAsia" w:hAnsiTheme="minorEastAsia" w:eastAsiaTheme="minorEastAsia"/>
          <w:color w:val="auto"/>
          <w:sz w:val="24"/>
        </w:rPr>
        <w:t>考核结果</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95</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的，</w:t>
      </w:r>
      <w:r>
        <w:rPr>
          <w:rFonts w:hint="eastAsia" w:asciiTheme="minorEastAsia" w:hAnsiTheme="minorEastAsia" w:eastAsiaTheme="minorEastAsia"/>
          <w:color w:val="auto"/>
          <w:sz w:val="24"/>
        </w:rPr>
        <w:t>给予</w:t>
      </w:r>
      <w:r>
        <w:rPr>
          <w:rFonts w:asciiTheme="minorEastAsia" w:hAnsiTheme="minorEastAsia" w:eastAsiaTheme="minorEastAsia"/>
          <w:color w:val="auto"/>
          <w:sz w:val="24"/>
        </w:rPr>
        <w:t>其</w:t>
      </w:r>
      <w:r>
        <w:rPr>
          <w:rFonts w:hint="eastAsia" w:asciiTheme="minorEastAsia" w:hAnsiTheme="minorEastAsia" w:eastAsiaTheme="minorEastAsia"/>
          <w:color w:val="auto"/>
          <w:sz w:val="24"/>
        </w:rPr>
        <w:t>当季度</w:t>
      </w:r>
      <w:r>
        <w:rPr>
          <w:rFonts w:asciiTheme="minorEastAsia" w:hAnsiTheme="minorEastAsia" w:eastAsiaTheme="minorEastAsia"/>
          <w:color w:val="auto"/>
          <w:sz w:val="24"/>
        </w:rPr>
        <w:t>应补贴</w:t>
      </w:r>
      <w:r>
        <w:rPr>
          <w:rFonts w:hint="eastAsia" w:asciiTheme="minorEastAsia" w:hAnsiTheme="minorEastAsia" w:eastAsiaTheme="minorEastAsia"/>
          <w:color w:val="auto"/>
          <w:sz w:val="24"/>
        </w:rPr>
        <w:t>资金</w:t>
      </w:r>
      <w:r>
        <w:rPr>
          <w:rFonts w:asciiTheme="minorEastAsia" w:hAnsiTheme="minorEastAsia" w:eastAsiaTheme="minorEastAsia"/>
          <w:color w:val="auto"/>
          <w:sz w:val="24"/>
        </w:rPr>
        <w:t>额的100%；90</w:t>
      </w:r>
      <w:r>
        <w:rPr>
          <w:rFonts w:hint="eastAsia" w:asciiTheme="minorEastAsia" w:hAnsiTheme="minorEastAsia" w:eastAsiaTheme="minorEastAsia"/>
          <w:color w:val="auto"/>
          <w:sz w:val="24"/>
        </w:rPr>
        <w:t>≤考核结果</w:t>
      </w:r>
      <w:r>
        <w:rPr>
          <w:rFonts w:asciiTheme="minorEastAsia" w:hAnsiTheme="minorEastAsia" w:eastAsiaTheme="minorEastAsia"/>
          <w:color w:val="auto"/>
          <w:sz w:val="24"/>
        </w:rPr>
        <w:t>&lt;95</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的,给予其</w:t>
      </w:r>
      <w:r>
        <w:rPr>
          <w:rFonts w:hint="eastAsia" w:asciiTheme="minorEastAsia" w:hAnsiTheme="minorEastAsia" w:eastAsiaTheme="minorEastAsia"/>
          <w:color w:val="auto"/>
          <w:sz w:val="24"/>
        </w:rPr>
        <w:t>当季度</w:t>
      </w:r>
      <w:r>
        <w:rPr>
          <w:rFonts w:asciiTheme="minorEastAsia" w:hAnsiTheme="minorEastAsia" w:eastAsiaTheme="minorEastAsia"/>
          <w:color w:val="auto"/>
          <w:sz w:val="24"/>
        </w:rPr>
        <w:t>应补贴资金额的95%；85</w:t>
      </w:r>
      <w:r>
        <w:rPr>
          <w:rFonts w:hint="eastAsia" w:asciiTheme="minorEastAsia" w:hAnsiTheme="minorEastAsia" w:eastAsiaTheme="minorEastAsia"/>
          <w:color w:val="auto"/>
          <w:sz w:val="24"/>
        </w:rPr>
        <w:t>≤考核结果</w:t>
      </w:r>
      <w:r>
        <w:rPr>
          <w:rFonts w:asciiTheme="minorEastAsia" w:hAnsiTheme="minorEastAsia" w:eastAsiaTheme="minorEastAsia"/>
          <w:color w:val="auto"/>
          <w:sz w:val="24"/>
        </w:rPr>
        <w:t>&lt;90</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的</w:t>
      </w:r>
      <w:r>
        <w:rPr>
          <w:rFonts w:hint="eastAsia" w:asciiTheme="minorEastAsia" w:hAnsiTheme="minorEastAsia" w:eastAsiaTheme="minorEastAsia"/>
          <w:color w:val="auto"/>
          <w:sz w:val="24"/>
        </w:rPr>
        <w:t>，给予</w:t>
      </w:r>
      <w:r>
        <w:rPr>
          <w:rFonts w:asciiTheme="minorEastAsia" w:hAnsiTheme="minorEastAsia" w:eastAsiaTheme="minorEastAsia"/>
          <w:color w:val="auto"/>
          <w:sz w:val="24"/>
        </w:rPr>
        <w:t>其</w:t>
      </w:r>
      <w:r>
        <w:rPr>
          <w:rFonts w:hint="eastAsia" w:asciiTheme="minorEastAsia" w:hAnsiTheme="minorEastAsia" w:eastAsiaTheme="minorEastAsia"/>
          <w:color w:val="auto"/>
          <w:sz w:val="24"/>
        </w:rPr>
        <w:t>当季度</w:t>
      </w:r>
      <w:r>
        <w:rPr>
          <w:rFonts w:asciiTheme="minorEastAsia" w:hAnsiTheme="minorEastAsia" w:eastAsiaTheme="minorEastAsia"/>
          <w:color w:val="auto"/>
          <w:sz w:val="24"/>
        </w:rPr>
        <w:t>应补贴资金额的90%；80</w:t>
      </w:r>
      <w:r>
        <w:rPr>
          <w:rFonts w:hint="eastAsia" w:asciiTheme="minorEastAsia" w:hAnsiTheme="minorEastAsia" w:eastAsiaTheme="minorEastAsia"/>
          <w:color w:val="auto"/>
          <w:sz w:val="24"/>
        </w:rPr>
        <w:t>≤考核结果</w:t>
      </w:r>
      <w:r>
        <w:rPr>
          <w:rFonts w:asciiTheme="minorEastAsia" w:hAnsiTheme="minorEastAsia" w:eastAsiaTheme="minorEastAsia"/>
          <w:color w:val="auto"/>
          <w:sz w:val="24"/>
        </w:rPr>
        <w:t>&lt;85</w:t>
      </w:r>
      <w:r>
        <w:rPr>
          <w:rFonts w:hint="eastAsia" w:asciiTheme="minorEastAsia" w:hAnsiTheme="minorEastAsia" w:eastAsiaTheme="minorEastAsia"/>
          <w:color w:val="auto"/>
          <w:sz w:val="24"/>
        </w:rPr>
        <w:t>分</w:t>
      </w:r>
      <w:r>
        <w:rPr>
          <w:rFonts w:asciiTheme="minorEastAsia" w:hAnsiTheme="minorEastAsia" w:eastAsiaTheme="minorEastAsia"/>
          <w:color w:val="auto"/>
          <w:sz w:val="24"/>
        </w:rPr>
        <w:t>的,给予其</w:t>
      </w:r>
      <w:r>
        <w:rPr>
          <w:rFonts w:hint="eastAsia" w:asciiTheme="minorEastAsia" w:hAnsiTheme="minorEastAsia" w:eastAsiaTheme="minorEastAsia"/>
          <w:color w:val="auto"/>
          <w:sz w:val="24"/>
        </w:rPr>
        <w:t>当季度</w:t>
      </w:r>
      <w:r>
        <w:rPr>
          <w:rFonts w:asciiTheme="minorEastAsia" w:hAnsiTheme="minorEastAsia" w:eastAsiaTheme="minorEastAsia"/>
          <w:color w:val="auto"/>
          <w:sz w:val="24"/>
        </w:rPr>
        <w:t>应补贴资金额的85%</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并由考核主管部门向其上级管理部门发出给予</w:t>
      </w:r>
      <w:r>
        <w:rPr>
          <w:rFonts w:hint="eastAsia" w:asciiTheme="minorEastAsia" w:hAnsiTheme="minorEastAsia" w:eastAsiaTheme="minorEastAsia"/>
          <w:color w:val="auto"/>
          <w:sz w:val="24"/>
        </w:rPr>
        <w:t>城乡公交</w:t>
      </w:r>
      <w:r>
        <w:rPr>
          <w:rFonts w:asciiTheme="minorEastAsia" w:hAnsiTheme="minorEastAsia" w:eastAsiaTheme="minorEastAsia"/>
          <w:color w:val="auto"/>
          <w:sz w:val="24"/>
        </w:rPr>
        <w:t>企业主要负责人诫勉谈话的建议书</w:t>
      </w:r>
      <w:r>
        <w:rPr>
          <w:rFonts w:hint="eastAsia" w:asciiTheme="minorEastAsia" w:hAnsiTheme="minorEastAsia" w:eastAsiaTheme="minorEastAsia"/>
          <w:color w:val="auto"/>
          <w:sz w:val="24"/>
        </w:rPr>
        <w:t>；考核</w:t>
      </w:r>
      <w:r>
        <w:rPr>
          <w:rFonts w:asciiTheme="minorEastAsia" w:hAnsiTheme="minorEastAsia" w:eastAsiaTheme="minorEastAsia"/>
          <w:color w:val="auto"/>
          <w:sz w:val="24"/>
        </w:rPr>
        <w:t>结果&lt;80分的，考核主管部门有权</w:t>
      </w:r>
      <w:r>
        <w:rPr>
          <w:rFonts w:hint="eastAsia" w:asciiTheme="minorEastAsia" w:hAnsiTheme="minorEastAsia" w:eastAsiaTheme="minorEastAsia"/>
          <w:color w:val="auto"/>
          <w:sz w:val="24"/>
        </w:rPr>
        <w:t>扣除当季度</w:t>
      </w:r>
      <w:r>
        <w:rPr>
          <w:rFonts w:asciiTheme="minorEastAsia" w:hAnsiTheme="minorEastAsia" w:eastAsiaTheme="minorEastAsia"/>
          <w:color w:val="auto"/>
          <w:sz w:val="24"/>
        </w:rPr>
        <w:t>应补贴资金发放，</w:t>
      </w:r>
      <w:r>
        <w:rPr>
          <w:rFonts w:hint="eastAsia" w:asciiTheme="minorEastAsia" w:hAnsiTheme="minorEastAsia" w:eastAsiaTheme="minorEastAsia"/>
          <w:color w:val="auto"/>
          <w:sz w:val="24"/>
        </w:rPr>
        <w:t>城乡公交企业出现</w:t>
      </w:r>
      <w:r>
        <w:rPr>
          <w:rFonts w:asciiTheme="minorEastAsia" w:hAnsiTheme="minorEastAsia" w:eastAsiaTheme="minorEastAsia"/>
          <w:color w:val="auto"/>
          <w:sz w:val="24"/>
        </w:rPr>
        <w:t>严重违约行为或造成重大社会影响的，</w:t>
      </w:r>
      <w:r>
        <w:rPr>
          <w:rFonts w:hint="eastAsia" w:asciiTheme="minorEastAsia" w:hAnsiTheme="minorEastAsia" w:eastAsiaTheme="minorEastAsia"/>
          <w:color w:val="auto"/>
          <w:sz w:val="24"/>
        </w:rPr>
        <w:t>考核主管部门</w:t>
      </w:r>
      <w:r>
        <w:rPr>
          <w:rFonts w:asciiTheme="minorEastAsia" w:hAnsiTheme="minorEastAsia" w:eastAsiaTheme="minorEastAsia"/>
          <w:color w:val="auto"/>
          <w:sz w:val="24"/>
        </w:rPr>
        <w:t>还可</w:t>
      </w:r>
      <w:r>
        <w:rPr>
          <w:rFonts w:hint="eastAsia" w:asciiTheme="minorEastAsia" w:hAnsiTheme="minorEastAsia" w:eastAsiaTheme="minorEastAsia"/>
          <w:color w:val="auto"/>
          <w:sz w:val="24"/>
        </w:rPr>
        <w:t>视情况</w:t>
      </w:r>
      <w:r>
        <w:rPr>
          <w:rFonts w:asciiTheme="minorEastAsia" w:hAnsiTheme="minorEastAsia" w:eastAsiaTheme="minorEastAsia"/>
          <w:color w:val="auto"/>
          <w:sz w:val="24"/>
        </w:rPr>
        <w:t>提取</w:t>
      </w:r>
      <w:r>
        <w:rPr>
          <w:rFonts w:hint="eastAsia" w:asciiTheme="minorEastAsia" w:hAnsiTheme="minorEastAsia" w:eastAsiaTheme="minorEastAsia"/>
          <w:color w:val="auto"/>
          <w:sz w:val="24"/>
        </w:rPr>
        <w:t>运营期</w:t>
      </w:r>
      <w:r>
        <w:rPr>
          <w:rFonts w:asciiTheme="minorEastAsia" w:hAnsiTheme="minorEastAsia" w:eastAsiaTheme="minorEastAsia"/>
          <w:color w:val="auto"/>
          <w:sz w:val="24"/>
        </w:rPr>
        <w:t>履约</w:t>
      </w:r>
      <w:r>
        <w:rPr>
          <w:rFonts w:hint="eastAsia" w:asciiTheme="minorEastAsia" w:hAnsiTheme="minorEastAsia" w:eastAsiaTheme="minorEastAsia"/>
          <w:color w:val="auto"/>
          <w:sz w:val="24"/>
        </w:rPr>
        <w:t>保证金</w:t>
      </w:r>
      <w:r>
        <w:rPr>
          <w:rFonts w:asciiTheme="minorEastAsia" w:hAnsiTheme="minorEastAsia" w:eastAsiaTheme="minorEastAsia"/>
          <w:color w:val="auto"/>
          <w:sz w:val="24"/>
        </w:rPr>
        <w:t>。</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企业年度超额</w:t>
      </w:r>
      <w:r>
        <w:rPr>
          <w:rFonts w:asciiTheme="minorEastAsia" w:hAnsiTheme="minorEastAsia" w:eastAsiaTheme="minorEastAsia"/>
          <w:color w:val="auto"/>
          <w:sz w:val="24"/>
        </w:rPr>
        <w:t>收入回报</w:t>
      </w:r>
      <w:r>
        <w:rPr>
          <w:rFonts w:hint="eastAsia" w:asciiTheme="minorEastAsia" w:hAnsiTheme="minorEastAsia" w:eastAsiaTheme="minorEastAsia"/>
          <w:color w:val="auto"/>
          <w:sz w:val="24"/>
        </w:rPr>
        <w:t>需满足</w:t>
      </w:r>
      <w:r>
        <w:rPr>
          <w:rFonts w:asciiTheme="minorEastAsia" w:hAnsiTheme="minorEastAsia" w:eastAsiaTheme="minorEastAsia"/>
          <w:color w:val="auto"/>
          <w:sz w:val="24"/>
        </w:rPr>
        <w:t>服务质量考核最低标准，在</w:t>
      </w:r>
      <w:r>
        <w:rPr>
          <w:rFonts w:hint="eastAsia" w:asciiTheme="minorEastAsia" w:hAnsiTheme="minorEastAsia" w:eastAsiaTheme="minorEastAsia"/>
          <w:color w:val="auto"/>
          <w:sz w:val="24"/>
        </w:rPr>
        <w:t>各季度</w:t>
      </w:r>
      <w:r>
        <w:rPr>
          <w:rFonts w:asciiTheme="minorEastAsia" w:hAnsiTheme="minorEastAsia" w:eastAsiaTheme="minorEastAsia"/>
          <w:color w:val="auto"/>
          <w:sz w:val="24"/>
        </w:rPr>
        <w:t>考核</w:t>
      </w:r>
      <w:r>
        <w:rPr>
          <w:rFonts w:hint="eastAsia" w:asciiTheme="minorEastAsia" w:hAnsiTheme="minorEastAsia" w:eastAsiaTheme="minorEastAsia"/>
          <w:color w:val="auto"/>
          <w:sz w:val="24"/>
        </w:rPr>
        <w:t>平均分</w:t>
      </w:r>
      <w:r>
        <w:rPr>
          <w:rFonts w:asciiTheme="minorEastAsia" w:hAnsiTheme="minorEastAsia" w:eastAsiaTheme="minorEastAsia"/>
          <w:color w:val="auto"/>
          <w:sz w:val="24"/>
        </w:rPr>
        <w:t>达到</w:t>
      </w:r>
      <w:r>
        <w:rPr>
          <w:rFonts w:hint="eastAsia" w:asciiTheme="minorEastAsia" w:hAnsiTheme="minorEastAsia" w:eastAsiaTheme="minorEastAsia"/>
          <w:color w:val="auto"/>
          <w:sz w:val="24"/>
        </w:rPr>
        <w:t>“合格”</w:t>
      </w:r>
      <w:r>
        <w:rPr>
          <w:rFonts w:asciiTheme="minorEastAsia" w:hAnsiTheme="minorEastAsia" w:eastAsiaTheme="minorEastAsia"/>
          <w:color w:val="auto"/>
          <w:sz w:val="24"/>
        </w:rPr>
        <w:t>及以上水平才予以拨付。</w:t>
      </w:r>
    </w:p>
    <w:tbl>
      <w:tblPr>
        <w:tblStyle w:val="23"/>
        <w:tblW w:w="8347"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3261"/>
        <w:gridCol w:w="225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2830"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季度考核</w:t>
            </w:r>
            <w:r>
              <w:rPr>
                <w:rFonts w:cs="仿宋_GB2312" w:asciiTheme="minorEastAsia" w:hAnsiTheme="minorEastAsia" w:eastAsiaTheme="minorEastAsia"/>
                <w:color w:val="auto"/>
                <w:kern w:val="0"/>
                <w:sz w:val="24"/>
              </w:rPr>
              <w:t>得分</w:t>
            </w:r>
          </w:p>
        </w:tc>
        <w:tc>
          <w:tcPr>
            <w:tcW w:w="3261" w:type="dxa"/>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考核结果</w:t>
            </w:r>
          </w:p>
        </w:tc>
        <w:tc>
          <w:tcPr>
            <w:tcW w:w="2256"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季度总支付比例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2830"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大于</w:t>
            </w:r>
            <w:r>
              <w:rPr>
                <w:rFonts w:cs="仿宋_GB2312" w:asciiTheme="minorEastAsia" w:hAnsiTheme="minorEastAsia" w:eastAsiaTheme="minorEastAsia"/>
                <w:color w:val="auto"/>
                <w:kern w:val="0"/>
                <w:sz w:val="24"/>
              </w:rPr>
              <w:t>95</w:t>
            </w:r>
            <w:r>
              <w:rPr>
                <w:rFonts w:hint="eastAsia" w:cs="仿宋_GB2312" w:asciiTheme="minorEastAsia" w:hAnsiTheme="minorEastAsia" w:eastAsiaTheme="minorEastAsia"/>
                <w:color w:val="auto"/>
                <w:kern w:val="0"/>
                <w:sz w:val="24"/>
              </w:rPr>
              <w:t>分（含）</w:t>
            </w:r>
          </w:p>
        </w:tc>
        <w:tc>
          <w:tcPr>
            <w:tcW w:w="3261" w:type="dxa"/>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优秀</w:t>
            </w:r>
          </w:p>
        </w:tc>
        <w:tc>
          <w:tcPr>
            <w:tcW w:w="2256"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cs="仿宋_GB2312" w:asciiTheme="minorEastAsia" w:hAnsiTheme="minorEastAsia" w:eastAsiaTheme="minorEastAsia"/>
                <w:color w:val="auto"/>
                <w:kern w:val="0"/>
                <w:sz w:val="24"/>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2830"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cs="仿宋_GB2312" w:asciiTheme="minorEastAsia" w:hAnsiTheme="minorEastAsia" w:eastAsiaTheme="minorEastAsia"/>
                <w:color w:val="auto"/>
                <w:kern w:val="0"/>
                <w:sz w:val="24"/>
              </w:rPr>
              <w:t>90</w:t>
            </w:r>
            <w:r>
              <w:rPr>
                <w:rFonts w:hint="eastAsia" w:cs="仿宋_GB2312" w:asciiTheme="minorEastAsia" w:hAnsiTheme="minorEastAsia" w:eastAsiaTheme="minorEastAsia"/>
                <w:color w:val="auto"/>
                <w:kern w:val="0"/>
                <w:sz w:val="24"/>
              </w:rPr>
              <w:t>分（含）</w:t>
            </w:r>
            <w:r>
              <w:rPr>
                <w:rFonts w:cs="仿宋_GB2312" w:asciiTheme="minorEastAsia" w:hAnsiTheme="minorEastAsia" w:eastAsiaTheme="minorEastAsia"/>
                <w:color w:val="auto"/>
                <w:kern w:val="0"/>
                <w:sz w:val="24"/>
              </w:rPr>
              <w:t>-95</w:t>
            </w:r>
            <w:r>
              <w:rPr>
                <w:rFonts w:hint="eastAsia" w:cs="仿宋_GB2312" w:asciiTheme="minorEastAsia" w:hAnsiTheme="minorEastAsia" w:eastAsiaTheme="minorEastAsia"/>
                <w:color w:val="auto"/>
                <w:kern w:val="0"/>
                <w:sz w:val="24"/>
              </w:rPr>
              <w:t>分</w:t>
            </w:r>
          </w:p>
        </w:tc>
        <w:tc>
          <w:tcPr>
            <w:tcW w:w="3261" w:type="dxa"/>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良好</w:t>
            </w:r>
          </w:p>
        </w:tc>
        <w:tc>
          <w:tcPr>
            <w:tcW w:w="2256"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cs="仿宋_GB2312" w:asciiTheme="minorEastAsia" w:hAnsiTheme="minorEastAsia" w:eastAsiaTheme="minorEastAsia"/>
                <w:color w:val="auto"/>
                <w:kern w:val="0"/>
                <w:sz w:val="24"/>
              </w:rPr>
              <w:t>95%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2830"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cs="仿宋_GB2312" w:asciiTheme="minorEastAsia" w:hAnsiTheme="minorEastAsia" w:eastAsiaTheme="minorEastAsia"/>
                <w:color w:val="auto"/>
                <w:kern w:val="0"/>
                <w:sz w:val="24"/>
              </w:rPr>
              <w:t>85</w:t>
            </w:r>
            <w:r>
              <w:rPr>
                <w:rFonts w:hint="eastAsia" w:cs="仿宋_GB2312" w:asciiTheme="minorEastAsia" w:hAnsiTheme="minorEastAsia" w:eastAsiaTheme="minorEastAsia"/>
                <w:color w:val="auto"/>
                <w:kern w:val="0"/>
                <w:sz w:val="24"/>
              </w:rPr>
              <w:t>分（含）</w:t>
            </w:r>
            <w:r>
              <w:rPr>
                <w:rFonts w:cs="仿宋_GB2312" w:asciiTheme="minorEastAsia" w:hAnsiTheme="minorEastAsia" w:eastAsiaTheme="minorEastAsia"/>
                <w:color w:val="auto"/>
                <w:kern w:val="0"/>
                <w:sz w:val="24"/>
              </w:rPr>
              <w:t>-90</w:t>
            </w:r>
            <w:r>
              <w:rPr>
                <w:rFonts w:hint="eastAsia" w:cs="仿宋_GB2312" w:asciiTheme="minorEastAsia" w:hAnsiTheme="minorEastAsia" w:eastAsiaTheme="minorEastAsia"/>
                <w:color w:val="auto"/>
                <w:kern w:val="0"/>
                <w:sz w:val="24"/>
              </w:rPr>
              <w:t>分</w:t>
            </w:r>
          </w:p>
        </w:tc>
        <w:tc>
          <w:tcPr>
            <w:tcW w:w="3261" w:type="dxa"/>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合格</w:t>
            </w:r>
          </w:p>
        </w:tc>
        <w:tc>
          <w:tcPr>
            <w:tcW w:w="2256"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cs="仿宋_GB2312" w:asciiTheme="minorEastAsia" w:hAnsiTheme="minorEastAsia" w:eastAsiaTheme="minorEastAsia"/>
                <w:color w:val="auto"/>
                <w:kern w:val="0"/>
                <w:sz w:val="24"/>
              </w:rPr>
              <w:t>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2830"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cs="仿宋_GB2312" w:asciiTheme="minorEastAsia" w:hAnsiTheme="minorEastAsia" w:eastAsiaTheme="minorEastAsia"/>
                <w:color w:val="auto"/>
                <w:kern w:val="0"/>
                <w:sz w:val="24"/>
              </w:rPr>
              <w:t>80</w:t>
            </w:r>
            <w:r>
              <w:rPr>
                <w:rFonts w:hint="eastAsia" w:cs="仿宋_GB2312" w:asciiTheme="minorEastAsia" w:hAnsiTheme="minorEastAsia" w:eastAsiaTheme="minorEastAsia"/>
                <w:color w:val="auto"/>
                <w:kern w:val="0"/>
                <w:sz w:val="24"/>
              </w:rPr>
              <w:t>分（含）</w:t>
            </w:r>
            <w:r>
              <w:rPr>
                <w:rFonts w:cs="仿宋_GB2312" w:asciiTheme="minorEastAsia" w:hAnsiTheme="minorEastAsia" w:eastAsiaTheme="minorEastAsia"/>
                <w:color w:val="auto"/>
                <w:kern w:val="0"/>
                <w:sz w:val="24"/>
              </w:rPr>
              <w:t>-85</w:t>
            </w:r>
            <w:r>
              <w:rPr>
                <w:rFonts w:hint="eastAsia" w:cs="仿宋_GB2312" w:asciiTheme="minorEastAsia" w:hAnsiTheme="minorEastAsia" w:eastAsiaTheme="minorEastAsia"/>
                <w:color w:val="auto"/>
                <w:kern w:val="0"/>
                <w:sz w:val="24"/>
              </w:rPr>
              <w:t>分</w:t>
            </w:r>
          </w:p>
        </w:tc>
        <w:tc>
          <w:tcPr>
            <w:tcW w:w="3261" w:type="dxa"/>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基本合格</w:t>
            </w:r>
          </w:p>
        </w:tc>
        <w:tc>
          <w:tcPr>
            <w:tcW w:w="2256"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cs="仿宋_GB2312" w:asciiTheme="minorEastAsia" w:hAnsiTheme="minorEastAsia" w:eastAsiaTheme="minorEastAsia"/>
                <w:color w:val="auto"/>
                <w:kern w:val="0"/>
                <w:sz w:val="24"/>
              </w:rPr>
              <w:t>85%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2830"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小于</w:t>
            </w:r>
            <w:r>
              <w:rPr>
                <w:rFonts w:cs="仿宋_GB2312" w:asciiTheme="minorEastAsia" w:hAnsiTheme="minorEastAsia" w:eastAsiaTheme="minorEastAsia"/>
                <w:color w:val="auto"/>
                <w:kern w:val="0"/>
                <w:sz w:val="24"/>
              </w:rPr>
              <w:t>80</w:t>
            </w:r>
            <w:r>
              <w:rPr>
                <w:rFonts w:hint="eastAsia" w:cs="仿宋_GB2312" w:asciiTheme="minorEastAsia" w:hAnsiTheme="minorEastAsia" w:eastAsiaTheme="minorEastAsia"/>
                <w:color w:val="auto"/>
                <w:kern w:val="0"/>
                <w:sz w:val="24"/>
              </w:rPr>
              <w:t>分</w:t>
            </w:r>
          </w:p>
        </w:tc>
        <w:tc>
          <w:tcPr>
            <w:tcW w:w="3261" w:type="dxa"/>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hint="eastAsia" w:cs="仿宋_GB2312" w:asciiTheme="minorEastAsia" w:hAnsiTheme="minorEastAsia" w:eastAsiaTheme="minorEastAsia"/>
                <w:color w:val="auto"/>
                <w:kern w:val="0"/>
                <w:sz w:val="24"/>
              </w:rPr>
              <w:t>不合格</w:t>
            </w:r>
          </w:p>
        </w:tc>
        <w:tc>
          <w:tcPr>
            <w:tcW w:w="2256" w:type="dxa"/>
            <w:shd w:val="clear" w:color="auto" w:fill="auto"/>
            <w:vAlign w:val="center"/>
          </w:tcPr>
          <w:p>
            <w:pPr>
              <w:widowControl/>
              <w:spacing w:line="360" w:lineRule="auto"/>
              <w:jc w:val="center"/>
              <w:textAlignment w:val="baseline"/>
              <w:rPr>
                <w:rFonts w:cs="仿宋_GB2312" w:asciiTheme="minorEastAsia" w:hAnsiTheme="minorEastAsia" w:eastAsiaTheme="minorEastAsia"/>
                <w:color w:val="auto"/>
                <w:kern w:val="0"/>
                <w:sz w:val="24"/>
              </w:rPr>
            </w:pPr>
            <w:r>
              <w:rPr>
                <w:rFonts w:cs="仿宋_GB2312" w:asciiTheme="minorEastAsia" w:hAnsiTheme="minorEastAsia" w:eastAsiaTheme="minorEastAsia"/>
                <w:color w:val="auto"/>
                <w:kern w:val="0"/>
                <w:sz w:val="24"/>
              </w:rPr>
              <w:t>0</w:t>
            </w:r>
          </w:p>
        </w:tc>
      </w:tr>
    </w:tbl>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第十一条项目资本金回报、融资成本回报、运营补助、三部分的付费方式为“季度考核+季度</w:t>
      </w:r>
      <w:r>
        <w:rPr>
          <w:rFonts w:asciiTheme="minorEastAsia" w:hAnsiTheme="minorEastAsia" w:eastAsiaTheme="minorEastAsia"/>
          <w:color w:val="auto"/>
          <w:sz w:val="24"/>
        </w:rPr>
        <w:t>付费+年度清算”，根据特许经营企业中标确定的回报率和下浮率，等额确定每年每季度</w:t>
      </w:r>
      <w:r>
        <w:rPr>
          <w:rFonts w:hint="eastAsia" w:asciiTheme="minorEastAsia" w:hAnsiTheme="minorEastAsia" w:eastAsiaTheme="minorEastAsia"/>
          <w:color w:val="auto"/>
          <w:sz w:val="24"/>
        </w:rPr>
        <w:t>付费</w:t>
      </w:r>
      <w:r>
        <w:rPr>
          <w:rFonts w:asciiTheme="minorEastAsia" w:hAnsiTheme="minorEastAsia" w:eastAsiaTheme="minorEastAsia"/>
          <w:color w:val="auto"/>
          <w:sz w:val="24"/>
        </w:rPr>
        <w:t>资金，在每季度服务质量考核工作结束后30天内完成</w:t>
      </w:r>
      <w:r>
        <w:rPr>
          <w:rFonts w:hint="eastAsia" w:asciiTheme="minorEastAsia" w:hAnsiTheme="minorEastAsia" w:eastAsiaTheme="minorEastAsia"/>
          <w:color w:val="auto"/>
          <w:sz w:val="24"/>
        </w:rPr>
        <w:t>付费</w:t>
      </w:r>
      <w:r>
        <w:rPr>
          <w:rFonts w:asciiTheme="minorEastAsia" w:hAnsiTheme="minorEastAsia" w:eastAsiaTheme="minorEastAsia"/>
          <w:color w:val="auto"/>
          <w:sz w:val="24"/>
        </w:rPr>
        <w:t>，并在年末根据审计情况，</w:t>
      </w:r>
      <w:r>
        <w:rPr>
          <w:rFonts w:hint="eastAsia" w:asciiTheme="minorEastAsia" w:hAnsiTheme="minorEastAsia" w:eastAsiaTheme="minorEastAsia"/>
          <w:color w:val="auto"/>
          <w:sz w:val="24"/>
        </w:rPr>
        <w:t>结合</w:t>
      </w:r>
      <w:r>
        <w:rPr>
          <w:rFonts w:asciiTheme="minorEastAsia" w:hAnsiTheme="minorEastAsia" w:eastAsiaTheme="minorEastAsia"/>
          <w:color w:val="auto"/>
          <w:sz w:val="24"/>
        </w:rPr>
        <w:t>回报机制，对运营补助</w:t>
      </w:r>
      <w:r>
        <w:rPr>
          <w:rFonts w:hint="eastAsia" w:asciiTheme="minorEastAsia" w:hAnsiTheme="minorEastAsia" w:eastAsiaTheme="minorEastAsia"/>
          <w:color w:val="auto"/>
          <w:sz w:val="24"/>
        </w:rPr>
        <w:t>（含</w:t>
      </w:r>
      <w:r>
        <w:rPr>
          <w:rFonts w:asciiTheme="minorEastAsia" w:hAnsiTheme="minorEastAsia" w:eastAsiaTheme="minorEastAsia"/>
          <w:color w:val="auto"/>
          <w:sz w:val="24"/>
        </w:rPr>
        <w:t>政策性亏损补助</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进行当年度付费清算</w:t>
      </w:r>
      <w:r>
        <w:rPr>
          <w:rFonts w:hint="eastAsia" w:asciiTheme="minorEastAsia" w:hAnsiTheme="minorEastAsia" w:eastAsiaTheme="minorEastAsia"/>
          <w:color w:val="auto"/>
          <w:sz w:val="24"/>
        </w:rPr>
        <w:t>，对未满足服务标准的已付资金予以相应扣除</w:t>
      </w:r>
      <w:r>
        <w:rPr>
          <w:rFonts w:asciiTheme="minorEastAsia" w:hAnsiTheme="minorEastAsia" w:eastAsiaTheme="minorEastAsia"/>
          <w:color w:val="auto"/>
          <w:sz w:val="24"/>
        </w:rPr>
        <w:t>；超额收入回报的付费方式为“年度清算”，</w:t>
      </w:r>
      <w:r>
        <w:rPr>
          <w:rFonts w:hint="eastAsia" w:asciiTheme="minorEastAsia" w:hAnsiTheme="minorEastAsia" w:eastAsiaTheme="minorEastAsia"/>
          <w:color w:val="auto"/>
          <w:sz w:val="24"/>
        </w:rPr>
        <w:t>需满足年度服务质量考核综合等级达到“合格”及以上，</w:t>
      </w:r>
      <w:r>
        <w:rPr>
          <w:rFonts w:asciiTheme="minorEastAsia" w:hAnsiTheme="minorEastAsia" w:eastAsiaTheme="minorEastAsia"/>
          <w:color w:val="auto"/>
          <w:sz w:val="24"/>
        </w:rPr>
        <w:t>在每年末进行审计并</w:t>
      </w:r>
      <w:r>
        <w:rPr>
          <w:rFonts w:hint="eastAsia" w:asciiTheme="minorEastAsia" w:hAnsiTheme="minorEastAsia" w:eastAsiaTheme="minorEastAsia"/>
          <w:color w:val="auto"/>
          <w:sz w:val="24"/>
        </w:rPr>
        <w:t>根据</w:t>
      </w:r>
      <w:r>
        <w:rPr>
          <w:rFonts w:asciiTheme="minorEastAsia" w:hAnsiTheme="minorEastAsia" w:eastAsiaTheme="minorEastAsia"/>
          <w:color w:val="auto"/>
          <w:sz w:val="24"/>
        </w:rPr>
        <w:t>年度</w:t>
      </w:r>
      <w:r>
        <w:rPr>
          <w:rFonts w:hint="eastAsia" w:asciiTheme="minorEastAsia" w:hAnsiTheme="minorEastAsia" w:eastAsiaTheme="minorEastAsia"/>
          <w:color w:val="auto"/>
          <w:sz w:val="24"/>
        </w:rPr>
        <w:t>服务质量</w:t>
      </w:r>
      <w:r>
        <w:rPr>
          <w:rFonts w:asciiTheme="minorEastAsia" w:hAnsiTheme="minorEastAsia" w:eastAsiaTheme="minorEastAsia"/>
          <w:color w:val="auto"/>
          <w:sz w:val="24"/>
        </w:rPr>
        <w:t>考核情况</w:t>
      </w:r>
      <w:r>
        <w:rPr>
          <w:rFonts w:hint="eastAsia" w:asciiTheme="minorEastAsia" w:hAnsiTheme="minorEastAsia" w:eastAsiaTheme="minorEastAsia"/>
          <w:color w:val="auto"/>
          <w:sz w:val="24"/>
        </w:rPr>
        <w:t>完成相应付费。</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第十二条考核</w:t>
      </w:r>
      <w:r>
        <w:rPr>
          <w:rFonts w:asciiTheme="minorEastAsia" w:hAnsiTheme="minorEastAsia" w:eastAsiaTheme="minorEastAsia"/>
          <w:color w:val="auto"/>
          <w:sz w:val="24"/>
        </w:rPr>
        <w:t>工作人员在执行本办法中有以权谋私、徇私舞弊等违法乱纪行为，</w:t>
      </w:r>
      <w:r>
        <w:rPr>
          <w:rFonts w:hint="eastAsia" w:asciiTheme="minorEastAsia" w:hAnsiTheme="minorEastAsia" w:eastAsiaTheme="minorEastAsia"/>
          <w:color w:val="auto"/>
          <w:sz w:val="24"/>
        </w:rPr>
        <w:t>由</w:t>
      </w:r>
      <w:r>
        <w:rPr>
          <w:rFonts w:asciiTheme="minorEastAsia" w:hAnsiTheme="minorEastAsia" w:eastAsiaTheme="minorEastAsia"/>
          <w:color w:val="auto"/>
          <w:sz w:val="24"/>
        </w:rPr>
        <w:t>其所在单位</w:t>
      </w:r>
      <w:r>
        <w:rPr>
          <w:rFonts w:hint="eastAsia" w:asciiTheme="minorEastAsia" w:hAnsiTheme="minorEastAsia" w:eastAsiaTheme="minorEastAsia"/>
          <w:color w:val="auto"/>
          <w:sz w:val="24"/>
        </w:rPr>
        <w:t>给予</w:t>
      </w:r>
      <w:r>
        <w:rPr>
          <w:rFonts w:asciiTheme="minorEastAsia" w:hAnsiTheme="minorEastAsia" w:eastAsiaTheme="minorEastAsia"/>
          <w:color w:val="auto"/>
          <w:sz w:val="24"/>
        </w:rPr>
        <w:t>行政处分，</w:t>
      </w:r>
      <w:r>
        <w:rPr>
          <w:rFonts w:hint="eastAsia" w:asciiTheme="minorEastAsia" w:hAnsiTheme="minorEastAsia" w:eastAsiaTheme="minorEastAsia"/>
          <w:color w:val="auto"/>
          <w:sz w:val="24"/>
        </w:rPr>
        <w:t>构成</w:t>
      </w:r>
      <w:r>
        <w:rPr>
          <w:rFonts w:asciiTheme="minorEastAsia" w:hAnsiTheme="minorEastAsia" w:eastAsiaTheme="minorEastAsia"/>
          <w:color w:val="auto"/>
          <w:sz w:val="24"/>
        </w:rPr>
        <w:t>犯罪的，</w:t>
      </w:r>
      <w:r>
        <w:rPr>
          <w:rFonts w:hint="eastAsia" w:asciiTheme="minorEastAsia" w:hAnsiTheme="minorEastAsia" w:eastAsiaTheme="minorEastAsia"/>
          <w:color w:val="auto"/>
          <w:sz w:val="24"/>
        </w:rPr>
        <w:t>依法</w:t>
      </w:r>
      <w:r>
        <w:rPr>
          <w:rFonts w:asciiTheme="minorEastAsia" w:hAnsiTheme="minorEastAsia" w:eastAsiaTheme="minorEastAsia"/>
          <w:color w:val="auto"/>
          <w:sz w:val="24"/>
        </w:rPr>
        <w:t>追究刑事责任。城乡公交企业</w:t>
      </w:r>
      <w:r>
        <w:rPr>
          <w:rFonts w:hint="eastAsia" w:asciiTheme="minorEastAsia" w:hAnsiTheme="minorEastAsia" w:eastAsiaTheme="minorEastAsia"/>
          <w:color w:val="auto"/>
          <w:sz w:val="24"/>
        </w:rPr>
        <w:t>存在重大隐瞒收入、虚增支出（超过</w:t>
      </w:r>
      <w:r>
        <w:rPr>
          <w:rFonts w:asciiTheme="minorEastAsia" w:hAnsiTheme="minorEastAsia" w:eastAsiaTheme="minorEastAsia"/>
          <w:color w:val="auto"/>
          <w:sz w:val="24"/>
        </w:rPr>
        <w:t>实际值50%及以上</w:t>
      </w:r>
      <w:r>
        <w:rPr>
          <w:rFonts w:hint="eastAsia" w:asciiTheme="minorEastAsia" w:hAnsiTheme="minorEastAsia" w:eastAsiaTheme="minorEastAsia"/>
          <w:color w:val="auto"/>
          <w:sz w:val="24"/>
        </w:rPr>
        <w:t>）等情况</w:t>
      </w:r>
      <w:r>
        <w:rPr>
          <w:rFonts w:asciiTheme="minorEastAsia" w:hAnsiTheme="minorEastAsia" w:eastAsiaTheme="minorEastAsia"/>
          <w:color w:val="auto"/>
          <w:sz w:val="24"/>
        </w:rPr>
        <w:t>的，</w:t>
      </w:r>
      <w:r>
        <w:rPr>
          <w:rFonts w:hint="eastAsia" w:asciiTheme="minorEastAsia" w:hAnsiTheme="minorEastAsia" w:eastAsiaTheme="minorEastAsia"/>
          <w:color w:val="auto"/>
          <w:sz w:val="24"/>
        </w:rPr>
        <w:t>主管部门有权全额扣除当年度应发补贴资金，并依法</w:t>
      </w:r>
      <w:r>
        <w:rPr>
          <w:rFonts w:asciiTheme="minorEastAsia" w:hAnsiTheme="minorEastAsia" w:eastAsiaTheme="minorEastAsia"/>
          <w:color w:val="auto"/>
          <w:sz w:val="24"/>
        </w:rPr>
        <w:t>对城乡公交企业给予行政</w:t>
      </w:r>
      <w:r>
        <w:rPr>
          <w:rFonts w:hint="eastAsia" w:asciiTheme="minorEastAsia" w:hAnsiTheme="minorEastAsia" w:eastAsiaTheme="minorEastAsia"/>
          <w:color w:val="auto"/>
          <w:sz w:val="24"/>
        </w:rPr>
        <w:t>处罚，构成</w:t>
      </w:r>
      <w:r>
        <w:rPr>
          <w:rFonts w:asciiTheme="minorEastAsia" w:hAnsiTheme="minorEastAsia" w:eastAsiaTheme="minorEastAsia"/>
          <w:color w:val="auto"/>
          <w:sz w:val="24"/>
        </w:rPr>
        <w:t>犯罪的，</w:t>
      </w:r>
      <w:r>
        <w:rPr>
          <w:rFonts w:hint="eastAsia" w:asciiTheme="minorEastAsia" w:hAnsiTheme="minorEastAsia" w:eastAsiaTheme="minorEastAsia"/>
          <w:color w:val="auto"/>
          <w:sz w:val="24"/>
        </w:rPr>
        <w:t>依法</w:t>
      </w:r>
      <w:r>
        <w:rPr>
          <w:rFonts w:asciiTheme="minorEastAsia" w:hAnsiTheme="minorEastAsia" w:eastAsiaTheme="minorEastAsia"/>
          <w:color w:val="auto"/>
          <w:sz w:val="24"/>
        </w:rPr>
        <w:t>追究刑事责任</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对于查证企业瞒报</w:t>
      </w:r>
      <w:r>
        <w:rPr>
          <w:rFonts w:hint="eastAsia" w:asciiTheme="minorEastAsia" w:hAnsiTheme="minorEastAsia" w:eastAsiaTheme="minorEastAsia"/>
          <w:color w:val="auto"/>
          <w:sz w:val="24"/>
        </w:rPr>
        <w:t>行为所</w:t>
      </w:r>
      <w:r>
        <w:rPr>
          <w:rFonts w:asciiTheme="minorEastAsia" w:hAnsiTheme="minorEastAsia" w:eastAsiaTheme="minorEastAsia"/>
          <w:color w:val="auto"/>
          <w:sz w:val="24"/>
        </w:rPr>
        <w:t>产生</w:t>
      </w:r>
      <w:r>
        <w:rPr>
          <w:rFonts w:hint="eastAsia" w:asciiTheme="minorEastAsia" w:hAnsiTheme="minorEastAsia" w:eastAsiaTheme="minorEastAsia"/>
          <w:color w:val="auto"/>
          <w:sz w:val="24"/>
        </w:rPr>
        <w:t>的</w:t>
      </w:r>
      <w:r>
        <w:rPr>
          <w:rFonts w:asciiTheme="minorEastAsia" w:hAnsiTheme="minorEastAsia" w:eastAsiaTheme="minorEastAsia"/>
          <w:color w:val="auto"/>
          <w:sz w:val="24"/>
        </w:rPr>
        <w:t>支出，由社会资本方全额负责</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对于企业瞒报</w:t>
      </w:r>
      <w:r>
        <w:rPr>
          <w:rFonts w:hint="eastAsia" w:asciiTheme="minorEastAsia" w:hAnsiTheme="minorEastAsia" w:eastAsiaTheme="minorEastAsia"/>
          <w:color w:val="auto"/>
          <w:sz w:val="24"/>
        </w:rPr>
        <w:t>的</w:t>
      </w:r>
      <w:r>
        <w:rPr>
          <w:rFonts w:asciiTheme="minorEastAsia" w:hAnsiTheme="minorEastAsia" w:eastAsiaTheme="minorEastAsia"/>
          <w:color w:val="auto"/>
          <w:sz w:val="24"/>
        </w:rPr>
        <w:t>收入</w:t>
      </w:r>
      <w:r>
        <w:rPr>
          <w:rFonts w:hint="eastAsia" w:asciiTheme="minorEastAsia" w:hAnsiTheme="minorEastAsia" w:eastAsiaTheme="minorEastAsia"/>
          <w:color w:val="auto"/>
          <w:sz w:val="24"/>
        </w:rPr>
        <w:t>部分</w:t>
      </w:r>
      <w:r>
        <w:rPr>
          <w:rFonts w:asciiTheme="minorEastAsia" w:hAnsiTheme="minorEastAsia" w:eastAsiaTheme="minorEastAsia"/>
          <w:color w:val="auto"/>
          <w:sz w:val="24"/>
        </w:rPr>
        <w:t>，政府应全额追缴，且</w:t>
      </w:r>
      <w:r>
        <w:rPr>
          <w:rFonts w:hint="eastAsia" w:asciiTheme="minorEastAsia" w:hAnsiTheme="minorEastAsia" w:eastAsiaTheme="minorEastAsia"/>
          <w:color w:val="auto"/>
          <w:sz w:val="24"/>
        </w:rPr>
        <w:t>对</w:t>
      </w:r>
      <w:r>
        <w:rPr>
          <w:rFonts w:asciiTheme="minorEastAsia" w:hAnsiTheme="minorEastAsia" w:eastAsiaTheme="minorEastAsia"/>
          <w:color w:val="auto"/>
          <w:sz w:val="24"/>
        </w:rPr>
        <w:t>社会资本</w:t>
      </w:r>
      <w:r>
        <w:rPr>
          <w:rFonts w:hint="eastAsia" w:asciiTheme="minorEastAsia" w:hAnsiTheme="minorEastAsia" w:eastAsiaTheme="minorEastAsia"/>
          <w:color w:val="auto"/>
          <w:sz w:val="24"/>
        </w:rPr>
        <w:t>作</w:t>
      </w:r>
      <w:r>
        <w:rPr>
          <w:rFonts w:asciiTheme="minorEastAsia" w:hAnsiTheme="minorEastAsia" w:eastAsiaTheme="minorEastAsia"/>
          <w:color w:val="auto"/>
          <w:sz w:val="24"/>
        </w:rPr>
        <w:t>出处罚，处罚金额以瞒报部分</w:t>
      </w:r>
      <w:r>
        <w:rPr>
          <w:rFonts w:hint="eastAsia" w:asciiTheme="minorEastAsia" w:hAnsiTheme="minorEastAsia" w:eastAsiaTheme="minorEastAsia"/>
          <w:color w:val="auto"/>
          <w:sz w:val="24"/>
        </w:rPr>
        <w:t>金额</w:t>
      </w:r>
      <w:r>
        <w:rPr>
          <w:rFonts w:asciiTheme="minorEastAsia" w:hAnsiTheme="minorEastAsia" w:eastAsiaTheme="minorEastAsia"/>
          <w:color w:val="auto"/>
          <w:sz w:val="24"/>
        </w:rPr>
        <w:t>的0.2倍为准。</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第十三条本办法</w:t>
      </w:r>
      <w:r>
        <w:rPr>
          <w:rFonts w:asciiTheme="minorEastAsia" w:hAnsiTheme="minorEastAsia" w:eastAsiaTheme="minorEastAsia"/>
          <w:color w:val="auto"/>
          <w:sz w:val="24"/>
        </w:rPr>
        <w:t>由市交通运输局负责解释。</w:t>
      </w: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第十四条本办法自本项目合同签订之日起实行，期限为</w:t>
      </w:r>
      <w:r>
        <w:rPr>
          <w:rFonts w:asciiTheme="minorEastAsia" w:hAnsiTheme="minorEastAsia" w:eastAsiaTheme="minorEastAsia"/>
          <w:color w:val="auto"/>
          <w:sz w:val="24"/>
        </w:rPr>
        <w:t>16年。</w:t>
      </w:r>
    </w:p>
    <w:p>
      <w:pPr>
        <w:spacing w:line="360" w:lineRule="auto"/>
        <w:ind w:firstLine="640"/>
        <w:rPr>
          <w:rFonts w:asciiTheme="minorEastAsia" w:hAnsiTheme="minorEastAsia" w:eastAsiaTheme="minorEastAsia"/>
          <w:color w:val="auto"/>
          <w:sz w:val="24"/>
        </w:rPr>
      </w:pPr>
    </w:p>
    <w:p>
      <w:pPr>
        <w:spacing w:line="360" w:lineRule="auto"/>
        <w:ind w:firstLine="640"/>
        <w:rPr>
          <w:rFonts w:asciiTheme="minorEastAsia" w:hAnsiTheme="minorEastAsia" w:eastAsiaTheme="minorEastAsia"/>
          <w:color w:val="auto"/>
          <w:sz w:val="24"/>
        </w:rPr>
      </w:pPr>
      <w:r>
        <w:rPr>
          <w:rFonts w:hint="eastAsia" w:asciiTheme="minorEastAsia" w:hAnsiTheme="minorEastAsia" w:eastAsiaTheme="minorEastAsia"/>
          <w:color w:val="auto"/>
          <w:sz w:val="24"/>
        </w:rPr>
        <w:t>附：东方市城乡公交企业服务质量季度考核表</w:t>
      </w:r>
    </w:p>
    <w:p>
      <w:pPr>
        <w:widowControl/>
        <w:spacing w:line="360" w:lineRule="auto"/>
        <w:ind w:firstLine="640"/>
        <w:jc w:val="left"/>
        <w:rPr>
          <w:rFonts w:asciiTheme="minorEastAsia" w:hAnsiTheme="minorEastAsia" w:eastAsiaTheme="minorEastAsia"/>
          <w:color w:val="auto"/>
          <w:sz w:val="24"/>
        </w:rPr>
        <w:sectPr>
          <w:footerReference r:id="rId9" w:type="default"/>
          <w:pgSz w:w="11906" w:h="16838"/>
          <w:pgMar w:top="1440" w:right="1800" w:bottom="1440" w:left="1800" w:header="851" w:footer="992" w:gutter="0"/>
          <w:cols w:space="425" w:num="1"/>
          <w:docGrid w:type="lines" w:linePitch="312" w:charSpace="0"/>
        </w:sectPr>
      </w:pPr>
    </w:p>
    <w:p>
      <w:pPr>
        <w:widowControl/>
        <w:spacing w:line="360" w:lineRule="auto"/>
        <w:ind w:firstLine="80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年东方市城乡公交企业服务质量季度考核表</w:t>
      </w:r>
    </w:p>
    <w:tbl>
      <w:tblPr>
        <w:tblStyle w:val="23"/>
        <w:tblW w:w="1436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600"/>
        <w:gridCol w:w="820"/>
        <w:gridCol w:w="2250"/>
        <w:gridCol w:w="5527"/>
        <w:gridCol w:w="104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考核指标及分值</w:t>
            </w:r>
          </w:p>
        </w:tc>
        <w:tc>
          <w:tcPr>
            <w:tcW w:w="2600"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指标内容</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基础分</w:t>
            </w:r>
          </w:p>
        </w:tc>
        <w:tc>
          <w:tcPr>
            <w:tcW w:w="2250"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考核方法</w:t>
            </w:r>
          </w:p>
        </w:tc>
        <w:tc>
          <w:tcPr>
            <w:tcW w:w="5527"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评分标准</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考核得分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安全指标（</w:t>
            </w:r>
            <w:r>
              <w:rPr>
                <w:rFonts w:cs="宋体" w:asciiTheme="minorEastAsia" w:hAnsiTheme="minorEastAsia" w:eastAsiaTheme="minorEastAsia"/>
                <w:color w:val="auto"/>
                <w:kern w:val="0"/>
                <w:sz w:val="24"/>
              </w:rPr>
              <w:t>27</w:t>
            </w:r>
            <w:r>
              <w:rPr>
                <w:rFonts w:hint="eastAsia" w:cs="宋体" w:asciiTheme="minorEastAsia" w:hAnsiTheme="minorEastAsia" w:eastAsiaTheme="minorEastAsia"/>
                <w:color w:val="auto"/>
                <w:kern w:val="0"/>
                <w:sz w:val="24"/>
              </w:rPr>
              <w:t>分）</w:t>
            </w: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企业公交车辆季度交通违章率</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5</w:t>
            </w:r>
          </w:p>
        </w:tc>
        <w:tc>
          <w:tcPr>
            <w:tcW w:w="2250"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通过检查安全管理台账、开展日常活动检查等方式，计算季度得分</w:t>
            </w: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企业公交车辆季度交通违章率目标值为</w:t>
            </w:r>
            <w:r>
              <w:rPr>
                <w:rFonts w:cs="宋体" w:asciiTheme="minorEastAsia" w:hAnsiTheme="minorEastAsia" w:eastAsiaTheme="minorEastAsia"/>
                <w:color w:val="auto"/>
                <w:kern w:val="0"/>
                <w:sz w:val="24"/>
              </w:rPr>
              <w:t>2%，每增加或减少0.5</w:t>
            </w:r>
            <w:r>
              <w:rPr>
                <w:rFonts w:hint="eastAsia" w:cs="宋体" w:asciiTheme="minorEastAsia" w:hAnsiTheme="minorEastAsia" w:eastAsiaTheme="minorEastAsia"/>
                <w:color w:val="auto"/>
                <w:kern w:val="0"/>
                <w:sz w:val="24"/>
              </w:rPr>
              <w:t>个百分点，扣或加</w:t>
            </w:r>
            <w:r>
              <w:rPr>
                <w:rFonts w:cs="宋体" w:asciiTheme="minorEastAsia" w:hAnsiTheme="minorEastAsia" w:eastAsiaTheme="minorEastAsia"/>
                <w:color w:val="auto"/>
                <w:kern w:val="0"/>
                <w:sz w:val="24"/>
              </w:rPr>
              <w:t>0.2分，扣完为止。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4"/>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企业公交车辆季度交通事故率</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6</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4"/>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企业公交车辆季度交通事故率目标值为</w:t>
            </w:r>
            <w:r>
              <w:rPr>
                <w:rFonts w:cs="宋体" w:asciiTheme="minorEastAsia" w:hAnsiTheme="minorEastAsia" w:eastAsiaTheme="minorEastAsia"/>
                <w:color w:val="auto"/>
                <w:kern w:val="0"/>
                <w:sz w:val="24"/>
              </w:rPr>
              <w:t>2%，每增加或减少0.5</w:t>
            </w:r>
            <w:r>
              <w:rPr>
                <w:rFonts w:hint="eastAsia" w:cs="宋体" w:asciiTheme="minorEastAsia" w:hAnsiTheme="minorEastAsia" w:eastAsiaTheme="minorEastAsia"/>
                <w:color w:val="auto"/>
                <w:kern w:val="0"/>
                <w:sz w:val="24"/>
              </w:rPr>
              <w:t>个百分点，扣或加</w:t>
            </w:r>
            <w:r>
              <w:rPr>
                <w:rFonts w:cs="宋体" w:asciiTheme="minorEastAsia" w:hAnsiTheme="minorEastAsia" w:eastAsiaTheme="minorEastAsia"/>
                <w:color w:val="auto"/>
                <w:kern w:val="0"/>
                <w:sz w:val="24"/>
              </w:rPr>
              <w:t>0.2分，扣完为止。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4"/>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企业公交车辆承担同责及以上责任事故死亡人数</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r>
              <w:rPr>
                <w:rFonts w:cs="宋体" w:asciiTheme="minorEastAsia" w:hAnsiTheme="minorEastAsia" w:eastAsiaTheme="minorEastAsia"/>
                <w:color w:val="auto"/>
                <w:kern w:val="0"/>
                <w:sz w:val="24"/>
              </w:rPr>
              <w:t>6</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4"/>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企业公交车辆承担同责及以上责任事故死亡人数为</w:t>
            </w:r>
            <w:r>
              <w:rPr>
                <w:rFonts w:cs="宋体" w:asciiTheme="minorEastAsia" w:hAnsiTheme="minorEastAsia" w:eastAsiaTheme="minorEastAsia"/>
                <w:color w:val="auto"/>
                <w:kern w:val="0"/>
                <w:sz w:val="24"/>
              </w:rPr>
              <w:t>0时得满分，每增加1人扣1分，扣完为止。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企业安全隐患检查整改项目完成率</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5</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企业安全隐患检查整改项目完成率达不到</w:t>
            </w:r>
            <w:r>
              <w:rPr>
                <w:rFonts w:cs="宋体" w:asciiTheme="minorEastAsia" w:hAnsiTheme="minorEastAsia" w:eastAsiaTheme="minorEastAsia"/>
                <w:color w:val="auto"/>
                <w:kern w:val="0"/>
                <w:sz w:val="22"/>
              </w:rPr>
              <w:t>100%的，每减少一个百分点扣0.5分，扣完为止。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企业安全信息及时上报情况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5</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企业未在事故发生后</w:t>
            </w:r>
            <w:r>
              <w:rPr>
                <w:rFonts w:cs="宋体" w:asciiTheme="minorEastAsia" w:hAnsiTheme="minorEastAsia" w:eastAsiaTheme="minorEastAsia"/>
                <w:color w:val="auto"/>
                <w:kern w:val="0"/>
                <w:sz w:val="22"/>
              </w:rPr>
              <w:t>1小时内上报信息的，1起扣0.5分，扣完为止；如因漏报瞒报等情况导致管理部门安全信息倒流的，扣除本项全部分值</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企业发生重特大安全生产责任事故情况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发生重特大安全生产责任事故的，为否决性指标，本大项不得分。</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发展指标（</w:t>
            </w:r>
            <w:r>
              <w:rPr>
                <w:rFonts w:cs="宋体" w:asciiTheme="minorEastAsia" w:hAnsiTheme="minorEastAsia" w:eastAsiaTheme="minorEastAsia"/>
                <w:color w:val="auto"/>
                <w:kern w:val="0"/>
                <w:sz w:val="22"/>
              </w:rPr>
              <w:t>23</w:t>
            </w:r>
            <w:r>
              <w:rPr>
                <w:rFonts w:hint="eastAsia" w:cs="宋体" w:asciiTheme="minorEastAsia" w:hAnsiTheme="minorEastAsia" w:eastAsiaTheme="minorEastAsia"/>
                <w:color w:val="auto"/>
                <w:kern w:val="0"/>
                <w:sz w:val="22"/>
              </w:rPr>
              <w:t>分）</w:t>
            </w: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线路发展计划完成情况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3</w:t>
            </w:r>
          </w:p>
        </w:tc>
        <w:tc>
          <w:tcPr>
            <w:tcW w:w="2250"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通过数据采集方式检查企业工作完成情况，计算季度得分</w:t>
            </w: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参照当季度线路发展计划，每少完成</w:t>
            </w:r>
            <w:r>
              <w:rPr>
                <w:rFonts w:cs="宋体" w:asciiTheme="minorEastAsia" w:hAnsiTheme="minorEastAsia" w:eastAsiaTheme="minorEastAsia"/>
                <w:color w:val="auto"/>
                <w:kern w:val="0"/>
                <w:sz w:val="22"/>
              </w:rPr>
              <w:t>1条，减0.5分</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车辆发展计划完成情况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3</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参照当季度车辆发展计划，每少完成</w:t>
            </w:r>
            <w:r>
              <w:rPr>
                <w:rFonts w:cs="宋体" w:asciiTheme="minorEastAsia" w:hAnsiTheme="minorEastAsia" w:eastAsiaTheme="minorEastAsia"/>
                <w:color w:val="auto"/>
                <w:kern w:val="0"/>
                <w:sz w:val="22"/>
              </w:rPr>
              <w:t>1辆，减0.2分</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企业季度运营里程计划完成情况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4</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完成率达不到</w:t>
            </w:r>
            <w:r>
              <w:rPr>
                <w:rFonts w:cs="宋体" w:asciiTheme="minorEastAsia" w:hAnsiTheme="minorEastAsia" w:eastAsiaTheme="minorEastAsia"/>
                <w:color w:val="auto"/>
                <w:kern w:val="0"/>
                <w:sz w:val="22"/>
              </w:rPr>
              <w:t>100%</w:t>
            </w:r>
            <w:r>
              <w:rPr>
                <w:rFonts w:hint="eastAsia" w:cs="宋体" w:asciiTheme="minorEastAsia" w:hAnsiTheme="minorEastAsia" w:eastAsiaTheme="minorEastAsia"/>
                <w:color w:val="auto"/>
                <w:kern w:val="0"/>
                <w:sz w:val="22"/>
              </w:rPr>
              <w:t>的，每减少一个百分点扣</w:t>
            </w:r>
            <w:r>
              <w:rPr>
                <w:rFonts w:cs="宋体" w:asciiTheme="minorEastAsia" w:hAnsiTheme="minorEastAsia" w:eastAsiaTheme="minorEastAsia"/>
                <w:color w:val="auto"/>
                <w:kern w:val="0"/>
                <w:sz w:val="22"/>
              </w:rPr>
              <w:t>0.5</w:t>
            </w:r>
            <w:r>
              <w:rPr>
                <w:rFonts w:hint="eastAsia" w:cs="宋体" w:asciiTheme="minorEastAsia" w:hAnsiTheme="minorEastAsia" w:eastAsiaTheme="minorEastAsia"/>
                <w:color w:val="auto"/>
                <w:kern w:val="0"/>
                <w:sz w:val="22"/>
              </w:rPr>
              <w:t>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公交分担率发展计划完成情况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4</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完成率达不到</w:t>
            </w:r>
            <w:r>
              <w:rPr>
                <w:rFonts w:cs="宋体" w:asciiTheme="minorEastAsia" w:hAnsiTheme="minorEastAsia" w:eastAsiaTheme="minorEastAsia"/>
                <w:color w:val="auto"/>
                <w:kern w:val="0"/>
                <w:sz w:val="22"/>
              </w:rPr>
              <w:t>100%</w:t>
            </w:r>
            <w:r>
              <w:rPr>
                <w:rFonts w:hint="eastAsia" w:cs="宋体" w:asciiTheme="minorEastAsia" w:hAnsiTheme="minorEastAsia" w:eastAsiaTheme="minorEastAsia"/>
                <w:color w:val="auto"/>
                <w:kern w:val="0"/>
                <w:sz w:val="22"/>
              </w:rPr>
              <w:t>的，每减少一个百分点扣</w:t>
            </w:r>
            <w:r>
              <w:rPr>
                <w:rFonts w:cs="宋体" w:asciiTheme="minorEastAsia" w:hAnsiTheme="minorEastAsia" w:eastAsiaTheme="minorEastAsia"/>
                <w:color w:val="auto"/>
                <w:kern w:val="0"/>
                <w:sz w:val="22"/>
              </w:rPr>
              <w:t>0.5</w:t>
            </w:r>
            <w:r>
              <w:rPr>
                <w:rFonts w:hint="eastAsia" w:cs="宋体" w:asciiTheme="minorEastAsia" w:hAnsiTheme="minorEastAsia" w:eastAsiaTheme="minorEastAsia"/>
                <w:color w:val="auto"/>
                <w:kern w:val="0"/>
                <w:sz w:val="22"/>
              </w:rPr>
              <w:t>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公交智能化发展情况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4</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根据季度工程推进计划和工作完成情况，酌情加减分，加分不超过</w:t>
            </w:r>
            <w:r>
              <w:rPr>
                <w:rFonts w:cs="宋体" w:asciiTheme="minorEastAsia" w:hAnsiTheme="minorEastAsia" w:eastAsiaTheme="minorEastAsia"/>
                <w:color w:val="auto"/>
                <w:kern w:val="0"/>
                <w:sz w:val="22"/>
              </w:rPr>
              <w:t>1</w:t>
            </w:r>
            <w:r>
              <w:rPr>
                <w:rFonts w:hint="eastAsia" w:cs="宋体" w:asciiTheme="minorEastAsia" w:hAnsiTheme="minorEastAsia" w:eastAsiaTheme="minorEastAsia"/>
                <w:color w:val="auto"/>
                <w:kern w:val="0"/>
                <w:sz w:val="22"/>
              </w:rPr>
              <w:t>分。</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日常运营</w:t>
            </w:r>
            <w:r>
              <w:rPr>
                <w:rFonts w:cs="宋体" w:asciiTheme="minorEastAsia" w:hAnsiTheme="minorEastAsia" w:eastAsiaTheme="minorEastAsia"/>
                <w:color w:val="auto"/>
                <w:kern w:val="0"/>
                <w:sz w:val="22"/>
              </w:rPr>
              <w:t>信息记录及上报情况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5</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根据日常运营</w:t>
            </w:r>
            <w:r>
              <w:rPr>
                <w:rFonts w:cs="宋体" w:asciiTheme="minorEastAsia" w:hAnsiTheme="minorEastAsia" w:eastAsiaTheme="minorEastAsia"/>
                <w:color w:val="auto"/>
                <w:kern w:val="0"/>
                <w:sz w:val="22"/>
              </w:rPr>
              <w:t>信息记录和上报</w:t>
            </w:r>
            <w:r>
              <w:rPr>
                <w:rFonts w:hint="eastAsia" w:cs="宋体" w:asciiTheme="minorEastAsia" w:hAnsiTheme="minorEastAsia" w:eastAsiaTheme="minorEastAsia"/>
                <w:color w:val="auto"/>
                <w:kern w:val="0"/>
                <w:sz w:val="22"/>
              </w:rPr>
              <w:t>工作完成情况，酌情加减分，加分不超过</w:t>
            </w:r>
            <w:r>
              <w:rPr>
                <w:rFonts w:cs="宋体" w:asciiTheme="minorEastAsia" w:hAnsiTheme="minorEastAsia" w:eastAsiaTheme="minorEastAsia"/>
                <w:color w:val="auto"/>
                <w:kern w:val="0"/>
                <w:sz w:val="22"/>
              </w:rPr>
              <w:t>1</w:t>
            </w:r>
            <w:r>
              <w:rPr>
                <w:rFonts w:hint="eastAsia" w:cs="宋体" w:asciiTheme="minorEastAsia" w:hAnsiTheme="minorEastAsia" w:eastAsiaTheme="minorEastAsia"/>
                <w:color w:val="auto"/>
                <w:kern w:val="0"/>
                <w:sz w:val="22"/>
              </w:rPr>
              <w:t>分。若企业财务账目记录出现人为原因的瞒报收入、虚增支出且超过真实值</w:t>
            </w:r>
            <w:r>
              <w:rPr>
                <w:rFonts w:cs="宋体" w:asciiTheme="minorEastAsia" w:hAnsiTheme="minorEastAsia" w:eastAsiaTheme="minorEastAsia"/>
                <w:color w:val="auto"/>
                <w:kern w:val="0"/>
                <w:sz w:val="22"/>
              </w:rPr>
              <w:t>2%的，本项不得分。</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服务指标（</w:t>
            </w:r>
            <w:r>
              <w:rPr>
                <w:rFonts w:cs="宋体" w:asciiTheme="minorEastAsia" w:hAnsiTheme="minorEastAsia" w:eastAsiaTheme="minorEastAsia"/>
                <w:color w:val="auto"/>
                <w:kern w:val="0"/>
                <w:sz w:val="22"/>
              </w:rPr>
              <w:t>25</w:t>
            </w:r>
            <w:r>
              <w:rPr>
                <w:rFonts w:hint="eastAsia" w:cs="宋体" w:asciiTheme="minorEastAsia" w:hAnsiTheme="minorEastAsia" w:eastAsiaTheme="minorEastAsia"/>
                <w:color w:val="auto"/>
                <w:kern w:val="0"/>
                <w:sz w:val="22"/>
              </w:rPr>
              <w:t>分）</w:t>
            </w: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企业公交线路首末班正点发车率</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4</w:t>
            </w:r>
          </w:p>
        </w:tc>
        <w:tc>
          <w:tcPr>
            <w:tcW w:w="2250"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结合日常工作，进行市场检查、台账检查，智能化系统报表检查，对乘客投诉情况进行统计分析</w:t>
            </w: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每月随机抽查</w:t>
            </w:r>
            <w:r>
              <w:rPr>
                <w:rFonts w:cs="宋体" w:asciiTheme="minorEastAsia" w:hAnsiTheme="minorEastAsia" w:eastAsiaTheme="minorEastAsia"/>
                <w:color w:val="auto"/>
                <w:kern w:val="0"/>
                <w:sz w:val="22"/>
              </w:rPr>
              <w:t>2</w:t>
            </w:r>
            <w:r>
              <w:rPr>
                <w:rFonts w:hint="eastAsia" w:cs="宋体" w:asciiTheme="minorEastAsia" w:hAnsiTheme="minorEastAsia" w:eastAsiaTheme="minorEastAsia"/>
                <w:color w:val="auto"/>
                <w:kern w:val="0"/>
                <w:sz w:val="22"/>
              </w:rPr>
              <w:t>次，每季度抽查</w:t>
            </w:r>
            <w:r>
              <w:rPr>
                <w:rFonts w:cs="宋体" w:asciiTheme="minorEastAsia" w:hAnsiTheme="minorEastAsia" w:eastAsiaTheme="minorEastAsia"/>
                <w:color w:val="auto"/>
                <w:kern w:val="0"/>
                <w:sz w:val="22"/>
              </w:rPr>
              <w:t>6次，企业公交线路首末班季度正点发车率目标值为95%，每减少或增加1个百分点，扣或加0.2分，扣完为止。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企业公交线路早晚高峰平均出车率</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4</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每月随机抽查</w:t>
            </w:r>
            <w:r>
              <w:rPr>
                <w:rFonts w:cs="宋体" w:asciiTheme="minorEastAsia" w:hAnsiTheme="minorEastAsia" w:eastAsiaTheme="minorEastAsia"/>
                <w:color w:val="auto"/>
                <w:kern w:val="0"/>
                <w:sz w:val="22"/>
              </w:rPr>
              <w:t>2</w:t>
            </w:r>
            <w:r>
              <w:rPr>
                <w:rFonts w:hint="eastAsia" w:cs="宋体" w:asciiTheme="minorEastAsia" w:hAnsiTheme="minorEastAsia" w:eastAsiaTheme="minorEastAsia"/>
                <w:color w:val="auto"/>
                <w:kern w:val="0"/>
                <w:sz w:val="22"/>
              </w:rPr>
              <w:t>次，每季度抽查</w:t>
            </w:r>
            <w:r>
              <w:rPr>
                <w:rFonts w:cs="宋体" w:asciiTheme="minorEastAsia" w:hAnsiTheme="minorEastAsia" w:eastAsiaTheme="minorEastAsia"/>
                <w:color w:val="auto"/>
                <w:kern w:val="0"/>
                <w:sz w:val="22"/>
              </w:rPr>
              <w:t>6次，企业公交线路早晚高峰季度平均出车率目标值为90%，每减少或增加1个百分点，扣或加0.3分，扣完为止。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公交</w:t>
            </w:r>
            <w:r>
              <w:rPr>
                <w:rFonts w:cs="宋体" w:asciiTheme="minorEastAsia" w:hAnsiTheme="minorEastAsia" w:eastAsiaTheme="minorEastAsia"/>
                <w:color w:val="auto"/>
                <w:kern w:val="0"/>
                <w:sz w:val="22"/>
              </w:rPr>
              <w:t>车辆车容车貌情况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4</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每月随机抽查</w:t>
            </w:r>
            <w:r>
              <w:rPr>
                <w:rFonts w:cs="宋体" w:asciiTheme="minorEastAsia" w:hAnsiTheme="minorEastAsia" w:eastAsiaTheme="minorEastAsia"/>
                <w:color w:val="auto"/>
                <w:kern w:val="0"/>
                <w:sz w:val="22"/>
              </w:rPr>
              <w:t>2</w:t>
            </w:r>
            <w:r>
              <w:rPr>
                <w:rFonts w:hint="eastAsia" w:cs="宋体" w:asciiTheme="minorEastAsia" w:hAnsiTheme="minorEastAsia" w:eastAsiaTheme="minorEastAsia"/>
                <w:color w:val="auto"/>
                <w:kern w:val="0"/>
                <w:sz w:val="22"/>
              </w:rPr>
              <w:t>次，每季度抽查</w:t>
            </w:r>
            <w:r>
              <w:rPr>
                <w:rFonts w:cs="宋体" w:asciiTheme="minorEastAsia" w:hAnsiTheme="minorEastAsia" w:eastAsiaTheme="minorEastAsia"/>
                <w:color w:val="auto"/>
                <w:kern w:val="0"/>
                <w:sz w:val="22"/>
              </w:rPr>
              <w:t>6次，公交车辆车容车貌不符合要求的</w:t>
            </w:r>
            <w:r>
              <w:rPr>
                <w:rFonts w:hint="eastAsia" w:cs="宋体" w:asciiTheme="minorEastAsia" w:hAnsiTheme="minorEastAsia" w:eastAsiaTheme="minorEastAsia"/>
                <w:color w:val="auto"/>
                <w:kern w:val="0"/>
                <w:sz w:val="22"/>
              </w:rPr>
              <w:t>每次</w:t>
            </w:r>
            <w:r>
              <w:rPr>
                <w:rFonts w:cs="宋体" w:asciiTheme="minorEastAsia" w:hAnsiTheme="minorEastAsia" w:eastAsiaTheme="minorEastAsia"/>
                <w:color w:val="auto"/>
                <w:kern w:val="0"/>
                <w:sz w:val="22"/>
              </w:rPr>
              <w:t>扣1分，</w:t>
            </w:r>
            <w:r>
              <w:rPr>
                <w:rFonts w:hint="eastAsia" w:cs="宋体" w:asciiTheme="minorEastAsia" w:hAnsiTheme="minorEastAsia" w:eastAsiaTheme="minorEastAsia"/>
                <w:color w:val="auto"/>
                <w:kern w:val="0"/>
                <w:sz w:val="22"/>
              </w:rPr>
              <w:t>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企业办理群众投诉及时率、办结率和满意率</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5</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企业办理群众投诉季度及时率、办结率和满意率目标值为</w:t>
            </w:r>
            <w:r>
              <w:rPr>
                <w:rFonts w:cs="宋体" w:asciiTheme="minorEastAsia" w:hAnsiTheme="minorEastAsia" w:eastAsiaTheme="minorEastAsia"/>
                <w:color w:val="auto"/>
                <w:kern w:val="0"/>
                <w:sz w:val="22"/>
              </w:rPr>
              <w:t>95%，每减少或增加1个百分点，扣或加0.2分，扣完为止。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企业发生有责曝光事件情况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3</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企业经核实发生有责曝光事件的，每次扣</w:t>
            </w:r>
            <w:r>
              <w:rPr>
                <w:rFonts w:cs="宋体" w:asciiTheme="minorEastAsia" w:hAnsiTheme="minorEastAsia" w:eastAsiaTheme="minorEastAsia"/>
                <w:color w:val="auto"/>
                <w:kern w:val="0"/>
                <w:sz w:val="22"/>
              </w:rPr>
              <w:t>1分；被省级及以上媒体曝光并造成重大影响的，每次扣2分；扣完为止。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企业发生影响公交线路正常营运重大事件情况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5</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企业发生影响公交线路正常运营的重大事件的，每起</w:t>
            </w:r>
            <w:r>
              <w:rPr>
                <w:rFonts w:cs="宋体" w:asciiTheme="minorEastAsia" w:hAnsiTheme="minorEastAsia" w:eastAsiaTheme="minorEastAsia"/>
                <w:color w:val="auto"/>
                <w:kern w:val="0"/>
                <w:sz w:val="22"/>
              </w:rPr>
              <w:t>2分，扣完为止。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执行政府指令指标（</w:t>
            </w:r>
            <w:r>
              <w:rPr>
                <w:rFonts w:cs="宋体" w:asciiTheme="minorEastAsia" w:hAnsiTheme="minorEastAsia" w:eastAsiaTheme="minorEastAsia"/>
                <w:color w:val="auto"/>
                <w:kern w:val="0"/>
                <w:sz w:val="22"/>
              </w:rPr>
              <w:t>15分）</w:t>
            </w: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企业执行政府因城市建设、重大社会活动</w:t>
            </w:r>
            <w:r>
              <w:rPr>
                <w:rFonts w:cs="宋体" w:asciiTheme="minorEastAsia" w:hAnsiTheme="minorEastAsia" w:eastAsiaTheme="minorEastAsia"/>
                <w:color w:val="auto"/>
                <w:kern w:val="0"/>
                <w:sz w:val="22"/>
              </w:rPr>
              <w:t xml:space="preserve"> 、突发事件、恶劣气候和抢险救灾需要而采取的临时措施情况 </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8</w:t>
            </w:r>
          </w:p>
        </w:tc>
        <w:tc>
          <w:tcPr>
            <w:tcW w:w="2250" w:type="dxa"/>
            <w:vMerge w:val="restart"/>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行业管理部门结合日常工作考核</w:t>
            </w: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企业拒绝执行政府指令，每次扣</w:t>
            </w:r>
            <w:r>
              <w:rPr>
                <w:rFonts w:cs="宋体" w:asciiTheme="minorEastAsia" w:hAnsiTheme="minorEastAsia" w:eastAsiaTheme="minorEastAsia"/>
                <w:color w:val="auto"/>
                <w:kern w:val="0"/>
                <w:sz w:val="22"/>
              </w:rPr>
              <w:t>5分；执行政府指令不到位的，每次酌情扣2-5分；扣完为止。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企业执行公交行业管理部门下达的公交线路新辟、调整、延伸、延时等指令性任务情况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7</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企业拒绝执行政府指令，每次扣</w:t>
            </w:r>
            <w:r>
              <w:rPr>
                <w:rFonts w:cs="宋体" w:asciiTheme="minorEastAsia" w:hAnsiTheme="minorEastAsia" w:eastAsiaTheme="minorEastAsia"/>
                <w:color w:val="auto"/>
                <w:kern w:val="0"/>
                <w:sz w:val="22"/>
              </w:rPr>
              <w:t>5分；执行政府指令不到位的，每次酌情扣2-5分；扣完为止。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restart"/>
            <w:vAlign w:val="center"/>
          </w:tcPr>
          <w:p>
            <w:pPr>
              <w:spacing w:line="360" w:lineRule="auto"/>
              <w:ind w:firstLine="440"/>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季度指标（</w:t>
            </w:r>
            <w:r>
              <w:rPr>
                <w:rFonts w:cs="宋体" w:asciiTheme="minorEastAsia" w:hAnsiTheme="minorEastAsia" w:eastAsiaTheme="minorEastAsia"/>
                <w:color w:val="auto"/>
                <w:kern w:val="0"/>
                <w:sz w:val="22"/>
              </w:rPr>
              <w:t>10</w:t>
            </w:r>
            <w:r>
              <w:rPr>
                <w:rFonts w:hint="eastAsia" w:cs="宋体" w:asciiTheme="minorEastAsia" w:hAnsiTheme="minorEastAsia" w:eastAsiaTheme="minorEastAsia"/>
                <w:color w:val="auto"/>
                <w:kern w:val="0"/>
                <w:sz w:val="22"/>
              </w:rPr>
              <w:t>分）</w:t>
            </w: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w:t>
            </w:r>
            <w:r>
              <w:rPr>
                <w:rFonts w:cs="宋体" w:asciiTheme="minorEastAsia" w:hAnsiTheme="minorEastAsia" w:eastAsiaTheme="minorEastAsia"/>
                <w:color w:val="auto"/>
                <w:kern w:val="0"/>
                <w:sz w:val="22"/>
              </w:rPr>
              <w:t>执行</w:t>
            </w:r>
            <w:r>
              <w:rPr>
                <w:rFonts w:hint="eastAsia" w:cs="宋体" w:asciiTheme="minorEastAsia" w:hAnsiTheme="minorEastAsia" w:eastAsiaTheme="minorEastAsia"/>
                <w:color w:val="auto"/>
                <w:kern w:val="0"/>
                <w:sz w:val="22"/>
              </w:rPr>
              <w:t>的</w:t>
            </w:r>
            <w:r>
              <w:rPr>
                <w:rFonts w:cs="宋体" w:asciiTheme="minorEastAsia" w:hAnsiTheme="minorEastAsia" w:eastAsiaTheme="minorEastAsia"/>
                <w:color w:val="auto"/>
                <w:kern w:val="0"/>
                <w:sz w:val="22"/>
              </w:rPr>
              <w:t>公交行业</w:t>
            </w:r>
            <w:r>
              <w:rPr>
                <w:rFonts w:hint="eastAsia" w:cs="宋体" w:asciiTheme="minorEastAsia" w:hAnsiTheme="minorEastAsia" w:eastAsiaTheme="minorEastAsia"/>
                <w:color w:val="auto"/>
                <w:kern w:val="0"/>
                <w:sz w:val="22"/>
              </w:rPr>
              <w:t>管理部门</w:t>
            </w:r>
            <w:r>
              <w:rPr>
                <w:rFonts w:cs="宋体" w:asciiTheme="minorEastAsia" w:hAnsiTheme="minorEastAsia" w:eastAsiaTheme="minorEastAsia"/>
                <w:color w:val="auto"/>
                <w:kern w:val="0"/>
                <w:sz w:val="22"/>
              </w:rPr>
              <w:t>下达的季度收入指标</w:t>
            </w:r>
            <w:r>
              <w:rPr>
                <w:rFonts w:hint="eastAsia" w:cs="宋体" w:asciiTheme="minorEastAsia" w:hAnsiTheme="minorEastAsia" w:eastAsiaTheme="minorEastAsia"/>
                <w:color w:val="auto"/>
                <w:kern w:val="0"/>
                <w:sz w:val="22"/>
              </w:rPr>
              <w:t>完成</w:t>
            </w:r>
            <w:r>
              <w:rPr>
                <w:rFonts w:cs="宋体" w:asciiTheme="minorEastAsia" w:hAnsiTheme="minorEastAsia" w:eastAsiaTheme="minorEastAsia"/>
                <w:color w:val="auto"/>
                <w:kern w:val="0"/>
                <w:sz w:val="22"/>
              </w:rPr>
              <w:t>情况</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3</w:t>
            </w:r>
          </w:p>
        </w:tc>
        <w:tc>
          <w:tcPr>
            <w:tcW w:w="2250" w:type="dxa"/>
            <w:vMerge w:val="restart"/>
            <w:vAlign w:val="center"/>
          </w:tcPr>
          <w:p>
            <w:pPr>
              <w:spacing w:line="360" w:lineRule="auto"/>
              <w:ind w:firstLine="1"/>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行业管理部门结合日常工作考核</w:t>
            </w: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企业当季度完成的收入指标，</w:t>
            </w:r>
            <w:r>
              <w:rPr>
                <w:rFonts w:hint="eastAsia" w:cs="宋体" w:asciiTheme="minorEastAsia" w:hAnsiTheme="minorEastAsia" w:eastAsiaTheme="minorEastAsia"/>
                <w:color w:val="auto"/>
                <w:kern w:val="0"/>
                <w:sz w:val="22"/>
              </w:rPr>
              <w:t>每</w:t>
            </w:r>
            <w:r>
              <w:rPr>
                <w:rFonts w:cs="宋体" w:asciiTheme="minorEastAsia" w:hAnsiTheme="minorEastAsia" w:eastAsiaTheme="minorEastAsia"/>
                <w:color w:val="auto"/>
                <w:kern w:val="0"/>
                <w:sz w:val="22"/>
              </w:rPr>
              <w:t>少完成1%扣0.1分，扣完为止。</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c>
          <w:tcPr>
            <w:tcW w:w="2600"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根据季度重点工作需要灵活制定其他</w:t>
            </w:r>
            <w:r>
              <w:rPr>
                <w:rFonts w:cs="宋体" w:asciiTheme="minorEastAsia" w:hAnsiTheme="minorEastAsia" w:eastAsiaTheme="minorEastAsia"/>
                <w:color w:val="auto"/>
                <w:kern w:val="0"/>
                <w:sz w:val="22"/>
              </w:rPr>
              <w:t>季度</w:t>
            </w:r>
            <w:r>
              <w:rPr>
                <w:rFonts w:hint="eastAsia" w:cs="宋体" w:asciiTheme="minorEastAsia" w:hAnsiTheme="minorEastAsia" w:eastAsiaTheme="minorEastAsia"/>
                <w:color w:val="auto"/>
                <w:kern w:val="0"/>
                <w:sz w:val="22"/>
              </w:rPr>
              <w:t>考核</w:t>
            </w:r>
            <w:r>
              <w:rPr>
                <w:rFonts w:cs="宋体" w:asciiTheme="minorEastAsia" w:hAnsiTheme="minorEastAsia" w:eastAsiaTheme="minorEastAsia"/>
                <w:color w:val="auto"/>
                <w:kern w:val="0"/>
                <w:sz w:val="22"/>
              </w:rPr>
              <w:t>指标</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7</w:t>
            </w:r>
          </w:p>
        </w:tc>
        <w:tc>
          <w:tcPr>
            <w:tcW w:w="2250" w:type="dxa"/>
            <w:vMerge w:val="continue"/>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c>
          <w:tcPr>
            <w:tcW w:w="5527" w:type="dxa"/>
            <w:shd w:val="clear" w:color="auto" w:fill="auto"/>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根据季度工程推进计划和工作完成情况，酌情加减分，加分不超过</w:t>
            </w:r>
            <w:r>
              <w:rPr>
                <w:rFonts w:cs="宋体" w:asciiTheme="minorEastAsia" w:hAnsiTheme="minorEastAsia" w:eastAsiaTheme="minorEastAsia"/>
                <w:color w:val="auto"/>
                <w:kern w:val="0"/>
                <w:sz w:val="22"/>
              </w:rPr>
              <w:t>2分。</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合计</w:t>
            </w:r>
          </w:p>
        </w:tc>
        <w:tc>
          <w:tcPr>
            <w:tcW w:w="260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　</w:t>
            </w:r>
          </w:p>
        </w:tc>
        <w:tc>
          <w:tcPr>
            <w:tcW w:w="82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cs="宋体" w:asciiTheme="minorEastAsia" w:hAnsiTheme="minorEastAsia" w:eastAsiaTheme="minorEastAsia"/>
                <w:color w:val="auto"/>
                <w:kern w:val="0"/>
                <w:sz w:val="22"/>
              </w:rPr>
              <w:t>100</w:t>
            </w:r>
          </w:p>
        </w:tc>
        <w:tc>
          <w:tcPr>
            <w:tcW w:w="225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　</w:t>
            </w:r>
          </w:p>
        </w:tc>
        <w:tc>
          <w:tcPr>
            <w:tcW w:w="5527"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　</w:t>
            </w:r>
          </w:p>
        </w:tc>
        <w:tc>
          <w:tcPr>
            <w:tcW w:w="1040" w:type="dxa"/>
            <w:shd w:val="clear" w:color="auto" w:fill="auto"/>
            <w:vAlign w:val="center"/>
          </w:tcPr>
          <w:p>
            <w:pPr>
              <w:widowControl/>
              <w:spacing w:line="360" w:lineRule="auto"/>
              <w:jc w:val="center"/>
              <w:rPr>
                <w:rFonts w:cs="宋体" w:asciiTheme="minorEastAsia" w:hAnsiTheme="minorEastAsia" w:eastAsiaTheme="minorEastAsia"/>
                <w:color w:val="auto"/>
                <w:kern w:val="0"/>
                <w:sz w:val="22"/>
              </w:rPr>
            </w:pPr>
          </w:p>
        </w:tc>
      </w:tr>
    </w:tbl>
    <w:p>
      <w:pPr>
        <w:spacing w:line="360" w:lineRule="auto"/>
        <w:ind w:firstLine="640"/>
        <w:rPr>
          <w:rFonts w:asciiTheme="minorEastAsia" w:hAnsiTheme="minorEastAsia" w:eastAsiaTheme="minorEastAsia"/>
          <w:color w:val="auto"/>
          <w:sz w:val="32"/>
          <w:szCs w:val="32"/>
        </w:rPr>
      </w:pPr>
    </w:p>
    <w:p>
      <w:pPr>
        <w:spacing w:line="360" w:lineRule="auto"/>
        <w:rPr>
          <w:rFonts w:asciiTheme="minorEastAsia" w:hAnsiTheme="minorEastAsia" w:eastAsiaTheme="minorEastAsia"/>
          <w:color w:val="auto"/>
        </w:rPr>
        <w:sectPr>
          <w:footerReference r:id="rId10" w:type="default"/>
          <w:pgSz w:w="16840" w:h="11910" w:orient="landscape"/>
          <w:pgMar w:top="1417" w:right="1417" w:bottom="1417" w:left="1417" w:header="720" w:footer="720" w:gutter="0"/>
          <w:cols w:space="425" w:num="1"/>
        </w:sectPr>
      </w:pPr>
    </w:p>
    <w:p>
      <w:pPr>
        <w:spacing w:beforeLines="50" w:afterLines="50" w:line="360" w:lineRule="auto"/>
        <w:ind w:firstLine="2182" w:firstLineChars="494"/>
        <w:outlineLvl w:val="0"/>
        <w:rPr>
          <w:rFonts w:cs="宋体" w:asciiTheme="minorEastAsia" w:hAnsiTheme="minorEastAsia" w:eastAsiaTheme="minorEastAsia"/>
          <w:b/>
          <w:color w:val="auto"/>
          <w:sz w:val="44"/>
          <w:szCs w:val="44"/>
        </w:rPr>
      </w:pPr>
      <w:bookmarkStart w:id="209" w:name="_Toc30522_WPSOffice_Level1"/>
      <w:bookmarkStart w:id="210" w:name="_Toc19891219"/>
      <w:r>
        <w:rPr>
          <w:rFonts w:hint="eastAsia" w:cs="宋体" w:asciiTheme="minorEastAsia" w:hAnsiTheme="minorEastAsia" w:eastAsiaTheme="minorEastAsia"/>
          <w:b/>
          <w:color w:val="auto"/>
          <w:sz w:val="44"/>
          <w:szCs w:val="44"/>
        </w:rPr>
        <w:t>第四部分 评标办法及标准</w:t>
      </w:r>
      <w:bookmarkEnd w:id="209"/>
      <w:bookmarkEnd w:id="210"/>
    </w:p>
    <w:p>
      <w:pPr>
        <w:pStyle w:val="4"/>
        <w:shd w:val="clear" w:color="auto" w:fill="FFFFFF"/>
        <w:spacing w:before="0" w:after="0" w:line="360" w:lineRule="auto"/>
        <w:rPr>
          <w:rFonts w:asciiTheme="minorEastAsia" w:hAnsiTheme="minorEastAsia" w:eastAsiaTheme="minorEastAsia"/>
          <w:bCs/>
          <w:color w:val="auto"/>
          <w:szCs w:val="32"/>
          <w:shd w:val="clear" w:color="auto" w:fill="FFFFFF"/>
        </w:rPr>
      </w:pPr>
      <w:bookmarkStart w:id="211" w:name="初步评审标准："/>
      <w:bookmarkEnd w:id="211"/>
      <w:bookmarkStart w:id="212" w:name="前附表"/>
      <w:bookmarkEnd w:id="212"/>
      <w:bookmarkStart w:id="213" w:name="_Toc19881832"/>
      <w:r>
        <w:rPr>
          <w:rFonts w:hint="eastAsia" w:asciiTheme="minorEastAsia" w:hAnsiTheme="minorEastAsia" w:eastAsiaTheme="minorEastAsia"/>
          <w:bCs/>
          <w:color w:val="auto"/>
          <w:szCs w:val="32"/>
          <w:shd w:val="clear" w:color="auto" w:fill="FFFFFF"/>
        </w:rPr>
        <w:t>一、评审办法</w:t>
      </w:r>
      <w:bookmarkEnd w:id="213"/>
    </w:p>
    <w:p>
      <w:pPr>
        <w:shd w:val="clear" w:color="auto" w:fill="FFFFFF"/>
        <w:snapToGrid w:val="0"/>
        <w:spacing w:line="360" w:lineRule="auto"/>
        <w:ind w:firstLine="480" w:firstLineChars="2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1、评标办法采用综合评分法。</w:t>
      </w:r>
    </w:p>
    <w:p>
      <w:pPr>
        <w:shd w:val="clear" w:color="auto" w:fill="FFFFFF"/>
        <w:snapToGrid w:val="0"/>
        <w:spacing w:line="360" w:lineRule="auto"/>
        <w:ind w:firstLine="480" w:firstLineChars="2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2、综合评分法评标步骤：先进行采购人及采购代理机构进行资格审查，然后由评标委员会进行符合性以及技术、商务的详细评审。只有通过符合性审查的投标人才能进入详细的评审。</w:t>
      </w:r>
    </w:p>
    <w:p>
      <w:pPr>
        <w:shd w:val="clear" w:color="auto" w:fill="FFFFFF"/>
        <w:snapToGrid w:val="0"/>
        <w:spacing w:line="360" w:lineRule="auto"/>
        <w:ind w:firstLine="480" w:firstLineChars="2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3、有以下情况的将不能通过初步评审：</w:t>
      </w:r>
    </w:p>
    <w:p>
      <w:pPr>
        <w:widowControl/>
        <w:numPr>
          <w:ilvl w:val="0"/>
          <w:numId w:val="4"/>
        </w:numPr>
        <w:spacing w:line="360" w:lineRule="auto"/>
        <w:jc w:val="left"/>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投标人未能满足投标人资格要求的；</w:t>
      </w:r>
    </w:p>
    <w:p>
      <w:pPr>
        <w:widowControl/>
        <w:numPr>
          <w:ilvl w:val="0"/>
          <w:numId w:val="4"/>
        </w:numPr>
        <w:spacing w:line="360" w:lineRule="auto"/>
        <w:jc w:val="left"/>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 xml:space="preserve">投标人未提交法人授权委托书的； </w:t>
      </w:r>
    </w:p>
    <w:p>
      <w:pPr>
        <w:widowControl/>
        <w:numPr>
          <w:ilvl w:val="0"/>
          <w:numId w:val="4"/>
        </w:numPr>
        <w:spacing w:line="360" w:lineRule="auto"/>
        <w:jc w:val="left"/>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投标人未按招标文件要求的金额提交投标保证金的；</w:t>
      </w:r>
    </w:p>
    <w:p>
      <w:pPr>
        <w:widowControl/>
        <w:numPr>
          <w:ilvl w:val="0"/>
          <w:numId w:val="4"/>
        </w:numPr>
        <w:spacing w:line="360" w:lineRule="auto"/>
        <w:jc w:val="left"/>
        <w:rPr>
          <w:rFonts w:hint="eastAsia"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投标有效期不足的；</w:t>
      </w:r>
    </w:p>
    <w:p>
      <w:pPr>
        <w:widowControl/>
        <w:numPr>
          <w:ilvl w:val="0"/>
          <w:numId w:val="4"/>
        </w:numPr>
        <w:spacing w:line="360" w:lineRule="auto"/>
        <w:jc w:val="left"/>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服务时间不满足要求的；</w:t>
      </w:r>
    </w:p>
    <w:p>
      <w:pPr>
        <w:widowControl/>
        <w:numPr>
          <w:ilvl w:val="0"/>
          <w:numId w:val="4"/>
        </w:numPr>
        <w:spacing w:line="360" w:lineRule="auto"/>
        <w:jc w:val="left"/>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投标文件未按招标文件规定格式要求，存在重大缺漏的；</w:t>
      </w:r>
    </w:p>
    <w:p>
      <w:pPr>
        <w:widowControl/>
        <w:numPr>
          <w:ilvl w:val="0"/>
          <w:numId w:val="4"/>
        </w:numPr>
        <w:spacing w:line="360" w:lineRule="auto"/>
        <w:jc w:val="left"/>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不符合招标文件规定的其它条件。</w:t>
      </w:r>
    </w:p>
    <w:p>
      <w:pPr>
        <w:spacing w:line="360" w:lineRule="auto"/>
        <w:ind w:left="345"/>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4、判断投标文件的响应与否只根据投标文件本身，而不寻求外部证据。</w:t>
      </w:r>
    </w:p>
    <w:p>
      <w:pPr>
        <w:pStyle w:val="4"/>
        <w:shd w:val="clear" w:color="auto" w:fill="FFFFFF"/>
        <w:spacing w:before="0" w:after="0" w:line="360" w:lineRule="auto"/>
        <w:rPr>
          <w:rFonts w:asciiTheme="minorEastAsia" w:hAnsiTheme="minorEastAsia" w:eastAsiaTheme="minorEastAsia"/>
          <w:bCs/>
          <w:color w:val="auto"/>
          <w:szCs w:val="32"/>
          <w:shd w:val="clear" w:color="auto" w:fill="FFFFFF"/>
        </w:rPr>
      </w:pPr>
      <w:bookmarkStart w:id="214" w:name="_Toc19881833"/>
      <w:r>
        <w:rPr>
          <w:rFonts w:hint="eastAsia" w:asciiTheme="minorEastAsia" w:hAnsiTheme="minorEastAsia" w:eastAsiaTheme="minorEastAsia"/>
          <w:bCs/>
          <w:color w:val="auto"/>
          <w:szCs w:val="32"/>
          <w:shd w:val="clear" w:color="auto" w:fill="FFFFFF"/>
        </w:rPr>
        <w:t>二、资格审查</w:t>
      </w:r>
      <w:bookmarkEnd w:id="214"/>
    </w:p>
    <w:p>
      <w:pPr>
        <w:shd w:val="clear" w:color="auto" w:fill="FFFFFF"/>
        <w:snapToGrid w:val="0"/>
        <w:spacing w:line="360" w:lineRule="auto"/>
        <w:ind w:firstLine="240" w:firstLineChars="1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1、根据财政部87号令第四十四条的规定，采购人、采购代理机构对投标人的资格进行审查。</w:t>
      </w:r>
    </w:p>
    <w:p>
      <w:pPr>
        <w:shd w:val="clear" w:color="auto" w:fill="FFFFFF"/>
        <w:snapToGrid w:val="0"/>
        <w:spacing w:line="360" w:lineRule="auto"/>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 xml:space="preserve">   2、采购人、采购代理机构根据“资格审查表”（附表1）对投标人的资格性进行评审，只有对“资格审查表”（附表1）所列各项作出实质性响应的投标文件才能通过资格评审。</w:t>
      </w:r>
    </w:p>
    <w:p>
      <w:pPr>
        <w:spacing w:line="360" w:lineRule="auto"/>
        <w:ind w:left="345"/>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3、通过资格审查的投标人不足三家，则本次招标失败。</w:t>
      </w:r>
    </w:p>
    <w:p>
      <w:pPr>
        <w:pStyle w:val="4"/>
        <w:shd w:val="clear" w:color="auto" w:fill="FFFFFF"/>
        <w:spacing w:before="0" w:after="0" w:line="360" w:lineRule="auto"/>
        <w:rPr>
          <w:rFonts w:asciiTheme="minorEastAsia" w:hAnsiTheme="minorEastAsia" w:eastAsiaTheme="minorEastAsia"/>
          <w:bCs/>
          <w:color w:val="auto"/>
          <w:szCs w:val="32"/>
          <w:shd w:val="clear" w:color="auto" w:fill="FFFFFF"/>
        </w:rPr>
      </w:pPr>
      <w:bookmarkStart w:id="215" w:name="_Toc19881834"/>
      <w:r>
        <w:rPr>
          <w:rFonts w:hint="eastAsia" w:asciiTheme="minorEastAsia" w:hAnsiTheme="minorEastAsia" w:eastAsiaTheme="minorEastAsia"/>
          <w:bCs/>
          <w:color w:val="auto"/>
          <w:szCs w:val="32"/>
          <w:shd w:val="clear" w:color="auto" w:fill="FFFFFF"/>
        </w:rPr>
        <w:t>三、符合性审查</w:t>
      </w:r>
      <w:bookmarkEnd w:id="215"/>
    </w:p>
    <w:p>
      <w:pPr>
        <w:shd w:val="clear" w:color="auto" w:fill="FFFFFF"/>
        <w:snapToGrid w:val="0"/>
        <w:spacing w:line="360" w:lineRule="auto"/>
        <w:ind w:firstLine="480" w:firstLineChars="2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1. 评标委员会根据“符合性审查表”（附表2）对通过资格审查的投标文件进行符合性评审，只有对“符合性审查表”（附表2）所列各项作出实质性响应的投标文件才能通过符合性审查。对是否实质性响应招标文件的要求有争议的投标内容，评标委员会将以记名方式表决，得票超过半数的投标人有资格进入下一阶段的评审，否则将被淘汰。</w:t>
      </w:r>
    </w:p>
    <w:p>
      <w:pPr>
        <w:spacing w:line="360" w:lineRule="auto"/>
        <w:ind w:firstLine="480" w:firstLineChars="2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2．判断投标文件的响应与否只根据投标文件本身，而不寻求外部证据。</w:t>
      </w:r>
    </w:p>
    <w:p>
      <w:pPr>
        <w:spacing w:line="360" w:lineRule="auto"/>
        <w:ind w:firstLine="480" w:firstLineChars="2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3. 评标委员会在符合性审查中，对算术错误的修正原则如下:</w:t>
      </w:r>
    </w:p>
    <w:p>
      <w:pPr>
        <w:spacing w:line="360" w:lineRule="auto"/>
        <w:ind w:firstLine="240" w:firstLineChars="1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（1）开标一览表内容与投标文件中明细表内容不一致的，以开标一览表为准</w:t>
      </w:r>
    </w:p>
    <w:p>
      <w:pPr>
        <w:spacing w:line="360" w:lineRule="auto"/>
        <w:ind w:firstLine="240" w:firstLineChars="1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（2）投标文件的大写金额和小写金额不一致的，以大写金额为准；</w:t>
      </w:r>
    </w:p>
    <w:p>
      <w:pPr>
        <w:spacing w:line="360" w:lineRule="auto"/>
        <w:ind w:firstLine="240" w:firstLineChars="1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（3）总价金额与按单价汇总金额不一致的，以单价金额计算结果为准；</w:t>
      </w:r>
    </w:p>
    <w:p>
      <w:pPr>
        <w:spacing w:line="360" w:lineRule="auto"/>
        <w:ind w:firstLine="240" w:firstLineChars="1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（4）单价金额小数点有明显错位的，以总价为准并修改单价。</w:t>
      </w:r>
    </w:p>
    <w:p>
      <w:pPr>
        <w:spacing w:line="360" w:lineRule="auto"/>
        <w:ind w:firstLine="240" w:firstLineChars="1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（5）若投标人不同意以上修正，投标文件将视为无效。</w:t>
      </w:r>
    </w:p>
    <w:p>
      <w:pPr>
        <w:spacing w:line="360" w:lineRule="auto"/>
        <w:ind w:firstLine="357" w:firstLineChars="149"/>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4.通过符合性审查的投标人不足三家，则本次招标失败。</w:t>
      </w:r>
    </w:p>
    <w:p>
      <w:pPr>
        <w:pStyle w:val="4"/>
        <w:shd w:val="clear" w:color="auto" w:fill="FFFFFF"/>
        <w:spacing w:before="0" w:after="0" w:line="360" w:lineRule="auto"/>
        <w:rPr>
          <w:rFonts w:asciiTheme="minorEastAsia" w:hAnsiTheme="minorEastAsia" w:eastAsiaTheme="minorEastAsia"/>
          <w:bCs/>
          <w:color w:val="auto"/>
          <w:szCs w:val="32"/>
          <w:shd w:val="clear" w:color="auto" w:fill="FFFFFF"/>
        </w:rPr>
      </w:pPr>
      <w:bookmarkStart w:id="216" w:name="_Toc19881835"/>
      <w:r>
        <w:rPr>
          <w:rFonts w:hint="eastAsia" w:asciiTheme="minorEastAsia" w:hAnsiTheme="minorEastAsia" w:eastAsiaTheme="minorEastAsia"/>
          <w:bCs/>
          <w:color w:val="auto"/>
          <w:szCs w:val="32"/>
          <w:shd w:val="clear" w:color="auto" w:fill="FFFFFF"/>
        </w:rPr>
        <w:t>四、详细评审</w:t>
      </w:r>
      <w:bookmarkEnd w:id="216"/>
    </w:p>
    <w:p>
      <w:pPr>
        <w:shd w:val="clear" w:color="auto" w:fill="FFFFFF"/>
        <w:tabs>
          <w:tab w:val="left" w:pos="720"/>
        </w:tabs>
        <w:snapToGrid w:val="0"/>
        <w:spacing w:line="360" w:lineRule="auto"/>
        <w:ind w:firstLine="480" w:firstLineChars="2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1.评标委员会根据评审办法对通过初步评审的投标文件进行详细评审，并进行技术、商务和报价的评审打分。</w:t>
      </w:r>
    </w:p>
    <w:p>
      <w:pPr>
        <w:shd w:val="clear" w:color="auto" w:fill="FFFFFF"/>
        <w:tabs>
          <w:tab w:val="left" w:pos="720"/>
        </w:tabs>
        <w:snapToGrid w:val="0"/>
        <w:spacing w:line="360" w:lineRule="auto"/>
        <w:ind w:right="630" w:firstLine="480" w:firstLineChars="2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2.技术、商务评分：具体评审的内容详见（附表）；</w:t>
      </w:r>
    </w:p>
    <w:p>
      <w:pPr>
        <w:shd w:val="clear" w:color="auto" w:fill="FFFFFF"/>
        <w:tabs>
          <w:tab w:val="left" w:pos="720"/>
        </w:tabs>
        <w:snapToGrid w:val="0"/>
        <w:spacing w:line="360" w:lineRule="auto"/>
        <w:ind w:firstLine="480" w:firstLineChars="200"/>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3.技术、商务、报价权重分配</w:t>
      </w:r>
    </w:p>
    <w:tbl>
      <w:tblPr>
        <w:tblStyle w:val="23"/>
        <w:tblW w:w="9461" w:type="dxa"/>
        <w:jc w:val="center"/>
        <w:tblInd w:w="2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937"/>
        <w:gridCol w:w="2382"/>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1418" w:type="dxa"/>
            <w:vAlign w:val="center"/>
          </w:tcPr>
          <w:p>
            <w:pPr>
              <w:shd w:val="clear" w:color="auto" w:fill="FFFFFF"/>
              <w:snapToGrid w:val="0"/>
              <w:spacing w:line="360" w:lineRule="auto"/>
              <w:jc w:val="center"/>
              <w:rPr>
                <w:rFonts w:asciiTheme="minorEastAsia" w:hAnsiTheme="minorEastAsia" w:eastAsiaTheme="minorEastAsia"/>
                <w:b/>
                <w:color w:val="auto"/>
                <w:sz w:val="24"/>
                <w:shd w:val="clear" w:color="auto" w:fill="FFFFFF"/>
              </w:rPr>
            </w:pPr>
            <w:r>
              <w:rPr>
                <w:rFonts w:hint="eastAsia" w:asciiTheme="minorEastAsia" w:hAnsiTheme="minorEastAsia" w:eastAsiaTheme="minorEastAsia"/>
                <w:b/>
                <w:color w:val="auto"/>
                <w:sz w:val="24"/>
                <w:shd w:val="clear" w:color="auto" w:fill="FFFFFF"/>
              </w:rPr>
              <w:t>评估因素</w:t>
            </w:r>
          </w:p>
        </w:tc>
        <w:tc>
          <w:tcPr>
            <w:tcW w:w="2937" w:type="dxa"/>
            <w:vAlign w:val="center"/>
          </w:tcPr>
          <w:p>
            <w:pPr>
              <w:shd w:val="clear" w:color="auto" w:fill="FFFFFF"/>
              <w:snapToGrid w:val="0"/>
              <w:spacing w:line="360" w:lineRule="auto"/>
              <w:jc w:val="center"/>
              <w:rPr>
                <w:rFonts w:asciiTheme="minorEastAsia" w:hAnsiTheme="minorEastAsia" w:eastAsiaTheme="minorEastAsia"/>
                <w:b/>
                <w:color w:val="auto"/>
                <w:sz w:val="24"/>
                <w:shd w:val="clear" w:color="auto" w:fill="FFFFFF"/>
              </w:rPr>
            </w:pPr>
            <w:r>
              <w:rPr>
                <w:rFonts w:hint="eastAsia" w:asciiTheme="minorEastAsia" w:hAnsiTheme="minorEastAsia" w:eastAsiaTheme="minorEastAsia"/>
                <w:b/>
                <w:color w:val="auto"/>
                <w:sz w:val="24"/>
                <w:shd w:val="clear" w:color="auto" w:fill="FFFFFF"/>
              </w:rPr>
              <w:t>商务部分</w:t>
            </w:r>
          </w:p>
        </w:tc>
        <w:tc>
          <w:tcPr>
            <w:tcW w:w="2382" w:type="dxa"/>
            <w:vAlign w:val="center"/>
          </w:tcPr>
          <w:p>
            <w:pPr>
              <w:shd w:val="clear" w:color="auto" w:fill="FFFFFF"/>
              <w:snapToGrid w:val="0"/>
              <w:spacing w:line="360" w:lineRule="auto"/>
              <w:jc w:val="center"/>
              <w:rPr>
                <w:rFonts w:asciiTheme="minorEastAsia" w:hAnsiTheme="minorEastAsia" w:eastAsiaTheme="minorEastAsia"/>
                <w:b/>
                <w:color w:val="auto"/>
                <w:sz w:val="24"/>
                <w:shd w:val="clear" w:color="auto" w:fill="FFFFFF"/>
              </w:rPr>
            </w:pPr>
            <w:r>
              <w:rPr>
                <w:rFonts w:hint="eastAsia" w:asciiTheme="minorEastAsia" w:hAnsiTheme="minorEastAsia" w:eastAsiaTheme="minorEastAsia"/>
                <w:b/>
                <w:color w:val="auto"/>
                <w:sz w:val="24"/>
                <w:shd w:val="clear" w:color="auto" w:fill="FFFFFF"/>
              </w:rPr>
              <w:t>技术部分</w:t>
            </w:r>
          </w:p>
        </w:tc>
        <w:tc>
          <w:tcPr>
            <w:tcW w:w="2724" w:type="dxa"/>
            <w:vAlign w:val="center"/>
          </w:tcPr>
          <w:p>
            <w:pPr>
              <w:shd w:val="clear" w:color="auto" w:fill="FFFFFF"/>
              <w:snapToGrid w:val="0"/>
              <w:spacing w:line="360" w:lineRule="auto"/>
              <w:jc w:val="center"/>
              <w:rPr>
                <w:rFonts w:asciiTheme="minorEastAsia" w:hAnsiTheme="minorEastAsia" w:eastAsiaTheme="minorEastAsia"/>
                <w:b/>
                <w:color w:val="auto"/>
                <w:sz w:val="24"/>
                <w:shd w:val="clear" w:color="auto" w:fill="FFFFFF"/>
              </w:rPr>
            </w:pPr>
            <w:r>
              <w:rPr>
                <w:rFonts w:hint="eastAsia" w:asciiTheme="minorEastAsia" w:hAnsiTheme="minorEastAsia" w:eastAsiaTheme="minorEastAsia"/>
                <w:b/>
                <w:color w:val="auto"/>
                <w:sz w:val="24"/>
                <w:shd w:val="clear" w:color="auto" w:fill="FFFFFF"/>
              </w:rPr>
              <w:t>报价部分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1418" w:type="dxa"/>
            <w:vAlign w:val="center"/>
          </w:tcPr>
          <w:p>
            <w:pPr>
              <w:shd w:val="clear" w:color="auto" w:fill="FFFFFF"/>
              <w:snapToGrid w:val="0"/>
              <w:spacing w:line="360" w:lineRule="auto"/>
              <w:jc w:val="center"/>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权重</w:t>
            </w:r>
          </w:p>
        </w:tc>
        <w:tc>
          <w:tcPr>
            <w:tcW w:w="2937" w:type="dxa"/>
            <w:vAlign w:val="center"/>
          </w:tcPr>
          <w:p>
            <w:pPr>
              <w:shd w:val="clear" w:color="auto" w:fill="FFFFFF"/>
              <w:snapToGrid w:val="0"/>
              <w:spacing w:line="360" w:lineRule="auto"/>
              <w:jc w:val="center"/>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50%</w:t>
            </w:r>
          </w:p>
        </w:tc>
        <w:tc>
          <w:tcPr>
            <w:tcW w:w="2382" w:type="dxa"/>
            <w:vAlign w:val="center"/>
          </w:tcPr>
          <w:p>
            <w:pPr>
              <w:shd w:val="clear" w:color="auto" w:fill="FFFFFF"/>
              <w:snapToGrid w:val="0"/>
              <w:spacing w:line="360" w:lineRule="auto"/>
              <w:jc w:val="center"/>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30%</w:t>
            </w:r>
          </w:p>
        </w:tc>
        <w:tc>
          <w:tcPr>
            <w:tcW w:w="2724" w:type="dxa"/>
            <w:vAlign w:val="center"/>
          </w:tcPr>
          <w:p>
            <w:pPr>
              <w:shd w:val="clear" w:color="auto" w:fill="FFFFFF"/>
              <w:snapToGrid w:val="0"/>
              <w:spacing w:line="360" w:lineRule="auto"/>
              <w:jc w:val="center"/>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20%</w:t>
            </w:r>
          </w:p>
        </w:tc>
      </w:tr>
    </w:tbl>
    <w:p>
      <w:pPr>
        <w:shd w:val="clear" w:color="auto" w:fill="FFFFFF"/>
        <w:tabs>
          <w:tab w:val="left" w:pos="720"/>
        </w:tabs>
        <w:snapToGrid w:val="0"/>
        <w:spacing w:line="360" w:lineRule="auto"/>
        <w:ind w:firstLine="480" w:firstLineChars="200"/>
        <w:rPr>
          <w:rFonts w:asciiTheme="minorEastAsia" w:hAnsiTheme="minorEastAsia" w:eastAsiaTheme="minorEastAsia"/>
          <w:color w:val="auto"/>
          <w:sz w:val="24"/>
          <w:shd w:val="clear" w:color="auto" w:fill="FFFFFF"/>
        </w:rPr>
      </w:pPr>
    </w:p>
    <w:p>
      <w:pPr>
        <w:pStyle w:val="62"/>
        <w:spacing w:before="241" w:line="360" w:lineRule="auto"/>
        <w:ind w:left="112"/>
        <w:rPr>
          <w:rFonts w:asciiTheme="minorEastAsia" w:hAnsiTheme="minorEastAsia" w:eastAsiaTheme="minorEastAsia"/>
          <w:color w:val="auto"/>
          <w:sz w:val="24"/>
          <w:shd w:val="clear" w:color="auto" w:fill="FFFFFF"/>
        </w:rPr>
      </w:pPr>
      <w:r>
        <w:rPr>
          <w:rFonts w:hint="eastAsia" w:asciiTheme="minorEastAsia" w:hAnsiTheme="minorEastAsia" w:eastAsiaTheme="minorEastAsia"/>
          <w:color w:val="auto"/>
          <w:sz w:val="24"/>
          <w:shd w:val="clear" w:color="auto" w:fill="FFFFFF"/>
        </w:rPr>
        <w:t>4. 综合评分及其统计：按照评标程序、评分标准以及分值分配的规定，评标委员会成员分别就各个投标人的技术、商务、报价状况，其对招标文件要求的响应情况进行评议和比较，评出各投标人的综合得分。综合得分最高的投标人为第一中标候选投标人，综合得分次高的投标人为第二中标候选投标人，以此类推。综合得分相同的，按报价得分最高的顺序排列，报价得分相同的按技术指标由优至劣顺序排列。</w:t>
      </w:r>
    </w:p>
    <w:p>
      <w:pPr>
        <w:pStyle w:val="62"/>
        <w:spacing w:before="241" w:line="360" w:lineRule="auto"/>
        <w:ind w:left="112"/>
        <w:rPr>
          <w:rFonts w:cs="宋体" w:asciiTheme="minorEastAsia" w:hAnsiTheme="minorEastAsia" w:eastAsiaTheme="minorEastAsia"/>
          <w:color w:val="auto"/>
        </w:rPr>
      </w:pPr>
      <w:r>
        <w:rPr>
          <w:rFonts w:cs="宋体" w:asciiTheme="minorEastAsia" w:hAnsiTheme="minorEastAsia" w:eastAsiaTheme="minorEastAsia"/>
          <w:color w:val="auto"/>
        </w:rPr>
        <w:br w:type="page"/>
      </w:r>
      <w:r>
        <w:rPr>
          <w:rFonts w:hint="eastAsia" w:cs="宋体" w:asciiTheme="minorEastAsia" w:hAnsiTheme="minorEastAsia" w:eastAsiaTheme="minorEastAsia"/>
          <w:color w:val="auto"/>
        </w:rPr>
        <w:t>（一）初步评审标准：</w:t>
      </w:r>
    </w:p>
    <w:p>
      <w:pPr>
        <w:pStyle w:val="50"/>
        <w:spacing w:after="46" w:line="360" w:lineRule="auto"/>
        <w:rPr>
          <w:rFonts w:cs="宋体" w:asciiTheme="minorEastAsia" w:hAnsiTheme="minorEastAsia" w:eastAsiaTheme="minorEastAsia"/>
          <w:color w:val="auto"/>
        </w:rPr>
      </w:pPr>
      <w:bookmarkStart w:id="217" w:name="资格性审查标准"/>
      <w:bookmarkEnd w:id="217"/>
      <w:r>
        <w:rPr>
          <w:rFonts w:hint="eastAsia" w:cs="宋体" w:asciiTheme="minorEastAsia" w:hAnsiTheme="minorEastAsia" w:eastAsiaTheme="minorEastAsia"/>
          <w:color w:val="auto"/>
        </w:rPr>
        <w:t>1、资格性审查标准</w:t>
      </w:r>
    </w:p>
    <w:tbl>
      <w:tblPr>
        <w:tblStyle w:val="23"/>
        <w:tblW w:w="10211" w:type="dxa"/>
        <w:tblInd w:w="-5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953"/>
        <w:gridCol w:w="52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0" w:hRule="atLeast"/>
        </w:trPr>
        <w:tc>
          <w:tcPr>
            <w:tcW w:w="4953" w:type="dxa"/>
          </w:tcPr>
          <w:p>
            <w:pPr>
              <w:spacing w:line="360" w:lineRule="auto"/>
              <w:ind w:firstLine="275" w:firstLineChars="114"/>
              <w:jc w:val="center"/>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评审因素</w:t>
            </w:r>
          </w:p>
        </w:tc>
        <w:tc>
          <w:tcPr>
            <w:tcW w:w="5258" w:type="dxa"/>
          </w:tcPr>
          <w:p>
            <w:pPr>
              <w:spacing w:line="360" w:lineRule="auto"/>
              <w:jc w:val="center"/>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评审标准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4953" w:type="dxa"/>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在中华人民共和国注册的、具有独立承担民事责任能力的法人</w:t>
            </w:r>
          </w:p>
        </w:tc>
        <w:tc>
          <w:tcPr>
            <w:tcW w:w="5258" w:type="dxa"/>
          </w:tcPr>
          <w:p>
            <w:pPr>
              <w:spacing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提供营业执照副本复印件、组织机构代码证副本复印件、税务登记证副本复印件或改革后的“三证合一”或“多证合一”营业执照复印件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4953" w:type="dxa"/>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具有良好的商业信誉和健全的财务会计制度</w:t>
            </w:r>
          </w:p>
        </w:tc>
        <w:tc>
          <w:tcPr>
            <w:tcW w:w="5258" w:type="dxa"/>
          </w:tcPr>
          <w:p>
            <w:pPr>
              <w:spacing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提供2019年至今任意3个月的企业纳税证明或2018年度会计师事务所出具的年度财务审计报告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4953" w:type="dxa"/>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具有依法缴纳社会保障资金的良好记录</w:t>
            </w:r>
          </w:p>
        </w:tc>
        <w:tc>
          <w:tcPr>
            <w:tcW w:w="5258" w:type="dxa"/>
          </w:tcPr>
          <w:p>
            <w:pPr>
              <w:spacing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提供2019年至今任意3个月社会保障缴费记录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20" w:hRule="atLeast"/>
        </w:trPr>
        <w:tc>
          <w:tcPr>
            <w:tcW w:w="4953" w:type="dxa"/>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参加政府采购活动近三年内，在经营活动中没有重大违法记录的声明（提供声明函）</w:t>
            </w:r>
          </w:p>
        </w:tc>
        <w:tc>
          <w:tcPr>
            <w:tcW w:w="5258" w:type="dxa"/>
          </w:tcPr>
          <w:p>
            <w:pPr>
              <w:spacing w:line="360" w:lineRule="auto"/>
              <w:rPr>
                <w:rFonts w:cs="宋体" w:asciiTheme="minorEastAsia" w:hAnsiTheme="minorEastAsia" w:eastAsiaTheme="minorEastAsia"/>
                <w:color w:val="auto"/>
                <w:sz w:val="24"/>
              </w:rPr>
            </w:pPr>
          </w:p>
          <w:p>
            <w:pPr>
              <w:spacing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提供声明函加盖公章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5" w:hRule="atLeast"/>
        </w:trPr>
        <w:tc>
          <w:tcPr>
            <w:tcW w:w="4953" w:type="dxa"/>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投标人须具备有效的《道路运输经营许可证》（经营范围包含班车客运或者城市公交客运）</w:t>
            </w:r>
          </w:p>
        </w:tc>
        <w:tc>
          <w:tcPr>
            <w:tcW w:w="5258" w:type="dxa"/>
          </w:tcPr>
          <w:p>
            <w:pPr>
              <w:spacing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提供证书复印件加盖公章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70" w:hRule="atLeast"/>
        </w:trPr>
        <w:tc>
          <w:tcPr>
            <w:tcW w:w="4953" w:type="dxa"/>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未被列入信用中国网站“失信被执行人”、“重大税收违法案件当人”、“政府采购严重违法失信”名单及中国政府采购网“政府采购严重违法失信行为记录名单”的投标人</w:t>
            </w:r>
          </w:p>
        </w:tc>
        <w:tc>
          <w:tcPr>
            <w:tcW w:w="5258" w:type="dxa"/>
          </w:tcPr>
          <w:p>
            <w:pPr>
              <w:spacing w:line="360" w:lineRule="auto"/>
              <w:rPr>
                <w:rFonts w:cs="宋体" w:asciiTheme="minorEastAsia" w:hAnsiTheme="minorEastAsia" w:eastAsiaTheme="minorEastAsia"/>
                <w:color w:val="auto"/>
                <w:sz w:val="24"/>
              </w:rPr>
            </w:pPr>
          </w:p>
          <w:p>
            <w:pPr>
              <w:spacing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提供查询结果的网页截图并加盖单位公章，查询时间为公告发布开始时间至开标截止时间止，网页截图必须显示截图时间截图加盖公章</w:t>
            </w:r>
          </w:p>
        </w:tc>
      </w:tr>
    </w:tbl>
    <w:p>
      <w:pPr>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1、表中只需填写“√/通过”或“×/不通过”。</w:t>
      </w:r>
    </w:p>
    <w:p>
      <w:pPr>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2、在结论中按“一项否决”的原则，只有全部是√/通过的，填写“合格”；只要其中有一项是×/不通过的，填写“不合格”。</w:t>
      </w:r>
    </w:p>
    <w:p>
      <w:pPr>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3、结论是合格的，才能进入下一轮；不合格的被淘汰。</w:t>
      </w:r>
    </w:p>
    <w:p>
      <w:pPr>
        <w:spacing w:line="360" w:lineRule="auto"/>
        <w:rPr>
          <w:rFonts w:cs="宋体" w:asciiTheme="minorEastAsia" w:hAnsiTheme="minorEastAsia" w:eastAsiaTheme="minorEastAsia"/>
          <w:b/>
          <w:color w:val="auto"/>
          <w:sz w:val="24"/>
        </w:rPr>
      </w:pPr>
    </w:p>
    <w:p>
      <w:pPr>
        <w:spacing w:line="360" w:lineRule="auto"/>
        <w:rPr>
          <w:rFonts w:cs="宋体" w:asciiTheme="minorEastAsia" w:hAnsiTheme="minorEastAsia" w:eastAsiaTheme="minorEastAsia"/>
          <w:b/>
          <w:color w:val="auto"/>
          <w:sz w:val="24"/>
        </w:rPr>
      </w:pPr>
    </w:p>
    <w:p>
      <w:pPr>
        <w:pStyle w:val="50"/>
        <w:spacing w:after="46" w:line="360" w:lineRule="auto"/>
        <w:outlineLvl w:val="9"/>
        <w:rPr>
          <w:rFonts w:cs="宋体" w:asciiTheme="minorEastAsia" w:hAnsiTheme="minorEastAsia" w:eastAsiaTheme="minorEastAsia"/>
          <w:color w:val="auto"/>
        </w:rPr>
      </w:pPr>
      <w:bookmarkStart w:id="218" w:name="符合性审查标准"/>
      <w:bookmarkEnd w:id="218"/>
    </w:p>
    <w:p>
      <w:pPr>
        <w:pStyle w:val="50"/>
        <w:spacing w:after="46" w:line="360" w:lineRule="auto"/>
        <w:outlineLvl w:val="9"/>
        <w:rPr>
          <w:rFonts w:cs="宋体" w:asciiTheme="minorEastAsia" w:hAnsiTheme="minorEastAsia" w:eastAsiaTheme="minorEastAsia"/>
          <w:color w:val="auto"/>
        </w:rPr>
      </w:pPr>
    </w:p>
    <w:p>
      <w:pPr>
        <w:pStyle w:val="50"/>
        <w:spacing w:after="46" w:line="360" w:lineRule="auto"/>
        <w:outlineLvl w:val="9"/>
        <w:rPr>
          <w:rFonts w:cs="宋体" w:asciiTheme="minorEastAsia" w:hAnsiTheme="minorEastAsia" w:eastAsiaTheme="minorEastAsia"/>
          <w:color w:val="auto"/>
        </w:rPr>
      </w:pPr>
    </w:p>
    <w:p>
      <w:pPr>
        <w:pStyle w:val="50"/>
        <w:spacing w:after="46" w:line="360" w:lineRule="auto"/>
        <w:outlineLvl w:val="9"/>
        <w:rPr>
          <w:rFonts w:cs="宋体" w:asciiTheme="minorEastAsia" w:hAnsiTheme="minorEastAsia" w:eastAsiaTheme="minorEastAsia"/>
          <w:color w:val="auto"/>
        </w:rPr>
      </w:pPr>
    </w:p>
    <w:p>
      <w:pPr>
        <w:pStyle w:val="50"/>
        <w:spacing w:after="46" w:line="360" w:lineRule="auto"/>
        <w:rPr>
          <w:rFonts w:cs="宋体" w:asciiTheme="minorEastAsia" w:hAnsiTheme="minorEastAsia" w:eastAsiaTheme="minorEastAsia"/>
          <w:color w:val="auto"/>
        </w:rPr>
      </w:pPr>
      <w:r>
        <w:rPr>
          <w:rFonts w:hint="eastAsia" w:cs="宋体" w:asciiTheme="minorEastAsia" w:hAnsiTheme="minorEastAsia" w:eastAsiaTheme="minorEastAsia"/>
          <w:color w:val="auto"/>
        </w:rPr>
        <w:t>2、符合性审查标准</w:t>
      </w:r>
    </w:p>
    <w:tbl>
      <w:tblPr>
        <w:tblStyle w:val="23"/>
        <w:tblW w:w="10185" w:type="dxa"/>
        <w:tblInd w:w="-53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570"/>
        <w:gridCol w:w="66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0" w:hRule="atLeast"/>
        </w:trPr>
        <w:tc>
          <w:tcPr>
            <w:tcW w:w="3570" w:type="dxa"/>
          </w:tcPr>
          <w:p>
            <w:pPr>
              <w:pStyle w:val="61"/>
              <w:spacing w:line="360" w:lineRule="auto"/>
              <w:ind w:left="1327" w:right="-30" w:hanging="1327" w:hangingChars="553"/>
              <w:jc w:val="center"/>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评审因素</w:t>
            </w:r>
          </w:p>
        </w:tc>
        <w:tc>
          <w:tcPr>
            <w:tcW w:w="6615" w:type="dxa"/>
          </w:tcPr>
          <w:p>
            <w:pPr>
              <w:pStyle w:val="61"/>
              <w:tabs>
                <w:tab w:val="left" w:pos="6510"/>
              </w:tabs>
              <w:spacing w:line="360" w:lineRule="auto"/>
              <w:ind w:left="2849" w:right="75" w:hanging="2848" w:hangingChars="1187"/>
              <w:jc w:val="center"/>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评审标准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0" w:hRule="atLeast"/>
        </w:trPr>
        <w:tc>
          <w:tcPr>
            <w:tcW w:w="3570"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法人授权委托书</w:t>
            </w:r>
          </w:p>
        </w:tc>
        <w:tc>
          <w:tcPr>
            <w:tcW w:w="6615"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满足招标文件要求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0" w:hRule="atLeast"/>
        </w:trPr>
        <w:tc>
          <w:tcPr>
            <w:tcW w:w="3570"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投标文件的有效性、完整性</w:t>
            </w:r>
          </w:p>
        </w:tc>
        <w:tc>
          <w:tcPr>
            <w:tcW w:w="6615"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按招标文件的规定编制、装订、签署、盖章要求，无重大偏差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5" w:hRule="atLeast"/>
        </w:trPr>
        <w:tc>
          <w:tcPr>
            <w:tcW w:w="3570"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投标保证金</w:t>
            </w:r>
          </w:p>
        </w:tc>
        <w:tc>
          <w:tcPr>
            <w:tcW w:w="6615"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按招标文件的规定提交投标保证金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0" w:hRule="atLeast"/>
        </w:trPr>
        <w:tc>
          <w:tcPr>
            <w:tcW w:w="3570"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投标有效期</w:t>
            </w:r>
          </w:p>
        </w:tc>
        <w:tc>
          <w:tcPr>
            <w:tcW w:w="6615"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是否满足招标文件要求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0" w:hRule="atLeast"/>
        </w:trPr>
        <w:tc>
          <w:tcPr>
            <w:tcW w:w="3570" w:type="dxa"/>
          </w:tcPr>
          <w:p>
            <w:pPr>
              <w:pStyle w:val="61"/>
              <w:spacing w:before="111"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报价报价完整性、唯一性</w:t>
            </w:r>
          </w:p>
        </w:tc>
        <w:tc>
          <w:tcPr>
            <w:tcW w:w="6615"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是否对本项目内所有的内容进行报价、漏报其响应将被拒绝、 各报价是否唯一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0" w:hRule="atLeast"/>
        </w:trPr>
        <w:tc>
          <w:tcPr>
            <w:tcW w:w="3570"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其它</w:t>
            </w:r>
          </w:p>
        </w:tc>
        <w:tc>
          <w:tcPr>
            <w:tcW w:w="6615" w:type="dxa"/>
          </w:tcPr>
          <w:p>
            <w:pPr>
              <w:pStyle w:val="61"/>
              <w:spacing w:line="360" w:lineRule="auto"/>
              <w:ind w:left="4"/>
              <w:rPr>
                <w:rFonts w:cs="宋体" w:asciiTheme="minorEastAsia" w:hAnsiTheme="minorEastAsia" w:eastAsiaTheme="minorEastAsia"/>
                <w:color w:val="auto"/>
                <w:sz w:val="24"/>
                <w:szCs w:val="32"/>
              </w:rPr>
            </w:pPr>
            <w:r>
              <w:rPr>
                <w:rFonts w:hint="eastAsia" w:cs="宋体" w:asciiTheme="minorEastAsia" w:hAnsiTheme="minorEastAsia" w:eastAsiaTheme="minorEastAsia"/>
                <w:color w:val="auto"/>
                <w:sz w:val="24"/>
                <w:szCs w:val="32"/>
              </w:rPr>
              <w:t>无其它符合招标文件中无效投标认定条件</w:t>
            </w:r>
          </w:p>
        </w:tc>
      </w:tr>
    </w:tbl>
    <w:p>
      <w:pPr>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1、表中只需填写“√/通过”或“×/不通过”。</w:t>
      </w:r>
    </w:p>
    <w:p>
      <w:pPr>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2、在结论中按“一项否决”的原则，只有全部是√/通过的，填写“合格”；只要其中有一项是×/不通过的，填写“不合格”。</w:t>
      </w:r>
    </w:p>
    <w:p>
      <w:pPr>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3、结论是合格的，才能进入下一轮；不合格的被淘汰。</w:t>
      </w:r>
    </w:p>
    <w:p>
      <w:pPr>
        <w:spacing w:line="360" w:lineRule="auto"/>
        <w:rPr>
          <w:rFonts w:cs="宋体" w:asciiTheme="minorEastAsia" w:hAnsiTheme="minorEastAsia" w:eastAsiaTheme="minorEastAsia"/>
          <w:color w:val="auto"/>
        </w:rPr>
        <w:sectPr>
          <w:footerReference r:id="rId11" w:type="default"/>
          <w:pgSz w:w="11900" w:h="16840"/>
          <w:pgMar w:top="1418" w:right="1418" w:bottom="1418" w:left="1418" w:header="0" w:footer="207" w:gutter="0"/>
          <w:cols w:space="720" w:num="1"/>
        </w:sectPr>
      </w:pPr>
    </w:p>
    <w:p>
      <w:pPr>
        <w:spacing w:line="360" w:lineRule="auto"/>
        <w:jc w:val="center"/>
        <w:rPr>
          <w:rFonts w:cs="宋体" w:asciiTheme="minorEastAsia" w:hAnsiTheme="minorEastAsia" w:eastAsiaTheme="minorEastAsia"/>
          <w:b/>
          <w:color w:val="auto"/>
          <w:sz w:val="28"/>
          <w:szCs w:val="28"/>
        </w:rPr>
      </w:pPr>
      <w:bookmarkStart w:id="219" w:name="详细评审标准："/>
      <w:bookmarkEnd w:id="219"/>
      <w:bookmarkStart w:id="220" w:name="_bookmark12"/>
      <w:bookmarkEnd w:id="220"/>
      <w:r>
        <w:rPr>
          <w:rFonts w:hint="eastAsia" w:cs="宋体" w:asciiTheme="minorEastAsia" w:hAnsiTheme="minorEastAsia" w:eastAsiaTheme="minorEastAsia"/>
          <w:b/>
          <w:color w:val="auto"/>
          <w:sz w:val="28"/>
          <w:szCs w:val="28"/>
        </w:rPr>
        <w:t>（二）详细评分表</w:t>
      </w:r>
    </w:p>
    <w:tbl>
      <w:tblPr>
        <w:tblStyle w:val="23"/>
        <w:tblW w:w="10065"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567"/>
        <w:gridCol w:w="1249"/>
        <w:gridCol w:w="878"/>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134" w:type="dxa"/>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类型</w:t>
            </w:r>
          </w:p>
        </w:tc>
        <w:tc>
          <w:tcPr>
            <w:tcW w:w="567" w:type="dxa"/>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序号</w:t>
            </w:r>
          </w:p>
        </w:tc>
        <w:tc>
          <w:tcPr>
            <w:tcW w:w="1249" w:type="dxa"/>
            <w:vAlign w:val="center"/>
          </w:tcPr>
          <w:p>
            <w:pPr>
              <w:spacing w:line="360" w:lineRule="auto"/>
              <w:jc w:val="center"/>
              <w:rPr>
                <w:rFonts w:cs="宋体" w:asciiTheme="minorEastAsia" w:hAnsiTheme="minorEastAsia" w:eastAsiaTheme="minorEastAsia"/>
                <w:b/>
                <w:bCs/>
                <w:color w:val="auto"/>
                <w:szCs w:val="21"/>
              </w:rPr>
            </w:pPr>
            <w:r>
              <w:rPr>
                <w:rFonts w:hint="eastAsia" w:cs="宋体" w:asciiTheme="minorEastAsia" w:hAnsiTheme="minorEastAsia" w:eastAsiaTheme="minorEastAsia"/>
                <w:b/>
                <w:bCs/>
                <w:color w:val="auto"/>
                <w:szCs w:val="21"/>
              </w:rPr>
              <w:t>评分项目</w:t>
            </w:r>
          </w:p>
        </w:tc>
        <w:tc>
          <w:tcPr>
            <w:tcW w:w="878" w:type="dxa"/>
            <w:vAlign w:val="center"/>
          </w:tcPr>
          <w:p>
            <w:pPr>
              <w:spacing w:line="360" w:lineRule="auto"/>
              <w:jc w:val="center"/>
              <w:rPr>
                <w:rFonts w:cs="宋体" w:asciiTheme="minorEastAsia" w:hAnsiTheme="minorEastAsia" w:eastAsiaTheme="minorEastAsia"/>
                <w:b/>
                <w:bCs/>
                <w:color w:val="auto"/>
                <w:szCs w:val="21"/>
              </w:rPr>
            </w:pPr>
            <w:r>
              <w:rPr>
                <w:rFonts w:hint="eastAsia" w:cs="宋体" w:asciiTheme="minorEastAsia" w:hAnsiTheme="minorEastAsia" w:eastAsiaTheme="minorEastAsia"/>
                <w:b/>
                <w:bCs/>
                <w:color w:val="auto"/>
                <w:szCs w:val="21"/>
              </w:rPr>
              <w:t>分值</w:t>
            </w:r>
          </w:p>
        </w:tc>
        <w:tc>
          <w:tcPr>
            <w:tcW w:w="6237" w:type="dxa"/>
            <w:vAlign w:val="center"/>
          </w:tcPr>
          <w:p>
            <w:pPr>
              <w:spacing w:line="360" w:lineRule="auto"/>
              <w:jc w:val="center"/>
              <w:rPr>
                <w:rFonts w:cs="宋体" w:asciiTheme="minorEastAsia" w:hAnsiTheme="minorEastAsia" w:eastAsiaTheme="minorEastAsia"/>
                <w:b/>
                <w:bCs/>
                <w:color w:val="auto"/>
                <w:szCs w:val="21"/>
              </w:rPr>
            </w:pPr>
            <w:r>
              <w:rPr>
                <w:rFonts w:hint="eastAsia" w:cs="宋体" w:asciiTheme="minorEastAsia" w:hAnsiTheme="minorEastAsia" w:eastAsiaTheme="minorEastAsia"/>
                <w:b/>
                <w:bCs/>
                <w:color w:val="auto"/>
                <w:szCs w:val="21"/>
              </w:rPr>
              <w:t>评分依据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4" w:hRule="atLeast"/>
        </w:trPr>
        <w:tc>
          <w:tcPr>
            <w:tcW w:w="1134" w:type="dxa"/>
            <w:vMerge w:val="restart"/>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商务部分</w:t>
            </w:r>
          </w:p>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（50分）</w:t>
            </w:r>
          </w:p>
        </w:tc>
        <w:tc>
          <w:tcPr>
            <w:tcW w:w="567"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w:t>
            </w:r>
          </w:p>
        </w:tc>
        <w:tc>
          <w:tcPr>
            <w:tcW w:w="1249"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类似项目业绩</w:t>
            </w:r>
          </w:p>
        </w:tc>
        <w:tc>
          <w:tcPr>
            <w:tcW w:w="878"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10分</w:t>
            </w:r>
          </w:p>
        </w:tc>
        <w:tc>
          <w:tcPr>
            <w:tcW w:w="6237" w:type="dxa"/>
            <w:vAlign w:val="center"/>
          </w:tcPr>
          <w:p>
            <w:pPr>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 投标人（或其分公司）2017年至今承接过公交客运或道路班线客运服务项目的，得3分。</w:t>
            </w:r>
          </w:p>
          <w:p>
            <w:pPr>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 投标人（或其分公司）2017年至今获得公交客运或道路班线客运经营许可的车辆满50辆的得3分，每多20辆加2分，最多加4分，本项满分7分。</w:t>
            </w:r>
          </w:p>
          <w:p>
            <w:pPr>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证明材料：提供县级及以上交通运输部门出具的经营许可批复文件复印件加盖公章。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w:t>
            </w:r>
          </w:p>
        </w:tc>
        <w:tc>
          <w:tcPr>
            <w:tcW w:w="1249"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车辆运营保障设施</w:t>
            </w:r>
          </w:p>
        </w:tc>
        <w:tc>
          <w:tcPr>
            <w:tcW w:w="878"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10分</w:t>
            </w:r>
          </w:p>
        </w:tc>
        <w:tc>
          <w:tcPr>
            <w:tcW w:w="6237"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投标人（或其分公司）在项目所在市县设有固定的经营场地，如停车场、维修厂。</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自有停车场面积10000平方米及以上的得6分，租用的得3分；自有停车场面积5000平方米（含）到10000平方米（不含）的得4分，租用的得2分；自有停车场面积2000平方米（含）到5000平方米（不含）的得2分，租用的得1分；停车场面积2000平方米（不含）以下的不得分；本项满分6分。</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证明材料：自有场地需提供土地使用证，租用场地需提供8年以上的租赁合同和出租人的土地使用证复印件加盖公章，中标后提供原件核验。</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（2）在项目所在地自有二类及以上车辆维修厂的得4分。</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证明材料：提供车辆维修厂的道路运输经营许可证复印件加盖公章，中标后提供原件核验。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7" w:hRule="atLeast"/>
        </w:trPr>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w:t>
            </w:r>
          </w:p>
        </w:tc>
        <w:tc>
          <w:tcPr>
            <w:tcW w:w="1249" w:type="dxa"/>
            <w:vAlign w:val="center"/>
          </w:tcPr>
          <w:p>
            <w:pPr>
              <w:spacing w:line="360" w:lineRule="auto"/>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企业信誉</w:t>
            </w:r>
          </w:p>
        </w:tc>
        <w:tc>
          <w:tcPr>
            <w:tcW w:w="878"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9分</w:t>
            </w:r>
          </w:p>
        </w:tc>
        <w:tc>
          <w:tcPr>
            <w:tcW w:w="6237"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1.投标人2017年至今获得省级及以上人民政府部门颁发的年度安全生产工作责任目标考核先进单位的得5分；</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证明材料：提供获奖证件或证书复印件加盖公章，中标后提供原件核验。</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2.投标人2017年至今获得省级及以上道路运输行政部门颁发的道路运输工作先进企业的得4分。</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证明材料：提供获奖证件或证书复印件加盖公章，中标后提供原件核验。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7" w:hRule="atLeast"/>
        </w:trPr>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4</w:t>
            </w:r>
          </w:p>
        </w:tc>
        <w:tc>
          <w:tcPr>
            <w:tcW w:w="1249"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融资能力</w:t>
            </w:r>
          </w:p>
        </w:tc>
        <w:tc>
          <w:tcPr>
            <w:tcW w:w="878"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15分</w:t>
            </w:r>
          </w:p>
        </w:tc>
        <w:tc>
          <w:tcPr>
            <w:tcW w:w="6237"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根据流动资金能力、融资能力、资金管理等情况进行打分：</w:t>
            </w:r>
          </w:p>
          <w:p>
            <w:pPr>
              <w:pStyle w:val="58"/>
              <w:spacing w:line="360" w:lineRule="auto"/>
              <w:ind w:left="0" w:firstLine="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1.流动资金能力（5分）：人民币2000万元≤银行存款余额＜人民币5000万元，得3分；银行存款余额≥5000万元，得5分。</w:t>
            </w:r>
          </w:p>
          <w:p>
            <w:pPr>
              <w:pStyle w:val="58"/>
              <w:spacing w:line="360" w:lineRule="auto"/>
              <w:ind w:left="0" w:firstLine="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2.融资能力（5分）：人民币1亿元≤融资能力＜人民币5亿元，得3分；融资能力≥人民币5亿元，得5分。</w:t>
            </w:r>
          </w:p>
          <w:p>
            <w:pPr>
              <w:pStyle w:val="58"/>
              <w:spacing w:line="360" w:lineRule="auto"/>
              <w:ind w:left="0" w:firstLine="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3.资金管理能力（5分）：具有完善的资金管理制度的得5分。</w:t>
            </w:r>
          </w:p>
          <w:p>
            <w:pPr>
              <w:pStyle w:val="58"/>
              <w:spacing w:line="360" w:lineRule="auto"/>
              <w:ind w:left="0" w:firstLine="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证明材料：银行存款余额要求提供本单位银行账户的加盖银行公章的银行存款对账单（可多个账户，时间为公告之日起前3个月内）；融资能力证明要求提供银行或其他金融机构的授信额度证明；资金管理能力要求提供目前适用的货币资金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1" w:hRule="atLeast"/>
        </w:trPr>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5</w:t>
            </w:r>
          </w:p>
        </w:tc>
        <w:tc>
          <w:tcPr>
            <w:tcW w:w="1249" w:type="dxa"/>
            <w:vAlign w:val="center"/>
          </w:tcPr>
          <w:p>
            <w:pPr>
              <w:pStyle w:val="58"/>
              <w:spacing w:line="360" w:lineRule="auto"/>
              <w:ind w:left="0" w:firstLine="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资产负债率</w:t>
            </w:r>
          </w:p>
        </w:tc>
        <w:tc>
          <w:tcPr>
            <w:tcW w:w="878" w:type="dxa"/>
            <w:vAlign w:val="center"/>
          </w:tcPr>
          <w:p>
            <w:pPr>
              <w:pStyle w:val="58"/>
              <w:spacing w:line="360" w:lineRule="auto"/>
              <w:ind w:left="0" w:firstLine="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6分</w:t>
            </w:r>
          </w:p>
        </w:tc>
        <w:tc>
          <w:tcPr>
            <w:tcW w:w="6237" w:type="dxa"/>
            <w:vAlign w:val="center"/>
          </w:tcPr>
          <w:p>
            <w:pPr>
              <w:pStyle w:val="58"/>
              <w:spacing w:line="360" w:lineRule="auto"/>
              <w:ind w:left="0" w:firstLine="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投标人2018年末资产负债率低于45%（含）的得6分，每增加一个百分点扣1分，扣完为止。本项满分6分。</w:t>
            </w:r>
          </w:p>
          <w:p>
            <w:pPr>
              <w:pStyle w:val="58"/>
              <w:spacing w:line="360" w:lineRule="auto"/>
              <w:ind w:left="0" w:firstLine="0"/>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证明材料：提供2018年度经审计的财务报告复印件加盖公章，中标后提供原件核验。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restart"/>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技术部分</w:t>
            </w:r>
          </w:p>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（30分）</w:t>
            </w:r>
          </w:p>
        </w:tc>
        <w:tc>
          <w:tcPr>
            <w:tcW w:w="567"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6</w:t>
            </w:r>
          </w:p>
        </w:tc>
        <w:tc>
          <w:tcPr>
            <w:tcW w:w="1249"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项目公司组建</w:t>
            </w:r>
          </w:p>
        </w:tc>
        <w:tc>
          <w:tcPr>
            <w:tcW w:w="878"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5分</w:t>
            </w:r>
          </w:p>
        </w:tc>
        <w:tc>
          <w:tcPr>
            <w:tcW w:w="6237" w:type="dxa"/>
            <w:vAlign w:val="center"/>
          </w:tcPr>
          <w:p>
            <w:pPr>
              <w:pStyle w:val="61"/>
              <w:spacing w:line="360" w:lineRule="auto"/>
              <w:ind w:left="4"/>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项目公司组建：项目公司组建计划、股权架构、机构设置、管理制度合理、科学，指挥体系有效、项目公司协调各方的能力，综合评价优为4-5分，一般为2-3分，差为0-1分。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7</w:t>
            </w:r>
          </w:p>
        </w:tc>
        <w:tc>
          <w:tcPr>
            <w:tcW w:w="1249"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项目公司人员配备</w:t>
            </w:r>
          </w:p>
        </w:tc>
        <w:tc>
          <w:tcPr>
            <w:tcW w:w="878"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5分</w:t>
            </w:r>
          </w:p>
        </w:tc>
        <w:tc>
          <w:tcPr>
            <w:tcW w:w="6237" w:type="dxa"/>
            <w:vAlign w:val="center"/>
          </w:tcPr>
          <w:p>
            <w:pPr>
              <w:pStyle w:val="61"/>
              <w:spacing w:line="360" w:lineRule="auto"/>
              <w:ind w:left="4"/>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公司人员配备：项目公司拟任职的主要人员专业设置、人员的技术和管理经验等方面要求合理、科学，综合评价优为4-5分，一般为2-3分，差为0-1分。（如已经注册在东方市，可以选择不设立项目公司，此种情况下需在项目公司运作方案开头注明情况，并详细给出本公司的股权架构、机构设置、管理制度、指挥体系，并给出拟任职的主要人员专业设置、人员的技术和管理经验，一经中标，不得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8</w:t>
            </w:r>
          </w:p>
        </w:tc>
        <w:tc>
          <w:tcPr>
            <w:tcW w:w="1249"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项目运作方案</w:t>
            </w:r>
          </w:p>
        </w:tc>
        <w:tc>
          <w:tcPr>
            <w:tcW w:w="878"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20分</w:t>
            </w:r>
          </w:p>
        </w:tc>
        <w:tc>
          <w:tcPr>
            <w:tcW w:w="6237" w:type="dxa"/>
            <w:vAlign w:val="center"/>
          </w:tcPr>
          <w:p>
            <w:pPr>
              <w:pStyle w:val="61"/>
              <w:spacing w:line="360" w:lineRule="auto"/>
              <w:ind w:left="4"/>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根据项目运作方案（包括但不限于工期安排、质量保障、安全生产、）的完整性、合理性打分，本项满分20分。 </w:t>
            </w:r>
          </w:p>
          <w:p>
            <w:pPr>
              <w:pStyle w:val="61"/>
              <w:spacing w:line="360" w:lineRule="auto"/>
              <w:ind w:left="4"/>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（1）工期安排：投标人承诺的建设期工期目标应满足 招标文件的要求。根据所制定的进度计划是否具有针对 性、合理性、可实施性，拟采取的工期保证措施是否合理、可行、有效等方面进行评审，分值范围0-3分； </w:t>
            </w:r>
          </w:p>
          <w:p>
            <w:pPr>
              <w:pStyle w:val="61"/>
              <w:spacing w:line="360" w:lineRule="auto"/>
              <w:ind w:left="4"/>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2）质量保障：投标人承诺的质量目标应满足招标文件的要求。根据所制定的质量管理体系是否全面、合理、可行，能否节省项目投资和保证工期要求，拟采取的质量保证措施是否合理、可行、有效等方面进行评审，分值范围0-4分； </w:t>
            </w:r>
          </w:p>
          <w:p>
            <w:pPr>
              <w:pStyle w:val="61"/>
              <w:spacing w:line="360" w:lineRule="auto"/>
              <w:ind w:left="4"/>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（3）成本控制：根据所设定的成本控制目标是否合理、可行，能否保证工期目标及运营 质量，拟采取的各种保障措施是否具有针对性、可实施性、有效性等方面进行评审，分值范围0-3分； </w:t>
            </w:r>
          </w:p>
          <w:p>
            <w:pPr>
              <w:pStyle w:val="61"/>
              <w:spacing w:line="360" w:lineRule="auto"/>
              <w:ind w:left="4"/>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（4）安全生产：根据所制定的安全生产方案是否完善、是否具有可实施性，拟采取的安全生产保证措施是否具有针对性、合理性、可行性等方面进行评审，分值范围0-4分；</w:t>
            </w:r>
          </w:p>
          <w:p>
            <w:pPr>
              <w:pStyle w:val="61"/>
              <w:spacing w:line="360" w:lineRule="auto"/>
              <w:ind w:left="4"/>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5）运营服务：根据《用户需求书》所制定的运营服务方案是否符合国家、海南及东方市的相关法律、法规规定及相关政策、文件要求，能否节省项目投资，确保公交服务效果，制定的措施是否具有针对性、全面性，是否合理、可行、有效等方面进行评审，分值范围0-3分； </w:t>
            </w:r>
          </w:p>
          <w:p>
            <w:pPr>
              <w:pStyle w:val="61"/>
              <w:spacing w:line="360" w:lineRule="auto"/>
              <w:ind w:left="4"/>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6）应急预案：根据《用户需求书》所制定的针对自然灾害、重特大事故、环境公害及人为破坏等各类可能发生的事故和危险源的应急预案和现场处置方案，根据所制定分应急预案和现场处置方案的内容是否完整、处理方式是否合理可行等进行评审，分值范围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restart"/>
            <w:vAlign w:val="center"/>
          </w:tcPr>
          <w:p>
            <w:pPr>
              <w:spacing w:line="360" w:lineRule="auto"/>
              <w:jc w:val="center"/>
              <w:rPr>
                <w:rFonts w:cs="宋体" w:asciiTheme="minorEastAsia" w:hAnsiTheme="minorEastAsia" w:eastAsiaTheme="minorEastAsia"/>
                <w:b/>
                <w:color w:val="auto"/>
                <w:szCs w:val="21"/>
              </w:rPr>
            </w:pPr>
          </w:p>
          <w:p>
            <w:pPr>
              <w:spacing w:line="360" w:lineRule="auto"/>
              <w:jc w:val="center"/>
              <w:rPr>
                <w:rFonts w:cs="宋体" w:asciiTheme="minorEastAsia" w:hAnsiTheme="minorEastAsia" w:eastAsiaTheme="minorEastAsia"/>
                <w:b/>
                <w:color w:val="auto"/>
                <w:szCs w:val="21"/>
              </w:rPr>
            </w:pPr>
          </w:p>
          <w:p>
            <w:pPr>
              <w:spacing w:line="360" w:lineRule="auto"/>
              <w:jc w:val="center"/>
              <w:rPr>
                <w:rFonts w:cs="宋体" w:asciiTheme="minorEastAsia" w:hAnsiTheme="minorEastAsia" w:eastAsiaTheme="minorEastAsia"/>
                <w:b/>
                <w:color w:val="auto"/>
                <w:szCs w:val="21"/>
              </w:rPr>
            </w:pPr>
          </w:p>
          <w:p>
            <w:pPr>
              <w:spacing w:line="360" w:lineRule="auto"/>
              <w:jc w:val="center"/>
              <w:rPr>
                <w:rFonts w:cs="宋体" w:asciiTheme="minorEastAsia" w:hAnsiTheme="minorEastAsia" w:eastAsiaTheme="minorEastAsia"/>
                <w:b/>
                <w:color w:val="auto"/>
                <w:szCs w:val="21"/>
              </w:rPr>
            </w:pPr>
          </w:p>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报价部分（采用浮动率报价）</w:t>
            </w:r>
          </w:p>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（20分）</w:t>
            </w:r>
          </w:p>
        </w:tc>
        <w:tc>
          <w:tcPr>
            <w:tcW w:w="567" w:type="dxa"/>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9</w:t>
            </w:r>
          </w:p>
        </w:tc>
        <w:tc>
          <w:tcPr>
            <w:tcW w:w="1249"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项目资本金回报率</w:t>
            </w:r>
          </w:p>
        </w:tc>
        <w:tc>
          <w:tcPr>
            <w:tcW w:w="878" w:type="dxa"/>
            <w:vAlign w:val="center"/>
          </w:tcPr>
          <w:p>
            <w:pPr>
              <w:spacing w:line="360" w:lineRule="auto"/>
              <w:jc w:val="center"/>
              <w:rPr>
                <w:rFonts w:cs="宋体" w:asciiTheme="minorEastAsia" w:hAnsiTheme="minorEastAsia" w:eastAsiaTheme="minorEastAsia"/>
                <w:color w:val="auto"/>
                <w:szCs w:val="21"/>
              </w:rPr>
            </w:pPr>
          </w:p>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4分</w:t>
            </w:r>
          </w:p>
        </w:tc>
        <w:tc>
          <w:tcPr>
            <w:tcW w:w="6237"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项目资本金回报率的报价范围为0%（</w:t>
            </w:r>
            <w:r>
              <w:rPr>
                <w:rFonts w:hint="eastAsia" w:cs="宋体" w:asciiTheme="minorEastAsia" w:hAnsiTheme="minorEastAsia" w:eastAsiaTheme="minorEastAsia"/>
                <w:color w:val="auto"/>
                <w:szCs w:val="21"/>
                <w:lang w:eastAsia="zh-CN"/>
              </w:rPr>
              <w:t>不</w:t>
            </w:r>
            <w:r>
              <w:rPr>
                <w:rFonts w:hint="eastAsia" w:cs="宋体" w:asciiTheme="minorEastAsia" w:hAnsiTheme="minorEastAsia" w:eastAsiaTheme="minorEastAsia"/>
                <w:color w:val="auto"/>
                <w:szCs w:val="21"/>
              </w:rPr>
              <w:t>含）～6%（含）；超过6%的为无效报价，不得分。 具体的评分方法为： 报价得分=评标基准价÷投标报价×4</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（投标基准价=项目资本金回报率报价最低的作为评标基准价。）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10</w:t>
            </w:r>
          </w:p>
        </w:tc>
        <w:tc>
          <w:tcPr>
            <w:tcW w:w="1249"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融资成本回报率</w:t>
            </w:r>
          </w:p>
        </w:tc>
        <w:tc>
          <w:tcPr>
            <w:tcW w:w="878" w:type="dxa"/>
            <w:vAlign w:val="center"/>
          </w:tcPr>
          <w:p>
            <w:pPr>
              <w:spacing w:line="360" w:lineRule="auto"/>
              <w:jc w:val="center"/>
              <w:rPr>
                <w:rFonts w:asciiTheme="minorEastAsia" w:hAnsiTheme="minorEastAsia" w:eastAsiaTheme="minorEastAsia"/>
                <w:color w:val="auto"/>
              </w:rPr>
            </w:pPr>
            <w:r>
              <w:rPr>
                <w:rFonts w:hint="eastAsia" w:cs="宋体" w:asciiTheme="minorEastAsia" w:hAnsiTheme="minorEastAsia" w:eastAsiaTheme="minorEastAsia"/>
                <w:color w:val="auto"/>
                <w:szCs w:val="21"/>
              </w:rPr>
              <w:t>4分</w:t>
            </w:r>
          </w:p>
        </w:tc>
        <w:tc>
          <w:tcPr>
            <w:tcW w:w="6237"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融资成本回报率的报价范围为0%（</w:t>
            </w:r>
            <w:r>
              <w:rPr>
                <w:rFonts w:hint="eastAsia" w:cs="宋体" w:asciiTheme="minorEastAsia" w:hAnsiTheme="minorEastAsia" w:eastAsiaTheme="minorEastAsia"/>
                <w:color w:val="auto"/>
                <w:szCs w:val="21"/>
                <w:lang w:eastAsia="zh-CN"/>
              </w:rPr>
              <w:t>不</w:t>
            </w:r>
            <w:r>
              <w:rPr>
                <w:rFonts w:hint="eastAsia" w:cs="宋体" w:asciiTheme="minorEastAsia" w:hAnsiTheme="minorEastAsia" w:eastAsiaTheme="minorEastAsia"/>
                <w:color w:val="auto"/>
                <w:szCs w:val="21"/>
              </w:rPr>
              <w:t>含）～5.88%（含）（5.88%为中国人民银行公布的五年期以上贷款利率4.9%上浮20%）；超过5.88%的为无效报价，不得分。  具体的评分方法为： 报价得分=评标基准价÷投标报价×4</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（评标基准价=融资成本回报率报价最低的报价作为评标基准价。）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11</w:t>
            </w:r>
          </w:p>
        </w:tc>
        <w:tc>
          <w:tcPr>
            <w:tcW w:w="1249"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可控成本下浮率</w:t>
            </w:r>
          </w:p>
        </w:tc>
        <w:tc>
          <w:tcPr>
            <w:tcW w:w="878" w:type="dxa"/>
            <w:vAlign w:val="center"/>
          </w:tcPr>
          <w:p>
            <w:pPr>
              <w:spacing w:line="360" w:lineRule="auto"/>
              <w:jc w:val="center"/>
              <w:rPr>
                <w:rFonts w:asciiTheme="minorEastAsia" w:hAnsiTheme="minorEastAsia" w:eastAsiaTheme="minorEastAsia"/>
                <w:color w:val="auto"/>
              </w:rPr>
            </w:pPr>
            <w:r>
              <w:rPr>
                <w:rFonts w:hint="eastAsia" w:cs="宋体" w:asciiTheme="minorEastAsia" w:hAnsiTheme="minorEastAsia" w:eastAsiaTheme="minorEastAsia"/>
                <w:color w:val="auto"/>
                <w:szCs w:val="21"/>
              </w:rPr>
              <w:t>3分</w:t>
            </w:r>
          </w:p>
        </w:tc>
        <w:tc>
          <w:tcPr>
            <w:tcW w:w="6237"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可控成本下浮率指在《用户需求书》测算的可控成本（详见表7.17）基础上的统一下浮率，以“%”为计。 具体的评分方法为： 报价得分=│投标报价│÷│评标基准价│×3</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（评标基准价=下浮率最高报价的作为评标基准价）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12</w:t>
            </w:r>
          </w:p>
        </w:tc>
        <w:tc>
          <w:tcPr>
            <w:tcW w:w="1249"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每公里可变成本下浮率</w:t>
            </w:r>
          </w:p>
        </w:tc>
        <w:tc>
          <w:tcPr>
            <w:tcW w:w="878" w:type="dxa"/>
            <w:vAlign w:val="center"/>
          </w:tcPr>
          <w:p>
            <w:pPr>
              <w:spacing w:line="360" w:lineRule="auto"/>
              <w:jc w:val="center"/>
              <w:rPr>
                <w:rFonts w:asciiTheme="minorEastAsia" w:hAnsiTheme="minorEastAsia" w:eastAsiaTheme="minorEastAsia"/>
                <w:color w:val="auto"/>
              </w:rPr>
            </w:pPr>
            <w:r>
              <w:rPr>
                <w:rFonts w:hint="eastAsia" w:cs="宋体" w:asciiTheme="minorEastAsia" w:hAnsiTheme="minorEastAsia" w:eastAsiaTheme="minorEastAsia"/>
                <w:color w:val="auto"/>
                <w:szCs w:val="21"/>
              </w:rPr>
              <w:t>3分</w:t>
            </w:r>
          </w:p>
        </w:tc>
        <w:tc>
          <w:tcPr>
            <w:tcW w:w="6237"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每公里可变成本下浮率指在《用户需求书》测算的每公里可变成本（详见表7.18）基础上的统一下浮率，以“%”为计。 具体的评分方法为： 报价得分=│投标报价│÷│评标基准价│×3</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（评标基准价=下浮率最高报价的作为评标基准价）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13</w:t>
            </w:r>
          </w:p>
        </w:tc>
        <w:tc>
          <w:tcPr>
            <w:tcW w:w="1249"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车辆购买报价下浮率 （8米）</w:t>
            </w:r>
          </w:p>
        </w:tc>
        <w:tc>
          <w:tcPr>
            <w:tcW w:w="878" w:type="dxa"/>
            <w:vAlign w:val="center"/>
          </w:tcPr>
          <w:p>
            <w:pPr>
              <w:spacing w:line="360" w:lineRule="auto"/>
              <w:jc w:val="center"/>
              <w:rPr>
                <w:rFonts w:asciiTheme="minorEastAsia" w:hAnsiTheme="minorEastAsia" w:eastAsiaTheme="minorEastAsia"/>
                <w:color w:val="auto"/>
              </w:rPr>
            </w:pPr>
            <w:r>
              <w:rPr>
                <w:rFonts w:hint="eastAsia" w:cs="宋体" w:asciiTheme="minorEastAsia" w:hAnsiTheme="minorEastAsia" w:eastAsiaTheme="minorEastAsia"/>
                <w:color w:val="auto"/>
                <w:szCs w:val="21"/>
              </w:rPr>
              <w:t>3分</w:t>
            </w:r>
          </w:p>
        </w:tc>
        <w:tc>
          <w:tcPr>
            <w:tcW w:w="6237"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车辆购买报价下浮率（8米）指在《用户需求书》测算的8米级新能源车辆购买价（55万每辆车）基础上的统一下浮率，以“%”为计。具体的评分方法为： 报价得分=│投标报价│÷│评标基准价│×3</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（评标基准价=下浮率最高报价的作为评标基准价）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vAlign w:val="center"/>
          </w:tcPr>
          <w:p>
            <w:pPr>
              <w:spacing w:line="360" w:lineRule="auto"/>
              <w:jc w:val="center"/>
              <w:rPr>
                <w:rFonts w:cs="宋体" w:asciiTheme="minorEastAsia" w:hAnsiTheme="minorEastAsia" w:eastAsiaTheme="minorEastAsia"/>
                <w:b/>
                <w:color w:val="auto"/>
                <w:szCs w:val="21"/>
              </w:rPr>
            </w:pPr>
          </w:p>
        </w:tc>
        <w:tc>
          <w:tcPr>
            <w:tcW w:w="567" w:type="dxa"/>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14</w:t>
            </w:r>
          </w:p>
        </w:tc>
        <w:tc>
          <w:tcPr>
            <w:tcW w:w="1249" w:type="dxa"/>
            <w:vAlign w:val="center"/>
          </w:tcPr>
          <w:p>
            <w:pPr>
              <w:spacing w:line="360" w:lineRule="auto"/>
              <w:jc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车辆购买报价下浮率（6米）</w:t>
            </w:r>
          </w:p>
        </w:tc>
        <w:tc>
          <w:tcPr>
            <w:tcW w:w="878" w:type="dxa"/>
            <w:vAlign w:val="center"/>
          </w:tcPr>
          <w:p>
            <w:pPr>
              <w:spacing w:line="360" w:lineRule="auto"/>
              <w:jc w:val="center"/>
              <w:rPr>
                <w:rFonts w:asciiTheme="minorEastAsia" w:hAnsiTheme="minorEastAsia" w:eastAsiaTheme="minorEastAsia"/>
                <w:color w:val="auto"/>
              </w:rPr>
            </w:pPr>
            <w:r>
              <w:rPr>
                <w:rFonts w:hint="eastAsia" w:cs="宋体" w:asciiTheme="minorEastAsia" w:hAnsiTheme="minorEastAsia" w:eastAsiaTheme="minorEastAsia"/>
                <w:color w:val="auto"/>
                <w:szCs w:val="21"/>
              </w:rPr>
              <w:t>3分</w:t>
            </w:r>
          </w:p>
        </w:tc>
        <w:tc>
          <w:tcPr>
            <w:tcW w:w="6237" w:type="dxa"/>
            <w:vAlign w:val="center"/>
          </w:tcPr>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车辆购买报价下浮率（6米）指在《用户需求书》测算的6米级新能源车辆购买价（38万每辆车）基础上的统一下浮率，以“%”为计。具体的评分方法为： 报价得分=│投标报价│÷│评标基准价│×3</w:t>
            </w:r>
          </w:p>
          <w:p>
            <w:pPr>
              <w:spacing w:line="360" w:lineRule="auto"/>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（评标基准价=下浮率最高报价的作为评标基准价）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0" w:type="dxa"/>
            <w:gridSpan w:val="3"/>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合计</w:t>
            </w:r>
          </w:p>
        </w:tc>
        <w:tc>
          <w:tcPr>
            <w:tcW w:w="878" w:type="dxa"/>
            <w:vAlign w:val="center"/>
          </w:tcPr>
          <w:p>
            <w:pPr>
              <w:spacing w:line="360" w:lineRule="auto"/>
              <w:jc w:val="center"/>
              <w:rPr>
                <w:rFonts w:cs="宋体" w:asciiTheme="minorEastAsia" w:hAnsiTheme="minorEastAsia" w:eastAsiaTheme="minorEastAsia"/>
                <w:b/>
                <w:color w:val="auto"/>
                <w:szCs w:val="21"/>
              </w:rPr>
            </w:pPr>
            <w:r>
              <w:rPr>
                <w:rFonts w:hint="eastAsia" w:cs="宋体" w:asciiTheme="minorEastAsia" w:hAnsiTheme="minorEastAsia" w:eastAsiaTheme="minorEastAsia"/>
                <w:b/>
                <w:color w:val="auto"/>
                <w:szCs w:val="21"/>
              </w:rPr>
              <w:t>100分</w:t>
            </w:r>
          </w:p>
        </w:tc>
        <w:tc>
          <w:tcPr>
            <w:tcW w:w="6237" w:type="dxa"/>
            <w:vAlign w:val="center"/>
          </w:tcPr>
          <w:p>
            <w:pPr>
              <w:spacing w:line="360" w:lineRule="auto"/>
              <w:jc w:val="left"/>
              <w:rPr>
                <w:rFonts w:cs="宋体" w:asciiTheme="minorEastAsia" w:hAnsiTheme="minorEastAsia" w:eastAsiaTheme="minorEastAsia"/>
                <w:b/>
                <w:color w:val="auto"/>
                <w:szCs w:val="21"/>
              </w:rPr>
            </w:pPr>
          </w:p>
        </w:tc>
      </w:tr>
    </w:tbl>
    <w:p>
      <w:pPr>
        <w:spacing w:line="360" w:lineRule="auto"/>
        <w:jc w:val="center"/>
        <w:rPr>
          <w:rFonts w:cs="宋体" w:asciiTheme="minorEastAsia" w:hAnsiTheme="minorEastAsia" w:eastAsiaTheme="minorEastAsia"/>
          <w:b/>
          <w:color w:val="auto"/>
          <w:sz w:val="28"/>
          <w:szCs w:val="28"/>
        </w:rPr>
      </w:pPr>
    </w:p>
    <w:p>
      <w:pPr>
        <w:spacing w:line="360" w:lineRule="auto"/>
        <w:jc w:val="center"/>
        <w:rPr>
          <w:rFonts w:cs="宋体" w:asciiTheme="minorEastAsia" w:hAnsiTheme="minorEastAsia" w:eastAsiaTheme="minorEastAsia"/>
          <w:b/>
          <w:color w:val="auto"/>
          <w:sz w:val="28"/>
          <w:szCs w:val="28"/>
        </w:rPr>
      </w:pPr>
    </w:p>
    <w:p>
      <w:pPr>
        <w:spacing w:line="360" w:lineRule="auto"/>
        <w:jc w:val="center"/>
        <w:rPr>
          <w:rFonts w:cs="宋体" w:asciiTheme="minorEastAsia" w:hAnsiTheme="minorEastAsia" w:eastAsiaTheme="minorEastAsia"/>
          <w:b/>
          <w:color w:val="auto"/>
          <w:sz w:val="28"/>
          <w:szCs w:val="28"/>
        </w:rPr>
      </w:pPr>
    </w:p>
    <w:p>
      <w:pPr>
        <w:pStyle w:val="11"/>
        <w:spacing w:before="10" w:line="360" w:lineRule="auto"/>
        <w:rPr>
          <w:rFonts w:cs="宋体" w:asciiTheme="minorEastAsia" w:hAnsiTheme="minorEastAsia" w:eastAsiaTheme="minorEastAsia"/>
          <w:color w:val="auto"/>
          <w:sz w:val="18"/>
        </w:rPr>
      </w:pPr>
    </w:p>
    <w:p>
      <w:pPr>
        <w:spacing w:beforeLines="50" w:afterLines="50" w:line="360" w:lineRule="auto"/>
        <w:rPr>
          <w:rFonts w:cs="宋体" w:asciiTheme="minorEastAsia" w:hAnsiTheme="minorEastAsia" w:eastAsiaTheme="minorEastAsia"/>
          <w:b/>
          <w:color w:val="auto"/>
          <w:sz w:val="44"/>
          <w:szCs w:val="44"/>
        </w:rPr>
        <w:sectPr>
          <w:footerReference r:id="rId12" w:type="default"/>
          <w:pgSz w:w="11906" w:h="16838"/>
          <w:pgMar w:top="1418" w:right="1418" w:bottom="1418" w:left="1418" w:header="907" w:footer="907" w:gutter="0"/>
          <w:cols w:space="720" w:num="1"/>
          <w:docGrid w:linePitch="312" w:charSpace="0"/>
        </w:sectPr>
      </w:pPr>
      <w:bookmarkStart w:id="221" w:name="奖项"/>
      <w:bookmarkEnd w:id="221"/>
      <w:bookmarkStart w:id="222" w:name="类似项目业绩"/>
      <w:bookmarkEnd w:id="222"/>
      <w:bookmarkStart w:id="223" w:name="企业信誉"/>
      <w:bookmarkEnd w:id="223"/>
      <w:bookmarkStart w:id="224" w:name="净资产"/>
      <w:bookmarkEnd w:id="224"/>
      <w:bookmarkStart w:id="225" w:name="投融资方案"/>
      <w:bookmarkEnd w:id="225"/>
      <w:bookmarkStart w:id="226" w:name="融资成本回报率"/>
      <w:bookmarkEnd w:id="226"/>
    </w:p>
    <w:p>
      <w:pPr>
        <w:spacing w:beforeLines="50" w:afterLines="50" w:line="360" w:lineRule="auto"/>
        <w:jc w:val="center"/>
        <w:outlineLvl w:val="0"/>
        <w:rPr>
          <w:rFonts w:cs="宋体" w:asciiTheme="minorEastAsia" w:hAnsiTheme="minorEastAsia" w:eastAsiaTheme="minorEastAsia"/>
          <w:b/>
          <w:color w:val="auto"/>
          <w:sz w:val="44"/>
          <w:szCs w:val="44"/>
        </w:rPr>
      </w:pPr>
      <w:bookmarkStart w:id="227" w:name="_Toc19891220"/>
      <w:bookmarkStart w:id="228" w:name="_Toc4138_WPSOffice_Level1"/>
      <w:r>
        <w:rPr>
          <w:rFonts w:hint="eastAsia" w:cs="宋体" w:asciiTheme="minorEastAsia" w:hAnsiTheme="minorEastAsia" w:eastAsiaTheme="minorEastAsia"/>
          <w:b/>
          <w:color w:val="auto"/>
          <w:sz w:val="44"/>
          <w:szCs w:val="44"/>
        </w:rPr>
        <w:t>第五部分 合同条款及格式</w:t>
      </w:r>
      <w:bookmarkEnd w:id="227"/>
      <w:bookmarkEnd w:id="228"/>
    </w:p>
    <w:p>
      <w:pPr>
        <w:pStyle w:val="7"/>
        <w:spacing w:beforeLines="50" w:afterLines="50" w:line="360" w:lineRule="auto"/>
        <w:ind w:firstLine="643"/>
        <w:jc w:val="center"/>
        <w:rPr>
          <w:rFonts w:cs="宋体" w:asciiTheme="minorEastAsia" w:hAnsiTheme="minorEastAsia" w:eastAsiaTheme="minorEastAsia"/>
          <w:b/>
          <w:bCs/>
          <w:color w:val="auto"/>
          <w:kern w:val="0"/>
          <w:sz w:val="32"/>
          <w:szCs w:val="32"/>
        </w:rPr>
      </w:pPr>
      <w:bookmarkStart w:id="229" w:name="_Toc476558168"/>
      <w:bookmarkStart w:id="230" w:name="_Toc489286113"/>
      <w:r>
        <w:rPr>
          <w:rFonts w:hint="eastAsia" w:cs="宋体" w:asciiTheme="minorEastAsia" w:hAnsiTheme="minorEastAsia" w:eastAsiaTheme="minorEastAsia"/>
          <w:b/>
          <w:bCs/>
          <w:color w:val="auto"/>
          <w:kern w:val="0"/>
          <w:sz w:val="32"/>
          <w:szCs w:val="32"/>
        </w:rPr>
        <w:t>东方市城乡公交客运服务一体化特许经营协议</w:t>
      </w:r>
    </w:p>
    <w:bookmarkEnd w:id="229"/>
    <w:bookmarkEnd w:id="230"/>
    <w:p>
      <w:pPr>
        <w:pStyle w:val="7"/>
        <w:spacing w:line="360" w:lineRule="auto"/>
        <w:ind w:firstLine="480"/>
        <w:rPr>
          <w:rFonts w:cs="宋体" w:asciiTheme="minorEastAsia" w:hAnsiTheme="minorEastAsia" w:eastAsiaTheme="minorEastAsia"/>
          <w:color w:val="auto"/>
          <w:sz w:val="24"/>
        </w:rPr>
      </w:pPr>
      <w:bookmarkStart w:id="231" w:name="_Toc329084555"/>
      <w:bookmarkStart w:id="232" w:name="_Toc329084792"/>
    </w:p>
    <w:p>
      <w:pPr>
        <w:pStyle w:val="7"/>
        <w:spacing w:line="360" w:lineRule="auto"/>
        <w:ind w:firstLine="480"/>
        <w:rPr>
          <w:rFonts w:cs="宋体" w:asciiTheme="minorEastAsia" w:hAnsiTheme="minorEastAsia" w:eastAsiaTheme="minorEastAsia"/>
          <w:color w:val="auto"/>
          <w:sz w:val="24"/>
        </w:rPr>
      </w:pPr>
    </w:p>
    <w:p>
      <w:pPr>
        <w:pStyle w:val="7"/>
        <w:spacing w:line="360" w:lineRule="auto"/>
        <w:ind w:firstLine="560"/>
        <w:rPr>
          <w:rFonts w:cs="宋体" w:asciiTheme="minorEastAsia" w:hAnsiTheme="minorEastAsia" w:eastAsiaTheme="minorEastAsia"/>
          <w:color w:val="auto"/>
          <w:sz w:val="28"/>
        </w:rPr>
      </w:pPr>
      <w:r>
        <w:rPr>
          <w:rFonts w:hint="eastAsia" w:cs="宋体" w:asciiTheme="minorEastAsia" w:hAnsiTheme="minorEastAsia" w:eastAsiaTheme="minorEastAsia"/>
          <w:color w:val="auto"/>
          <w:sz w:val="28"/>
        </w:rPr>
        <w:t xml:space="preserve">甲方：东方市交通运输局 </w:t>
      </w:r>
    </w:p>
    <w:p>
      <w:pPr>
        <w:pStyle w:val="7"/>
        <w:spacing w:line="360" w:lineRule="auto"/>
        <w:ind w:firstLine="560"/>
        <w:rPr>
          <w:rFonts w:cs="宋体" w:asciiTheme="minorEastAsia" w:hAnsiTheme="minorEastAsia" w:eastAsiaTheme="minorEastAsia"/>
          <w:color w:val="auto"/>
          <w:sz w:val="28"/>
        </w:rPr>
      </w:pPr>
      <w:r>
        <w:rPr>
          <w:rFonts w:hint="eastAsia" w:cs="宋体" w:asciiTheme="minorEastAsia" w:hAnsiTheme="minorEastAsia" w:eastAsiaTheme="minorEastAsia"/>
          <w:color w:val="auto"/>
          <w:sz w:val="28"/>
        </w:rPr>
        <w:t xml:space="preserve">法定代表人（机关法人）： </w:t>
      </w:r>
    </w:p>
    <w:p>
      <w:pPr>
        <w:pStyle w:val="7"/>
        <w:spacing w:line="360" w:lineRule="auto"/>
        <w:ind w:firstLine="560"/>
        <w:rPr>
          <w:rFonts w:cs="宋体" w:asciiTheme="minorEastAsia" w:hAnsiTheme="minorEastAsia" w:eastAsiaTheme="minorEastAsia"/>
          <w:color w:val="auto"/>
          <w:sz w:val="28"/>
        </w:rPr>
      </w:pPr>
      <w:r>
        <w:rPr>
          <w:rFonts w:hint="eastAsia" w:cs="宋体" w:asciiTheme="minorEastAsia" w:hAnsiTheme="minorEastAsia" w:eastAsiaTheme="minorEastAsia"/>
          <w:color w:val="auto"/>
          <w:sz w:val="28"/>
        </w:rPr>
        <w:t xml:space="preserve">注册地址： </w:t>
      </w:r>
    </w:p>
    <w:p>
      <w:pPr>
        <w:pStyle w:val="7"/>
        <w:spacing w:line="360" w:lineRule="auto"/>
        <w:ind w:firstLine="560"/>
        <w:rPr>
          <w:rFonts w:cs="宋体" w:asciiTheme="minorEastAsia" w:hAnsiTheme="minorEastAsia" w:eastAsiaTheme="minorEastAsia"/>
          <w:color w:val="auto"/>
          <w:sz w:val="28"/>
        </w:rPr>
      </w:pPr>
      <w:r>
        <w:rPr>
          <w:rFonts w:hint="eastAsia" w:cs="宋体" w:asciiTheme="minorEastAsia" w:hAnsiTheme="minorEastAsia" w:eastAsiaTheme="minorEastAsia"/>
          <w:color w:val="auto"/>
          <w:sz w:val="28"/>
        </w:rPr>
        <w:t>组织机构代码：</w:t>
      </w:r>
    </w:p>
    <w:p>
      <w:pPr>
        <w:pStyle w:val="7"/>
        <w:spacing w:line="360" w:lineRule="auto"/>
        <w:ind w:firstLine="560"/>
        <w:rPr>
          <w:rFonts w:cs="宋体" w:asciiTheme="minorEastAsia" w:hAnsiTheme="minorEastAsia" w:eastAsiaTheme="minorEastAsia"/>
          <w:color w:val="auto"/>
          <w:sz w:val="28"/>
        </w:rPr>
      </w:pPr>
    </w:p>
    <w:p>
      <w:pPr>
        <w:pStyle w:val="7"/>
        <w:spacing w:line="360" w:lineRule="auto"/>
        <w:ind w:firstLine="560"/>
        <w:rPr>
          <w:rFonts w:cs="宋体" w:asciiTheme="minorEastAsia" w:hAnsiTheme="minorEastAsia" w:eastAsiaTheme="minorEastAsia"/>
          <w:color w:val="auto"/>
          <w:sz w:val="28"/>
        </w:rPr>
      </w:pPr>
      <w:r>
        <w:rPr>
          <w:rFonts w:hint="eastAsia" w:cs="宋体" w:asciiTheme="minorEastAsia" w:hAnsiTheme="minorEastAsia" w:eastAsiaTheme="minorEastAsia"/>
          <w:color w:val="auto"/>
          <w:sz w:val="28"/>
        </w:rPr>
        <w:t>乙方（项目公司）：</w:t>
      </w:r>
    </w:p>
    <w:p>
      <w:pPr>
        <w:pStyle w:val="7"/>
        <w:spacing w:line="360" w:lineRule="auto"/>
        <w:ind w:firstLine="560"/>
        <w:rPr>
          <w:rFonts w:cs="宋体" w:asciiTheme="minorEastAsia" w:hAnsiTheme="minorEastAsia" w:eastAsiaTheme="minorEastAsia"/>
          <w:color w:val="auto"/>
          <w:sz w:val="28"/>
        </w:rPr>
      </w:pPr>
      <w:r>
        <w:rPr>
          <w:rFonts w:hint="eastAsia" w:cs="宋体" w:asciiTheme="minorEastAsia" w:hAnsiTheme="minorEastAsia" w:eastAsiaTheme="minorEastAsia"/>
          <w:color w:val="auto"/>
          <w:sz w:val="28"/>
        </w:rPr>
        <w:t>法定代表人：</w:t>
      </w:r>
    </w:p>
    <w:p>
      <w:pPr>
        <w:pStyle w:val="7"/>
        <w:spacing w:line="360" w:lineRule="auto"/>
        <w:ind w:firstLine="560"/>
        <w:rPr>
          <w:rFonts w:cs="宋体" w:asciiTheme="minorEastAsia" w:hAnsiTheme="minorEastAsia" w:eastAsiaTheme="minorEastAsia"/>
          <w:color w:val="auto"/>
          <w:sz w:val="28"/>
        </w:rPr>
      </w:pPr>
      <w:r>
        <w:rPr>
          <w:rFonts w:hint="eastAsia" w:cs="宋体" w:asciiTheme="minorEastAsia" w:hAnsiTheme="minorEastAsia" w:eastAsiaTheme="minorEastAsia"/>
          <w:color w:val="auto"/>
          <w:sz w:val="28"/>
        </w:rPr>
        <w:t>注册地址：</w:t>
      </w:r>
    </w:p>
    <w:p>
      <w:pPr>
        <w:pStyle w:val="7"/>
        <w:spacing w:line="360" w:lineRule="auto"/>
        <w:ind w:firstLine="560"/>
        <w:rPr>
          <w:rFonts w:cs="宋体" w:asciiTheme="minorEastAsia" w:hAnsiTheme="minorEastAsia" w:eastAsiaTheme="minorEastAsia"/>
          <w:color w:val="auto"/>
          <w:sz w:val="28"/>
        </w:rPr>
      </w:pPr>
      <w:r>
        <w:rPr>
          <w:rFonts w:hint="eastAsia" w:cs="宋体" w:asciiTheme="minorEastAsia" w:hAnsiTheme="minorEastAsia" w:eastAsiaTheme="minorEastAsia"/>
          <w:color w:val="auto"/>
          <w:sz w:val="28"/>
        </w:rPr>
        <w:t>组织机构代码：</w:t>
      </w:r>
    </w:p>
    <w:p>
      <w:pPr>
        <w:pStyle w:val="7"/>
        <w:spacing w:line="360" w:lineRule="auto"/>
        <w:ind w:firstLine="480"/>
        <w:rPr>
          <w:rFonts w:cs="宋体" w:asciiTheme="minorEastAsia" w:hAnsiTheme="minorEastAsia" w:eastAsiaTheme="minorEastAsia"/>
          <w:color w:val="auto"/>
          <w:sz w:val="24"/>
        </w:rPr>
      </w:pPr>
    </w:p>
    <w:p>
      <w:pPr>
        <w:pStyle w:val="7"/>
        <w:spacing w:line="360" w:lineRule="auto"/>
        <w:ind w:firstLine="480"/>
        <w:rPr>
          <w:rFonts w:cs="宋体" w:asciiTheme="minorEastAsia" w:hAnsiTheme="minorEastAsia" w:eastAsiaTheme="minorEastAsia"/>
          <w:color w:val="auto"/>
          <w:sz w:val="24"/>
        </w:rPr>
        <w:sectPr>
          <w:footerReference r:id="rId14" w:type="first"/>
          <w:footerReference r:id="rId13" w:type="default"/>
          <w:pgSz w:w="11907" w:h="16840"/>
          <w:pgMar w:top="1418" w:right="1418" w:bottom="1418" w:left="1418" w:header="851" w:footer="992" w:gutter="0"/>
          <w:cols w:space="720" w:num="1"/>
          <w:titlePg/>
          <w:docGrid w:linePitch="312" w:charSpace="0"/>
        </w:sectPr>
      </w:pP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鉴于：</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（一）</w:t>
      </w:r>
      <w:r>
        <w:rPr>
          <w:rFonts w:hint="eastAsia" w:cs="宋体" w:asciiTheme="minorEastAsia" w:hAnsiTheme="minorEastAsia" w:eastAsiaTheme="minorEastAsia"/>
          <w:b/>
          <w:color w:val="auto"/>
          <w:sz w:val="24"/>
        </w:rPr>
        <w:t>东方市城乡公交客运服务一体化项目（以下简称“本项目”）已经东方市人民政府</w:t>
      </w:r>
      <w:r>
        <w:rPr>
          <w:rFonts w:hint="eastAsia" w:cs="宋体" w:asciiTheme="minorEastAsia" w:hAnsiTheme="minorEastAsia" w:eastAsiaTheme="minorEastAsia"/>
          <w:color w:val="auto"/>
          <w:sz w:val="24"/>
        </w:rPr>
        <w:t>批准，决定采用特许经营模式，并授权</w:t>
      </w:r>
      <w:r>
        <w:rPr>
          <w:rFonts w:hint="eastAsia" w:cs="宋体" w:asciiTheme="minorEastAsia" w:hAnsiTheme="minorEastAsia" w:eastAsiaTheme="minorEastAsia"/>
          <w:b/>
          <w:color w:val="auto"/>
          <w:sz w:val="24"/>
        </w:rPr>
        <w:t>东方市</w:t>
      </w:r>
      <w:r>
        <w:rPr>
          <w:rFonts w:hint="eastAsia" w:cs="宋体" w:asciiTheme="minorEastAsia" w:hAnsiTheme="minorEastAsia" w:eastAsiaTheme="minorEastAsia"/>
          <w:b/>
          <w:color w:val="auto"/>
          <w:kern w:val="0"/>
          <w:sz w:val="24"/>
        </w:rPr>
        <w:t>交通运输局</w:t>
      </w:r>
      <w:r>
        <w:rPr>
          <w:rFonts w:hint="eastAsia" w:cs="宋体" w:asciiTheme="minorEastAsia" w:hAnsiTheme="minorEastAsia" w:eastAsiaTheme="minorEastAsia"/>
          <w:color w:val="auto"/>
          <w:sz w:val="24"/>
        </w:rPr>
        <w:t>（以下称“甲方”）作为本项目的实施机构。</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二）乙方是指，在甲方于【】年【】月【】日通过公开招标的方式选择本项目中标社会资本方后，由中标社会资本按照协议约定在东方市【】投资设立的项目公司，项目公司是为实施投资、运营、管理、移交项目而依法设立的企业法人。</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（三）本合同是甲乙双方合作实施本项目的原则依据，双方将共同维护并遵守。</w:t>
      </w:r>
    </w:p>
    <w:p>
      <w:pPr>
        <w:pStyle w:val="7"/>
        <w:spacing w:line="360" w:lineRule="auto"/>
        <w:ind w:firstLine="480"/>
        <w:rPr>
          <w:rFonts w:cs="宋体" w:asciiTheme="minorEastAsia" w:hAnsiTheme="minorEastAsia" w:eastAsiaTheme="minorEastAsia"/>
          <w:color w:val="auto"/>
          <w:sz w:val="24"/>
        </w:rPr>
      </w:pPr>
    </w:p>
    <w:p>
      <w:pPr>
        <w:pStyle w:val="7"/>
        <w:spacing w:line="360" w:lineRule="auto"/>
        <w:ind w:firstLine="480"/>
        <w:rPr>
          <w:rFonts w:cs="宋体" w:asciiTheme="minorEastAsia" w:hAnsiTheme="minorEastAsia" w:eastAsiaTheme="minorEastAsia"/>
          <w:color w:val="auto"/>
          <w:sz w:val="24"/>
        </w:rPr>
        <w:sectPr>
          <w:pgSz w:w="11907" w:h="16840"/>
          <w:pgMar w:top="1418" w:right="1418" w:bottom="1418" w:left="1418" w:header="851" w:footer="992" w:gutter="0"/>
          <w:cols w:space="720" w:num="1"/>
          <w:titlePg/>
          <w:docGrid w:linePitch="312" w:charSpace="0"/>
        </w:sectPr>
      </w:pPr>
      <w:r>
        <w:rPr>
          <w:rFonts w:hint="eastAsia" w:cs="宋体" w:asciiTheme="minorEastAsia" w:hAnsiTheme="minorEastAsia" w:eastAsiaTheme="minorEastAsia"/>
          <w:color w:val="auto"/>
          <w:sz w:val="24"/>
        </w:rPr>
        <w:t xml:space="preserve">为此，各方达成如下协议： </w:t>
      </w:r>
    </w:p>
    <w:p>
      <w:pPr>
        <w:spacing w:beforeLines="100" w:afterLines="100" w:line="360" w:lineRule="auto"/>
        <w:jc w:val="center"/>
        <w:outlineLvl w:val="1"/>
        <w:rPr>
          <w:rFonts w:cs="宋体" w:asciiTheme="minorEastAsia" w:hAnsiTheme="minorEastAsia" w:eastAsiaTheme="minorEastAsia"/>
          <w:b/>
          <w:color w:val="auto"/>
          <w:sz w:val="28"/>
        </w:rPr>
      </w:pPr>
      <w:bookmarkStart w:id="233" w:name="_Toc19881836"/>
      <w:bookmarkStart w:id="234" w:name="_Toc476558169"/>
      <w:bookmarkStart w:id="235" w:name="_Toc455741328"/>
      <w:r>
        <w:rPr>
          <w:rFonts w:hint="eastAsia" w:cs="宋体" w:asciiTheme="minorEastAsia" w:hAnsiTheme="minorEastAsia" w:eastAsiaTheme="minorEastAsia"/>
          <w:b/>
          <w:color w:val="auto"/>
          <w:sz w:val="28"/>
        </w:rPr>
        <w:t>第一章  总则</w:t>
      </w:r>
      <w:bookmarkEnd w:id="233"/>
      <w:bookmarkEnd w:id="234"/>
      <w:bookmarkEnd w:id="235"/>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236" w:name="_Toc19881837"/>
      <w:bookmarkStart w:id="237" w:name="_Toc476558170"/>
      <w:bookmarkStart w:id="238" w:name="_Toc428390732"/>
      <w:bookmarkStart w:id="239" w:name="_Toc424028306"/>
      <w:bookmarkStart w:id="240" w:name="_Toc30159"/>
      <w:bookmarkStart w:id="241" w:name="_Toc416708601"/>
      <w:bookmarkStart w:id="242" w:name="_Toc9197"/>
      <w:r>
        <w:rPr>
          <w:rFonts w:hint="eastAsia" w:cs="宋体" w:asciiTheme="minorEastAsia" w:hAnsiTheme="minorEastAsia" w:eastAsiaTheme="minorEastAsia"/>
          <w:b/>
          <w:bCs/>
          <w:color w:val="auto"/>
          <w:sz w:val="24"/>
        </w:rPr>
        <w:t>第一条  定义和解释</w:t>
      </w:r>
      <w:bookmarkEnd w:id="236"/>
      <w:bookmarkEnd w:id="237"/>
      <w:bookmarkEnd w:id="238"/>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1.1定义</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除非本合同中另有规定或说明，下列术语应具有本款所指的含义：</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1.1.1 本项目</w:t>
      </w:r>
      <w:r>
        <w:rPr>
          <w:rFonts w:hint="eastAsia" w:cs="宋体" w:asciiTheme="minorEastAsia" w:hAnsiTheme="minorEastAsia" w:eastAsiaTheme="minorEastAsia"/>
          <w:color w:val="auto"/>
          <w:sz w:val="24"/>
        </w:rPr>
        <w:t>：指东方市城乡公交客运服务一体化项目，位于东方市，</w:t>
      </w:r>
      <w:r>
        <w:rPr>
          <w:rFonts w:hint="eastAsia" w:cs="宋体" w:asciiTheme="minorEastAsia" w:hAnsiTheme="minorEastAsia" w:eastAsiaTheme="minorEastAsia"/>
          <w:bCs/>
          <w:color w:val="auto"/>
          <w:sz w:val="24"/>
        </w:rPr>
        <w:t>由四个部分组成，分别是主体整合、线路开行、车辆购置、智能公交系统开发</w:t>
      </w:r>
      <w:r>
        <w:rPr>
          <w:rFonts w:hint="eastAsia" w:cs="宋体" w:asciiTheme="minorEastAsia" w:hAnsiTheme="minorEastAsia" w:eastAsiaTheme="minorEastAsia"/>
          <w:color w:val="auto"/>
          <w:sz w:val="24"/>
        </w:rPr>
        <w:t>。</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1.1.2 甲方：</w:t>
      </w:r>
      <w:r>
        <w:rPr>
          <w:rFonts w:hint="eastAsia" w:cs="宋体" w:asciiTheme="minorEastAsia" w:hAnsiTheme="minorEastAsia" w:eastAsiaTheme="minorEastAsia"/>
          <w:color w:val="auto"/>
          <w:sz w:val="24"/>
        </w:rPr>
        <w:t>指东方市</w:t>
      </w:r>
      <w:r>
        <w:rPr>
          <w:rFonts w:hint="eastAsia" w:cs="宋体" w:asciiTheme="minorEastAsia" w:hAnsiTheme="minorEastAsia" w:eastAsiaTheme="minorEastAsia"/>
          <w:color w:val="auto"/>
          <w:kern w:val="0"/>
          <w:sz w:val="24"/>
        </w:rPr>
        <w:t>交通运输局</w:t>
      </w:r>
      <w:r>
        <w:rPr>
          <w:rFonts w:hint="eastAsia" w:cs="宋体" w:asciiTheme="minorEastAsia" w:hAnsiTheme="minorEastAsia" w:eastAsiaTheme="minorEastAsia"/>
          <w:color w:val="auto"/>
          <w:sz w:val="24"/>
        </w:rPr>
        <w:t>。</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color w:val="auto"/>
          <w:sz w:val="24"/>
        </w:rPr>
        <w:t>1.1.3 投资人：</w:t>
      </w:r>
      <w:r>
        <w:rPr>
          <w:rFonts w:hint="eastAsia" w:cs="宋体" w:asciiTheme="minorEastAsia" w:hAnsiTheme="minorEastAsia" w:eastAsiaTheme="minorEastAsia"/>
          <w:bCs/>
          <w:color w:val="auto"/>
          <w:sz w:val="24"/>
        </w:rPr>
        <w:t xml:space="preserve">指甲方通过公开招标方式选定的为本项目注资的社会资本方。 </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bCs/>
          <w:color w:val="auto"/>
          <w:sz w:val="24"/>
        </w:rPr>
        <w:t>1.1.4 乙方：</w:t>
      </w:r>
      <w:r>
        <w:rPr>
          <w:rFonts w:hint="eastAsia" w:cs="宋体" w:asciiTheme="minorEastAsia" w:hAnsiTheme="minorEastAsia" w:eastAsiaTheme="minorEastAsia"/>
          <w:bCs/>
          <w:color w:val="auto"/>
          <w:sz w:val="24"/>
        </w:rPr>
        <w:t>指投资人为实施投资、运营、管理、移交本项目而按照本合同约定在东方市设立的企业法人。</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bCs/>
          <w:color w:val="auto"/>
          <w:sz w:val="24"/>
        </w:rPr>
        <w:t>1.1.5 项目收益权：</w:t>
      </w:r>
      <w:r>
        <w:rPr>
          <w:rFonts w:hint="eastAsia" w:cs="宋体" w:asciiTheme="minorEastAsia" w:hAnsiTheme="minorEastAsia" w:eastAsiaTheme="minorEastAsia"/>
          <w:bCs/>
          <w:color w:val="auto"/>
          <w:sz w:val="24"/>
        </w:rPr>
        <w:t>指乙方按照本合同完成项目投资、运营、维护及移交项目资产等而获得的收取项目经营收益以及政府补贴收益补偿的权利。</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（1）特许经营企业达到正常服务要求情况下的回报</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对于特许经营企业达到正常服务要求的情况下，分别从项目资本金回报、融资成本回报、运营补助、超额收入回报四方面予以考虑：</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bCs/>
          <w:color w:val="auto"/>
          <w:sz w:val="24"/>
        </w:rPr>
        <w:t>项目资本金回报：</w:t>
      </w:r>
      <w:r>
        <w:rPr>
          <w:rFonts w:hint="eastAsia" w:cs="宋体" w:asciiTheme="minorEastAsia" w:hAnsiTheme="minorEastAsia" w:eastAsiaTheme="minorEastAsia"/>
          <w:bCs/>
          <w:color w:val="auto"/>
          <w:sz w:val="24"/>
        </w:rPr>
        <w:t>是指针对社会资本（项目公司）投入的初始项目资本金（不低于初期投资20%的金额）的投资回报。本方案暂按照6%的年利率（具体利率以招标文件确定的为准），在特许经营期内，采用“初始项目资本金×年回报率”的方式测算每年固定的付费金额，并结合服务质量考核情况，分季度和社会资本方结算。</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bCs/>
          <w:color w:val="auto"/>
          <w:sz w:val="24"/>
        </w:rPr>
        <w:t>融资成本回报：</w:t>
      </w:r>
      <w:r>
        <w:rPr>
          <w:rFonts w:hint="eastAsia" w:cs="宋体" w:asciiTheme="minorEastAsia" w:hAnsiTheme="minorEastAsia" w:eastAsiaTheme="minorEastAsia"/>
          <w:bCs/>
          <w:color w:val="auto"/>
          <w:sz w:val="24"/>
        </w:rPr>
        <w:t>以扣除项目资本金以外的项目初期投资金额为基数，采用招标确定的融资成本回报率，按“外部融资金额×融资成本回报率”的方式，确定特许经营期内每年固定的回报金额，本方案暂按照中国人民银行公布的五年期以上贷款利率4.9%上浮20%（即5.88%）作为融资成本回报率（具体利率以招标文件确定的为准）进行测算，并结合服务质量考核情况，分季度和社会资本方结算。</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bCs/>
          <w:color w:val="auto"/>
          <w:sz w:val="24"/>
        </w:rPr>
        <w:t>运营补助：</w:t>
      </w:r>
      <w:r>
        <w:rPr>
          <w:rFonts w:hint="eastAsia" w:cs="宋体" w:asciiTheme="minorEastAsia" w:hAnsiTheme="minorEastAsia" w:eastAsiaTheme="minorEastAsia"/>
          <w:bCs/>
          <w:color w:val="auto"/>
          <w:sz w:val="24"/>
        </w:rPr>
        <w:t>包含两部分，政策性亏损补助以及运营亏损补贴。其中，政策性亏损补助是指对企业实行低票价、减免票、承担政府指令性任务等形成的政策性亏损，经年度审计后，根据实际缺口额，结合服务质量考核进行支付。运营亏损补贴是以《实施方案》测算的年度补助金额，结合招标确定的各下浮率，确定特许经营期内每年固定的回报金额。运营补助需结合服务质量考核情况，分季度和社会资本方结算。特许经营期限内，运营补助接受调价机制调整，并需结合服务质量考核结果进行支付。</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bCs/>
          <w:color w:val="auto"/>
          <w:sz w:val="24"/>
        </w:rPr>
        <w:t>超额收入回报：</w:t>
      </w:r>
      <w:r>
        <w:rPr>
          <w:rFonts w:hint="eastAsia" w:cs="宋体" w:asciiTheme="minorEastAsia" w:hAnsiTheme="minorEastAsia" w:eastAsiaTheme="minorEastAsia"/>
          <w:bCs/>
          <w:color w:val="auto"/>
          <w:sz w:val="24"/>
        </w:rPr>
        <w:t>若经审计后，特许经营企业实际完成的年度总收入超过政府方下达的年度收入基数（无则按照《实施方案》测算的年度收入），则对超出的部分与政府进行收益共享，具体共享比例为政府方90%，企业方10%，企业方的收益归企业所有，政府方的收益优先用于抵减次年度补助支出，抵减后多出部分则纳入国库管理。超额收入回报需要满足服务质量考核标准，在各季度服务质量考核平均分达到“合格”及以上水平时才予以支付。</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（2）特许经营期内新增建设内容及运营服务内容的回报</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对于特许经营期限内需要调整线路及运力的，应优先采用优化线路、加密班次等方式提升服务能力，尽量使用现有运力满足服务标准。在服务标准处于实施方案确定的当年最低值及最高值区间（本项目最低值的运营公里数为万公里，最高值为万公里）的调整，新增部分的回报按照方案测算的当年“每公里可变成本”进行回报（每公里可变成本包括燃料(电力)消耗费、保修费、轮胎消耗费、保险与事故损失费、安全费和其他直接运营费，不包括人员工资及工资性支出、固定资产折旧费；对于现有运力已经无法满足运营需要，且已经超出服务标准最高值（万公里），确需新开线路、新购车辆等新增建设投资的，应参照中标价格进行重新计算后纳入回报。</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（3）特许经营企业未完成年度最低运营公里数的回报</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若特许经营企业未完成年度服务结果，在未取得政府方同意的前提下，特许经营企业实际服务结果在最低值以下，即年度运营公里数少于万公里，政府方有权扣除减少运营公里数乘以每公里可变成本补贴，同时，在服务质量考核中，做扣分处理。</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（4）回报水平追加调整机制</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若发生政府方要求的，不同于《实施方案》服务内容的服务要求，如校车接送等，在不影响项目正常运营的前提下，优先保障校车接送，费用可按每公里可变成本进行补贴。</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（5）回报水平的调整审核机制</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在特许经营期内，发生任何不同于中标确定的服务标准的调整内容，例如优化线网、调整发班、新购车辆、新增建设内容及运营服务内容的，均应先由项目公司向市交通运输局提出申请，市交通运输局审核同意后参照中标价格计算相关费用给项目公司，并报市政府批准，获批后方能实施，并通过签订补充协议的方式纳入年度付费。</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bCs/>
          <w:color w:val="auto"/>
          <w:sz w:val="24"/>
        </w:rPr>
        <w:t>1.1.6 合作期：</w:t>
      </w:r>
      <w:r>
        <w:rPr>
          <w:rFonts w:hint="eastAsia" w:cs="宋体" w:asciiTheme="minorEastAsia" w:hAnsiTheme="minorEastAsia" w:eastAsiaTheme="minorEastAsia"/>
          <w:bCs/>
          <w:color w:val="auto"/>
          <w:sz w:val="24"/>
        </w:rPr>
        <w:t>指建设期和运营期的总和，暂定16年。建设期为2年，包含在运营期内，特许经营企业需在年月日起达到招标文件要求的线路开行及车辆购置标准，在剩余建设期内需按照招标文件要求继续完成智能公交系统建设、主体整合全部工作。运营期固定16年，自特许经营协议生效日起开始计算。</w:t>
      </w:r>
    </w:p>
    <w:p>
      <w:pPr>
        <w:adjustRightInd w:val="0"/>
        <w:snapToGrid w:val="0"/>
        <w:spacing w:line="360" w:lineRule="auto"/>
        <w:ind w:firstLine="482" w:firstLineChars="200"/>
        <w:rPr>
          <w:rFonts w:cs="宋体" w:asciiTheme="minorEastAsia" w:hAnsiTheme="minorEastAsia" w:eastAsiaTheme="minorEastAsia"/>
          <w:bCs/>
          <w:color w:val="auto"/>
          <w:sz w:val="24"/>
        </w:rPr>
      </w:pPr>
      <w:r>
        <w:rPr>
          <w:rFonts w:hint="eastAsia" w:cs="宋体" w:asciiTheme="minorEastAsia" w:hAnsiTheme="minorEastAsia" w:eastAsiaTheme="minorEastAsia"/>
          <w:b/>
          <w:bCs/>
          <w:color w:val="auto"/>
          <w:sz w:val="24"/>
        </w:rPr>
        <w:t>1.1.7 项目文件：</w:t>
      </w:r>
      <w:r>
        <w:rPr>
          <w:rFonts w:hint="eastAsia" w:cs="宋体" w:asciiTheme="minorEastAsia" w:hAnsiTheme="minorEastAsia" w:eastAsiaTheme="minorEastAsia"/>
          <w:bCs/>
          <w:color w:val="auto"/>
          <w:sz w:val="24"/>
        </w:rPr>
        <w:t>指包括但不限于本合同及附件、及与项目有关的其它文件。</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bCs/>
          <w:color w:val="auto"/>
          <w:sz w:val="24"/>
        </w:rPr>
        <w:t>1.1.8 项目设施：</w:t>
      </w:r>
      <w:r>
        <w:rPr>
          <w:rFonts w:hint="eastAsia" w:cs="宋体" w:asciiTheme="minorEastAsia" w:hAnsiTheme="minorEastAsia" w:eastAsiaTheme="minorEastAsia"/>
          <w:bCs/>
          <w:color w:val="auto"/>
          <w:sz w:val="24"/>
        </w:rPr>
        <w:t>指为本项目正常运营所需要的相关设施。</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1.1.9 贷款银行：</w:t>
      </w:r>
      <w:r>
        <w:rPr>
          <w:rFonts w:hint="eastAsia" w:cs="宋体" w:asciiTheme="minorEastAsia" w:hAnsiTheme="minorEastAsia" w:eastAsiaTheme="minorEastAsia"/>
          <w:color w:val="auto"/>
          <w:sz w:val="24"/>
        </w:rPr>
        <w:t>指与乙方签订贷款合同、为本项目提供融资的金融机构。</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1.1.10 融资协议：</w:t>
      </w:r>
      <w:r>
        <w:rPr>
          <w:rFonts w:hint="eastAsia" w:cs="宋体" w:asciiTheme="minorEastAsia" w:hAnsiTheme="minorEastAsia" w:eastAsiaTheme="minorEastAsia"/>
          <w:color w:val="auto"/>
          <w:sz w:val="24"/>
        </w:rPr>
        <w:t>指乙方与贷款银行签署的为履行本合同规定义务而获得贷款银行融资的相关协议。</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1.1.11履约担保：</w:t>
      </w:r>
      <w:r>
        <w:rPr>
          <w:rFonts w:hint="eastAsia" w:cs="宋体" w:asciiTheme="minorEastAsia" w:hAnsiTheme="minorEastAsia" w:eastAsiaTheme="minorEastAsia"/>
          <w:bCs/>
          <w:color w:val="auto"/>
          <w:sz w:val="24"/>
        </w:rPr>
        <w:t>指乙方按照第十九条、第二十一条、第二十四条的规定提交的、为担保其履行在本合同项下的义务所提交的建设期履约担保、运营期履约担保、移交履约担保。</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1.1.12第三方：</w:t>
      </w:r>
      <w:r>
        <w:rPr>
          <w:rFonts w:hint="eastAsia" w:cs="宋体" w:asciiTheme="minorEastAsia" w:hAnsiTheme="minorEastAsia" w:eastAsiaTheme="minorEastAsia"/>
          <w:color w:val="auto"/>
          <w:sz w:val="24"/>
        </w:rPr>
        <w:t>指甲乙双方以外的任何自然人、法人、机构、组织、单位、实体等。</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color w:val="auto"/>
          <w:sz w:val="24"/>
        </w:rPr>
        <w:t>1.1.13 移交日期：</w:t>
      </w:r>
      <w:r>
        <w:rPr>
          <w:rFonts w:hint="eastAsia" w:cs="宋体" w:asciiTheme="minorEastAsia" w:hAnsiTheme="minorEastAsia" w:eastAsiaTheme="minorEastAsia"/>
          <w:bCs/>
          <w:color w:val="auto"/>
          <w:sz w:val="24"/>
        </w:rPr>
        <w:t>指合作期届满之日后的第一个工作日（适用于本合同期满终止），或经双方书面同意的移交项目设施的其他日期。</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 xml:space="preserve">1.1.14 </w:t>
      </w:r>
      <w:r>
        <w:rPr>
          <w:rFonts w:hint="eastAsia" w:cs="宋体" w:asciiTheme="minorEastAsia" w:hAnsiTheme="minorEastAsia" w:eastAsiaTheme="minorEastAsia"/>
          <w:b/>
          <w:bCs/>
          <w:color w:val="auto"/>
          <w:sz w:val="24"/>
        </w:rPr>
        <w:t>终止日：</w:t>
      </w:r>
      <w:r>
        <w:rPr>
          <w:rFonts w:hint="eastAsia" w:cs="宋体" w:asciiTheme="minorEastAsia" w:hAnsiTheme="minorEastAsia" w:eastAsiaTheme="minorEastAsia"/>
          <w:bCs/>
          <w:color w:val="auto"/>
          <w:sz w:val="24"/>
        </w:rPr>
        <w:t>指本合同终止的日期。</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1.1.15 书面形式：</w:t>
      </w:r>
      <w:r>
        <w:rPr>
          <w:rFonts w:hint="eastAsia" w:cs="宋体" w:asciiTheme="minorEastAsia" w:hAnsiTheme="minorEastAsia" w:eastAsiaTheme="minorEastAsia"/>
          <w:color w:val="auto"/>
          <w:sz w:val="24"/>
        </w:rPr>
        <w:t>指有形表现所载内容的形式，包括合同文件、信件、电报、传真、电子邮件等。</w:t>
      </w:r>
    </w:p>
    <w:p>
      <w:pPr>
        <w:pStyle w:val="7"/>
        <w:spacing w:line="360" w:lineRule="auto"/>
        <w:ind w:firstLine="482"/>
        <w:rPr>
          <w:rFonts w:cs="宋体" w:asciiTheme="minorEastAsia" w:hAnsiTheme="minorEastAsia" w:eastAsiaTheme="minorEastAsia"/>
          <w:bCs/>
          <w:color w:val="auto"/>
          <w:sz w:val="24"/>
        </w:rPr>
      </w:pPr>
      <w:r>
        <w:rPr>
          <w:rFonts w:hint="eastAsia" w:cs="宋体" w:asciiTheme="minorEastAsia" w:hAnsiTheme="minorEastAsia" w:eastAsiaTheme="minorEastAsia"/>
          <w:b/>
          <w:color w:val="auto"/>
          <w:sz w:val="24"/>
        </w:rPr>
        <w:t>1.1.16 生效日：</w:t>
      </w:r>
      <w:r>
        <w:rPr>
          <w:rFonts w:hint="eastAsia" w:cs="宋体" w:asciiTheme="minorEastAsia" w:hAnsiTheme="minorEastAsia" w:eastAsiaTheme="minorEastAsia"/>
          <w:bCs/>
          <w:color w:val="auto"/>
          <w:sz w:val="24"/>
        </w:rPr>
        <w:t>指本合同甲乙双方盖章并由双方法定代表人或授权代表人签字之日。</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1.1.17“元”：</w:t>
      </w:r>
      <w:r>
        <w:rPr>
          <w:rFonts w:hint="eastAsia" w:cs="宋体" w:asciiTheme="minorEastAsia" w:hAnsiTheme="minorEastAsia" w:eastAsiaTheme="minorEastAsia"/>
          <w:color w:val="auto"/>
          <w:sz w:val="24"/>
        </w:rPr>
        <w:t>指人民币元。</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1.1.18《投资协议》：</w:t>
      </w:r>
      <w:r>
        <w:rPr>
          <w:rFonts w:hint="eastAsia" w:cs="宋体" w:asciiTheme="minorEastAsia" w:hAnsiTheme="minorEastAsia" w:eastAsiaTheme="minorEastAsia"/>
          <w:color w:val="auto"/>
          <w:sz w:val="24"/>
        </w:rPr>
        <w:t>指甲方与投资人签署的《东方市城乡公交客运服务一体化项目投资协议》。</w:t>
      </w: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1.2 解释</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除非本合同另有说明，下述词语在本合同中应适用本条规定的释义：</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1.2.1 “一方”或“各方”:</w:t>
      </w:r>
      <w:r>
        <w:rPr>
          <w:rFonts w:hint="eastAsia" w:cs="宋体" w:asciiTheme="minorEastAsia" w:hAnsiTheme="minorEastAsia" w:eastAsiaTheme="minorEastAsia"/>
          <w:color w:val="auto"/>
          <w:sz w:val="24"/>
        </w:rPr>
        <w:t>指本合同的一方或各方。本合同的各方均包括其各自的继任者和获准的受让人；</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1.2.2 “资产”:</w:t>
      </w:r>
      <w:r>
        <w:rPr>
          <w:rFonts w:hint="eastAsia" w:cs="宋体" w:asciiTheme="minorEastAsia" w:hAnsiTheme="minorEastAsia" w:eastAsiaTheme="minorEastAsia"/>
          <w:color w:val="auto"/>
          <w:sz w:val="24"/>
        </w:rPr>
        <w:t>包括现有和将来的任何类别的财产、收入及权益；</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1.2.3 “修订”:</w:t>
      </w:r>
      <w:r>
        <w:rPr>
          <w:rFonts w:hint="eastAsia" w:cs="宋体" w:asciiTheme="minorEastAsia" w:hAnsiTheme="minorEastAsia" w:eastAsiaTheme="minorEastAsia"/>
          <w:color w:val="auto"/>
          <w:sz w:val="24"/>
        </w:rPr>
        <w:t>包括补充、更新、替换或重新制订（“被修订”应作相应解释）。</w:t>
      </w:r>
    </w:p>
    <w:p>
      <w:pPr>
        <w:pStyle w:val="7"/>
        <w:spacing w:line="360" w:lineRule="auto"/>
        <w:ind w:firstLine="482"/>
        <w:rPr>
          <w:rFonts w:cs="宋体" w:asciiTheme="minorEastAsia" w:hAnsiTheme="minorEastAsia" w:eastAsiaTheme="minorEastAsia"/>
          <w:b/>
          <w:bCs/>
          <w:color w:val="auto"/>
          <w:sz w:val="24"/>
        </w:rPr>
      </w:pP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243" w:name="_Toc428390733"/>
      <w:bookmarkStart w:id="244" w:name="_Toc19881838"/>
      <w:bookmarkStart w:id="245" w:name="_Toc476558171"/>
      <w:r>
        <w:rPr>
          <w:rFonts w:hint="eastAsia" w:cs="宋体" w:asciiTheme="minorEastAsia" w:hAnsiTheme="minorEastAsia" w:eastAsiaTheme="minorEastAsia"/>
          <w:b/>
          <w:bCs/>
          <w:color w:val="auto"/>
          <w:sz w:val="24"/>
        </w:rPr>
        <w:t>第二条  合同构成及适用顺序</w:t>
      </w:r>
      <w:bookmarkEnd w:id="243"/>
      <w:bookmarkEnd w:id="244"/>
      <w:bookmarkEnd w:id="245"/>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2.1 合同构成</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（1）本合同及其各项修订文件、补充合同；</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（2）本合同附件；</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（3）中标通知书;</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（4）投标文件(含澄清文件)；</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（5）其他构成本合同组成部分的文件。</w:t>
      </w: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2.2 合同适用范围及顺序</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2.2.1 本合同构成为签约方就本合同所涉及的事项而订立的完整合同，并取代双方任何先前的合同或安排。</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2.2.2 上述文件将互相补充，若有关于本合同内容的争议，则以上列构成中次序在先者为准。</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2.2.3 除合同性质及双方约定终止执行的合同条款外，本合同争议及违约金条款在乙方完成服务后依然有效。</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2.2.4 本合同条款标题仅为方便之用，不影响条款内容的解释。</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2.2.5 本合同签订后，由乙方继承并履行甲方与投资人签署的《投资协议》。</w:t>
      </w: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246" w:name="_Toc476558172"/>
      <w:bookmarkStart w:id="247" w:name="_Toc424028308"/>
      <w:bookmarkStart w:id="248" w:name="_Toc19881839"/>
      <w:r>
        <w:rPr>
          <w:rFonts w:hint="eastAsia" w:cs="宋体" w:asciiTheme="minorEastAsia" w:hAnsiTheme="minorEastAsia" w:eastAsiaTheme="minorEastAsia"/>
          <w:b/>
          <w:bCs/>
          <w:color w:val="auto"/>
          <w:sz w:val="24"/>
        </w:rPr>
        <w:t>第三条  合同生效</w:t>
      </w:r>
      <w:bookmarkEnd w:id="246"/>
      <w:bookmarkEnd w:id="247"/>
      <w:r>
        <w:rPr>
          <w:rFonts w:hint="eastAsia" w:cs="宋体" w:asciiTheme="minorEastAsia" w:hAnsiTheme="minorEastAsia" w:eastAsiaTheme="minorEastAsia"/>
          <w:b/>
          <w:bCs/>
          <w:color w:val="auto"/>
          <w:sz w:val="24"/>
        </w:rPr>
        <w:t>条件</w:t>
      </w:r>
      <w:bookmarkEnd w:id="248"/>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3.1前提条件</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只有下列前提条件被满足或者被豁免的情况下，本合同的全部条款才会生效。</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3.1.1获得项目相关审批</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根据我国法律规定，实施本项目可能需要履行相关行政审批程序，已获得相应的批准或备案，项目的合法合规地实施没有法律障碍。</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3.1.2签订《投资协议》</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在项目中标通知书发出后30天内或招标文件规定的期限内，投资人应按规定与甲方签订《投资协议》。</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3.1.3提交投资人履约保函</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投资人按照《投资协议》向甲方提交投资人履约保函。</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3.1.4项目融资完成</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乙方应确保在本合同签订后6个月内实现项目融资完成，并向甲方交付所有签署的融资文件的复印件，以及甲方可能合理要求的表明融资完成已实现的其它证明文件。</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“融资完成”指乙方已为项目融资的目的与贷款人签署并递交所需的有效融资文件，以证明本项目获得资金的所有前提条件得到满足。</w:t>
      </w:r>
    </w:p>
    <w:p>
      <w:pPr>
        <w:pStyle w:val="7"/>
        <w:spacing w:line="360" w:lineRule="auto"/>
        <w:ind w:firstLine="482"/>
        <w:rPr>
          <w:rFonts w:cs="宋体" w:asciiTheme="minorEastAsia" w:hAnsiTheme="minorEastAsia" w:eastAsiaTheme="minorEastAsia"/>
          <w:b/>
          <w:color w:val="auto"/>
          <w:kern w:val="0"/>
          <w:sz w:val="24"/>
        </w:rPr>
      </w:pPr>
      <w:r>
        <w:rPr>
          <w:rFonts w:hint="eastAsia" w:cs="宋体" w:asciiTheme="minorEastAsia" w:hAnsiTheme="minorEastAsia" w:eastAsiaTheme="minorEastAsia"/>
          <w:b/>
          <w:color w:val="auto"/>
          <w:kern w:val="0"/>
          <w:sz w:val="24"/>
        </w:rPr>
        <w:t>3.2前提条件豁免</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上述前提条件可以被豁免，但只有负责满足该前提条件的一方的相对方拥有该豁免权利。</w:t>
      </w:r>
    </w:p>
    <w:p>
      <w:pPr>
        <w:pStyle w:val="7"/>
        <w:spacing w:line="360" w:lineRule="auto"/>
        <w:ind w:firstLine="482"/>
        <w:rPr>
          <w:rFonts w:cs="宋体" w:asciiTheme="minorEastAsia" w:hAnsiTheme="minorEastAsia" w:eastAsiaTheme="minorEastAsia"/>
          <w:b/>
          <w:color w:val="auto"/>
          <w:kern w:val="0"/>
          <w:sz w:val="24"/>
        </w:rPr>
      </w:pPr>
      <w:r>
        <w:rPr>
          <w:rFonts w:hint="eastAsia" w:cs="宋体" w:asciiTheme="minorEastAsia" w:hAnsiTheme="minorEastAsia" w:eastAsiaTheme="minorEastAsia"/>
          <w:b/>
          <w:color w:val="auto"/>
          <w:kern w:val="0"/>
          <w:sz w:val="24"/>
        </w:rPr>
        <w:t>3.3未满足前提条件的后果</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(1)合同终止。如果双方约定的上述任一前提条件在规定的时间内未满足，并且另一合同方也未同意豁免或延长期限，则该合同方有权终止项目合同。</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经济赔偿。如因合同一方未能在规定的时间内满足其应当满足的前提条件而导致合同终止的，合同另一方有权向其主张一定的经济赔偿，但经济赔偿的额度应当与合同另一方因此所遭受的损失相匹配，并符合我国合同法关于损害赔偿的规定。</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(3)提取保函。如果因投资人或乙方原因，乙方未能按照约定的时间和要求达成前提条件，且甲方未同意豁免该前提条件时，甲方有权提取投资人履约保函下的金额。</w:t>
      </w:r>
    </w:p>
    <w:p>
      <w:pPr>
        <w:pStyle w:val="7"/>
        <w:spacing w:line="360" w:lineRule="auto"/>
        <w:ind w:firstLine="480"/>
        <w:rPr>
          <w:rFonts w:cs="宋体" w:asciiTheme="minorEastAsia" w:hAnsiTheme="minorEastAsia" w:eastAsiaTheme="minorEastAsia"/>
          <w:color w:val="auto"/>
          <w:kern w:val="0"/>
          <w:sz w:val="24"/>
        </w:rPr>
      </w:pP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249" w:name="_Toc432432229"/>
      <w:bookmarkStart w:id="250" w:name="_Toc476558173"/>
      <w:bookmarkStart w:id="251" w:name="_Toc19881840"/>
      <w:r>
        <w:rPr>
          <w:rFonts w:hint="eastAsia" w:cs="宋体" w:asciiTheme="minorEastAsia" w:hAnsiTheme="minorEastAsia" w:eastAsiaTheme="minorEastAsia"/>
          <w:b/>
          <w:bCs/>
          <w:color w:val="auto"/>
          <w:sz w:val="24"/>
        </w:rPr>
        <w:t>第四条</w:t>
      </w:r>
      <w:bookmarkEnd w:id="249"/>
      <w:bookmarkStart w:id="252" w:name="_Toc68078139"/>
      <w:bookmarkStart w:id="253" w:name="_Toc68078671"/>
      <w:bookmarkStart w:id="254" w:name="_Toc71780642"/>
      <w:bookmarkStart w:id="255" w:name="_Toc136332502"/>
      <w:bookmarkStart w:id="256" w:name="_Toc68075699"/>
      <w:bookmarkStart w:id="257" w:name="_Toc68078441"/>
      <w:bookmarkStart w:id="258" w:name="_Toc432432230"/>
      <w:bookmarkStart w:id="259" w:name="_Toc424028307"/>
      <w:r>
        <w:rPr>
          <w:rFonts w:hint="eastAsia" w:cs="宋体" w:asciiTheme="minorEastAsia" w:hAnsiTheme="minorEastAsia" w:eastAsiaTheme="minorEastAsia"/>
          <w:b/>
          <w:bCs/>
          <w:color w:val="auto"/>
          <w:sz w:val="24"/>
        </w:rPr>
        <w:t xml:space="preserve">  声明和</w:t>
      </w:r>
      <w:bookmarkEnd w:id="250"/>
      <w:bookmarkEnd w:id="252"/>
      <w:bookmarkEnd w:id="253"/>
      <w:bookmarkEnd w:id="254"/>
      <w:bookmarkEnd w:id="255"/>
      <w:bookmarkEnd w:id="256"/>
      <w:bookmarkEnd w:id="257"/>
      <w:r>
        <w:rPr>
          <w:rFonts w:hint="eastAsia" w:cs="宋体" w:asciiTheme="minorEastAsia" w:hAnsiTheme="minorEastAsia" w:eastAsiaTheme="minorEastAsia"/>
          <w:b/>
          <w:bCs/>
          <w:color w:val="auto"/>
          <w:sz w:val="24"/>
        </w:rPr>
        <w:t>保证</w:t>
      </w:r>
      <w:bookmarkEnd w:id="251"/>
    </w:p>
    <w:p>
      <w:pPr>
        <w:pStyle w:val="7"/>
        <w:spacing w:line="360" w:lineRule="auto"/>
        <w:ind w:firstLine="482"/>
        <w:rPr>
          <w:rFonts w:cs="宋体" w:asciiTheme="minorEastAsia" w:hAnsiTheme="minorEastAsia" w:eastAsiaTheme="minorEastAsia"/>
          <w:b/>
          <w:color w:val="auto"/>
          <w:sz w:val="24"/>
        </w:rPr>
      </w:pPr>
      <w:bookmarkStart w:id="260" w:name="_Toc136332503"/>
      <w:bookmarkStart w:id="261" w:name="_Toc68078140"/>
      <w:bookmarkStart w:id="262" w:name="_Toc68078442"/>
      <w:bookmarkStart w:id="263" w:name="_Toc68078672"/>
      <w:bookmarkStart w:id="264" w:name="_Toc68075700"/>
      <w:r>
        <w:rPr>
          <w:rFonts w:hint="eastAsia" w:cs="宋体" w:asciiTheme="minorEastAsia" w:hAnsiTheme="minorEastAsia" w:eastAsiaTheme="minorEastAsia"/>
          <w:b/>
          <w:color w:val="auto"/>
          <w:sz w:val="24"/>
        </w:rPr>
        <w:t>4.1 甲方的声明</w:t>
      </w:r>
      <w:bookmarkEnd w:id="260"/>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甲方在此向乙方声明：</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甲方已获东方市人民政府授权管理本项目，有权签署本项目合同，并可以履行其在本合同项下的全部义务；</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甲方已经获得本项目合同应在生效日期前依相关法规应该由甲方获得的所有批准；</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如果甲方在此所作的声明被证实在作出时存在实质方面的不属实，并且该不属实声明严重影响该项目的顺利进行，乙方有权终止本合同。若因此造成任何损失，甲方需全额赔偿乙方。</w:t>
      </w:r>
    </w:p>
    <w:p>
      <w:pPr>
        <w:pStyle w:val="7"/>
        <w:spacing w:line="360" w:lineRule="auto"/>
        <w:ind w:firstLine="482"/>
        <w:rPr>
          <w:rFonts w:cs="宋体" w:asciiTheme="minorEastAsia" w:hAnsiTheme="minorEastAsia" w:eastAsiaTheme="minorEastAsia"/>
          <w:b/>
          <w:color w:val="auto"/>
          <w:sz w:val="24"/>
        </w:rPr>
      </w:pPr>
      <w:bookmarkStart w:id="265" w:name="_Toc136332504"/>
      <w:r>
        <w:rPr>
          <w:rFonts w:hint="eastAsia" w:cs="宋体" w:asciiTheme="minorEastAsia" w:hAnsiTheme="minorEastAsia" w:eastAsiaTheme="minorEastAsia"/>
          <w:b/>
          <w:color w:val="auto"/>
          <w:sz w:val="24"/>
        </w:rPr>
        <w:t>4.2 乙方的声明</w:t>
      </w:r>
      <w:bookmarkEnd w:id="261"/>
      <w:bookmarkEnd w:id="262"/>
      <w:bookmarkEnd w:id="263"/>
      <w:bookmarkEnd w:id="264"/>
      <w:bookmarkEnd w:id="265"/>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乙方在此向甲方声明：</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乙方是依据中华人民共和国法律正式成立的合法机构，具有签署和履行本项目合同、其它项目合同和融资文件的法人资格和权利；</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乙方已经获得本合同应在生效日期前依照相关法规应该由乙方获得的所有批准；</w:t>
      </w:r>
    </w:p>
    <w:p>
      <w:pPr>
        <w:pStyle w:val="7"/>
        <w:spacing w:line="360" w:lineRule="auto"/>
        <w:ind w:firstLine="480"/>
        <w:rPr>
          <w:rFonts w:cs="宋体" w:asciiTheme="minorEastAsia" w:hAnsiTheme="minorEastAsia" w:eastAsiaTheme="minorEastAsia"/>
          <w:b/>
          <w:bCs/>
          <w:color w:val="auto"/>
          <w:sz w:val="24"/>
        </w:rPr>
      </w:pPr>
      <w:r>
        <w:rPr>
          <w:rFonts w:hint="eastAsia" w:cs="宋体" w:asciiTheme="minorEastAsia" w:hAnsiTheme="minorEastAsia" w:eastAsiaTheme="minorEastAsia"/>
          <w:color w:val="auto"/>
          <w:sz w:val="24"/>
        </w:rPr>
        <w:t>如果乙方在此所 作的声明被证实在作出时存在实质方面的不属实，并且该不属实声明严重影响本合同项下的特许经营项目的顺利进行，甲方有权终止本合同。由此造成甲方损失的，乙方全额赔偿给甲方。</w:t>
      </w:r>
    </w:p>
    <w:bookmarkEnd w:id="258"/>
    <w:bookmarkEnd w:id="259"/>
    <w:p>
      <w:pPr>
        <w:spacing w:beforeLines="100" w:afterLines="100" w:line="360" w:lineRule="auto"/>
        <w:jc w:val="center"/>
        <w:outlineLvl w:val="1"/>
        <w:rPr>
          <w:rFonts w:cs="宋体" w:asciiTheme="minorEastAsia" w:hAnsiTheme="minorEastAsia" w:eastAsiaTheme="minorEastAsia"/>
          <w:b/>
          <w:color w:val="auto"/>
          <w:sz w:val="28"/>
        </w:rPr>
      </w:pPr>
      <w:bookmarkStart w:id="266" w:name="_Toc455741329"/>
      <w:bookmarkStart w:id="267" w:name="_Toc476558174"/>
      <w:bookmarkStart w:id="268" w:name="_Toc19881841"/>
      <w:r>
        <w:rPr>
          <w:rFonts w:hint="eastAsia" w:cs="宋体" w:asciiTheme="minorEastAsia" w:hAnsiTheme="minorEastAsia" w:eastAsiaTheme="minorEastAsia"/>
          <w:b/>
          <w:color w:val="auto"/>
          <w:sz w:val="28"/>
        </w:rPr>
        <w:t xml:space="preserve">第二章  </w:t>
      </w:r>
      <w:bookmarkEnd w:id="266"/>
      <w:bookmarkEnd w:id="267"/>
      <w:r>
        <w:rPr>
          <w:rFonts w:hint="eastAsia" w:cs="宋体" w:asciiTheme="minorEastAsia" w:hAnsiTheme="minorEastAsia" w:eastAsiaTheme="minorEastAsia"/>
          <w:b/>
          <w:color w:val="auto"/>
          <w:sz w:val="28"/>
        </w:rPr>
        <w:t>项目合作</w:t>
      </w:r>
      <w:bookmarkEnd w:id="268"/>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269" w:name="_Toc19881842"/>
      <w:bookmarkStart w:id="270" w:name="_Toc476558175"/>
      <w:bookmarkStart w:id="271" w:name="_Toc432432234"/>
      <w:r>
        <w:rPr>
          <w:rFonts w:hint="eastAsia" w:cs="宋体" w:asciiTheme="minorEastAsia" w:hAnsiTheme="minorEastAsia" w:eastAsiaTheme="minorEastAsia"/>
          <w:b/>
          <w:bCs/>
          <w:color w:val="auto"/>
          <w:sz w:val="24"/>
        </w:rPr>
        <w:t>第五条  合作主体</w:t>
      </w:r>
      <w:bookmarkEnd w:id="269"/>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5.1 甲方资格</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5.1.1 甲方名称：东方市交通运输局</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5.1.2 甲方同任何其他政府机构或实体合并，本合同依然保持有效，并由受让者享有甲方在本合同项下的权利，负有甲方在本合同项下的所有义务并承担全部责任。</w:t>
      </w: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5.2 甲方权利</w:t>
      </w:r>
    </w:p>
    <w:p>
      <w:pPr>
        <w:pStyle w:val="7"/>
        <w:spacing w:line="360" w:lineRule="auto"/>
        <w:ind w:firstLine="480"/>
        <w:rPr>
          <w:rFonts w:cs="宋体" w:asciiTheme="minorEastAsia" w:hAnsiTheme="minorEastAsia" w:eastAsiaTheme="minorEastAsia"/>
          <w:color w:val="auto"/>
          <w:kern w:val="0"/>
          <w:sz w:val="24"/>
        </w:rPr>
      </w:pPr>
      <w:bookmarkStart w:id="272" w:name="_Toc424028310"/>
      <w:r>
        <w:rPr>
          <w:rFonts w:hint="eastAsia" w:cs="宋体" w:asciiTheme="minorEastAsia" w:hAnsiTheme="minorEastAsia" w:eastAsiaTheme="minorEastAsia"/>
          <w:color w:val="auto"/>
          <w:kern w:val="0"/>
          <w:sz w:val="24"/>
        </w:rPr>
        <w:t>5.2.1 按本合同约定提取履约保函下的款项的权利；</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5.2.2 对乙方投资、运营、维护及移交本项目进行全程实时监管的权利；如发现与本合同存在不相符合的，有权责成乙方限期予以纠正；</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5.2.3 甲方或市政府指定机构或其委托的其他主体，对乙方的投资、运营、管理、安全、质量、服务状况等进行定期评估，并有权定期将评估结果向社会公示，接受公众监督；</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5.2.4 甲方或政府有关部门在建设期内有对乙方的建设情况进行监督检查的权利，包括但不限于在建设期内甲方可以指定政府其他部门或机构对项目进行专项审计检查，相应的费用由甲方负担，检查周期由甲方合理确定，监督范围主要包括对乙方的注册资本的到位情况、资金使用情况、项目进度情况、项目质量情况、项目实施与本合同执行情况等方面，乙方有义务对监督检查工作给予充分配合，提供必要的完整的所需查看的各种文件资料，并对提供资料的真实性负责；</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5.2.5 对乙方是否遵守本合同的监督检查权及对建设、运营维护的介入权；</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5.2.6 乙方如出现下列行为之一者，甲方有权责令其限期改正，或依法采取有效措施督促其履行义务；逾期不改正的，有权终止本合同，收回本项目经营权；</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（1）转让、质押特许经营权或擅自处置、抵押项目设施、设备的；</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（2）无合同约定条件、无正当理由擅自停业、歇业，影响到社会公共利益和公共安全的；</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（3）因经营管理不善，造成重大质量、安全责任事故，严重影响公众利益的；</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（4）被相关部门依法注销、关停的；</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（5）违反获得项目时所做的承诺，情节严重的；</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sz w:val="24"/>
        </w:rPr>
        <w:t>（6）实施了法律法规禁止的其他行为，情节严重的。</w:t>
      </w: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5.3 甲方义务</w:t>
      </w:r>
      <w:bookmarkEnd w:id="272"/>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5.3.1 由甲方按照本合同的约定及时、足额地向乙方支付应付财政补贴；且负责协调市政府将本项目的财政补贴金额纳入跨年度的财政预算；</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 xml:space="preserve">5.3.2 在项目建设运营过程中，协助乙方协调与所涉及的有关单位的关系； </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5.3.3 在项目合作期内，对非可归责于乙方，且甲方或政府方更有能力解决的事项，由甲方或市政府指定的机构负责协调或监管。</w:t>
      </w: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5.4 乙方资格</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签订本合同的乙方应是符合条件的投资人在东方市专门注册成立的项目公司。</w:t>
      </w:r>
    </w:p>
    <w:p>
      <w:pPr>
        <w:pStyle w:val="7"/>
        <w:spacing w:line="360" w:lineRule="auto"/>
        <w:ind w:firstLine="480"/>
        <w:rPr>
          <w:rFonts w:cs="宋体" w:asciiTheme="minorEastAsia" w:hAnsiTheme="minorEastAsia" w:eastAsiaTheme="minorEastAsia"/>
          <w:color w:val="auto"/>
          <w:kern w:val="0"/>
          <w:sz w:val="24"/>
          <w:u w:val="single"/>
        </w:rPr>
      </w:pPr>
      <w:r>
        <w:rPr>
          <w:rFonts w:hint="eastAsia" w:cs="宋体" w:asciiTheme="minorEastAsia" w:hAnsiTheme="minorEastAsia" w:eastAsiaTheme="minorEastAsia"/>
          <w:color w:val="auto"/>
          <w:kern w:val="0"/>
          <w:sz w:val="24"/>
        </w:rPr>
        <w:t>乙方名称：</w:t>
      </w:r>
    </w:p>
    <w:p>
      <w:pPr>
        <w:pStyle w:val="7"/>
        <w:spacing w:line="360" w:lineRule="auto"/>
        <w:ind w:firstLine="482"/>
        <w:rPr>
          <w:rFonts w:cs="宋体" w:asciiTheme="minorEastAsia" w:hAnsiTheme="minorEastAsia" w:eastAsiaTheme="minorEastAsia"/>
          <w:b/>
          <w:bCs/>
          <w:color w:val="auto"/>
          <w:sz w:val="24"/>
        </w:rPr>
      </w:pPr>
      <w:bookmarkStart w:id="273" w:name="_Toc424028311"/>
      <w:r>
        <w:rPr>
          <w:rFonts w:hint="eastAsia" w:cs="宋体" w:asciiTheme="minorEastAsia" w:hAnsiTheme="minorEastAsia" w:eastAsiaTheme="minorEastAsia"/>
          <w:b/>
          <w:bCs/>
          <w:color w:val="auto"/>
          <w:sz w:val="24"/>
        </w:rPr>
        <w:t>5.5 乙方权利</w:t>
      </w:r>
      <w:bookmarkEnd w:id="273"/>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5.5.1 享有投资、运营管理、维护和移交本项目的权利；</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5.5.2 要求甲方按照本合同的约定支付项目资本金回报、融资成本回报、运营补助（含政策性亏损补助）、超额收入回报；</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5.5.3 如果因可归责于其他第三方的原因导致乙方履约不能的，则乙方有权和甲方就有关事宜进行沟通，如经甲方确认确属其他第三方原因，且乙方已为避免此种情形采取必要的措施，则甲方有权酌情考虑对应绩效考核指标的达成率。</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5.5.4 排他性约定。甲方应确保在合作期间本项目约定权利专属于乙方。</w:t>
      </w:r>
    </w:p>
    <w:p>
      <w:pPr>
        <w:pStyle w:val="7"/>
        <w:spacing w:line="360" w:lineRule="auto"/>
        <w:ind w:firstLine="482"/>
        <w:rPr>
          <w:rFonts w:cs="宋体" w:asciiTheme="minorEastAsia" w:hAnsiTheme="minorEastAsia" w:eastAsiaTheme="minorEastAsia"/>
          <w:b/>
          <w:bCs/>
          <w:color w:val="auto"/>
          <w:sz w:val="24"/>
        </w:rPr>
      </w:pPr>
      <w:bookmarkStart w:id="274" w:name="_Toc424028312"/>
      <w:r>
        <w:rPr>
          <w:rFonts w:hint="eastAsia" w:cs="宋体" w:asciiTheme="minorEastAsia" w:hAnsiTheme="minorEastAsia" w:eastAsiaTheme="minorEastAsia"/>
          <w:b/>
          <w:bCs/>
          <w:color w:val="auto"/>
          <w:sz w:val="24"/>
        </w:rPr>
        <w:t>5.6 乙方义务</w:t>
      </w:r>
      <w:bookmarkEnd w:id="274"/>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5.6.1 承担项目投资、运营及维护的费用和风险，负责项目的投资、运营、维护和移交；</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5.6.2 按照东方市发展规划、年度建设计划以及本合同的约定完成相应的投资建设；</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5.6.3 在运营期内严格按法律及本合同规定进行运营，持续、安全、稳定地提供服务，并确保项目达到本合同约定的标准；</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5.6.4 接受甲方或市政府指定的其他部门或机构在建设期及运营期进行监督管理，并有义务配合合作期内监管事宜，如属聘请第三方机构进行监管的，由此产生的专业第三方机构的监管服务费用由甲方承担，如经监管发现乙方存在瞒报收入、虚增支出等违法行为的，则由乙方承担第三方机构的监管服务费；</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5.6.5 按照本合同约定提交建设期履约担保、运营维护履约担保及期末移交履约担保；</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5.6.6 乙方应尽最大努力按时完成项目建设工作，确保项目按本合同约定日期完工；</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5.6.7 如未来甲方或政府有关部门或政府授权的有关单位需对依附于本项目的设施设备进行维修、维护或抢险需要，以及线路新增调整优化的，则乙方应尽最大努力予以配合，不得以本项目对抗关乎公共利益或公共安全的事项；申请进行设施维修、维护、抢险的或线路调整的单位应事先报经政府相关行业主管部门申请授权许可，乙方应根据授权许可，配合其达标完成相应工作。如该种情形下的配合如影响到乙方绩效考核的，则甲方应酌情按照乙方已履行完毕对应的服务质量考核来对待，且不应视为乙方违约；</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5.6.8 如未来甲方利用本项目申请国家专项资金的，乙方应尽最大努力提供协助。</w:t>
      </w:r>
    </w:p>
    <w:p>
      <w:pPr>
        <w:pStyle w:val="7"/>
        <w:spacing w:line="360" w:lineRule="auto"/>
        <w:ind w:firstLine="482"/>
        <w:rPr>
          <w:rFonts w:cs="宋体" w:asciiTheme="minorEastAsia" w:hAnsiTheme="minorEastAsia" w:eastAsiaTheme="minorEastAsia"/>
          <w:color w:val="auto"/>
          <w:kern w:val="0"/>
          <w:sz w:val="24"/>
        </w:rPr>
      </w:pPr>
      <w:r>
        <w:rPr>
          <w:rStyle w:val="43"/>
          <w:rFonts w:hint="eastAsia" w:cs="宋体" w:asciiTheme="minorEastAsia" w:hAnsiTheme="minorEastAsia" w:eastAsiaTheme="minorEastAsia"/>
          <w:color w:val="auto"/>
          <w:sz w:val="24"/>
          <w:szCs w:val="24"/>
        </w:rPr>
        <w:t>5.7 甲方和乙方共同的一般权利和义务</w:t>
      </w:r>
    </w:p>
    <w:p>
      <w:pPr>
        <w:pStyle w:val="7"/>
        <w:spacing w:line="360" w:lineRule="auto"/>
        <w:ind w:firstLine="482"/>
        <w:rPr>
          <w:rStyle w:val="41"/>
          <w:rFonts w:cs="宋体" w:asciiTheme="minorEastAsia" w:hAnsiTheme="minorEastAsia" w:eastAsiaTheme="minorEastAsia"/>
          <w:color w:val="auto"/>
          <w:sz w:val="24"/>
          <w:szCs w:val="24"/>
        </w:rPr>
      </w:pPr>
      <w:r>
        <w:rPr>
          <w:rStyle w:val="41"/>
          <w:rFonts w:hint="eastAsia" w:cs="宋体" w:asciiTheme="minorEastAsia" w:hAnsiTheme="minorEastAsia" w:eastAsiaTheme="minorEastAsia"/>
          <w:color w:val="auto"/>
          <w:sz w:val="24"/>
          <w:szCs w:val="24"/>
        </w:rPr>
        <w:t>5.7.1 保密</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任何一方或其雇员、承包商、顾问或代理人获得的所有资料和文件（不论是财务、技术或其它方面，但不包括与项目进展有关的非敏感信息），如果尚未公布即应保密，未经另一方事先书面同意，在合作期期满之后的【】年期间不得向第三方透露或公开，但是法律要求的信息除外。本</w:t>
      </w:r>
      <w:r>
        <w:rPr>
          <w:color w:val="auto"/>
        </w:rPr>
        <w:fldChar w:fldCharType="begin"/>
      </w:r>
      <w:r>
        <w:rPr>
          <w:color w:val="auto"/>
        </w:rPr>
        <w:instrText xml:space="preserve"> HYPERLINK "http://www.lawtime.cn/info/hetong/hetongdingli/chengnuo/" \t "_blank" </w:instrText>
      </w:r>
      <w:r>
        <w:rPr>
          <w:color w:val="auto"/>
        </w:rPr>
        <w:fldChar w:fldCharType="separate"/>
      </w:r>
      <w:r>
        <w:rPr>
          <w:rFonts w:hint="eastAsia" w:cs="宋体" w:asciiTheme="minorEastAsia" w:hAnsiTheme="minorEastAsia" w:eastAsiaTheme="minorEastAsia"/>
          <w:color w:val="auto"/>
          <w:kern w:val="0"/>
          <w:sz w:val="24"/>
        </w:rPr>
        <w:t>承诺</w:t>
      </w:r>
      <w:r>
        <w:rPr>
          <w:rFonts w:hint="eastAsia" w:cs="宋体" w:asciiTheme="minorEastAsia" w:hAnsiTheme="minorEastAsia" w:eastAsiaTheme="minorEastAsia"/>
          <w:color w:val="auto"/>
          <w:kern w:val="0"/>
          <w:sz w:val="24"/>
        </w:rPr>
        <w:fldChar w:fldCharType="end"/>
      </w:r>
      <w:r>
        <w:rPr>
          <w:rFonts w:hint="eastAsia" w:cs="宋体" w:asciiTheme="minorEastAsia" w:hAnsiTheme="minorEastAsia" w:eastAsiaTheme="minorEastAsia"/>
          <w:color w:val="auto"/>
          <w:kern w:val="0"/>
          <w:sz w:val="24"/>
        </w:rPr>
        <w:t>在本合同终止后仍然有效。</w:t>
      </w:r>
    </w:p>
    <w:p>
      <w:pPr>
        <w:pStyle w:val="7"/>
        <w:spacing w:line="360" w:lineRule="auto"/>
        <w:ind w:firstLine="482"/>
        <w:rPr>
          <w:rFonts w:cs="宋体" w:asciiTheme="minorEastAsia" w:hAnsiTheme="minorEastAsia" w:eastAsiaTheme="minorEastAsia"/>
          <w:color w:val="auto"/>
          <w:kern w:val="0"/>
          <w:sz w:val="24"/>
        </w:rPr>
      </w:pPr>
      <w:r>
        <w:rPr>
          <w:rStyle w:val="41"/>
          <w:rFonts w:hint="eastAsia" w:cs="宋体" w:asciiTheme="minorEastAsia" w:hAnsiTheme="minorEastAsia" w:eastAsiaTheme="minorEastAsia"/>
          <w:color w:val="auto"/>
          <w:sz w:val="24"/>
          <w:szCs w:val="24"/>
        </w:rPr>
        <w:t>5.7.2 合作义务，预先警告义务</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双方应相互合作以达到本合同的目的，并应善意地行使和履行各自在本合同项下的权利和义务。在此前提下，双方同意：</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（1）除本合同另有规定外，当一方要求取得另一方的同意时，被要求方应在10天或其它合理所需的时间内给予同意或批准，而不可以无理拒绝或迟延给予该等同意或批准；及</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（2）如果任何一方获悉的任何事件或情形属于：</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（a）经该方合理预计将对任何一方履行其本合同项下的义务或实施项目的能力造成重大不利影响的事件或情形；及</w:t>
      </w:r>
    </w:p>
    <w:p>
      <w:pPr>
        <w:pStyle w:val="7"/>
        <w:spacing w:line="360" w:lineRule="auto"/>
        <w:ind w:firstLine="480"/>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（b）合理预计另一方不可能获悉该事件或情形；</w:t>
      </w:r>
    </w:p>
    <w:p>
      <w:pPr>
        <w:pStyle w:val="7"/>
        <w:spacing w:line="360" w:lineRule="auto"/>
        <w:ind w:firstLine="480"/>
        <w:rPr>
          <w:rFonts w:cs="宋体" w:asciiTheme="minorEastAsia" w:hAnsiTheme="minorEastAsia" w:eastAsiaTheme="minorEastAsia"/>
          <w:b/>
          <w:bCs/>
          <w:color w:val="auto"/>
          <w:sz w:val="24"/>
        </w:rPr>
      </w:pPr>
      <w:r>
        <w:rPr>
          <w:rFonts w:hint="eastAsia" w:cs="宋体" w:asciiTheme="minorEastAsia" w:hAnsiTheme="minorEastAsia" w:eastAsiaTheme="minorEastAsia"/>
          <w:color w:val="auto"/>
          <w:kern w:val="0"/>
          <w:sz w:val="24"/>
        </w:rPr>
        <w:t>则该方应尽快将该事件或情形通知另一方。</w:t>
      </w: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275" w:name="_Toc19881843"/>
      <w:r>
        <w:rPr>
          <w:rFonts w:hint="eastAsia" w:cs="宋体" w:asciiTheme="minorEastAsia" w:hAnsiTheme="minorEastAsia" w:eastAsiaTheme="minorEastAsia"/>
          <w:b/>
          <w:bCs/>
          <w:color w:val="auto"/>
          <w:sz w:val="24"/>
        </w:rPr>
        <w:t xml:space="preserve">第六条  </w:t>
      </w:r>
      <w:bookmarkEnd w:id="270"/>
      <w:bookmarkEnd w:id="271"/>
      <w:r>
        <w:rPr>
          <w:rFonts w:hint="eastAsia" w:cs="宋体" w:asciiTheme="minorEastAsia" w:hAnsiTheme="minorEastAsia" w:eastAsiaTheme="minorEastAsia"/>
          <w:b/>
          <w:bCs/>
          <w:color w:val="auto"/>
          <w:sz w:val="24"/>
        </w:rPr>
        <w:t>项目合作范围、期限及收益</w:t>
      </w:r>
      <w:bookmarkEnd w:id="275"/>
    </w:p>
    <w:p>
      <w:pPr>
        <w:pStyle w:val="7"/>
        <w:spacing w:line="360" w:lineRule="auto"/>
        <w:ind w:firstLine="482"/>
        <w:rPr>
          <w:rFonts w:cs="宋体" w:asciiTheme="minorEastAsia" w:hAnsiTheme="minorEastAsia" w:eastAsiaTheme="minorEastAsia"/>
          <w:b/>
          <w:bCs/>
          <w:color w:val="auto"/>
          <w:sz w:val="24"/>
        </w:rPr>
      </w:pPr>
      <w:bookmarkStart w:id="276" w:name="_Toc432432235"/>
      <w:r>
        <w:rPr>
          <w:rFonts w:hint="eastAsia" w:cs="宋体" w:asciiTheme="minorEastAsia" w:hAnsiTheme="minorEastAsia" w:eastAsiaTheme="minorEastAsia"/>
          <w:b/>
          <w:bCs/>
          <w:color w:val="auto"/>
          <w:sz w:val="24"/>
        </w:rPr>
        <w:t>6.1项目范围</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 xml:space="preserve">本项目由四个部分组成，分别是线路开通、车辆购置、智慧公交系统建设、主体整合，统一由乙方负责实施，各项初期建设内容均为《东方市城乡公交客运服务一体化特许经营实施方案》的暂定数据，实际投入情况以线路实际开通情况、车辆实际购置数量、智慧公交系统实际建设等情况为准；后续经营期内的新增建设需遵循甲方指令按期完成。 </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6.1.1 线路开通</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建设初期线路开通包括城市公交、城乡公交，后续根据甲方指令逐条线路完成镇村公交和旅游公交开通，由乙方全面负责。至2020年，东方市开通公交线路20条，总里程为534.2公里。其中城市公交线路12条，里程为175.1公里；城乡公交8条，里程为359.1公里。</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6.1.2车辆购置</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根据公交运力规划，初期建设阶段，至2020年1月1日起需达到175辆公交车辆，由乙方对截止主体整合时间节点尚未报废的运营车辆予以全部收购，缺口部分由乙方参照车辆配置标准和购置计划自行购置，新购车辆均需为新能源公交车。后续运营阶段，需根据实际运营情况和甲方指令，分批次完成车辆新购和更新。</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6.1.3智慧公交系统建设</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智慧公交系统完成建设时间原则上不超过2021年，初期主要建设内容为“3321”工程，“建设3个中心，即1个全市交通运输全行业数据资源中心、1个全市交通运行一体化监管与行业决策中心、1套公交运营调度中心；搭建3大平台，即公交企业运营调度平台、公交信息服务平台、交通行业监管与决策支持平台；完善2张网络，即1张数据采集发布网、1张数据传输通信网；建立1套体系，即操作系统、数据库管理、GIS软件、杀毒软件、虚拟化软件、视频管理软件以及相关中间件等支撑系统。</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6.1.4主体整合</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乙方正式获取本项目特许经营权后，由乙方对东方市现有城乡客运领域原有车辆进行收购、原有司乘人员进行安置，根据收购节点线路经营权到期和车辆残值情况，投入资金进行收购和安置补偿，主体整合时间节点不超过</w:t>
      </w:r>
      <w:r>
        <w:rPr>
          <w:rFonts w:hint="eastAsia" w:cs="宋体" w:asciiTheme="minorEastAsia" w:hAnsiTheme="minorEastAsia" w:eastAsiaTheme="minorEastAsia"/>
          <w:bCs/>
          <w:color w:val="auto"/>
          <w:sz w:val="24"/>
          <w:u w:val="single"/>
        </w:rPr>
        <w:t>2020</w:t>
      </w:r>
      <w:r>
        <w:rPr>
          <w:rFonts w:hint="eastAsia" w:cs="宋体" w:asciiTheme="minorEastAsia" w:hAnsiTheme="minorEastAsia" w:eastAsiaTheme="minorEastAsia"/>
          <w:bCs/>
          <w:color w:val="auto"/>
          <w:sz w:val="24"/>
        </w:rPr>
        <w:t>年。</w:t>
      </w:r>
    </w:p>
    <w:bookmarkEnd w:id="276"/>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6.2 合作期</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本项目合作期为16年，含建设期2年。</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除非依据本合同延长或终止，合作期内本合同持续有效，任何一方除本合同约定事由外，不得单方提前终止。</w:t>
      </w:r>
    </w:p>
    <w:p>
      <w:pPr>
        <w:pStyle w:val="7"/>
        <w:spacing w:line="360" w:lineRule="auto"/>
        <w:ind w:firstLine="482"/>
        <w:rPr>
          <w:rFonts w:cs="宋体" w:asciiTheme="minorEastAsia" w:hAnsiTheme="minorEastAsia" w:eastAsiaTheme="minorEastAsia"/>
          <w:b/>
          <w:bCs/>
          <w:color w:val="auto"/>
          <w:sz w:val="24"/>
        </w:rPr>
      </w:pPr>
      <w:bookmarkStart w:id="277" w:name="_Toc432432236"/>
      <w:r>
        <w:rPr>
          <w:rFonts w:hint="eastAsia" w:cs="宋体" w:asciiTheme="minorEastAsia" w:hAnsiTheme="minorEastAsia" w:eastAsiaTheme="minorEastAsia"/>
          <w:b/>
          <w:bCs/>
          <w:color w:val="auto"/>
          <w:sz w:val="24"/>
        </w:rPr>
        <w:t xml:space="preserve">6.3 </w:t>
      </w:r>
      <w:r>
        <w:rPr>
          <w:rFonts w:hint="eastAsia" w:cs="宋体" w:asciiTheme="minorEastAsia" w:hAnsiTheme="minorEastAsia" w:eastAsiaTheme="minorEastAsia"/>
          <w:b/>
          <w:color w:val="auto"/>
          <w:sz w:val="24"/>
        </w:rPr>
        <w:t>合作期</w:t>
      </w:r>
      <w:r>
        <w:rPr>
          <w:rFonts w:hint="eastAsia" w:cs="宋体" w:asciiTheme="minorEastAsia" w:hAnsiTheme="minorEastAsia" w:eastAsiaTheme="minorEastAsia"/>
          <w:b/>
          <w:bCs/>
          <w:color w:val="auto"/>
          <w:sz w:val="24"/>
        </w:rPr>
        <w:t>的延长</w:t>
      </w:r>
      <w:bookmarkEnd w:id="277"/>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 xml:space="preserve">6.3.1 如发生下列事件，项目合作期可适当延长： </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 xml:space="preserve">（1）因本合同约定的可归责于甲方的原因导致的项目实施进度延误情形出现的或本合同约定建设期可延长的情形； </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 xml:space="preserve">（2）由于法律法规变更或政府行为、或甲方违约等原因导致项目合作暂停、或乙方在项目合作期内受到影响并使乙方遭受实质性的损失的。 </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 xml:space="preserve">6.3.2 乙方在6.3.1描述的事件发生之后，希望延长项目合作期的，应在事件发生后30天内向甲方递交要求延长合作期的详细说明，以便甲方可以及时对该说明的情况进行核查；否则甲方有权不同意延长乙方的项目合作期。 </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6.3.3 延长项目合作期需经双方书面确认，且乙方应当在项目合作期结束前</w:t>
      </w:r>
      <w:r>
        <w:rPr>
          <w:rFonts w:hint="eastAsia" w:cs="宋体" w:asciiTheme="minorEastAsia" w:hAnsiTheme="minorEastAsia" w:eastAsiaTheme="minorEastAsia"/>
          <w:bCs/>
          <w:color w:val="auto"/>
          <w:sz w:val="24"/>
          <w:u w:val="single"/>
        </w:rPr>
        <w:t xml:space="preserve"> 90日</w:t>
      </w:r>
      <w:r>
        <w:rPr>
          <w:rFonts w:hint="eastAsia" w:cs="宋体" w:asciiTheme="minorEastAsia" w:hAnsiTheme="minorEastAsia" w:eastAsiaTheme="minorEastAsia"/>
          <w:bCs/>
          <w:color w:val="auto"/>
          <w:sz w:val="24"/>
        </w:rPr>
        <w:t>内向甲方提出书面申请。</w:t>
      </w:r>
    </w:p>
    <w:p>
      <w:pPr>
        <w:pStyle w:val="7"/>
        <w:spacing w:line="360" w:lineRule="auto"/>
        <w:ind w:firstLine="482"/>
        <w:rPr>
          <w:rFonts w:cs="宋体" w:asciiTheme="minorEastAsia" w:hAnsiTheme="minorEastAsia" w:eastAsiaTheme="minorEastAsia"/>
          <w:b/>
          <w:bCs/>
          <w:color w:val="auto"/>
          <w:sz w:val="24"/>
        </w:rPr>
      </w:pPr>
      <w:bookmarkStart w:id="278" w:name="_Toc432432238"/>
      <w:r>
        <w:rPr>
          <w:rFonts w:hint="eastAsia" w:cs="宋体" w:asciiTheme="minorEastAsia" w:hAnsiTheme="minorEastAsia" w:eastAsiaTheme="minorEastAsia"/>
          <w:b/>
          <w:bCs/>
          <w:color w:val="auto"/>
          <w:sz w:val="24"/>
        </w:rPr>
        <w:t xml:space="preserve">6.4 </w:t>
      </w:r>
      <w:r>
        <w:rPr>
          <w:rFonts w:hint="eastAsia" w:cs="宋体" w:asciiTheme="minorEastAsia" w:hAnsiTheme="minorEastAsia" w:eastAsiaTheme="minorEastAsia"/>
          <w:b/>
          <w:color w:val="auto"/>
          <w:sz w:val="24"/>
        </w:rPr>
        <w:t>合作期</w:t>
      </w:r>
      <w:r>
        <w:rPr>
          <w:rFonts w:hint="eastAsia" w:cs="宋体" w:asciiTheme="minorEastAsia" w:hAnsiTheme="minorEastAsia" w:eastAsiaTheme="minorEastAsia"/>
          <w:b/>
          <w:bCs/>
          <w:color w:val="auto"/>
          <w:sz w:val="24"/>
        </w:rPr>
        <w:t>满后的处理</w:t>
      </w:r>
      <w:bookmarkEnd w:id="278"/>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本项目</w:t>
      </w:r>
      <w:r>
        <w:rPr>
          <w:rFonts w:hint="eastAsia" w:cs="宋体" w:asciiTheme="minorEastAsia" w:hAnsiTheme="minorEastAsia" w:eastAsiaTheme="minorEastAsia"/>
          <w:color w:val="auto"/>
          <w:sz w:val="24"/>
        </w:rPr>
        <w:t>合作期</w:t>
      </w:r>
      <w:r>
        <w:rPr>
          <w:rFonts w:hint="eastAsia" w:cs="宋体" w:asciiTheme="minorEastAsia" w:hAnsiTheme="minorEastAsia" w:eastAsiaTheme="minorEastAsia"/>
          <w:bCs/>
          <w:color w:val="auto"/>
          <w:sz w:val="24"/>
        </w:rPr>
        <w:t>届满后，乙方应将所有线路经营权、场站以及保障其正常运作的附属设施设备移交甲方，对于尚未报废的车辆，应该由乙方移交实施机构。</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在甲方按照本合同的约定及时、足额地向乙方支付项目资本金回报、融资成本回报、运营补助（含政策性亏损补助）、超额收入回报等的前提下，乙方应保证在</w:t>
      </w:r>
      <w:r>
        <w:rPr>
          <w:rFonts w:hint="eastAsia" w:cs="宋体" w:asciiTheme="minorEastAsia" w:hAnsiTheme="minorEastAsia" w:eastAsiaTheme="minorEastAsia"/>
          <w:color w:val="auto"/>
          <w:sz w:val="24"/>
        </w:rPr>
        <w:t>合作期</w:t>
      </w:r>
      <w:r>
        <w:rPr>
          <w:rFonts w:hint="eastAsia" w:cs="宋体" w:asciiTheme="minorEastAsia" w:hAnsiTheme="minorEastAsia" w:eastAsiaTheme="minorEastAsia"/>
          <w:bCs/>
          <w:color w:val="auto"/>
          <w:sz w:val="24"/>
        </w:rPr>
        <w:t>满时清偿场站运营部分相关的所有债务，解除在该部分相关权益上设置的任何担保。否则，视同违约处理。</w:t>
      </w: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6.5 政府提供的条件</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bCs/>
          <w:color w:val="auto"/>
          <w:sz w:val="24"/>
        </w:rPr>
        <w:t>甲方通过与乙方签订本合同，授予乙方的、在合作期内的独家的权利，</w:t>
      </w:r>
      <w:r>
        <w:rPr>
          <w:rFonts w:hint="eastAsia" w:cs="宋体" w:asciiTheme="minorEastAsia" w:hAnsiTheme="minorEastAsia" w:eastAsiaTheme="minorEastAsia"/>
          <w:color w:val="auto"/>
          <w:sz w:val="24"/>
        </w:rPr>
        <w:t>以使乙方进行投融资、运营和维护项目设施并取得经营收益以及政府绩效付费收益。</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乙方的经营权在整个合作期内（包括双方商定的迟延期内）始终持续有效。</w:t>
      </w:r>
    </w:p>
    <w:p>
      <w:pPr>
        <w:pStyle w:val="7"/>
        <w:spacing w:line="360" w:lineRule="auto"/>
        <w:ind w:firstLine="482"/>
        <w:rPr>
          <w:rFonts w:cs="宋体" w:asciiTheme="minorEastAsia" w:hAnsiTheme="minorEastAsia" w:eastAsiaTheme="minorEastAsia"/>
          <w:b/>
          <w:bCs/>
          <w:color w:val="auto"/>
          <w:sz w:val="24"/>
        </w:rPr>
      </w:pPr>
      <w:bookmarkStart w:id="279" w:name="_Toc432432237"/>
      <w:r>
        <w:rPr>
          <w:rFonts w:hint="eastAsia" w:cs="宋体" w:asciiTheme="minorEastAsia" w:hAnsiTheme="minorEastAsia" w:eastAsiaTheme="minorEastAsia"/>
          <w:b/>
          <w:bCs/>
          <w:color w:val="auto"/>
          <w:sz w:val="24"/>
        </w:rPr>
        <w:t>6.6收益权的担保及转让</w:t>
      </w:r>
      <w:bookmarkEnd w:id="279"/>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经甲方事先书面同意，出于本项目融资的目的，乙方可根据国务院《关于创新重点领域投融资机制鼓励社会投资的指导意见》（国发[2014]60号）的规定将本合同项下的预期收益等作为本项目的融资质押等担保，乙方设置该担保权益不应损害甲方的权利或利益；若未来乙方不能顺利完成项目融资的，乙方应采取股东贷款、补充提供担保等方式以确保项目公司的融资足额到位；</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除本项目的融资外，乙方不得为其他目的对本项目的资产、设施和设备进行转让或设置担保权益；</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除本合同另有规定外，未经甲方同意，乙方在项目合作期内不得将本项目收益权出租或以任何形式转让、承包给第三人。</w:t>
      </w:r>
    </w:p>
    <w:p>
      <w:pPr>
        <w:spacing w:beforeLines="100" w:afterLines="100" w:line="360" w:lineRule="auto"/>
        <w:jc w:val="center"/>
        <w:outlineLvl w:val="1"/>
        <w:rPr>
          <w:rFonts w:cs="宋体" w:asciiTheme="minorEastAsia" w:hAnsiTheme="minorEastAsia" w:eastAsiaTheme="minorEastAsia"/>
          <w:b/>
          <w:color w:val="auto"/>
          <w:sz w:val="28"/>
        </w:rPr>
      </w:pPr>
      <w:bookmarkStart w:id="280" w:name="_Toc19881844"/>
      <w:r>
        <w:rPr>
          <w:rFonts w:hint="eastAsia" w:cs="宋体" w:asciiTheme="minorEastAsia" w:hAnsiTheme="minorEastAsia" w:eastAsiaTheme="minorEastAsia"/>
          <w:b/>
          <w:color w:val="auto"/>
          <w:sz w:val="28"/>
        </w:rPr>
        <w:t>第三章  投资计划及融资方案</w:t>
      </w:r>
      <w:bookmarkEnd w:id="280"/>
    </w:p>
    <w:p>
      <w:pPr>
        <w:pStyle w:val="7"/>
        <w:spacing w:line="360" w:lineRule="auto"/>
        <w:ind w:firstLine="482"/>
        <w:outlineLvl w:val="2"/>
        <w:rPr>
          <w:rFonts w:cs="宋体" w:asciiTheme="minorEastAsia" w:hAnsiTheme="minorEastAsia" w:eastAsiaTheme="minorEastAsia"/>
          <w:b/>
          <w:bCs/>
          <w:color w:val="auto"/>
          <w:sz w:val="24"/>
        </w:rPr>
      </w:pPr>
      <w:bookmarkStart w:id="281" w:name="_Toc19881845"/>
      <w:r>
        <w:rPr>
          <w:rFonts w:hint="eastAsia" w:cs="宋体" w:asciiTheme="minorEastAsia" w:hAnsiTheme="minorEastAsia" w:eastAsiaTheme="minorEastAsia"/>
          <w:b/>
          <w:bCs/>
          <w:color w:val="auto"/>
          <w:sz w:val="24"/>
        </w:rPr>
        <w:t>第七条  项目总投资</w:t>
      </w:r>
      <w:bookmarkEnd w:id="281"/>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7.1投资规模及构成</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本项目初始投资暂定【】万元。其中，线路开通【】万元，车辆购置【】万元，智慧公交系统建设【】万元，主体整合【】万元，合计【】万元。</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项目建设过程中，初期建设内容变更按照国家、行业主管部门和东方市基本建设程序规定执行，并由政府审计部门或其委托的第三方审计机构进行跟踪审计。项目竣工后由政府审计部门对项目建设投资额进行决算审计，以政府审计为准。</w:t>
      </w: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7.2项目初始投资计划</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项目初始投资计划如下表所示：</w:t>
      </w:r>
    </w:p>
    <w:tbl>
      <w:tblPr>
        <w:tblStyle w:val="23"/>
        <w:tblW w:w="78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247"/>
        <w:gridCol w:w="1246"/>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r>
              <w:rPr>
                <w:rFonts w:hint="eastAsia" w:cs="宋体" w:asciiTheme="minorEastAsia" w:hAnsiTheme="minorEastAsia" w:eastAsiaTheme="minorEastAsia"/>
                <w:bCs/>
                <w:color w:val="auto"/>
                <w:kern w:val="0"/>
                <w:sz w:val="24"/>
                <w:lang w:val="en-US" w:eastAsia="zh-CN"/>
              </w:rPr>
              <w:t>项目</w:t>
            </w:r>
          </w:p>
        </w:tc>
        <w:tc>
          <w:tcPr>
            <w:tcW w:w="1247"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r>
              <w:rPr>
                <w:rFonts w:hint="eastAsia" w:cs="宋体" w:asciiTheme="minorEastAsia" w:hAnsiTheme="minorEastAsia" w:eastAsiaTheme="minorEastAsia"/>
                <w:bCs/>
                <w:color w:val="auto"/>
                <w:kern w:val="0"/>
                <w:sz w:val="24"/>
                <w:lang w:val="en-US" w:eastAsia="zh-CN"/>
              </w:rPr>
              <w:t>2019年</w:t>
            </w:r>
          </w:p>
        </w:tc>
        <w:tc>
          <w:tcPr>
            <w:tcW w:w="1246"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r>
              <w:rPr>
                <w:rFonts w:hint="eastAsia" w:cs="宋体" w:asciiTheme="minorEastAsia" w:hAnsiTheme="minorEastAsia" w:eastAsiaTheme="minorEastAsia"/>
                <w:bCs/>
                <w:color w:val="auto"/>
                <w:kern w:val="0"/>
                <w:sz w:val="24"/>
                <w:lang w:val="en-US" w:eastAsia="zh-CN"/>
              </w:rPr>
              <w:t>2020年</w:t>
            </w:r>
          </w:p>
        </w:tc>
        <w:tc>
          <w:tcPr>
            <w:tcW w:w="1247"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r>
              <w:rPr>
                <w:rFonts w:hint="eastAsia" w:cs="宋体" w:asciiTheme="minorEastAsia" w:hAnsiTheme="minorEastAsia" w:eastAsiaTheme="minorEastAsia"/>
                <w:bCs/>
                <w:color w:val="auto"/>
                <w:kern w:val="0"/>
                <w:sz w:val="24"/>
                <w:lang w:val="en-US" w:eastAsia="zh-CN"/>
              </w:rPr>
              <w:t>2021年</w:t>
            </w:r>
          </w:p>
        </w:tc>
        <w:tc>
          <w:tcPr>
            <w:tcW w:w="1247"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r>
              <w:rPr>
                <w:rFonts w:hint="eastAsia" w:cs="宋体" w:asciiTheme="minorEastAsia" w:hAnsiTheme="minorEastAsia" w:eastAsiaTheme="minorEastAsia"/>
                <w:bCs/>
                <w:color w:val="auto"/>
                <w:kern w:val="0"/>
                <w:sz w:val="24"/>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r>
              <w:rPr>
                <w:rFonts w:hint="eastAsia" w:cs="宋体" w:asciiTheme="minorEastAsia" w:hAnsiTheme="minorEastAsia" w:eastAsiaTheme="minorEastAsia"/>
                <w:bCs/>
                <w:color w:val="auto"/>
                <w:kern w:val="0"/>
                <w:sz w:val="24"/>
                <w:lang w:val="en-US" w:eastAsia="zh-CN"/>
              </w:rPr>
              <w:t>工期（月）</w:t>
            </w:r>
          </w:p>
        </w:tc>
        <w:tc>
          <w:tcPr>
            <w:tcW w:w="1247"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p>
        </w:tc>
        <w:tc>
          <w:tcPr>
            <w:tcW w:w="1246"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p>
        </w:tc>
        <w:tc>
          <w:tcPr>
            <w:tcW w:w="1247"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p>
        </w:tc>
        <w:tc>
          <w:tcPr>
            <w:tcW w:w="1247"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r>
              <w:rPr>
                <w:rFonts w:hint="eastAsia" w:cs="宋体" w:asciiTheme="minorEastAsia" w:hAnsiTheme="minorEastAsia" w:eastAsiaTheme="minorEastAsia"/>
                <w:bCs/>
                <w:color w:val="auto"/>
                <w:kern w:val="0"/>
                <w:sz w:val="24"/>
                <w:lang w:val="en-US" w:eastAsia="zh-CN"/>
              </w:rPr>
              <w:t>投资额（万元）</w:t>
            </w:r>
          </w:p>
        </w:tc>
        <w:tc>
          <w:tcPr>
            <w:tcW w:w="1247"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p>
        </w:tc>
        <w:tc>
          <w:tcPr>
            <w:tcW w:w="1246"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p>
        </w:tc>
        <w:tc>
          <w:tcPr>
            <w:tcW w:w="1247"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p>
        </w:tc>
        <w:tc>
          <w:tcPr>
            <w:tcW w:w="1247" w:type="dxa"/>
            <w:vAlign w:val="center"/>
          </w:tcPr>
          <w:p>
            <w:pPr>
              <w:pStyle w:val="7"/>
              <w:spacing w:line="360" w:lineRule="auto"/>
              <w:ind w:firstLine="480"/>
              <w:jc w:val="center"/>
              <w:rPr>
                <w:rFonts w:cs="宋体" w:asciiTheme="minorEastAsia" w:hAnsiTheme="minorEastAsia" w:eastAsiaTheme="minorEastAsia"/>
                <w:bCs/>
                <w:color w:val="auto"/>
                <w:kern w:val="0"/>
                <w:sz w:val="24"/>
                <w:lang w:val="en-US" w:eastAsia="zh-CN"/>
              </w:rPr>
            </w:pPr>
          </w:p>
        </w:tc>
      </w:tr>
    </w:tbl>
    <w:p>
      <w:pPr>
        <w:pStyle w:val="7"/>
        <w:spacing w:line="360" w:lineRule="auto"/>
        <w:ind w:firstLine="482"/>
        <w:outlineLvl w:val="2"/>
        <w:rPr>
          <w:rFonts w:cs="宋体" w:asciiTheme="minorEastAsia" w:hAnsiTheme="minorEastAsia" w:eastAsiaTheme="minorEastAsia"/>
          <w:b/>
          <w:bCs/>
          <w:color w:val="auto"/>
          <w:sz w:val="24"/>
        </w:rPr>
      </w:pPr>
      <w:bookmarkStart w:id="282" w:name="_Toc19881846"/>
      <w:r>
        <w:rPr>
          <w:rFonts w:hint="eastAsia" w:cs="宋体" w:asciiTheme="minorEastAsia" w:hAnsiTheme="minorEastAsia" w:eastAsiaTheme="minorEastAsia"/>
          <w:b/>
          <w:bCs/>
          <w:color w:val="auto"/>
          <w:sz w:val="24"/>
        </w:rPr>
        <w:t>第八条  融资方案</w:t>
      </w:r>
      <w:bookmarkEnd w:id="282"/>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8.1融资方案的基本要求</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（1）</w:t>
      </w:r>
      <w:bookmarkStart w:id="283" w:name="_Toc476558176"/>
      <w:bookmarkStart w:id="284" w:name="_Toc455741330"/>
      <w:r>
        <w:rPr>
          <w:rFonts w:hint="eastAsia" w:cs="宋体" w:asciiTheme="minorEastAsia" w:hAnsiTheme="minorEastAsia" w:eastAsiaTheme="minorEastAsia"/>
          <w:bCs/>
          <w:color w:val="auto"/>
          <w:sz w:val="24"/>
        </w:rPr>
        <w:t>投资人出资项目初始投资的【】%，约【】万元人民币，作为本项目的投资人的项目资本金。</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（2）除资本金以外的建设资金为项目负债性资金，乙方采取多种渠道合法的筹集。如果乙方无法在规定期限内全额筹集本项目所需的建设资金，主要由投资人协助乙方筹措相应的建设资金。</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（3）乙方通过银行贷款的等途径筹集项目建设运营资金，对贷款资金和募集款项，甲方有权通过过程审计以及引入金融机构参与资金管理等手段和方式加强监管，保证资金专款专用。</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（4）乙方应向甲方提交具体的资金到位计划并经甲方确认批准执行。乙方的资金到位计划应满足规定的进度要求，确保各类资金按时到位。其中，项目资本金总额为项目总投资的【】%，应于【】年内足额到位。</w:t>
      </w: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8.2融资方案的批准</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在合作期内，乙方股权结构的变更，包括股权融资、债券融资或经营权有偿转让等，均应将融资方案（包括融资方式、资产评估结果、融资期等）报请甲方批准(乙方内部股权结构的调整除外)。若未取得甲方批准，乙方不得以项目为资本进行融资活动。即使得到了甲方的批准，甲方不能作为乙方融资活动的担保人，更不能为乙方的上述融资活动承担任何风险和责任。</w:t>
      </w: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8.3工程资金的保证</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（1）本项目资本金及其余建设资金应按计划分期足额到位，乙方应确保本项目资金专款专用；保证不通过权益转让、抵押、担保承担债务等任何方式使用基本结算户的资金。</w:t>
      </w:r>
      <w:r>
        <w:rPr>
          <w:rFonts w:hint="eastAsia" w:cs="宋体" w:asciiTheme="minorEastAsia" w:hAnsiTheme="minorEastAsia" w:eastAsiaTheme="minorEastAsia"/>
          <w:color w:val="auto"/>
          <w:sz w:val="24"/>
        </w:rPr>
        <w:t>乙方可根据项目资本金回报、融资成本回报、运营补助、政策性亏损补助、超额收入回报等到账节奏，以合理方式（包括但不限于减资等方式）回收项目资本金。</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（2）乙方应在每期项目资本金到位后三十（30）日内将有关财务凭证报甲方或甲方指定机构审查。</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乙方应采取有效措施防止资金筹措不力，造成项目建设资金链中断。上述情况发生后三十（30）天内，乙方应采取行动予以纠正。</w:t>
      </w:r>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8.4财务管理的一般要求</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1）乙方应建立健全财务管理制度，完善内部经营责任制，严格执行国家规定的各项财务开支范围和标准，如实反映企业财务状况和经营结果，依法缴纳税费，并接受有关机关的检查监督，保证投资法人权益不受侵犯。</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2）乙方会计年度从每年一月一日起至十二月三十一日止。第一个会计年度应自项目公司营业执照领取之日至同年十二月三十一日止。最后一个财务年度应自合作期提前终止或期满之年的一月一日至合作期提前终止或期满之日。</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项目公司的一切记账凭证、报表、账簿等应用中文书写。</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项目公司采用人民币为记账本位币。</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（3）乙方应在其经营场所保存所有账簿及其他与项目运营、维护和维修有关的财务记录，并在上述地点随时提供给甲方查阅。</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（4）乙方应与甲方指定的资金监管银行签订资金管理协议（格式见招标文件规定），严格按照资金管理协议的约定管理、使用建设资金，接受监管银行资金监管，确保项目资金专款专用。</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（5）乙方应对自己的经营活动负责，并按照有关法律法规的规定编制财务报表。</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（6）乙方应定期向甲方提交下列财务文件：</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a.年度基本建设支出预算、财务决算等财务报告。</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b.在各季度的第一个月结束之前提交上一季度的乙方现金收支季度总结报表。</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c.在每年5月1日前提交上一年度的企业财务报表（包括财务报表说明、资产负债表、现金流量表、利润及利润分配表、会计报表附注及其他财务资料）及由独立于乙方的有资格的会计师事务所出具的年度审计报告。</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（7）乙方应按甲方的要求随时提交专项报告以及关于乙方财务状况的信息资料。</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（8）为保障项目顺利实行，甲方有权定期或不定期的检查乙方的财务状况，乙方应积极配合，接受甲方因为检查而提出的意见，并立即纠正，将纠正结果报甲方报备。</w:t>
      </w:r>
    </w:p>
    <w:p>
      <w:pPr>
        <w:pStyle w:val="7"/>
        <w:spacing w:line="360" w:lineRule="auto"/>
        <w:ind w:firstLine="482"/>
        <w:outlineLvl w:val="2"/>
        <w:rPr>
          <w:rFonts w:cs="宋体" w:asciiTheme="minorEastAsia" w:hAnsiTheme="minorEastAsia" w:eastAsiaTheme="minorEastAsia"/>
          <w:b/>
          <w:bCs/>
          <w:color w:val="auto"/>
          <w:sz w:val="24"/>
        </w:rPr>
      </w:pPr>
      <w:bookmarkStart w:id="285" w:name="_Toc19881847"/>
      <w:r>
        <w:rPr>
          <w:rFonts w:hint="eastAsia" w:cs="宋体" w:asciiTheme="minorEastAsia" w:hAnsiTheme="minorEastAsia" w:eastAsiaTheme="minorEastAsia"/>
          <w:b/>
          <w:bCs/>
          <w:color w:val="auto"/>
          <w:sz w:val="24"/>
        </w:rPr>
        <w:t>第九条  政府提供的其他投融资支持</w:t>
      </w:r>
      <w:bookmarkEnd w:id="285"/>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无。</w:t>
      </w:r>
    </w:p>
    <w:p>
      <w:pPr>
        <w:pStyle w:val="7"/>
        <w:spacing w:line="360" w:lineRule="auto"/>
        <w:ind w:firstLine="482"/>
        <w:outlineLvl w:val="2"/>
        <w:rPr>
          <w:rFonts w:cs="宋体" w:asciiTheme="minorEastAsia" w:hAnsiTheme="minorEastAsia" w:eastAsiaTheme="minorEastAsia"/>
          <w:b/>
          <w:bCs/>
          <w:color w:val="auto"/>
          <w:sz w:val="24"/>
        </w:rPr>
      </w:pPr>
      <w:bookmarkStart w:id="286" w:name="_Toc19881848"/>
      <w:r>
        <w:rPr>
          <w:rFonts w:hint="eastAsia" w:cs="宋体" w:asciiTheme="minorEastAsia" w:hAnsiTheme="minorEastAsia" w:eastAsiaTheme="minorEastAsia"/>
          <w:b/>
          <w:bCs/>
          <w:color w:val="auto"/>
          <w:sz w:val="24"/>
        </w:rPr>
        <w:t>第十条  投融资监管</w:t>
      </w:r>
      <w:bookmarkEnd w:id="286"/>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10.1 为保障本项目的顺利实施，甲方有权采取查账或审计等措施对项目建设资金实行监管，乙方应积极配合，接受甲方因为检查而提出的意见，并立即纠正，将纠正结果报甲方报备。</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10.2 甲方有权自行或委托其他机构对乙方筹措资金的合规性、合法性、与合同约定的一致性等事项进行监管。</w:t>
      </w:r>
    </w:p>
    <w:p>
      <w:pPr>
        <w:pStyle w:val="7"/>
        <w:spacing w:line="360" w:lineRule="auto"/>
        <w:ind w:firstLine="482"/>
        <w:outlineLvl w:val="2"/>
        <w:rPr>
          <w:rFonts w:cs="宋体" w:asciiTheme="minorEastAsia" w:hAnsiTheme="minorEastAsia" w:eastAsiaTheme="minorEastAsia"/>
          <w:b/>
          <w:bCs/>
          <w:color w:val="auto"/>
          <w:sz w:val="24"/>
        </w:rPr>
      </w:pPr>
      <w:bookmarkStart w:id="287" w:name="_Toc19881849"/>
      <w:r>
        <w:rPr>
          <w:rFonts w:hint="eastAsia" w:cs="宋体" w:asciiTheme="minorEastAsia" w:hAnsiTheme="minorEastAsia" w:eastAsiaTheme="minorEastAsia"/>
          <w:b/>
          <w:bCs/>
          <w:color w:val="auto"/>
          <w:sz w:val="24"/>
        </w:rPr>
        <w:t>第十一条  投融资违约及其处理</w:t>
      </w:r>
      <w:bookmarkEnd w:id="287"/>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投融资违约及其处理按照本合同对乙方违约处理的条款规定执行。</w:t>
      </w:r>
    </w:p>
    <w:bookmarkEnd w:id="239"/>
    <w:bookmarkEnd w:id="240"/>
    <w:bookmarkEnd w:id="241"/>
    <w:bookmarkEnd w:id="242"/>
    <w:bookmarkEnd w:id="283"/>
    <w:bookmarkEnd w:id="284"/>
    <w:p>
      <w:pPr>
        <w:pStyle w:val="7"/>
        <w:spacing w:line="360" w:lineRule="auto"/>
        <w:ind w:firstLine="480"/>
        <w:rPr>
          <w:rFonts w:cs="宋体" w:asciiTheme="minorEastAsia" w:hAnsiTheme="minorEastAsia" w:eastAsiaTheme="minorEastAsia"/>
          <w:color w:val="auto"/>
          <w:sz w:val="24"/>
        </w:rPr>
      </w:pPr>
    </w:p>
    <w:p>
      <w:pPr>
        <w:spacing w:beforeLines="100" w:afterLines="100" w:line="360" w:lineRule="auto"/>
        <w:jc w:val="center"/>
        <w:outlineLvl w:val="1"/>
        <w:rPr>
          <w:rFonts w:cs="宋体" w:asciiTheme="minorEastAsia" w:hAnsiTheme="minorEastAsia" w:eastAsiaTheme="minorEastAsia"/>
          <w:b/>
          <w:color w:val="auto"/>
          <w:sz w:val="28"/>
        </w:rPr>
      </w:pPr>
      <w:bookmarkStart w:id="288" w:name="_Toc476558181"/>
      <w:bookmarkStart w:id="289" w:name="_Toc455741331"/>
      <w:bookmarkStart w:id="290" w:name="_Toc19881850"/>
      <w:r>
        <w:rPr>
          <w:rFonts w:hint="eastAsia" w:cs="宋体" w:asciiTheme="minorEastAsia" w:hAnsiTheme="minorEastAsia" w:eastAsiaTheme="minorEastAsia"/>
          <w:b/>
          <w:color w:val="auto"/>
          <w:sz w:val="28"/>
        </w:rPr>
        <w:t>第四章  双方的一般责任</w:t>
      </w:r>
      <w:bookmarkEnd w:id="288"/>
      <w:bookmarkEnd w:id="289"/>
      <w:bookmarkEnd w:id="290"/>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291" w:name="_Toc432432247"/>
      <w:bookmarkStart w:id="292" w:name="_Toc476558182"/>
      <w:bookmarkStart w:id="293" w:name="_Toc19881851"/>
      <w:r>
        <w:rPr>
          <w:rFonts w:hint="eastAsia" w:cs="宋体" w:asciiTheme="minorEastAsia" w:hAnsiTheme="minorEastAsia" w:eastAsiaTheme="minorEastAsia"/>
          <w:b/>
          <w:bCs/>
          <w:color w:val="auto"/>
          <w:sz w:val="24"/>
        </w:rPr>
        <w:t>第十二条  甲方的一般责任</w:t>
      </w:r>
      <w:bookmarkEnd w:id="291"/>
      <w:bookmarkEnd w:id="292"/>
      <w:bookmarkEnd w:id="293"/>
    </w:p>
    <w:p>
      <w:pPr>
        <w:pStyle w:val="7"/>
        <w:spacing w:line="360" w:lineRule="auto"/>
        <w:ind w:firstLine="482"/>
        <w:rPr>
          <w:rFonts w:cs="宋体" w:asciiTheme="minorEastAsia" w:hAnsiTheme="minorEastAsia" w:eastAsiaTheme="minorEastAsia"/>
          <w:b/>
          <w:color w:val="auto"/>
          <w:sz w:val="24"/>
        </w:rPr>
      </w:pPr>
      <w:bookmarkStart w:id="294" w:name="_Toc432432248"/>
      <w:r>
        <w:rPr>
          <w:rFonts w:hint="eastAsia" w:cs="宋体" w:asciiTheme="minorEastAsia" w:hAnsiTheme="minorEastAsia" w:eastAsiaTheme="minorEastAsia"/>
          <w:b/>
          <w:color w:val="auto"/>
          <w:sz w:val="24"/>
        </w:rPr>
        <w:t>12.1 法律变更</w:t>
      </w:r>
      <w:bookmarkEnd w:id="294"/>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如果因法律、法规、规章、政策变更使乙方无法履行其本合同项下的义务，包括因法律、法规、规章、政策变更使乙方履行其在本合同项下的重要义务按照适用法律、法规、规章、政策成为不合规，乙方应有权立即向甲方发出终止意向通知，并终止履行其在本合同项下的义务。</w:t>
      </w:r>
    </w:p>
    <w:p>
      <w:pPr>
        <w:pStyle w:val="7"/>
        <w:spacing w:line="360" w:lineRule="auto"/>
        <w:ind w:firstLine="482"/>
        <w:rPr>
          <w:rFonts w:cs="宋体" w:asciiTheme="minorEastAsia" w:hAnsiTheme="minorEastAsia" w:eastAsiaTheme="minorEastAsia"/>
          <w:b/>
          <w:color w:val="auto"/>
          <w:sz w:val="24"/>
        </w:rPr>
      </w:pPr>
      <w:bookmarkStart w:id="295" w:name="_Toc432432249"/>
      <w:r>
        <w:rPr>
          <w:rFonts w:hint="eastAsia" w:cs="宋体" w:asciiTheme="minorEastAsia" w:hAnsiTheme="minorEastAsia" w:eastAsiaTheme="minorEastAsia"/>
          <w:b/>
          <w:color w:val="auto"/>
          <w:sz w:val="24"/>
        </w:rPr>
        <w:t>12.2 获得和保持批准</w:t>
      </w:r>
      <w:bookmarkEnd w:id="295"/>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在乙方提出请求后，甲方应协助乙方从其他政府部门获得、保持和延续项目建设和运营所需的相关批准。</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甲方按照本条的规定给予协助不应免除乙方在本合同项下第5.5.6条应当获得所需批准的义务。</w:t>
      </w:r>
    </w:p>
    <w:p>
      <w:pPr>
        <w:pStyle w:val="7"/>
        <w:spacing w:line="360" w:lineRule="auto"/>
        <w:ind w:firstLine="482"/>
        <w:rPr>
          <w:rFonts w:cs="宋体" w:asciiTheme="minorEastAsia" w:hAnsiTheme="minorEastAsia" w:eastAsiaTheme="minorEastAsia"/>
          <w:b/>
          <w:color w:val="auto"/>
          <w:sz w:val="24"/>
        </w:rPr>
      </w:pPr>
      <w:bookmarkStart w:id="296" w:name="_Toc432432250"/>
      <w:r>
        <w:rPr>
          <w:rFonts w:hint="eastAsia" w:cs="宋体" w:asciiTheme="minorEastAsia" w:hAnsiTheme="minorEastAsia" w:eastAsiaTheme="minorEastAsia"/>
          <w:b/>
          <w:color w:val="auto"/>
          <w:sz w:val="24"/>
        </w:rPr>
        <w:t>12.3 不当提取</w:t>
      </w:r>
      <w:bookmarkEnd w:id="296"/>
      <w:r>
        <w:rPr>
          <w:rFonts w:hint="eastAsia" w:cs="宋体" w:asciiTheme="minorEastAsia" w:hAnsiTheme="minorEastAsia" w:eastAsiaTheme="minorEastAsia"/>
          <w:b/>
          <w:color w:val="auto"/>
          <w:sz w:val="24"/>
        </w:rPr>
        <w:t>履约担保</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如果甲方提取乙方提交的运营维护履约担保中的相应金额属不当提取，甲方应及时向乙方退还提取的款项，并支付该款项自提取之日至退还之日的利息，利息按央行公布的同期金融机构人民币贷款基准利率计算。</w:t>
      </w: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297" w:name="_Toc476558183"/>
      <w:bookmarkStart w:id="298" w:name="_Toc432432251"/>
      <w:bookmarkStart w:id="299" w:name="_Toc19881852"/>
      <w:r>
        <w:rPr>
          <w:rFonts w:hint="eastAsia" w:cs="宋体" w:asciiTheme="minorEastAsia" w:hAnsiTheme="minorEastAsia" w:eastAsiaTheme="minorEastAsia"/>
          <w:b/>
          <w:bCs/>
          <w:color w:val="auto"/>
          <w:sz w:val="24"/>
        </w:rPr>
        <w:t>第十三条  乙方的一般责任</w:t>
      </w:r>
      <w:bookmarkEnd w:id="297"/>
      <w:bookmarkEnd w:id="298"/>
      <w:bookmarkEnd w:id="299"/>
    </w:p>
    <w:p>
      <w:pPr>
        <w:pStyle w:val="7"/>
        <w:spacing w:line="360" w:lineRule="auto"/>
        <w:ind w:firstLine="482"/>
        <w:rPr>
          <w:rFonts w:cs="宋体" w:asciiTheme="minorEastAsia" w:hAnsiTheme="minorEastAsia" w:eastAsiaTheme="minorEastAsia"/>
          <w:b/>
          <w:color w:val="auto"/>
          <w:sz w:val="24"/>
        </w:rPr>
      </w:pPr>
      <w:bookmarkStart w:id="300" w:name="_Toc432432252"/>
      <w:r>
        <w:rPr>
          <w:rFonts w:hint="eastAsia" w:cs="宋体" w:asciiTheme="minorEastAsia" w:hAnsiTheme="minorEastAsia" w:eastAsiaTheme="minorEastAsia"/>
          <w:b/>
          <w:color w:val="auto"/>
          <w:sz w:val="24"/>
        </w:rPr>
        <w:t>13.1 股东和股权转让的限制</w:t>
      </w:r>
      <w:bookmarkEnd w:id="300"/>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投资人在本合同生效之日起至项目正式运营届满三（3）年之日（含）止不得转让其持有的乙方的全部或部分股权，除非转让为法律所要求，由司法机关裁定和执行（如上述行为的起因涉及政府指定出资人、投资人过错，则认定为项目公司违约，甲方有权视情形提取建设期履约保函或运营维护保函项下的违约金额，直至提前终止本合同）。</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自项目正式运营届满三（3）年之次日起，经甲方事先书面同意，投资人可以转让其在项目公司中的全部或部分股权，但受让方应满足《东方市城乡公交客运服务一体化特许经营项目招标文件》约定的技术能力、财务信用、运营经验等基本条件，并已经以书面形式明示，在其成为乙方股东后，督促并确保乙方继续承担本合同项下的义务。</w:t>
      </w:r>
    </w:p>
    <w:p>
      <w:pPr>
        <w:pStyle w:val="7"/>
        <w:spacing w:line="360" w:lineRule="auto"/>
        <w:ind w:firstLine="482"/>
        <w:rPr>
          <w:rFonts w:cs="宋体" w:asciiTheme="minorEastAsia" w:hAnsiTheme="minorEastAsia" w:eastAsiaTheme="minorEastAsia"/>
          <w:b/>
          <w:color w:val="auto"/>
          <w:sz w:val="24"/>
        </w:rPr>
      </w:pPr>
      <w:bookmarkStart w:id="301" w:name="_Toc432432253"/>
      <w:r>
        <w:rPr>
          <w:rFonts w:hint="eastAsia" w:cs="宋体" w:asciiTheme="minorEastAsia" w:hAnsiTheme="minorEastAsia" w:eastAsiaTheme="minorEastAsia"/>
          <w:b/>
          <w:color w:val="auto"/>
          <w:sz w:val="24"/>
        </w:rPr>
        <w:t>13.2 遵守适用法律</w:t>
      </w:r>
      <w:bookmarkEnd w:id="301"/>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甲乙双方应始终遵守所有适用法律，应经常及时性获取所有适用于项目的已颁布实施的法律，甲乙双方应被视为始终了解这些法律。 </w:t>
      </w:r>
    </w:p>
    <w:p>
      <w:pPr>
        <w:pStyle w:val="7"/>
        <w:spacing w:line="360" w:lineRule="auto"/>
        <w:ind w:firstLine="482"/>
        <w:rPr>
          <w:rFonts w:cs="宋体" w:asciiTheme="minorEastAsia" w:hAnsiTheme="minorEastAsia" w:eastAsiaTheme="minorEastAsia"/>
          <w:b/>
          <w:color w:val="auto"/>
          <w:sz w:val="24"/>
        </w:rPr>
      </w:pPr>
      <w:bookmarkStart w:id="302" w:name="_Toc432432255"/>
      <w:r>
        <w:rPr>
          <w:rFonts w:hint="eastAsia" w:cs="宋体" w:asciiTheme="minorEastAsia" w:hAnsiTheme="minorEastAsia" w:eastAsiaTheme="minorEastAsia"/>
          <w:b/>
          <w:color w:val="auto"/>
          <w:sz w:val="24"/>
        </w:rPr>
        <w:t>13.3 安全保障</w:t>
      </w:r>
      <w:bookmarkEnd w:id="302"/>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应遵守法律及本合同技术规范和要求及国家规定的所有健康和安全标准，建立、健全和完善安全生产制度及安全运行保障体系，确保项目设施安全运行，防止责任事故的发生。在合作期内，乙方应对其自身原因导致的安全事故承担全部责任，并应当在出现安全责任事故1小时内按照有关规定向东方市人民政府安全生产监督管理部门和负有安全监督管理职责的有关部门报告。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应针对自然灾害、重特大事故、环境公害及人为破坏等突发情况建立相应的应急预案和相应的组织、指挥、设备等保障体系，并保证在出现重大意外事件时其保障体系能够正常启动。且应急预案应同时考虑随附的地下地上工程（包括但不限于地下各类管线爆管等）发生重大或紧急事故时，能随时启动应急机制，配合相关责任或实施主体，完成相应抢修、抢险责任等。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乙方制定的应急预案应征求政府方的意见并报经市政府同意后实施。 </w:t>
      </w:r>
    </w:p>
    <w:p>
      <w:pPr>
        <w:pStyle w:val="7"/>
        <w:spacing w:line="360" w:lineRule="auto"/>
        <w:ind w:firstLine="482"/>
        <w:rPr>
          <w:rFonts w:cs="宋体" w:asciiTheme="minorEastAsia" w:hAnsiTheme="minorEastAsia" w:eastAsiaTheme="minorEastAsia"/>
          <w:b/>
          <w:color w:val="auto"/>
          <w:sz w:val="24"/>
        </w:rPr>
      </w:pPr>
      <w:bookmarkStart w:id="303" w:name="_Toc432432256"/>
      <w:r>
        <w:rPr>
          <w:rFonts w:hint="eastAsia" w:cs="宋体" w:asciiTheme="minorEastAsia" w:hAnsiTheme="minorEastAsia" w:eastAsiaTheme="minorEastAsia"/>
          <w:b/>
          <w:color w:val="auto"/>
          <w:sz w:val="24"/>
        </w:rPr>
        <w:t>13.4 环境保护</w:t>
      </w:r>
      <w:bookmarkEnd w:id="303"/>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（1）乙方的责任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乙方不应因项目设施的建设或运营维护而造成环境污染。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（2）避免对周围环境的干扰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乙方在项目设施的建设、运营维护期间应根据本合同技术要求及国家的有关规定，采取一切合理措施来避免或尽量减少对项目周围设施、建筑物和居民区的干扰。 </w:t>
      </w:r>
    </w:p>
    <w:p>
      <w:pPr>
        <w:pStyle w:val="7"/>
        <w:spacing w:line="360" w:lineRule="auto"/>
        <w:ind w:firstLine="482"/>
        <w:rPr>
          <w:rFonts w:cs="宋体" w:asciiTheme="minorEastAsia" w:hAnsiTheme="minorEastAsia" w:eastAsiaTheme="minorEastAsia"/>
          <w:b/>
          <w:color w:val="auto"/>
          <w:sz w:val="24"/>
        </w:rPr>
      </w:pPr>
      <w:bookmarkStart w:id="304" w:name="_Toc432432257"/>
      <w:r>
        <w:rPr>
          <w:rFonts w:hint="eastAsia" w:cs="宋体" w:asciiTheme="minorEastAsia" w:hAnsiTheme="minorEastAsia" w:eastAsiaTheme="minorEastAsia"/>
          <w:b/>
          <w:color w:val="auto"/>
          <w:sz w:val="24"/>
        </w:rPr>
        <w:t>13.5 批准</w:t>
      </w:r>
      <w:bookmarkEnd w:id="304"/>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应尽最大努力自费取得和保持项目建设、运营维护所要求的所有批准，并应促使每一建设承包商和运营维护承包商取得并保持需要的一切此类批准。但甲方应组织各政府有关部门召开协调会议，以尽最大可能简化审批手续。 </w:t>
      </w:r>
    </w:p>
    <w:p>
      <w:pPr>
        <w:pStyle w:val="7"/>
        <w:spacing w:line="360" w:lineRule="auto"/>
        <w:ind w:firstLine="482"/>
        <w:rPr>
          <w:rFonts w:cs="宋体" w:asciiTheme="minorEastAsia" w:hAnsiTheme="minorEastAsia" w:eastAsiaTheme="minorEastAsia"/>
          <w:b/>
          <w:color w:val="auto"/>
          <w:sz w:val="24"/>
        </w:rPr>
      </w:pPr>
      <w:bookmarkStart w:id="305" w:name="_Toc432432258"/>
      <w:r>
        <w:rPr>
          <w:rFonts w:hint="eastAsia" w:cs="宋体" w:asciiTheme="minorEastAsia" w:hAnsiTheme="minorEastAsia" w:eastAsiaTheme="minorEastAsia"/>
          <w:b/>
          <w:color w:val="auto"/>
          <w:sz w:val="24"/>
        </w:rPr>
        <w:t>13.6 项目文件的协调</w:t>
      </w:r>
      <w:bookmarkEnd w:id="305"/>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乙方应使融资协议、公司章程、本合同项下的保险单以及其他由乙方签订的与项目有关的任何其他协议符合本合同的规定。 </w:t>
      </w:r>
    </w:p>
    <w:p>
      <w:pPr>
        <w:pStyle w:val="7"/>
        <w:spacing w:line="360" w:lineRule="auto"/>
        <w:ind w:firstLine="482"/>
        <w:rPr>
          <w:rFonts w:cs="宋体" w:asciiTheme="minorEastAsia" w:hAnsiTheme="minorEastAsia" w:eastAsiaTheme="minorEastAsia"/>
          <w:b/>
          <w:color w:val="auto"/>
          <w:sz w:val="24"/>
        </w:rPr>
      </w:pPr>
      <w:bookmarkStart w:id="306" w:name="_Toc432432259"/>
      <w:r>
        <w:rPr>
          <w:rFonts w:hint="eastAsia" w:cs="宋体" w:asciiTheme="minorEastAsia" w:hAnsiTheme="minorEastAsia" w:eastAsiaTheme="minorEastAsia"/>
          <w:b/>
          <w:color w:val="auto"/>
          <w:sz w:val="24"/>
        </w:rPr>
        <w:t>13.7 税收</w:t>
      </w:r>
      <w:bookmarkEnd w:id="306"/>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乙方应依照法律缴纳相应税金。</w:t>
      </w:r>
    </w:p>
    <w:p>
      <w:pPr>
        <w:pStyle w:val="7"/>
        <w:spacing w:line="360" w:lineRule="auto"/>
        <w:ind w:firstLine="482"/>
        <w:rPr>
          <w:rFonts w:cs="宋体" w:asciiTheme="minorEastAsia" w:hAnsiTheme="minorEastAsia" w:eastAsiaTheme="minorEastAsia"/>
          <w:b/>
          <w:color w:val="auto"/>
          <w:sz w:val="24"/>
        </w:rPr>
      </w:pPr>
      <w:bookmarkStart w:id="307" w:name="_Toc432432260"/>
      <w:r>
        <w:rPr>
          <w:rFonts w:hint="eastAsia" w:cs="宋体" w:asciiTheme="minorEastAsia" w:hAnsiTheme="minorEastAsia" w:eastAsiaTheme="minorEastAsia"/>
          <w:b/>
          <w:color w:val="auto"/>
          <w:sz w:val="24"/>
        </w:rPr>
        <w:t>13.8 保险</w:t>
      </w:r>
      <w:bookmarkEnd w:id="307"/>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在充分评估项目投资和运营风险后，应根据中国的保险法等相关法律和行政法规的规定，并结合项目的实际情况，购买项目建设和运营期间的保险险种。在合理的商业条件下，应遵照可保风险均应投保的原则进行投保。其购买保险后，应将保险合同复印件交甲方备案。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乙方所投险种包括但不限于：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（a）建筑施工人员团体意外伤害保险（建设期间）；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（b）机动车交通事故责任强制保险（运营期间）；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（c）道路客运承运人责任险（运营期间）。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以上各种险种的保险均必须足额投保。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在合作期内，乙方应自费购买上述约定的保险，并始终使保险单保持有效。未经甲方书面同意，乙方投保的险种和数额不得随意变更。如果并非乙方的疏忽或故意行为，而无法投保某种特别险种，不视为乙方违约。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在法律许可和承保人能提供的服务范围内，乙方有权在和保险公司之间签署的保险合同中，将贷款方列为第一受益人。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保险单的附加条款中必须规定：未提前三十（30）天书面通知甲方，保险人不得取消、延展或对保险单作重大变更。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乙方应责成保险人向甲方提供保险证明书以证实其已获得上述所列保险单及附加条款。如果乙方未购买或维持上述保险始终有效，则甲方有权根据本合同提取建设期履约担保或运营维护履约担保项下的相应金额。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乙方应向甲方及时通报保险人的报告通知（如危险整改通知）并提交相应的副本，如果乙方未及时提供通知而造成保险单失效应承担违约责任。 </w:t>
      </w:r>
    </w:p>
    <w:p>
      <w:pPr>
        <w:pStyle w:val="7"/>
        <w:spacing w:line="360" w:lineRule="auto"/>
        <w:ind w:firstLine="482"/>
        <w:rPr>
          <w:rFonts w:cs="宋体" w:asciiTheme="minorEastAsia" w:hAnsiTheme="minorEastAsia" w:eastAsiaTheme="minorEastAsia"/>
          <w:b/>
          <w:color w:val="auto"/>
          <w:sz w:val="24"/>
        </w:rPr>
      </w:pPr>
      <w:bookmarkStart w:id="308" w:name="_Toc432432261"/>
      <w:r>
        <w:rPr>
          <w:rFonts w:hint="eastAsia" w:cs="宋体" w:asciiTheme="minorEastAsia" w:hAnsiTheme="minorEastAsia" w:eastAsiaTheme="minorEastAsia"/>
          <w:b/>
          <w:color w:val="auto"/>
          <w:sz w:val="24"/>
        </w:rPr>
        <w:t>13.9 对承包商的责任</w:t>
      </w:r>
      <w:bookmarkEnd w:id="308"/>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（1）乙方的承包商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乙方依法选择承包商，包括但不限于建设工程总承包或分项承包商、设备投标人和运营维护承包商，不应解除乙方在本合同项下的任何义务。乙方对于其承包商或其聘用的人员的任何作为或不作为对甲方承担全部的责任。乙方选择任何承包商，必须合法合规，且必须将承包商向甲方报备，确需履行审批或告知程序的，在选择前乙方必须履行报批或告知义务。</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（2）与承包商的合同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乙方应确保与承包商签订的合同符合本合同的规定，承包合同和设备供应合同应按照本合同约定提交甲方备案。 </w:t>
      </w:r>
    </w:p>
    <w:p>
      <w:pPr>
        <w:pStyle w:val="7"/>
        <w:spacing w:line="360" w:lineRule="auto"/>
        <w:ind w:firstLine="482"/>
        <w:rPr>
          <w:rFonts w:cs="宋体" w:asciiTheme="minorEastAsia" w:hAnsiTheme="minorEastAsia" w:eastAsiaTheme="minorEastAsia"/>
          <w:b/>
          <w:color w:val="auto"/>
          <w:sz w:val="24"/>
        </w:rPr>
      </w:pPr>
      <w:bookmarkStart w:id="309" w:name="_Toc432432266"/>
      <w:r>
        <w:rPr>
          <w:rFonts w:hint="eastAsia" w:cs="宋体" w:asciiTheme="minorEastAsia" w:hAnsiTheme="minorEastAsia" w:eastAsiaTheme="minorEastAsia"/>
          <w:b/>
          <w:color w:val="auto"/>
          <w:sz w:val="24"/>
        </w:rPr>
        <w:t>13.10 培训</w:t>
      </w:r>
      <w:bookmarkEnd w:id="309"/>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在甲方保证严格履行本合同规定的保密义务的情况下，乙方对甲方在监督与评估乙方时需要掌握的或者在项目移交后运营与维护本项目所需要掌握的工艺原理、技术诀窍和其他技术信息资料，应给予提供。 </w:t>
      </w:r>
    </w:p>
    <w:p>
      <w:pPr>
        <w:pStyle w:val="7"/>
        <w:spacing w:line="360" w:lineRule="auto"/>
        <w:ind w:firstLine="480"/>
        <w:rPr>
          <w:rFonts w:cs="宋体" w:asciiTheme="minorEastAsia" w:hAnsiTheme="minorEastAsia" w:eastAsiaTheme="minorEastAsia"/>
          <w:color w:val="auto"/>
          <w:sz w:val="24"/>
        </w:rPr>
      </w:pPr>
    </w:p>
    <w:p>
      <w:pPr>
        <w:spacing w:beforeLines="100" w:afterLines="100" w:line="360" w:lineRule="auto"/>
        <w:jc w:val="center"/>
        <w:outlineLvl w:val="1"/>
        <w:rPr>
          <w:rFonts w:cs="宋体" w:asciiTheme="minorEastAsia" w:hAnsiTheme="minorEastAsia" w:eastAsiaTheme="minorEastAsia"/>
          <w:b/>
          <w:color w:val="auto"/>
          <w:sz w:val="28"/>
        </w:rPr>
      </w:pPr>
      <w:bookmarkStart w:id="310" w:name="_Toc19881853"/>
      <w:bookmarkStart w:id="311" w:name="_Toc455741333"/>
      <w:bookmarkStart w:id="312" w:name="_Toc476558191"/>
      <w:r>
        <w:rPr>
          <w:rFonts w:hint="eastAsia" w:cs="宋体" w:asciiTheme="minorEastAsia" w:hAnsiTheme="minorEastAsia" w:eastAsiaTheme="minorEastAsia"/>
          <w:b/>
          <w:color w:val="auto"/>
          <w:sz w:val="28"/>
        </w:rPr>
        <w:t>第五章  特许经营期初的移交</w:t>
      </w:r>
      <w:bookmarkEnd w:id="310"/>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13" w:name="_Toc19881854"/>
      <w:r>
        <w:rPr>
          <w:rFonts w:hint="eastAsia" w:cs="宋体" w:asciiTheme="minorEastAsia" w:hAnsiTheme="minorEastAsia" w:eastAsiaTheme="minorEastAsia"/>
          <w:b/>
          <w:bCs/>
          <w:color w:val="auto"/>
          <w:sz w:val="24"/>
        </w:rPr>
        <w:t>第十四条 移交范围和内容</w:t>
      </w:r>
      <w:bookmarkEnd w:id="313"/>
    </w:p>
    <w:p>
      <w:pPr>
        <w:pStyle w:val="48"/>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由于本项目正常运营所需要的基础设施建设内容众多，本项目采取边建设边移交的方式，由甲方将建设完成的场站、充电桩等基础设施逐个移交给乙方，在特许经营期内供乙方免费使用。</w:t>
      </w: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14" w:name="_Toc19881855"/>
      <w:r>
        <w:rPr>
          <w:rFonts w:hint="eastAsia" w:cs="宋体" w:asciiTheme="minorEastAsia" w:hAnsiTheme="minorEastAsia" w:eastAsiaTheme="minorEastAsia"/>
          <w:b/>
          <w:bCs/>
          <w:color w:val="auto"/>
          <w:sz w:val="24"/>
        </w:rPr>
        <w:t>第十五条 移交程序</w:t>
      </w:r>
      <w:bookmarkEnd w:id="314"/>
    </w:p>
    <w:p>
      <w:pPr>
        <w:pStyle w:val="48"/>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本项目采取边建设边移交的方式，建成一个移交一个。自场站、充电桩等基础设施建设完成的20个工作日内，乙方即可指派人员与甲方指派人员共同查验、清点移交内容，并在20（二十）个工作日内完成《移交备忘录》的编制。在乙方完成《移交备忘录》后的5（五）个工作日内，甲乙双方正式签署《移交备忘录》，甲方向乙方正式移交相关设施，乙方开始正式运营。</w:t>
      </w: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15" w:name="_Toc19881856"/>
      <w:r>
        <w:rPr>
          <w:rFonts w:hint="eastAsia" w:cs="宋体" w:asciiTheme="minorEastAsia" w:hAnsiTheme="minorEastAsia" w:eastAsiaTheme="minorEastAsia"/>
          <w:b/>
          <w:bCs/>
          <w:color w:val="auto"/>
          <w:sz w:val="24"/>
        </w:rPr>
        <w:t>第十六条 移交标准</w:t>
      </w:r>
      <w:bookmarkEnd w:id="315"/>
    </w:p>
    <w:p>
      <w:pPr>
        <w:pStyle w:val="48"/>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甲方向乙方移交所有本项目设施设备和文件资料，均以《移交备忘录》签署当日的现状为移交标准。甲方应当确保所有移交设施设备在移交时能够正常使用。双方签署《移交备忘录》之日起2（二）个月内，发现设施设备非乙方原因导致项目不能正常运作的，甲方须安排专人整改或维修；或由甲、乙双方协商整改和维修价格，由乙方负责整改维修，其中费用由甲方承担。</w:t>
      </w: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16" w:name="_Toc19881857"/>
      <w:r>
        <w:rPr>
          <w:rFonts w:hint="eastAsia" w:cs="宋体" w:asciiTheme="minorEastAsia" w:hAnsiTheme="minorEastAsia" w:eastAsiaTheme="minorEastAsia"/>
          <w:b/>
          <w:bCs/>
          <w:color w:val="auto"/>
          <w:sz w:val="24"/>
        </w:rPr>
        <w:t>第十七条 原有债权、债务的处理</w:t>
      </w:r>
      <w:bookmarkEnd w:id="316"/>
    </w:p>
    <w:p>
      <w:pPr>
        <w:pStyle w:val="48"/>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移交前所有设施设备的债务均由甲方负责承担并解决，原有债权均由甲方享有。</w:t>
      </w:r>
    </w:p>
    <w:bookmarkEnd w:id="311"/>
    <w:bookmarkEnd w:id="312"/>
    <w:p>
      <w:pPr>
        <w:spacing w:beforeLines="100" w:afterLines="100" w:line="360" w:lineRule="auto"/>
        <w:jc w:val="center"/>
        <w:outlineLvl w:val="1"/>
        <w:rPr>
          <w:rFonts w:cs="宋体" w:asciiTheme="minorEastAsia" w:hAnsiTheme="minorEastAsia" w:eastAsiaTheme="minorEastAsia"/>
          <w:b/>
          <w:color w:val="auto"/>
          <w:sz w:val="28"/>
        </w:rPr>
      </w:pPr>
      <w:bookmarkStart w:id="317" w:name="_Toc19881858"/>
      <w:r>
        <w:rPr>
          <w:rFonts w:hint="eastAsia" w:cs="宋体" w:asciiTheme="minorEastAsia" w:hAnsiTheme="minorEastAsia" w:eastAsiaTheme="minorEastAsia"/>
          <w:b/>
          <w:color w:val="auto"/>
          <w:sz w:val="28"/>
        </w:rPr>
        <w:t>第六章  初期建设及建设期履约担保</w:t>
      </w:r>
      <w:bookmarkEnd w:id="317"/>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18" w:name="_Toc476558177"/>
      <w:bookmarkStart w:id="319" w:name="_Toc19881859"/>
      <w:r>
        <w:rPr>
          <w:rFonts w:hint="eastAsia" w:cs="宋体" w:asciiTheme="minorEastAsia" w:hAnsiTheme="minorEastAsia" w:eastAsiaTheme="minorEastAsia"/>
          <w:b/>
          <w:bCs/>
          <w:color w:val="auto"/>
          <w:sz w:val="24"/>
        </w:rPr>
        <w:t>第十八条  初期建设工作内容</w:t>
      </w:r>
      <w:bookmarkEnd w:id="318"/>
      <w:bookmarkEnd w:id="319"/>
    </w:p>
    <w:p>
      <w:pPr>
        <w:pStyle w:val="7"/>
        <w:spacing w:line="360" w:lineRule="auto"/>
        <w:ind w:firstLine="482"/>
        <w:rPr>
          <w:rFonts w:cs="宋体" w:asciiTheme="minorEastAsia" w:hAnsiTheme="minorEastAsia" w:eastAsiaTheme="minorEastAsia"/>
          <w:b/>
          <w:bCs/>
          <w:color w:val="auto"/>
          <w:sz w:val="24"/>
        </w:rPr>
      </w:pPr>
      <w:r>
        <w:rPr>
          <w:rFonts w:hint="eastAsia" w:cs="宋体" w:asciiTheme="minorEastAsia" w:hAnsiTheme="minorEastAsia" w:eastAsiaTheme="minorEastAsia"/>
          <w:b/>
          <w:bCs/>
          <w:color w:val="auto"/>
          <w:sz w:val="24"/>
        </w:rPr>
        <w:t>18.1 初期建设工作包括的内容</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项目初期建设工作由乙方负责完成，本合同所指的初期建设工作包括：</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（1）完成现有经营主体整合、车辆收购及人员安置；</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（2）按照《东方市城乡公交客运服务一体化特许经营实施方案》的要求，新购车辆、开通线路、开展智慧公交系统建设;</w:t>
      </w:r>
    </w:p>
    <w:p>
      <w:pPr>
        <w:pStyle w:val="7"/>
        <w:spacing w:line="360" w:lineRule="auto"/>
        <w:ind w:firstLine="480"/>
        <w:rPr>
          <w:rFonts w:cs="宋体" w:asciiTheme="minorEastAsia" w:hAnsiTheme="minorEastAsia" w:eastAsiaTheme="minorEastAsia"/>
          <w:bCs/>
          <w:color w:val="auto"/>
          <w:sz w:val="24"/>
        </w:rPr>
      </w:pPr>
      <w:r>
        <w:rPr>
          <w:rFonts w:hint="eastAsia" w:cs="宋体" w:asciiTheme="minorEastAsia" w:hAnsiTheme="minorEastAsia" w:eastAsiaTheme="minorEastAsia"/>
          <w:bCs/>
          <w:color w:val="auto"/>
          <w:sz w:val="24"/>
        </w:rPr>
        <w:t>（3）按照本协议第20.2条的规定，开行城乡公交，提供客运服务。</w:t>
      </w:r>
    </w:p>
    <w:p>
      <w:pPr>
        <w:pStyle w:val="7"/>
        <w:spacing w:line="360" w:lineRule="auto"/>
        <w:ind w:firstLine="480"/>
        <w:rPr>
          <w:rFonts w:cs="宋体" w:asciiTheme="minorEastAsia" w:hAnsiTheme="minorEastAsia" w:eastAsiaTheme="minorEastAsia"/>
          <w:bCs/>
          <w:color w:val="auto"/>
          <w:sz w:val="24"/>
        </w:rPr>
      </w:pP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20" w:name="_Toc19881860"/>
      <w:bookmarkStart w:id="321" w:name="_Toc476558178"/>
      <w:r>
        <w:rPr>
          <w:rFonts w:hint="eastAsia" w:cs="宋体" w:asciiTheme="minorEastAsia" w:hAnsiTheme="minorEastAsia" w:eastAsiaTheme="minorEastAsia"/>
          <w:b/>
          <w:bCs/>
          <w:color w:val="auto"/>
          <w:sz w:val="24"/>
        </w:rPr>
        <w:t>第十九条  建设期履约担保</w:t>
      </w:r>
      <w:bookmarkEnd w:id="320"/>
      <w:bookmarkEnd w:id="321"/>
    </w:p>
    <w:p>
      <w:pPr>
        <w:pStyle w:val="7"/>
        <w:spacing w:line="360" w:lineRule="auto"/>
        <w:ind w:firstLine="482"/>
        <w:rPr>
          <w:rFonts w:cs="宋体" w:asciiTheme="minorEastAsia" w:hAnsiTheme="minorEastAsia" w:eastAsiaTheme="minorEastAsia"/>
          <w:b/>
          <w:color w:val="auto"/>
          <w:sz w:val="24"/>
        </w:rPr>
      </w:pPr>
      <w:bookmarkStart w:id="322" w:name="_Toc432432243"/>
      <w:r>
        <w:rPr>
          <w:rFonts w:hint="eastAsia" w:cs="宋体" w:asciiTheme="minorEastAsia" w:hAnsiTheme="minorEastAsia" w:eastAsiaTheme="minorEastAsia"/>
          <w:b/>
          <w:color w:val="auto"/>
          <w:sz w:val="24"/>
        </w:rPr>
        <w:t>19.1 建设期履约</w:t>
      </w:r>
      <w:bookmarkEnd w:id="322"/>
      <w:r>
        <w:rPr>
          <w:rFonts w:hint="eastAsia" w:cs="宋体" w:asciiTheme="minorEastAsia" w:hAnsiTheme="minorEastAsia" w:eastAsiaTheme="minorEastAsia"/>
          <w:b/>
          <w:color w:val="auto"/>
          <w:sz w:val="24"/>
        </w:rPr>
        <w:t>担保的出具</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签订本项目合同签订后5个工作日内及退还投资人履约担保前，乙方应向甲方提交金额为【壹仟】万元人民币整（小写：【 10,000,000.00 元】）的建设期履约担保。建设期履约担保采用银行保函的形式。银行保函应由具有相应担保额度的国有商业银行或股份制银行的支行及其以上银行开具，并使用本合同附件《履约担保》规定的格式或甲方同意的其他格式。</w:t>
      </w:r>
    </w:p>
    <w:p>
      <w:pPr>
        <w:pStyle w:val="7"/>
        <w:spacing w:line="360" w:lineRule="auto"/>
        <w:ind w:firstLine="482"/>
        <w:rPr>
          <w:rFonts w:cs="宋体" w:asciiTheme="minorEastAsia" w:hAnsiTheme="minorEastAsia" w:eastAsiaTheme="minorEastAsia"/>
          <w:b/>
          <w:color w:val="auto"/>
          <w:sz w:val="24"/>
        </w:rPr>
      </w:pPr>
      <w:bookmarkStart w:id="323" w:name="_Toc432432244"/>
      <w:r>
        <w:rPr>
          <w:rFonts w:hint="eastAsia" w:cs="宋体" w:asciiTheme="minorEastAsia" w:hAnsiTheme="minorEastAsia" w:eastAsiaTheme="minorEastAsia"/>
          <w:b/>
          <w:color w:val="auto"/>
          <w:sz w:val="24"/>
        </w:rPr>
        <w:t>19.2 恢复建设期履约担保的数额</w:t>
      </w:r>
      <w:bookmarkEnd w:id="323"/>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如果甲方在项目合作期内根据本合同的有关规定提取建设期履约担保项下的款项，乙方应确保在甲方提取后的三十(30)个工作日内，将建设期履约担保的数额恢复到本合同前款约定的数额，且应向甲方提供建设期履约担保已足额恢复的证据。甲方提取建设期履约担保的权利不影响甲方在本合同项下的其他权利，并且不应解除乙方不履行维护本项目义务而对甲方所负的任何进一步的责任和义务。</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未在前述期限内补足或恢复建设期履约担保相应金额的，甲方有权发出催告，乙方应在三十（30）日内予以补足；乙方在前述期限内仍未补足的，则甲方有权提取建设期履约担保项下的余额，并有权提前终止本合同，收回本合同项下的经营权。 </w:t>
      </w:r>
    </w:p>
    <w:p>
      <w:pPr>
        <w:pStyle w:val="7"/>
        <w:spacing w:line="360" w:lineRule="auto"/>
        <w:ind w:firstLine="482"/>
        <w:rPr>
          <w:rFonts w:cs="宋体" w:asciiTheme="minorEastAsia" w:hAnsiTheme="minorEastAsia" w:eastAsiaTheme="minorEastAsia"/>
          <w:b/>
          <w:color w:val="auto"/>
          <w:sz w:val="24"/>
        </w:rPr>
      </w:pPr>
      <w:bookmarkStart w:id="324" w:name="_Toc432432245"/>
      <w:r>
        <w:rPr>
          <w:rFonts w:hint="eastAsia" w:cs="宋体" w:asciiTheme="minorEastAsia" w:hAnsiTheme="minorEastAsia" w:eastAsiaTheme="minorEastAsia"/>
          <w:b/>
          <w:color w:val="auto"/>
          <w:sz w:val="24"/>
        </w:rPr>
        <w:t>19.3 不提供建设期履约</w:t>
      </w:r>
      <w:bookmarkEnd w:id="324"/>
      <w:r>
        <w:rPr>
          <w:rFonts w:hint="eastAsia" w:cs="宋体" w:asciiTheme="minorEastAsia" w:hAnsiTheme="minorEastAsia" w:eastAsiaTheme="minorEastAsia"/>
          <w:b/>
          <w:color w:val="auto"/>
          <w:sz w:val="24"/>
        </w:rPr>
        <w:t>担保</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如乙方未按第19.1条提交建设期履约担保，则构成乙方违约，甲方有权终止本合同。</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19.4 建设期履约担保的解除</w:t>
      </w:r>
    </w:p>
    <w:p>
      <w:pPr>
        <w:pStyle w:val="48"/>
        <w:snapToGrid/>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建设期履约担保在乙方根据本合同第二十一条提交运营维护担保之日到期，甲方应在到期日后五（5）个工作日内退还建设期履约担保。</w:t>
      </w:r>
    </w:p>
    <w:p>
      <w:pPr>
        <w:spacing w:beforeLines="100" w:afterLines="100" w:line="360" w:lineRule="auto"/>
        <w:jc w:val="center"/>
        <w:outlineLvl w:val="1"/>
        <w:rPr>
          <w:rFonts w:cs="宋体" w:asciiTheme="minorEastAsia" w:hAnsiTheme="minorEastAsia" w:eastAsiaTheme="minorEastAsia"/>
          <w:b/>
          <w:color w:val="auto"/>
          <w:sz w:val="28"/>
        </w:rPr>
      </w:pPr>
      <w:bookmarkStart w:id="325" w:name="_Toc19881861"/>
      <w:r>
        <w:rPr>
          <w:rFonts w:hint="eastAsia" w:cs="宋体" w:asciiTheme="minorEastAsia" w:hAnsiTheme="minorEastAsia" w:eastAsiaTheme="minorEastAsia"/>
          <w:b/>
          <w:color w:val="auto"/>
          <w:sz w:val="28"/>
        </w:rPr>
        <w:t>第七章  项目的运营和维护</w:t>
      </w:r>
      <w:bookmarkEnd w:id="325"/>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26" w:name="_Toc476558192"/>
      <w:bookmarkStart w:id="327" w:name="_Toc432432310"/>
      <w:bookmarkStart w:id="328" w:name="_Toc19881862"/>
      <w:r>
        <w:rPr>
          <w:rFonts w:hint="eastAsia" w:cs="宋体" w:asciiTheme="minorEastAsia" w:hAnsiTheme="minorEastAsia" w:eastAsiaTheme="minorEastAsia"/>
          <w:b/>
          <w:bCs/>
          <w:color w:val="auto"/>
          <w:sz w:val="24"/>
        </w:rPr>
        <w:t>第二十条  运营和维护要求</w:t>
      </w:r>
      <w:bookmarkEnd w:id="326"/>
      <w:bookmarkEnd w:id="327"/>
      <w:bookmarkEnd w:id="328"/>
    </w:p>
    <w:p>
      <w:pPr>
        <w:pStyle w:val="7"/>
        <w:spacing w:line="360" w:lineRule="auto"/>
        <w:ind w:firstLine="482"/>
        <w:rPr>
          <w:rFonts w:cs="宋体" w:asciiTheme="minorEastAsia" w:hAnsiTheme="minorEastAsia" w:eastAsiaTheme="minorEastAsia"/>
          <w:b/>
          <w:color w:val="auto"/>
          <w:sz w:val="24"/>
        </w:rPr>
      </w:pPr>
      <w:bookmarkStart w:id="329" w:name="_Toc432432311"/>
      <w:r>
        <w:rPr>
          <w:rFonts w:hint="eastAsia" w:cs="宋体" w:asciiTheme="minorEastAsia" w:hAnsiTheme="minorEastAsia" w:eastAsiaTheme="minorEastAsia"/>
          <w:b/>
          <w:color w:val="auto"/>
          <w:sz w:val="24"/>
        </w:rPr>
        <w:t>20.1 甲方的主要责任</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对项目运营维护期间有乙方负责的涉及的供水、排水、电力、通信、燃气等事项予以协调配合。对乙方在项目的运营和管理、维护过程中，如占用公共用地、城市道路及其他公共设施时按规定须报相关部门批准或备案的予以必要的协助和配合。</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（2）审核及批准乙方针对特许经营项目建设的季度及年度运营成本预算。</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（3）创造良好的城乡客运政策环境。从设施建设、经营模式、运营标准、考核与管理等方面，推进城乡客运相关政策研究和制度落实；</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（4）持续提升城乡客运供给能力。积极落实《东方市创建全国城乡交通运输一体化示范市实施方案》中的城乡客运建设任务，优化城乡客运线网，理顺场站建设体系，提升城乡客运供给能力；</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（5）加快提升行业信息化服务及治理能力。积极推进“互联网+公众出行服务”，以“数据整合、辅助决策、公众服务”为主线，以先进的信息技术及智能化管理为手段，建立东方市城乡交通信息化工程；</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（6）积极维护城乡客运市场环境。统筹运政、交通、公安等相关部门资源，通力协作，密切配合，强化综合执法能力，加大对非法营运的打击力度，加强宣传，维护良好的城乡客运市场环境。</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20.2 乙方的主要责任</w:t>
      </w:r>
      <w:bookmarkEnd w:id="329"/>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（1）在整个合作期内，乙方应自行承担费用和风险，管理、运营和维护项目设施。</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（2）特许经营期每季度末，制定下一季度运营成本预算，其中新增投资部分成本预算需经甲方审核批准后实施。</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（3）按照线路特许经营协议规定的线路、站点、运营间隔、首末班次时间、车辆数、车型等组织运营。保持良好的车容车貌、站容站貌和客运服务形象。</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（4）严格实行“公司化经营”，“公司化经营”系指经营单位将产权明晰、具有完全处分权利的营运车辆，在与运输生产直接关联的经营活动中，最大程度地实现自主经营。必须具有以下几方面特征：</w:t>
      </w:r>
    </w:p>
    <w:p>
      <w:pPr>
        <w:pStyle w:val="7"/>
        <w:numPr>
          <w:ilvl w:val="0"/>
          <w:numId w:val="5"/>
        </w:numPr>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车辆产权清晰。所有车辆必须是企业全额出资购买，车辆产权证件标明属于企业，企业对车辆拥有完全的支配权与处置权。</w:t>
      </w:r>
    </w:p>
    <w:p>
      <w:pPr>
        <w:pStyle w:val="7"/>
        <w:numPr>
          <w:ilvl w:val="0"/>
          <w:numId w:val="5"/>
        </w:numPr>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经营权明确。交通运输主管部门许可给企业的公交客运经营权，必须由被许可企业统一经营，除法律法规规定按照法定条件和程序可以转让的外，不得转让或出租、承包给他人经营，不得使用社会或个体车辆挂靠经营。</w:t>
      </w:r>
    </w:p>
    <w:p>
      <w:pPr>
        <w:pStyle w:val="7"/>
        <w:numPr>
          <w:ilvl w:val="0"/>
          <w:numId w:val="5"/>
        </w:numPr>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从业人员管理规范。企业必须按照《劳动合同法》的规定，与所聘从业人员签订《劳动合同》，依法统一发放工资，统一缴纳各项社会保险，从业人员享受企业员工各种权益。</w:t>
      </w:r>
    </w:p>
    <w:p>
      <w:pPr>
        <w:pStyle w:val="7"/>
        <w:numPr>
          <w:ilvl w:val="0"/>
          <w:numId w:val="5"/>
        </w:numPr>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财务管理统一。企业设立统一银行帐户，收支统一支配、成本统一核算、税费统一缴纳。</w:t>
      </w:r>
    </w:p>
    <w:p>
      <w:pPr>
        <w:pStyle w:val="7"/>
        <w:numPr>
          <w:ilvl w:val="0"/>
          <w:numId w:val="5"/>
        </w:numPr>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运营管理统一。运营车辆和驾驶员实行公司统一管理、统一调度、统一标识，建立单车技术档案和单车管理台帐。</w:t>
      </w:r>
    </w:p>
    <w:p>
      <w:pPr>
        <w:pStyle w:val="7"/>
        <w:numPr>
          <w:ilvl w:val="0"/>
          <w:numId w:val="5"/>
        </w:numPr>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安全生产主体责任明确。企业对公交客运安全生产、经营风险、服务质量、社会稳定等承担全部责任。</w:t>
      </w:r>
    </w:p>
    <w:p>
      <w:pPr>
        <w:pStyle w:val="7"/>
        <w:numPr>
          <w:ilvl w:val="0"/>
          <w:numId w:val="5"/>
        </w:numPr>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服务标准化。企业必须按国家以及地方相关服务标准，制定和完善相应的服务质量标准、管理制度和管理措施，建立健全服务质量管理机制。</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5）投入运营的车辆应符合国家、省、市有关安全、消防、环保等方面规定：其配套设施和标识应符合行业规范，安装使用智能调度终端，及时向东方市交通局传送运营数据，营运时还应按规定随车携带道路运输证件。</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（6）新投入的新能源公交车必须服从东方市城乡交通运输一体化示范创建工作，若政府需要回收，则须无条件给予折价回购。</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（7）按规定为旅客投保承运人责任险，聘用符合条件和驾驶资格的驾驶员。</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（8）严格遵守有关法律、法规和规章的规定，遵守有关安全生产的规定，服从道路运输管理机构的管理，并需承担因市场变化、政策调整和运输规划等产生的风险。</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9）承担安全生产主体责任，建立健全安全生产管理制度和各类应急预案，落实内部安全管理和考核工作。定期组织开展安全生产“拉网式”检查整改，做好从业人员安全生产教育培训和客运车辆日常维护保养工作，确保线路运营无安全隐患。发生安全事故或者影响城市公共汽电车客运运营安全的突发事件时，应在东方市交通局指导下，按照应急预案及时采取应急处置措施。</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10）定期组织客流调查，根据不同季节和节假日客流变化特征情况，制定线路运营计划并组织实施，线路运营计划需变更的应及时向东方市交通局备案。同时定期组织对线路所有站点服务设施、站牌服务信息的检查，发现问题及时整改，保持服务设施完好、站牌信息准确。</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11）每月按时向东方交通运输局上报相关信息和数据，包括企业人员、资产等信息，场站、车辆等设施设备数据，运营线路、客运量及乘客出行特征、运营成本等相关数据，公共汽电车调查数据，企业政策与制度信息等。</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（12）接受政府部门（或政府委托的第三方机构）和社会公众对其服务质量的监督，建立投诉、建议处理机制，在规定期限内予以处理并回复。</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（13）乙方应接受东方市交通局根据政府惠民政策、市政工程、重大社会活动等工作要求制定的线路运行调整方案，以及为应对突发事件、恶劣天气、抢险救灾等采取的线路临时调度措施，并做好组织实施工作。</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（14）严格按照物价部门核定标准收费。</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（15）运营期结束后，应无条件将政府投资建设的场站及附属设施移交给政府主管部门或者指定的机构，对于运营期结束而尚未报废的车辆，应无偿移交政府。</w:t>
      </w:r>
    </w:p>
    <w:p>
      <w:pPr>
        <w:pStyle w:val="7"/>
        <w:spacing w:line="360" w:lineRule="auto"/>
        <w:ind w:firstLine="482"/>
        <w:rPr>
          <w:rFonts w:cs="宋体" w:asciiTheme="minorEastAsia" w:hAnsiTheme="minorEastAsia" w:eastAsiaTheme="minorEastAsia"/>
          <w:b/>
          <w:color w:val="auto"/>
          <w:sz w:val="24"/>
        </w:rPr>
      </w:pPr>
      <w:bookmarkStart w:id="330" w:name="_Toc432432312"/>
      <w:r>
        <w:rPr>
          <w:rFonts w:hint="eastAsia" w:cs="宋体" w:asciiTheme="minorEastAsia" w:hAnsiTheme="minorEastAsia" w:eastAsiaTheme="minorEastAsia"/>
          <w:b/>
          <w:color w:val="auto"/>
          <w:sz w:val="24"/>
        </w:rPr>
        <w:t>20.3 运营、维护和修理记录</w:t>
      </w:r>
      <w:bookmarkEnd w:id="330"/>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乙方应确保：</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（1）对运营、维护和修理项目的情况进行详细记录；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（2）准许甲方在给予合理通知后于正常工作时间对其运营维护情况进行检查并查阅和复制上述记录。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（3）甲方承诺若乙方的上述记录可能包含商业秘密的，其应尽合理努力予以保密。 </w:t>
      </w:r>
    </w:p>
    <w:p>
      <w:pPr>
        <w:pStyle w:val="7"/>
        <w:spacing w:line="360" w:lineRule="auto"/>
        <w:ind w:firstLine="482"/>
        <w:rPr>
          <w:rFonts w:cs="宋体" w:asciiTheme="minorEastAsia" w:hAnsiTheme="minorEastAsia" w:eastAsiaTheme="minorEastAsia"/>
          <w:b/>
          <w:color w:val="auto"/>
          <w:sz w:val="24"/>
        </w:rPr>
      </w:pPr>
      <w:bookmarkStart w:id="331" w:name="_Toc432432313"/>
      <w:r>
        <w:rPr>
          <w:rFonts w:hint="eastAsia" w:cs="宋体" w:asciiTheme="minorEastAsia" w:hAnsiTheme="minorEastAsia" w:eastAsiaTheme="minorEastAsia"/>
          <w:b/>
          <w:color w:val="auto"/>
          <w:sz w:val="24"/>
        </w:rPr>
        <w:t>20.4 监督与检查</w:t>
      </w:r>
      <w:bookmarkEnd w:id="331"/>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1）甲方有权派出监督员或者指定任何代表在合理时候进入项目场地，以常规考核和临时考核的方式对项目设施的运营和维护进行考核，考核结果与运营期的政府付费支付挂钩。但是，甲方监督员或其指定代表进入项目场地或乙方的办公场所不应不适当地干涉乙方对项目的正常运营和维护工作。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（2）应甲方的要求，乙方应在十(10)日内提供：(a) 自运营首日起，在每个季度结束后的十五(15)个工作日内提交的一份关于项目运营和维护的报告；(b) 甲方认为必要的任何其他运营和维护资料和信息。</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（3）乙方应接受政府部门和社会公众对其服务质量的监督，建立投诉、建议处理机制，在规定期限内予以处理并回复。</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20.5 甲方介入运营或维护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如果乙方未能按照本合同规定运营维护项目，甲方可向乙方发出通知并要求其在双方协定的期限内就上述情况进行补救。如乙方未能在上述期间内进行补救的，则甲方有权自行或者委托第三方介入项目运营和维护工作，费用和风险均由乙方承担。甲方有权在向乙方提供详细的费用和支出记录并经乙方书面同意后，由乙方支付，否则甲方可从运营维护履约担保项下提取该款项。</w:t>
      </w: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32" w:name="_Toc476558193"/>
      <w:bookmarkStart w:id="333" w:name="_Toc432432317"/>
      <w:bookmarkStart w:id="334" w:name="_Toc19881863"/>
      <w:r>
        <w:rPr>
          <w:rFonts w:hint="eastAsia" w:cs="宋体" w:asciiTheme="minorEastAsia" w:hAnsiTheme="minorEastAsia" w:eastAsiaTheme="minorEastAsia"/>
          <w:b/>
          <w:bCs/>
          <w:color w:val="auto"/>
          <w:sz w:val="24"/>
        </w:rPr>
        <w:t>第二十一条  运营</w:t>
      </w:r>
      <w:bookmarkEnd w:id="332"/>
      <w:bookmarkEnd w:id="333"/>
      <w:r>
        <w:rPr>
          <w:rFonts w:hint="eastAsia" w:cs="宋体" w:asciiTheme="minorEastAsia" w:hAnsiTheme="minorEastAsia" w:eastAsiaTheme="minorEastAsia"/>
          <w:b/>
          <w:bCs/>
          <w:color w:val="auto"/>
          <w:sz w:val="24"/>
        </w:rPr>
        <w:t>期履约担保</w:t>
      </w:r>
      <w:bookmarkEnd w:id="334"/>
    </w:p>
    <w:p>
      <w:pPr>
        <w:pStyle w:val="7"/>
        <w:spacing w:line="360" w:lineRule="auto"/>
        <w:ind w:firstLine="482"/>
        <w:rPr>
          <w:rFonts w:cs="宋体" w:asciiTheme="minorEastAsia" w:hAnsiTheme="minorEastAsia" w:eastAsiaTheme="minorEastAsia"/>
          <w:b/>
          <w:color w:val="auto"/>
          <w:sz w:val="24"/>
        </w:rPr>
      </w:pPr>
      <w:bookmarkStart w:id="335" w:name="_Toc432432318"/>
      <w:r>
        <w:rPr>
          <w:rFonts w:hint="eastAsia" w:cs="宋体" w:asciiTheme="minorEastAsia" w:hAnsiTheme="minorEastAsia" w:eastAsiaTheme="minorEastAsia"/>
          <w:b/>
          <w:color w:val="auto"/>
          <w:sz w:val="24"/>
        </w:rPr>
        <w:t>21.1 出具运营</w:t>
      </w:r>
      <w:bookmarkEnd w:id="335"/>
      <w:r>
        <w:rPr>
          <w:rFonts w:hint="eastAsia" w:cs="宋体" w:asciiTheme="minorEastAsia" w:hAnsiTheme="minorEastAsia" w:eastAsiaTheme="minorEastAsia"/>
          <w:b/>
          <w:color w:val="auto"/>
          <w:sz w:val="24"/>
        </w:rPr>
        <w:t>期履约担保</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项目签订协议日起五（5）个工作日内向甲方提交金额为【壹仟伍佰】万元人民币整（小写：【15,000,000.00元】）的运营期履约担保。运营期履约担保采用银行保函的形式。银行保函应由具有相应担保额度的国有商业银行或股份制银行的支行及其以上银行开具，并使用本合同附件《履约担保》规定的格式或甲方同意的其他格式。</w:t>
      </w:r>
    </w:p>
    <w:p>
      <w:pPr>
        <w:pStyle w:val="7"/>
        <w:spacing w:line="360" w:lineRule="auto"/>
        <w:ind w:firstLine="482"/>
        <w:rPr>
          <w:rFonts w:cs="宋体" w:asciiTheme="minorEastAsia" w:hAnsiTheme="minorEastAsia" w:eastAsiaTheme="minorEastAsia"/>
          <w:b/>
          <w:color w:val="auto"/>
          <w:sz w:val="24"/>
        </w:rPr>
      </w:pPr>
      <w:bookmarkStart w:id="336" w:name="_Toc432432319"/>
      <w:r>
        <w:rPr>
          <w:rFonts w:hint="eastAsia" w:cs="宋体" w:asciiTheme="minorEastAsia" w:hAnsiTheme="minorEastAsia" w:eastAsiaTheme="minorEastAsia"/>
          <w:b/>
          <w:color w:val="auto"/>
          <w:sz w:val="24"/>
        </w:rPr>
        <w:t>21.2 恢复运营期履约担保的数额</w:t>
      </w:r>
      <w:bookmarkEnd w:id="336"/>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如果甲方在项目合作期内根据本合同的有关规定提取运营期履约担保项下的款项，乙方应确保在甲方提取后的十(10)个工作日内，将运营期履约担保的数额恢复到本合同第26.1条规定的数额，且应向甲方提供运营期履约担保已足额恢复的证据。甲方提取运营期履约担保的权利不影响甲方在本合同项下的其他权利，并且不应解除乙方不履行维护本项目义务而对甲方所负的任何进一步的责任和义务。 </w:t>
      </w:r>
    </w:p>
    <w:p>
      <w:pPr>
        <w:pStyle w:val="7"/>
        <w:spacing w:line="360" w:lineRule="auto"/>
        <w:ind w:firstLine="482"/>
        <w:rPr>
          <w:rFonts w:cs="宋体" w:asciiTheme="minorEastAsia" w:hAnsiTheme="minorEastAsia" w:eastAsiaTheme="minorEastAsia"/>
          <w:b/>
          <w:color w:val="auto"/>
          <w:sz w:val="24"/>
        </w:rPr>
      </w:pPr>
      <w:bookmarkStart w:id="337" w:name="_Toc432432322"/>
      <w:r>
        <w:rPr>
          <w:rFonts w:hint="eastAsia" w:cs="宋体" w:asciiTheme="minorEastAsia" w:hAnsiTheme="minorEastAsia" w:eastAsiaTheme="minorEastAsia"/>
          <w:b/>
          <w:color w:val="auto"/>
          <w:sz w:val="24"/>
        </w:rPr>
        <w:t>21.3 未恢复</w:t>
      </w:r>
      <w:bookmarkEnd w:id="337"/>
      <w:r>
        <w:rPr>
          <w:rFonts w:hint="eastAsia" w:cs="宋体" w:asciiTheme="minorEastAsia" w:hAnsiTheme="minorEastAsia" w:eastAsiaTheme="minorEastAsia"/>
          <w:b/>
          <w:color w:val="auto"/>
          <w:sz w:val="24"/>
        </w:rPr>
        <w:t xml:space="preserve">运营期保函的数额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如果乙方没有遵守第21.2条的规定，并且乙方在收到甲方要求其履行义务的书面通知后合理期限内未予以纠正，甲方有权提取届时有效的运营期履约担保下的全部款项。</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21.4 运营期保函的解除</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运营期正常结束后，甲方应在到期日后五（5）个工作日内退还运营期履约担保。</w:t>
      </w:r>
    </w:p>
    <w:p>
      <w:pPr>
        <w:spacing w:beforeLines="100" w:afterLines="100" w:line="360" w:lineRule="auto"/>
        <w:jc w:val="center"/>
        <w:outlineLvl w:val="1"/>
        <w:rPr>
          <w:rFonts w:cs="宋体" w:asciiTheme="minorEastAsia" w:hAnsiTheme="minorEastAsia" w:eastAsiaTheme="minorEastAsia"/>
          <w:b/>
          <w:color w:val="auto"/>
          <w:sz w:val="28"/>
        </w:rPr>
      </w:pPr>
      <w:bookmarkStart w:id="338" w:name="_Toc476558194"/>
      <w:bookmarkStart w:id="339" w:name="_Toc455741334"/>
      <w:bookmarkStart w:id="340" w:name="_Toc19881864"/>
      <w:r>
        <w:rPr>
          <w:rFonts w:hint="eastAsia" w:cs="宋体" w:asciiTheme="minorEastAsia" w:hAnsiTheme="minorEastAsia" w:eastAsiaTheme="minorEastAsia"/>
          <w:b/>
          <w:color w:val="auto"/>
          <w:sz w:val="28"/>
        </w:rPr>
        <w:t>第八章  项目服务质量考核及付费</w:t>
      </w:r>
      <w:bookmarkEnd w:id="338"/>
      <w:bookmarkEnd w:id="339"/>
      <w:bookmarkEnd w:id="340"/>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41" w:name="_Toc432432325"/>
      <w:bookmarkStart w:id="342" w:name="_Toc476558195"/>
      <w:bookmarkStart w:id="343" w:name="_Toc19881865"/>
      <w:r>
        <w:rPr>
          <w:rFonts w:hint="eastAsia" w:cs="宋体" w:asciiTheme="minorEastAsia" w:hAnsiTheme="minorEastAsia" w:eastAsiaTheme="minorEastAsia"/>
          <w:b/>
          <w:bCs/>
          <w:color w:val="auto"/>
          <w:sz w:val="24"/>
        </w:rPr>
        <w:t xml:space="preserve">第二十二条  </w:t>
      </w:r>
      <w:bookmarkEnd w:id="341"/>
      <w:bookmarkEnd w:id="342"/>
      <w:bookmarkStart w:id="344" w:name="_Toc432432326"/>
      <w:bookmarkStart w:id="345" w:name="_Toc476558196"/>
      <w:r>
        <w:rPr>
          <w:rFonts w:hint="eastAsia" w:cs="宋体" w:asciiTheme="minorEastAsia" w:hAnsiTheme="minorEastAsia" w:eastAsiaTheme="minorEastAsia"/>
          <w:b/>
          <w:bCs/>
          <w:color w:val="auto"/>
          <w:sz w:val="24"/>
        </w:rPr>
        <w:t>运维服务质量考核及</w:t>
      </w:r>
      <w:bookmarkEnd w:id="344"/>
      <w:r>
        <w:rPr>
          <w:rFonts w:hint="eastAsia" w:cs="宋体" w:asciiTheme="minorEastAsia" w:hAnsiTheme="minorEastAsia" w:eastAsiaTheme="minorEastAsia"/>
          <w:b/>
          <w:bCs/>
          <w:color w:val="auto"/>
          <w:sz w:val="24"/>
        </w:rPr>
        <w:t>付费</w:t>
      </w:r>
      <w:bookmarkEnd w:id="343"/>
      <w:bookmarkEnd w:id="345"/>
    </w:p>
    <w:p>
      <w:pPr>
        <w:pStyle w:val="7"/>
        <w:spacing w:line="360" w:lineRule="auto"/>
        <w:ind w:firstLine="480"/>
        <w:rPr>
          <w:rFonts w:cs="宋体" w:asciiTheme="minorEastAsia" w:hAnsiTheme="minorEastAsia" w:eastAsiaTheme="minorEastAsia"/>
          <w:color w:val="auto"/>
          <w:sz w:val="24"/>
        </w:rPr>
      </w:pPr>
      <w:bookmarkStart w:id="346" w:name="_Toc416708633"/>
      <w:bookmarkStart w:id="347" w:name="_Toc6616"/>
      <w:bookmarkStart w:id="348" w:name="_Toc2249"/>
      <w:bookmarkStart w:id="349" w:name="_Toc424028319"/>
      <w:r>
        <w:rPr>
          <w:rFonts w:hint="eastAsia" w:cs="宋体" w:asciiTheme="minorEastAsia" w:hAnsiTheme="minorEastAsia" w:eastAsiaTheme="minorEastAsia"/>
          <w:color w:val="auto"/>
          <w:sz w:val="24"/>
        </w:rPr>
        <w:t>本次招标确定的项目资本金回报率为【】%，融资成本回报率为【】%，可控成本下浮率为【】%，每公里可变成本下浮率为【】%，车辆购买报价下浮率（8米）为【】%，车辆购买报价下浮率（6米）为【】%，具体的运维服务质量考核及付费约定：</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见附件2。</w:t>
      </w:r>
    </w:p>
    <w:p>
      <w:pPr>
        <w:spacing w:beforeLines="100" w:afterLines="100" w:line="360" w:lineRule="auto"/>
        <w:jc w:val="center"/>
        <w:outlineLvl w:val="1"/>
        <w:rPr>
          <w:rFonts w:cs="宋体" w:asciiTheme="minorEastAsia" w:hAnsiTheme="minorEastAsia" w:eastAsiaTheme="minorEastAsia"/>
          <w:b/>
          <w:color w:val="auto"/>
          <w:sz w:val="28"/>
        </w:rPr>
      </w:pPr>
      <w:bookmarkStart w:id="350" w:name="_Toc455741335"/>
      <w:bookmarkStart w:id="351" w:name="_Toc476558197"/>
      <w:bookmarkStart w:id="352" w:name="_Toc19881866"/>
      <w:r>
        <w:rPr>
          <w:rFonts w:hint="eastAsia" w:cs="宋体" w:asciiTheme="minorEastAsia" w:hAnsiTheme="minorEastAsia" w:eastAsiaTheme="minorEastAsia"/>
          <w:b/>
          <w:color w:val="auto"/>
          <w:sz w:val="28"/>
        </w:rPr>
        <w:t>第九章  特许经营期结束后的移交</w:t>
      </w:r>
      <w:bookmarkEnd w:id="350"/>
      <w:bookmarkEnd w:id="351"/>
      <w:bookmarkEnd w:id="352"/>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53" w:name="_Toc476558198"/>
      <w:bookmarkStart w:id="354" w:name="_Toc19881867"/>
      <w:r>
        <w:rPr>
          <w:rFonts w:hint="eastAsia" w:cs="宋体" w:asciiTheme="minorEastAsia" w:hAnsiTheme="minorEastAsia" w:eastAsiaTheme="minorEastAsia"/>
          <w:b/>
          <w:bCs/>
          <w:color w:val="auto"/>
          <w:sz w:val="24"/>
        </w:rPr>
        <w:t>第二十三条</w:t>
      </w:r>
      <w:bookmarkEnd w:id="346"/>
      <w:bookmarkEnd w:id="347"/>
      <w:bookmarkEnd w:id="348"/>
      <w:r>
        <w:rPr>
          <w:rFonts w:hint="eastAsia" w:cs="宋体" w:asciiTheme="minorEastAsia" w:hAnsiTheme="minorEastAsia" w:eastAsiaTheme="minorEastAsia"/>
          <w:b/>
          <w:bCs/>
          <w:color w:val="auto"/>
          <w:sz w:val="24"/>
        </w:rPr>
        <w:t xml:space="preserve">  项目移交</w:t>
      </w:r>
      <w:bookmarkEnd w:id="349"/>
      <w:bookmarkEnd w:id="353"/>
      <w:bookmarkEnd w:id="354"/>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23.1 移交范围和内容</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乙方应按合同约定将竣工验收合格的工程交付甲方或甲方指定单位，移交范围为：【纳入特许经营权范围内的所有场站、车辆、充电桩及保障其正常使用所必备的附属设施（乙方自有设备除外）】，移交设备均应在保证完好的情况下无偿移交实施机构。因移交所产生的相关税费（如契税等）应该依法承担。</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（2）乙方应在本合同约定的合作期限届满之日起六个月内完成工程的所有工程档案与工程决算资料的移交工作。</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（3）列入工程总投资的重大设备和专用设备，在工程移交时，乙方应将其功能完好地移交甲方。</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23.2 移交程序和确认</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甲乙双方应在工程移交前1个月举行会议，并就本工程详细的移交程序达成一致意见，双方移交结束，甲方应向乙方签发移交证书。</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23.3 保险和承包商保证的转让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在移交时，乙方应将所有承包商和供应商提供的尚未期满的担保及保证无偿转让给接收人，并且将所有保险单、暂保单和保险单批单转让给接收人。接收人应支付或退还上述移交之后保险期间的保险费。</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23.4 合同期限及相关</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乙方在与第三方签订运营维护合同、设备合同及其他合同时，应努力使得该等合同的有效期届满日不超过本项目合同期限届满日。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如在移交日前，乙方需签订运营维护合同、设备合同及其他合同，且该等合同在本项目合作期届满后仍为有效的，则乙方应在该等合同签订前报经甲方同意。若超期，则需通过签订第三方协议的形式予以明确，未经甲方同意的，由乙方承担相应责任。</w:t>
      </w: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55" w:name="_Toc476558199"/>
      <w:bookmarkStart w:id="356" w:name="_Toc19881868"/>
      <w:r>
        <w:rPr>
          <w:rFonts w:hint="eastAsia" w:cs="宋体" w:asciiTheme="minorEastAsia" w:hAnsiTheme="minorEastAsia" w:eastAsiaTheme="minorEastAsia"/>
          <w:b/>
          <w:bCs/>
          <w:color w:val="auto"/>
          <w:sz w:val="24"/>
        </w:rPr>
        <w:t xml:space="preserve">第二十四条  </w:t>
      </w:r>
      <w:bookmarkEnd w:id="355"/>
      <w:r>
        <w:rPr>
          <w:rFonts w:hint="eastAsia" w:cs="宋体" w:asciiTheme="minorEastAsia" w:hAnsiTheme="minorEastAsia" w:eastAsiaTheme="minorEastAsia"/>
          <w:b/>
          <w:bCs/>
          <w:color w:val="auto"/>
          <w:sz w:val="24"/>
        </w:rPr>
        <w:t>移交履约担保</w:t>
      </w:r>
      <w:bookmarkEnd w:id="356"/>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24.1 移交履约担保的提供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乙方应于合作期限届满日【】月之前，乙方应向甲方提交金额为【壹仟】万元人民币整（小写：【10,000,000.00元】）的移交履约担保。移交履约担保采用银行保函的形式。银行保函应由具有相应担保额度的国有商业银行或股份制银行的支行及其以上银行开具，并使用本合同附件《履约担保》规定的格式或甲方同意的其他格式。</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24.2 恢复移交履约担保的数额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如果甲方在移交履约担保期限内根据本合同的有关规定提取移交履约担保项下的款项，乙方应确保在甲方提取后的十(10)个工作日内，将移交履约担保的数额恢复到本合同前款约定的数额，且应向甲方提供移交履约担保已足额恢复的证据。甲方提取移交履约担保的权利不影响甲方在本合同项下的其他权利，并且不应解除乙方不履行维护本项目义务而对甲方所负的任何进一步的责任和义务。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乙方未在前述期限内补足或恢复移交履约担保相应金额的，甲方有权发出催告，乙方应在三十（30）日内予以补足；乙方在前述期限内仍未补足的，则甲方有权提取移交履约担保项下的余额，并有权提前终止本合同，收回本合同项下的经营权。</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24.3 移交履约担保的解除</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移交履约担保在乙方拿到移交证书之日到期。甲方应在移交履约担保将于到期之日后5日内退还移交履约担保。</w:t>
      </w:r>
    </w:p>
    <w:p>
      <w:pPr>
        <w:spacing w:beforeLines="100" w:afterLines="100" w:line="360" w:lineRule="auto"/>
        <w:jc w:val="center"/>
        <w:outlineLvl w:val="1"/>
        <w:rPr>
          <w:rFonts w:cs="宋体" w:asciiTheme="minorEastAsia" w:hAnsiTheme="minorEastAsia" w:eastAsiaTheme="minorEastAsia"/>
          <w:b/>
          <w:color w:val="auto"/>
          <w:sz w:val="28"/>
        </w:rPr>
      </w:pPr>
      <w:bookmarkStart w:id="357" w:name="_Toc476558200"/>
      <w:bookmarkStart w:id="358" w:name="_Toc455741336"/>
      <w:bookmarkStart w:id="359" w:name="_Toc19881869"/>
      <w:bookmarkStart w:id="360" w:name="_Toc424028320"/>
      <w:bookmarkStart w:id="361" w:name="_Toc416708656"/>
      <w:bookmarkStart w:id="362" w:name="_Toc29710"/>
      <w:bookmarkStart w:id="363" w:name="_Toc6574"/>
      <w:r>
        <w:rPr>
          <w:rFonts w:hint="eastAsia" w:cs="宋体" w:asciiTheme="minorEastAsia" w:hAnsiTheme="minorEastAsia" w:eastAsiaTheme="minorEastAsia"/>
          <w:b/>
          <w:color w:val="auto"/>
          <w:sz w:val="28"/>
        </w:rPr>
        <w:t>第十章  违约与终止</w:t>
      </w:r>
      <w:bookmarkEnd w:id="357"/>
      <w:bookmarkEnd w:id="358"/>
      <w:bookmarkEnd w:id="359"/>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64" w:name="_Toc476558201"/>
      <w:bookmarkStart w:id="365" w:name="_Toc19881870"/>
      <w:r>
        <w:rPr>
          <w:rFonts w:hint="eastAsia" w:cs="宋体" w:asciiTheme="minorEastAsia" w:hAnsiTheme="minorEastAsia" w:eastAsiaTheme="minorEastAsia"/>
          <w:b/>
          <w:bCs/>
          <w:color w:val="auto"/>
          <w:sz w:val="24"/>
        </w:rPr>
        <w:t>第二十五条  不可抗力</w:t>
      </w:r>
      <w:r>
        <w:rPr>
          <w:rFonts w:hint="eastAsia" w:cs="宋体" w:asciiTheme="minorEastAsia" w:hAnsiTheme="minorEastAsia" w:eastAsiaTheme="minorEastAsia"/>
          <w:b/>
          <w:color w:val="auto"/>
          <w:sz w:val="24"/>
        </w:rPr>
        <w:t>引起的终止履行</w:t>
      </w:r>
      <w:bookmarkEnd w:id="364"/>
      <w:bookmarkEnd w:id="365"/>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25.1 不可抗力事件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任何一方由于出现不可抗力事件使该方无法全部或部分履行其本合同项下的义务时，该方应有权终止履行本合同项下的义务。不可抗力应包括但不限于下列事件：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（a）雷电、干旱、火灾、地震、火山爆发、山崩、滑坡、水灾、暴风雨、海啸、台风或龙卷风；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（b）流行病、饥荒或瘟疫；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（c）战争行为（无论是否宣战）、入侵、武装冲突或外敌行为、封锁或军事力量的使用、禁运、暴乱或民众骚乱、恐怖行为、军事演习或政变；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（d）不能合理预见的重大交通阻滞或停运；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（e）化学或放射性污染或核辐射；</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（f）全国性、地区性、城市性或行业性罢工；</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（g）导致本次采购活动实际上不能进行的法律、法规、规章及国家政策变更。</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25.2 不适用于乙方的例外情况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乙方无权将下述情况视作不可抗力事件而终止履行本合同或不完全履行本合同项下义务：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（a）乙方的承包商或其他与乙方建立合同关系的第三方在履行合同方面发生延误；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（b）项目设施的故障或正常磨损。</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25.3 不适用于甲方的例外情况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甲方无权将下述情况视作不可抗力事件而终止履行或不完全履行本合同项下义务：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东方市人民政府对项目设施或其任何部分实行的没收、充公或国有化。 </w:t>
      </w:r>
    </w:p>
    <w:p>
      <w:pPr>
        <w:pStyle w:val="7"/>
        <w:spacing w:line="360" w:lineRule="auto"/>
        <w:ind w:firstLine="360" w:firstLineChars="15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 东方市人民政府出具的政策、规定调整。</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25.4 通知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声称受到不可抗力影响的一方应在知道不可抗力之后十（10）个工作日内书面通知另一方，详细描述不可抗力的发生情况和可能导致的后果，并根据对方要求提供证明。 </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 xml:space="preserve">25.5 损失承担原则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发生不可抗力时，双方应各自承担由于不可抗力对其造成的损失。 </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25.6 减少损失的责任和协商</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受到不可抗力影响的一方应努力减少不可抗力的影响。双方应协商采取合理的补救措施尽量减少不可抗力给各方带来的损失。</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声称不可抗力的一方在不可抗力消除之后应尽快恢复履行本合同项下的义务。 </w:t>
      </w:r>
    </w:p>
    <w:p>
      <w:pPr>
        <w:pStyle w:val="7"/>
        <w:spacing w:line="360" w:lineRule="auto"/>
        <w:ind w:firstLine="482"/>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25.7 不可抗力造成的终止</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当不可抗力事件阻止一方履行其义务的时间持续九十(90)天以上时，双方应协商决定继续履行本合同的条件或者终止本合同。如果自不可抗力发生后一百八十(180)天之内双方不能就继续履行的条件或终止本合同达成一致意见，任何一方有权给予另一方书面通知后立即终止本合同。</w:t>
      </w:r>
    </w:p>
    <w:bookmarkEnd w:id="360"/>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66" w:name="_Toc424028321"/>
      <w:bookmarkStart w:id="367" w:name="_Toc476558202"/>
      <w:bookmarkStart w:id="368" w:name="_Toc19881871"/>
      <w:r>
        <w:rPr>
          <w:rFonts w:hint="eastAsia" w:cs="宋体" w:asciiTheme="minorEastAsia" w:hAnsiTheme="minorEastAsia" w:eastAsiaTheme="minorEastAsia"/>
          <w:b/>
          <w:bCs/>
          <w:color w:val="auto"/>
          <w:sz w:val="24"/>
        </w:rPr>
        <w:t>第二十六条</w:t>
      </w:r>
      <w:bookmarkStart w:id="369" w:name="_Toc423548857"/>
      <w:r>
        <w:rPr>
          <w:rFonts w:hint="eastAsia" w:cs="宋体" w:asciiTheme="minorEastAsia" w:hAnsiTheme="minorEastAsia" w:eastAsiaTheme="minorEastAsia"/>
          <w:b/>
          <w:bCs/>
          <w:color w:val="auto"/>
          <w:sz w:val="24"/>
        </w:rPr>
        <w:t xml:space="preserve">  违约</w:t>
      </w:r>
      <w:bookmarkEnd w:id="366"/>
      <w:bookmarkEnd w:id="369"/>
      <w:r>
        <w:rPr>
          <w:rFonts w:hint="eastAsia" w:cs="宋体" w:asciiTheme="minorEastAsia" w:hAnsiTheme="minorEastAsia" w:eastAsiaTheme="minorEastAsia"/>
          <w:b/>
          <w:bCs/>
          <w:color w:val="auto"/>
          <w:sz w:val="24"/>
        </w:rPr>
        <w:t>及赔偿</w:t>
      </w:r>
      <w:bookmarkEnd w:id="367"/>
      <w:bookmarkEnd w:id="368"/>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26.1政府方违约赔偿责任</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（1）政府方延迟支付项目公司相应的补贴费用，项目公司有权发出催告，如政府方在催告通知出具后30日内仍未能支付的，则政府方除应支付应付的未付款项外，还应每日向项目公司另行支付人民币</w:t>
      </w:r>
      <w:r>
        <w:rPr>
          <w:rFonts w:hint="eastAsia" w:cs="宋体" w:asciiTheme="minorEastAsia" w:hAnsiTheme="minorEastAsia" w:eastAsiaTheme="minorEastAsia"/>
          <w:color w:val="auto"/>
          <w:sz w:val="24"/>
          <w:u w:val="single"/>
        </w:rPr>
        <w:t xml:space="preserve">  1000元/日  </w:t>
      </w:r>
      <w:r>
        <w:rPr>
          <w:rFonts w:hint="eastAsia" w:cs="宋体" w:asciiTheme="minorEastAsia" w:hAnsiTheme="minorEastAsia" w:eastAsiaTheme="minorEastAsia"/>
          <w:color w:val="auto"/>
          <w:sz w:val="24"/>
        </w:rPr>
        <w:t>的违约金。</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如果政府方提取履约保函中的相应金额之后确定政府方属于不当提取，政府方应及时按原路径退还已提取的款项，并支付该款项自提取之日至退还之日的利息，利息按央行公布的同期人民币贷款基准利率计算。</w:t>
      </w:r>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26.2项目公司违约赔偿责任</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（1）建设期内，由于项目公司或依法定程序确定的承包商、供应商的原因导致项目建设延误，则导致项目延误每逾期一日，项目公司应向项目实施机构支付人民币</w:t>
      </w:r>
      <w:r>
        <w:rPr>
          <w:rFonts w:hint="eastAsia" w:cs="宋体" w:asciiTheme="minorEastAsia" w:hAnsiTheme="minorEastAsia" w:eastAsiaTheme="minorEastAsia"/>
          <w:color w:val="auto"/>
          <w:sz w:val="24"/>
          <w:u w:val="single"/>
        </w:rPr>
        <w:t xml:space="preserve">  1万元/日</w:t>
      </w:r>
      <w:r>
        <w:rPr>
          <w:rFonts w:hint="eastAsia" w:cs="宋体" w:asciiTheme="minorEastAsia" w:hAnsiTheme="minorEastAsia" w:eastAsiaTheme="minorEastAsia"/>
          <w:color w:val="auto"/>
          <w:sz w:val="24"/>
        </w:rPr>
        <w:t>与应完成工程价的万分之五取高值的违约金。若逾期超过60日，项目实施机构有权终止《特许经营协议》。</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运营期内，由于项目公司未按合同约定履行相应的义务或其他可归责于项目公司或项目公司委托的运营商、供应商的原因导致项目无法正常运营等，项目公司应向项目实施机构支付违约金，每暂停运营一天须支付违约金</w:t>
      </w:r>
      <w:r>
        <w:rPr>
          <w:rFonts w:hint="eastAsia" w:cs="宋体" w:asciiTheme="minorEastAsia" w:hAnsiTheme="minorEastAsia" w:eastAsiaTheme="minorEastAsia"/>
          <w:color w:val="auto"/>
          <w:sz w:val="24"/>
          <w:u w:val="single"/>
        </w:rPr>
        <w:t xml:space="preserve"> 1万元</w:t>
      </w:r>
      <w:r>
        <w:rPr>
          <w:rFonts w:hint="eastAsia" w:cs="宋体" w:asciiTheme="minorEastAsia" w:hAnsiTheme="minorEastAsia" w:eastAsiaTheme="minorEastAsia"/>
          <w:color w:val="auto"/>
          <w:sz w:val="24"/>
        </w:rPr>
        <w:t xml:space="preserve"> 。若项目中断运营超过30日，项目实施机构有权终止《特许经营协议》。</w:t>
      </w:r>
    </w:p>
    <w:p>
      <w:pPr>
        <w:pStyle w:val="7"/>
        <w:spacing w:line="360" w:lineRule="auto"/>
        <w:ind w:firstLine="480"/>
        <w:rPr>
          <w:rFonts w:cs="宋体" w:asciiTheme="minorEastAsia" w:hAnsiTheme="minorEastAsia" w:eastAsiaTheme="minorEastAsia"/>
          <w:color w:val="auto"/>
          <w:sz w:val="24"/>
          <w:highlight w:val="yellow"/>
          <w:lang w:val="zh-CN"/>
        </w:rPr>
      </w:pPr>
      <w:r>
        <w:rPr>
          <w:rFonts w:hint="eastAsia" w:cs="宋体" w:asciiTheme="minorEastAsia" w:hAnsiTheme="minorEastAsia" w:eastAsiaTheme="minorEastAsia"/>
          <w:color w:val="auto"/>
          <w:sz w:val="24"/>
        </w:rPr>
        <w:t>（3）移交期间，由于项目公司原因导致其未能按照本合同的要求及时间移交本项目相应工程，每延迟一日应向项目实施机构支付</w:t>
      </w:r>
      <w:r>
        <w:rPr>
          <w:rFonts w:hint="eastAsia" w:cs="宋体" w:asciiTheme="minorEastAsia" w:hAnsiTheme="minorEastAsia" w:eastAsiaTheme="minorEastAsia"/>
          <w:color w:val="auto"/>
          <w:sz w:val="24"/>
          <w:u w:val="single"/>
        </w:rPr>
        <w:t xml:space="preserve"> 1万元 </w:t>
      </w:r>
      <w:r>
        <w:rPr>
          <w:rFonts w:hint="eastAsia" w:cs="宋体" w:asciiTheme="minorEastAsia" w:hAnsiTheme="minorEastAsia" w:eastAsiaTheme="minorEastAsia"/>
          <w:color w:val="auto"/>
          <w:sz w:val="24"/>
        </w:rPr>
        <w:t>的违约金。</w:t>
      </w: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70" w:name="_Toc476558203"/>
      <w:bookmarkStart w:id="371" w:name="_Toc19881872"/>
      <w:r>
        <w:rPr>
          <w:rFonts w:hint="eastAsia" w:cs="宋体" w:asciiTheme="minorEastAsia" w:hAnsiTheme="minorEastAsia" w:eastAsiaTheme="minorEastAsia"/>
          <w:b/>
          <w:bCs/>
          <w:color w:val="auto"/>
          <w:sz w:val="24"/>
        </w:rPr>
        <w:t>第二十七条  提前终止与终止补偿</w:t>
      </w:r>
      <w:bookmarkEnd w:id="370"/>
      <w:bookmarkEnd w:id="371"/>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在以下情形下，项目可提前终止：</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（1）一方违约导致的提前终止；</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（2）法律变更或宏观政策导致的提前终止；</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（3）不可抗力导致的提前终止。</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若《特许经营协议》提前终止，则除非协议另有约定，政府方仅在如下情形时支付项目公司合理补偿金（提前终止时政府方对于项目公司的补偿须以项目公司还清其届时之所有负债为前提），补偿金具体按下表确定：</w:t>
      </w:r>
    </w:p>
    <w:p>
      <w:pPr>
        <w:pStyle w:val="7"/>
        <w:spacing w:beforeLines="50" w:afterLines="50" w:line="360" w:lineRule="auto"/>
        <w:ind w:firstLine="480"/>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提前终止补偿情形及补偿表</w:t>
      </w:r>
    </w:p>
    <w:tbl>
      <w:tblPr>
        <w:tblStyle w:val="23"/>
        <w:tblW w:w="8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97" w:type="dxa"/>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提前终止情形</w:t>
            </w:r>
          </w:p>
        </w:tc>
        <w:tc>
          <w:tcPr>
            <w:tcW w:w="4198" w:type="dxa"/>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终止补偿金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97" w:type="dxa"/>
            <w:vMerge w:val="restart"/>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政府方发出的终止（项目公司违约）</w:t>
            </w:r>
          </w:p>
        </w:tc>
        <w:tc>
          <w:tcPr>
            <w:tcW w:w="4198" w:type="dxa"/>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建设期提前终止时，为A1-B+E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97" w:type="dxa"/>
            <w:vMerge w:val="continue"/>
            <w:vAlign w:val="center"/>
          </w:tcPr>
          <w:p>
            <w:pPr>
              <w:spacing w:beforeLines="50" w:afterLines="50" w:line="360" w:lineRule="auto"/>
              <w:rPr>
                <w:rFonts w:cs="宋体" w:asciiTheme="minorEastAsia" w:hAnsiTheme="minorEastAsia" w:eastAsiaTheme="minorEastAsia"/>
                <w:color w:val="auto"/>
                <w:sz w:val="24"/>
              </w:rPr>
            </w:pPr>
          </w:p>
        </w:tc>
        <w:tc>
          <w:tcPr>
            <w:tcW w:w="4198" w:type="dxa"/>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运营期提前终止时，为A2-B+E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97" w:type="dxa"/>
            <w:vMerge w:val="restart"/>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项目公司发出的终止（政府方违约）</w:t>
            </w:r>
          </w:p>
        </w:tc>
        <w:tc>
          <w:tcPr>
            <w:tcW w:w="4198" w:type="dxa"/>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建设期提前终止时，为A1+B+E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97" w:type="dxa"/>
            <w:vMerge w:val="continue"/>
            <w:vAlign w:val="center"/>
          </w:tcPr>
          <w:p>
            <w:pPr>
              <w:spacing w:beforeLines="50" w:afterLines="50" w:line="360" w:lineRule="auto"/>
              <w:rPr>
                <w:rFonts w:cs="宋体" w:asciiTheme="minorEastAsia" w:hAnsiTheme="minorEastAsia" w:eastAsiaTheme="minorEastAsia"/>
                <w:color w:val="auto"/>
                <w:sz w:val="24"/>
              </w:rPr>
            </w:pPr>
          </w:p>
        </w:tc>
        <w:tc>
          <w:tcPr>
            <w:tcW w:w="4198" w:type="dxa"/>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运营期提前终止时，为A2+B+E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97" w:type="dxa"/>
            <w:vMerge w:val="restart"/>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东方市人民政府可控的法律或宏观政策变更导致的终止</w:t>
            </w:r>
          </w:p>
        </w:tc>
        <w:tc>
          <w:tcPr>
            <w:tcW w:w="4198" w:type="dxa"/>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建设期提前终止时，为A1+E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97" w:type="dxa"/>
            <w:vMerge w:val="continue"/>
            <w:vAlign w:val="center"/>
          </w:tcPr>
          <w:p>
            <w:pPr>
              <w:spacing w:beforeLines="50" w:afterLines="50" w:line="360" w:lineRule="auto"/>
              <w:rPr>
                <w:rFonts w:cs="宋体" w:asciiTheme="minorEastAsia" w:hAnsiTheme="minorEastAsia" w:eastAsiaTheme="minorEastAsia"/>
                <w:color w:val="auto"/>
                <w:sz w:val="24"/>
              </w:rPr>
            </w:pPr>
          </w:p>
        </w:tc>
        <w:tc>
          <w:tcPr>
            <w:tcW w:w="4198" w:type="dxa"/>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运营期提前终止时，为A2+E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97" w:type="dxa"/>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不可抗力</w:t>
            </w:r>
          </w:p>
        </w:tc>
        <w:tc>
          <w:tcPr>
            <w:tcW w:w="4198" w:type="dxa"/>
            <w:vAlign w:val="center"/>
          </w:tcPr>
          <w:p>
            <w:pPr>
              <w:spacing w:beforeLines="50" w:afterLines="50" w:line="360" w:lineRule="auto"/>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（A3-C-D）×0.5+E</w:t>
            </w:r>
          </w:p>
        </w:tc>
      </w:tr>
    </w:tbl>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A1为项目公司已投入但尚未收回的建设投资（以经审计的数额为准）；</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A2为项目公司尚未收回的投资本金的现值；</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A3为经审计的项目公司账面资产净值；</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B取值为人民币500万元；</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C为发生不可抗力情形时，根据本项目的合同及相关保险合同约定，项目公司（含贷款方）实际获得的保险赔款；</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D为发生不可抗力情形时，因项目公司投保不足，导致所获保险赔款无法使项目设施恢复到出险前的正常状态和价值的恢复性建设费用缺额部分（如有）；</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E为终止后根据合同的规定，项目公司应向项目实施机构移交运营维护所需工器具和备品配件的合理评估值。</w:t>
      </w:r>
    </w:p>
    <w:p>
      <w:pPr>
        <w:pStyle w:val="7"/>
        <w:spacing w:beforeLines="50" w:afterLines="50"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若属政府方发出的终止情形之一的，按照对应公示计算终止补偿金即“A1-B+E”或者“A2-B+E”的值为负数，或者不可抗力情形下补偿金计算为负值的，则项目公司应向项目实施机构支付本条所述负值的绝对值。</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当发生项目公司违约而导致政府方发出终止的情形时，对于向项目公司支付的终止补偿金，政府方有权根据财政承受能力，在剩余合作期内分期等额无息支付赔偿金额，具体分批次支付比例及支付进度由政府方决定。</w:t>
      </w:r>
    </w:p>
    <w:p>
      <w:pPr>
        <w:spacing w:beforeLines="100" w:afterLines="100" w:line="360" w:lineRule="auto"/>
        <w:jc w:val="center"/>
        <w:outlineLvl w:val="1"/>
        <w:rPr>
          <w:rFonts w:cs="宋体" w:asciiTheme="minorEastAsia" w:hAnsiTheme="minorEastAsia" w:eastAsiaTheme="minorEastAsia"/>
          <w:b/>
          <w:color w:val="auto"/>
          <w:sz w:val="28"/>
        </w:rPr>
      </w:pPr>
      <w:bookmarkStart w:id="372" w:name="_Toc19881873"/>
      <w:bookmarkStart w:id="373" w:name="_Toc476558204"/>
      <w:bookmarkStart w:id="374" w:name="_Toc455741337"/>
      <w:r>
        <w:rPr>
          <w:rFonts w:hint="eastAsia" w:cs="宋体" w:asciiTheme="minorEastAsia" w:hAnsiTheme="minorEastAsia" w:eastAsiaTheme="minorEastAsia"/>
          <w:b/>
          <w:color w:val="auto"/>
          <w:sz w:val="28"/>
        </w:rPr>
        <w:t>第十一章  协调和争议的解决</w:t>
      </w:r>
      <w:bookmarkEnd w:id="372"/>
      <w:bookmarkEnd w:id="373"/>
      <w:bookmarkEnd w:id="374"/>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75" w:name="_Toc476558205"/>
      <w:bookmarkStart w:id="376" w:name="_Toc19881874"/>
      <w:r>
        <w:rPr>
          <w:rFonts w:hint="eastAsia" w:cs="宋体" w:asciiTheme="minorEastAsia" w:hAnsiTheme="minorEastAsia" w:eastAsiaTheme="minorEastAsia"/>
          <w:b/>
          <w:bCs/>
          <w:color w:val="auto"/>
          <w:sz w:val="24"/>
        </w:rPr>
        <w:t>第二十八条  项目协调委员会</w:t>
      </w:r>
      <w:bookmarkEnd w:id="375"/>
      <w:bookmarkEnd w:id="376"/>
    </w:p>
    <w:p>
      <w:pPr>
        <w:pStyle w:val="7"/>
        <w:spacing w:line="360" w:lineRule="auto"/>
        <w:ind w:firstLine="482"/>
        <w:rPr>
          <w:rFonts w:cs="宋体" w:asciiTheme="minorEastAsia" w:hAnsiTheme="minorEastAsia" w:eastAsiaTheme="minorEastAsia"/>
          <w:b/>
          <w:color w:val="auto"/>
          <w:sz w:val="24"/>
        </w:rPr>
      </w:pPr>
      <w:bookmarkStart w:id="377" w:name="_Toc432432365"/>
      <w:r>
        <w:rPr>
          <w:rFonts w:hint="eastAsia" w:cs="宋体" w:asciiTheme="minorEastAsia" w:hAnsiTheme="minorEastAsia" w:eastAsiaTheme="minorEastAsia"/>
          <w:b/>
          <w:color w:val="auto"/>
          <w:sz w:val="24"/>
        </w:rPr>
        <w:t>28.1 项目协调委员会</w:t>
      </w:r>
      <w:bookmarkEnd w:id="377"/>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本合同生效后三十(30)天之内，双方应成立一个由三(3)名乙方代表和三(3)名甲方代表组成的项目协调委员会。任何一方均可在通知另一方后更换项目协调委员会成员。该委员会的所有决定均应得到委员会全体成员的一致通过。 </w:t>
      </w:r>
    </w:p>
    <w:p>
      <w:pPr>
        <w:pStyle w:val="7"/>
        <w:spacing w:line="360" w:lineRule="auto"/>
        <w:ind w:firstLine="482"/>
        <w:rPr>
          <w:rFonts w:cs="宋体" w:asciiTheme="minorEastAsia" w:hAnsiTheme="minorEastAsia" w:eastAsiaTheme="minorEastAsia"/>
          <w:b/>
          <w:color w:val="auto"/>
          <w:sz w:val="24"/>
        </w:rPr>
      </w:pPr>
      <w:bookmarkStart w:id="378" w:name="_Toc432432366"/>
      <w:r>
        <w:rPr>
          <w:rFonts w:hint="eastAsia" w:cs="宋体" w:asciiTheme="minorEastAsia" w:hAnsiTheme="minorEastAsia" w:eastAsiaTheme="minorEastAsia"/>
          <w:b/>
          <w:color w:val="auto"/>
          <w:sz w:val="24"/>
        </w:rPr>
        <w:t>28.2 协调事项</w:t>
      </w:r>
      <w:bookmarkEnd w:id="378"/>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协调事项包括但不限于：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（1）协调双方在项目建设及运营方面的计划和程序；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（2）在发生不可抗力影响项目运营时讨论应采取的步骤；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（3）影响项目设施安全的事项；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（4）为解决本合同项下的争议任命财务专家和专家小组； </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 xml:space="preserve">（5）其他双方同意的事项。 </w:t>
      </w:r>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79" w:name="_Toc476558206"/>
      <w:bookmarkStart w:id="380" w:name="_Toc19881875"/>
      <w:r>
        <w:rPr>
          <w:rFonts w:hint="eastAsia" w:cs="宋体" w:asciiTheme="minorEastAsia" w:hAnsiTheme="minorEastAsia" w:eastAsiaTheme="minorEastAsia"/>
          <w:b/>
          <w:bCs/>
          <w:color w:val="auto"/>
          <w:sz w:val="24"/>
        </w:rPr>
        <w:t>第二十九条  争议的解决</w:t>
      </w:r>
      <w:bookmarkEnd w:id="379"/>
      <w:bookmarkEnd w:id="380"/>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w:t>
      </w:r>
      <w:r>
        <w:rPr>
          <w:rFonts w:hint="eastAsia" w:cs="宋体" w:asciiTheme="minorEastAsia" w:hAnsiTheme="minorEastAsia" w:eastAsiaTheme="minorEastAsia"/>
          <w:color w:val="auto"/>
          <w:sz w:val="24"/>
          <w:lang w:val="zh-CN"/>
        </w:rPr>
        <w:t>因违反或终止本合同而引起的对损失或损害的赔偿，甲方与乙方之间应当首先协商解决</w:t>
      </w:r>
      <w:r>
        <w:rPr>
          <w:rFonts w:hint="eastAsia" w:cs="宋体" w:asciiTheme="minorEastAsia" w:hAnsiTheme="minorEastAsia" w:eastAsiaTheme="minorEastAsia"/>
          <w:color w:val="auto"/>
          <w:sz w:val="24"/>
        </w:rPr>
        <w:t>，</w:t>
      </w:r>
      <w:r>
        <w:rPr>
          <w:rFonts w:hint="eastAsia" w:cs="宋体" w:asciiTheme="minorEastAsia" w:hAnsiTheme="minorEastAsia" w:eastAsiaTheme="minorEastAsia"/>
          <w:color w:val="auto"/>
          <w:sz w:val="24"/>
          <w:lang w:val="zh-CN"/>
        </w:rPr>
        <w:t>如未能达成一致，任何一方均可向项目所在地人民法院提起诉讼。</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（2）诉讼</w:t>
      </w:r>
      <w:r>
        <w:rPr>
          <w:rFonts w:hint="eastAsia" w:cs="宋体" w:asciiTheme="minorEastAsia" w:hAnsiTheme="minorEastAsia" w:eastAsiaTheme="minorEastAsia"/>
          <w:color w:val="auto"/>
          <w:sz w:val="24"/>
          <w:lang w:val="zh-CN"/>
        </w:rPr>
        <w:t>期间，双方均应继续履行各自根据本合同规定承担的一切义务。</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w:t>
      </w:r>
      <w:r>
        <w:rPr>
          <w:rFonts w:hint="eastAsia" w:cs="宋体" w:asciiTheme="minorEastAsia" w:hAnsiTheme="minorEastAsia" w:eastAsiaTheme="minorEastAsia"/>
          <w:color w:val="auto"/>
          <w:sz w:val="24"/>
          <w:lang w:val="zh-CN"/>
        </w:rPr>
        <w:t>本合同适用中华人民共和国法律、法规及有关行政规章和海南省、东方市有关地方性法规管理规定，并据此加以解释。</w:t>
      </w:r>
    </w:p>
    <w:p>
      <w:pPr>
        <w:spacing w:beforeLines="100" w:afterLines="100" w:line="360" w:lineRule="auto"/>
        <w:jc w:val="center"/>
        <w:outlineLvl w:val="1"/>
        <w:rPr>
          <w:rFonts w:cs="宋体" w:asciiTheme="minorEastAsia" w:hAnsiTheme="minorEastAsia" w:eastAsiaTheme="minorEastAsia"/>
          <w:b/>
          <w:color w:val="auto"/>
          <w:sz w:val="28"/>
        </w:rPr>
      </w:pPr>
      <w:bookmarkStart w:id="381" w:name="_Toc455741338"/>
      <w:bookmarkStart w:id="382" w:name="_Toc476558207"/>
      <w:bookmarkStart w:id="383" w:name="_Toc19881876"/>
      <w:r>
        <w:rPr>
          <w:rFonts w:hint="eastAsia" w:cs="宋体" w:asciiTheme="minorEastAsia" w:hAnsiTheme="minorEastAsia" w:eastAsiaTheme="minorEastAsia"/>
          <w:b/>
          <w:color w:val="auto"/>
          <w:sz w:val="28"/>
        </w:rPr>
        <w:t>第十二章  其他约定</w:t>
      </w:r>
      <w:bookmarkEnd w:id="381"/>
      <w:bookmarkEnd w:id="382"/>
      <w:bookmarkEnd w:id="383"/>
    </w:p>
    <w:p>
      <w:pPr>
        <w:pStyle w:val="7"/>
        <w:spacing w:beforeLines="50" w:afterLines="50" w:line="360" w:lineRule="auto"/>
        <w:ind w:firstLine="482"/>
        <w:outlineLvl w:val="2"/>
        <w:rPr>
          <w:rFonts w:cs="宋体" w:asciiTheme="minorEastAsia" w:hAnsiTheme="minorEastAsia" w:eastAsiaTheme="minorEastAsia"/>
          <w:b/>
          <w:bCs/>
          <w:color w:val="auto"/>
          <w:sz w:val="24"/>
        </w:rPr>
      </w:pPr>
      <w:bookmarkStart w:id="384" w:name="_Toc424028323"/>
      <w:bookmarkStart w:id="385" w:name="_Toc476558208"/>
      <w:bookmarkStart w:id="386" w:name="_Toc19881877"/>
      <w:r>
        <w:rPr>
          <w:rFonts w:hint="eastAsia" w:cs="宋体" w:asciiTheme="minorEastAsia" w:hAnsiTheme="minorEastAsia" w:eastAsiaTheme="minorEastAsia"/>
          <w:b/>
          <w:bCs/>
          <w:color w:val="auto"/>
          <w:sz w:val="24"/>
        </w:rPr>
        <w:t>第三十条  其他约定</w:t>
      </w:r>
      <w:bookmarkEnd w:id="361"/>
      <w:bookmarkEnd w:id="362"/>
      <w:bookmarkEnd w:id="363"/>
      <w:bookmarkEnd w:id="384"/>
      <w:bookmarkEnd w:id="385"/>
      <w:bookmarkEnd w:id="386"/>
    </w:p>
    <w:bookmarkEnd w:id="231"/>
    <w:bookmarkEnd w:id="232"/>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30.1 合同变更与修订</w:t>
      </w:r>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zh-CN"/>
        </w:rPr>
        <w:t>本合同任何修改、补充或变更只有以书面形式并由双方授权代表签字，并加盖公章后方可生效并具约束力。</w:t>
      </w:r>
      <w:bookmarkStart w:id="387" w:name="_Toc424028325"/>
      <w:bookmarkStart w:id="388" w:name="_Toc416708658"/>
      <w:bookmarkStart w:id="389" w:name="_Toc14253"/>
      <w:bookmarkStart w:id="390" w:name="_Toc3960"/>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30.2 合同的转让</w:t>
      </w:r>
      <w:bookmarkEnd w:id="387"/>
      <w:bookmarkEnd w:id="388"/>
      <w:bookmarkEnd w:id="389"/>
      <w:bookmarkEnd w:id="390"/>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zh-CN"/>
        </w:rPr>
        <w:t>未经甲、乙双方共同商定（书面形式确定并公证部门鉴定），该合同项下的权利、义务和责任，不得以任何形式全部或部分转让给其他方。</w:t>
      </w:r>
      <w:bookmarkStart w:id="391" w:name="_Toc424028326"/>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30.3 合同生效与终止</w:t>
      </w:r>
      <w:bookmarkEnd w:id="391"/>
    </w:p>
    <w:p>
      <w:pPr>
        <w:pStyle w:val="7"/>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lang w:val="zh-CN"/>
        </w:rPr>
        <w:t>本合同自甲乙双方签字、盖章并经东方市人民政府批准后生效，本合同至项目生命周期结束之日终止。</w:t>
      </w:r>
      <w:bookmarkStart w:id="392" w:name="_Toc13073"/>
      <w:bookmarkStart w:id="393" w:name="_Toc416708670"/>
      <w:bookmarkStart w:id="394" w:name="_Toc424028327"/>
      <w:bookmarkStart w:id="395" w:name="_Toc4320"/>
    </w:p>
    <w:p>
      <w:pPr>
        <w:pStyle w:val="7"/>
        <w:spacing w:line="360" w:lineRule="auto"/>
        <w:ind w:firstLine="482"/>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30.4 合同份数</w:t>
      </w:r>
      <w:bookmarkEnd w:id="392"/>
      <w:bookmarkEnd w:id="393"/>
      <w:bookmarkEnd w:id="394"/>
      <w:bookmarkEnd w:id="395"/>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本合同正本【】份，副本【】份，甲、乙双方各持正本【】份，副本【】份。</w:t>
      </w:r>
    </w:p>
    <w:p>
      <w:pPr>
        <w:widowControl/>
        <w:spacing w:line="360" w:lineRule="auto"/>
        <w:jc w:val="left"/>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br w:type="page"/>
      </w:r>
    </w:p>
    <w:p>
      <w:pPr>
        <w:spacing w:line="360" w:lineRule="auto"/>
        <w:jc w:val="left"/>
        <w:outlineLvl w:val="1"/>
        <w:rPr>
          <w:rFonts w:cs="宋体" w:asciiTheme="minorEastAsia" w:hAnsiTheme="minorEastAsia" w:eastAsiaTheme="minorEastAsia"/>
          <w:b/>
          <w:color w:val="auto"/>
          <w:sz w:val="24"/>
        </w:rPr>
      </w:pPr>
      <w:bookmarkStart w:id="396" w:name="_Toc476558209"/>
      <w:bookmarkStart w:id="397" w:name="_Toc455741340"/>
      <w:bookmarkStart w:id="398" w:name="_Toc19881878"/>
      <w:r>
        <w:rPr>
          <w:rFonts w:hint="eastAsia" w:cs="宋体" w:asciiTheme="minorEastAsia" w:hAnsiTheme="minorEastAsia" w:eastAsiaTheme="minorEastAsia"/>
          <w:b/>
          <w:color w:val="auto"/>
          <w:sz w:val="24"/>
        </w:rPr>
        <w:t xml:space="preserve">附件1 </w:t>
      </w:r>
      <w:bookmarkEnd w:id="396"/>
      <w:bookmarkEnd w:id="397"/>
      <w:r>
        <w:rPr>
          <w:rFonts w:hint="eastAsia" w:cs="宋体" w:asciiTheme="minorEastAsia" w:hAnsiTheme="minorEastAsia" w:eastAsiaTheme="minorEastAsia"/>
          <w:b/>
          <w:color w:val="auto"/>
          <w:sz w:val="24"/>
        </w:rPr>
        <w:t>履约担保</w:t>
      </w:r>
      <w:bookmarkEnd w:id="398"/>
    </w:p>
    <w:p>
      <w:pPr>
        <w:pStyle w:val="7"/>
        <w:spacing w:afterLines="50" w:line="360" w:lineRule="auto"/>
        <w:ind w:firstLine="482"/>
        <w:jc w:val="center"/>
        <w:rPr>
          <w:rFonts w:cs="宋体" w:asciiTheme="minorEastAsia" w:hAnsiTheme="minorEastAsia" w:eastAsiaTheme="minorEastAsia"/>
          <w:b/>
          <w:color w:val="auto"/>
          <w:sz w:val="24"/>
        </w:rPr>
      </w:pPr>
    </w:p>
    <w:p>
      <w:pPr>
        <w:pStyle w:val="7"/>
        <w:spacing w:afterLines="50" w:line="360" w:lineRule="auto"/>
        <w:ind w:firstLine="482"/>
        <w:jc w:val="center"/>
        <w:rPr>
          <w:rFonts w:cs="宋体" w:asciiTheme="minorEastAsia" w:hAnsiTheme="minorEastAsia" w:eastAsiaTheme="minorEastAsia"/>
          <w:b/>
          <w:color w:val="auto"/>
          <w:sz w:val="24"/>
          <w:lang w:val="zh-CN"/>
        </w:rPr>
      </w:pPr>
      <w:r>
        <w:rPr>
          <w:rFonts w:hint="eastAsia" w:cs="宋体" w:asciiTheme="minorEastAsia" w:hAnsiTheme="minorEastAsia" w:eastAsiaTheme="minorEastAsia"/>
          <w:b/>
          <w:color w:val="auto"/>
          <w:sz w:val="24"/>
          <w:lang w:val="zh-CN"/>
        </w:rPr>
        <w:t>XXX履约担保格式（以银行出具格式为准）</w:t>
      </w:r>
    </w:p>
    <w:p>
      <w:pPr>
        <w:pStyle w:val="7"/>
        <w:spacing w:line="360" w:lineRule="auto"/>
        <w:ind w:right="560" w:firstLine="480"/>
        <w:jc w:val="center"/>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不可撤销的银行保函编号：</w:t>
      </w:r>
    </w:p>
    <w:p>
      <w:pPr>
        <w:pStyle w:val="7"/>
        <w:spacing w:line="360" w:lineRule="auto"/>
        <w:ind w:right="560" w:firstLine="5280" w:firstLineChars="220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日期：</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受益人：东方市</w:t>
      </w:r>
      <w:r>
        <w:rPr>
          <w:rFonts w:hint="eastAsia" w:cs="宋体" w:asciiTheme="minorEastAsia" w:hAnsiTheme="minorEastAsia" w:eastAsiaTheme="minorEastAsia"/>
          <w:color w:val="auto"/>
          <w:kern w:val="0"/>
          <w:sz w:val="24"/>
        </w:rPr>
        <w:t>交通运输局</w:t>
      </w:r>
      <w:r>
        <w:rPr>
          <w:rFonts w:hint="eastAsia" w:cs="宋体" w:asciiTheme="minorEastAsia" w:hAnsiTheme="minorEastAsia" w:eastAsiaTheme="minorEastAsia"/>
          <w:color w:val="auto"/>
          <w:sz w:val="24"/>
          <w:lang w:val="zh-CN"/>
        </w:rPr>
        <w:t xml:space="preserve">（以下简称“甲方”）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地址：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邮政编码：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申请人： （以下简称“乙方”）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地址：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邮政编码： </w:t>
      </w:r>
    </w:p>
    <w:p>
      <w:pPr>
        <w:pStyle w:val="7"/>
        <w:spacing w:line="360" w:lineRule="auto"/>
        <w:ind w:firstLine="480"/>
        <w:rPr>
          <w:rFonts w:cs="宋体" w:asciiTheme="minorEastAsia" w:hAnsiTheme="minorEastAsia" w:eastAsiaTheme="minorEastAsia"/>
          <w:color w:val="auto"/>
          <w:sz w:val="24"/>
          <w:lang w:val="zh-CN"/>
        </w:rPr>
      </w:pP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鉴于申请人[       ]（以下简称“乙方”）与甲方于年月日签订了关于</w:t>
      </w:r>
      <w:r>
        <w:rPr>
          <w:rFonts w:hint="eastAsia" w:cs="宋体" w:asciiTheme="minorEastAsia" w:hAnsiTheme="minorEastAsia" w:eastAsiaTheme="minorEastAsia"/>
          <w:color w:val="auto"/>
          <w:sz w:val="24"/>
        </w:rPr>
        <w:t>东方市城乡公交客运服务一体化特许经营项目</w:t>
      </w:r>
      <w:r>
        <w:rPr>
          <w:rFonts w:hint="eastAsia" w:cs="宋体" w:asciiTheme="minorEastAsia" w:hAnsiTheme="minorEastAsia" w:eastAsiaTheme="minorEastAsia"/>
          <w:color w:val="auto"/>
          <w:sz w:val="24"/>
          <w:lang w:val="zh-CN"/>
        </w:rPr>
        <w:t xml:space="preserve">（以下简称“项目”）《特许经营协议》及其附件。根据该合同之规定，乙方项目公司按照受益人要求【】本项目，乙方应向甲方提供由其认可的银行保函，以担保项目公司在【】期内全面、正确地履行项目【】等义务。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我行同意为项目公司出具上述担保函，并特此确认：若因乙方违反《特许经营协议》及其附件中所确定的义务，我们作为担保人并代表项目公司向甲方负责，担保金额为人民币 (小写： )。我行无条件地、不可撤销地承诺，在收到甲方首次书面要求即付的五(5)个营业日内，我行将无条件地代乙方向甲方支付上述金额限度内的任何一笔或数笔款项，并且甲方无须出具证明或陈述要求支付款项的原因或理由。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我行放弃要求甲方在向我方提出付款要求之前首先向乙方提出付款等所有事项的抗辩权利。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我行承诺并保证，甲方与乙方之间可能对《特许经营协议》及其附件或任何其它文件的条款所作的任何更改或补充，都不免除我方在本担保项下应承担的担保责任。我行在此放弃对此类更改、补充或修改要求给予通知的权利。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本保函自签署之日【】年【】月【】日起至【】年【】月【】日止始终有效。如果本合同提前终止，建设期</w:t>
      </w:r>
      <w:r>
        <w:rPr>
          <w:rFonts w:hint="eastAsia" w:cs="宋体" w:asciiTheme="minorEastAsia" w:hAnsiTheme="minorEastAsia" w:eastAsiaTheme="minorEastAsia"/>
          <w:color w:val="auto"/>
          <w:sz w:val="24"/>
        </w:rPr>
        <w:t>履约担保</w:t>
      </w:r>
      <w:r>
        <w:rPr>
          <w:rFonts w:hint="eastAsia" w:cs="宋体" w:asciiTheme="minorEastAsia" w:hAnsiTheme="minorEastAsia" w:eastAsiaTheme="minorEastAsia"/>
          <w:color w:val="auto"/>
          <w:sz w:val="24"/>
          <w:lang w:val="zh-CN"/>
        </w:rPr>
        <w:t xml:space="preserve">应在终止日后陆（6）个月内保持有效。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我行承诺为出具本担保函而须办理的有关法律手续已经齐备，我行放弃以其他任何理由主张该担保函无效的抗辩权利。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本保函中使用的所有术语具有《特许经营协议》中规定的含义。 </w:t>
      </w:r>
    </w:p>
    <w:p>
      <w:pPr>
        <w:pStyle w:val="7"/>
        <w:spacing w:line="360" w:lineRule="auto"/>
        <w:ind w:firstLine="480"/>
        <w:rPr>
          <w:rFonts w:cs="宋体" w:asciiTheme="minorEastAsia" w:hAnsiTheme="minorEastAsia" w:eastAsiaTheme="minorEastAsia"/>
          <w:color w:val="auto"/>
          <w:sz w:val="24"/>
          <w:lang w:val="zh-CN"/>
        </w:rPr>
      </w:pPr>
    </w:p>
    <w:p>
      <w:pPr>
        <w:pStyle w:val="7"/>
        <w:spacing w:line="360" w:lineRule="auto"/>
        <w:ind w:firstLine="480"/>
        <w:rPr>
          <w:rFonts w:cs="宋体" w:asciiTheme="minorEastAsia" w:hAnsiTheme="minorEastAsia" w:eastAsiaTheme="minorEastAsia"/>
          <w:color w:val="auto"/>
          <w:sz w:val="24"/>
          <w:lang w:val="zh-CN"/>
        </w:rPr>
      </w:pPr>
    </w:p>
    <w:p>
      <w:pPr>
        <w:pStyle w:val="7"/>
        <w:spacing w:line="360" w:lineRule="auto"/>
        <w:ind w:firstLine="480"/>
        <w:rPr>
          <w:rFonts w:cs="宋体" w:asciiTheme="minorEastAsia" w:hAnsiTheme="minorEastAsia" w:eastAsiaTheme="minorEastAsia"/>
          <w:color w:val="auto"/>
          <w:sz w:val="24"/>
          <w:lang w:val="zh-CN"/>
        </w:rPr>
      </w:pP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银行/金融机构名称:_________________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银行/金融机构盖章__________________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法定代表人或负责人签字: __________________ </w:t>
      </w:r>
    </w:p>
    <w:p>
      <w:pPr>
        <w:pStyle w:val="7"/>
        <w:spacing w:line="360" w:lineRule="auto"/>
        <w:ind w:firstLine="480"/>
        <w:rPr>
          <w:rFonts w:cs="宋体" w:asciiTheme="minorEastAsia" w:hAnsiTheme="minorEastAsia" w:eastAsiaTheme="minorEastAsia"/>
          <w:color w:val="auto"/>
          <w:sz w:val="24"/>
          <w:lang w:val="zh-CN"/>
        </w:rPr>
      </w:pPr>
      <w:r>
        <w:rPr>
          <w:rFonts w:hint="eastAsia" w:cs="宋体" w:asciiTheme="minorEastAsia" w:hAnsiTheme="minorEastAsia" w:eastAsiaTheme="minorEastAsia"/>
          <w:color w:val="auto"/>
          <w:sz w:val="24"/>
          <w:lang w:val="zh-CN"/>
        </w:rPr>
        <w:t xml:space="preserve">日期: __________________ </w:t>
      </w:r>
    </w:p>
    <w:p>
      <w:pPr>
        <w:pStyle w:val="7"/>
        <w:spacing w:line="360" w:lineRule="auto"/>
        <w:ind w:firstLine="480"/>
        <w:rPr>
          <w:rFonts w:cs="宋体" w:asciiTheme="minorEastAsia" w:hAnsiTheme="minorEastAsia" w:eastAsiaTheme="minorEastAsia"/>
          <w:color w:val="auto"/>
          <w:sz w:val="24"/>
          <w:lang w:val="zh-CN"/>
        </w:rPr>
        <w:sectPr>
          <w:pgSz w:w="11907" w:h="16840"/>
          <w:pgMar w:top="1418" w:right="1418" w:bottom="1418" w:left="1418" w:header="851" w:footer="992" w:gutter="0"/>
          <w:cols w:space="720" w:num="1"/>
          <w:titlePg/>
          <w:docGrid w:linePitch="312" w:charSpace="0"/>
        </w:sectPr>
      </w:pPr>
    </w:p>
    <w:p>
      <w:pPr>
        <w:spacing w:line="360" w:lineRule="auto"/>
        <w:jc w:val="left"/>
        <w:outlineLvl w:val="1"/>
        <w:rPr>
          <w:rFonts w:cs="宋体" w:asciiTheme="minorEastAsia" w:hAnsiTheme="minorEastAsia" w:eastAsiaTheme="minorEastAsia"/>
          <w:b/>
          <w:color w:val="auto"/>
          <w:sz w:val="24"/>
        </w:rPr>
      </w:pPr>
      <w:bookmarkStart w:id="399" w:name="_Toc455741342"/>
      <w:bookmarkStart w:id="400" w:name="_Toc476558211"/>
      <w:bookmarkStart w:id="401" w:name="_Toc19881879"/>
      <w:r>
        <w:rPr>
          <w:rFonts w:hint="eastAsia" w:cs="宋体" w:asciiTheme="minorEastAsia" w:hAnsiTheme="minorEastAsia" w:eastAsiaTheme="minorEastAsia"/>
          <w:b/>
          <w:color w:val="auto"/>
          <w:sz w:val="24"/>
        </w:rPr>
        <w:t>附件2 项目</w:t>
      </w:r>
      <w:bookmarkEnd w:id="399"/>
      <w:bookmarkEnd w:id="400"/>
      <w:r>
        <w:rPr>
          <w:rFonts w:hint="eastAsia" w:cs="宋体" w:asciiTheme="minorEastAsia" w:hAnsiTheme="minorEastAsia" w:eastAsiaTheme="minorEastAsia"/>
          <w:b/>
          <w:color w:val="auto"/>
          <w:sz w:val="24"/>
        </w:rPr>
        <w:t>服务质量考核及付费</w:t>
      </w:r>
      <w:bookmarkEnd w:id="401"/>
    </w:p>
    <w:p>
      <w:pPr>
        <w:tabs>
          <w:tab w:val="left" w:pos="2170"/>
        </w:tabs>
        <w:spacing w:line="360" w:lineRule="auto"/>
        <w:rPr>
          <w:rFonts w:cs="宋体" w:asciiTheme="minorEastAsia" w:hAnsiTheme="minorEastAsia" w:eastAsiaTheme="minorEastAsia"/>
          <w:b/>
          <w:color w:val="auto"/>
          <w:sz w:val="24"/>
        </w:rPr>
      </w:pPr>
    </w:p>
    <w:p>
      <w:pPr>
        <w:tabs>
          <w:tab w:val="left" w:pos="2170"/>
        </w:tabs>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一、概述</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1、本项目的项目服务质量考核和政府付费是基于《东方市城乡公交企业服务质量考核办法》，针对东方市城乡公交客运服务一体化特许经营项目专设。</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本项目政府付费与乙方的服务质量考核结果挂钩，在本项目合作期间，每2年双方或任何一方有权根据项目实际情况或运营需要，对考核标准进行调整（包括变更、增减等）。调整后的考核标准由双方协商一致并以书面形式确认后执行。</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3、本项目的服务质量考核体系由固定指标和季度指标两部分组成，其中固定指标包括安全指标、发展指标、服务指标、执行政府指令指标，季度指标由东方市交通运输局根据季度重点工作开展需要灵活制定。</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4、本项目政府付费体系由项目资本金回报、融资成本回报、运营补助（含政策性亏损补助）、超额收入回报四部分组成，实际付费总额与服务质量考核结果挂钩。</w:t>
      </w:r>
    </w:p>
    <w:p>
      <w:pPr>
        <w:tabs>
          <w:tab w:val="left" w:pos="2170"/>
        </w:tabs>
        <w:spacing w:line="360" w:lineRule="auto"/>
        <w:ind w:firstLine="480" w:firstLineChars="200"/>
        <w:rPr>
          <w:rFonts w:cs="宋体" w:asciiTheme="minorEastAsia" w:hAnsiTheme="minorEastAsia" w:eastAsiaTheme="minorEastAsia"/>
          <w:color w:val="auto"/>
          <w:sz w:val="24"/>
        </w:rPr>
        <w:sectPr>
          <w:pgSz w:w="11907" w:h="16840"/>
          <w:pgMar w:top="1418" w:right="1418" w:bottom="1418" w:left="1418" w:header="851" w:footer="992" w:gutter="0"/>
          <w:cols w:space="720" w:num="1"/>
          <w:titlePg/>
          <w:docGrid w:linePitch="312" w:charSpace="0"/>
        </w:sectPr>
      </w:pPr>
    </w:p>
    <w:p>
      <w:pPr>
        <w:tabs>
          <w:tab w:val="left" w:pos="2170"/>
        </w:tabs>
        <w:spacing w:line="360" w:lineRule="auto"/>
        <w:ind w:firstLine="480" w:firstLineChars="200"/>
        <w:rPr>
          <w:rFonts w:cs="宋体" w:asciiTheme="minorEastAsia" w:hAnsiTheme="minorEastAsia" w:eastAsiaTheme="minorEastAsia"/>
          <w:color w:val="auto"/>
          <w:sz w:val="24"/>
        </w:rPr>
      </w:pPr>
    </w:p>
    <w:p>
      <w:pPr>
        <w:widowControl/>
        <w:spacing w:line="360" w:lineRule="auto"/>
        <w:jc w:val="left"/>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二、项目服务质量考核体系</w:t>
      </w:r>
    </w:p>
    <w:tbl>
      <w:tblPr>
        <w:tblStyle w:val="23"/>
        <w:tblW w:w="14364"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600"/>
        <w:gridCol w:w="820"/>
        <w:gridCol w:w="2250"/>
        <w:gridCol w:w="5527"/>
        <w:gridCol w:w="104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考核指标及分值</w:t>
            </w:r>
          </w:p>
        </w:tc>
        <w:tc>
          <w:tcPr>
            <w:tcW w:w="260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指标内容</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基础分</w:t>
            </w:r>
          </w:p>
        </w:tc>
        <w:tc>
          <w:tcPr>
            <w:tcW w:w="225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考核方法</w:t>
            </w:r>
          </w:p>
        </w:tc>
        <w:tc>
          <w:tcPr>
            <w:tcW w:w="5527"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评分标准</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考核得分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restart"/>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安全指标（27分）</w:t>
            </w: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企业公交车辆季度交通违章率</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5</w:t>
            </w:r>
          </w:p>
        </w:tc>
        <w:tc>
          <w:tcPr>
            <w:tcW w:w="2250" w:type="dxa"/>
            <w:vMerge w:val="restart"/>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通过检查安全管理台账、开展日常活动检查等方式，计算季度得分</w:t>
            </w: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企业公交车辆季度交通违章率目标值为2%，每增加或减少0.5个百分点，扣或加0.2分，扣完为止。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企业公交车辆季度交通事故率</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6</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企业公交车辆季度交通事故率目标值为2%，每增加或减少0.5个百分点，扣或加0.2分，扣完为止。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企业公交车辆承担同责及以上责任事故死亡人数</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6</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企业公交车辆承担同责及以上责任事故死亡人数为0时得满分，每增加1人扣1分，扣完为止。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企业安全隐患检查整改项目完成率</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5</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企业安全隐患检查整改项目完成率达不到100%的，每减少一个百分点扣0.5分，扣完为止。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企业安全信息及时上报情况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5</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企业未在事故发生后1小时内上报信息的，1起扣0.5分，扣完为止；如因漏报瞒报等情况导致管理部门安全信息倒流的，扣除本项全部分值</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企业发生重特大安全生产责任事故情况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发生重特大安全生产责任事故的，为否决性指标，本大项不得分。</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restart"/>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发展指标（23分）</w:t>
            </w: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线路发展计划完成情况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3</w:t>
            </w:r>
          </w:p>
        </w:tc>
        <w:tc>
          <w:tcPr>
            <w:tcW w:w="2250" w:type="dxa"/>
            <w:vMerge w:val="restart"/>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通过数据采集方式检查企业工作完成情况，计算季度得分</w:t>
            </w: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参照当季度线路发展计划，每少完成1条，减0.5分</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车辆发展计划完成情况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3</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参照当季度车辆发展计划，每少完成1辆，减0.2分</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企业季度运营里程计划完成情况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4</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完成率达不到100%的，每减少一个百分点扣0.5分，扣完为止。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公交分担率发展计划完成情况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4</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完成率达不到100%的，每减少一个百分点扣0.5分，扣完为止。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公交智能化发展情况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4</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根据季度工程推进计划和工作完成情况，酌情加减分，加分不超过1分。</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日常运营信息记录及上报情况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5</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根据日常运营信息记录和上报工作完成情况，酌情加减分，加分不超过1分。若企业财务账目记录出现人为原因的瞒报收入、虚增支出且超过真实值2%的，本项不得分。</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restart"/>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服务指标（25分）</w:t>
            </w: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 xml:space="preserve">企业公交线路首末班正点发车率 </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4</w:t>
            </w:r>
          </w:p>
        </w:tc>
        <w:tc>
          <w:tcPr>
            <w:tcW w:w="2250" w:type="dxa"/>
            <w:vMerge w:val="restart"/>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结合日常工作，进行市场检查、台账检查，智能化系统报表检查，对乘客投诉情况进行统计分析</w:t>
            </w: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每月随机抽查2次，每季度抽查6次，企业公交线路首末班季度正点发车率目标值为95%，每减少或增加1个百分点，扣或加0.2分，扣完为止。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企业公交线路早晚高峰平均出车率</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4</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每月随机抽查2次，每季度抽查6次，企业公交线路早晚高峰季度平均出车率目标值为90%，每减少或增加1个百分点，扣或加0.3分，扣完为止。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公交车辆车容车貌情况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4</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每月随机抽查2次，每季度抽查6次，公交车辆车容车貌不符合要求的每次扣1分，扣完为止。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企业办理群众投诉及时率、办结率和满意率</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5</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企业办理群众投诉季度及时率、办结率和满意率目标值为95%，每减少或增加1个百分点，扣或加0.2分，扣完为止。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企业发生有责曝光事件情况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3</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企业经核实发生有责曝光事件的，每次扣1分；被省级及以上媒体曝光并造成重大影响的，每次扣2分；扣完为止。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企业发生影响公交线路正常营运重大事件情况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5</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企业发生影响公交线路正常运营的重大事件的，每起2分，扣完为止。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restart"/>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执行政府指令指标（15分）</w:t>
            </w: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 xml:space="preserve">企业执行政府因城市建设、重大社会活动 、突发事件、恶劣气候和抢险救灾需要而采取的临时措施情况 </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8</w:t>
            </w:r>
          </w:p>
        </w:tc>
        <w:tc>
          <w:tcPr>
            <w:tcW w:w="2250" w:type="dxa"/>
            <w:vMerge w:val="restart"/>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行业管理部门结合日常工作考核</w:t>
            </w: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企业拒绝执行政府指令，每次扣5分；执行政府指令不到位的，每次酌情扣2-5分；扣完为止。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企业执行公交行业 管理部门下达的公交线路新辟、调整、延伸、延时等指令性任务情况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7</w:t>
            </w:r>
          </w:p>
        </w:tc>
        <w:tc>
          <w:tcPr>
            <w:tcW w:w="2250" w:type="dxa"/>
            <w:vMerge w:val="continue"/>
            <w:vAlign w:val="center"/>
          </w:tcPr>
          <w:p>
            <w:pPr>
              <w:widowControl/>
              <w:spacing w:line="360" w:lineRule="auto"/>
              <w:jc w:val="left"/>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企业拒绝执行政府指令，每次扣5分；执行政府指令不到位的，每次酌情扣2-5分；扣完为止。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restart"/>
            <w:vAlign w:val="center"/>
          </w:tcPr>
          <w:p>
            <w:pPr>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季度指标（10分）</w:t>
            </w: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企业执行的公交行业管理部门下达的季度收入指标完成情况</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3</w:t>
            </w:r>
          </w:p>
        </w:tc>
        <w:tc>
          <w:tcPr>
            <w:tcW w:w="2250" w:type="dxa"/>
            <w:vMerge w:val="restart"/>
            <w:vAlign w:val="center"/>
          </w:tcPr>
          <w:p>
            <w:pPr>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行业管理部门结合日常工作考核</w:t>
            </w: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企业当季度完成的收入指标，每少完成1%扣0.1分，扣完为止。</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Merge w:val="continue"/>
            <w:vAlign w:val="center"/>
          </w:tcPr>
          <w:p>
            <w:pPr>
              <w:widowControl/>
              <w:spacing w:line="360" w:lineRule="auto"/>
              <w:jc w:val="center"/>
              <w:rPr>
                <w:rFonts w:cs="宋体" w:asciiTheme="minorEastAsia" w:hAnsiTheme="minorEastAsia" w:eastAsiaTheme="minorEastAsia"/>
                <w:color w:val="auto"/>
                <w:kern w:val="0"/>
                <w:sz w:val="22"/>
              </w:rPr>
            </w:pPr>
          </w:p>
        </w:tc>
        <w:tc>
          <w:tcPr>
            <w:tcW w:w="2600"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根据季度重点工作需要灵活制定</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7</w:t>
            </w:r>
          </w:p>
        </w:tc>
        <w:tc>
          <w:tcPr>
            <w:tcW w:w="2250" w:type="dxa"/>
            <w:vMerge w:val="continue"/>
            <w:vAlign w:val="center"/>
          </w:tcPr>
          <w:p>
            <w:pPr>
              <w:widowControl/>
              <w:spacing w:line="360" w:lineRule="auto"/>
              <w:jc w:val="center"/>
              <w:rPr>
                <w:rFonts w:cs="宋体" w:asciiTheme="minorEastAsia" w:hAnsiTheme="minorEastAsia" w:eastAsiaTheme="minorEastAsia"/>
                <w:color w:val="auto"/>
                <w:kern w:val="0"/>
                <w:sz w:val="22"/>
              </w:rPr>
            </w:pPr>
          </w:p>
        </w:tc>
        <w:tc>
          <w:tcPr>
            <w:tcW w:w="5527" w:type="dxa"/>
            <w:vAlign w:val="center"/>
          </w:tcPr>
          <w:p>
            <w:pPr>
              <w:widowControl/>
              <w:spacing w:line="360" w:lineRule="auto"/>
              <w:jc w:val="left"/>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根据季度工程推进计划和工作完成情况，酌情加减分，加分不超过2分。</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2127"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合计</w:t>
            </w:r>
          </w:p>
        </w:tc>
        <w:tc>
          <w:tcPr>
            <w:tcW w:w="260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　</w:t>
            </w:r>
          </w:p>
        </w:tc>
        <w:tc>
          <w:tcPr>
            <w:tcW w:w="82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100</w:t>
            </w:r>
          </w:p>
        </w:tc>
        <w:tc>
          <w:tcPr>
            <w:tcW w:w="2250"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　</w:t>
            </w:r>
          </w:p>
        </w:tc>
        <w:tc>
          <w:tcPr>
            <w:tcW w:w="5527" w:type="dxa"/>
            <w:vAlign w:val="center"/>
          </w:tcPr>
          <w:p>
            <w:pPr>
              <w:widowControl/>
              <w:spacing w:line="360" w:lineRule="auto"/>
              <w:jc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rPr>
              <w:t>　</w:t>
            </w:r>
          </w:p>
        </w:tc>
        <w:tc>
          <w:tcPr>
            <w:tcW w:w="1040" w:type="dxa"/>
            <w:vAlign w:val="center"/>
          </w:tcPr>
          <w:p>
            <w:pPr>
              <w:widowControl/>
              <w:spacing w:line="360" w:lineRule="auto"/>
              <w:jc w:val="center"/>
              <w:rPr>
                <w:rFonts w:cs="宋体" w:asciiTheme="minorEastAsia" w:hAnsiTheme="minorEastAsia" w:eastAsiaTheme="minorEastAsia"/>
                <w:color w:val="auto"/>
                <w:kern w:val="0"/>
                <w:sz w:val="22"/>
              </w:rPr>
            </w:pPr>
          </w:p>
        </w:tc>
      </w:tr>
    </w:tbl>
    <w:p>
      <w:pPr>
        <w:tabs>
          <w:tab w:val="left" w:pos="2170"/>
        </w:tabs>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color w:val="auto"/>
          <w:sz w:val="24"/>
        </w:rPr>
        <w:t>注：具体考核标准释义参照《东方市城乡公交企业服务质量考核办法》。在本项目合作期间，每2年双方或任何一方有权根据项目实际情况或运营需要，对上述考核标准进行调整（包括变更、增减等）。调整后的考核标准由双方协商一致并以书面形式确认后执行。</w:t>
      </w:r>
    </w:p>
    <w:p>
      <w:pPr>
        <w:tabs>
          <w:tab w:val="left" w:pos="2170"/>
        </w:tabs>
        <w:spacing w:line="360" w:lineRule="auto"/>
        <w:rPr>
          <w:rFonts w:cs="宋体" w:asciiTheme="minorEastAsia" w:hAnsiTheme="minorEastAsia" w:eastAsiaTheme="minorEastAsia"/>
          <w:b/>
          <w:color w:val="auto"/>
          <w:sz w:val="24"/>
        </w:rPr>
        <w:sectPr>
          <w:headerReference r:id="rId16" w:type="first"/>
          <w:headerReference r:id="rId15" w:type="default"/>
          <w:pgSz w:w="11907" w:h="16840"/>
          <w:pgMar w:top="1418" w:right="1418" w:bottom="1418" w:left="1418" w:header="851" w:footer="992" w:gutter="0"/>
          <w:cols w:space="720" w:num="1"/>
          <w:titlePg/>
          <w:docGrid w:linePitch="312" w:charSpace="0"/>
        </w:sectPr>
      </w:pPr>
    </w:p>
    <w:p>
      <w:pPr>
        <w:tabs>
          <w:tab w:val="left" w:pos="2170"/>
        </w:tabs>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（四）考核办法</w:t>
      </w:r>
    </w:p>
    <w:p>
      <w:pPr>
        <w:tabs>
          <w:tab w:val="left" w:pos="2170"/>
        </w:tabs>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服务质量考核采用打分制，考核结果实行扣分和加分并用的得分制，基本分为100分（其中：固定指标考核结果占90分，季度指标考核结果占10分）</w:t>
      </w:r>
    </w:p>
    <w:p>
      <w:pPr>
        <w:tabs>
          <w:tab w:val="left" w:pos="0"/>
        </w:tabs>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服务质量考核每季度开展一次，考核主管部门应当在每季度开始的15日之内，完成上季度公交企业服务质量考核工作，并在每季度末前确定并下达下季度固定指标考核值和季度指标具体内容（含指标值）。</w:t>
      </w:r>
    </w:p>
    <w:p>
      <w:pPr>
        <w:tabs>
          <w:tab w:val="left" w:pos="0"/>
        </w:tabs>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考核部门通过现场检查、技术监控以及乘客委员会成员和行风监督员检查记录、新闻媒体曝光、群众举报投诉等途径，对乙方服务质量进行季度考核。</w:t>
      </w:r>
    </w:p>
    <w:p>
      <w:pPr>
        <w:tabs>
          <w:tab w:val="left" w:pos="0"/>
        </w:tabs>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考核部门可以组织相关单位或者委托中介机构，进行检查、调查、采集数据等工作。</w:t>
      </w:r>
    </w:p>
    <w:p>
      <w:pPr>
        <w:tabs>
          <w:tab w:val="left" w:pos="0"/>
        </w:tabs>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乙方应当积极、主动配合考核工作。</w:t>
      </w:r>
    </w:p>
    <w:p>
      <w:pPr>
        <w:tabs>
          <w:tab w:val="left" w:pos="0"/>
        </w:tabs>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城乡公交企业对季度考核结果有异议的，可以自收到考核结果后的5个工作日内向市交通管理总站提出书面复核申请，逾期未提出书面申请的，视为无异议。市交通管理总站收到复核申请后，应当在5个工作日内完成复核并将复核意见反馈相关公交企业。</w:t>
      </w:r>
    </w:p>
    <w:p>
      <w:pPr>
        <w:tabs>
          <w:tab w:val="left" w:pos="0"/>
        </w:tabs>
        <w:adjustRightInd w:val="0"/>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城乡公交企业对复核意见仍有异议的，可以自收到复核意见后的5个工作日内，向市交通运输局提出书面申诉，逾期未提出书面申诉的，视为接受复核意见。市交通运输局收到申诉后，应在10个工作日内完成裁定并将裁定决定反馈相关公交企业。考核主管部门的裁定决定为最终结果。</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考核工作人员在执行本办法中有以权谋私、徇私舞弊等违法乱纪行为，由其所在单位给予行政处分，构成犯罪的，依法追究刑事责任。城乡公交企业存在重大隐瞒收入、虚增支出（超过实际值50%及以上）等情况的，主管部门有权全额扣除当年度应发补贴资金，并依法对城乡公交企业给予行政处罚，构成犯罪的，依法追究刑事责任。对于查证企业瞒报行为所产生的支出，由社会资本方全额负责；对于企业瞒报的收入部分，政府应全额追缴，且对社会资本作出处罚，处罚金额以瞒报部分金额的0.2倍为准。</w:t>
      </w:r>
    </w:p>
    <w:p>
      <w:pPr>
        <w:tabs>
          <w:tab w:val="left" w:pos="2170"/>
        </w:tabs>
        <w:spacing w:line="360" w:lineRule="auto"/>
        <w:ind w:firstLine="482" w:firstLineChars="200"/>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三、项目政府付费体系</w:t>
      </w:r>
    </w:p>
    <w:p>
      <w:pPr>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（一）付费内容</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（1）特许经营企业达到正常服务要求情况下的付费内容</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项目政府付费体系包含项目资本金回报、融资成本回报、运营补助（含政策性亏损补助）、超额收入回报四方面，补助实际支付金额和比例需结合服务质量考核结果确定。</w:t>
      </w:r>
    </w:p>
    <w:p>
      <w:pPr>
        <w:tabs>
          <w:tab w:val="left" w:pos="2170"/>
        </w:tabs>
        <w:spacing w:line="360" w:lineRule="auto"/>
        <w:ind w:firstLine="482" w:firstLineChars="200"/>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项目资本金回报：</w:t>
      </w:r>
      <w:r>
        <w:rPr>
          <w:rFonts w:hint="eastAsia" w:cs="宋体" w:asciiTheme="minorEastAsia" w:hAnsiTheme="minorEastAsia" w:eastAsiaTheme="minorEastAsia"/>
          <w:color w:val="auto"/>
          <w:sz w:val="24"/>
        </w:rPr>
        <w:t>是指针对社会资本（项目公司）投入的初始项目资本金（不低于初期投资20%的金额）的投资回报。按照招标确定的【】%的年回报利率，在特许经营期内，采用“初始项目资本金×年回报率”的方式测算每年固定的付费金额，并结合服务质量考核情况，分季度和社会资本方结算。</w:t>
      </w:r>
    </w:p>
    <w:p>
      <w:pPr>
        <w:tabs>
          <w:tab w:val="left" w:pos="2170"/>
        </w:tabs>
        <w:spacing w:line="360" w:lineRule="auto"/>
        <w:ind w:firstLine="482" w:firstLineChars="200"/>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融资成本回报：</w:t>
      </w:r>
      <w:r>
        <w:rPr>
          <w:rFonts w:hint="eastAsia" w:cs="宋体" w:asciiTheme="minorEastAsia" w:hAnsiTheme="minorEastAsia" w:eastAsiaTheme="minorEastAsia"/>
          <w:color w:val="auto"/>
          <w:sz w:val="24"/>
        </w:rPr>
        <w:t>以扣除项目资本金以外的项目初期投资金额为基数，采用招标确定的【】%的融资成本回报率，按“外部融资金额×融资成本回报率”的方式，确定特许经营期内每年固定的回报金额，并结合服务质量考核情况，分季度和社会资本方结算。</w:t>
      </w:r>
    </w:p>
    <w:p>
      <w:pPr>
        <w:tabs>
          <w:tab w:val="left" w:pos="2170"/>
        </w:tabs>
        <w:spacing w:line="360" w:lineRule="auto"/>
        <w:ind w:firstLine="482" w:firstLineChars="200"/>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运营补助：</w:t>
      </w:r>
      <w:r>
        <w:rPr>
          <w:rFonts w:hint="eastAsia" w:cs="宋体" w:asciiTheme="minorEastAsia" w:hAnsiTheme="minorEastAsia" w:eastAsiaTheme="minorEastAsia"/>
          <w:color w:val="auto"/>
          <w:sz w:val="24"/>
        </w:rPr>
        <w:t>包含两部分，政策性亏损补助以及运营亏损补贴。其中，政策性亏损补助是指对企业实行低票价、减免票、承担政府指令性任务等形成的政策性亏损，经年度审计后，根据实际缺口额，结合服务质量考核进行支付；运营亏损补贴是以《实施方案》测算的年度补助金额为基数，结合经招标确定的可控成本下浮率（【】%）、每公里可变成本下浮率（【】%）、车辆购买报价下浮率（8米）（【】%）、车辆购买报价下浮率（6米）（【】%）等下浮率，确定特许经营期内每年固定的回报金额。运营补助需结合服务质量考核情况，分季度和社会资本方结算。特许经营期限内，运营补助接受调价机制调整，并需结合服务质量考核结果进行支付。</w:t>
      </w:r>
    </w:p>
    <w:p>
      <w:pPr>
        <w:tabs>
          <w:tab w:val="left" w:pos="2170"/>
        </w:tabs>
        <w:spacing w:line="360" w:lineRule="auto"/>
        <w:ind w:firstLine="482" w:firstLineChars="200"/>
        <w:rPr>
          <w:rFonts w:cs="宋体" w:asciiTheme="minorEastAsia" w:hAnsiTheme="minorEastAsia" w:eastAsiaTheme="minorEastAsia"/>
          <w:color w:val="auto"/>
          <w:sz w:val="24"/>
        </w:rPr>
      </w:pPr>
      <w:r>
        <w:rPr>
          <w:rFonts w:hint="eastAsia" w:cs="宋体" w:asciiTheme="minorEastAsia" w:hAnsiTheme="minorEastAsia" w:eastAsiaTheme="minorEastAsia"/>
          <w:b/>
          <w:color w:val="auto"/>
          <w:sz w:val="24"/>
        </w:rPr>
        <w:t>超额收入回报：</w:t>
      </w:r>
      <w:r>
        <w:rPr>
          <w:rFonts w:hint="eastAsia" w:cs="宋体" w:asciiTheme="minorEastAsia" w:hAnsiTheme="minorEastAsia" w:eastAsiaTheme="minorEastAsia"/>
          <w:color w:val="auto"/>
          <w:sz w:val="24"/>
        </w:rPr>
        <w:t>若经审计后，特许经营企业实际完成的年度总收入超过政府方下达的年度收入基数（无则按照《实施方案》测算的年度收入），则对超出的部分与政府进行收益共享，具体共享比例为政府方90%，企业方10%，企业方的收益归企业所有，政府方的收益优先用于抵减次年度补助支出，抵减后多出部分则纳入国库管理。超额收入回报需要满足服务质量考核标准，在各季度服务质量考核平均分达到“合格”及以上水平时才予以支付。</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（2）特许经营期内新增建设内容及运营服务内容的回报</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对于特许经营期限内需要调整线路及运力的，应优先采用优化线路、加密班次等方式提升服务能力，尽量使用现有运力满足服务标准。在服务标准处于实施方案确定的当年最低值及最高值区间（本项目最低值的运营公里数为</w:t>
      </w:r>
      <w:r>
        <w:rPr>
          <w:rFonts w:hint="eastAsia" w:cs="宋体" w:asciiTheme="minorEastAsia" w:hAnsiTheme="minorEastAsia" w:eastAsiaTheme="minorEastAsia"/>
          <w:color w:val="auto"/>
          <w:sz w:val="24"/>
          <w:u w:val="single"/>
        </w:rPr>
        <w:t>1627</w:t>
      </w:r>
      <w:r>
        <w:rPr>
          <w:rFonts w:hint="eastAsia" w:cs="宋体" w:asciiTheme="minorEastAsia" w:hAnsiTheme="minorEastAsia" w:eastAsiaTheme="minorEastAsia"/>
          <w:color w:val="auto"/>
          <w:sz w:val="24"/>
        </w:rPr>
        <w:t>万公里，最高值为</w:t>
      </w:r>
      <w:r>
        <w:rPr>
          <w:rFonts w:hint="eastAsia" w:cs="宋体" w:asciiTheme="minorEastAsia" w:hAnsiTheme="minorEastAsia" w:eastAsiaTheme="minorEastAsia"/>
          <w:color w:val="auto"/>
          <w:sz w:val="24"/>
          <w:u w:val="single"/>
        </w:rPr>
        <w:t>2179</w:t>
      </w:r>
      <w:r>
        <w:rPr>
          <w:rFonts w:hint="eastAsia" w:cs="宋体" w:asciiTheme="minorEastAsia" w:hAnsiTheme="minorEastAsia" w:eastAsiaTheme="minorEastAsia"/>
          <w:color w:val="auto"/>
          <w:sz w:val="24"/>
        </w:rPr>
        <w:t>万公里）的调整，新增部分的回报按照方案测算的当年“每公里可变成本”进行回报（每公里可变成本包括燃料(电力)消耗费、保修费、轮胎消耗费、保险与事故损失费、安全费和其他直接运营费，不包括人员工资及工资性支出、固定资产折旧费；对于现有运力已经无法满足运营需要，且已经超出服务标准最高值（</w:t>
      </w:r>
      <w:r>
        <w:rPr>
          <w:rFonts w:hint="eastAsia" w:cs="宋体" w:asciiTheme="minorEastAsia" w:hAnsiTheme="minorEastAsia" w:eastAsiaTheme="minorEastAsia"/>
          <w:color w:val="auto"/>
          <w:sz w:val="24"/>
          <w:u w:val="single"/>
        </w:rPr>
        <w:t>2197</w:t>
      </w:r>
      <w:r>
        <w:rPr>
          <w:rFonts w:hint="eastAsia" w:cs="宋体" w:asciiTheme="minorEastAsia" w:hAnsiTheme="minorEastAsia" w:eastAsiaTheme="minorEastAsia"/>
          <w:color w:val="auto"/>
          <w:sz w:val="24"/>
        </w:rPr>
        <w:t>万公里），确需新开线路、新购车辆等新增建设投资的，应参照中标价格进行重新计算后纳入回报。</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（3）特许经营企业未完成年度最低运营公里数的回报</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若特许经营企业未完成年度服务结果，在未取得政府方同意的前提下，特许经营企业实际服务结果在最低值以下，即年度运营公里数少于</w:t>
      </w:r>
      <w:r>
        <w:rPr>
          <w:rFonts w:hint="eastAsia" w:cs="宋体" w:asciiTheme="minorEastAsia" w:hAnsiTheme="minorEastAsia" w:eastAsiaTheme="minorEastAsia"/>
          <w:color w:val="auto"/>
          <w:sz w:val="24"/>
          <w:u w:val="single"/>
        </w:rPr>
        <w:t>1627</w:t>
      </w:r>
      <w:r>
        <w:rPr>
          <w:rFonts w:hint="eastAsia" w:cs="宋体" w:asciiTheme="minorEastAsia" w:hAnsiTheme="minorEastAsia" w:eastAsiaTheme="minorEastAsia"/>
          <w:color w:val="auto"/>
          <w:sz w:val="24"/>
        </w:rPr>
        <w:t>万公里，政府方有权扣除减少运营公里数乘以每公里可变成本补贴，同时，在服务质量考核中，做扣分处理。</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（4）回报水平追加调整机制</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若发生政府方要求的，不同于《实施方案》服务内容的服务要求，如校车接送等，在不影响项目正常运营的前提下，优先保障校车接送，费用可按每公里可变成本进行补贴。</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（5）回报水平的调整审核机制</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在特许经营期内，发生任何不同于中标确定的服务标准的调整内容，例如优化线网、调整发班、新购车辆、新增建设内容及运营服务内容的，均应先由项目公司向市交通运输局提出申请，市交通运输局审核同意后参照中标价格计算相关费用给项目公司，并报市政府批准，获批后方能实施，并通过签订补充协议的方式纳入年度付费。</w:t>
      </w:r>
    </w:p>
    <w:p>
      <w:pPr>
        <w:tabs>
          <w:tab w:val="left" w:pos="2170"/>
        </w:tabs>
        <w:spacing w:line="360" w:lineRule="auto"/>
        <w:ind w:firstLine="480" w:firstLineChars="200"/>
        <w:rPr>
          <w:rFonts w:cs="宋体" w:asciiTheme="minorEastAsia" w:hAnsiTheme="minorEastAsia" w:eastAsiaTheme="minorEastAsia"/>
          <w:color w:val="auto"/>
          <w:sz w:val="24"/>
        </w:rPr>
        <w:sectPr>
          <w:pgSz w:w="11907" w:h="16840"/>
          <w:pgMar w:top="1418" w:right="1418" w:bottom="1418" w:left="1418" w:header="851" w:footer="992" w:gutter="0"/>
          <w:cols w:space="720" w:num="1"/>
          <w:titlePg/>
          <w:docGrid w:linePitch="312" w:charSpace="0"/>
        </w:sectPr>
      </w:pPr>
    </w:p>
    <w:p>
      <w:pPr>
        <w:tabs>
          <w:tab w:val="left" w:pos="2170"/>
        </w:tabs>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（二）计算方式</w:t>
      </w:r>
    </w:p>
    <w:p>
      <w:pPr>
        <w:tabs>
          <w:tab w:val="left" w:pos="2170"/>
        </w:tabs>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具体计算公式如下：</w:t>
      </w:r>
    </w:p>
    <w:p>
      <w:pPr>
        <w:widowControl/>
        <w:adjustRightInd w:val="0"/>
        <w:snapToGrid w:val="0"/>
        <w:spacing w:line="360" w:lineRule="auto"/>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企业年度应补贴资金=企业各季度应补贴资金总额+年度超额收入回报</w:t>
      </w:r>
    </w:p>
    <w:p>
      <w:pPr>
        <w:widowControl/>
        <w:adjustRightInd w:val="0"/>
        <w:snapToGrid w:val="0"/>
        <w:spacing w:line="360" w:lineRule="auto"/>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企业各季度应补贴资金=（年度项目资本金回报+年度融资成本回报+年度运营补助）÷4×当季度考核后的支付比例</w:t>
      </w:r>
    </w:p>
    <w:p>
      <w:pPr>
        <w:widowControl/>
        <w:adjustRightInd w:val="0"/>
        <w:snapToGrid w:val="0"/>
        <w:spacing w:line="360" w:lineRule="auto"/>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企业年度超额收入回报=年度超额完成的收入×10%</w:t>
      </w:r>
    </w:p>
    <w:p>
      <w:pPr>
        <w:widowControl/>
        <w:adjustRightInd w:val="0"/>
        <w:snapToGrid w:val="0"/>
        <w:spacing w:line="360" w:lineRule="auto"/>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其中，企业年度超额收入回报需满足年度服务质量考核综合等级达到“合格”及以上，否则不予支付，年度服务质量考核综合等级由各季度服务质量考核得分的平均分确定。</w:t>
      </w:r>
    </w:p>
    <w:p>
      <w:pPr>
        <w:widowControl/>
        <w:adjustRightInd w:val="0"/>
        <w:snapToGrid w:val="0"/>
        <w:spacing w:line="360" w:lineRule="auto"/>
        <w:ind w:firstLine="480" w:firstLineChars="200"/>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各季度考核后的支付比例由各季度考核分值确定：公交企业考核结果≥95分的，给予其当季度应补贴资金额的100%；90≤考核结果&lt;95分的,给予其当季度应补贴资金额的95%；85≤考核结果&lt;90分的，给予其当季度应补贴资金额的90%；80≤考核结果&lt;85分的,给予其当季度应补贴资金额的85%，并由考核主管部门向其上级管理部门发出给予城乡公交企业主要负责人诫勉谈话的建议书；考核结果&lt;80分的，考核主管部门有权扣除当季度应补贴资金发放，城乡公交企业出现严重违约行为或造成重大社会影响的，考核主管部门还可视情况提取运营期履约保证金。</w:t>
      </w:r>
    </w:p>
    <w:p>
      <w:pPr>
        <w:widowControl/>
        <w:adjustRightInd w:val="0"/>
        <w:snapToGrid w:val="0"/>
        <w:spacing w:line="360" w:lineRule="auto"/>
        <w:jc w:val="center"/>
        <w:textAlignment w:val="baseline"/>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服务质量考核结果及支付比例</w:t>
      </w:r>
    </w:p>
    <w:tbl>
      <w:tblPr>
        <w:tblStyle w:val="23"/>
        <w:tblW w:w="9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5"/>
        <w:gridCol w:w="283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4165"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季度考核得分</w:t>
            </w:r>
          </w:p>
        </w:tc>
        <w:tc>
          <w:tcPr>
            <w:tcW w:w="283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考核结果</w:t>
            </w:r>
          </w:p>
        </w:tc>
        <w:tc>
          <w:tcPr>
            <w:tcW w:w="225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季度总支付比例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4165"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大于95分（含）</w:t>
            </w:r>
          </w:p>
        </w:tc>
        <w:tc>
          <w:tcPr>
            <w:tcW w:w="283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优秀</w:t>
            </w:r>
          </w:p>
        </w:tc>
        <w:tc>
          <w:tcPr>
            <w:tcW w:w="225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4165"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90分（含）-95分</w:t>
            </w:r>
          </w:p>
        </w:tc>
        <w:tc>
          <w:tcPr>
            <w:tcW w:w="283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良好</w:t>
            </w:r>
          </w:p>
        </w:tc>
        <w:tc>
          <w:tcPr>
            <w:tcW w:w="225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4165"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85分（含）-90分</w:t>
            </w:r>
          </w:p>
        </w:tc>
        <w:tc>
          <w:tcPr>
            <w:tcW w:w="283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合格</w:t>
            </w:r>
          </w:p>
        </w:tc>
        <w:tc>
          <w:tcPr>
            <w:tcW w:w="225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4165"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80分（含）-85分</w:t>
            </w:r>
          </w:p>
        </w:tc>
        <w:tc>
          <w:tcPr>
            <w:tcW w:w="283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基本合格</w:t>
            </w:r>
          </w:p>
        </w:tc>
        <w:tc>
          <w:tcPr>
            <w:tcW w:w="225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4165"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小于80分</w:t>
            </w:r>
          </w:p>
        </w:tc>
        <w:tc>
          <w:tcPr>
            <w:tcW w:w="283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不合格</w:t>
            </w:r>
          </w:p>
        </w:tc>
        <w:tc>
          <w:tcPr>
            <w:tcW w:w="2256" w:type="dxa"/>
            <w:vAlign w:val="center"/>
          </w:tcPr>
          <w:p>
            <w:pPr>
              <w:widowControl/>
              <w:adjustRightInd w:val="0"/>
              <w:snapToGrid w:val="0"/>
              <w:spacing w:line="360" w:lineRule="auto"/>
              <w:jc w:val="center"/>
              <w:textAlignment w:val="baseline"/>
              <w:rPr>
                <w:rFonts w:cs="宋体" w:asciiTheme="minorEastAsia" w:hAnsiTheme="minorEastAsia" w:eastAsiaTheme="minorEastAsia"/>
                <w:color w:val="auto"/>
                <w:kern w:val="0"/>
                <w:sz w:val="24"/>
              </w:rPr>
            </w:pPr>
            <w:r>
              <w:rPr>
                <w:rFonts w:hint="eastAsia" w:cs="宋体" w:asciiTheme="minorEastAsia" w:hAnsiTheme="minorEastAsia" w:eastAsiaTheme="minorEastAsia"/>
                <w:color w:val="auto"/>
                <w:kern w:val="0"/>
                <w:sz w:val="24"/>
              </w:rPr>
              <w:t>0</w:t>
            </w:r>
          </w:p>
        </w:tc>
      </w:tr>
    </w:tbl>
    <w:p>
      <w:pPr>
        <w:tabs>
          <w:tab w:val="left" w:pos="2170"/>
        </w:tabs>
        <w:spacing w:line="360" w:lineRule="auto"/>
        <w:ind w:firstLine="420" w:firstLineChars="175"/>
        <w:rPr>
          <w:rFonts w:cs="宋体" w:asciiTheme="minorEastAsia" w:hAnsiTheme="minorEastAsia" w:eastAsiaTheme="minorEastAsia"/>
          <w:color w:val="auto"/>
          <w:sz w:val="24"/>
        </w:rPr>
      </w:pPr>
    </w:p>
    <w:p>
      <w:pPr>
        <w:tabs>
          <w:tab w:val="left" w:pos="2170"/>
        </w:tabs>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（二）调价机制</w:t>
      </w:r>
    </w:p>
    <w:p>
      <w:pPr>
        <w:tabs>
          <w:tab w:val="left" w:pos="2170"/>
        </w:tabs>
        <w:snapToGrid w:val="0"/>
        <w:spacing w:line="360" w:lineRule="auto"/>
        <w:ind w:firstLine="420" w:firstLineChars="175"/>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为本项目城乡公交客运服务票价、运营补助及每公里可变成本补贴设置调价机制。</w:t>
      </w:r>
    </w:p>
    <w:p>
      <w:pPr>
        <w:tabs>
          <w:tab w:val="left" w:pos="2170"/>
        </w:tabs>
        <w:snapToGrid w:val="0"/>
        <w:spacing w:line="360" w:lineRule="auto"/>
        <w:ind w:firstLine="422" w:firstLineChars="175"/>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1.票价调价机制</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以年度为周期，根据价格调整公式，定期进行对城市公交、城乡公交票价</w:t>
      </w:r>
      <w:r>
        <w:rPr>
          <w:rFonts w:hint="eastAsia" w:cs="宋体" w:asciiTheme="minorEastAsia" w:hAnsiTheme="minorEastAsia" w:eastAsiaTheme="minorEastAsia"/>
          <w:b/>
          <w:color w:val="auto"/>
          <w:sz w:val="24"/>
          <w:szCs w:val="24"/>
        </w:rPr>
        <w:t>分别进行</w:t>
      </w:r>
      <w:r>
        <w:rPr>
          <w:rFonts w:hint="eastAsia" w:cs="宋体" w:asciiTheme="minorEastAsia" w:hAnsiTheme="minorEastAsia" w:eastAsiaTheme="minorEastAsia"/>
          <w:color w:val="auto"/>
          <w:sz w:val="24"/>
          <w:szCs w:val="24"/>
        </w:rPr>
        <w:t>测算调整。</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城乡公交客运服务票价调整公式为：</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077" o:spt="75" type="#_x0000_t75" style="height:20.05pt;width:70.5pt;" filled="f" o:preferrelative="t" stroked="f" coordsize="21600,21600">
            <v:path/>
            <v:fill on="f" focussize="0,0"/>
            <v:stroke on="f" joinstyle="miter"/>
            <v:imagedata r:id="rId60"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078" o:spt="75" type="#_x0000_t75" style="height:20.8pt;width:70.5pt;" filled="f" o:preferrelative="t" stroked="f" coordsize="21600,21600">
            <v:path/>
            <v:fill on="f" focussize="0,0"/>
            <v:stroke on="f" joinstyle="miter"/>
            <v:imagedata r:id="rId60" o:title=""/>
            <o:lock v:ext="edit" aspectratio="t"/>
            <w10:wrap type="none"/>
            <w10:anchorlock/>
          </v:shape>
        </w:pict>
      </w:r>
      <w:r>
        <w:rPr>
          <w:rFonts w:hint="eastAsia" w:cs="宋体" w:asciiTheme="minorEastAsia" w:hAnsiTheme="minorEastAsia" w:eastAsiaTheme="minorEastAsia"/>
          <w:color w:val="auto"/>
          <w:sz w:val="24"/>
          <w:szCs w:val="24"/>
        </w:rPr>
        <w:fldChar w:fldCharType="end"/>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其中，</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079" o:spt="75" type="#_x0000_t75" style="height:20.05pt;width:11.9pt;" filled="f" o:preferrelative="t" stroked="f" coordsize="21600,21600">
            <v:path/>
            <v:fill on="f" focussize="0,0"/>
            <v:stroke on="f" joinstyle="miter"/>
            <v:imagedata r:id="rId61"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080" o:spt="75" type="#_x0000_t75" style="height:20.8pt;width:11.9pt;" filled="f" o:preferrelative="t" stroked="f" coordsize="21600,21600">
            <v:path/>
            <v:fill on="f" focussize="0,0"/>
            <v:stroke on="f" joinstyle="miter"/>
            <v:imagedata r:id="rId61"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为第n年城乡公交客运（城市公交、城乡公交、镇村公交、旅游公交）调整后的平均票价；</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081" o:spt="75" type="#_x0000_t75" style="height:20.05pt;width:23pt;" filled="f" o:preferrelative="t" stroked="f" coordsize="21600,21600">
            <v:path/>
            <v:fill on="f" focussize="0,0"/>
            <v:stroke on="f" joinstyle="miter"/>
            <v:imagedata r:id="rId62"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082" o:spt="75" type="#_x0000_t75" style="height:20.8pt;width:23pt;" filled="f" o:preferrelative="t" stroked="f" coordsize="21600,21600">
            <v:path/>
            <v:fill on="f" focussize="0,0"/>
            <v:stroke on="f" joinstyle="miter"/>
            <v:imagedata r:id="rId62"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为第n-1年城乡公交客运（城市公交、城乡公交、镇村公交、旅游公交）实际平均票价；</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0"/>
        </w:rPr>
        <w:pict>
          <v:shape id="_x0000_i1083" o:spt="75" type="#_x0000_t75" style="height:20.05pt;width:8.9pt;" filled="f" o:preferrelative="t" stroked="f" coordsize="21600,21600">
            <v:path/>
            <v:fill on="f" focussize="0,0"/>
            <v:stroke on="f" joinstyle="miter"/>
            <v:imagedata r:id="rId63"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0"/>
        </w:rPr>
        <w:pict>
          <v:shape id="_x0000_i1084" o:spt="75" type="#_x0000_t75" style="height:20.8pt;width:8.9pt;" filled="f" o:preferrelative="t" stroked="f" coordsize="21600,21600">
            <v:path/>
            <v:fill on="f" focussize="0,0"/>
            <v:stroke on="f" joinstyle="miter"/>
            <v:imagedata r:id="rId63"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为调价系数，</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085" o:spt="75" type="#_x0000_t75" style="height:20.05pt;width:73.5pt;" filled="f" o:preferrelative="t" stroked="f" coordsize="21600,21600">
            <v:path/>
            <v:fill on="f" focussize="0,0"/>
            <v:stroke on="f" joinstyle="miter"/>
            <v:imagedata r:id="rId64"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086" o:spt="75" type="#_x0000_t75" style="height:20.8pt;width:73.5pt;" filled="f" o:preferrelative="t" stroked="f" coordsize="21600,21600">
            <v:path/>
            <v:fill on="f" focussize="0,0"/>
            <v:stroke on="f" joinstyle="miter"/>
            <v:imagedata r:id="rId64"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087" o:spt="75" type="#_x0000_t75" style="height:20.05pt;width:48.25pt;" filled="f" o:preferrelative="t" stroked="f" coordsize="21600,21600">
            <v:path/>
            <v:fill on="f" focussize="0,0"/>
            <v:stroke on="f" joinstyle="miter"/>
            <v:imagedata r:id="rId65"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088" o:spt="75" type="#_x0000_t75" style="height:20.8pt;width:48.25pt;" filled="f" o:preferrelative="t" stroked="f" coordsize="21600,21600">
            <v:path/>
            <v:fill on="f" focussize="0,0"/>
            <v:stroke on="f" joinstyle="miter"/>
            <v:imagedata r:id="rId65"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为东方市统计局公布的第n-1年人均可支配收入除以第n-2年时人均可支配收入。</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调价系数</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089" o:spt="75" type="#_x0000_t75" style="height:20.05pt;width:188.55pt;" filled="f" o:preferrelative="t" stroked="f" coordsize="21600,21600">
            <v:path/>
            <v:fill on="f" focussize="0,0"/>
            <v:stroke on="f" joinstyle="miter"/>
            <v:imagedata r:id="rId66"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090" o:spt="75" type="#_x0000_t75" style="height:20.8pt;width:188.55pt;" filled="f" o:preferrelative="t" stroked="f" coordsize="21600,21600">
            <v:path/>
            <v:fill on="f" focussize="0,0"/>
            <v:stroke on="f" joinstyle="miter"/>
            <v:imagedata r:id="rId66" o:title=""/>
            <o:lock v:ext="edit" aspectratio="t"/>
            <w10:wrap type="none"/>
            <w10:anchorlock/>
          </v:shape>
        </w:pict>
      </w:r>
      <w:r>
        <w:rPr>
          <w:rFonts w:hint="eastAsia" w:cs="宋体" w:asciiTheme="minorEastAsia" w:hAnsiTheme="minorEastAsia" w:eastAsiaTheme="minorEastAsia"/>
          <w:color w:val="auto"/>
          <w:sz w:val="24"/>
          <w:szCs w:val="24"/>
        </w:rPr>
        <w:fldChar w:fldCharType="end"/>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其中，</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0"/>
        </w:rPr>
        <w:pict>
          <v:shape id="_x0000_i1091" o:spt="75" type="#_x0000_t75" style="height:20.05pt;width:7.4pt;" filled="f" o:preferrelative="t" stroked="f" coordsize="21600,21600">
            <v:path/>
            <v:fill on="f" focussize="0,0"/>
            <v:stroke on="f" joinstyle="miter"/>
            <v:imagedata r:id="rId67"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0"/>
        </w:rPr>
        <w:pict>
          <v:shape id="_x0000_i1092" o:spt="75" type="#_x0000_t75" style="height:20.8pt;width:7.4pt;" filled="f" o:preferrelative="t" stroked="f" coordsize="21600,21600">
            <v:path/>
            <v:fill on="f" focussize="0,0"/>
            <v:stroke on="f" joinstyle="miter"/>
            <v:imagedata r:id="rId67"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为扣除人工费用、动力费用以外的其他费用在项目公司运营成本构成中所占的比例，取值30%；</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0"/>
        </w:rPr>
        <w:pict>
          <v:shape id="_x0000_i1093" o:spt="75" type="#_x0000_t75" style="height:20.05pt;width:6.7pt;" filled="f" o:preferrelative="t" stroked="f" coordsize="21600,21600">
            <v:path/>
            <v:fill on="f" focussize="0,0"/>
            <v:stroke on="f" joinstyle="miter"/>
            <v:imagedata r:id="rId68"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0"/>
        </w:rPr>
        <w:pict>
          <v:shape id="_x0000_i1094" o:spt="75" type="#_x0000_t75" style="height:20.8pt;width:6.7pt;" filled="f" o:preferrelative="t" stroked="f" coordsize="21600,21600">
            <v:path/>
            <v:fill on="f" focussize="0,0"/>
            <v:stroke on="f" joinstyle="miter"/>
            <v:imagedata r:id="rId68"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为动力费用在项目公司运营成本构成中所占的比例，取值20%；</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0"/>
        </w:rPr>
        <w:pict>
          <v:shape id="_x0000_i1095" o:spt="75" type="#_x0000_t75" style="height:20.05pt;width:5.95pt;" filled="f" o:preferrelative="t" stroked="f" coordsize="21600,21600">
            <v:path/>
            <v:fill on="f" focussize="0,0"/>
            <v:stroke on="f" joinstyle="miter"/>
            <v:imagedata r:id="rId69"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0"/>
        </w:rPr>
        <w:pict>
          <v:shape id="_x0000_i1096" o:spt="75" type="#_x0000_t75" style="height:20.8pt;width:5.95pt;" filled="f" o:preferrelative="t" stroked="f" coordsize="21600,21600">
            <v:path/>
            <v:fill on="f" focussize="0,0"/>
            <v:stroke on="f" joinstyle="miter"/>
            <v:imagedata r:id="rId69"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为人工费用在公共交通企业运营成本构成中所占的比例，取值50%；</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097" o:spt="75" type="#_x0000_t75" style="height:20.05pt;width:35.65pt;" filled="f" o:preferrelative="t" stroked="f" coordsize="21600,21600">
            <v:path/>
            <v:fill on="f" focussize="0,0"/>
            <v:stroke on="f" joinstyle="miter"/>
            <v:imagedata r:id="rId70"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098" o:spt="75" type="#_x0000_t75" style="height:20.8pt;width:35.65pt;" filled="f" o:preferrelative="t" stroked="f" coordsize="21600,21600">
            <v:path/>
            <v:fill on="f" focussize="0,0"/>
            <v:stroke on="f" joinstyle="miter"/>
            <v:imagedata r:id="rId70"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为东方市统计局公布的第n-1年时的居民消费价格指数；</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099" o:spt="75" type="#_x0000_t75" style="height:20.05pt;width:23.75pt;" filled="f" o:preferrelative="t" stroked="f" coordsize="21600,21600">
            <v:path/>
            <v:fill on="f" focussize="0,0"/>
            <v:stroke on="f" joinstyle="miter"/>
            <v:imagedata r:id="rId71"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100" o:spt="75" type="#_x0000_t75" style="height:20.8pt;width:23.75pt;" filled="f" o:preferrelative="t" stroked="f" coordsize="21600,21600">
            <v:path/>
            <v:fill on="f" focussize="0,0"/>
            <v:stroke on="f" joinstyle="miter"/>
            <v:imagedata r:id="rId71"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需分类计算，燃油车指第n-1年的燃油年均价格与第n-2年的燃油年均价格之比（%）；新能源公交车指第n-1年的年均电价与第n-2年的年均电价之比（%）</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101" o:spt="75" type="#_x0000_t75" style="height:20.05pt;width:23pt;" filled="f" o:preferrelative="t" stroked="f" coordsize="21600,21600">
            <v:path/>
            <v:fill on="f" focussize="0,0"/>
            <v:stroke on="f" joinstyle="miter"/>
            <v:imagedata r:id="rId72"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102" o:spt="75" type="#_x0000_t75" style="height:20.8pt;width:23pt;" filled="f" o:preferrelative="t" stroked="f" coordsize="21600,21600">
            <v:path/>
            <v:fill on="f" focussize="0,0"/>
            <v:stroke on="f" joinstyle="miter"/>
            <v:imagedata r:id="rId72"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为东方市统计局公布的第n-1年的交通运输、仓储和邮政业城镇单位在岗职工平均工资与第n-2年的之比（%）。</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当平均票价调整幅度大于0.5元时，启动年度调价。未达到上述启动条件时，当年不作调整，纳入下一周期累计。调整价格不得超出政府定价（若有时）。</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当城乡公交客运服务票价调整达到启动条件后，由项目公司提出价格调整具体意见和价格调整方案，经交通运输主管部门委托第三方机构评审、听取各相关职能部门及社会意见，并报请市政府同意后，对外公布实施。</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以4年为1个周期，由交通运输主管部门牵头组织对城乡公交客运服务调价公式进行评估。如需调整，经价格听证会听证，并报请市委、市政府批准后对外公布实施。</w:t>
      </w:r>
    </w:p>
    <w:p>
      <w:pPr>
        <w:tabs>
          <w:tab w:val="left" w:pos="2170"/>
        </w:tabs>
        <w:snapToGrid w:val="0"/>
        <w:spacing w:line="360" w:lineRule="auto"/>
        <w:ind w:firstLine="422" w:firstLineChars="175"/>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2.运营补助调价机制</w:t>
      </w:r>
    </w:p>
    <w:p>
      <w:pPr>
        <w:snapToGrid w:val="0"/>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在运营期内，若海南省交通运输主管部门或东方市交通运输主管部门颁布了公交行业成本规制办法或公交行业成本支出费用标准等相关文件，则自该文件生效之日起，运营补助以该文件规定的金额为基础、以社会资本方招标确定的下浮率及收益率等重新测算应付运营补助金额。若运营期内，海南省交通运输主管部门或东方市交通运输主管部门没有颁布公交行业成本规制办法或公交行业成本支出费用标准等相关文件，则自第三（3）个运营年（含）起，每两年特许经营企业可以申请根据调价公式调整运营补助，且只在CPI指数超过上一次调价时的3%时方能申请调价。</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运营补助调价公式为：</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103" o:spt="75" type="#_x0000_t75" style="height:20.05pt;width:61.6pt;" filled="f" o:preferrelative="t" stroked="f" coordsize="21600,21600">
            <v:path/>
            <v:fill on="f" focussize="0,0"/>
            <v:stroke on="f" joinstyle="miter"/>
            <v:imagedata r:id="rId73"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104" o:spt="75" type="#_x0000_t75" style="height:20.8pt;width:61.6pt;" filled="f" o:preferrelative="t" stroked="f" coordsize="21600,21600">
            <v:path/>
            <v:fill on="f" focussize="0,0"/>
            <v:stroke on="f" joinstyle="miter"/>
            <v:imagedata r:id="rId73" o:title=""/>
            <o:lock v:ext="edit" aspectratio="t"/>
            <w10:wrap type="none"/>
            <w10:anchorlock/>
          </v:shape>
        </w:pict>
      </w:r>
      <w:r>
        <w:rPr>
          <w:rFonts w:hint="eastAsia" w:cs="宋体" w:asciiTheme="minorEastAsia" w:hAnsiTheme="minorEastAsia" w:eastAsiaTheme="minorEastAsia"/>
          <w:color w:val="auto"/>
          <w:sz w:val="24"/>
          <w:szCs w:val="24"/>
        </w:rPr>
        <w:fldChar w:fldCharType="end"/>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其中，</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105" o:spt="75" type="#_x0000_t75" style="height:20.05pt;width:11.9pt;" filled="f" o:preferrelative="t" stroked="f" coordsize="21600,21600">
            <v:path/>
            <v:fill on="f" focussize="0,0"/>
            <v:stroke on="f" joinstyle="miter"/>
            <v:imagedata r:id="rId61"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106" o:spt="75" type="#_x0000_t75" style="height:20.8pt;width:11.9pt;" filled="f" o:preferrelative="t" stroked="f" coordsize="21600,21600">
            <v:path/>
            <v:fill on="f" focussize="0,0"/>
            <v:stroke on="f" joinstyle="miter"/>
            <v:imagedata r:id="rId61"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为当期调整后的运营补助费用；</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107" o:spt="75" type="#_x0000_t75" style="height:20.05pt;width:14.1pt;" filled="f" o:preferrelative="t" stroked="f" coordsize="21600,21600">
            <v:path/>
            <v:fill on="f" focussize="0,0"/>
            <v:stroke on="f" joinstyle="miter"/>
            <v:imagedata r:id="rId74"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108" o:spt="75" type="#_x0000_t75" style="height:20.8pt;width:14.1pt;" filled="f" o:preferrelative="t" stroked="f" coordsize="21600,21600">
            <v:path/>
            <v:fill on="f" focussize="0,0"/>
            <v:stroke on="f" joinstyle="miter"/>
            <v:imagedata r:id="rId74"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为调价当期运营补助费用；</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0"/>
        </w:rPr>
        <w:pict>
          <v:shape id="_x0000_i1109" o:spt="75" type="#_x0000_t75" style="height:20.05pt;width:8.9pt;" filled="f" o:preferrelative="t" stroked="f" coordsize="21600,21600">
            <v:path/>
            <v:fill on="f" focussize="0,0"/>
            <v:stroke on="f" joinstyle="miter"/>
            <v:imagedata r:id="rId63"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0"/>
        </w:rPr>
        <w:pict>
          <v:shape id="_x0000_i1110" o:spt="75" type="#_x0000_t75" style="height:20.8pt;width:8.9pt;" filled="f" o:preferrelative="t" stroked="f" coordsize="21600,21600">
            <v:path/>
            <v:fill on="f" focussize="0,0"/>
            <v:stroke on="f" joinstyle="miter"/>
            <v:imagedata r:id="rId63"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为调价系数，</w:t>
      </w:r>
      <w:r>
        <w:rPr>
          <w:rFonts w:cs="宋体" w:asciiTheme="minorEastAsia" w:hAnsiTheme="minorEastAsia" w:eastAsiaTheme="minorEastAsia"/>
          <w:color w:val="auto"/>
          <w:position w:val="-27"/>
        </w:rPr>
        <w:pict>
          <v:shape id="_x0000_i1111" o:spt="75" type="#_x0000_t75" style="height:23pt;width:77.95pt;" filled="f" o:preferrelative="t" stroked="f" coordsize="21600,21600">
            <v:path/>
            <v:fill on="f" focussize="0,0"/>
            <v:stroke on="f" joinstyle="miter"/>
            <v:imagedata r:id="rId75" o:title=""/>
            <o:lock v:ext="edit" aspectratio="t"/>
            <w10:wrap type="none"/>
            <w10:anchorlock/>
          </v:shape>
        </w:pic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7"/>
        </w:rPr>
        <w:pict>
          <v:shape id="_x0000_i1112" o:spt="75" type="#_x0000_t75" style="height:28.2pt;width:96.5pt;" filled="f" o:preferrelative="t" stroked="f" coordsize="21600,21600">
            <v:path/>
            <v:fill on="f" focussize="0,0"/>
            <v:stroke on="f" joinstyle="miter"/>
            <v:imagedata r:id="rId75"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113" o:spt="75" type="#_x0000_t75" style="height:20.05pt;width:73.5pt;" filled="f" o:preferrelative="t" stroked="f" coordsize="21600,21600">
            <v:path/>
            <v:fill on="f" focussize="0,0"/>
            <v:stroke on="f" joinstyle="miter"/>
            <v:imagedata r:id="rId64"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7"/>
        </w:rPr>
        <w:pict>
          <v:shape id="_x0000_i1114" o:spt="75" type="#_x0000_t75" style="height:28.2pt;width:64.6pt;" filled="f" o:preferrelative="t" stroked="f" coordsize="21600,21600">
            <v:path/>
            <v:fill on="f" focussize="0,0"/>
            <v:stroke on="f" joinstyle="miter"/>
            <v:imagedata r:id="rId76"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7"/>
        </w:rPr>
        <w:pict>
          <v:shape id="_x0000_i1115" o:spt="75" type="#_x0000_t75" style="height:23.75pt;width:52.7pt;" filled="f" o:preferrelative="t" stroked="f" coordsize="21600,21600">
            <v:path/>
            <v:fill on="f" focussize="0,0"/>
            <v:stroke on="f" joinstyle="miter"/>
            <v:imagedata r:id="rId76"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116" o:spt="75" type="#_x0000_t75" style="height:20.05pt;width:35.65pt;" filled="f" o:preferrelative="t" stroked="f" coordsize="21600,21600">
            <v:path/>
            <v:fill on="f" focussize="0,0"/>
            <v:stroke on="f" joinstyle="miter"/>
            <v:imagedata r:id="rId77"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为东方市统计局公布的第n-1年人均可支配收入除以第n-3年时人均可支配收入。</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调价系数</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117" o:spt="75" type="#_x0000_t75" style="height:20.05pt;width:188.55pt;" filled="f" o:preferrelative="t" stroked="f" coordsize="21600,21600">
            <v:path/>
            <v:fill on="f" focussize="0,0"/>
            <v:stroke on="f" joinstyle="miter"/>
            <v:imagedata r:id="rId66"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118" o:spt="75" type="#_x0000_t75" style="height:20.8pt;width:188.55pt;" filled="f" o:preferrelative="t" stroked="f" coordsize="21600,21600">
            <v:path/>
            <v:fill on="f" focussize="0,0"/>
            <v:stroke on="f" joinstyle="miter"/>
            <v:imagedata r:id="rId66" o:title=""/>
            <o:lock v:ext="edit" aspectratio="t"/>
            <w10:wrap type="none"/>
            <w10:anchorlock/>
          </v:shape>
        </w:pict>
      </w:r>
      <w:r>
        <w:rPr>
          <w:rFonts w:hint="eastAsia" w:cs="宋体" w:asciiTheme="minorEastAsia" w:hAnsiTheme="minorEastAsia" w:eastAsiaTheme="minorEastAsia"/>
          <w:color w:val="auto"/>
          <w:sz w:val="24"/>
          <w:szCs w:val="24"/>
        </w:rPr>
        <w:fldChar w:fldCharType="end"/>
      </w:r>
    </w:p>
    <w:p>
      <w:pPr>
        <w:pStyle w:val="48"/>
        <w:ind w:firstLine="482"/>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其中，</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0"/>
        </w:rPr>
        <w:pict>
          <v:shape id="_x0000_i1119" o:spt="75" type="#_x0000_t75" style="height:20.05pt;width:7.4pt;" filled="f" o:preferrelative="t" stroked="f" coordsize="21600,21600">
            <v:path/>
            <v:fill on="f" focussize="0,0"/>
            <v:stroke on="f" joinstyle="miter"/>
            <v:imagedata r:id="rId67"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0"/>
        </w:rPr>
        <w:pict>
          <v:shape id="_x0000_i1120" o:spt="75" type="#_x0000_t75" style="height:20.8pt;width:7.4pt;" filled="f" o:preferrelative="t" stroked="f" coordsize="21600,21600">
            <v:path/>
            <v:fill on="f" focussize="0,0"/>
            <v:stroke on="f" joinstyle="miter"/>
            <v:imagedata r:id="rId67"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为轮胎、保修、固定资产采购等三项费用在项目公司运营成本构成中所占的比例，</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0"/>
        </w:rPr>
        <w:pict>
          <v:shape id="_x0000_i1121" o:spt="75" type="#_x0000_t75" style="height:20.05pt;width:6.7pt;" filled="f" o:preferrelative="t" stroked="f" coordsize="21600,21600">
            <v:path/>
            <v:fill on="f" focussize="0,0"/>
            <v:stroke on="f" joinstyle="miter"/>
            <v:imagedata r:id="rId68"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0"/>
        </w:rPr>
        <w:pict>
          <v:shape id="_x0000_i1122" o:spt="75" type="#_x0000_t75" style="height:20.8pt;width:6.7pt;" filled="f" o:preferrelative="t" stroked="f" coordsize="21600,21600">
            <v:path/>
            <v:fill on="f" focussize="0,0"/>
            <v:stroke on="f" joinstyle="miter"/>
            <v:imagedata r:id="rId68"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为动力费用在项目公司运营成本构成中所占的比例，</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0"/>
        </w:rPr>
        <w:pict>
          <v:shape id="_x0000_i1123" o:spt="75" type="#_x0000_t75" style="height:20.05pt;width:13.35pt;" filled="f" o:preferrelative="t" stroked="f" coordsize="21600,21600">
            <v:path/>
            <v:fill on="f" focussize="0,0"/>
            <v:stroke on="f" joinstyle="miter"/>
            <v:imagedata r:id="rId78"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0"/>
        </w:rPr>
        <w:pict>
          <v:shape id="_x0000_i1124" o:spt="75" type="#_x0000_t75" style="height:20.8pt;width:13.35pt;" filled="f" o:preferrelative="t" stroked="f" coordsize="21600,21600">
            <v:path/>
            <v:fill on="f" focussize="0,0"/>
            <v:stroke on="f" joinstyle="miter"/>
            <v:imagedata r:id="rId78"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为人工费用在公共交通企业运营成本构成中所占的比例。</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0"/>
        </w:rPr>
        <w:pict>
          <v:shape id="_x0000_i1125" o:spt="75" type="#_x0000_t75" style="height:20.05pt;width:70.5pt;" filled="f" o:preferrelative="t" stroked="f" coordsize="21600,21600">
            <v:path/>
            <v:fill on="f" focussize="0,0"/>
            <v:stroke on="f" joinstyle="miter"/>
            <v:imagedata r:id="rId79"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0"/>
        </w:rPr>
        <w:pict>
          <v:shape id="_x0000_i1126" o:spt="75" type="#_x0000_t75" style="height:20.8pt;width:70.5pt;" filled="f" o:preferrelative="t" stroked="f" coordsize="21600,21600">
            <v:path/>
            <v:fill on="f" focussize="0,0"/>
            <v:stroke on="f" joinstyle="miter"/>
            <v:imagedata r:id="rId79"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w:t>
      </w: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2"/>
        </w:rPr>
        <w:pict>
          <v:shape id="_x0000_i1127" o:spt="75" type="#_x0000_t75" style="height:24.5pt;width:43.05pt;" filled="f" o:preferrelative="t" stroked="f" coordsize="21600,21600">
            <v:path/>
            <v:fill on="f" focussize="0,0"/>
            <v:stroke on="f" joinstyle="miter"/>
            <v:imagedata r:id="rId80"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2"/>
        </w:rPr>
        <w:pict>
          <v:shape id="_x0000_i1128" o:spt="75" type="#_x0000_t75" style="height:24.5pt;width:43.05pt;" filled="f" o:preferrelative="t" stroked="f" coordsize="21600,21600">
            <v:path/>
            <v:fill on="f" focussize="0,0"/>
            <v:stroke on="f" joinstyle="miter"/>
            <v:imagedata r:id="rId80"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的取值根据调价前一年实际运营成本中轮胎、保修、固定资产采购及动力费用、人工费用所占比例确定；</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129" o:spt="75" type="#_x0000_t75" style="height:20.05pt;width:35.65pt;" filled="f" o:preferrelative="t" stroked="f" coordsize="21600,21600">
            <v:path/>
            <v:fill on="f" focussize="0,0"/>
            <v:stroke on="f" joinstyle="miter"/>
            <v:imagedata r:id="rId70"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130" o:spt="75" type="#_x0000_t75" style="height:20.8pt;width:35.65pt;" filled="f" o:preferrelative="t" stroked="f" coordsize="21600,21600">
            <v:path/>
            <v:fill on="f" focussize="0,0"/>
            <v:stroke on="f" joinstyle="miter"/>
            <v:imagedata r:id="rId70"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为东方市统计局公布的第n-1年时的居民消费价格指数；</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131" o:spt="75" type="#_x0000_t75" style="height:20.05pt;width:23.75pt;" filled="f" o:preferrelative="t" stroked="f" coordsize="21600,21600">
            <v:path/>
            <v:fill on="f" focussize="0,0"/>
            <v:stroke on="f" joinstyle="miter"/>
            <v:imagedata r:id="rId71"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132" o:spt="75" type="#_x0000_t75" style="height:20.8pt;width:23.75pt;" filled="f" o:preferrelative="t" stroked="f" coordsize="21600,21600">
            <v:path/>
            <v:fill on="f" focussize="0,0"/>
            <v:stroke on="f" joinstyle="miter"/>
            <v:imagedata r:id="rId71"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需分类计算，燃油车指第n-1年的燃油年均价格与第n-3年的燃油年均价格之比（%）；新能源公交车指第n-1年的年均电价与第n-3年的年均电价之比（%）；</w:t>
      </w:r>
    </w:p>
    <w:p>
      <w:pPr>
        <w:pStyle w:val="48"/>
        <w:ind w:firstLine="48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fldChar w:fldCharType="begin"/>
      </w:r>
      <w:r>
        <w:rPr>
          <w:rFonts w:hint="eastAsia" w:cs="宋体" w:asciiTheme="minorEastAsia" w:hAnsiTheme="minorEastAsia" w:eastAsiaTheme="minorEastAsia"/>
          <w:color w:val="auto"/>
          <w:sz w:val="24"/>
          <w:szCs w:val="24"/>
        </w:rPr>
        <w:instrText xml:space="preserve"> QUOTE </w:instrText>
      </w:r>
      <w:r>
        <w:rPr>
          <w:rFonts w:cs="宋体" w:asciiTheme="minorEastAsia" w:hAnsiTheme="minorEastAsia" w:eastAsiaTheme="minorEastAsia"/>
          <w:color w:val="auto"/>
          <w:position w:val="-21"/>
        </w:rPr>
        <w:pict>
          <v:shape id="_x0000_i1133" o:spt="75" type="#_x0000_t75" style="height:20.05pt;width:23pt;" filled="f" o:preferrelative="t" stroked="f" coordsize="21600,21600">
            <v:path/>
            <v:fill on="f" focussize="0,0"/>
            <v:stroke on="f" joinstyle="miter"/>
            <v:imagedata r:id="rId72" o:title=""/>
            <o:lock v:ext="edit" aspectratio="t"/>
            <w10:wrap type="none"/>
            <w10:anchorlock/>
          </v:shape>
        </w:pict>
      </w:r>
      <w:r>
        <w:rPr>
          <w:rFonts w:hint="eastAsia" w:cs="宋体" w:asciiTheme="minorEastAsia" w:hAnsiTheme="minorEastAsia" w:eastAsiaTheme="minorEastAsia"/>
          <w:color w:val="auto"/>
          <w:sz w:val="24"/>
          <w:szCs w:val="24"/>
        </w:rPr>
        <w:fldChar w:fldCharType="separate"/>
      </w:r>
      <w:r>
        <w:rPr>
          <w:rFonts w:cs="宋体" w:asciiTheme="minorEastAsia" w:hAnsiTheme="minorEastAsia" w:eastAsiaTheme="minorEastAsia"/>
          <w:color w:val="auto"/>
          <w:position w:val="-21"/>
        </w:rPr>
        <w:pict>
          <v:shape id="_x0000_i1134" o:spt="75" type="#_x0000_t75" style="height:20.8pt;width:23pt;" filled="f" o:preferrelative="t" stroked="f" coordsize="21600,21600">
            <v:path/>
            <v:fill on="f" focussize="0,0"/>
            <v:stroke on="f" joinstyle="miter"/>
            <v:imagedata r:id="rId72" o:title=""/>
            <o:lock v:ext="edit" aspectratio="t"/>
            <w10:wrap type="none"/>
            <w10:anchorlock/>
          </v:shape>
        </w:pict>
      </w:r>
      <w:r>
        <w:rPr>
          <w:rFonts w:hint="eastAsia" w:cs="宋体" w:asciiTheme="minorEastAsia" w:hAnsiTheme="minorEastAsia" w:eastAsiaTheme="minorEastAsia"/>
          <w:color w:val="auto"/>
          <w:sz w:val="24"/>
          <w:szCs w:val="24"/>
        </w:rPr>
        <w:fldChar w:fldCharType="end"/>
      </w:r>
      <w:r>
        <w:rPr>
          <w:rFonts w:hint="eastAsia" w:cs="宋体" w:asciiTheme="minorEastAsia" w:hAnsiTheme="minorEastAsia" w:eastAsiaTheme="minorEastAsia"/>
          <w:color w:val="auto"/>
          <w:sz w:val="24"/>
          <w:szCs w:val="24"/>
        </w:rPr>
        <w:t>为东方市统计局公布的第n-1年的交通运输、仓储和邮政业城镇单位在岗职工平均工资与第n-3年的之比（%）。</w:t>
      </w:r>
    </w:p>
    <w:p>
      <w:pPr>
        <w:snapToGrid w:val="0"/>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当运营补助调价达到启动条件后，由项目公司提出运营补助调整具体意见和调整方案，经交通运输主管部门委托第三方机构评审、听取各相关职能部门及社会意见，并报请市政府同意后，于调整年当年起对外公布实施。</w:t>
      </w:r>
    </w:p>
    <w:p>
      <w:pPr>
        <w:snapToGrid w:val="0"/>
        <w:spacing w:line="360" w:lineRule="auto"/>
        <w:ind w:firstLine="480"/>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3.每公里可变成本补贴调价机制</w:t>
      </w:r>
    </w:p>
    <w:p>
      <w:pPr>
        <w:snapToGrid w:val="0"/>
        <w:spacing w:line="360" w:lineRule="auto"/>
        <w:ind w:firstLine="48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每公里可变成本补贴调价机制参照运营补助调价机制同步执行。</w:t>
      </w:r>
    </w:p>
    <w:p>
      <w:pPr>
        <w:tabs>
          <w:tab w:val="left" w:pos="2170"/>
        </w:tabs>
        <w:spacing w:line="360" w:lineRule="auto"/>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（三）付费安排</w:t>
      </w:r>
    </w:p>
    <w:p>
      <w:pPr>
        <w:spacing w:line="360" w:lineRule="auto"/>
        <w:ind w:firstLine="641"/>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项目资本金回报、融资成本回报、运营补助（含政策性亏损补助）三部分的付费方式为“季度预付+年度清算”，根据项目公司中标确定的回报率和下浮率，等额确定每年每季度预付资金，在每季度服务质量考核工作结束后30天内完成预付，在年末根据审计情况，结合服务质量考核结果，对未满足服务标准的预付资金予以相应扣除；超额收入回报的付费方式为“年度清算”，需满足年度服务质量考核综合等级达到“合格”及以上，在每年末进行审计并根据年度服务质量考核情况完成相应付费。</w:t>
      </w:r>
    </w:p>
    <w:p>
      <w:pPr>
        <w:tabs>
          <w:tab w:val="left" w:pos="2170"/>
        </w:tabs>
        <w:spacing w:line="360" w:lineRule="auto"/>
        <w:rPr>
          <w:rFonts w:cs="宋体" w:asciiTheme="minorEastAsia" w:hAnsiTheme="minorEastAsia" w:eastAsiaTheme="minorEastAsia"/>
          <w:color w:val="auto"/>
          <w:sz w:val="24"/>
        </w:rPr>
      </w:pPr>
    </w:p>
    <w:p>
      <w:pPr>
        <w:spacing w:line="360" w:lineRule="auto"/>
        <w:jc w:val="center"/>
        <w:rPr>
          <w:rFonts w:cs="宋体" w:asciiTheme="minorEastAsia" w:hAnsiTheme="minorEastAsia" w:eastAsiaTheme="minorEastAsia"/>
          <w:b/>
          <w:color w:val="auto"/>
          <w:sz w:val="24"/>
        </w:rPr>
      </w:pPr>
    </w:p>
    <w:p>
      <w:pPr>
        <w:spacing w:line="360" w:lineRule="auto"/>
        <w:jc w:val="center"/>
        <w:rPr>
          <w:rFonts w:cs="宋体" w:asciiTheme="minorEastAsia" w:hAnsiTheme="minorEastAsia" w:eastAsiaTheme="minorEastAsia"/>
          <w:b/>
          <w:color w:val="auto"/>
          <w:sz w:val="24"/>
        </w:rPr>
      </w:pPr>
    </w:p>
    <w:p>
      <w:pPr>
        <w:spacing w:line="360" w:lineRule="auto"/>
        <w:jc w:val="center"/>
        <w:rPr>
          <w:rFonts w:cs="宋体" w:asciiTheme="minorEastAsia" w:hAnsiTheme="minorEastAsia" w:eastAsiaTheme="minorEastAsia"/>
          <w:b/>
          <w:color w:val="auto"/>
          <w:sz w:val="24"/>
        </w:rPr>
      </w:pPr>
    </w:p>
    <w:p>
      <w:pPr>
        <w:spacing w:line="360" w:lineRule="auto"/>
        <w:rPr>
          <w:rFonts w:cs="宋体" w:asciiTheme="minorEastAsia" w:hAnsiTheme="minorEastAsia" w:eastAsiaTheme="minorEastAsia"/>
          <w:color w:val="auto"/>
          <w:sz w:val="24"/>
        </w:rPr>
      </w:pPr>
    </w:p>
    <w:p>
      <w:pPr>
        <w:spacing w:line="360" w:lineRule="auto"/>
        <w:rPr>
          <w:rFonts w:cs="宋体" w:asciiTheme="minorEastAsia" w:hAnsiTheme="minorEastAsia" w:eastAsiaTheme="minorEastAsia"/>
          <w:color w:val="auto"/>
          <w:sz w:val="24"/>
        </w:rPr>
      </w:pPr>
    </w:p>
    <w:p>
      <w:pPr>
        <w:spacing w:line="360" w:lineRule="auto"/>
        <w:rPr>
          <w:rFonts w:cs="宋体" w:asciiTheme="minorEastAsia" w:hAnsiTheme="minorEastAsia" w:eastAsiaTheme="minorEastAsia"/>
          <w:color w:val="auto"/>
          <w:sz w:val="24"/>
        </w:rPr>
      </w:pPr>
    </w:p>
    <w:p>
      <w:pPr>
        <w:spacing w:line="360" w:lineRule="auto"/>
        <w:rPr>
          <w:rFonts w:cs="宋体" w:asciiTheme="minorEastAsia" w:hAnsiTheme="minorEastAsia" w:eastAsiaTheme="minorEastAsia"/>
          <w:color w:val="auto"/>
          <w:sz w:val="24"/>
        </w:rPr>
      </w:pPr>
    </w:p>
    <w:p>
      <w:pPr>
        <w:spacing w:beforeLines="50" w:afterLines="50" w:line="360" w:lineRule="auto"/>
        <w:jc w:val="center"/>
        <w:outlineLvl w:val="0"/>
        <w:rPr>
          <w:rFonts w:cs="宋体" w:asciiTheme="minorEastAsia" w:hAnsiTheme="minorEastAsia" w:eastAsiaTheme="minorEastAsia"/>
          <w:b/>
          <w:color w:val="auto"/>
          <w:sz w:val="44"/>
          <w:szCs w:val="44"/>
        </w:rPr>
        <w:sectPr>
          <w:pgSz w:w="11906" w:h="16838"/>
          <w:pgMar w:top="1418" w:right="1418" w:bottom="1418" w:left="1418" w:header="907" w:footer="907" w:gutter="0"/>
          <w:cols w:space="720" w:num="1"/>
          <w:docGrid w:linePitch="312" w:charSpace="0"/>
        </w:sectPr>
      </w:pPr>
    </w:p>
    <w:p>
      <w:pPr>
        <w:spacing w:beforeLines="50" w:afterLines="50" w:line="360" w:lineRule="auto"/>
        <w:jc w:val="center"/>
        <w:outlineLvl w:val="0"/>
        <w:rPr>
          <w:rFonts w:cs="宋体" w:asciiTheme="minorEastAsia" w:hAnsiTheme="minorEastAsia" w:eastAsiaTheme="minorEastAsia"/>
          <w:b/>
          <w:color w:val="auto"/>
          <w:sz w:val="36"/>
          <w:szCs w:val="36"/>
        </w:rPr>
      </w:pPr>
      <w:bookmarkStart w:id="402" w:name="_Toc19891221"/>
      <w:bookmarkStart w:id="403" w:name="_Toc19881880"/>
      <w:bookmarkStart w:id="404" w:name="_Toc11075_WPSOffice_Level1"/>
      <w:r>
        <w:rPr>
          <w:rFonts w:hint="eastAsia" w:cs="宋体" w:asciiTheme="minorEastAsia" w:hAnsiTheme="minorEastAsia" w:eastAsiaTheme="minorEastAsia"/>
          <w:b/>
          <w:color w:val="auto"/>
          <w:sz w:val="36"/>
          <w:szCs w:val="36"/>
        </w:rPr>
        <w:t>第六部分  投标文件内容及格式</w:t>
      </w:r>
      <w:bookmarkEnd w:id="402"/>
      <w:bookmarkEnd w:id="403"/>
      <w:bookmarkEnd w:id="404"/>
    </w:p>
    <w:p>
      <w:pPr>
        <w:spacing w:line="360" w:lineRule="auto"/>
        <w:ind w:right="-420" w:rightChars="-200"/>
        <w:jc w:val="center"/>
        <w:rPr>
          <w:rFonts w:hint="eastAsia" w:cs="宋体" w:asciiTheme="minorEastAsia" w:hAnsiTheme="minorEastAsia" w:eastAsiaTheme="minorEastAsia"/>
          <w:b/>
          <w:color w:val="auto"/>
          <w:sz w:val="36"/>
          <w:szCs w:val="36"/>
        </w:rPr>
      </w:pPr>
      <w:r>
        <w:rPr>
          <w:rFonts w:cs="宋体" w:asciiTheme="minorEastAsia" w:hAnsiTheme="minorEastAsia" w:eastAsiaTheme="minorEastAsia"/>
          <w:b/>
          <w:color w:val="auto"/>
          <w:sz w:val="36"/>
          <w:szCs w:val="36"/>
        </w:rPr>
        <w:br w:type="page"/>
      </w:r>
    </w:p>
    <w:p>
      <w:pPr>
        <w:spacing w:line="360" w:lineRule="auto"/>
        <w:ind w:right="-420" w:rightChars="-200"/>
        <w:jc w:val="center"/>
        <w:rPr>
          <w:rFonts w:hint="eastAsia" w:cs="宋体" w:asciiTheme="minorEastAsia" w:hAnsiTheme="minorEastAsia" w:eastAsiaTheme="minorEastAsia"/>
          <w:b/>
          <w:color w:val="auto"/>
          <w:sz w:val="36"/>
          <w:szCs w:val="36"/>
        </w:rPr>
      </w:pPr>
    </w:p>
    <w:p>
      <w:pPr>
        <w:spacing w:line="360" w:lineRule="auto"/>
        <w:ind w:right="-420" w:rightChars="-200"/>
        <w:jc w:val="center"/>
        <w:rPr>
          <w:rFonts w:hint="eastAsia" w:cs="宋体" w:asciiTheme="minorEastAsia" w:hAnsiTheme="minorEastAsia" w:eastAsiaTheme="minorEastAsia"/>
          <w:b/>
          <w:color w:val="auto"/>
          <w:sz w:val="36"/>
          <w:szCs w:val="36"/>
        </w:rPr>
      </w:pPr>
    </w:p>
    <w:p>
      <w:pPr>
        <w:spacing w:line="360" w:lineRule="auto"/>
        <w:ind w:right="-420" w:rightChars="-200"/>
        <w:jc w:val="center"/>
        <w:rPr>
          <w:rFonts w:asciiTheme="minorEastAsia" w:hAnsiTheme="minorEastAsia" w:eastAsiaTheme="minorEastAsia"/>
          <w:b/>
          <w:bCs/>
          <w:color w:val="auto"/>
          <w:sz w:val="84"/>
          <w:szCs w:val="84"/>
        </w:rPr>
      </w:pPr>
      <w:r>
        <w:rPr>
          <w:rFonts w:hint="eastAsia" w:asciiTheme="minorEastAsia" w:hAnsiTheme="minorEastAsia" w:eastAsiaTheme="minorEastAsia"/>
          <w:b/>
          <w:bCs/>
          <w:color w:val="auto"/>
          <w:sz w:val="84"/>
          <w:szCs w:val="84"/>
        </w:rPr>
        <w:t>投标文件</w:t>
      </w:r>
    </w:p>
    <w:p>
      <w:pPr>
        <w:spacing w:line="360" w:lineRule="auto"/>
        <w:ind w:right="-420" w:rightChars="-200"/>
        <w:jc w:val="center"/>
        <w:rPr>
          <w:rFonts w:asciiTheme="minorEastAsia" w:hAnsiTheme="minorEastAsia" w:eastAsiaTheme="minorEastAsia"/>
          <w:b/>
          <w:bCs/>
          <w:color w:val="auto"/>
          <w:sz w:val="84"/>
          <w:szCs w:val="84"/>
        </w:rPr>
      </w:pPr>
    </w:p>
    <w:p>
      <w:pPr>
        <w:spacing w:line="360" w:lineRule="auto"/>
        <w:ind w:right="-420" w:rightChars="-200"/>
        <w:jc w:val="center"/>
        <w:rPr>
          <w:rFonts w:asciiTheme="minorEastAsia" w:hAnsiTheme="minorEastAsia" w:eastAsiaTheme="minorEastAsia"/>
          <w:b/>
          <w:bCs/>
          <w:color w:val="auto"/>
          <w:sz w:val="32"/>
          <w:szCs w:val="32"/>
        </w:rPr>
      </w:pPr>
      <w:r>
        <w:rPr>
          <w:rFonts w:hint="eastAsia" w:asciiTheme="minorEastAsia" w:hAnsiTheme="minorEastAsia" w:eastAsiaTheme="minorEastAsia"/>
          <w:b/>
          <w:bCs/>
          <w:color w:val="auto"/>
          <w:sz w:val="32"/>
          <w:szCs w:val="32"/>
        </w:rPr>
        <w:t>（正本/副本）</w:t>
      </w:r>
    </w:p>
    <w:p>
      <w:pPr>
        <w:spacing w:line="360" w:lineRule="auto"/>
        <w:ind w:right="-420" w:rightChars="-200"/>
        <w:jc w:val="center"/>
        <w:rPr>
          <w:rFonts w:asciiTheme="minorEastAsia" w:hAnsiTheme="minorEastAsia" w:eastAsiaTheme="minorEastAsia"/>
          <w:b/>
          <w:bCs/>
          <w:color w:val="auto"/>
          <w:sz w:val="44"/>
          <w:szCs w:val="44"/>
        </w:rPr>
      </w:pPr>
    </w:p>
    <w:p>
      <w:pPr>
        <w:spacing w:line="360" w:lineRule="auto"/>
        <w:ind w:right="-420" w:rightChars="-200"/>
        <w:jc w:val="center"/>
        <w:rPr>
          <w:rFonts w:asciiTheme="minorEastAsia" w:hAnsiTheme="minorEastAsia" w:eastAsiaTheme="minorEastAsia"/>
          <w:b/>
          <w:bCs/>
          <w:color w:val="auto"/>
          <w:sz w:val="44"/>
          <w:szCs w:val="44"/>
        </w:rPr>
      </w:pPr>
    </w:p>
    <w:p>
      <w:pPr>
        <w:spacing w:line="360" w:lineRule="auto"/>
        <w:ind w:right="-420" w:rightChars="-200"/>
        <w:jc w:val="center"/>
        <w:rPr>
          <w:rFonts w:asciiTheme="minorEastAsia" w:hAnsiTheme="minorEastAsia" w:eastAsiaTheme="minorEastAsia"/>
          <w:b/>
          <w:bCs/>
          <w:color w:val="auto"/>
          <w:sz w:val="44"/>
          <w:szCs w:val="44"/>
        </w:rPr>
      </w:pPr>
    </w:p>
    <w:p>
      <w:pPr>
        <w:spacing w:line="360" w:lineRule="auto"/>
        <w:ind w:right="-420" w:rightChars="-200"/>
        <w:jc w:val="center"/>
        <w:rPr>
          <w:rFonts w:asciiTheme="minorEastAsia" w:hAnsiTheme="minorEastAsia" w:eastAsiaTheme="minorEastAsia"/>
          <w:b/>
          <w:bCs/>
          <w:color w:val="auto"/>
          <w:sz w:val="44"/>
          <w:szCs w:val="44"/>
        </w:rPr>
      </w:pPr>
    </w:p>
    <w:p>
      <w:pPr>
        <w:spacing w:line="360" w:lineRule="auto"/>
        <w:ind w:right="-420" w:rightChars="-200"/>
        <w:jc w:val="center"/>
        <w:rPr>
          <w:rFonts w:hint="eastAsia" w:cs="宋体" w:asciiTheme="minorEastAsia" w:hAnsiTheme="minorEastAsia" w:eastAsiaTheme="minorEastAsia"/>
          <w:color w:val="auto"/>
          <w:kern w:val="0"/>
          <w:sz w:val="24"/>
          <w:lang w:val="zh-CN"/>
        </w:rPr>
      </w:pPr>
    </w:p>
    <w:p>
      <w:pPr>
        <w:spacing w:line="360" w:lineRule="auto"/>
        <w:ind w:right="-420" w:rightChars="-200"/>
        <w:jc w:val="center"/>
        <w:rPr>
          <w:rFonts w:hint="eastAsia" w:cs="宋体" w:asciiTheme="minorEastAsia" w:hAnsiTheme="minorEastAsia" w:eastAsiaTheme="minorEastAsia"/>
          <w:color w:val="auto"/>
          <w:kern w:val="0"/>
          <w:sz w:val="24"/>
          <w:lang w:val="zh-CN"/>
        </w:rPr>
      </w:pPr>
    </w:p>
    <w:p>
      <w:pPr>
        <w:spacing w:line="360" w:lineRule="auto"/>
        <w:ind w:right="-420" w:rightChars="-200"/>
        <w:jc w:val="center"/>
        <w:rPr>
          <w:rFonts w:asciiTheme="minorEastAsia" w:hAnsiTheme="minorEastAsia" w:eastAsiaTheme="minorEastAsia"/>
          <w:b/>
          <w:bCs/>
          <w:color w:val="auto"/>
          <w:sz w:val="30"/>
          <w:szCs w:val="30"/>
        </w:rPr>
      </w:pPr>
    </w:p>
    <w:p>
      <w:pPr>
        <w:spacing w:line="360" w:lineRule="auto"/>
        <w:ind w:right="-420" w:rightChars="-200"/>
        <w:jc w:val="left"/>
        <w:rPr>
          <w:rFonts w:asciiTheme="minorEastAsia" w:hAnsiTheme="minorEastAsia" w:eastAsiaTheme="minorEastAsia"/>
          <w:b/>
          <w:bCs/>
          <w:color w:val="auto"/>
          <w:sz w:val="30"/>
          <w:szCs w:val="30"/>
          <w:u w:val="single"/>
        </w:rPr>
      </w:pPr>
      <w:r>
        <w:rPr>
          <w:rFonts w:hint="eastAsia" w:asciiTheme="minorEastAsia" w:hAnsiTheme="minorEastAsia" w:eastAsiaTheme="minorEastAsia"/>
          <w:b/>
          <w:bCs/>
          <w:color w:val="auto"/>
          <w:sz w:val="30"/>
          <w:szCs w:val="30"/>
        </w:rPr>
        <w:t>项目名称：</w:t>
      </w:r>
      <w:r>
        <w:rPr>
          <w:rFonts w:hint="eastAsia" w:asciiTheme="minorEastAsia" w:hAnsiTheme="minorEastAsia" w:eastAsiaTheme="minorEastAsia"/>
          <w:b/>
          <w:bCs/>
          <w:color w:val="auto"/>
          <w:sz w:val="30"/>
          <w:szCs w:val="30"/>
          <w:u w:val="single"/>
        </w:rPr>
        <w:t>东方市城乡公交客运服务一体化特许经营项目</w:t>
      </w:r>
    </w:p>
    <w:p>
      <w:pPr>
        <w:spacing w:line="360" w:lineRule="auto"/>
        <w:rPr>
          <w:rFonts w:asciiTheme="minorEastAsia" w:hAnsiTheme="minorEastAsia" w:eastAsiaTheme="minorEastAsia"/>
          <w:b/>
          <w:color w:val="auto"/>
          <w:sz w:val="30"/>
          <w:szCs w:val="30"/>
          <w:u w:val="single"/>
        </w:rPr>
      </w:pPr>
      <w:r>
        <w:rPr>
          <w:rFonts w:hint="eastAsia" w:asciiTheme="minorEastAsia" w:hAnsiTheme="minorEastAsia" w:eastAsiaTheme="minorEastAsia"/>
          <w:b/>
          <w:bCs/>
          <w:color w:val="auto"/>
          <w:sz w:val="30"/>
          <w:szCs w:val="30"/>
        </w:rPr>
        <w:t>采购编号：</w:t>
      </w:r>
      <w:r>
        <w:rPr>
          <w:rFonts w:asciiTheme="minorEastAsia" w:hAnsiTheme="minorEastAsia" w:eastAsiaTheme="minorEastAsia"/>
          <w:b/>
          <w:color w:val="auto"/>
          <w:sz w:val="30"/>
          <w:szCs w:val="30"/>
          <w:u w:val="single"/>
        </w:rPr>
        <w:t>ZZYDC20190421</w:t>
      </w:r>
      <w:r>
        <w:rPr>
          <w:rFonts w:hint="eastAsia" w:asciiTheme="minorEastAsia" w:hAnsiTheme="minorEastAsia" w:eastAsiaTheme="minorEastAsia"/>
          <w:b/>
          <w:color w:val="auto"/>
          <w:sz w:val="30"/>
          <w:szCs w:val="30"/>
          <w:u w:val="single"/>
        </w:rPr>
        <w:t xml:space="preserve">   </w:t>
      </w:r>
    </w:p>
    <w:p>
      <w:pPr>
        <w:spacing w:line="360" w:lineRule="auto"/>
        <w:ind w:right="-420" w:rightChars="-200"/>
        <w:rPr>
          <w:rFonts w:asciiTheme="minorEastAsia" w:hAnsiTheme="minorEastAsia" w:eastAsiaTheme="minorEastAsia"/>
          <w:b/>
          <w:bCs/>
          <w:color w:val="auto"/>
          <w:sz w:val="30"/>
          <w:szCs w:val="30"/>
        </w:rPr>
      </w:pPr>
      <w:r>
        <w:rPr>
          <w:rFonts w:hint="eastAsia" w:asciiTheme="minorEastAsia" w:hAnsiTheme="minorEastAsia" w:eastAsiaTheme="minorEastAsia"/>
          <w:b/>
          <w:bCs/>
          <w:color w:val="auto"/>
          <w:sz w:val="30"/>
          <w:szCs w:val="30"/>
        </w:rPr>
        <w:t>投标人名称：</w:t>
      </w:r>
      <w:r>
        <w:rPr>
          <w:rFonts w:hint="eastAsia" w:asciiTheme="minorEastAsia" w:hAnsiTheme="minorEastAsia" w:eastAsiaTheme="minorEastAsia"/>
          <w:b/>
          <w:bCs/>
          <w:color w:val="auto"/>
          <w:sz w:val="30"/>
          <w:szCs w:val="30"/>
          <w:u w:val="single"/>
        </w:rPr>
        <w:t xml:space="preserve">                    （盖章）</w:t>
      </w:r>
    </w:p>
    <w:p>
      <w:pPr>
        <w:spacing w:line="360" w:lineRule="auto"/>
        <w:ind w:right="-420" w:rightChars="-200"/>
        <w:rPr>
          <w:rFonts w:asciiTheme="minorEastAsia" w:hAnsiTheme="minorEastAsia" w:eastAsiaTheme="minorEastAsia"/>
          <w:b/>
          <w:bCs/>
          <w:color w:val="auto"/>
          <w:sz w:val="30"/>
          <w:szCs w:val="30"/>
        </w:rPr>
      </w:pPr>
      <w:r>
        <w:rPr>
          <w:rFonts w:hint="eastAsia" w:asciiTheme="minorEastAsia" w:hAnsiTheme="minorEastAsia" w:eastAsiaTheme="minorEastAsia"/>
          <w:b/>
          <w:bCs/>
          <w:color w:val="auto"/>
          <w:sz w:val="30"/>
          <w:szCs w:val="30"/>
        </w:rPr>
        <w:t>法定代表人或被授权代表签字：</w:t>
      </w:r>
    </w:p>
    <w:p>
      <w:pPr>
        <w:spacing w:line="360" w:lineRule="auto"/>
        <w:ind w:right="-420" w:rightChars="-200"/>
        <w:rPr>
          <w:rFonts w:asciiTheme="minorEastAsia" w:hAnsiTheme="minorEastAsia" w:eastAsiaTheme="minorEastAsia"/>
          <w:b/>
          <w:bCs/>
          <w:color w:val="auto"/>
          <w:sz w:val="30"/>
          <w:szCs w:val="30"/>
          <w:u w:val="single"/>
        </w:rPr>
      </w:pPr>
      <w:r>
        <w:rPr>
          <w:rFonts w:hint="eastAsia" w:asciiTheme="minorEastAsia" w:hAnsiTheme="minorEastAsia" w:eastAsiaTheme="minorEastAsia"/>
          <w:b/>
          <w:bCs/>
          <w:color w:val="auto"/>
          <w:sz w:val="30"/>
          <w:szCs w:val="30"/>
        </w:rPr>
        <w:t>日      期：</w:t>
      </w:r>
    </w:p>
    <w:p>
      <w:pPr>
        <w:spacing w:line="360" w:lineRule="auto"/>
        <w:ind w:right="-420" w:rightChars="-200"/>
        <w:jc w:val="center"/>
        <w:rPr>
          <w:rFonts w:asciiTheme="minorEastAsia" w:hAnsiTheme="minorEastAsia" w:eastAsiaTheme="minorEastAsia"/>
          <w:b/>
          <w:bCs/>
          <w:color w:val="auto"/>
          <w:sz w:val="30"/>
          <w:szCs w:val="30"/>
        </w:rPr>
      </w:pPr>
    </w:p>
    <w:p>
      <w:pPr>
        <w:pStyle w:val="3"/>
        <w:spacing w:line="500" w:lineRule="exact"/>
        <w:jc w:val="center"/>
        <w:rPr>
          <w:rFonts w:asciiTheme="minorEastAsia" w:hAnsiTheme="minorEastAsia" w:eastAsiaTheme="minorEastAsia" w:cstheme="minorEastAsia"/>
          <w:b w:val="0"/>
          <w:color w:val="auto"/>
          <w:sz w:val="30"/>
          <w:szCs w:val="30"/>
        </w:rPr>
        <w:sectPr>
          <w:pgSz w:w="11907" w:h="16840"/>
          <w:pgMar w:top="1440" w:right="1474" w:bottom="1440" w:left="1474" w:header="851" w:footer="992" w:gutter="0"/>
          <w:cols w:space="720" w:num="1"/>
          <w:docGrid w:type="lines" w:linePitch="312" w:charSpace="0"/>
        </w:sectPr>
      </w:pPr>
    </w:p>
    <w:p>
      <w:pPr>
        <w:pStyle w:val="3"/>
        <w:spacing w:line="500" w:lineRule="exact"/>
        <w:jc w:val="center"/>
        <w:rPr>
          <w:rFonts w:asciiTheme="minorEastAsia" w:hAnsiTheme="minorEastAsia" w:eastAsiaTheme="minorEastAsia" w:cstheme="minorEastAsia"/>
          <w:bCs w:val="0"/>
          <w:color w:val="auto"/>
          <w:sz w:val="36"/>
          <w:szCs w:val="36"/>
        </w:rPr>
      </w:pPr>
      <w:r>
        <w:rPr>
          <w:rFonts w:hint="eastAsia" w:asciiTheme="minorEastAsia" w:hAnsiTheme="minorEastAsia" w:eastAsiaTheme="minorEastAsia" w:cstheme="minorEastAsia"/>
          <w:color w:val="auto"/>
          <w:sz w:val="36"/>
          <w:szCs w:val="36"/>
        </w:rPr>
        <w:t>目 录</w:t>
      </w:r>
    </w:p>
    <w:p>
      <w:pPr>
        <w:rPr>
          <w:rFonts w:asciiTheme="minorEastAsia" w:hAnsiTheme="minorEastAsia" w:eastAsiaTheme="minorEastAsia" w:cstheme="minorEastAsia"/>
          <w:color w:val="auto"/>
          <w:sz w:val="30"/>
          <w:szCs w:val="30"/>
        </w:rPr>
      </w:pPr>
    </w:p>
    <w:p>
      <w:pPr>
        <w:numPr>
          <w:ilvl w:val="0"/>
          <w:numId w:val="6"/>
        </w:numPr>
        <w:rPr>
          <w:rFonts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投标函、投标报价及项目相关文件</w:t>
      </w:r>
    </w:p>
    <w:p>
      <w:pPr>
        <w:numPr>
          <w:ilvl w:val="0"/>
          <w:numId w:val="6"/>
        </w:numPr>
        <w:jc w:val="left"/>
        <w:rPr>
          <w:rFonts w:asciiTheme="minorEastAsia" w:hAnsiTheme="minorEastAsia" w:eastAsiaTheme="minorEastAsia" w:cstheme="minorEastAsia"/>
          <w:b/>
          <w:bCs/>
          <w:color w:val="auto"/>
          <w:sz w:val="30"/>
          <w:szCs w:val="30"/>
        </w:rPr>
      </w:pPr>
      <w:r>
        <w:rPr>
          <w:rStyle w:val="33"/>
          <w:rFonts w:hint="eastAsia" w:cs="宋体" w:asciiTheme="minorEastAsia" w:hAnsiTheme="minorEastAsia" w:eastAsiaTheme="minorEastAsia"/>
          <w:bCs w:val="0"/>
          <w:color w:val="auto"/>
          <w:sz w:val="30"/>
          <w:szCs w:val="30"/>
        </w:rPr>
        <w:t>资格证明文件</w:t>
      </w:r>
    </w:p>
    <w:p>
      <w:pPr>
        <w:numPr>
          <w:ilvl w:val="0"/>
          <w:numId w:val="6"/>
        </w:numPr>
        <w:jc w:val="left"/>
        <w:rPr>
          <w:rFonts w:cs="宋体" w:asciiTheme="minorEastAsia" w:hAnsiTheme="minorEastAsia" w:eastAsiaTheme="minorEastAsia"/>
          <w:b/>
          <w:bCs/>
          <w:color w:val="auto"/>
          <w:sz w:val="30"/>
          <w:szCs w:val="30"/>
        </w:rPr>
      </w:pPr>
      <w:r>
        <w:rPr>
          <w:rFonts w:hint="eastAsia" w:cs="宋体" w:asciiTheme="minorEastAsia" w:hAnsiTheme="minorEastAsia" w:eastAsiaTheme="minorEastAsia"/>
          <w:b/>
          <w:bCs/>
          <w:color w:val="auto"/>
          <w:sz w:val="30"/>
          <w:szCs w:val="30"/>
        </w:rPr>
        <w:t>项目业绩一览表</w:t>
      </w:r>
    </w:p>
    <w:p>
      <w:pPr>
        <w:numPr>
          <w:ilvl w:val="0"/>
          <w:numId w:val="6"/>
        </w:numPr>
        <w:jc w:val="left"/>
        <w:rPr>
          <w:rFonts w:cs="宋体" w:asciiTheme="minorEastAsia" w:hAnsiTheme="minorEastAsia" w:eastAsiaTheme="minorEastAsia"/>
          <w:b/>
          <w:bCs/>
          <w:color w:val="auto"/>
          <w:sz w:val="30"/>
          <w:szCs w:val="30"/>
        </w:rPr>
      </w:pPr>
      <w:r>
        <w:rPr>
          <w:rFonts w:hint="eastAsia" w:cs="宋体" w:asciiTheme="minorEastAsia" w:hAnsiTheme="minorEastAsia" w:eastAsiaTheme="minorEastAsia"/>
          <w:b/>
          <w:bCs/>
          <w:color w:val="auto"/>
          <w:sz w:val="30"/>
          <w:szCs w:val="30"/>
        </w:rPr>
        <w:t>服务方案</w:t>
      </w:r>
    </w:p>
    <w:p>
      <w:pPr>
        <w:numPr>
          <w:ilvl w:val="0"/>
          <w:numId w:val="6"/>
        </w:numPr>
        <w:jc w:val="left"/>
        <w:rPr>
          <w:rFonts w:cs="宋体" w:asciiTheme="minorEastAsia" w:hAnsiTheme="minorEastAsia" w:eastAsiaTheme="minorEastAsia"/>
          <w:b/>
          <w:bCs/>
          <w:color w:val="auto"/>
          <w:sz w:val="30"/>
          <w:szCs w:val="30"/>
        </w:rPr>
      </w:pPr>
      <w:r>
        <w:rPr>
          <w:rFonts w:hint="eastAsia" w:cs="宋体" w:asciiTheme="minorEastAsia" w:hAnsiTheme="minorEastAsia" w:eastAsiaTheme="minorEastAsia"/>
          <w:b/>
          <w:bCs/>
          <w:color w:val="auto"/>
          <w:sz w:val="30"/>
          <w:szCs w:val="30"/>
        </w:rPr>
        <w:t>其他资料</w:t>
      </w:r>
    </w:p>
    <w:p>
      <w:pPr>
        <w:jc w:val="left"/>
        <w:rPr>
          <w:rFonts w:cs="宋体" w:asciiTheme="minorEastAsia" w:hAnsiTheme="minorEastAsia" w:eastAsiaTheme="minorEastAsia"/>
          <w:b/>
          <w:bCs/>
          <w:color w:val="auto"/>
          <w:sz w:val="30"/>
          <w:szCs w:val="30"/>
        </w:rPr>
      </w:pPr>
    </w:p>
    <w:p>
      <w:pPr>
        <w:jc w:val="left"/>
        <w:rPr>
          <w:rFonts w:cs="宋体" w:asciiTheme="minorEastAsia" w:hAnsiTheme="minorEastAsia" w:eastAsiaTheme="minorEastAsia"/>
          <w:b/>
          <w:bCs/>
          <w:color w:val="auto"/>
          <w:sz w:val="30"/>
          <w:szCs w:val="30"/>
        </w:rPr>
        <w:sectPr>
          <w:pgSz w:w="11907" w:h="16840"/>
          <w:pgMar w:top="1440" w:right="1474" w:bottom="1440" w:left="1474" w:header="851" w:footer="992" w:gutter="0"/>
          <w:cols w:space="720" w:num="1"/>
          <w:docGrid w:type="lines" w:linePitch="312" w:charSpace="0"/>
        </w:sectPr>
      </w:pPr>
      <w:r>
        <w:rPr>
          <w:rFonts w:hint="eastAsia" w:cs="宋体" w:asciiTheme="minorEastAsia" w:hAnsiTheme="minorEastAsia" w:eastAsiaTheme="minorEastAsia"/>
          <w:color w:val="auto"/>
          <w:sz w:val="22"/>
          <w:szCs w:val="22"/>
        </w:rPr>
        <w:t>注：提供相应的页码索引</w:t>
      </w:r>
    </w:p>
    <w:p>
      <w:pPr>
        <w:pStyle w:val="3"/>
        <w:spacing w:line="500" w:lineRule="exact"/>
        <w:rPr>
          <w:rFonts w:asciiTheme="minorEastAsia" w:hAnsiTheme="minorEastAsia" w:eastAsiaTheme="minorEastAsia" w:cstheme="minorEastAsia"/>
          <w:bCs w:val="0"/>
          <w:color w:val="auto"/>
          <w:sz w:val="30"/>
          <w:szCs w:val="30"/>
          <w:u w:val="single"/>
        </w:rPr>
      </w:pPr>
      <w:r>
        <w:rPr>
          <w:rFonts w:hint="eastAsia" w:asciiTheme="minorEastAsia" w:hAnsiTheme="minorEastAsia" w:eastAsiaTheme="minorEastAsia" w:cstheme="minorEastAsia"/>
          <w:color w:val="auto"/>
          <w:sz w:val="30"/>
          <w:szCs w:val="30"/>
        </w:rPr>
        <w:t>一、投标函、投标报价</w:t>
      </w:r>
    </w:p>
    <w:p>
      <w:pPr>
        <w:spacing w:line="500" w:lineRule="exact"/>
        <w:jc w:val="center"/>
        <w:rPr>
          <w:rFonts w:asciiTheme="minorEastAsia" w:hAnsiTheme="minorEastAsia" w:eastAsiaTheme="minorEastAsia"/>
          <w:b/>
          <w:color w:val="auto"/>
          <w:sz w:val="28"/>
          <w:szCs w:val="28"/>
        </w:rPr>
      </w:pPr>
      <w:bookmarkStart w:id="405" w:name="_Toc171325098"/>
      <w:r>
        <w:rPr>
          <w:rFonts w:hint="eastAsia" w:asciiTheme="minorEastAsia" w:hAnsiTheme="minorEastAsia" w:eastAsiaTheme="minorEastAsia"/>
          <w:b/>
          <w:color w:val="auto"/>
          <w:sz w:val="28"/>
          <w:szCs w:val="28"/>
        </w:rPr>
        <w:t>1、投标函</w:t>
      </w:r>
      <w:bookmarkEnd w:id="405"/>
    </w:p>
    <w:p>
      <w:pPr>
        <w:snapToGrid w:val="0"/>
        <w:spacing w:beforeLines="50" w:line="360" w:lineRule="auto"/>
        <w:rPr>
          <w:rFonts w:cs="宋体" w:asciiTheme="minorEastAsia" w:hAnsiTheme="minorEastAsia" w:eastAsiaTheme="minorEastAsia"/>
          <w:b/>
          <w:bCs/>
          <w:color w:val="auto"/>
          <w:sz w:val="24"/>
          <w:lang w:val="en-GB"/>
        </w:rPr>
      </w:pPr>
      <w:bookmarkStart w:id="406" w:name="_Toc171325099"/>
      <w:r>
        <w:rPr>
          <w:rFonts w:hint="eastAsia" w:cs="宋体" w:asciiTheme="minorEastAsia" w:hAnsiTheme="minorEastAsia" w:eastAsiaTheme="minorEastAsia"/>
          <w:b/>
          <w:bCs/>
          <w:color w:val="auto"/>
          <w:sz w:val="24"/>
          <w:lang w:val="en-GB"/>
        </w:rPr>
        <w:t>致：海南中政源达项目管理有限公司</w:t>
      </w:r>
    </w:p>
    <w:p>
      <w:pPr>
        <w:snapToGrid w:val="0"/>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根据贵单位</w:t>
      </w:r>
      <w:r>
        <w:rPr>
          <w:rFonts w:hint="eastAsia" w:cs="宋体" w:asciiTheme="minorEastAsia" w:hAnsiTheme="minorEastAsia" w:eastAsiaTheme="minorEastAsia"/>
          <w:color w:val="auto"/>
          <w:sz w:val="24"/>
          <w:u w:val="single"/>
        </w:rPr>
        <w:t>东方市城乡公交客运服务一体化特许经营项目（</w:t>
      </w:r>
      <w:r>
        <w:rPr>
          <w:rFonts w:hint="eastAsia" w:cs="宋体" w:asciiTheme="minorEastAsia" w:hAnsiTheme="minorEastAsia" w:eastAsiaTheme="minorEastAsia"/>
          <w:color w:val="auto"/>
          <w:sz w:val="24"/>
          <w:u w:val="single"/>
          <w:lang w:val="en-GB"/>
        </w:rPr>
        <w:t>项目编号：ZZYDC20190421</w:t>
      </w:r>
      <w:r>
        <w:rPr>
          <w:rFonts w:hint="eastAsia" w:cs="宋体" w:asciiTheme="minorEastAsia" w:hAnsiTheme="minorEastAsia" w:eastAsiaTheme="minorEastAsia"/>
          <w:color w:val="auto"/>
          <w:sz w:val="24"/>
          <w:u w:val="single"/>
        </w:rPr>
        <w:t>）</w:t>
      </w:r>
      <w:r>
        <w:rPr>
          <w:rFonts w:hint="eastAsia" w:cs="宋体" w:asciiTheme="minorEastAsia" w:hAnsiTheme="minorEastAsia" w:eastAsiaTheme="minorEastAsia"/>
          <w:color w:val="auto"/>
          <w:sz w:val="24"/>
          <w:lang w:val="en-GB"/>
        </w:rPr>
        <w:t>的投标邀请函，正式授权下述签字人</w:t>
      </w:r>
      <w:r>
        <w:rPr>
          <w:rFonts w:hint="eastAsia" w:cs="宋体" w:asciiTheme="minorEastAsia" w:hAnsiTheme="minorEastAsia" w:eastAsiaTheme="minorEastAsia"/>
          <w:color w:val="auto"/>
          <w:sz w:val="24"/>
          <w:u w:val="single"/>
          <w:lang w:val="en-GB"/>
        </w:rPr>
        <w:t xml:space="preserve">姓名：     职务：       </w:t>
      </w:r>
      <w:r>
        <w:rPr>
          <w:rFonts w:hint="eastAsia" w:cs="宋体" w:asciiTheme="minorEastAsia" w:hAnsiTheme="minorEastAsia" w:eastAsiaTheme="minorEastAsia"/>
          <w:color w:val="auto"/>
          <w:sz w:val="24"/>
          <w:lang w:val="en-GB"/>
        </w:rPr>
        <w:t>代表投标人</w:t>
      </w:r>
      <w:r>
        <w:rPr>
          <w:rFonts w:hint="eastAsia" w:cs="宋体" w:asciiTheme="minorEastAsia" w:hAnsiTheme="minorEastAsia" w:eastAsiaTheme="minorEastAsia"/>
          <w:color w:val="auto"/>
          <w:sz w:val="24"/>
          <w:u w:val="single"/>
          <w:lang w:val="en-GB"/>
        </w:rPr>
        <w:t xml:space="preserve">（投标人名称）   </w:t>
      </w:r>
      <w:r>
        <w:rPr>
          <w:rFonts w:hint="eastAsia" w:cs="宋体" w:asciiTheme="minorEastAsia" w:hAnsiTheme="minorEastAsia" w:eastAsiaTheme="minorEastAsia"/>
          <w:color w:val="auto"/>
          <w:sz w:val="24"/>
          <w:lang w:val="en-GB"/>
        </w:rPr>
        <w:t>，提交纸质投标文件正本一式</w:t>
      </w:r>
      <w:r>
        <w:rPr>
          <w:rFonts w:hint="eastAsia" w:cs="宋体" w:asciiTheme="minorEastAsia" w:hAnsiTheme="minorEastAsia" w:eastAsiaTheme="minorEastAsia"/>
          <w:color w:val="auto"/>
          <w:sz w:val="24"/>
          <w:u w:val="single"/>
          <w:lang w:val="en-GB"/>
        </w:rPr>
        <w:t>一份</w:t>
      </w:r>
      <w:r>
        <w:rPr>
          <w:rFonts w:hint="eastAsia" w:cs="宋体" w:asciiTheme="minorEastAsia" w:hAnsiTheme="minorEastAsia" w:eastAsiaTheme="minorEastAsia"/>
          <w:color w:val="auto"/>
          <w:sz w:val="24"/>
          <w:lang w:val="en-GB"/>
        </w:rPr>
        <w:t>，副本一式</w:t>
      </w:r>
      <w:r>
        <w:rPr>
          <w:rFonts w:hint="eastAsia" w:cs="宋体" w:asciiTheme="minorEastAsia" w:hAnsiTheme="minorEastAsia" w:eastAsiaTheme="minorEastAsia"/>
          <w:color w:val="auto"/>
          <w:sz w:val="24"/>
          <w:u w:val="single"/>
          <w:lang w:val="en-GB"/>
        </w:rPr>
        <w:t>六份</w:t>
      </w:r>
      <w:r>
        <w:rPr>
          <w:rFonts w:hint="eastAsia" w:cs="宋体" w:asciiTheme="minorEastAsia" w:hAnsiTheme="minorEastAsia" w:eastAsiaTheme="minorEastAsia"/>
          <w:color w:val="auto"/>
          <w:sz w:val="24"/>
          <w:lang w:val="en-GB"/>
        </w:rPr>
        <w:t>。</w:t>
      </w:r>
    </w:p>
    <w:p>
      <w:pPr>
        <w:snapToGrid w:val="0"/>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本公司谨此承诺并声明：</w:t>
      </w:r>
    </w:p>
    <w:p>
      <w:pPr>
        <w:snapToGrid w:val="0"/>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 xml:space="preserve">1、同意并接受招标文件的各项条款要求，遵守文件中的各项规定，按招标文件的要求投标。 </w:t>
      </w:r>
    </w:p>
    <w:p>
      <w:pPr>
        <w:snapToGrid w:val="0"/>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2、</w:t>
      </w:r>
      <w:r>
        <w:rPr>
          <w:rFonts w:hint="eastAsia" w:cs="宋体" w:asciiTheme="minorEastAsia" w:hAnsiTheme="minorEastAsia" w:eastAsiaTheme="minorEastAsia"/>
          <w:bCs/>
          <w:color w:val="auto"/>
          <w:kern w:val="0"/>
          <w:sz w:val="24"/>
          <w:lang w:val="en-GB"/>
        </w:rPr>
        <w:t>本投标文件的有效期为从投标截止日期起计算的</w:t>
      </w:r>
      <w:r>
        <w:rPr>
          <w:rFonts w:hint="eastAsia" w:cs="宋体" w:asciiTheme="minorEastAsia" w:hAnsiTheme="minorEastAsia" w:eastAsiaTheme="minorEastAsia"/>
          <w:b/>
          <w:color w:val="auto"/>
          <w:kern w:val="0"/>
          <w:sz w:val="24"/>
          <w:u w:val="single"/>
        </w:rPr>
        <w:t>60</w:t>
      </w:r>
      <w:r>
        <w:rPr>
          <w:rFonts w:hint="eastAsia" w:cs="宋体" w:asciiTheme="minorEastAsia" w:hAnsiTheme="minorEastAsia" w:eastAsiaTheme="minorEastAsia"/>
          <w:bCs/>
          <w:color w:val="auto"/>
          <w:kern w:val="0"/>
          <w:sz w:val="24"/>
          <w:lang w:val="en-GB"/>
        </w:rPr>
        <w:t>天，在此期间，本投标文件将始终对我们具有约束力，并可随时被接受</w:t>
      </w:r>
      <w:r>
        <w:rPr>
          <w:rFonts w:hint="eastAsia" w:cs="宋体" w:asciiTheme="minorEastAsia" w:hAnsiTheme="minorEastAsia" w:eastAsiaTheme="minorEastAsia"/>
          <w:color w:val="auto"/>
          <w:sz w:val="24"/>
          <w:lang w:val="en-GB"/>
        </w:rPr>
        <w:t>澄清</w:t>
      </w:r>
      <w:r>
        <w:rPr>
          <w:rFonts w:hint="eastAsia" w:cs="宋体" w:asciiTheme="minorEastAsia" w:hAnsiTheme="minorEastAsia" w:eastAsiaTheme="minorEastAsia"/>
          <w:bCs/>
          <w:color w:val="auto"/>
          <w:kern w:val="0"/>
          <w:sz w:val="24"/>
          <w:lang w:val="en-GB"/>
        </w:rPr>
        <w:t>。如果我们中标，本投标文件在此期间之后将继续保持有效。</w:t>
      </w:r>
    </w:p>
    <w:p>
      <w:pPr>
        <w:snapToGrid w:val="0"/>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3、我方已经详细地阅读了全部招标文件及其附件，包括澄清及参考文件。我方已完全清晰理解招标文件的要求，不存在任何含糊不清和误解之处，同意放弃对这些文件所提出的异议和质疑的权利。</w:t>
      </w:r>
    </w:p>
    <w:p>
      <w:pPr>
        <w:snapToGrid w:val="0"/>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4、我方已毫无保留地向贵方提供一切所需的证明材料。不论在任何时候，将按贵方要求如实提供一切补充材料。</w:t>
      </w:r>
    </w:p>
    <w:p>
      <w:pPr>
        <w:snapToGrid w:val="0"/>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5、我方承诺在本次投标中提供的一切文件，无论是原件还是复印件均为真实和准确的，绝无任何虚假、伪造和夸大的成份，否则，愿承担相应的后果和法律责任。</w:t>
      </w:r>
    </w:p>
    <w:p>
      <w:pPr>
        <w:snapToGrid w:val="0"/>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6、我方完全服从和尊重评标委员会所作的评审结果，同时清楚理解到投标报价最低并不一定获得中标资格。</w:t>
      </w:r>
    </w:p>
    <w:p>
      <w:pPr>
        <w:snapToGrid w:val="0"/>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7、我方同意按招标文件规定向贵司缴纳投标保证金，</w:t>
      </w:r>
      <w:r>
        <w:rPr>
          <w:rFonts w:hint="eastAsia" w:cs="宋体" w:asciiTheme="minorEastAsia" w:hAnsiTheme="minorEastAsia" w:eastAsiaTheme="minorEastAsia"/>
          <w:bCs/>
          <w:color w:val="auto"/>
          <w:kern w:val="0"/>
          <w:sz w:val="24"/>
          <w:lang w:val="en-GB"/>
        </w:rPr>
        <w:t>如果获得中标并按《中标通知书》的要求，</w:t>
      </w:r>
      <w:r>
        <w:rPr>
          <w:rFonts w:hint="eastAsia" w:cs="宋体" w:asciiTheme="minorEastAsia" w:hAnsiTheme="minorEastAsia" w:eastAsiaTheme="minorEastAsia"/>
          <w:color w:val="auto"/>
          <w:sz w:val="24"/>
          <w:lang w:val="en-GB"/>
        </w:rPr>
        <w:t>如期签订合同并履行其一切责任和义务。</w:t>
      </w:r>
    </w:p>
    <w:p>
      <w:pPr>
        <w:snapToGrid w:val="0"/>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8、我方在参与本次公开招标采购活动中，不以任何不当手段影响、串通、排斥有关当事人或谋取、施予非法利益，如有不当行为，愿承担此行为所造成的不利后果和法律责任。</w:t>
      </w:r>
    </w:p>
    <w:p>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9、我公司与参加该项目投标的其它供应商未存在单位负责人为同一人、未存在直接控股或管理关系。</w:t>
      </w:r>
    </w:p>
    <w:p>
      <w:pPr>
        <w:snapToGrid w:val="0"/>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我公司若有违反以上承诺和声明的行为，将无条件接受取消投标资格及中标资格、接受列入不良行为名单的处罚，对此造成的一切损失及法律责任，均由我公司承担。</w:t>
      </w: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投标人名称：</w:t>
      </w:r>
      <w:r>
        <w:rPr>
          <w:rFonts w:hint="eastAsia" w:cs="宋体" w:asciiTheme="minorEastAsia" w:hAnsiTheme="minorEastAsia" w:eastAsiaTheme="minorEastAsia"/>
          <w:color w:val="auto"/>
          <w:sz w:val="24"/>
          <w:u w:val="single"/>
        </w:rPr>
        <w:t xml:space="preserve">          （盖公章）</w:t>
      </w: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法定代表人或授权代表签字：</w:t>
      </w:r>
      <w:r>
        <w:rPr>
          <w:rFonts w:hint="eastAsia" w:cs="宋体" w:asciiTheme="minorEastAsia" w:hAnsiTheme="minorEastAsia" w:eastAsiaTheme="minorEastAsia"/>
          <w:color w:val="auto"/>
          <w:sz w:val="24"/>
          <w:u w:val="single"/>
        </w:rPr>
        <w:t xml:space="preserve">                </w:t>
      </w: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日      期：</w:t>
      </w:r>
      <w:r>
        <w:rPr>
          <w:rFonts w:hint="eastAsia" w:cs="宋体" w:asciiTheme="minorEastAsia" w:hAnsiTheme="minorEastAsia" w:eastAsiaTheme="minorEastAsia"/>
          <w:color w:val="auto"/>
          <w:sz w:val="24"/>
          <w:u w:val="single"/>
        </w:rPr>
        <w:t xml:space="preserve">                   </w:t>
      </w:r>
    </w:p>
    <w:p>
      <w:pPr>
        <w:spacing w:line="480" w:lineRule="auto"/>
        <w:jc w:val="center"/>
        <w:rPr>
          <w:rFonts w:asciiTheme="minorEastAsia" w:hAnsiTheme="minorEastAsia" w:eastAsiaTheme="minorEastAsia"/>
          <w:b/>
          <w:color w:val="auto"/>
          <w:sz w:val="28"/>
          <w:szCs w:val="28"/>
        </w:rPr>
      </w:pPr>
      <w:r>
        <w:rPr>
          <w:rFonts w:asciiTheme="minorEastAsia" w:hAnsiTheme="minorEastAsia" w:eastAsiaTheme="minorEastAsia"/>
          <w:b/>
          <w:color w:val="auto"/>
          <w:sz w:val="28"/>
          <w:szCs w:val="28"/>
        </w:rPr>
        <w:br w:type="page"/>
      </w:r>
      <w:r>
        <w:rPr>
          <w:rFonts w:hint="eastAsia" w:asciiTheme="minorEastAsia" w:hAnsiTheme="minorEastAsia" w:eastAsiaTheme="minorEastAsia"/>
          <w:b/>
          <w:color w:val="auto"/>
          <w:sz w:val="28"/>
          <w:szCs w:val="28"/>
        </w:rPr>
        <w:t>2.开标一览表</w:t>
      </w:r>
      <w:bookmarkEnd w:id="406"/>
    </w:p>
    <w:p>
      <w:pPr>
        <w:spacing w:line="500" w:lineRule="exact"/>
        <w:rPr>
          <w:rFonts w:asciiTheme="minorEastAsia" w:hAnsiTheme="minorEastAsia" w:eastAsiaTheme="minorEastAsia"/>
          <w:bCs/>
          <w:color w:val="auto"/>
          <w:sz w:val="24"/>
        </w:rPr>
      </w:pPr>
      <w:r>
        <w:rPr>
          <w:rFonts w:asciiTheme="minorEastAsia" w:hAnsiTheme="minorEastAsia" w:eastAsiaTheme="minorEastAsia"/>
          <w:color w:val="auto"/>
          <w:sz w:val="24"/>
        </w:rPr>
        <w:t>项目名称：</w:t>
      </w:r>
      <w:r>
        <w:rPr>
          <w:rFonts w:hint="eastAsia" w:cs="宋体" w:asciiTheme="minorEastAsia" w:hAnsiTheme="minorEastAsia" w:eastAsiaTheme="minorEastAsia"/>
          <w:color w:val="auto"/>
          <w:sz w:val="24"/>
          <w:u w:val="single"/>
        </w:rPr>
        <w:t>东方市城乡公交客运服务一体化特许经营项目</w:t>
      </w:r>
    </w:p>
    <w:p>
      <w:pPr>
        <w:spacing w:line="500" w:lineRule="exact"/>
        <w:rPr>
          <w:rFonts w:asciiTheme="minorEastAsia" w:hAnsiTheme="minorEastAsia" w:eastAsiaTheme="minorEastAsia"/>
          <w:bCs/>
          <w:color w:val="auto"/>
          <w:sz w:val="24"/>
          <w:u w:val="single"/>
        </w:rPr>
      </w:pPr>
      <w:r>
        <w:rPr>
          <w:rFonts w:hint="eastAsia" w:asciiTheme="minorEastAsia" w:hAnsiTheme="minorEastAsia" w:eastAsiaTheme="minorEastAsia"/>
          <w:color w:val="auto"/>
          <w:sz w:val="24"/>
        </w:rPr>
        <w:t>采购编号</w:t>
      </w:r>
      <w:r>
        <w:rPr>
          <w:rFonts w:asciiTheme="minorEastAsia" w:hAnsiTheme="minorEastAsia" w:eastAsiaTheme="minorEastAsia"/>
          <w:color w:val="auto"/>
          <w:sz w:val="24"/>
        </w:rPr>
        <w:t>：</w:t>
      </w:r>
      <w:r>
        <w:rPr>
          <w:rFonts w:hint="eastAsia" w:cs="宋体" w:asciiTheme="minorEastAsia" w:hAnsiTheme="minorEastAsia" w:eastAsiaTheme="minorEastAsia"/>
          <w:color w:val="auto"/>
          <w:sz w:val="24"/>
          <w:u w:val="single"/>
          <w:lang w:val="en-GB"/>
        </w:rPr>
        <w:t>ZZYDC20190421</w:t>
      </w:r>
    </w:p>
    <w:p>
      <w:pPr>
        <w:spacing w:afterLines="50"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（独立信封另密封一份）</w:t>
      </w:r>
    </w:p>
    <w:tbl>
      <w:tblPr>
        <w:tblStyle w:val="23"/>
        <w:tblW w:w="9874" w:type="dxa"/>
        <w:tblInd w:w="-4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43"/>
        <w:gridCol w:w="2552"/>
        <w:gridCol w:w="2126"/>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trPr>
        <w:tc>
          <w:tcPr>
            <w:tcW w:w="851" w:type="dxa"/>
            <w:vAlign w:val="center"/>
          </w:tcPr>
          <w:p>
            <w:pPr>
              <w:snapToGrid w:val="0"/>
              <w:spacing w:line="360" w:lineRule="auto"/>
              <w:jc w:val="center"/>
              <w:textAlignment w:val="baseline"/>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包号</w:t>
            </w:r>
          </w:p>
        </w:tc>
        <w:tc>
          <w:tcPr>
            <w:tcW w:w="943" w:type="dxa"/>
            <w:vAlign w:val="center"/>
          </w:tcPr>
          <w:p>
            <w:pPr>
              <w:snapToGrid w:val="0"/>
              <w:spacing w:line="360" w:lineRule="auto"/>
              <w:jc w:val="center"/>
              <w:textAlignment w:val="baseline"/>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序号</w:t>
            </w:r>
          </w:p>
        </w:tc>
        <w:tc>
          <w:tcPr>
            <w:tcW w:w="2552" w:type="dxa"/>
            <w:vAlign w:val="center"/>
          </w:tcPr>
          <w:p>
            <w:pPr>
              <w:snapToGrid w:val="0"/>
              <w:spacing w:line="360" w:lineRule="auto"/>
              <w:jc w:val="center"/>
              <w:textAlignment w:val="baseline"/>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项目内容</w:t>
            </w:r>
          </w:p>
        </w:tc>
        <w:tc>
          <w:tcPr>
            <w:tcW w:w="2126" w:type="dxa"/>
            <w:vAlign w:val="center"/>
          </w:tcPr>
          <w:p>
            <w:pPr>
              <w:spacing w:line="360" w:lineRule="auto"/>
              <w:jc w:val="center"/>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投标报价</w:t>
            </w:r>
          </w:p>
          <w:p>
            <w:pPr>
              <w:spacing w:line="360" w:lineRule="auto"/>
              <w:jc w:val="center"/>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（浮动率报价/%）</w:t>
            </w:r>
          </w:p>
        </w:tc>
        <w:tc>
          <w:tcPr>
            <w:tcW w:w="1701" w:type="dxa"/>
            <w:vAlign w:val="center"/>
          </w:tcPr>
          <w:p>
            <w:pPr>
              <w:spacing w:line="360" w:lineRule="auto"/>
              <w:jc w:val="center"/>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经营服务期</w:t>
            </w:r>
          </w:p>
        </w:tc>
        <w:tc>
          <w:tcPr>
            <w:tcW w:w="1701" w:type="dxa"/>
            <w:vAlign w:val="center"/>
          </w:tcPr>
          <w:p>
            <w:pPr>
              <w:spacing w:line="360" w:lineRule="auto"/>
              <w:jc w:val="center"/>
              <w:rPr>
                <w:rFonts w:cs="宋体" w:asciiTheme="minorEastAsia" w:hAnsiTheme="minorEastAsia" w:eastAsiaTheme="minorEastAsia"/>
                <w:b/>
                <w:color w:val="auto"/>
                <w:sz w:val="24"/>
              </w:rPr>
            </w:pPr>
            <w:r>
              <w:rPr>
                <w:rFonts w:hint="eastAsia" w:cs="宋体" w:asciiTheme="minorEastAsia" w:hAnsiTheme="minorEastAsia" w:eastAsiaTheme="minorEastAsia"/>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trPr>
        <w:tc>
          <w:tcPr>
            <w:tcW w:w="851" w:type="dxa"/>
            <w:vMerge w:val="restart"/>
            <w:vAlign w:val="center"/>
          </w:tcPr>
          <w:p>
            <w:pPr>
              <w:snapToGrid w:val="0"/>
              <w:spacing w:line="360" w:lineRule="auto"/>
              <w:jc w:val="center"/>
              <w:textAlignment w:val="baseline"/>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项目本身</w:t>
            </w:r>
          </w:p>
        </w:tc>
        <w:tc>
          <w:tcPr>
            <w:tcW w:w="943"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1</w:t>
            </w:r>
          </w:p>
        </w:tc>
        <w:tc>
          <w:tcPr>
            <w:tcW w:w="2552" w:type="dxa"/>
            <w:vAlign w:val="center"/>
          </w:tcPr>
          <w:p>
            <w:pPr>
              <w:spacing w:line="360" w:lineRule="auto"/>
              <w:ind w:firstLine="120" w:firstLineChars="50"/>
              <w:rPr>
                <w:rFonts w:cs="宋体" w:asciiTheme="minorEastAsia" w:hAnsiTheme="minorEastAsia" w:eastAsiaTheme="minorEastAsia"/>
                <w:b/>
                <w:color w:val="auto"/>
                <w:sz w:val="24"/>
              </w:rPr>
            </w:pPr>
            <w:r>
              <w:rPr>
                <w:rFonts w:hint="eastAsia" w:cs="宋体" w:asciiTheme="minorEastAsia" w:hAnsiTheme="minorEastAsia" w:eastAsiaTheme="minorEastAsia"/>
                <w:color w:val="auto"/>
                <w:sz w:val="24"/>
              </w:rPr>
              <w:t>项目资本金回报率</w:t>
            </w:r>
          </w:p>
        </w:tc>
        <w:tc>
          <w:tcPr>
            <w:tcW w:w="2126" w:type="dxa"/>
            <w:vAlign w:val="center"/>
          </w:tcPr>
          <w:p>
            <w:pPr>
              <w:spacing w:line="360" w:lineRule="auto"/>
              <w:jc w:val="center"/>
              <w:rPr>
                <w:rFonts w:cs="宋体" w:asciiTheme="minorEastAsia" w:hAnsiTheme="minorEastAsia" w:eastAsiaTheme="minorEastAsia"/>
                <w:bCs/>
                <w:color w:val="auto"/>
                <w:sz w:val="24"/>
              </w:rPr>
            </w:pPr>
          </w:p>
        </w:tc>
        <w:tc>
          <w:tcPr>
            <w:tcW w:w="1701" w:type="dxa"/>
            <w:vMerge w:val="restart"/>
            <w:vAlign w:val="center"/>
          </w:tcPr>
          <w:p>
            <w:pPr>
              <w:spacing w:line="360" w:lineRule="auto"/>
              <w:jc w:val="center"/>
              <w:rPr>
                <w:rFonts w:cs="宋体" w:asciiTheme="minorEastAsia" w:hAnsiTheme="minorEastAsia" w:eastAsiaTheme="minorEastAsia"/>
                <w:color w:val="auto"/>
                <w:sz w:val="24"/>
              </w:rPr>
            </w:pPr>
          </w:p>
        </w:tc>
        <w:tc>
          <w:tcPr>
            <w:tcW w:w="1701" w:type="dxa"/>
            <w:vMerge w:val="restart"/>
            <w:vAlign w:val="center"/>
          </w:tcPr>
          <w:p>
            <w:pPr>
              <w:spacing w:line="360" w:lineRule="auto"/>
              <w:jc w:val="center"/>
              <w:rPr>
                <w:rFonts w:cs="宋体" w:asciiTheme="minorEastAsia" w:hAnsiTheme="minorEastAsia" w:eastAsia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trPr>
        <w:tc>
          <w:tcPr>
            <w:tcW w:w="851" w:type="dxa"/>
            <w:vMerge w:val="continue"/>
            <w:vAlign w:val="center"/>
          </w:tcPr>
          <w:p>
            <w:pPr>
              <w:snapToGrid w:val="0"/>
              <w:spacing w:line="360" w:lineRule="auto"/>
              <w:jc w:val="center"/>
              <w:textAlignment w:val="baseline"/>
              <w:rPr>
                <w:rFonts w:cs="宋体" w:asciiTheme="minorEastAsia" w:hAnsiTheme="minorEastAsia" w:eastAsiaTheme="minorEastAsia"/>
                <w:color w:val="auto"/>
                <w:sz w:val="24"/>
              </w:rPr>
            </w:pPr>
          </w:p>
        </w:tc>
        <w:tc>
          <w:tcPr>
            <w:tcW w:w="943"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2</w:t>
            </w:r>
          </w:p>
        </w:tc>
        <w:tc>
          <w:tcPr>
            <w:tcW w:w="2552"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融资成本回报率</w:t>
            </w:r>
          </w:p>
        </w:tc>
        <w:tc>
          <w:tcPr>
            <w:tcW w:w="2126" w:type="dxa"/>
            <w:vAlign w:val="center"/>
          </w:tcPr>
          <w:p>
            <w:pPr>
              <w:spacing w:line="360" w:lineRule="auto"/>
              <w:jc w:val="center"/>
              <w:rPr>
                <w:rFonts w:cs="宋体" w:asciiTheme="minorEastAsia" w:hAnsiTheme="minorEastAsia" w:eastAsiaTheme="minorEastAsia"/>
                <w:color w:val="auto"/>
                <w:sz w:val="24"/>
                <w:lang w:val="en-GB"/>
              </w:rPr>
            </w:pPr>
          </w:p>
        </w:tc>
        <w:tc>
          <w:tcPr>
            <w:tcW w:w="1701" w:type="dxa"/>
            <w:vMerge w:val="continue"/>
            <w:vAlign w:val="center"/>
          </w:tcPr>
          <w:p>
            <w:pPr>
              <w:spacing w:line="360" w:lineRule="auto"/>
              <w:jc w:val="center"/>
              <w:rPr>
                <w:rFonts w:cs="宋体" w:asciiTheme="minorEastAsia" w:hAnsiTheme="minorEastAsia" w:eastAsiaTheme="minorEastAsia"/>
                <w:color w:val="auto"/>
                <w:sz w:val="24"/>
              </w:rPr>
            </w:pPr>
          </w:p>
        </w:tc>
        <w:tc>
          <w:tcPr>
            <w:tcW w:w="1701" w:type="dxa"/>
            <w:vMerge w:val="continue"/>
            <w:vAlign w:val="center"/>
          </w:tcPr>
          <w:p>
            <w:pPr>
              <w:spacing w:line="360" w:lineRule="auto"/>
              <w:jc w:val="center"/>
              <w:rPr>
                <w:rFonts w:cs="宋体" w:asciiTheme="minorEastAsia" w:hAnsiTheme="minorEastAsia" w:eastAsia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trPr>
        <w:tc>
          <w:tcPr>
            <w:tcW w:w="851" w:type="dxa"/>
            <w:vMerge w:val="continue"/>
            <w:vAlign w:val="center"/>
          </w:tcPr>
          <w:p>
            <w:pPr>
              <w:snapToGrid w:val="0"/>
              <w:spacing w:line="360" w:lineRule="auto"/>
              <w:jc w:val="center"/>
              <w:textAlignment w:val="baseline"/>
              <w:rPr>
                <w:rFonts w:cs="宋体" w:asciiTheme="minorEastAsia" w:hAnsiTheme="minorEastAsia" w:eastAsiaTheme="minorEastAsia"/>
                <w:color w:val="auto"/>
                <w:sz w:val="24"/>
              </w:rPr>
            </w:pPr>
          </w:p>
        </w:tc>
        <w:tc>
          <w:tcPr>
            <w:tcW w:w="943"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3</w:t>
            </w:r>
          </w:p>
        </w:tc>
        <w:tc>
          <w:tcPr>
            <w:tcW w:w="2552"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可控成本下浮率</w:t>
            </w:r>
          </w:p>
        </w:tc>
        <w:tc>
          <w:tcPr>
            <w:tcW w:w="2126" w:type="dxa"/>
            <w:vAlign w:val="center"/>
          </w:tcPr>
          <w:p>
            <w:pPr>
              <w:spacing w:line="360" w:lineRule="auto"/>
              <w:jc w:val="center"/>
              <w:rPr>
                <w:rFonts w:cs="宋体" w:asciiTheme="minorEastAsia" w:hAnsiTheme="minorEastAsia" w:eastAsiaTheme="minorEastAsia"/>
                <w:color w:val="auto"/>
                <w:sz w:val="24"/>
                <w:lang w:val="en-GB"/>
              </w:rPr>
            </w:pPr>
          </w:p>
        </w:tc>
        <w:tc>
          <w:tcPr>
            <w:tcW w:w="1701" w:type="dxa"/>
            <w:vMerge w:val="continue"/>
            <w:vAlign w:val="center"/>
          </w:tcPr>
          <w:p>
            <w:pPr>
              <w:spacing w:line="360" w:lineRule="auto"/>
              <w:jc w:val="center"/>
              <w:rPr>
                <w:rFonts w:cs="宋体" w:asciiTheme="minorEastAsia" w:hAnsiTheme="minorEastAsia" w:eastAsiaTheme="minorEastAsia"/>
                <w:color w:val="auto"/>
                <w:sz w:val="24"/>
              </w:rPr>
            </w:pPr>
          </w:p>
        </w:tc>
        <w:tc>
          <w:tcPr>
            <w:tcW w:w="1701" w:type="dxa"/>
            <w:vMerge w:val="continue"/>
            <w:vAlign w:val="center"/>
          </w:tcPr>
          <w:p>
            <w:pPr>
              <w:spacing w:line="360" w:lineRule="auto"/>
              <w:jc w:val="center"/>
              <w:rPr>
                <w:rFonts w:cs="宋体" w:asciiTheme="minorEastAsia" w:hAnsiTheme="minorEastAsia" w:eastAsia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trPr>
        <w:tc>
          <w:tcPr>
            <w:tcW w:w="851" w:type="dxa"/>
            <w:vMerge w:val="continue"/>
            <w:vAlign w:val="center"/>
          </w:tcPr>
          <w:p>
            <w:pPr>
              <w:snapToGrid w:val="0"/>
              <w:spacing w:line="360" w:lineRule="auto"/>
              <w:jc w:val="center"/>
              <w:textAlignment w:val="baseline"/>
              <w:rPr>
                <w:rFonts w:cs="宋体" w:asciiTheme="minorEastAsia" w:hAnsiTheme="minorEastAsia" w:eastAsiaTheme="minorEastAsia"/>
                <w:color w:val="auto"/>
                <w:sz w:val="24"/>
              </w:rPr>
            </w:pPr>
          </w:p>
        </w:tc>
        <w:tc>
          <w:tcPr>
            <w:tcW w:w="943"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4</w:t>
            </w:r>
          </w:p>
        </w:tc>
        <w:tc>
          <w:tcPr>
            <w:tcW w:w="2552"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每公里可变成本下浮率</w:t>
            </w:r>
          </w:p>
        </w:tc>
        <w:tc>
          <w:tcPr>
            <w:tcW w:w="2126" w:type="dxa"/>
            <w:vAlign w:val="center"/>
          </w:tcPr>
          <w:p>
            <w:pPr>
              <w:spacing w:line="360" w:lineRule="auto"/>
              <w:jc w:val="center"/>
              <w:rPr>
                <w:rFonts w:cs="宋体" w:asciiTheme="minorEastAsia" w:hAnsiTheme="minorEastAsia" w:eastAsiaTheme="minorEastAsia"/>
                <w:color w:val="auto"/>
                <w:sz w:val="24"/>
                <w:lang w:val="en-GB"/>
              </w:rPr>
            </w:pPr>
          </w:p>
        </w:tc>
        <w:tc>
          <w:tcPr>
            <w:tcW w:w="1701" w:type="dxa"/>
            <w:vMerge w:val="continue"/>
            <w:vAlign w:val="center"/>
          </w:tcPr>
          <w:p>
            <w:pPr>
              <w:spacing w:line="360" w:lineRule="auto"/>
              <w:jc w:val="center"/>
              <w:rPr>
                <w:rFonts w:cs="宋体" w:asciiTheme="minorEastAsia" w:hAnsiTheme="minorEastAsia" w:eastAsiaTheme="minorEastAsia"/>
                <w:color w:val="auto"/>
                <w:sz w:val="24"/>
              </w:rPr>
            </w:pPr>
          </w:p>
        </w:tc>
        <w:tc>
          <w:tcPr>
            <w:tcW w:w="1701" w:type="dxa"/>
            <w:vMerge w:val="continue"/>
            <w:vAlign w:val="center"/>
          </w:tcPr>
          <w:p>
            <w:pPr>
              <w:spacing w:line="360" w:lineRule="auto"/>
              <w:jc w:val="center"/>
              <w:rPr>
                <w:rFonts w:cs="宋体" w:asciiTheme="minorEastAsia" w:hAnsiTheme="minorEastAsia" w:eastAsia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trPr>
        <w:tc>
          <w:tcPr>
            <w:tcW w:w="851" w:type="dxa"/>
            <w:vMerge w:val="continue"/>
            <w:vAlign w:val="center"/>
          </w:tcPr>
          <w:p>
            <w:pPr>
              <w:snapToGrid w:val="0"/>
              <w:spacing w:line="360" w:lineRule="auto"/>
              <w:jc w:val="center"/>
              <w:textAlignment w:val="baseline"/>
              <w:rPr>
                <w:rFonts w:cs="宋体" w:asciiTheme="minorEastAsia" w:hAnsiTheme="minorEastAsia" w:eastAsiaTheme="minorEastAsia"/>
                <w:color w:val="auto"/>
                <w:sz w:val="24"/>
              </w:rPr>
            </w:pPr>
          </w:p>
        </w:tc>
        <w:tc>
          <w:tcPr>
            <w:tcW w:w="943"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5</w:t>
            </w:r>
          </w:p>
        </w:tc>
        <w:tc>
          <w:tcPr>
            <w:tcW w:w="2552"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车辆购买报价下浮率 （8米）</w:t>
            </w:r>
          </w:p>
        </w:tc>
        <w:tc>
          <w:tcPr>
            <w:tcW w:w="2126" w:type="dxa"/>
            <w:vAlign w:val="center"/>
          </w:tcPr>
          <w:p>
            <w:pPr>
              <w:spacing w:line="360" w:lineRule="auto"/>
              <w:jc w:val="center"/>
              <w:rPr>
                <w:rFonts w:cs="宋体" w:asciiTheme="minorEastAsia" w:hAnsiTheme="minorEastAsia" w:eastAsiaTheme="minorEastAsia"/>
                <w:color w:val="auto"/>
                <w:sz w:val="24"/>
                <w:lang w:val="en-GB"/>
              </w:rPr>
            </w:pPr>
          </w:p>
        </w:tc>
        <w:tc>
          <w:tcPr>
            <w:tcW w:w="1701" w:type="dxa"/>
            <w:vMerge w:val="continue"/>
            <w:vAlign w:val="center"/>
          </w:tcPr>
          <w:p>
            <w:pPr>
              <w:spacing w:line="360" w:lineRule="auto"/>
              <w:jc w:val="center"/>
              <w:rPr>
                <w:rFonts w:cs="宋体" w:asciiTheme="minorEastAsia" w:hAnsiTheme="minorEastAsia" w:eastAsiaTheme="minorEastAsia"/>
                <w:color w:val="auto"/>
                <w:sz w:val="24"/>
              </w:rPr>
            </w:pPr>
          </w:p>
        </w:tc>
        <w:tc>
          <w:tcPr>
            <w:tcW w:w="1701" w:type="dxa"/>
            <w:vMerge w:val="continue"/>
            <w:vAlign w:val="center"/>
          </w:tcPr>
          <w:p>
            <w:pPr>
              <w:spacing w:line="360" w:lineRule="auto"/>
              <w:jc w:val="center"/>
              <w:rPr>
                <w:rFonts w:cs="宋体" w:asciiTheme="minorEastAsia" w:hAnsiTheme="minorEastAsia" w:eastAsiaTheme="min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trPr>
        <w:tc>
          <w:tcPr>
            <w:tcW w:w="851" w:type="dxa"/>
            <w:vMerge w:val="continue"/>
            <w:vAlign w:val="center"/>
          </w:tcPr>
          <w:p>
            <w:pPr>
              <w:snapToGrid w:val="0"/>
              <w:spacing w:line="360" w:lineRule="auto"/>
              <w:jc w:val="center"/>
              <w:textAlignment w:val="baseline"/>
              <w:rPr>
                <w:rFonts w:cs="宋体" w:asciiTheme="minorEastAsia" w:hAnsiTheme="minorEastAsia" w:eastAsiaTheme="minorEastAsia"/>
                <w:color w:val="auto"/>
                <w:sz w:val="24"/>
              </w:rPr>
            </w:pPr>
          </w:p>
        </w:tc>
        <w:tc>
          <w:tcPr>
            <w:tcW w:w="943"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6</w:t>
            </w:r>
          </w:p>
        </w:tc>
        <w:tc>
          <w:tcPr>
            <w:tcW w:w="2552" w:type="dxa"/>
            <w:vAlign w:val="center"/>
          </w:tcPr>
          <w:p>
            <w:pPr>
              <w:spacing w:line="360" w:lineRule="auto"/>
              <w:jc w:val="center"/>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车辆购买报价下浮率（6米）</w:t>
            </w:r>
          </w:p>
        </w:tc>
        <w:tc>
          <w:tcPr>
            <w:tcW w:w="2126" w:type="dxa"/>
            <w:vAlign w:val="center"/>
          </w:tcPr>
          <w:p>
            <w:pPr>
              <w:spacing w:line="360" w:lineRule="auto"/>
              <w:jc w:val="center"/>
              <w:rPr>
                <w:rFonts w:cs="宋体" w:asciiTheme="minorEastAsia" w:hAnsiTheme="minorEastAsia" w:eastAsiaTheme="minorEastAsia"/>
                <w:color w:val="auto"/>
                <w:sz w:val="24"/>
                <w:lang w:val="en-GB"/>
              </w:rPr>
            </w:pPr>
          </w:p>
        </w:tc>
        <w:tc>
          <w:tcPr>
            <w:tcW w:w="1701" w:type="dxa"/>
            <w:vMerge w:val="continue"/>
            <w:vAlign w:val="center"/>
          </w:tcPr>
          <w:p>
            <w:pPr>
              <w:spacing w:line="360" w:lineRule="auto"/>
              <w:jc w:val="center"/>
              <w:rPr>
                <w:rFonts w:cs="宋体" w:asciiTheme="minorEastAsia" w:hAnsiTheme="minorEastAsia" w:eastAsiaTheme="minorEastAsia"/>
                <w:color w:val="auto"/>
                <w:sz w:val="24"/>
              </w:rPr>
            </w:pPr>
          </w:p>
        </w:tc>
        <w:tc>
          <w:tcPr>
            <w:tcW w:w="1701" w:type="dxa"/>
            <w:vMerge w:val="continue"/>
            <w:vAlign w:val="center"/>
          </w:tcPr>
          <w:p>
            <w:pPr>
              <w:spacing w:line="360" w:lineRule="auto"/>
              <w:jc w:val="center"/>
              <w:rPr>
                <w:rFonts w:cs="宋体" w:asciiTheme="minorEastAsia" w:hAnsiTheme="minorEastAsia" w:eastAsiaTheme="minorEastAsia"/>
                <w:color w:val="auto"/>
                <w:sz w:val="24"/>
              </w:rPr>
            </w:pPr>
          </w:p>
        </w:tc>
      </w:tr>
    </w:tbl>
    <w:p>
      <w:pPr>
        <w:spacing w:beforeLines="50" w:afterLines="50" w:line="360" w:lineRule="auto"/>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注：1、开标一览表应准确填写，若开标一览表与投标文件不符时，以开标一览表为准；</w:t>
      </w:r>
    </w:p>
    <w:p>
      <w:pPr>
        <w:spacing w:line="360" w:lineRule="auto"/>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2、报价中必须包含全部服务项目、全额含税发票、雇员费用等，合同的执行以交付时间为准；</w:t>
      </w:r>
    </w:p>
    <w:p>
      <w:pPr>
        <w:spacing w:line="480" w:lineRule="auto"/>
        <w:rPr>
          <w:rFonts w:hint="eastAsia"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3、在报价表内未有明确列述的项目费用应视为包括在报价之内。</w:t>
      </w: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投标人名称：</w:t>
      </w:r>
      <w:r>
        <w:rPr>
          <w:rFonts w:hint="eastAsia" w:cs="宋体" w:asciiTheme="minorEastAsia" w:hAnsiTheme="minorEastAsia" w:eastAsiaTheme="minorEastAsia"/>
          <w:color w:val="auto"/>
          <w:sz w:val="24"/>
          <w:u w:val="single"/>
        </w:rPr>
        <w:t xml:space="preserve">            （盖公章）</w:t>
      </w: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法定代表人或授权代表签字：</w:t>
      </w:r>
      <w:r>
        <w:rPr>
          <w:rFonts w:hint="eastAsia" w:cs="宋体" w:asciiTheme="minorEastAsia" w:hAnsiTheme="minorEastAsia" w:eastAsiaTheme="minorEastAsia"/>
          <w:color w:val="auto"/>
          <w:sz w:val="24"/>
          <w:u w:val="single"/>
        </w:rPr>
        <w:t xml:space="preserve">                </w:t>
      </w:r>
    </w:p>
    <w:p>
      <w:pPr>
        <w:spacing w:line="480" w:lineRule="auto"/>
        <w:ind w:firstLine="3600" w:firstLineChars="1500"/>
        <w:rPr>
          <w:rStyle w:val="33"/>
          <w:rFonts w:cs="宋体" w:asciiTheme="minorEastAsia" w:hAnsiTheme="minorEastAsia" w:eastAsiaTheme="minorEastAsia"/>
          <w:color w:val="auto"/>
          <w:sz w:val="30"/>
          <w:szCs w:val="30"/>
        </w:rPr>
      </w:pPr>
      <w:r>
        <w:rPr>
          <w:rFonts w:hint="eastAsia" w:cs="宋体" w:asciiTheme="minorEastAsia" w:hAnsiTheme="minorEastAsia" w:eastAsiaTheme="minorEastAsia"/>
          <w:color w:val="auto"/>
          <w:sz w:val="24"/>
        </w:rPr>
        <w:t>日      期：</w:t>
      </w:r>
      <w:r>
        <w:rPr>
          <w:rFonts w:hint="eastAsia" w:cs="宋体" w:asciiTheme="minorEastAsia" w:hAnsiTheme="minorEastAsia" w:eastAsiaTheme="minorEastAsia"/>
          <w:color w:val="auto"/>
          <w:sz w:val="24"/>
          <w:u w:val="single"/>
        </w:rPr>
        <w:t xml:space="preserve">                    </w:t>
      </w:r>
    </w:p>
    <w:p>
      <w:pPr>
        <w:pStyle w:val="3"/>
        <w:spacing w:line="500" w:lineRule="exact"/>
        <w:rPr>
          <w:rFonts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bCs w:val="0"/>
          <w:color w:val="auto"/>
        </w:rPr>
        <w:t>二、资格证明文件</w:t>
      </w:r>
    </w:p>
    <w:p>
      <w:pPr>
        <w:tabs>
          <w:tab w:val="left" w:pos="360"/>
        </w:tabs>
        <w:snapToGrid w:val="0"/>
        <w:spacing w:before="67" w:line="360" w:lineRule="auto"/>
        <w:ind w:right="-360"/>
        <w:jc w:val="center"/>
        <w:rPr>
          <w:rFonts w:asciiTheme="minorEastAsia" w:hAnsiTheme="minorEastAsia" w:eastAsiaTheme="minorEastAsia"/>
          <w:b/>
          <w:color w:val="auto"/>
          <w:sz w:val="28"/>
          <w:szCs w:val="28"/>
        </w:rPr>
      </w:pPr>
      <w:bookmarkStart w:id="407" w:name="_Toc183588703"/>
      <w:r>
        <w:rPr>
          <w:rFonts w:hint="eastAsia" w:asciiTheme="minorEastAsia" w:hAnsiTheme="minorEastAsia" w:eastAsiaTheme="minorEastAsia"/>
          <w:b/>
          <w:color w:val="auto"/>
          <w:sz w:val="28"/>
          <w:szCs w:val="28"/>
        </w:rPr>
        <w:t>1、法定代表人授权书</w:t>
      </w:r>
    </w:p>
    <w:p>
      <w:pPr>
        <w:spacing w:beforeLines="50" w:line="360" w:lineRule="auto"/>
        <w:rPr>
          <w:rFonts w:cs="宋体" w:asciiTheme="minorEastAsia" w:hAnsiTheme="minorEastAsia" w:eastAsiaTheme="minorEastAsia"/>
          <w:b/>
          <w:bCs/>
          <w:color w:val="auto"/>
          <w:sz w:val="24"/>
          <w:lang w:val="en-GB"/>
        </w:rPr>
      </w:pPr>
      <w:r>
        <w:rPr>
          <w:rFonts w:hint="eastAsia" w:cs="宋体" w:asciiTheme="minorEastAsia" w:hAnsiTheme="minorEastAsia" w:eastAsiaTheme="minorEastAsia"/>
          <w:b/>
          <w:bCs/>
          <w:color w:val="auto"/>
          <w:sz w:val="24"/>
          <w:lang w:val="zh-CN"/>
        </w:rPr>
        <w:t>致：海南中政源达项目管理有限公司</w:t>
      </w:r>
    </w:p>
    <w:p>
      <w:pPr>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u w:val="single"/>
          <w:lang w:val="zh-CN"/>
        </w:rPr>
        <w:t>ＸＸＸ（姓名、姓别）在ＸＸＸ公司（投标人名称）任ＸＸ职务，是ＸＸＸ公司的法定代表人</w:t>
      </w:r>
      <w:r>
        <w:rPr>
          <w:rFonts w:hint="eastAsia" w:cs="宋体" w:asciiTheme="minorEastAsia" w:hAnsiTheme="minorEastAsia" w:eastAsiaTheme="minorEastAsia"/>
          <w:color w:val="auto"/>
          <w:sz w:val="24"/>
          <w:u w:val="single"/>
        </w:rPr>
        <w:t xml:space="preserve"> 。</w:t>
      </w:r>
      <w:r>
        <w:rPr>
          <w:rFonts w:hint="eastAsia" w:cs="宋体" w:asciiTheme="minorEastAsia" w:hAnsiTheme="minorEastAsia" w:eastAsiaTheme="minorEastAsia"/>
          <w:color w:val="auto"/>
          <w:sz w:val="24"/>
        </w:rPr>
        <w:t>现代</w:t>
      </w:r>
      <w:r>
        <w:rPr>
          <w:rFonts w:hint="eastAsia" w:cs="宋体" w:asciiTheme="minorEastAsia" w:hAnsiTheme="minorEastAsia" w:eastAsiaTheme="minorEastAsia"/>
          <w:color w:val="auto"/>
          <w:sz w:val="24"/>
          <w:lang w:val="zh-CN"/>
        </w:rPr>
        <w:t>表本公司授权下面签字的</w:t>
      </w:r>
      <w:r>
        <w:rPr>
          <w:rFonts w:hint="eastAsia" w:cs="宋体" w:asciiTheme="minorEastAsia" w:hAnsiTheme="minorEastAsia" w:eastAsiaTheme="minorEastAsia"/>
          <w:color w:val="auto"/>
          <w:sz w:val="24"/>
          <w:u w:val="single"/>
          <w:lang w:val="zh-CN"/>
        </w:rPr>
        <w:t xml:space="preserve">（被授权代表）姓名：       职务：     </w:t>
      </w:r>
      <w:r>
        <w:rPr>
          <w:rFonts w:hint="eastAsia" w:cs="宋体" w:asciiTheme="minorEastAsia" w:hAnsiTheme="minorEastAsia" w:eastAsiaTheme="minorEastAsia"/>
          <w:color w:val="auto"/>
          <w:sz w:val="24"/>
          <w:lang w:val="zh-CN"/>
        </w:rPr>
        <w:t>为本公司的合法代理人，就</w:t>
      </w:r>
      <w:r>
        <w:rPr>
          <w:rFonts w:hint="eastAsia" w:cs="宋体" w:asciiTheme="minorEastAsia" w:hAnsiTheme="minorEastAsia" w:eastAsiaTheme="minorEastAsia"/>
          <w:color w:val="auto"/>
          <w:sz w:val="24"/>
          <w:u w:val="single"/>
          <w:lang w:val="zh-CN"/>
        </w:rPr>
        <w:t>东方市交通运输局</w:t>
      </w:r>
      <w:r>
        <w:rPr>
          <w:rFonts w:hint="eastAsia" w:cs="宋体" w:asciiTheme="minorEastAsia" w:hAnsiTheme="minorEastAsia" w:eastAsiaTheme="minorEastAsia"/>
          <w:color w:val="auto"/>
          <w:sz w:val="24"/>
          <w:lang w:val="zh-CN"/>
        </w:rPr>
        <w:t>就</w:t>
      </w:r>
      <w:r>
        <w:rPr>
          <w:rFonts w:hint="eastAsia" w:cs="宋体" w:asciiTheme="minorEastAsia" w:hAnsiTheme="minorEastAsia" w:eastAsiaTheme="minorEastAsia"/>
          <w:color w:val="auto"/>
          <w:sz w:val="24"/>
          <w:u w:val="single"/>
          <w:lang w:val="zh-CN"/>
        </w:rPr>
        <w:t>东方市城乡公交客运服务一体化特许经营项目（项目编号：ZZYDC20190421）</w:t>
      </w:r>
      <w:r>
        <w:rPr>
          <w:rFonts w:hint="eastAsia" w:cs="宋体" w:asciiTheme="minorEastAsia" w:hAnsiTheme="minorEastAsia" w:eastAsiaTheme="minorEastAsia"/>
          <w:color w:val="auto"/>
          <w:sz w:val="24"/>
          <w:lang w:val="zh-CN"/>
        </w:rPr>
        <w:t>进行投标，以本公司的名义处理一切与之相关的事务，</w:t>
      </w:r>
      <w:r>
        <w:rPr>
          <w:rFonts w:hint="eastAsia" w:cs="宋体" w:asciiTheme="minorEastAsia" w:hAnsiTheme="minorEastAsia" w:eastAsiaTheme="minorEastAsia"/>
          <w:color w:val="auto"/>
          <w:sz w:val="24"/>
        </w:rPr>
        <w:t>所签署的有关文件，本公司均予以认可并承担相应的法律责任</w:t>
      </w:r>
      <w:r>
        <w:rPr>
          <w:rFonts w:hint="eastAsia" w:cs="宋体" w:asciiTheme="minorEastAsia" w:hAnsiTheme="minorEastAsia" w:eastAsiaTheme="minorEastAsia"/>
          <w:color w:val="auto"/>
          <w:sz w:val="24"/>
          <w:lang w:val="en-GB"/>
        </w:rPr>
        <w:t>。</w:t>
      </w:r>
    </w:p>
    <w:p>
      <w:pPr>
        <w:spacing w:line="360" w:lineRule="auto"/>
        <w:ind w:firstLine="480" w:firstLineChars="200"/>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本授权书自年月日至年月日内签字有效，特此声明。</w:t>
      </w:r>
    </w:p>
    <w:p>
      <w:pPr>
        <w:spacing w:beforeLines="100" w:afterLines="100" w:line="360" w:lineRule="auto"/>
        <w:rPr>
          <w:rFonts w:cs="宋体" w:asciiTheme="minorEastAsia" w:hAnsiTheme="minorEastAsia" w:eastAsiaTheme="minorEastAsia"/>
          <w:color w:val="auto"/>
          <w:sz w:val="24"/>
          <w:u w:val="single"/>
          <w:lang w:val="en-GB"/>
        </w:rPr>
      </w:pPr>
      <w:r>
        <w:rPr>
          <w:rFonts w:hint="eastAsia" w:cs="宋体" w:asciiTheme="minorEastAsia" w:hAnsiTheme="minorEastAsia" w:eastAsiaTheme="minorEastAsia"/>
          <w:color w:val="auto"/>
          <w:sz w:val="24"/>
          <w:lang w:val="en-GB"/>
        </w:rPr>
        <w:t>投标人名称：</w:t>
      </w:r>
      <w:r>
        <w:rPr>
          <w:rFonts w:hint="eastAsia" w:cs="宋体" w:asciiTheme="minorEastAsia" w:hAnsiTheme="minorEastAsia" w:eastAsiaTheme="minorEastAsia"/>
          <w:color w:val="auto"/>
          <w:sz w:val="24"/>
          <w:u w:val="single"/>
          <w:lang w:val="en-GB"/>
        </w:rPr>
        <w:t xml:space="preserve">（公章）                </w:t>
      </w:r>
      <w:r>
        <w:rPr>
          <w:rFonts w:hint="eastAsia" w:cs="宋体" w:asciiTheme="minorEastAsia" w:hAnsiTheme="minorEastAsia" w:eastAsiaTheme="minorEastAsia"/>
          <w:color w:val="auto"/>
          <w:sz w:val="24"/>
          <w:lang w:val="en-GB"/>
        </w:rPr>
        <w:t>营业执照号码</w:t>
      </w:r>
      <w:r>
        <w:rPr>
          <w:rFonts w:hint="eastAsia" w:cs="宋体" w:asciiTheme="minorEastAsia" w:hAnsiTheme="minorEastAsia" w:eastAsiaTheme="minorEastAsia"/>
          <w:color w:val="auto"/>
          <w:sz w:val="24"/>
          <w:u w:val="single"/>
          <w:lang w:val="en-GB"/>
        </w:rPr>
        <w:t xml:space="preserve">：                       </w:t>
      </w:r>
    </w:p>
    <w:p>
      <w:pPr>
        <w:spacing w:beforeLines="100" w:afterLines="100" w:line="360" w:lineRule="auto"/>
        <w:rPr>
          <w:rFonts w:cs="宋体" w:asciiTheme="minorEastAsia" w:hAnsiTheme="minorEastAsia" w:eastAsiaTheme="minorEastAsia"/>
          <w:color w:val="auto"/>
          <w:sz w:val="24"/>
          <w:u w:val="single"/>
          <w:lang w:val="en-GB"/>
        </w:rPr>
      </w:pPr>
      <w:r>
        <w:rPr>
          <w:rFonts w:hint="eastAsia" w:cs="宋体" w:asciiTheme="minorEastAsia" w:hAnsiTheme="minorEastAsia" w:eastAsiaTheme="minorEastAsia"/>
          <w:color w:val="auto"/>
          <w:sz w:val="24"/>
          <w:lang w:val="en-GB"/>
        </w:rPr>
        <w:t>法定代表人：</w:t>
      </w:r>
      <w:r>
        <w:rPr>
          <w:rFonts w:hint="eastAsia" w:cs="宋体" w:asciiTheme="minorEastAsia" w:hAnsiTheme="minorEastAsia" w:eastAsiaTheme="minorEastAsia"/>
          <w:bCs/>
          <w:color w:val="auto"/>
          <w:sz w:val="24"/>
          <w:u w:val="single"/>
          <w:lang w:val="en-GB"/>
        </w:rPr>
        <w:t xml:space="preserve">（亲笔签名）            </w:t>
      </w:r>
      <w:r>
        <w:rPr>
          <w:rFonts w:hint="eastAsia" w:cs="宋体" w:asciiTheme="minorEastAsia" w:hAnsiTheme="minorEastAsia" w:eastAsiaTheme="minorEastAsia"/>
          <w:color w:val="auto"/>
          <w:sz w:val="24"/>
          <w:lang w:val="en-GB"/>
        </w:rPr>
        <w:t>联系电话：</w:t>
      </w:r>
      <w:r>
        <w:rPr>
          <w:rFonts w:hint="eastAsia" w:cs="宋体" w:asciiTheme="minorEastAsia" w:hAnsiTheme="minorEastAsia" w:eastAsiaTheme="minorEastAsia"/>
          <w:color w:val="auto"/>
          <w:sz w:val="24"/>
          <w:u w:val="single"/>
          <w:lang w:val="en-GB"/>
        </w:rPr>
        <w:t xml:space="preserve">                           </w:t>
      </w:r>
    </w:p>
    <w:p>
      <w:pPr>
        <w:spacing w:beforeLines="100" w:afterLines="100" w:line="360" w:lineRule="auto"/>
        <w:rPr>
          <w:rFonts w:cs="宋体" w:asciiTheme="minorEastAsia" w:hAnsiTheme="minorEastAsia" w:eastAsiaTheme="minorEastAsia"/>
          <w:color w:val="auto"/>
          <w:sz w:val="24"/>
          <w:u w:val="single"/>
          <w:lang w:val="en-GB"/>
        </w:rPr>
      </w:pPr>
      <w:r>
        <w:rPr>
          <w:rFonts w:hint="eastAsia" w:cs="宋体" w:asciiTheme="minorEastAsia" w:hAnsiTheme="minorEastAsia" w:eastAsiaTheme="minorEastAsia"/>
          <w:color w:val="auto"/>
          <w:sz w:val="24"/>
          <w:lang w:val="en-GB"/>
        </w:rPr>
        <w:t>职    务：</w:t>
      </w:r>
      <w:r>
        <w:rPr>
          <w:rFonts w:hint="eastAsia" w:cs="宋体" w:asciiTheme="minorEastAsia" w:hAnsiTheme="minorEastAsia" w:eastAsiaTheme="minorEastAsia"/>
          <w:color w:val="auto"/>
          <w:sz w:val="24"/>
          <w:u w:val="single"/>
          <w:lang w:val="en-GB"/>
        </w:rPr>
        <w:t xml:space="preserve">                         </w:t>
      </w:r>
      <w:r>
        <w:rPr>
          <w:rFonts w:hint="eastAsia" w:cs="宋体" w:asciiTheme="minorEastAsia" w:hAnsiTheme="minorEastAsia" w:eastAsiaTheme="minorEastAsia"/>
          <w:color w:val="auto"/>
          <w:sz w:val="24"/>
          <w:lang w:val="en-GB"/>
        </w:rPr>
        <w:t>身份证号码</w:t>
      </w:r>
      <w:r>
        <w:rPr>
          <w:rFonts w:hint="eastAsia" w:cs="宋体" w:asciiTheme="minorEastAsia" w:hAnsiTheme="minorEastAsia" w:eastAsiaTheme="minorEastAsia"/>
          <w:color w:val="auto"/>
          <w:sz w:val="24"/>
          <w:u w:val="single"/>
          <w:lang w:val="en-GB"/>
        </w:rPr>
        <w:t xml:space="preserve">：                          </w:t>
      </w:r>
    </w:p>
    <w:p>
      <w:pPr>
        <w:spacing w:beforeLines="100" w:afterLines="100" w:line="360" w:lineRule="auto"/>
        <w:rPr>
          <w:rFonts w:cs="宋体" w:asciiTheme="minorEastAsia" w:hAnsiTheme="minorEastAsia" w:eastAsiaTheme="minorEastAsia"/>
          <w:color w:val="auto"/>
          <w:sz w:val="24"/>
          <w:u w:val="single"/>
          <w:lang w:val="en-GB"/>
        </w:rPr>
      </w:pPr>
      <w:r>
        <w:rPr>
          <w:rFonts w:hint="eastAsia" w:cs="宋体" w:asciiTheme="minorEastAsia" w:hAnsiTheme="minorEastAsia" w:eastAsiaTheme="minorEastAsia"/>
          <w:color w:val="auto"/>
          <w:sz w:val="24"/>
          <w:lang w:val="en-GB"/>
        </w:rPr>
        <w:t>被授权人：</w:t>
      </w:r>
      <w:r>
        <w:rPr>
          <w:rFonts w:hint="eastAsia" w:cs="宋体" w:asciiTheme="minorEastAsia" w:hAnsiTheme="minorEastAsia" w:eastAsiaTheme="minorEastAsia"/>
          <w:bCs/>
          <w:color w:val="auto"/>
          <w:sz w:val="24"/>
          <w:u w:val="single"/>
          <w:lang w:val="en-GB"/>
        </w:rPr>
        <w:t xml:space="preserve">（亲笔签名）              </w:t>
      </w:r>
      <w:r>
        <w:rPr>
          <w:rFonts w:hint="eastAsia" w:cs="宋体" w:asciiTheme="minorEastAsia" w:hAnsiTheme="minorEastAsia" w:eastAsiaTheme="minorEastAsia"/>
          <w:color w:val="auto"/>
          <w:sz w:val="24"/>
          <w:lang w:val="en-GB"/>
        </w:rPr>
        <w:t>联系电话</w:t>
      </w:r>
      <w:r>
        <w:rPr>
          <w:rFonts w:hint="eastAsia" w:cs="宋体" w:asciiTheme="minorEastAsia" w:hAnsiTheme="minorEastAsia" w:eastAsiaTheme="minorEastAsia"/>
          <w:color w:val="auto"/>
          <w:sz w:val="24"/>
          <w:u w:val="single"/>
          <w:lang w:val="en-GB"/>
        </w:rPr>
        <w:t xml:space="preserve">：                            </w:t>
      </w:r>
    </w:p>
    <w:p>
      <w:pPr>
        <w:spacing w:beforeLines="100" w:afterLines="100" w:line="360" w:lineRule="auto"/>
        <w:rPr>
          <w:rFonts w:cs="宋体" w:asciiTheme="minorEastAsia" w:hAnsiTheme="minorEastAsia" w:eastAsiaTheme="minorEastAsia"/>
          <w:color w:val="auto"/>
          <w:sz w:val="24"/>
          <w:u w:val="single"/>
          <w:lang w:val="en-GB"/>
        </w:rPr>
      </w:pPr>
      <w:r>
        <w:rPr>
          <w:rFonts w:hint="eastAsia" w:cs="宋体" w:asciiTheme="minorEastAsia" w:hAnsiTheme="minorEastAsia" w:eastAsiaTheme="minorEastAsia"/>
          <w:color w:val="auto"/>
          <w:sz w:val="24"/>
          <w:lang w:val="en-GB"/>
        </w:rPr>
        <w:t>职    务：</w:t>
      </w:r>
      <w:r>
        <w:rPr>
          <w:rFonts w:hint="eastAsia" w:cs="宋体" w:asciiTheme="minorEastAsia" w:hAnsiTheme="minorEastAsia" w:eastAsiaTheme="minorEastAsia"/>
          <w:color w:val="auto"/>
          <w:sz w:val="24"/>
          <w:u w:val="single"/>
          <w:lang w:val="en-GB"/>
        </w:rPr>
        <w:t xml:space="preserve">                         </w:t>
      </w:r>
      <w:r>
        <w:rPr>
          <w:rFonts w:hint="eastAsia" w:cs="宋体" w:asciiTheme="minorEastAsia" w:hAnsiTheme="minorEastAsia" w:eastAsiaTheme="minorEastAsia"/>
          <w:color w:val="auto"/>
          <w:sz w:val="24"/>
          <w:lang w:val="en-GB"/>
        </w:rPr>
        <w:t>身份证号码：</w:t>
      </w:r>
      <w:r>
        <w:rPr>
          <w:rFonts w:hint="eastAsia" w:cs="宋体" w:asciiTheme="minorEastAsia" w:hAnsiTheme="minorEastAsia" w:eastAsiaTheme="minorEastAsia"/>
          <w:color w:val="auto"/>
          <w:sz w:val="24"/>
          <w:u w:val="single"/>
          <w:lang w:val="en-GB"/>
        </w:rPr>
        <w:t xml:space="preserve">                          </w:t>
      </w:r>
    </w:p>
    <w:p>
      <w:pPr>
        <w:spacing w:beforeLines="100" w:afterLines="100" w:line="360" w:lineRule="auto"/>
        <w:rPr>
          <w:rFonts w:cs="宋体" w:asciiTheme="minorEastAsia" w:hAnsiTheme="minorEastAsia" w:eastAsiaTheme="minorEastAsia"/>
          <w:color w:val="auto"/>
          <w:sz w:val="24"/>
          <w:lang w:val="en-GB"/>
        </w:rPr>
      </w:pPr>
      <w:r>
        <w:rPr>
          <w:rFonts w:hint="eastAsia" w:cs="宋体" w:asciiTheme="minorEastAsia" w:hAnsiTheme="minorEastAsia" w:eastAsiaTheme="minorEastAsia"/>
          <w:color w:val="auto"/>
          <w:sz w:val="24"/>
          <w:lang w:val="en-GB"/>
        </w:rPr>
        <w:t>生效日期：       年       月        日</w:t>
      </w:r>
    </w:p>
    <w:p>
      <w:pPr>
        <w:spacing w:line="360" w:lineRule="auto"/>
        <w:ind w:firstLine="480" w:firstLineChars="200"/>
        <w:rPr>
          <w:rFonts w:cs="宋体" w:asciiTheme="minorEastAsia" w:hAnsiTheme="minorEastAsia" w:eastAsiaTheme="minorEastAsia"/>
          <w:color w:val="auto"/>
          <w:sz w:val="24"/>
          <w:lang w:val="en-GB"/>
        </w:rPr>
      </w:pPr>
      <w:r>
        <w:rPr>
          <w:rFonts w:cs="宋体" w:asciiTheme="minorEastAsia" w:hAnsiTheme="minorEastAsia" w:eastAsiaTheme="minorEastAsia"/>
          <w:color w:val="auto"/>
          <w:sz w:val="24"/>
          <w:lang w:val="en-GB"/>
        </w:rPr>
        <w:pict>
          <v:rect id="Rectangle 2" o:spid="_x0000_s1154" o:spt="1" style="position:absolute;left:0pt;margin-left:235.45pt;margin-top:10.85pt;height:158pt;width:243.35pt;z-index:1024;mso-width-relative:page;mso-height-relative:page;" coordsize="21600,21600">
            <v:path/>
            <v:fill focussize="0,0"/>
            <v:stroke/>
            <v:imagedata o:title=""/>
            <o:lock v:ext="edit"/>
            <v:textbox>
              <w:txbxContent>
                <w:p>
                  <w:pPr>
                    <w:jc w:val="right"/>
                    <w:rPr>
                      <w:rFonts w:eastAsia="黑体"/>
                      <w:b/>
                      <w:sz w:val="30"/>
                    </w:rPr>
                  </w:pPr>
                </w:p>
                <w:p>
                  <w:pPr>
                    <w:jc w:val="center"/>
                    <w:rPr>
                      <w:rFonts w:ascii="宋体" w:hAnsi="宋体"/>
                      <w:b/>
                      <w:sz w:val="28"/>
                    </w:rPr>
                  </w:pPr>
                  <w:r>
                    <w:rPr>
                      <w:rFonts w:hint="eastAsia" w:ascii="宋体" w:hAnsi="宋体"/>
                      <w:b/>
                      <w:sz w:val="28"/>
                    </w:rPr>
                    <w:t>被授权人</w:t>
                  </w:r>
                </w:p>
                <w:p>
                  <w:pPr>
                    <w:jc w:val="center"/>
                    <w:rPr>
                      <w:rFonts w:ascii="宋体" w:hAnsi="宋体"/>
                      <w:b/>
                      <w:sz w:val="28"/>
                    </w:rPr>
                  </w:pPr>
                  <w:r>
                    <w:rPr>
                      <w:rFonts w:hint="eastAsia" w:ascii="宋体" w:hAnsi="宋体"/>
                      <w:b/>
                      <w:sz w:val="28"/>
                    </w:rPr>
                    <w:t>居民身份证复印件粘贴处</w:t>
                  </w:r>
                </w:p>
                <w:p>
                  <w:pPr>
                    <w:jc w:val="center"/>
                    <w:rPr>
                      <w:rFonts w:ascii="宋体" w:hAnsi="宋体"/>
                      <w:b/>
                      <w:sz w:val="28"/>
                    </w:rPr>
                  </w:pPr>
                  <w:r>
                    <w:rPr>
                      <w:rFonts w:hint="eastAsia" w:ascii="宋体" w:hAnsi="宋体"/>
                      <w:b/>
                      <w:color w:val="FF0000"/>
                      <w:sz w:val="28"/>
                    </w:rPr>
                    <w:t>（正反两面）</w:t>
                  </w:r>
                </w:p>
              </w:txbxContent>
            </v:textbox>
          </v:rect>
        </w:pict>
      </w:r>
      <w:r>
        <w:rPr>
          <w:rFonts w:cs="宋体" w:asciiTheme="minorEastAsia" w:hAnsiTheme="minorEastAsia" w:eastAsiaTheme="minorEastAsia"/>
          <w:color w:val="auto"/>
          <w:sz w:val="24"/>
          <w:lang w:val="en-GB"/>
        </w:rPr>
        <w:pict>
          <v:rect id="Rectangle 3" o:spid="_x0000_s1153" o:spt="1" style="position:absolute;left:0pt;margin-left:-28pt;margin-top:11.55pt;height:157.5pt;width:247.1pt;z-index:1024;mso-width-relative:page;mso-height-relative:page;" coordsize="21600,21600">
            <v:path/>
            <v:fill focussize="0,0"/>
            <v:stroke/>
            <v:imagedata o:title=""/>
            <o:lock v:ext="edit"/>
            <v:textbox>
              <w:txbxContent>
                <w:p>
                  <w:pPr>
                    <w:ind w:left="-1079" w:leftChars="-514"/>
                    <w:jc w:val="right"/>
                    <w:rPr>
                      <w:rFonts w:eastAsia="黑体"/>
                      <w:b/>
                      <w:sz w:val="30"/>
                    </w:rPr>
                  </w:pPr>
                </w:p>
                <w:p>
                  <w:pPr>
                    <w:ind w:left="-1079" w:leftChars="-514"/>
                    <w:jc w:val="center"/>
                    <w:rPr>
                      <w:rFonts w:ascii="宋体" w:hAnsi="宋体"/>
                      <w:b/>
                      <w:sz w:val="28"/>
                    </w:rPr>
                  </w:pPr>
                  <w:r>
                    <w:rPr>
                      <w:rFonts w:hint="eastAsia" w:ascii="宋体" w:hAnsi="宋体"/>
                      <w:b/>
                      <w:sz w:val="28"/>
                    </w:rPr>
                    <w:t>法定代表人</w:t>
                  </w:r>
                </w:p>
                <w:p>
                  <w:pPr>
                    <w:ind w:left="-1079" w:leftChars="-514"/>
                    <w:jc w:val="center"/>
                    <w:rPr>
                      <w:rFonts w:ascii="宋体" w:hAnsi="宋体"/>
                      <w:b/>
                      <w:sz w:val="28"/>
                    </w:rPr>
                  </w:pPr>
                  <w:r>
                    <w:rPr>
                      <w:rFonts w:hint="eastAsia" w:ascii="宋体" w:hAnsi="宋体"/>
                      <w:b/>
                      <w:sz w:val="28"/>
                    </w:rPr>
                    <w:t>居民身份证复印件粘贴处</w:t>
                  </w:r>
                </w:p>
                <w:p>
                  <w:pPr>
                    <w:ind w:left="-1079" w:leftChars="-514"/>
                    <w:jc w:val="center"/>
                    <w:rPr>
                      <w:rFonts w:ascii="宋体" w:hAnsi="宋体"/>
                      <w:b/>
                      <w:sz w:val="28"/>
                    </w:rPr>
                  </w:pPr>
                  <w:r>
                    <w:rPr>
                      <w:rFonts w:hint="eastAsia" w:ascii="宋体" w:hAnsi="宋体"/>
                      <w:b/>
                      <w:color w:val="FF0000"/>
                      <w:sz w:val="28"/>
                    </w:rPr>
                    <w:t xml:space="preserve">   （正反两面）</w:t>
                  </w:r>
                </w:p>
              </w:txbxContent>
            </v:textbox>
          </v:rect>
        </w:pict>
      </w:r>
    </w:p>
    <w:p>
      <w:pPr>
        <w:spacing w:line="360" w:lineRule="auto"/>
        <w:ind w:firstLine="480" w:firstLineChars="200"/>
        <w:rPr>
          <w:rFonts w:cs="宋体" w:asciiTheme="minorEastAsia" w:hAnsiTheme="minorEastAsia" w:eastAsiaTheme="minorEastAsia"/>
          <w:color w:val="auto"/>
          <w:sz w:val="24"/>
          <w:lang w:val="en-GB"/>
        </w:rPr>
      </w:pPr>
    </w:p>
    <w:p>
      <w:pPr>
        <w:spacing w:line="360" w:lineRule="auto"/>
        <w:ind w:firstLine="480" w:firstLineChars="200"/>
        <w:rPr>
          <w:rFonts w:cs="宋体" w:asciiTheme="minorEastAsia" w:hAnsiTheme="minorEastAsia" w:eastAsiaTheme="minorEastAsia"/>
          <w:color w:val="auto"/>
          <w:sz w:val="24"/>
          <w:lang w:val="en-GB"/>
        </w:rPr>
      </w:pPr>
    </w:p>
    <w:p>
      <w:pPr>
        <w:spacing w:line="360" w:lineRule="auto"/>
        <w:ind w:firstLine="480" w:firstLineChars="200"/>
        <w:rPr>
          <w:rFonts w:cs="宋体" w:asciiTheme="minorEastAsia" w:hAnsiTheme="minorEastAsia" w:eastAsiaTheme="minorEastAsia"/>
          <w:color w:val="auto"/>
          <w:sz w:val="24"/>
          <w:lang w:val="en-GB"/>
        </w:rPr>
      </w:pPr>
    </w:p>
    <w:p>
      <w:pPr>
        <w:spacing w:line="360" w:lineRule="auto"/>
        <w:ind w:firstLine="480" w:firstLineChars="200"/>
        <w:rPr>
          <w:rFonts w:cs="宋体" w:asciiTheme="minorEastAsia" w:hAnsiTheme="minorEastAsia" w:eastAsiaTheme="minorEastAsia"/>
          <w:color w:val="auto"/>
          <w:sz w:val="24"/>
          <w:lang w:val="en-GB"/>
        </w:rPr>
      </w:pPr>
    </w:p>
    <w:p>
      <w:pPr>
        <w:spacing w:line="360" w:lineRule="auto"/>
        <w:ind w:firstLine="480" w:firstLineChars="200"/>
        <w:rPr>
          <w:rFonts w:cs="宋体" w:asciiTheme="minorEastAsia" w:hAnsiTheme="minorEastAsia" w:eastAsiaTheme="minorEastAsia"/>
          <w:color w:val="auto"/>
          <w:sz w:val="24"/>
          <w:lang w:val="en-GB"/>
        </w:rPr>
      </w:pPr>
    </w:p>
    <w:p>
      <w:pPr>
        <w:spacing w:line="360" w:lineRule="auto"/>
        <w:ind w:firstLine="480" w:firstLineChars="200"/>
        <w:rPr>
          <w:rFonts w:cs="宋体" w:asciiTheme="minorEastAsia" w:hAnsiTheme="minorEastAsia" w:eastAsiaTheme="minorEastAsia"/>
          <w:color w:val="auto"/>
          <w:sz w:val="24"/>
          <w:lang w:val="en-GB"/>
        </w:rPr>
      </w:pPr>
    </w:p>
    <w:p>
      <w:pPr>
        <w:spacing w:line="360" w:lineRule="auto"/>
        <w:jc w:val="center"/>
        <w:rPr>
          <w:rFonts w:cs="宋体" w:asciiTheme="minorEastAsia" w:hAnsiTheme="minorEastAsia" w:eastAsiaTheme="minorEastAsia"/>
          <w:b/>
          <w:bCs/>
          <w:color w:val="auto"/>
          <w:sz w:val="24"/>
          <w:lang w:val="en-GB"/>
        </w:rPr>
      </w:pPr>
    </w:p>
    <w:p>
      <w:pPr>
        <w:spacing w:line="360" w:lineRule="auto"/>
        <w:jc w:val="center"/>
        <w:rPr>
          <w:rFonts w:cs="宋体" w:asciiTheme="minorEastAsia" w:hAnsiTheme="minorEastAsia" w:eastAsiaTheme="minorEastAsia"/>
          <w:b/>
          <w:bCs/>
          <w:color w:val="auto"/>
          <w:sz w:val="24"/>
          <w:lang w:val="en-GB"/>
        </w:rPr>
      </w:pPr>
      <w:r>
        <w:rPr>
          <w:rFonts w:hint="eastAsia" w:cs="宋体" w:asciiTheme="minorEastAsia" w:hAnsiTheme="minorEastAsia" w:eastAsiaTheme="minorEastAsia"/>
          <w:b/>
          <w:bCs/>
          <w:color w:val="auto"/>
          <w:sz w:val="24"/>
          <w:lang w:val="en-GB"/>
        </w:rPr>
        <w:t>注：本授权书内容不得擅自修改。</w:t>
      </w:r>
    </w:p>
    <w:p>
      <w:pPr>
        <w:shd w:val="clear" w:color="auto" w:fill="FFFFFF"/>
        <w:tabs>
          <w:tab w:val="left" w:pos="403"/>
        </w:tabs>
        <w:snapToGrid w:val="0"/>
        <w:spacing w:line="360" w:lineRule="auto"/>
        <w:jc w:val="left"/>
        <w:rPr>
          <w:rFonts w:asciiTheme="minorEastAsia" w:hAnsiTheme="minorEastAsia" w:eastAsiaTheme="minorEastAsia"/>
          <w:b/>
          <w:color w:val="auto"/>
          <w:kern w:val="0"/>
          <w:sz w:val="24"/>
          <w:lang w:val="zh-CN"/>
        </w:rPr>
      </w:pPr>
      <w:r>
        <w:rPr>
          <w:rFonts w:hint="eastAsia" w:asciiTheme="minorEastAsia" w:hAnsiTheme="minorEastAsia" w:eastAsiaTheme="minorEastAsia"/>
          <w:b/>
          <w:color w:val="auto"/>
          <w:kern w:val="0"/>
          <w:sz w:val="24"/>
          <w:lang w:val="zh-CN"/>
        </w:rPr>
        <w:t>2、投标人简介</w:t>
      </w:r>
    </w:p>
    <w:bookmarkEnd w:id="407"/>
    <w:p>
      <w:pPr>
        <w:spacing w:line="500" w:lineRule="exact"/>
        <w:jc w:val="left"/>
        <w:rPr>
          <w:rFonts w:hint="eastAsia" w:asciiTheme="minorEastAsia" w:hAnsiTheme="minorEastAsia" w:eastAsiaTheme="minorEastAsia"/>
          <w:b/>
          <w:color w:val="auto"/>
          <w:kern w:val="0"/>
          <w:sz w:val="24"/>
          <w:lang w:val="zh-CN"/>
        </w:rPr>
      </w:pPr>
      <w:bookmarkStart w:id="408" w:name="_Toc183588711"/>
      <w:r>
        <w:rPr>
          <w:rFonts w:hint="eastAsia" w:asciiTheme="minorEastAsia" w:hAnsiTheme="minorEastAsia" w:eastAsiaTheme="minorEastAsia"/>
          <w:b/>
          <w:color w:val="auto"/>
          <w:kern w:val="0"/>
          <w:sz w:val="24"/>
          <w:lang w:val="zh-CN"/>
        </w:rPr>
        <w:t>3、提供三证合一的营业执照）；</w:t>
      </w:r>
    </w:p>
    <w:p>
      <w:pPr>
        <w:spacing w:line="500" w:lineRule="exact"/>
        <w:jc w:val="left"/>
        <w:rPr>
          <w:rFonts w:hint="eastAsia" w:asciiTheme="minorEastAsia" w:hAnsiTheme="minorEastAsia" w:eastAsiaTheme="minorEastAsia"/>
          <w:b/>
          <w:color w:val="auto"/>
          <w:kern w:val="0"/>
          <w:sz w:val="24"/>
          <w:lang w:val="zh-CN"/>
        </w:rPr>
      </w:pPr>
      <w:r>
        <w:rPr>
          <w:rFonts w:hint="eastAsia" w:asciiTheme="minorEastAsia" w:hAnsiTheme="minorEastAsia" w:eastAsiaTheme="minorEastAsia"/>
          <w:b/>
          <w:color w:val="auto"/>
          <w:kern w:val="0"/>
          <w:sz w:val="24"/>
          <w:lang w:val="zh-CN"/>
        </w:rPr>
        <w:t>4、2019年至今任意 3个月的企业纳税证明或2018年度会计师事务所出具的年度财务审计报告）；</w:t>
      </w:r>
    </w:p>
    <w:p>
      <w:pPr>
        <w:spacing w:line="500" w:lineRule="exact"/>
        <w:jc w:val="left"/>
        <w:rPr>
          <w:rFonts w:hint="eastAsia" w:asciiTheme="minorEastAsia" w:hAnsiTheme="minorEastAsia" w:eastAsiaTheme="minorEastAsia"/>
          <w:b/>
          <w:color w:val="auto"/>
          <w:kern w:val="0"/>
          <w:sz w:val="24"/>
          <w:lang w:val="zh-CN"/>
        </w:rPr>
      </w:pPr>
      <w:r>
        <w:rPr>
          <w:rFonts w:hint="eastAsia" w:asciiTheme="minorEastAsia" w:hAnsiTheme="minorEastAsia" w:eastAsiaTheme="minorEastAsia"/>
          <w:b/>
          <w:color w:val="auto"/>
          <w:kern w:val="0"/>
          <w:sz w:val="24"/>
          <w:lang w:val="zh-CN"/>
        </w:rPr>
        <w:t>5、 2019年至今任意 3个月社会保障缴费记录）；</w:t>
      </w:r>
    </w:p>
    <w:p>
      <w:pPr>
        <w:spacing w:line="500" w:lineRule="exact"/>
        <w:jc w:val="left"/>
        <w:rPr>
          <w:rFonts w:hint="eastAsia" w:asciiTheme="minorEastAsia" w:hAnsiTheme="minorEastAsia" w:eastAsiaTheme="minorEastAsia"/>
          <w:b/>
          <w:color w:val="auto"/>
          <w:kern w:val="0"/>
          <w:sz w:val="24"/>
          <w:lang w:val="zh-CN"/>
        </w:rPr>
      </w:pPr>
      <w:r>
        <w:rPr>
          <w:rFonts w:hint="eastAsia" w:asciiTheme="minorEastAsia" w:hAnsiTheme="minorEastAsia" w:eastAsiaTheme="minorEastAsia"/>
          <w:b/>
          <w:color w:val="auto"/>
          <w:kern w:val="0"/>
          <w:sz w:val="24"/>
          <w:lang w:val="zh-CN"/>
        </w:rPr>
        <w:t>6、提供有效的《道路运输经营许可证》（经营范围包含班车客运或者城市公交客运）；</w:t>
      </w:r>
    </w:p>
    <w:p>
      <w:pPr>
        <w:spacing w:line="500" w:lineRule="exact"/>
        <w:jc w:val="left"/>
        <w:rPr>
          <w:rFonts w:asciiTheme="minorEastAsia" w:hAnsiTheme="minorEastAsia" w:eastAsiaTheme="minorEastAsia"/>
          <w:b/>
          <w:color w:val="auto"/>
          <w:sz w:val="28"/>
          <w:szCs w:val="28"/>
        </w:rPr>
      </w:pPr>
      <w:r>
        <w:rPr>
          <w:rFonts w:hint="eastAsia" w:asciiTheme="minorEastAsia" w:hAnsiTheme="minorEastAsia" w:eastAsiaTheme="minorEastAsia"/>
          <w:b/>
          <w:color w:val="auto"/>
          <w:kern w:val="0"/>
          <w:sz w:val="24"/>
          <w:lang w:val="zh-CN"/>
        </w:rPr>
        <w:t>7、必须为未被列入信用中国网站；(www.creditchina.gov.cn)的“失信被执行人”、“重大税收违法案件当事人名单”、“政府采购严重违法失信名单”或中国政府采购网(www.ccgp.gov.cn)的“政府采购严重违法失信行为记录名单”的投标人（提供查询结果的网页截图并加盖单位公章）；</w:t>
      </w:r>
      <w:r>
        <w:rPr>
          <w:rFonts w:asciiTheme="minorEastAsia" w:hAnsiTheme="minorEastAsia" w:eastAsiaTheme="minorEastAsia"/>
          <w:b/>
          <w:color w:val="auto"/>
          <w:sz w:val="28"/>
          <w:szCs w:val="28"/>
        </w:rPr>
        <w:br w:type="page"/>
      </w:r>
      <w:r>
        <w:rPr>
          <w:rFonts w:hint="eastAsia" w:asciiTheme="minorEastAsia" w:hAnsiTheme="minorEastAsia" w:eastAsiaTheme="minorEastAsia"/>
          <w:b/>
          <w:color w:val="auto"/>
          <w:sz w:val="28"/>
          <w:szCs w:val="28"/>
        </w:rPr>
        <w:t>8、投标人参加政府采购活动前三年内，在经营活动中没有重大违法记录的声明</w:t>
      </w:r>
      <w:bookmarkEnd w:id="408"/>
      <w:r>
        <w:rPr>
          <w:rFonts w:hint="eastAsia" w:asciiTheme="minorEastAsia" w:hAnsiTheme="minorEastAsia" w:eastAsiaTheme="minorEastAsia"/>
          <w:b/>
          <w:color w:val="auto"/>
          <w:sz w:val="28"/>
          <w:szCs w:val="28"/>
        </w:rPr>
        <w:t>（格式）</w:t>
      </w:r>
    </w:p>
    <w:p>
      <w:pPr>
        <w:spacing w:line="360" w:lineRule="auto"/>
        <w:ind w:firstLine="480" w:firstLineChars="200"/>
        <w:rPr>
          <w:rFonts w:cs="宋体" w:asciiTheme="minorEastAsia" w:hAnsiTheme="minorEastAsia" w:eastAsiaTheme="minorEastAsia"/>
          <w:color w:val="auto"/>
          <w:sz w:val="24"/>
        </w:rPr>
      </w:pPr>
    </w:p>
    <w:p>
      <w:pPr>
        <w:spacing w:line="360" w:lineRule="auto"/>
        <w:rPr>
          <w:rFonts w:cs="宋体" w:asciiTheme="minorEastAsia" w:hAnsiTheme="minorEastAsia" w:eastAsiaTheme="minorEastAsia"/>
          <w:b/>
          <w:color w:val="auto"/>
          <w:sz w:val="24"/>
          <w:u w:val="single"/>
        </w:rPr>
      </w:pPr>
      <w:r>
        <w:rPr>
          <w:rFonts w:hint="eastAsia" w:cs="宋体" w:asciiTheme="minorEastAsia" w:hAnsiTheme="minorEastAsia" w:eastAsiaTheme="minorEastAsia"/>
          <w:b/>
          <w:color w:val="auto"/>
          <w:sz w:val="24"/>
        </w:rPr>
        <w:t>致</w:t>
      </w:r>
      <w:r>
        <w:rPr>
          <w:rFonts w:hint="eastAsia" w:cs="宋体" w:asciiTheme="minorEastAsia" w:hAnsiTheme="minorEastAsia" w:eastAsiaTheme="minorEastAsia"/>
          <w:b/>
          <w:color w:val="auto"/>
          <w:sz w:val="24"/>
          <w:u w:val="single"/>
        </w:rPr>
        <w:t>东方市交通运输局</w:t>
      </w:r>
    </w:p>
    <w:p>
      <w:pPr>
        <w:spacing w:line="360" w:lineRule="auto"/>
        <w:rPr>
          <w:rFonts w:cs="宋体" w:asciiTheme="minorEastAsia" w:hAnsiTheme="minorEastAsia" w:eastAsiaTheme="minorEastAsia"/>
          <w:b/>
          <w:color w:val="auto"/>
          <w:sz w:val="24"/>
          <w:u w:val="single"/>
        </w:rPr>
      </w:pPr>
      <w:r>
        <w:rPr>
          <w:rFonts w:hint="eastAsia" w:cs="宋体" w:asciiTheme="minorEastAsia" w:hAnsiTheme="minorEastAsia" w:eastAsiaTheme="minorEastAsia"/>
          <w:b/>
          <w:color w:val="auto"/>
          <w:sz w:val="24"/>
          <w:u w:val="single"/>
        </w:rPr>
        <w:t>海南中政源达项目管理有限公司：</w:t>
      </w:r>
    </w:p>
    <w:p>
      <w:pPr>
        <w:spacing w:line="360" w:lineRule="auto"/>
        <w:ind w:firstLine="480" w:firstLineChars="200"/>
        <w:rPr>
          <w:rFonts w:hint="eastAsia" w:cs="宋体" w:asciiTheme="minorEastAsia" w:hAnsiTheme="minorEastAsia" w:eastAsiaTheme="minorEastAsia"/>
          <w:color w:val="auto"/>
          <w:sz w:val="24"/>
        </w:rPr>
      </w:pP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我公司在参加本次政府采购项目名称：</w:t>
      </w:r>
      <w:r>
        <w:rPr>
          <w:rFonts w:hint="eastAsia" w:cs="宋体" w:asciiTheme="minorEastAsia" w:hAnsiTheme="minorEastAsia" w:eastAsiaTheme="minorEastAsia"/>
          <w:color w:val="auto"/>
          <w:sz w:val="24"/>
          <w:u w:val="single"/>
          <w:lang w:val="zh-CN"/>
        </w:rPr>
        <w:t>东方市城乡公交客运服务一体化特许经营项目</w:t>
      </w:r>
      <w:r>
        <w:rPr>
          <w:rFonts w:cs="宋体" w:asciiTheme="minorEastAsia" w:hAnsiTheme="minorEastAsia" w:eastAsiaTheme="minorEastAsia"/>
          <w:color w:val="auto"/>
          <w:sz w:val="24"/>
        </w:rPr>
        <w:t>（</w:t>
      </w:r>
      <w:r>
        <w:rPr>
          <w:rFonts w:hint="eastAsia" w:cs="宋体" w:asciiTheme="minorEastAsia" w:hAnsiTheme="minorEastAsia" w:eastAsiaTheme="minorEastAsia"/>
          <w:color w:val="auto"/>
          <w:sz w:val="24"/>
        </w:rPr>
        <w:t>采购编号</w:t>
      </w:r>
      <w:r>
        <w:rPr>
          <w:rFonts w:cs="宋体" w:asciiTheme="minorEastAsia" w:hAnsiTheme="minorEastAsia" w:eastAsiaTheme="minorEastAsia"/>
          <w:color w:val="auto"/>
          <w:sz w:val="24"/>
        </w:rPr>
        <w:t>:</w:t>
      </w:r>
      <w:r>
        <w:rPr>
          <w:rFonts w:hint="eastAsia" w:cs="宋体" w:asciiTheme="minorEastAsia" w:hAnsiTheme="minorEastAsia" w:eastAsiaTheme="minorEastAsia"/>
          <w:color w:val="auto"/>
          <w:sz w:val="24"/>
          <w:u w:val="single"/>
          <w:lang w:val="zh-CN"/>
        </w:rPr>
        <w:t xml:space="preserve"> ZZYDC20190421</w:t>
      </w:r>
      <w:r>
        <w:rPr>
          <w:rFonts w:cs="宋体" w:asciiTheme="minorEastAsia" w:hAnsiTheme="minorEastAsia" w:eastAsiaTheme="minorEastAsia"/>
          <w:color w:val="auto"/>
          <w:sz w:val="24"/>
        </w:rPr>
        <w:t>）</w:t>
      </w:r>
      <w:r>
        <w:rPr>
          <w:rFonts w:hint="eastAsia" w:cs="宋体" w:asciiTheme="minorEastAsia" w:hAnsiTheme="minorEastAsia" w:eastAsiaTheme="minorEastAsia"/>
          <w:color w:val="auto"/>
          <w:sz w:val="24"/>
        </w:rPr>
        <w:t>活动前三年内，在经营活动中没有重大事故，没有任何违法行为记录。</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如有作假，愿承担一切法律责任。</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特此声明。</w:t>
      </w:r>
    </w:p>
    <w:p>
      <w:pPr>
        <w:spacing w:line="600" w:lineRule="exact"/>
        <w:rPr>
          <w:rFonts w:hint="eastAsia" w:cs="宋体" w:asciiTheme="minorEastAsia" w:hAnsiTheme="minorEastAsia" w:eastAsiaTheme="minorEastAsia"/>
          <w:color w:val="auto"/>
          <w:sz w:val="28"/>
          <w:szCs w:val="28"/>
        </w:rPr>
      </w:pPr>
    </w:p>
    <w:p>
      <w:pPr>
        <w:spacing w:line="600" w:lineRule="exact"/>
        <w:rPr>
          <w:rFonts w:cs="宋体" w:asciiTheme="minorEastAsia" w:hAnsiTheme="minorEastAsia" w:eastAsiaTheme="minorEastAsia"/>
          <w:color w:val="auto"/>
          <w:sz w:val="28"/>
          <w:szCs w:val="28"/>
        </w:rPr>
      </w:pP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投标人名称：</w:t>
      </w:r>
      <w:r>
        <w:rPr>
          <w:rFonts w:hint="eastAsia" w:cs="宋体" w:asciiTheme="minorEastAsia" w:hAnsiTheme="minorEastAsia" w:eastAsiaTheme="minorEastAsia"/>
          <w:color w:val="auto"/>
          <w:sz w:val="24"/>
          <w:u w:val="single"/>
        </w:rPr>
        <w:t xml:space="preserve">            （盖公章）</w:t>
      </w: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法定代表人或授权代表签字：</w:t>
      </w:r>
      <w:r>
        <w:rPr>
          <w:rFonts w:hint="eastAsia" w:cs="宋体" w:asciiTheme="minorEastAsia" w:hAnsiTheme="minorEastAsia" w:eastAsiaTheme="minorEastAsia"/>
          <w:color w:val="auto"/>
          <w:sz w:val="24"/>
          <w:u w:val="single"/>
        </w:rPr>
        <w:t xml:space="preserve">                </w:t>
      </w:r>
    </w:p>
    <w:p>
      <w:pPr>
        <w:spacing w:line="480" w:lineRule="auto"/>
        <w:ind w:firstLine="3600" w:firstLineChars="1500"/>
        <w:rPr>
          <w:rStyle w:val="33"/>
          <w:rFonts w:cs="宋体" w:asciiTheme="minorEastAsia" w:hAnsiTheme="minorEastAsia" w:eastAsiaTheme="minorEastAsia"/>
          <w:color w:val="auto"/>
          <w:sz w:val="30"/>
          <w:szCs w:val="30"/>
        </w:rPr>
      </w:pPr>
      <w:r>
        <w:rPr>
          <w:rFonts w:hint="eastAsia" w:cs="宋体" w:asciiTheme="minorEastAsia" w:hAnsiTheme="minorEastAsia" w:eastAsiaTheme="minorEastAsia"/>
          <w:color w:val="auto"/>
          <w:sz w:val="24"/>
        </w:rPr>
        <w:t>日      期：</w:t>
      </w:r>
      <w:r>
        <w:rPr>
          <w:rFonts w:hint="eastAsia" w:cs="宋体" w:asciiTheme="minorEastAsia" w:hAnsiTheme="minorEastAsia" w:eastAsiaTheme="minorEastAsia"/>
          <w:color w:val="auto"/>
          <w:sz w:val="24"/>
          <w:u w:val="single"/>
        </w:rPr>
        <w:t xml:space="preserve">                    </w:t>
      </w:r>
    </w:p>
    <w:p>
      <w:pPr>
        <w:rPr>
          <w:rFonts w:cs="宋体" w:asciiTheme="minorEastAsia" w:hAnsiTheme="minorEastAsia" w:eastAsiaTheme="minorEastAsia"/>
          <w:color w:val="auto"/>
          <w:szCs w:val="21"/>
        </w:rPr>
        <w:sectPr>
          <w:pgSz w:w="11907" w:h="16840"/>
          <w:pgMar w:top="1440" w:right="1474" w:bottom="1440" w:left="1474" w:header="851" w:footer="992" w:gutter="0"/>
          <w:cols w:space="720" w:num="1"/>
          <w:docGrid w:type="lines" w:linePitch="312" w:charSpace="0"/>
        </w:sectPr>
      </w:pPr>
    </w:p>
    <w:p>
      <w:pPr>
        <w:numPr>
          <w:ilvl w:val="0"/>
          <w:numId w:val="7"/>
        </w:numPr>
        <w:spacing w:line="360" w:lineRule="auto"/>
        <w:jc w:val="center"/>
        <w:rPr>
          <w:rFonts w:asciiTheme="minorEastAsia" w:hAnsiTheme="minorEastAsia" w:eastAsiaTheme="minorEastAsia"/>
          <w:b/>
          <w:color w:val="auto"/>
          <w:sz w:val="28"/>
          <w:szCs w:val="28"/>
        </w:rPr>
      </w:pPr>
      <w:r>
        <w:rPr>
          <w:rFonts w:hint="eastAsia" w:asciiTheme="minorEastAsia" w:hAnsiTheme="minorEastAsia" w:eastAsiaTheme="minorEastAsia"/>
          <w:b/>
          <w:color w:val="auto"/>
          <w:sz w:val="28"/>
          <w:szCs w:val="28"/>
        </w:rPr>
        <w:t>投标人单位负责人为同一人或者存在直接控股、管理关系的不同投标人，不得参与同一合同项目下的采购活动（承诺函）</w:t>
      </w:r>
    </w:p>
    <w:p>
      <w:pPr>
        <w:spacing w:line="360" w:lineRule="auto"/>
        <w:rPr>
          <w:rFonts w:asciiTheme="minorEastAsia" w:hAnsiTheme="minorEastAsia" w:eastAsiaTheme="minorEastAsia"/>
          <w:color w:val="auto"/>
          <w:szCs w:val="21"/>
        </w:rPr>
      </w:pPr>
    </w:p>
    <w:p>
      <w:pPr>
        <w:spacing w:line="360" w:lineRule="auto"/>
        <w:rPr>
          <w:rFonts w:cs="宋体" w:asciiTheme="minorEastAsia" w:hAnsiTheme="minorEastAsia" w:eastAsiaTheme="minorEastAsia"/>
          <w:b/>
          <w:color w:val="auto"/>
          <w:sz w:val="24"/>
          <w:u w:val="single"/>
        </w:rPr>
      </w:pPr>
      <w:r>
        <w:rPr>
          <w:rFonts w:hint="eastAsia" w:cs="宋体" w:asciiTheme="minorEastAsia" w:hAnsiTheme="minorEastAsia" w:eastAsiaTheme="minorEastAsia"/>
          <w:b/>
          <w:color w:val="auto"/>
          <w:sz w:val="24"/>
        </w:rPr>
        <w:t>致</w:t>
      </w:r>
      <w:r>
        <w:rPr>
          <w:rFonts w:hint="eastAsia" w:cs="宋体" w:asciiTheme="minorEastAsia" w:hAnsiTheme="minorEastAsia" w:eastAsiaTheme="minorEastAsia"/>
          <w:b/>
          <w:color w:val="auto"/>
          <w:sz w:val="24"/>
          <w:u w:val="single"/>
        </w:rPr>
        <w:t>东方市交通运输局</w:t>
      </w:r>
    </w:p>
    <w:p>
      <w:pPr>
        <w:spacing w:line="360" w:lineRule="auto"/>
        <w:rPr>
          <w:rFonts w:cs="宋体" w:asciiTheme="minorEastAsia" w:hAnsiTheme="minorEastAsia" w:eastAsiaTheme="minorEastAsia"/>
          <w:b/>
          <w:color w:val="auto"/>
          <w:sz w:val="24"/>
          <w:u w:val="single"/>
        </w:rPr>
      </w:pPr>
      <w:r>
        <w:rPr>
          <w:rFonts w:hint="eastAsia" w:cs="宋体" w:asciiTheme="minorEastAsia" w:hAnsiTheme="minorEastAsia" w:eastAsiaTheme="minorEastAsia"/>
          <w:b/>
          <w:color w:val="auto"/>
          <w:sz w:val="24"/>
          <w:u w:val="single"/>
        </w:rPr>
        <w:t>海南中政源达项目管理有限公司：</w:t>
      </w:r>
    </w:p>
    <w:p>
      <w:pPr>
        <w:spacing w:line="360" w:lineRule="auto"/>
        <w:ind w:firstLine="480" w:firstLineChars="200"/>
        <w:rPr>
          <w:rFonts w:hint="eastAsia" w:cs="宋体" w:asciiTheme="minorEastAsia" w:hAnsiTheme="minorEastAsia" w:eastAsiaTheme="minorEastAsia"/>
          <w:color w:val="auto"/>
          <w:sz w:val="24"/>
        </w:rPr>
      </w:pP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我公司在参加本次政府采购项目名称：</w:t>
      </w:r>
      <w:r>
        <w:rPr>
          <w:rFonts w:hint="eastAsia" w:cs="宋体" w:asciiTheme="minorEastAsia" w:hAnsiTheme="minorEastAsia" w:eastAsiaTheme="minorEastAsia"/>
          <w:color w:val="auto"/>
          <w:sz w:val="24"/>
          <w:u w:val="single"/>
          <w:lang w:val="zh-CN"/>
        </w:rPr>
        <w:t>东方市城乡公交客运服务一体化特许经营项目</w:t>
      </w:r>
      <w:r>
        <w:rPr>
          <w:rFonts w:cs="宋体" w:asciiTheme="minorEastAsia" w:hAnsiTheme="minorEastAsia" w:eastAsiaTheme="minorEastAsia"/>
          <w:color w:val="auto"/>
          <w:sz w:val="24"/>
        </w:rPr>
        <w:t>（</w:t>
      </w:r>
      <w:r>
        <w:rPr>
          <w:rFonts w:hint="eastAsia" w:cs="宋体" w:asciiTheme="minorEastAsia" w:hAnsiTheme="minorEastAsia" w:eastAsiaTheme="minorEastAsia"/>
          <w:color w:val="auto"/>
          <w:sz w:val="24"/>
        </w:rPr>
        <w:t>采购编号</w:t>
      </w:r>
      <w:r>
        <w:rPr>
          <w:rFonts w:cs="宋体" w:asciiTheme="minorEastAsia" w:hAnsiTheme="minorEastAsia" w:eastAsiaTheme="minorEastAsia"/>
          <w:color w:val="auto"/>
          <w:sz w:val="24"/>
        </w:rPr>
        <w:t>:</w:t>
      </w:r>
      <w:r>
        <w:rPr>
          <w:rFonts w:hint="eastAsia" w:cs="宋体" w:asciiTheme="minorEastAsia" w:hAnsiTheme="minorEastAsia" w:eastAsiaTheme="minorEastAsia"/>
          <w:color w:val="auto"/>
          <w:sz w:val="24"/>
          <w:u w:val="single"/>
          <w:lang w:val="zh-CN"/>
        </w:rPr>
        <w:t xml:space="preserve"> ZZYDC20190421</w:t>
      </w:r>
      <w:r>
        <w:rPr>
          <w:rFonts w:cs="宋体" w:asciiTheme="minorEastAsia" w:hAnsiTheme="minorEastAsia" w:eastAsiaTheme="minorEastAsia"/>
          <w:color w:val="auto"/>
          <w:sz w:val="24"/>
        </w:rPr>
        <w:t>）</w:t>
      </w:r>
      <w:r>
        <w:rPr>
          <w:rFonts w:hint="eastAsia" w:cs="宋体" w:asciiTheme="minorEastAsia" w:hAnsiTheme="minorEastAsia" w:eastAsiaTheme="minorEastAsia"/>
          <w:color w:val="auto"/>
          <w:sz w:val="24"/>
        </w:rPr>
        <w:t>采购活动，现承诺：</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我公司满足下列投标人的资格要求：</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单位负责人为同一人或者存在直接控股、管理关系的不同投标人，不得参加同一合同项下的政府采购活动。</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同时也满足本项目法律法规规章规定关于供应商的其他资格性条件。</w:t>
      </w:r>
    </w:p>
    <w:p>
      <w:pPr>
        <w:spacing w:line="360" w:lineRule="auto"/>
        <w:ind w:firstLine="480" w:firstLineChars="200"/>
        <w:rPr>
          <w:rFonts w:cs="宋体" w:asciiTheme="minorEastAsia" w:hAnsiTheme="minorEastAsia" w:eastAsiaTheme="minorEastAsia"/>
          <w:color w:val="auto"/>
          <w:sz w:val="24"/>
        </w:rPr>
      </w:pPr>
      <w:r>
        <w:rPr>
          <w:rFonts w:hint="eastAsia" w:cs="宋体" w:asciiTheme="minorEastAsia" w:hAnsiTheme="minorEastAsia" w:eastAsiaTheme="minorEastAsia"/>
          <w:color w:val="auto"/>
          <w:sz w:val="24"/>
        </w:rPr>
        <w:t>如违反以上承诺，本公司愿承担一切法律责任。</w:t>
      </w:r>
    </w:p>
    <w:p>
      <w:pPr>
        <w:spacing w:line="360" w:lineRule="auto"/>
        <w:rPr>
          <w:rFonts w:asciiTheme="minorEastAsia" w:hAnsiTheme="minorEastAsia" w:eastAsiaTheme="minorEastAsia"/>
          <w:color w:val="auto"/>
          <w:szCs w:val="21"/>
        </w:rPr>
      </w:pP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投标人名称：</w:t>
      </w:r>
      <w:r>
        <w:rPr>
          <w:rFonts w:hint="eastAsia" w:cs="宋体" w:asciiTheme="minorEastAsia" w:hAnsiTheme="minorEastAsia" w:eastAsiaTheme="minorEastAsia"/>
          <w:color w:val="auto"/>
          <w:sz w:val="24"/>
          <w:u w:val="single"/>
        </w:rPr>
        <w:t xml:space="preserve">            （盖公章）</w:t>
      </w: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法定代表人或授权代表签字：</w:t>
      </w:r>
      <w:r>
        <w:rPr>
          <w:rFonts w:hint="eastAsia" w:cs="宋体" w:asciiTheme="minorEastAsia" w:hAnsiTheme="minorEastAsia" w:eastAsiaTheme="minorEastAsia"/>
          <w:color w:val="auto"/>
          <w:sz w:val="24"/>
          <w:u w:val="single"/>
        </w:rPr>
        <w:t xml:space="preserve">                </w:t>
      </w:r>
    </w:p>
    <w:p>
      <w:pPr>
        <w:spacing w:line="480" w:lineRule="auto"/>
        <w:ind w:firstLine="3600" w:firstLineChars="1500"/>
        <w:rPr>
          <w:rStyle w:val="33"/>
          <w:rFonts w:cs="宋体" w:asciiTheme="minorEastAsia" w:hAnsiTheme="minorEastAsia" w:eastAsiaTheme="minorEastAsia"/>
          <w:color w:val="auto"/>
          <w:sz w:val="30"/>
          <w:szCs w:val="30"/>
        </w:rPr>
      </w:pPr>
      <w:r>
        <w:rPr>
          <w:rFonts w:hint="eastAsia" w:cs="宋体" w:asciiTheme="minorEastAsia" w:hAnsiTheme="minorEastAsia" w:eastAsiaTheme="minorEastAsia"/>
          <w:color w:val="auto"/>
          <w:sz w:val="24"/>
        </w:rPr>
        <w:t>日      期：</w:t>
      </w:r>
      <w:r>
        <w:rPr>
          <w:rFonts w:hint="eastAsia" w:cs="宋体" w:asciiTheme="minorEastAsia" w:hAnsiTheme="minorEastAsia" w:eastAsiaTheme="minorEastAsia"/>
          <w:color w:val="auto"/>
          <w:sz w:val="24"/>
          <w:u w:val="single"/>
        </w:rPr>
        <w:t xml:space="preserve">                    </w:t>
      </w:r>
    </w:p>
    <w:p>
      <w:pPr>
        <w:spacing w:line="360" w:lineRule="auto"/>
        <w:rPr>
          <w:rFonts w:asciiTheme="minorEastAsia" w:hAnsiTheme="minorEastAsia" w:eastAsiaTheme="minorEastAsia"/>
          <w:b/>
          <w:color w:val="auto"/>
          <w:sz w:val="28"/>
          <w:szCs w:val="28"/>
        </w:rPr>
        <w:sectPr>
          <w:pgSz w:w="11907" w:h="16840"/>
          <w:pgMar w:top="1440" w:right="1474" w:bottom="1440" w:left="1474" w:header="851" w:footer="992" w:gutter="0"/>
          <w:cols w:space="720" w:num="1"/>
          <w:docGrid w:type="lines" w:linePitch="312" w:charSpace="0"/>
        </w:sectPr>
      </w:pPr>
    </w:p>
    <w:p>
      <w:pPr>
        <w:spacing w:line="360" w:lineRule="auto"/>
        <w:rPr>
          <w:rFonts w:asciiTheme="minorEastAsia" w:hAnsiTheme="minorEastAsia" w:eastAsiaTheme="minorEastAsia"/>
          <w:b/>
          <w:color w:val="auto"/>
          <w:sz w:val="28"/>
          <w:szCs w:val="28"/>
        </w:rPr>
      </w:pPr>
      <w:r>
        <w:rPr>
          <w:rFonts w:hint="eastAsia" w:asciiTheme="minorEastAsia" w:hAnsiTheme="minorEastAsia" w:eastAsiaTheme="minorEastAsia"/>
          <w:b/>
          <w:color w:val="auto"/>
          <w:sz w:val="28"/>
          <w:szCs w:val="28"/>
        </w:rPr>
        <w:t>10、投标保证金缴纳凭证复印件</w:t>
      </w:r>
    </w:p>
    <w:p>
      <w:pPr>
        <w:spacing w:line="800" w:lineRule="exact"/>
        <w:rPr>
          <w:rFonts w:asciiTheme="minorEastAsia" w:hAnsiTheme="minorEastAsia" w:eastAsiaTheme="minorEastAsia"/>
          <w:color w:val="auto"/>
          <w:sz w:val="24"/>
        </w:rPr>
      </w:pPr>
    </w:p>
    <w:p>
      <w:pPr>
        <w:pStyle w:val="3"/>
        <w:jc w:val="center"/>
        <w:rPr>
          <w:rFonts w:cs="宋体" w:asciiTheme="minorEastAsia" w:hAnsiTheme="minorEastAsia" w:eastAsiaTheme="minorEastAsia"/>
          <w:bCs w:val="0"/>
          <w:color w:val="auto"/>
          <w:sz w:val="30"/>
          <w:szCs w:val="30"/>
        </w:rPr>
      </w:pPr>
      <w:r>
        <w:rPr>
          <w:rFonts w:asciiTheme="minorEastAsia" w:hAnsiTheme="minorEastAsia" w:eastAsiaTheme="minorEastAsia"/>
          <w:color w:val="auto"/>
          <w:kern w:val="0"/>
          <w:lang w:val="zh-CN"/>
        </w:rPr>
        <w:br w:type="page"/>
      </w:r>
      <w:r>
        <w:rPr>
          <w:rFonts w:hint="eastAsia" w:cs="宋体" w:asciiTheme="minorEastAsia" w:hAnsiTheme="minorEastAsia" w:eastAsiaTheme="minorEastAsia"/>
          <w:color w:val="auto"/>
          <w:sz w:val="30"/>
          <w:szCs w:val="30"/>
        </w:rPr>
        <w:t>三、项目业绩一览表</w:t>
      </w:r>
    </w:p>
    <w:p>
      <w:pPr>
        <w:spacing w:line="500" w:lineRule="exact"/>
        <w:rPr>
          <w:rFonts w:asciiTheme="minorEastAsia" w:hAnsiTheme="minorEastAsia" w:eastAsiaTheme="minorEastAsia"/>
          <w:bCs/>
          <w:color w:val="auto"/>
          <w:szCs w:val="21"/>
        </w:rPr>
      </w:pPr>
      <w:r>
        <w:rPr>
          <w:rFonts w:asciiTheme="minorEastAsia" w:hAnsiTheme="minorEastAsia" w:eastAsiaTheme="minorEastAsia"/>
          <w:color w:val="auto"/>
          <w:szCs w:val="21"/>
        </w:rPr>
        <w:t>项目名称：</w:t>
      </w:r>
      <w:r>
        <w:rPr>
          <w:rFonts w:hint="eastAsia" w:cs="宋体" w:asciiTheme="minorEastAsia" w:hAnsiTheme="minorEastAsia" w:eastAsiaTheme="minorEastAsia"/>
          <w:color w:val="auto"/>
          <w:szCs w:val="21"/>
          <w:u w:val="single"/>
        </w:rPr>
        <w:t>东方市城乡公交客运服务一体化特许经营项目</w:t>
      </w:r>
    </w:p>
    <w:p>
      <w:pPr>
        <w:spacing w:line="500" w:lineRule="exact"/>
        <w:rPr>
          <w:rFonts w:asciiTheme="minorEastAsia" w:hAnsiTheme="minorEastAsia" w:eastAsiaTheme="minorEastAsia"/>
          <w:bCs/>
          <w:color w:val="auto"/>
          <w:szCs w:val="21"/>
          <w:u w:val="single"/>
        </w:rPr>
      </w:pPr>
      <w:r>
        <w:rPr>
          <w:rFonts w:hint="eastAsia" w:asciiTheme="minorEastAsia" w:hAnsiTheme="minorEastAsia" w:eastAsiaTheme="minorEastAsia"/>
          <w:color w:val="auto"/>
          <w:szCs w:val="21"/>
        </w:rPr>
        <w:t>采购编号</w:t>
      </w:r>
      <w:r>
        <w:rPr>
          <w:rFonts w:asciiTheme="minorEastAsia" w:hAnsiTheme="minorEastAsia" w:eastAsiaTheme="minorEastAsia"/>
          <w:color w:val="auto"/>
          <w:szCs w:val="21"/>
        </w:rPr>
        <w:t>：</w:t>
      </w:r>
      <w:r>
        <w:rPr>
          <w:rFonts w:hint="eastAsia" w:cs="宋体" w:asciiTheme="minorEastAsia" w:hAnsiTheme="minorEastAsia" w:eastAsiaTheme="minorEastAsia"/>
          <w:color w:val="auto"/>
          <w:szCs w:val="21"/>
          <w:u w:val="single"/>
          <w:lang w:val="en-GB"/>
        </w:rPr>
        <w:t>ZZYDC20190421</w:t>
      </w:r>
    </w:p>
    <w:tbl>
      <w:tblPr>
        <w:tblStyle w:val="23"/>
        <w:tblW w:w="884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92"/>
        <w:gridCol w:w="795"/>
        <w:gridCol w:w="1530"/>
        <w:gridCol w:w="1350"/>
        <w:gridCol w:w="1276"/>
        <w:gridCol w:w="1559"/>
        <w:gridCol w:w="14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892" w:type="dxa"/>
            <w:tcBorders>
              <w:top w:val="single" w:color="auto" w:sz="4" w:space="0"/>
            </w:tcBorders>
            <w:vAlign w:val="center"/>
          </w:tcPr>
          <w:p>
            <w:pPr>
              <w:spacing w:line="400" w:lineRule="exact"/>
              <w:rPr>
                <w:rFonts w:asciiTheme="minorEastAsia" w:hAnsiTheme="minorEastAsia" w:eastAsiaTheme="minorEastAsia"/>
                <w:b/>
                <w:color w:val="auto"/>
              </w:rPr>
            </w:pPr>
            <w:r>
              <w:rPr>
                <w:rFonts w:hint="eastAsia" w:asciiTheme="minorEastAsia" w:hAnsiTheme="minorEastAsia" w:eastAsiaTheme="minorEastAsia"/>
                <w:b/>
                <w:color w:val="auto"/>
              </w:rPr>
              <w:t xml:space="preserve">  序号</w:t>
            </w:r>
          </w:p>
        </w:tc>
        <w:tc>
          <w:tcPr>
            <w:tcW w:w="795" w:type="dxa"/>
            <w:tcBorders>
              <w:top w:val="single" w:color="auto" w:sz="4" w:space="0"/>
            </w:tcBorders>
            <w:vAlign w:val="center"/>
          </w:tcPr>
          <w:p>
            <w:pPr>
              <w:spacing w:line="400" w:lineRule="exact"/>
              <w:ind w:firstLine="105" w:firstLineChars="50"/>
              <w:rPr>
                <w:rFonts w:asciiTheme="minorEastAsia" w:hAnsiTheme="minorEastAsia" w:eastAsiaTheme="minorEastAsia"/>
                <w:b/>
                <w:color w:val="auto"/>
              </w:rPr>
            </w:pPr>
            <w:r>
              <w:rPr>
                <w:rFonts w:hint="eastAsia" w:asciiTheme="minorEastAsia" w:hAnsiTheme="minorEastAsia" w:eastAsiaTheme="minorEastAsia"/>
                <w:b/>
                <w:color w:val="auto"/>
              </w:rPr>
              <w:t>年份</w:t>
            </w:r>
          </w:p>
        </w:tc>
        <w:tc>
          <w:tcPr>
            <w:tcW w:w="1530" w:type="dxa"/>
            <w:vAlign w:val="center"/>
          </w:tcPr>
          <w:p>
            <w:pPr>
              <w:spacing w:line="400" w:lineRule="exact"/>
              <w:jc w:val="center"/>
              <w:rPr>
                <w:rFonts w:asciiTheme="minorEastAsia" w:hAnsiTheme="minorEastAsia" w:eastAsiaTheme="minorEastAsia"/>
                <w:b/>
                <w:color w:val="auto"/>
              </w:rPr>
            </w:pPr>
            <w:r>
              <w:rPr>
                <w:rFonts w:hint="eastAsia" w:asciiTheme="minorEastAsia" w:hAnsiTheme="minorEastAsia" w:eastAsiaTheme="minorEastAsia"/>
                <w:b/>
                <w:color w:val="auto"/>
              </w:rPr>
              <w:t>用户名称</w:t>
            </w:r>
          </w:p>
        </w:tc>
        <w:tc>
          <w:tcPr>
            <w:tcW w:w="1350" w:type="dxa"/>
            <w:vAlign w:val="center"/>
          </w:tcPr>
          <w:p>
            <w:pPr>
              <w:spacing w:line="400" w:lineRule="exact"/>
              <w:jc w:val="center"/>
              <w:rPr>
                <w:rFonts w:asciiTheme="minorEastAsia" w:hAnsiTheme="minorEastAsia" w:eastAsiaTheme="minorEastAsia"/>
                <w:b/>
                <w:color w:val="auto"/>
              </w:rPr>
            </w:pPr>
            <w:r>
              <w:rPr>
                <w:rFonts w:asciiTheme="minorEastAsia" w:hAnsiTheme="minorEastAsia" w:eastAsiaTheme="minorEastAsia"/>
                <w:b/>
                <w:color w:val="auto"/>
              </w:rPr>
              <w:t>项目名称</w:t>
            </w:r>
          </w:p>
        </w:tc>
        <w:tc>
          <w:tcPr>
            <w:tcW w:w="1276" w:type="dxa"/>
            <w:vAlign w:val="center"/>
          </w:tcPr>
          <w:p>
            <w:pPr>
              <w:spacing w:line="400" w:lineRule="exact"/>
              <w:jc w:val="center"/>
              <w:rPr>
                <w:rFonts w:asciiTheme="minorEastAsia" w:hAnsiTheme="minorEastAsia" w:eastAsiaTheme="minorEastAsia"/>
                <w:b/>
                <w:color w:val="auto"/>
              </w:rPr>
            </w:pPr>
            <w:r>
              <w:rPr>
                <w:rFonts w:hint="eastAsia" w:asciiTheme="minorEastAsia" w:hAnsiTheme="minorEastAsia" w:eastAsiaTheme="minorEastAsia"/>
                <w:b/>
                <w:color w:val="auto"/>
              </w:rPr>
              <w:t>项目地址</w:t>
            </w:r>
          </w:p>
        </w:tc>
        <w:tc>
          <w:tcPr>
            <w:tcW w:w="1559" w:type="dxa"/>
            <w:vAlign w:val="center"/>
          </w:tcPr>
          <w:p>
            <w:pPr>
              <w:spacing w:line="400" w:lineRule="exact"/>
              <w:jc w:val="center"/>
              <w:rPr>
                <w:rFonts w:asciiTheme="minorEastAsia" w:hAnsiTheme="minorEastAsia" w:eastAsiaTheme="minorEastAsia"/>
                <w:b/>
                <w:color w:val="auto"/>
              </w:rPr>
            </w:pPr>
            <w:r>
              <w:rPr>
                <w:rFonts w:hint="eastAsia" w:asciiTheme="minorEastAsia" w:hAnsiTheme="minorEastAsia" w:eastAsiaTheme="minorEastAsia"/>
                <w:b/>
                <w:color w:val="auto"/>
              </w:rPr>
              <w:t>批复</w:t>
            </w:r>
            <w:r>
              <w:rPr>
                <w:rFonts w:asciiTheme="minorEastAsia" w:hAnsiTheme="minorEastAsia" w:eastAsiaTheme="minorEastAsia"/>
                <w:b/>
                <w:color w:val="auto"/>
              </w:rPr>
              <w:t>的车辆数</w:t>
            </w:r>
          </w:p>
        </w:tc>
        <w:tc>
          <w:tcPr>
            <w:tcW w:w="1446" w:type="dxa"/>
            <w:tcBorders>
              <w:right w:val="single" w:color="auto" w:sz="4" w:space="0"/>
            </w:tcBorders>
            <w:vAlign w:val="center"/>
          </w:tcPr>
          <w:p>
            <w:pPr>
              <w:spacing w:line="400" w:lineRule="exact"/>
              <w:ind w:firstLine="207" w:firstLineChars="98"/>
              <w:rPr>
                <w:rFonts w:asciiTheme="minorEastAsia" w:hAnsiTheme="minorEastAsia" w:eastAsiaTheme="minorEastAsia"/>
                <w:b/>
                <w:color w:val="auto"/>
              </w:rPr>
            </w:pPr>
            <w:r>
              <w:rPr>
                <w:rFonts w:hint="eastAsia" w:asciiTheme="minorEastAsia" w:hAnsiTheme="minorEastAsia" w:eastAsiaTheme="minorEastAsia"/>
                <w:b/>
                <w:color w:val="auto"/>
              </w:rPr>
              <w:t>经营年限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892" w:type="dxa"/>
            <w:vAlign w:val="center"/>
          </w:tcPr>
          <w:p>
            <w:pPr>
              <w:spacing w:line="400" w:lineRule="exact"/>
              <w:jc w:val="center"/>
              <w:rPr>
                <w:rFonts w:asciiTheme="minorEastAsia" w:hAnsiTheme="minorEastAsia" w:eastAsiaTheme="minorEastAsia"/>
                <w:color w:val="auto"/>
              </w:rPr>
            </w:pPr>
          </w:p>
        </w:tc>
        <w:tc>
          <w:tcPr>
            <w:tcW w:w="795" w:type="dxa"/>
            <w:vAlign w:val="center"/>
          </w:tcPr>
          <w:p>
            <w:pPr>
              <w:spacing w:line="400" w:lineRule="exact"/>
              <w:jc w:val="center"/>
              <w:rPr>
                <w:rFonts w:asciiTheme="minorEastAsia" w:hAnsiTheme="minorEastAsia" w:eastAsiaTheme="minorEastAsia"/>
                <w:color w:val="auto"/>
              </w:rPr>
            </w:pPr>
          </w:p>
        </w:tc>
        <w:tc>
          <w:tcPr>
            <w:tcW w:w="1530" w:type="dxa"/>
            <w:vAlign w:val="center"/>
          </w:tcPr>
          <w:p>
            <w:pPr>
              <w:spacing w:line="400" w:lineRule="exact"/>
              <w:jc w:val="center"/>
              <w:rPr>
                <w:rFonts w:asciiTheme="minorEastAsia" w:hAnsiTheme="minorEastAsia" w:eastAsiaTheme="minorEastAsia"/>
                <w:color w:val="auto"/>
              </w:rPr>
            </w:pPr>
          </w:p>
        </w:tc>
        <w:tc>
          <w:tcPr>
            <w:tcW w:w="1350" w:type="dxa"/>
            <w:vAlign w:val="center"/>
          </w:tcPr>
          <w:p>
            <w:pPr>
              <w:spacing w:line="400" w:lineRule="exact"/>
              <w:jc w:val="center"/>
              <w:rPr>
                <w:rFonts w:asciiTheme="minorEastAsia" w:hAnsiTheme="minorEastAsia" w:eastAsiaTheme="minorEastAsia"/>
                <w:color w:val="auto"/>
              </w:rPr>
            </w:pPr>
          </w:p>
        </w:tc>
        <w:tc>
          <w:tcPr>
            <w:tcW w:w="1276" w:type="dxa"/>
            <w:vAlign w:val="center"/>
          </w:tcPr>
          <w:p>
            <w:pPr>
              <w:spacing w:line="400" w:lineRule="exact"/>
              <w:jc w:val="center"/>
              <w:rPr>
                <w:rFonts w:asciiTheme="minorEastAsia" w:hAnsiTheme="minorEastAsia" w:eastAsiaTheme="minorEastAsia"/>
                <w:color w:val="auto"/>
              </w:rPr>
            </w:pPr>
          </w:p>
        </w:tc>
        <w:tc>
          <w:tcPr>
            <w:tcW w:w="1559" w:type="dxa"/>
            <w:vAlign w:val="center"/>
          </w:tcPr>
          <w:p>
            <w:pPr>
              <w:spacing w:line="400" w:lineRule="exact"/>
              <w:jc w:val="center"/>
              <w:rPr>
                <w:rFonts w:asciiTheme="minorEastAsia" w:hAnsiTheme="minorEastAsia" w:eastAsiaTheme="minorEastAsia"/>
                <w:color w:val="auto"/>
              </w:rPr>
            </w:pPr>
          </w:p>
        </w:tc>
        <w:tc>
          <w:tcPr>
            <w:tcW w:w="1446" w:type="dxa"/>
            <w:tcBorders>
              <w:right w:val="single" w:color="auto" w:sz="4" w:space="0"/>
            </w:tcBorders>
            <w:vAlign w:val="center"/>
          </w:tcPr>
          <w:p>
            <w:pPr>
              <w:spacing w:line="400" w:lineRule="exact"/>
              <w:jc w:val="center"/>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892" w:type="dxa"/>
            <w:vAlign w:val="center"/>
          </w:tcPr>
          <w:p>
            <w:pPr>
              <w:spacing w:line="400" w:lineRule="exact"/>
              <w:jc w:val="center"/>
              <w:rPr>
                <w:rFonts w:asciiTheme="minorEastAsia" w:hAnsiTheme="minorEastAsia" w:eastAsiaTheme="minorEastAsia"/>
                <w:color w:val="auto"/>
              </w:rPr>
            </w:pPr>
          </w:p>
        </w:tc>
        <w:tc>
          <w:tcPr>
            <w:tcW w:w="795" w:type="dxa"/>
            <w:vAlign w:val="center"/>
          </w:tcPr>
          <w:p>
            <w:pPr>
              <w:spacing w:line="400" w:lineRule="exact"/>
              <w:jc w:val="center"/>
              <w:rPr>
                <w:rFonts w:asciiTheme="minorEastAsia" w:hAnsiTheme="minorEastAsia" w:eastAsiaTheme="minorEastAsia"/>
                <w:color w:val="auto"/>
              </w:rPr>
            </w:pPr>
          </w:p>
        </w:tc>
        <w:tc>
          <w:tcPr>
            <w:tcW w:w="1530" w:type="dxa"/>
            <w:vAlign w:val="center"/>
          </w:tcPr>
          <w:p>
            <w:pPr>
              <w:spacing w:line="400" w:lineRule="exact"/>
              <w:jc w:val="center"/>
              <w:rPr>
                <w:rFonts w:asciiTheme="minorEastAsia" w:hAnsiTheme="minorEastAsia" w:eastAsiaTheme="minorEastAsia"/>
                <w:color w:val="auto"/>
              </w:rPr>
            </w:pPr>
          </w:p>
        </w:tc>
        <w:tc>
          <w:tcPr>
            <w:tcW w:w="1350" w:type="dxa"/>
            <w:vAlign w:val="center"/>
          </w:tcPr>
          <w:p>
            <w:pPr>
              <w:spacing w:line="400" w:lineRule="exact"/>
              <w:jc w:val="center"/>
              <w:rPr>
                <w:rFonts w:asciiTheme="minorEastAsia" w:hAnsiTheme="minorEastAsia" w:eastAsiaTheme="minorEastAsia"/>
                <w:color w:val="auto"/>
              </w:rPr>
            </w:pPr>
          </w:p>
        </w:tc>
        <w:tc>
          <w:tcPr>
            <w:tcW w:w="1276" w:type="dxa"/>
            <w:vAlign w:val="center"/>
          </w:tcPr>
          <w:p>
            <w:pPr>
              <w:spacing w:line="400" w:lineRule="exact"/>
              <w:jc w:val="center"/>
              <w:rPr>
                <w:rFonts w:asciiTheme="minorEastAsia" w:hAnsiTheme="minorEastAsia" w:eastAsiaTheme="minorEastAsia"/>
                <w:color w:val="auto"/>
              </w:rPr>
            </w:pPr>
          </w:p>
        </w:tc>
        <w:tc>
          <w:tcPr>
            <w:tcW w:w="1559" w:type="dxa"/>
            <w:vAlign w:val="center"/>
          </w:tcPr>
          <w:p>
            <w:pPr>
              <w:spacing w:line="400" w:lineRule="exact"/>
              <w:jc w:val="center"/>
              <w:rPr>
                <w:rFonts w:asciiTheme="minorEastAsia" w:hAnsiTheme="minorEastAsia" w:eastAsiaTheme="minorEastAsia"/>
                <w:color w:val="auto"/>
              </w:rPr>
            </w:pPr>
          </w:p>
        </w:tc>
        <w:tc>
          <w:tcPr>
            <w:tcW w:w="1446" w:type="dxa"/>
            <w:tcBorders>
              <w:right w:val="single" w:color="auto" w:sz="4" w:space="0"/>
            </w:tcBorders>
            <w:vAlign w:val="center"/>
          </w:tcPr>
          <w:p>
            <w:pPr>
              <w:spacing w:line="400" w:lineRule="exact"/>
              <w:jc w:val="center"/>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892" w:type="dxa"/>
            <w:vAlign w:val="center"/>
          </w:tcPr>
          <w:p>
            <w:pPr>
              <w:spacing w:line="400" w:lineRule="exact"/>
              <w:jc w:val="center"/>
              <w:rPr>
                <w:rFonts w:asciiTheme="minorEastAsia" w:hAnsiTheme="minorEastAsia" w:eastAsiaTheme="minorEastAsia"/>
                <w:color w:val="auto"/>
              </w:rPr>
            </w:pPr>
          </w:p>
        </w:tc>
        <w:tc>
          <w:tcPr>
            <w:tcW w:w="795" w:type="dxa"/>
            <w:vAlign w:val="center"/>
          </w:tcPr>
          <w:p>
            <w:pPr>
              <w:spacing w:line="400" w:lineRule="exact"/>
              <w:jc w:val="center"/>
              <w:rPr>
                <w:rFonts w:asciiTheme="minorEastAsia" w:hAnsiTheme="minorEastAsia" w:eastAsiaTheme="minorEastAsia"/>
                <w:color w:val="auto"/>
              </w:rPr>
            </w:pPr>
          </w:p>
        </w:tc>
        <w:tc>
          <w:tcPr>
            <w:tcW w:w="1530" w:type="dxa"/>
            <w:vAlign w:val="center"/>
          </w:tcPr>
          <w:p>
            <w:pPr>
              <w:spacing w:line="400" w:lineRule="exact"/>
              <w:jc w:val="center"/>
              <w:rPr>
                <w:rFonts w:asciiTheme="minorEastAsia" w:hAnsiTheme="minorEastAsia" w:eastAsiaTheme="minorEastAsia"/>
                <w:color w:val="auto"/>
              </w:rPr>
            </w:pPr>
          </w:p>
        </w:tc>
        <w:tc>
          <w:tcPr>
            <w:tcW w:w="1350" w:type="dxa"/>
            <w:vAlign w:val="center"/>
          </w:tcPr>
          <w:p>
            <w:pPr>
              <w:spacing w:line="400" w:lineRule="exact"/>
              <w:jc w:val="center"/>
              <w:rPr>
                <w:rFonts w:asciiTheme="minorEastAsia" w:hAnsiTheme="minorEastAsia" w:eastAsiaTheme="minorEastAsia"/>
                <w:color w:val="auto"/>
              </w:rPr>
            </w:pPr>
          </w:p>
        </w:tc>
        <w:tc>
          <w:tcPr>
            <w:tcW w:w="1276" w:type="dxa"/>
            <w:vAlign w:val="center"/>
          </w:tcPr>
          <w:p>
            <w:pPr>
              <w:spacing w:line="400" w:lineRule="exact"/>
              <w:jc w:val="center"/>
              <w:rPr>
                <w:rFonts w:asciiTheme="minorEastAsia" w:hAnsiTheme="minorEastAsia" w:eastAsiaTheme="minorEastAsia"/>
                <w:color w:val="auto"/>
              </w:rPr>
            </w:pPr>
          </w:p>
        </w:tc>
        <w:tc>
          <w:tcPr>
            <w:tcW w:w="1559" w:type="dxa"/>
            <w:vAlign w:val="center"/>
          </w:tcPr>
          <w:p>
            <w:pPr>
              <w:spacing w:line="400" w:lineRule="exact"/>
              <w:jc w:val="center"/>
              <w:rPr>
                <w:rFonts w:asciiTheme="minorEastAsia" w:hAnsiTheme="minorEastAsia" w:eastAsiaTheme="minorEastAsia"/>
                <w:color w:val="auto"/>
              </w:rPr>
            </w:pPr>
          </w:p>
        </w:tc>
        <w:tc>
          <w:tcPr>
            <w:tcW w:w="1446" w:type="dxa"/>
            <w:tcBorders>
              <w:right w:val="single" w:color="auto" w:sz="4" w:space="0"/>
            </w:tcBorders>
            <w:vAlign w:val="center"/>
          </w:tcPr>
          <w:p>
            <w:pPr>
              <w:spacing w:line="400" w:lineRule="exact"/>
              <w:jc w:val="center"/>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892" w:type="dxa"/>
            <w:vAlign w:val="center"/>
          </w:tcPr>
          <w:p>
            <w:pPr>
              <w:spacing w:line="400" w:lineRule="exact"/>
              <w:jc w:val="center"/>
              <w:rPr>
                <w:rFonts w:asciiTheme="minorEastAsia" w:hAnsiTheme="minorEastAsia" w:eastAsiaTheme="minorEastAsia"/>
                <w:color w:val="auto"/>
              </w:rPr>
            </w:pPr>
          </w:p>
        </w:tc>
        <w:tc>
          <w:tcPr>
            <w:tcW w:w="795" w:type="dxa"/>
            <w:vAlign w:val="center"/>
          </w:tcPr>
          <w:p>
            <w:pPr>
              <w:spacing w:line="400" w:lineRule="exact"/>
              <w:jc w:val="center"/>
              <w:rPr>
                <w:rFonts w:asciiTheme="minorEastAsia" w:hAnsiTheme="minorEastAsia" w:eastAsiaTheme="minorEastAsia"/>
                <w:color w:val="auto"/>
              </w:rPr>
            </w:pPr>
          </w:p>
        </w:tc>
        <w:tc>
          <w:tcPr>
            <w:tcW w:w="1530" w:type="dxa"/>
            <w:tcBorders>
              <w:right w:val="single" w:color="auto" w:sz="4" w:space="0"/>
            </w:tcBorders>
            <w:vAlign w:val="center"/>
          </w:tcPr>
          <w:p>
            <w:pPr>
              <w:spacing w:line="400" w:lineRule="exact"/>
              <w:jc w:val="center"/>
              <w:rPr>
                <w:rFonts w:asciiTheme="minorEastAsia" w:hAnsiTheme="minorEastAsia" w:eastAsiaTheme="minorEastAsia"/>
                <w:color w:val="auto"/>
              </w:rPr>
            </w:pPr>
          </w:p>
        </w:tc>
        <w:tc>
          <w:tcPr>
            <w:tcW w:w="1350" w:type="dxa"/>
            <w:tcBorders>
              <w:left w:val="single" w:color="auto" w:sz="4" w:space="0"/>
            </w:tcBorders>
            <w:vAlign w:val="center"/>
          </w:tcPr>
          <w:p>
            <w:pPr>
              <w:spacing w:line="400" w:lineRule="exact"/>
              <w:jc w:val="center"/>
              <w:rPr>
                <w:rFonts w:asciiTheme="minorEastAsia" w:hAnsiTheme="minorEastAsia" w:eastAsiaTheme="minorEastAsia"/>
                <w:color w:val="auto"/>
              </w:rPr>
            </w:pPr>
          </w:p>
        </w:tc>
        <w:tc>
          <w:tcPr>
            <w:tcW w:w="1276" w:type="dxa"/>
            <w:vAlign w:val="center"/>
          </w:tcPr>
          <w:p>
            <w:pPr>
              <w:spacing w:line="400" w:lineRule="exact"/>
              <w:jc w:val="center"/>
              <w:rPr>
                <w:rFonts w:asciiTheme="minorEastAsia" w:hAnsiTheme="minorEastAsia" w:eastAsiaTheme="minorEastAsia"/>
                <w:color w:val="auto"/>
              </w:rPr>
            </w:pPr>
          </w:p>
        </w:tc>
        <w:tc>
          <w:tcPr>
            <w:tcW w:w="1559" w:type="dxa"/>
            <w:vAlign w:val="center"/>
          </w:tcPr>
          <w:p>
            <w:pPr>
              <w:spacing w:line="400" w:lineRule="exact"/>
              <w:jc w:val="center"/>
              <w:rPr>
                <w:rFonts w:asciiTheme="minorEastAsia" w:hAnsiTheme="minorEastAsia" w:eastAsiaTheme="minorEastAsia"/>
                <w:color w:val="auto"/>
              </w:rPr>
            </w:pPr>
          </w:p>
        </w:tc>
        <w:tc>
          <w:tcPr>
            <w:tcW w:w="1446" w:type="dxa"/>
            <w:tcBorders>
              <w:right w:val="single" w:color="auto" w:sz="4" w:space="0"/>
            </w:tcBorders>
            <w:vAlign w:val="center"/>
          </w:tcPr>
          <w:p>
            <w:pPr>
              <w:spacing w:line="400" w:lineRule="exact"/>
              <w:jc w:val="center"/>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892" w:type="dxa"/>
            <w:tcBorders>
              <w:right w:val="single" w:color="auto" w:sz="4" w:space="0"/>
            </w:tcBorders>
            <w:vAlign w:val="center"/>
          </w:tcPr>
          <w:p>
            <w:pPr>
              <w:spacing w:line="400" w:lineRule="exact"/>
              <w:rPr>
                <w:rFonts w:asciiTheme="minorEastAsia" w:hAnsiTheme="minorEastAsia" w:eastAsiaTheme="minorEastAsia"/>
                <w:color w:val="auto"/>
              </w:rPr>
            </w:pPr>
          </w:p>
        </w:tc>
        <w:tc>
          <w:tcPr>
            <w:tcW w:w="795" w:type="dxa"/>
            <w:tcBorders>
              <w:right w:val="single" w:color="auto" w:sz="4" w:space="0"/>
            </w:tcBorders>
            <w:vAlign w:val="center"/>
          </w:tcPr>
          <w:p>
            <w:pPr>
              <w:spacing w:line="400" w:lineRule="exact"/>
              <w:rPr>
                <w:rFonts w:asciiTheme="minorEastAsia" w:hAnsiTheme="minorEastAsia" w:eastAsiaTheme="minorEastAsia"/>
                <w:color w:val="auto"/>
              </w:rPr>
            </w:pPr>
          </w:p>
        </w:tc>
        <w:tc>
          <w:tcPr>
            <w:tcW w:w="1530" w:type="dxa"/>
            <w:tcBorders>
              <w:left w:val="single" w:color="auto" w:sz="4" w:space="0"/>
              <w:right w:val="single" w:color="auto" w:sz="4" w:space="0"/>
            </w:tcBorders>
            <w:vAlign w:val="center"/>
          </w:tcPr>
          <w:p>
            <w:pPr>
              <w:spacing w:line="400" w:lineRule="exact"/>
              <w:rPr>
                <w:rFonts w:asciiTheme="minorEastAsia" w:hAnsiTheme="minorEastAsia" w:eastAsiaTheme="minorEastAsia"/>
                <w:color w:val="auto"/>
              </w:rPr>
            </w:pPr>
          </w:p>
        </w:tc>
        <w:tc>
          <w:tcPr>
            <w:tcW w:w="1350" w:type="dxa"/>
            <w:tcBorders>
              <w:left w:val="single" w:color="auto" w:sz="4" w:space="0"/>
              <w:right w:val="single" w:color="auto" w:sz="4" w:space="0"/>
            </w:tcBorders>
            <w:vAlign w:val="center"/>
          </w:tcPr>
          <w:p>
            <w:pPr>
              <w:spacing w:line="400" w:lineRule="exact"/>
              <w:rPr>
                <w:rFonts w:asciiTheme="minorEastAsia" w:hAnsiTheme="minorEastAsia" w:eastAsiaTheme="minorEastAsia"/>
                <w:color w:val="auto"/>
              </w:rPr>
            </w:pPr>
          </w:p>
        </w:tc>
        <w:tc>
          <w:tcPr>
            <w:tcW w:w="1276" w:type="dxa"/>
            <w:tcBorders>
              <w:left w:val="single" w:color="auto" w:sz="4" w:space="0"/>
              <w:right w:val="single" w:color="auto" w:sz="4" w:space="0"/>
            </w:tcBorders>
            <w:vAlign w:val="center"/>
          </w:tcPr>
          <w:p>
            <w:pPr>
              <w:spacing w:line="400" w:lineRule="exact"/>
              <w:rPr>
                <w:rFonts w:asciiTheme="minorEastAsia" w:hAnsiTheme="minorEastAsia" w:eastAsiaTheme="minorEastAsia"/>
                <w:color w:val="auto"/>
              </w:rPr>
            </w:pPr>
          </w:p>
        </w:tc>
        <w:tc>
          <w:tcPr>
            <w:tcW w:w="1559" w:type="dxa"/>
            <w:tcBorders>
              <w:left w:val="single" w:color="auto" w:sz="4" w:space="0"/>
              <w:right w:val="single" w:color="auto" w:sz="4" w:space="0"/>
            </w:tcBorders>
            <w:vAlign w:val="center"/>
          </w:tcPr>
          <w:p>
            <w:pPr>
              <w:spacing w:line="400" w:lineRule="exact"/>
              <w:rPr>
                <w:rFonts w:asciiTheme="minorEastAsia" w:hAnsiTheme="minorEastAsia" w:eastAsiaTheme="minorEastAsia"/>
                <w:color w:val="auto"/>
              </w:rPr>
            </w:pPr>
          </w:p>
        </w:tc>
        <w:tc>
          <w:tcPr>
            <w:tcW w:w="1446" w:type="dxa"/>
            <w:tcBorders>
              <w:left w:val="single" w:color="auto" w:sz="4" w:space="0"/>
              <w:right w:val="single" w:color="auto" w:sz="4" w:space="0"/>
            </w:tcBorders>
            <w:vAlign w:val="center"/>
          </w:tcPr>
          <w:p>
            <w:pPr>
              <w:spacing w:line="400" w:lineRule="exact"/>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892" w:type="dxa"/>
            <w:vAlign w:val="center"/>
          </w:tcPr>
          <w:p>
            <w:pPr>
              <w:spacing w:line="400" w:lineRule="exact"/>
              <w:rPr>
                <w:rFonts w:asciiTheme="minorEastAsia" w:hAnsiTheme="minorEastAsia" w:eastAsiaTheme="minorEastAsia"/>
                <w:color w:val="auto"/>
              </w:rPr>
            </w:pPr>
          </w:p>
        </w:tc>
        <w:tc>
          <w:tcPr>
            <w:tcW w:w="795" w:type="dxa"/>
            <w:vAlign w:val="center"/>
          </w:tcPr>
          <w:p>
            <w:pPr>
              <w:spacing w:line="400" w:lineRule="exact"/>
              <w:rPr>
                <w:rFonts w:asciiTheme="minorEastAsia" w:hAnsiTheme="minorEastAsia" w:eastAsiaTheme="minorEastAsia"/>
                <w:color w:val="auto"/>
              </w:rPr>
            </w:pPr>
          </w:p>
        </w:tc>
        <w:tc>
          <w:tcPr>
            <w:tcW w:w="1530" w:type="dxa"/>
            <w:vAlign w:val="center"/>
          </w:tcPr>
          <w:p>
            <w:pPr>
              <w:spacing w:line="400" w:lineRule="exact"/>
              <w:rPr>
                <w:rFonts w:asciiTheme="minorEastAsia" w:hAnsiTheme="minorEastAsia" w:eastAsiaTheme="minorEastAsia"/>
                <w:color w:val="auto"/>
              </w:rPr>
            </w:pPr>
          </w:p>
        </w:tc>
        <w:tc>
          <w:tcPr>
            <w:tcW w:w="1350" w:type="dxa"/>
            <w:vAlign w:val="center"/>
          </w:tcPr>
          <w:p>
            <w:pPr>
              <w:spacing w:line="400" w:lineRule="exact"/>
              <w:rPr>
                <w:rFonts w:asciiTheme="minorEastAsia" w:hAnsiTheme="minorEastAsia" w:eastAsiaTheme="minorEastAsia"/>
                <w:color w:val="auto"/>
              </w:rPr>
            </w:pPr>
          </w:p>
        </w:tc>
        <w:tc>
          <w:tcPr>
            <w:tcW w:w="1276" w:type="dxa"/>
            <w:vAlign w:val="center"/>
          </w:tcPr>
          <w:p>
            <w:pPr>
              <w:spacing w:line="400" w:lineRule="exact"/>
              <w:rPr>
                <w:rFonts w:asciiTheme="minorEastAsia" w:hAnsiTheme="minorEastAsia" w:eastAsiaTheme="minorEastAsia"/>
                <w:color w:val="auto"/>
              </w:rPr>
            </w:pPr>
          </w:p>
        </w:tc>
        <w:tc>
          <w:tcPr>
            <w:tcW w:w="1559" w:type="dxa"/>
            <w:tcBorders>
              <w:right w:val="single" w:color="auto" w:sz="4" w:space="0"/>
            </w:tcBorders>
            <w:vAlign w:val="center"/>
          </w:tcPr>
          <w:p>
            <w:pPr>
              <w:spacing w:line="400" w:lineRule="exact"/>
              <w:rPr>
                <w:rFonts w:asciiTheme="minorEastAsia" w:hAnsiTheme="minorEastAsia" w:eastAsiaTheme="minorEastAsia"/>
                <w:color w:val="auto"/>
              </w:rPr>
            </w:pPr>
          </w:p>
        </w:tc>
        <w:tc>
          <w:tcPr>
            <w:tcW w:w="1446" w:type="dxa"/>
            <w:tcBorders>
              <w:left w:val="single" w:color="auto" w:sz="4" w:space="0"/>
              <w:right w:val="single" w:color="auto" w:sz="4" w:space="0"/>
            </w:tcBorders>
            <w:vAlign w:val="center"/>
          </w:tcPr>
          <w:p>
            <w:pPr>
              <w:spacing w:line="400" w:lineRule="exact"/>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892" w:type="dxa"/>
            <w:vAlign w:val="center"/>
          </w:tcPr>
          <w:p>
            <w:pPr>
              <w:spacing w:line="400" w:lineRule="exact"/>
              <w:jc w:val="center"/>
              <w:rPr>
                <w:rFonts w:asciiTheme="minorEastAsia" w:hAnsiTheme="minorEastAsia" w:eastAsiaTheme="minorEastAsia"/>
                <w:color w:val="auto"/>
              </w:rPr>
            </w:pPr>
          </w:p>
        </w:tc>
        <w:tc>
          <w:tcPr>
            <w:tcW w:w="795" w:type="dxa"/>
            <w:vAlign w:val="center"/>
          </w:tcPr>
          <w:p>
            <w:pPr>
              <w:spacing w:line="400" w:lineRule="exact"/>
              <w:jc w:val="center"/>
              <w:rPr>
                <w:rFonts w:asciiTheme="minorEastAsia" w:hAnsiTheme="minorEastAsia" w:eastAsiaTheme="minorEastAsia"/>
                <w:color w:val="auto"/>
              </w:rPr>
            </w:pPr>
          </w:p>
        </w:tc>
        <w:tc>
          <w:tcPr>
            <w:tcW w:w="1530" w:type="dxa"/>
            <w:vAlign w:val="center"/>
          </w:tcPr>
          <w:p>
            <w:pPr>
              <w:spacing w:line="400" w:lineRule="exact"/>
              <w:jc w:val="center"/>
              <w:rPr>
                <w:rFonts w:asciiTheme="minorEastAsia" w:hAnsiTheme="minorEastAsia" w:eastAsiaTheme="minorEastAsia"/>
                <w:color w:val="auto"/>
              </w:rPr>
            </w:pPr>
          </w:p>
        </w:tc>
        <w:tc>
          <w:tcPr>
            <w:tcW w:w="1350" w:type="dxa"/>
            <w:vAlign w:val="center"/>
          </w:tcPr>
          <w:p>
            <w:pPr>
              <w:spacing w:line="400" w:lineRule="exact"/>
              <w:jc w:val="center"/>
              <w:rPr>
                <w:rFonts w:asciiTheme="minorEastAsia" w:hAnsiTheme="minorEastAsia" w:eastAsiaTheme="minorEastAsia"/>
                <w:color w:val="auto"/>
              </w:rPr>
            </w:pPr>
          </w:p>
        </w:tc>
        <w:tc>
          <w:tcPr>
            <w:tcW w:w="1276" w:type="dxa"/>
            <w:vAlign w:val="center"/>
          </w:tcPr>
          <w:p>
            <w:pPr>
              <w:spacing w:line="400" w:lineRule="exact"/>
              <w:jc w:val="center"/>
              <w:rPr>
                <w:rFonts w:asciiTheme="minorEastAsia" w:hAnsiTheme="minorEastAsia" w:eastAsiaTheme="minorEastAsia"/>
                <w:color w:val="auto"/>
              </w:rPr>
            </w:pPr>
          </w:p>
        </w:tc>
        <w:tc>
          <w:tcPr>
            <w:tcW w:w="1559" w:type="dxa"/>
            <w:tcBorders>
              <w:right w:val="single" w:color="auto" w:sz="4" w:space="0"/>
            </w:tcBorders>
            <w:vAlign w:val="center"/>
          </w:tcPr>
          <w:p>
            <w:pPr>
              <w:spacing w:line="400" w:lineRule="exact"/>
              <w:jc w:val="center"/>
              <w:rPr>
                <w:rFonts w:asciiTheme="minorEastAsia" w:hAnsiTheme="minorEastAsia" w:eastAsiaTheme="minorEastAsia"/>
                <w:color w:val="auto"/>
              </w:rPr>
            </w:pPr>
          </w:p>
        </w:tc>
        <w:tc>
          <w:tcPr>
            <w:tcW w:w="1446" w:type="dxa"/>
            <w:tcBorders>
              <w:left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892" w:type="dxa"/>
            <w:vAlign w:val="center"/>
          </w:tcPr>
          <w:p>
            <w:pPr>
              <w:spacing w:line="400" w:lineRule="exact"/>
              <w:jc w:val="center"/>
              <w:rPr>
                <w:rFonts w:asciiTheme="minorEastAsia" w:hAnsiTheme="minorEastAsia" w:eastAsiaTheme="minorEastAsia"/>
                <w:color w:val="auto"/>
              </w:rPr>
            </w:pPr>
          </w:p>
        </w:tc>
        <w:tc>
          <w:tcPr>
            <w:tcW w:w="795" w:type="dxa"/>
            <w:vAlign w:val="center"/>
          </w:tcPr>
          <w:p>
            <w:pPr>
              <w:spacing w:line="400" w:lineRule="exact"/>
              <w:jc w:val="center"/>
              <w:rPr>
                <w:rFonts w:asciiTheme="minorEastAsia" w:hAnsiTheme="minorEastAsia" w:eastAsiaTheme="minorEastAsia"/>
                <w:color w:val="auto"/>
              </w:rPr>
            </w:pPr>
          </w:p>
        </w:tc>
        <w:tc>
          <w:tcPr>
            <w:tcW w:w="1530" w:type="dxa"/>
            <w:vAlign w:val="center"/>
          </w:tcPr>
          <w:p>
            <w:pPr>
              <w:spacing w:line="400" w:lineRule="exact"/>
              <w:jc w:val="center"/>
              <w:rPr>
                <w:rFonts w:asciiTheme="minorEastAsia" w:hAnsiTheme="minorEastAsia" w:eastAsiaTheme="minorEastAsia"/>
                <w:color w:val="auto"/>
              </w:rPr>
            </w:pPr>
          </w:p>
        </w:tc>
        <w:tc>
          <w:tcPr>
            <w:tcW w:w="1350" w:type="dxa"/>
            <w:vAlign w:val="center"/>
          </w:tcPr>
          <w:p>
            <w:pPr>
              <w:spacing w:line="400" w:lineRule="exact"/>
              <w:jc w:val="center"/>
              <w:rPr>
                <w:rFonts w:asciiTheme="minorEastAsia" w:hAnsiTheme="minorEastAsia" w:eastAsiaTheme="minorEastAsia"/>
                <w:color w:val="auto"/>
              </w:rPr>
            </w:pPr>
          </w:p>
        </w:tc>
        <w:tc>
          <w:tcPr>
            <w:tcW w:w="1276" w:type="dxa"/>
            <w:vAlign w:val="center"/>
          </w:tcPr>
          <w:p>
            <w:pPr>
              <w:spacing w:line="400" w:lineRule="exact"/>
              <w:jc w:val="center"/>
              <w:rPr>
                <w:rFonts w:asciiTheme="minorEastAsia" w:hAnsiTheme="minorEastAsia" w:eastAsiaTheme="minorEastAsia"/>
                <w:color w:val="auto"/>
              </w:rPr>
            </w:pPr>
          </w:p>
        </w:tc>
        <w:tc>
          <w:tcPr>
            <w:tcW w:w="1559" w:type="dxa"/>
            <w:tcBorders>
              <w:right w:val="single" w:color="auto" w:sz="4" w:space="0"/>
            </w:tcBorders>
            <w:vAlign w:val="center"/>
          </w:tcPr>
          <w:p>
            <w:pPr>
              <w:spacing w:line="400" w:lineRule="exact"/>
              <w:jc w:val="center"/>
              <w:rPr>
                <w:rFonts w:asciiTheme="minorEastAsia" w:hAnsiTheme="minorEastAsia" w:eastAsiaTheme="minorEastAsia"/>
                <w:color w:val="auto"/>
              </w:rPr>
            </w:pPr>
          </w:p>
        </w:tc>
        <w:tc>
          <w:tcPr>
            <w:tcW w:w="1446" w:type="dxa"/>
            <w:tcBorders>
              <w:left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510" w:hRule="atLeast"/>
          <w:jc w:val="center"/>
        </w:trPr>
        <w:tc>
          <w:tcPr>
            <w:tcW w:w="892" w:type="dxa"/>
            <w:tcBorders>
              <w:bottom w:val="single" w:color="auto" w:sz="4" w:space="0"/>
            </w:tcBorders>
            <w:vAlign w:val="center"/>
          </w:tcPr>
          <w:p>
            <w:pPr>
              <w:spacing w:line="400" w:lineRule="exact"/>
              <w:jc w:val="center"/>
              <w:rPr>
                <w:rFonts w:asciiTheme="minorEastAsia" w:hAnsiTheme="minorEastAsia" w:eastAsiaTheme="minorEastAsia"/>
                <w:color w:val="auto"/>
              </w:rPr>
            </w:pPr>
          </w:p>
        </w:tc>
        <w:tc>
          <w:tcPr>
            <w:tcW w:w="795" w:type="dxa"/>
            <w:tcBorders>
              <w:bottom w:val="single" w:color="auto" w:sz="4" w:space="0"/>
            </w:tcBorders>
            <w:vAlign w:val="center"/>
          </w:tcPr>
          <w:p>
            <w:pPr>
              <w:spacing w:line="400" w:lineRule="exact"/>
              <w:jc w:val="center"/>
              <w:rPr>
                <w:rFonts w:asciiTheme="minorEastAsia" w:hAnsiTheme="minorEastAsia" w:eastAsiaTheme="minorEastAsia"/>
                <w:color w:val="auto"/>
              </w:rPr>
            </w:pPr>
          </w:p>
        </w:tc>
        <w:tc>
          <w:tcPr>
            <w:tcW w:w="1530" w:type="dxa"/>
            <w:tcBorders>
              <w:bottom w:val="single" w:color="auto" w:sz="4" w:space="0"/>
            </w:tcBorders>
            <w:vAlign w:val="center"/>
          </w:tcPr>
          <w:p>
            <w:pPr>
              <w:spacing w:line="400" w:lineRule="exact"/>
              <w:jc w:val="center"/>
              <w:rPr>
                <w:rFonts w:asciiTheme="minorEastAsia" w:hAnsiTheme="minorEastAsia" w:eastAsiaTheme="minorEastAsia"/>
                <w:color w:val="auto"/>
              </w:rPr>
            </w:pPr>
          </w:p>
        </w:tc>
        <w:tc>
          <w:tcPr>
            <w:tcW w:w="1350" w:type="dxa"/>
            <w:tcBorders>
              <w:bottom w:val="single" w:color="auto" w:sz="4" w:space="0"/>
            </w:tcBorders>
            <w:vAlign w:val="center"/>
          </w:tcPr>
          <w:p>
            <w:pPr>
              <w:spacing w:line="400" w:lineRule="exact"/>
              <w:jc w:val="center"/>
              <w:rPr>
                <w:rFonts w:asciiTheme="minorEastAsia" w:hAnsiTheme="minorEastAsia" w:eastAsiaTheme="minorEastAsia"/>
                <w:color w:val="auto"/>
              </w:rPr>
            </w:pPr>
          </w:p>
        </w:tc>
        <w:tc>
          <w:tcPr>
            <w:tcW w:w="1276" w:type="dxa"/>
            <w:tcBorders>
              <w:bottom w:val="single" w:color="auto" w:sz="4" w:space="0"/>
            </w:tcBorders>
            <w:vAlign w:val="center"/>
          </w:tcPr>
          <w:p>
            <w:pPr>
              <w:spacing w:line="400" w:lineRule="exact"/>
              <w:jc w:val="center"/>
              <w:rPr>
                <w:rFonts w:asciiTheme="minorEastAsia" w:hAnsiTheme="minorEastAsia" w:eastAsiaTheme="minorEastAsia"/>
                <w:color w:val="auto"/>
              </w:rPr>
            </w:pPr>
          </w:p>
        </w:tc>
        <w:tc>
          <w:tcPr>
            <w:tcW w:w="1559" w:type="dxa"/>
            <w:tcBorders>
              <w:bottom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c>
          <w:tcPr>
            <w:tcW w:w="1446" w:type="dxa"/>
            <w:tcBorders>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15" w:hRule="atLeast"/>
          <w:jc w:val="center"/>
        </w:trPr>
        <w:tc>
          <w:tcPr>
            <w:tcW w:w="892"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795"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530"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350"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276"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559" w:type="dxa"/>
            <w:tcBorders>
              <w:top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c>
          <w:tcPr>
            <w:tcW w:w="144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15" w:hRule="atLeast"/>
          <w:jc w:val="center"/>
        </w:trPr>
        <w:tc>
          <w:tcPr>
            <w:tcW w:w="892"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795"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530"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350"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276"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559" w:type="dxa"/>
            <w:tcBorders>
              <w:top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c>
          <w:tcPr>
            <w:tcW w:w="144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450" w:hRule="atLeast"/>
          <w:jc w:val="center"/>
        </w:trPr>
        <w:tc>
          <w:tcPr>
            <w:tcW w:w="892"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795"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530"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350"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276"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olor w:val="auto"/>
              </w:rPr>
            </w:pPr>
          </w:p>
        </w:tc>
        <w:tc>
          <w:tcPr>
            <w:tcW w:w="1559" w:type="dxa"/>
            <w:tcBorders>
              <w:top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c>
          <w:tcPr>
            <w:tcW w:w="144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435" w:hRule="atLeast"/>
          <w:jc w:val="center"/>
        </w:trPr>
        <w:tc>
          <w:tcPr>
            <w:tcW w:w="892" w:type="dxa"/>
            <w:tcBorders>
              <w:top w:val="single" w:color="auto" w:sz="4" w:space="0"/>
            </w:tcBorders>
            <w:vAlign w:val="center"/>
          </w:tcPr>
          <w:p>
            <w:pPr>
              <w:spacing w:line="400" w:lineRule="exact"/>
              <w:jc w:val="center"/>
              <w:rPr>
                <w:rFonts w:asciiTheme="minorEastAsia" w:hAnsiTheme="minorEastAsia" w:eastAsiaTheme="minorEastAsia"/>
                <w:color w:val="auto"/>
              </w:rPr>
            </w:pPr>
          </w:p>
        </w:tc>
        <w:tc>
          <w:tcPr>
            <w:tcW w:w="795" w:type="dxa"/>
            <w:tcBorders>
              <w:top w:val="single" w:color="auto" w:sz="4" w:space="0"/>
            </w:tcBorders>
            <w:vAlign w:val="center"/>
          </w:tcPr>
          <w:p>
            <w:pPr>
              <w:spacing w:line="400" w:lineRule="exact"/>
              <w:jc w:val="center"/>
              <w:rPr>
                <w:rFonts w:asciiTheme="minorEastAsia" w:hAnsiTheme="minorEastAsia" w:eastAsiaTheme="minorEastAsia"/>
                <w:color w:val="auto"/>
              </w:rPr>
            </w:pPr>
          </w:p>
        </w:tc>
        <w:tc>
          <w:tcPr>
            <w:tcW w:w="1530" w:type="dxa"/>
            <w:tcBorders>
              <w:top w:val="single" w:color="auto" w:sz="4" w:space="0"/>
            </w:tcBorders>
            <w:vAlign w:val="center"/>
          </w:tcPr>
          <w:p>
            <w:pPr>
              <w:spacing w:line="400" w:lineRule="exact"/>
              <w:jc w:val="center"/>
              <w:rPr>
                <w:rFonts w:asciiTheme="minorEastAsia" w:hAnsiTheme="minorEastAsia" w:eastAsiaTheme="minorEastAsia"/>
                <w:color w:val="auto"/>
              </w:rPr>
            </w:pPr>
          </w:p>
        </w:tc>
        <w:tc>
          <w:tcPr>
            <w:tcW w:w="1350" w:type="dxa"/>
            <w:tcBorders>
              <w:top w:val="single" w:color="auto" w:sz="4" w:space="0"/>
            </w:tcBorders>
            <w:vAlign w:val="center"/>
          </w:tcPr>
          <w:p>
            <w:pPr>
              <w:spacing w:line="400" w:lineRule="exact"/>
              <w:jc w:val="center"/>
              <w:rPr>
                <w:rFonts w:asciiTheme="minorEastAsia" w:hAnsiTheme="minorEastAsia" w:eastAsiaTheme="minorEastAsia"/>
                <w:color w:val="auto"/>
              </w:rPr>
            </w:pPr>
          </w:p>
        </w:tc>
        <w:tc>
          <w:tcPr>
            <w:tcW w:w="1276" w:type="dxa"/>
            <w:tcBorders>
              <w:top w:val="single" w:color="auto" w:sz="4" w:space="0"/>
            </w:tcBorders>
            <w:vAlign w:val="center"/>
          </w:tcPr>
          <w:p>
            <w:pPr>
              <w:spacing w:line="400" w:lineRule="exact"/>
              <w:jc w:val="center"/>
              <w:rPr>
                <w:rFonts w:asciiTheme="minorEastAsia" w:hAnsiTheme="minorEastAsia" w:eastAsiaTheme="minorEastAsia"/>
                <w:color w:val="auto"/>
              </w:rPr>
            </w:pPr>
          </w:p>
        </w:tc>
        <w:tc>
          <w:tcPr>
            <w:tcW w:w="1559" w:type="dxa"/>
            <w:tcBorders>
              <w:top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c>
          <w:tcPr>
            <w:tcW w:w="1446" w:type="dxa"/>
            <w:tcBorders>
              <w:top w:val="single" w:color="auto" w:sz="4" w:space="0"/>
              <w:left w:val="single" w:color="auto" w:sz="4" w:space="0"/>
              <w:right w:val="single" w:color="auto" w:sz="4" w:space="0"/>
            </w:tcBorders>
            <w:vAlign w:val="center"/>
          </w:tcPr>
          <w:p>
            <w:pPr>
              <w:spacing w:line="400" w:lineRule="exact"/>
              <w:jc w:val="center"/>
              <w:rPr>
                <w:rFonts w:asciiTheme="minorEastAsia" w:hAnsiTheme="minorEastAsia" w:eastAsiaTheme="minorEastAsia"/>
                <w:color w:val="auto"/>
              </w:rPr>
            </w:pPr>
          </w:p>
        </w:tc>
      </w:tr>
    </w:tbl>
    <w:p>
      <w:pPr>
        <w:spacing w:line="400" w:lineRule="exact"/>
        <w:ind w:left="360"/>
        <w:jc w:val="center"/>
        <w:rPr>
          <w:rFonts w:asciiTheme="minorEastAsia" w:hAnsiTheme="minorEastAsia" w:eastAsiaTheme="minorEastAsia"/>
          <w:color w:val="auto"/>
        </w:rPr>
      </w:pP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投标人名称：</w:t>
      </w:r>
      <w:r>
        <w:rPr>
          <w:rFonts w:hint="eastAsia" w:cs="宋体" w:asciiTheme="minorEastAsia" w:hAnsiTheme="minorEastAsia" w:eastAsiaTheme="minorEastAsia"/>
          <w:color w:val="auto"/>
          <w:sz w:val="24"/>
          <w:u w:val="single"/>
        </w:rPr>
        <w:t xml:space="preserve">            （盖公章）</w:t>
      </w:r>
    </w:p>
    <w:p>
      <w:pPr>
        <w:spacing w:line="480" w:lineRule="auto"/>
        <w:ind w:firstLine="3600" w:firstLineChars="1500"/>
        <w:rPr>
          <w:rFonts w:cs="宋体" w:asciiTheme="minorEastAsia" w:hAnsiTheme="minorEastAsia" w:eastAsiaTheme="minorEastAsia"/>
          <w:color w:val="auto"/>
          <w:sz w:val="24"/>
          <w:u w:val="single"/>
        </w:rPr>
      </w:pPr>
      <w:r>
        <w:rPr>
          <w:rFonts w:hint="eastAsia" w:cs="宋体" w:asciiTheme="minorEastAsia" w:hAnsiTheme="minorEastAsia" w:eastAsiaTheme="minorEastAsia"/>
          <w:color w:val="auto"/>
          <w:sz w:val="24"/>
        </w:rPr>
        <w:t>法定代表人或授权代表签字：</w:t>
      </w:r>
      <w:r>
        <w:rPr>
          <w:rFonts w:hint="eastAsia" w:cs="宋体" w:asciiTheme="minorEastAsia" w:hAnsiTheme="minorEastAsia" w:eastAsiaTheme="minorEastAsia"/>
          <w:color w:val="auto"/>
          <w:sz w:val="24"/>
          <w:u w:val="single"/>
        </w:rPr>
        <w:t xml:space="preserve">                </w:t>
      </w:r>
    </w:p>
    <w:p>
      <w:pPr>
        <w:spacing w:line="480" w:lineRule="auto"/>
        <w:ind w:firstLine="3600" w:firstLineChars="1500"/>
        <w:rPr>
          <w:rStyle w:val="33"/>
          <w:rFonts w:cs="宋体" w:asciiTheme="minorEastAsia" w:hAnsiTheme="minorEastAsia" w:eastAsiaTheme="minorEastAsia"/>
          <w:color w:val="auto"/>
          <w:sz w:val="30"/>
          <w:szCs w:val="30"/>
        </w:rPr>
      </w:pPr>
      <w:r>
        <w:rPr>
          <w:rFonts w:hint="eastAsia" w:cs="宋体" w:asciiTheme="minorEastAsia" w:hAnsiTheme="minorEastAsia" w:eastAsiaTheme="minorEastAsia"/>
          <w:color w:val="auto"/>
          <w:sz w:val="24"/>
        </w:rPr>
        <w:t>日      期：</w:t>
      </w:r>
      <w:r>
        <w:rPr>
          <w:rFonts w:hint="eastAsia" w:cs="宋体" w:asciiTheme="minorEastAsia" w:hAnsiTheme="minorEastAsia" w:eastAsiaTheme="minorEastAsia"/>
          <w:color w:val="auto"/>
          <w:sz w:val="24"/>
          <w:u w:val="single"/>
        </w:rPr>
        <w:t xml:space="preserve">                    </w:t>
      </w:r>
    </w:p>
    <w:p>
      <w:pPr>
        <w:pStyle w:val="3"/>
        <w:jc w:val="center"/>
        <w:rPr>
          <w:rFonts w:cs="宋体" w:asciiTheme="minorEastAsia" w:hAnsiTheme="minorEastAsia" w:eastAsiaTheme="minorEastAsia"/>
          <w:bCs w:val="0"/>
          <w:color w:val="auto"/>
          <w:sz w:val="30"/>
          <w:szCs w:val="30"/>
        </w:rPr>
      </w:pPr>
      <w:r>
        <w:rPr>
          <w:rFonts w:hint="eastAsia" w:asciiTheme="minorEastAsia" w:hAnsiTheme="minorEastAsia" w:eastAsiaTheme="minorEastAsia"/>
          <w:color w:val="auto"/>
          <w:szCs w:val="21"/>
          <w:u w:val="single"/>
        </w:rPr>
        <w:br w:type="page"/>
      </w:r>
      <w:r>
        <w:rPr>
          <w:rFonts w:hint="eastAsia" w:cs="宋体" w:asciiTheme="minorEastAsia" w:hAnsiTheme="minorEastAsia" w:eastAsiaTheme="minorEastAsia"/>
          <w:color w:val="auto"/>
          <w:sz w:val="30"/>
          <w:szCs w:val="30"/>
        </w:rPr>
        <w:t>四、一体化特许经营服务方案</w:t>
      </w:r>
    </w:p>
    <w:p>
      <w:pPr>
        <w:spacing w:line="480" w:lineRule="auto"/>
        <w:rPr>
          <w:rFonts w:asciiTheme="minorEastAsia" w:hAnsiTheme="minorEastAsia" w:eastAsiaTheme="minorEastAsia"/>
          <w:b/>
          <w:color w:val="auto"/>
          <w:sz w:val="24"/>
        </w:rPr>
      </w:pPr>
      <w:r>
        <w:rPr>
          <w:rFonts w:hint="eastAsia" w:asciiTheme="minorEastAsia" w:hAnsiTheme="minorEastAsia" w:eastAsiaTheme="minorEastAsia"/>
          <w:b/>
          <w:color w:val="auto"/>
          <w:sz w:val="24"/>
        </w:rPr>
        <w:t>包含但不限于以下内容</w:t>
      </w:r>
    </w:p>
    <w:p>
      <w:pPr>
        <w:pStyle w:val="3"/>
        <w:rPr>
          <w:rFonts w:hint="eastAsia" w:asciiTheme="minorEastAsia" w:hAnsiTheme="minorEastAsia" w:eastAsiaTheme="minorEastAsia"/>
          <w:b w:val="0"/>
          <w:bCs w:val="0"/>
          <w:color w:val="auto"/>
          <w:sz w:val="24"/>
          <w:szCs w:val="24"/>
        </w:rPr>
      </w:pPr>
      <w:r>
        <w:rPr>
          <w:rFonts w:hint="eastAsia" w:asciiTheme="minorEastAsia" w:hAnsiTheme="minorEastAsia" w:eastAsiaTheme="minorEastAsia"/>
          <w:b w:val="0"/>
          <w:bCs w:val="0"/>
          <w:color w:val="auto"/>
          <w:sz w:val="24"/>
          <w:szCs w:val="24"/>
        </w:rPr>
        <w:t>1、项目公司组建</w:t>
      </w:r>
    </w:p>
    <w:p>
      <w:pPr>
        <w:pStyle w:val="3"/>
        <w:rPr>
          <w:rFonts w:hint="eastAsia" w:asciiTheme="minorEastAsia" w:hAnsiTheme="minorEastAsia" w:eastAsiaTheme="minorEastAsia"/>
          <w:b w:val="0"/>
          <w:bCs w:val="0"/>
          <w:color w:val="auto"/>
          <w:sz w:val="24"/>
          <w:szCs w:val="24"/>
        </w:rPr>
      </w:pPr>
      <w:r>
        <w:rPr>
          <w:rFonts w:hint="eastAsia" w:asciiTheme="minorEastAsia" w:hAnsiTheme="minorEastAsia" w:eastAsiaTheme="minorEastAsia"/>
          <w:b w:val="0"/>
          <w:bCs w:val="0"/>
          <w:color w:val="auto"/>
          <w:sz w:val="24"/>
          <w:szCs w:val="24"/>
        </w:rPr>
        <w:t>2、项目公司人员配备</w:t>
      </w:r>
    </w:p>
    <w:p>
      <w:pPr>
        <w:pStyle w:val="3"/>
        <w:rPr>
          <w:rFonts w:cs="宋体" w:asciiTheme="minorEastAsia" w:hAnsiTheme="minorEastAsia" w:eastAsiaTheme="minorEastAsia"/>
          <w:bCs w:val="0"/>
          <w:color w:val="auto"/>
          <w:sz w:val="30"/>
          <w:szCs w:val="30"/>
        </w:rPr>
      </w:pPr>
      <w:r>
        <w:rPr>
          <w:rFonts w:hint="eastAsia" w:asciiTheme="minorEastAsia" w:hAnsiTheme="minorEastAsia" w:eastAsiaTheme="minorEastAsia"/>
          <w:b w:val="0"/>
          <w:bCs w:val="0"/>
          <w:color w:val="auto"/>
          <w:sz w:val="24"/>
          <w:szCs w:val="24"/>
        </w:rPr>
        <w:t>3、项目运作方案</w:t>
      </w:r>
      <w:r>
        <w:rPr>
          <w:rFonts w:cs="宋体" w:asciiTheme="minorEastAsia" w:hAnsiTheme="minorEastAsia" w:eastAsiaTheme="minorEastAsia"/>
          <w:color w:val="auto"/>
          <w:sz w:val="30"/>
          <w:szCs w:val="30"/>
        </w:rPr>
        <w:br w:type="page"/>
      </w:r>
      <w:r>
        <w:rPr>
          <w:rFonts w:hint="eastAsia" w:cs="宋体" w:asciiTheme="minorEastAsia" w:hAnsiTheme="minorEastAsia" w:eastAsiaTheme="minorEastAsia"/>
          <w:color w:val="auto"/>
          <w:sz w:val="30"/>
          <w:szCs w:val="30"/>
        </w:rPr>
        <w:t>五、其他资料</w:t>
      </w:r>
    </w:p>
    <w:p>
      <w:pPr>
        <w:spacing w:beforeLines="50" w:afterLines="50" w:line="360" w:lineRule="auto"/>
        <w:outlineLvl w:val="0"/>
        <w:rPr>
          <w:rFonts w:cs="宋体" w:asciiTheme="minorEastAsia" w:hAnsiTheme="minorEastAsia" w:eastAsiaTheme="minorEastAsia"/>
          <w:b/>
          <w:color w:val="auto"/>
          <w:sz w:val="30"/>
          <w:szCs w:val="30"/>
        </w:rPr>
      </w:pPr>
      <w:r>
        <w:rPr>
          <w:rStyle w:val="110"/>
          <w:rFonts w:hint="eastAsia" w:asciiTheme="minorEastAsia" w:hAnsiTheme="minorEastAsia" w:eastAsiaTheme="minorEastAsia"/>
          <w:b/>
          <w:color w:val="auto"/>
          <w:szCs w:val="21"/>
        </w:rPr>
        <w:t>提供招标文件评分办法要求的相关证明材料（如有）和招标文件要求的其他材料</w:t>
      </w:r>
    </w:p>
    <w:p>
      <w:pPr>
        <w:spacing w:beforeLines="50" w:afterLines="50" w:line="360" w:lineRule="auto"/>
        <w:jc w:val="center"/>
        <w:rPr>
          <w:rFonts w:cs="宋体" w:asciiTheme="minorEastAsia" w:hAnsiTheme="minorEastAsia" w:eastAsiaTheme="minorEastAsia"/>
          <w:b/>
          <w:color w:val="auto"/>
          <w:sz w:val="44"/>
          <w:szCs w:val="44"/>
        </w:rPr>
      </w:pPr>
    </w:p>
    <w:sectPr>
      <w:pgSz w:w="11906" w:h="16838"/>
      <w:pgMar w:top="1418" w:right="1418" w:bottom="1418" w:left="1418" w:header="907" w:footer="90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roid Sans Fallback">
    <w:altName w:val="Arial"/>
    <w:panose1 w:val="00000000000000000000"/>
    <w:charset w:val="00"/>
    <w:family w:val="swiss"/>
    <w:pitch w:val="default"/>
    <w:sig w:usb0="00000000" w:usb1="00000000" w:usb2="00000000"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方正仿宋_GBK">
    <w:altName w:val="微软雅黑"/>
    <w:panose1 w:val="00000000000000000000"/>
    <w:charset w:val="86"/>
    <w:family w:val="script"/>
    <w:pitch w:val="default"/>
    <w:sig w:usb0="00000000" w:usb1="00000000" w:usb2="00000000" w:usb3="00000000" w:csb0="00040000" w:csb1="00000000"/>
  </w:font>
  <w:font w:name="Noto Sans CJK JP Regular">
    <w:altName w:val="Arial"/>
    <w:panose1 w:val="00000000000000000000"/>
    <w:charset w:val="00"/>
    <w:family w:val="swiss"/>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2FF" w:usb1="420024FF" w:usb2="00000000" w:usb3="00000000" w:csb0="2000019F" w:csb1="00000000"/>
  </w:font>
  <w:font w:name="Microsoft Yi Baiti">
    <w:panose1 w:val="03000500000000000000"/>
    <w:charset w:val="00"/>
    <w:family w:val="script"/>
    <w:pitch w:val="default"/>
    <w:sig w:usb0="80000003" w:usb1="00010402" w:usb2="00080002" w:usb3="00000000" w:csb0="0000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eastAsia="黑体"/>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2072" o:spid="_x0000_s2072"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fldChar w:fldCharType="begin"/>
    </w:r>
    <w:r>
      <w:instrText xml:space="preserve">PAGE   \* MERGEFORMAT</w:instrText>
    </w:r>
    <w:r>
      <w:fldChar w:fldCharType="separate"/>
    </w:r>
    <w:r>
      <w:rPr>
        <w:lang w:val="zh-CN"/>
      </w:rPr>
      <w:t>76</w:t>
    </w:r>
    <w:r>
      <w:rPr>
        <w:lang w:val="zh-CN"/>
      </w:rPr>
      <w:fldChar w:fldCharType="end"/>
    </w:r>
  </w:p>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fldChar w:fldCharType="begin"/>
    </w:r>
    <w:r>
      <w:instrText xml:space="preserve">PAGE   \* MERGEFORMAT</w:instrText>
    </w:r>
    <w:r>
      <w:fldChar w:fldCharType="separate"/>
    </w:r>
    <w:r>
      <w:rPr>
        <w:lang w:val="zh-CN"/>
      </w:rPr>
      <w:t>94</w:t>
    </w:r>
    <w:r>
      <w:rPr>
        <w:lang w:val="zh-CN"/>
      </w:rPr>
      <w:fldChar w:fldCharType="end"/>
    </w:r>
  </w:p>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2073" o:spid="_x0000_s2073"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103</w:t>
                </w:r>
                <w:r>
                  <w:rPr>
                    <w:rFonts w:hint="eastAsia"/>
                    <w:sz w:val="18"/>
                  </w:rPr>
                  <w:fldChar w:fldCharType="end"/>
                </w:r>
              </w:p>
            </w:txbxContent>
          </v:textbox>
        </v:shape>
      </w:pict>
    </w:r>
    <w:r>
      <w:rPr>
        <w:sz w:val="20"/>
      </w:rPr>
      <w:pict>
        <v:shape id="文本框 13" o:spid="_x0000_s2067"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waPi7ABAABOAwAADgAAAGRycy9lMm9Eb2MueG1srVPNahsxEL4H+g5C&#10;91prG4JZvA4tIaUQ2kCaB5C1klegPzSyd/0C7Rv01EvueS4/R0ey10nTW8hFO5oZffN9M7PLq8Ea&#10;spMRtHcNnU4qSqQTvtVu09CHHzcfF5RA4q7lxjvZ0L0EerX6cLHsQy1nvvOmlZEgiIO6Dw3tUgo1&#10;YyA6aTlMfJAOg8pHyxNe44a1kfeIbg2bVdUl631sQ/RCAqD3+hikq4KvlBTpu1IgEzENRW6pnLGc&#10;63yy1ZLXm8hDp8WJBn8DC8u1w6JnqGueONlG/R+U1SJ68CpNhLfMK6WFLBpQzbR6pea+40EWLdgc&#10;COc2wfvBim+7u0h0i7Obzylx3OKQDr9/Hf48HR5/kuk8d6gPUGPifcDUNHz2A2aPfkBnFj6oaPMX&#10;JRGMY6/35/7KIRGRHy1mi0WFIYGx8YL47Pl5iJC+SG9JNhoacYClr3x3C+mYOqbkas7faGPKEI37&#10;x4GY2cMy9yPHbKVhPZwErX27Rz09zr6hDpeTEvPVYWvzmoxGHI31aGxD1Juu7FGuB+HTNiGJwi1X&#10;OMKeCuPQirrTguWteHkvWc+/we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CsGj4uwAQAA&#10;TgMAAA4AAAAAAAAAAQAgAAAAHgEAAGRycy9lMm9Eb2MueG1sUEsFBgAAAAAGAAYAWQEAAEAFAAAA&#10;AA==&#10;">
          <v:path/>
          <v:fill on="f" focussize="0,0"/>
          <v:stroke on="f" joinstyle="miter"/>
          <v:imagedata o:title=""/>
          <o:lock v:ext="edit"/>
          <v:textbox inset="0mm,0mm,0mm,0mm" style="mso-fit-shape-to-text:t;">
            <w:txbxContent>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2078" o:spid="_x0000_s2078"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107</w:t>
                </w:r>
                <w:r>
                  <w:rPr>
                    <w:rFonts w:hint="eastAsia"/>
                    <w:sz w:val="18"/>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2079" o:spid="_x0000_s2079"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109</w:t>
                </w:r>
                <w:r>
                  <w:rPr>
                    <w:rFonts w:hint="eastAsia"/>
                    <w:sz w:val="18"/>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2080" o:spid="_x0000_s2080"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163</w:t>
                </w:r>
                <w:r>
                  <w:rPr>
                    <w:rFonts w:hint="eastAsia"/>
                    <w:sz w:val="18"/>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2081" o:spid="_x0000_s2081"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147</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wordWrap w:val="0"/>
      <w:ind w:right="315"/>
      <w:jc w:val="right"/>
      <w:rPr>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25016"/>
    <w:multiLevelType w:val="singleLevel"/>
    <w:tmpl w:val="19A25016"/>
    <w:lvl w:ilvl="0" w:tentative="0">
      <w:start w:val="9"/>
      <w:numFmt w:val="decimal"/>
      <w:suff w:val="nothing"/>
      <w:lvlText w:val="%1、"/>
      <w:lvlJc w:val="left"/>
    </w:lvl>
  </w:abstractNum>
  <w:abstractNum w:abstractNumId="1">
    <w:nsid w:val="1CC43995"/>
    <w:multiLevelType w:val="multilevel"/>
    <w:tmpl w:val="1CC43995"/>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2">
    <w:nsid w:val="5B7F5F8D"/>
    <w:multiLevelType w:val="multilevel"/>
    <w:tmpl w:val="5B7F5F8D"/>
    <w:lvl w:ilvl="0" w:tentative="0">
      <w:start w:val="1"/>
      <w:numFmt w:val="decimal"/>
      <w:lvlText w:val="%1)"/>
      <w:lvlJc w:val="left"/>
      <w:pPr>
        <w:ind w:left="765" w:hanging="420"/>
      </w:pPr>
      <w:rPr>
        <w:rFonts w:hint="default"/>
      </w:rPr>
    </w:lvl>
    <w:lvl w:ilvl="1" w:tentative="0">
      <w:start w:val="1"/>
      <w:numFmt w:val="bullet"/>
      <w:lvlText w:val=""/>
      <w:lvlJc w:val="left"/>
      <w:pPr>
        <w:ind w:left="1185" w:hanging="420"/>
      </w:pPr>
      <w:rPr>
        <w:rFonts w:hint="default" w:ascii="Wingdings" w:hAnsi="Wingdings"/>
      </w:rPr>
    </w:lvl>
    <w:lvl w:ilvl="2" w:tentative="0">
      <w:start w:val="1"/>
      <w:numFmt w:val="bullet"/>
      <w:lvlText w:val=""/>
      <w:lvlJc w:val="left"/>
      <w:pPr>
        <w:ind w:left="1605" w:hanging="420"/>
      </w:pPr>
      <w:rPr>
        <w:rFonts w:hint="default" w:ascii="Wingdings" w:hAnsi="Wingdings"/>
      </w:rPr>
    </w:lvl>
    <w:lvl w:ilvl="3" w:tentative="0">
      <w:start w:val="1"/>
      <w:numFmt w:val="bullet"/>
      <w:lvlText w:val=""/>
      <w:lvlJc w:val="left"/>
      <w:pPr>
        <w:ind w:left="2025" w:hanging="420"/>
      </w:pPr>
      <w:rPr>
        <w:rFonts w:hint="default" w:ascii="Wingdings" w:hAnsi="Wingdings"/>
      </w:rPr>
    </w:lvl>
    <w:lvl w:ilvl="4" w:tentative="0">
      <w:start w:val="1"/>
      <w:numFmt w:val="bullet"/>
      <w:lvlText w:val=""/>
      <w:lvlJc w:val="left"/>
      <w:pPr>
        <w:ind w:left="2445" w:hanging="420"/>
      </w:pPr>
      <w:rPr>
        <w:rFonts w:hint="default" w:ascii="Wingdings" w:hAnsi="Wingdings"/>
      </w:rPr>
    </w:lvl>
    <w:lvl w:ilvl="5" w:tentative="0">
      <w:start w:val="1"/>
      <w:numFmt w:val="bullet"/>
      <w:lvlText w:val=""/>
      <w:lvlJc w:val="left"/>
      <w:pPr>
        <w:ind w:left="2865" w:hanging="420"/>
      </w:pPr>
      <w:rPr>
        <w:rFonts w:hint="default" w:ascii="Wingdings" w:hAnsi="Wingdings"/>
      </w:rPr>
    </w:lvl>
    <w:lvl w:ilvl="6" w:tentative="0">
      <w:start w:val="1"/>
      <w:numFmt w:val="bullet"/>
      <w:lvlText w:val=""/>
      <w:lvlJc w:val="left"/>
      <w:pPr>
        <w:ind w:left="3285" w:hanging="420"/>
      </w:pPr>
      <w:rPr>
        <w:rFonts w:hint="default" w:ascii="Wingdings" w:hAnsi="Wingdings"/>
      </w:rPr>
    </w:lvl>
    <w:lvl w:ilvl="7" w:tentative="0">
      <w:start w:val="1"/>
      <w:numFmt w:val="bullet"/>
      <w:lvlText w:val=""/>
      <w:lvlJc w:val="left"/>
      <w:pPr>
        <w:ind w:left="3705" w:hanging="420"/>
      </w:pPr>
      <w:rPr>
        <w:rFonts w:hint="default" w:ascii="Wingdings" w:hAnsi="Wingdings"/>
      </w:rPr>
    </w:lvl>
    <w:lvl w:ilvl="8" w:tentative="0">
      <w:start w:val="1"/>
      <w:numFmt w:val="bullet"/>
      <w:lvlText w:val=""/>
      <w:lvlJc w:val="left"/>
      <w:pPr>
        <w:ind w:left="4125" w:hanging="420"/>
      </w:pPr>
      <w:rPr>
        <w:rFonts w:hint="default" w:ascii="Wingdings" w:hAnsi="Wingdings"/>
      </w:rPr>
    </w:lvl>
  </w:abstractNum>
  <w:abstractNum w:abstractNumId="3">
    <w:nsid w:val="73C355B9"/>
    <w:multiLevelType w:val="multilevel"/>
    <w:tmpl w:val="73C355B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775A7FD4"/>
    <w:multiLevelType w:val="multilevel"/>
    <w:tmpl w:val="775A7FD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5">
    <w:nsid w:val="7A745E94"/>
    <w:multiLevelType w:val="singleLevel"/>
    <w:tmpl w:val="7A745E94"/>
    <w:lvl w:ilvl="0" w:tentative="0">
      <w:start w:val="1"/>
      <w:numFmt w:val="chineseCounting"/>
      <w:suff w:val="nothing"/>
      <w:lvlText w:val="%1、"/>
      <w:lvlJc w:val="left"/>
      <w:rPr>
        <w:rFonts w:hint="eastAsia"/>
      </w:rPr>
    </w:lvl>
  </w:abstractNum>
  <w:abstractNum w:abstractNumId="6">
    <w:nsid w:val="7B332F72"/>
    <w:multiLevelType w:val="multilevel"/>
    <w:tmpl w:val="7B332F72"/>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num w:numId="1">
    <w:abstractNumId w:val="1"/>
  </w:num>
  <w:num w:numId="2">
    <w:abstractNumId w:val="4"/>
  </w:num>
  <w:num w:numId="3">
    <w:abstractNumId w:val="6"/>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numFmt w:val="decimalEnclosedCircleChinese"/>
    <w:numRestart w:val="eachPage"/>
  </w:foot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36B4"/>
    <w:rsid w:val="00011BB4"/>
    <w:rsid w:val="000204B7"/>
    <w:rsid w:val="00020C99"/>
    <w:rsid w:val="00023FD7"/>
    <w:rsid w:val="00030758"/>
    <w:rsid w:val="00033DA4"/>
    <w:rsid w:val="00042DE9"/>
    <w:rsid w:val="000434A6"/>
    <w:rsid w:val="000475C3"/>
    <w:rsid w:val="00051A5F"/>
    <w:rsid w:val="00053283"/>
    <w:rsid w:val="0006646A"/>
    <w:rsid w:val="0008036B"/>
    <w:rsid w:val="00091034"/>
    <w:rsid w:val="00097C8B"/>
    <w:rsid w:val="000A76DA"/>
    <w:rsid w:val="000B5880"/>
    <w:rsid w:val="000B7067"/>
    <w:rsid w:val="000D0CC8"/>
    <w:rsid w:val="000D33B5"/>
    <w:rsid w:val="00102D5F"/>
    <w:rsid w:val="00131854"/>
    <w:rsid w:val="001418C4"/>
    <w:rsid w:val="001531AC"/>
    <w:rsid w:val="00153822"/>
    <w:rsid w:val="00165775"/>
    <w:rsid w:val="00167CF4"/>
    <w:rsid w:val="00172A1D"/>
    <w:rsid w:val="00172A27"/>
    <w:rsid w:val="00190D92"/>
    <w:rsid w:val="001A4BAF"/>
    <w:rsid w:val="0020351B"/>
    <w:rsid w:val="002127FE"/>
    <w:rsid w:val="00214539"/>
    <w:rsid w:val="00225FC5"/>
    <w:rsid w:val="00226F49"/>
    <w:rsid w:val="002516BA"/>
    <w:rsid w:val="002625B5"/>
    <w:rsid w:val="002947EE"/>
    <w:rsid w:val="00297355"/>
    <w:rsid w:val="002B58F6"/>
    <w:rsid w:val="002B7516"/>
    <w:rsid w:val="002C58DE"/>
    <w:rsid w:val="002D14D4"/>
    <w:rsid w:val="002D3819"/>
    <w:rsid w:val="002E06AD"/>
    <w:rsid w:val="002E5BAE"/>
    <w:rsid w:val="003117DE"/>
    <w:rsid w:val="00332899"/>
    <w:rsid w:val="003350D6"/>
    <w:rsid w:val="00336D59"/>
    <w:rsid w:val="00344422"/>
    <w:rsid w:val="00347CA2"/>
    <w:rsid w:val="0035072B"/>
    <w:rsid w:val="00352722"/>
    <w:rsid w:val="00357929"/>
    <w:rsid w:val="00362918"/>
    <w:rsid w:val="00364A66"/>
    <w:rsid w:val="003706F1"/>
    <w:rsid w:val="003805FE"/>
    <w:rsid w:val="003B271C"/>
    <w:rsid w:val="003B5D4C"/>
    <w:rsid w:val="003D7AD0"/>
    <w:rsid w:val="003F1B2B"/>
    <w:rsid w:val="0040255D"/>
    <w:rsid w:val="004070A9"/>
    <w:rsid w:val="00414150"/>
    <w:rsid w:val="0042094D"/>
    <w:rsid w:val="00421077"/>
    <w:rsid w:val="00422848"/>
    <w:rsid w:val="00433DD1"/>
    <w:rsid w:val="0043457A"/>
    <w:rsid w:val="00454BD5"/>
    <w:rsid w:val="00461AB1"/>
    <w:rsid w:val="00477D15"/>
    <w:rsid w:val="0048343E"/>
    <w:rsid w:val="004872AE"/>
    <w:rsid w:val="0049683E"/>
    <w:rsid w:val="004D13C6"/>
    <w:rsid w:val="004E151B"/>
    <w:rsid w:val="004E460F"/>
    <w:rsid w:val="004F6306"/>
    <w:rsid w:val="00504291"/>
    <w:rsid w:val="00507B7C"/>
    <w:rsid w:val="005122C2"/>
    <w:rsid w:val="0051414D"/>
    <w:rsid w:val="005171F4"/>
    <w:rsid w:val="005202F3"/>
    <w:rsid w:val="005214B2"/>
    <w:rsid w:val="005260FD"/>
    <w:rsid w:val="00533B98"/>
    <w:rsid w:val="00534A39"/>
    <w:rsid w:val="00543CD2"/>
    <w:rsid w:val="00583C1C"/>
    <w:rsid w:val="005A3C2D"/>
    <w:rsid w:val="005A6660"/>
    <w:rsid w:val="005C63FE"/>
    <w:rsid w:val="005D1F98"/>
    <w:rsid w:val="005F1C51"/>
    <w:rsid w:val="0060292A"/>
    <w:rsid w:val="0060495E"/>
    <w:rsid w:val="006373C7"/>
    <w:rsid w:val="006441D2"/>
    <w:rsid w:val="00650E79"/>
    <w:rsid w:val="0065179C"/>
    <w:rsid w:val="00652CFD"/>
    <w:rsid w:val="006568F6"/>
    <w:rsid w:val="006663B9"/>
    <w:rsid w:val="00670E34"/>
    <w:rsid w:val="0067165B"/>
    <w:rsid w:val="00683666"/>
    <w:rsid w:val="0069194C"/>
    <w:rsid w:val="006932DF"/>
    <w:rsid w:val="00693E99"/>
    <w:rsid w:val="006964EC"/>
    <w:rsid w:val="006B1F09"/>
    <w:rsid w:val="006D4835"/>
    <w:rsid w:val="006E6009"/>
    <w:rsid w:val="006F392E"/>
    <w:rsid w:val="006F6E39"/>
    <w:rsid w:val="00700E33"/>
    <w:rsid w:val="0070564A"/>
    <w:rsid w:val="00722F8E"/>
    <w:rsid w:val="00726F81"/>
    <w:rsid w:val="007338CB"/>
    <w:rsid w:val="00745F07"/>
    <w:rsid w:val="007676DD"/>
    <w:rsid w:val="00775D1B"/>
    <w:rsid w:val="00781B8E"/>
    <w:rsid w:val="007856F4"/>
    <w:rsid w:val="00793720"/>
    <w:rsid w:val="007A0353"/>
    <w:rsid w:val="007A2D96"/>
    <w:rsid w:val="007A37CF"/>
    <w:rsid w:val="007C307C"/>
    <w:rsid w:val="007E6A5D"/>
    <w:rsid w:val="007F6ABF"/>
    <w:rsid w:val="008028F8"/>
    <w:rsid w:val="00807D8C"/>
    <w:rsid w:val="00817540"/>
    <w:rsid w:val="00834E16"/>
    <w:rsid w:val="008365B6"/>
    <w:rsid w:val="00851A16"/>
    <w:rsid w:val="00862280"/>
    <w:rsid w:val="00867F68"/>
    <w:rsid w:val="00894237"/>
    <w:rsid w:val="008948F5"/>
    <w:rsid w:val="008A2C1E"/>
    <w:rsid w:val="008A5177"/>
    <w:rsid w:val="008B4C4D"/>
    <w:rsid w:val="008F1E15"/>
    <w:rsid w:val="008F4FF5"/>
    <w:rsid w:val="00920D9A"/>
    <w:rsid w:val="00934DE9"/>
    <w:rsid w:val="00943466"/>
    <w:rsid w:val="00952BE3"/>
    <w:rsid w:val="0096205A"/>
    <w:rsid w:val="00963CBD"/>
    <w:rsid w:val="00963D3B"/>
    <w:rsid w:val="00967C4E"/>
    <w:rsid w:val="009741F4"/>
    <w:rsid w:val="00977821"/>
    <w:rsid w:val="00977E1E"/>
    <w:rsid w:val="00985945"/>
    <w:rsid w:val="009917DA"/>
    <w:rsid w:val="00995677"/>
    <w:rsid w:val="00996633"/>
    <w:rsid w:val="009A4C95"/>
    <w:rsid w:val="009B3F66"/>
    <w:rsid w:val="009B46AB"/>
    <w:rsid w:val="009C27CE"/>
    <w:rsid w:val="009C4027"/>
    <w:rsid w:val="009D25E4"/>
    <w:rsid w:val="009D74BC"/>
    <w:rsid w:val="009E7567"/>
    <w:rsid w:val="009F7061"/>
    <w:rsid w:val="00A043A4"/>
    <w:rsid w:val="00A069D1"/>
    <w:rsid w:val="00A23428"/>
    <w:rsid w:val="00A2445A"/>
    <w:rsid w:val="00A50D61"/>
    <w:rsid w:val="00A532F7"/>
    <w:rsid w:val="00A60511"/>
    <w:rsid w:val="00A65B77"/>
    <w:rsid w:val="00A70C47"/>
    <w:rsid w:val="00A73EC1"/>
    <w:rsid w:val="00A80269"/>
    <w:rsid w:val="00A91AAC"/>
    <w:rsid w:val="00A93214"/>
    <w:rsid w:val="00A94796"/>
    <w:rsid w:val="00A94D7D"/>
    <w:rsid w:val="00AA3220"/>
    <w:rsid w:val="00AA33B3"/>
    <w:rsid w:val="00AC1D3D"/>
    <w:rsid w:val="00AC2CC3"/>
    <w:rsid w:val="00AC4142"/>
    <w:rsid w:val="00AC5521"/>
    <w:rsid w:val="00AE6B2C"/>
    <w:rsid w:val="00AF42F6"/>
    <w:rsid w:val="00B038F3"/>
    <w:rsid w:val="00B0524B"/>
    <w:rsid w:val="00B1733F"/>
    <w:rsid w:val="00B40A3E"/>
    <w:rsid w:val="00B50D67"/>
    <w:rsid w:val="00B63153"/>
    <w:rsid w:val="00B71F3B"/>
    <w:rsid w:val="00B726C0"/>
    <w:rsid w:val="00B7763D"/>
    <w:rsid w:val="00BA05FD"/>
    <w:rsid w:val="00BA1952"/>
    <w:rsid w:val="00BB3609"/>
    <w:rsid w:val="00BC1BFB"/>
    <w:rsid w:val="00BE549F"/>
    <w:rsid w:val="00BF29D3"/>
    <w:rsid w:val="00BF42E6"/>
    <w:rsid w:val="00BF5F1C"/>
    <w:rsid w:val="00C01880"/>
    <w:rsid w:val="00C10808"/>
    <w:rsid w:val="00C14190"/>
    <w:rsid w:val="00C37359"/>
    <w:rsid w:val="00C54921"/>
    <w:rsid w:val="00C84B4F"/>
    <w:rsid w:val="00C921AC"/>
    <w:rsid w:val="00C9719D"/>
    <w:rsid w:val="00CA359C"/>
    <w:rsid w:val="00D02233"/>
    <w:rsid w:val="00D3116B"/>
    <w:rsid w:val="00D34DC4"/>
    <w:rsid w:val="00D36F74"/>
    <w:rsid w:val="00D408C7"/>
    <w:rsid w:val="00D46357"/>
    <w:rsid w:val="00D549C7"/>
    <w:rsid w:val="00D622AF"/>
    <w:rsid w:val="00D6382A"/>
    <w:rsid w:val="00D662D3"/>
    <w:rsid w:val="00D665F6"/>
    <w:rsid w:val="00D84264"/>
    <w:rsid w:val="00D86C21"/>
    <w:rsid w:val="00D922B8"/>
    <w:rsid w:val="00DA6277"/>
    <w:rsid w:val="00DA64FA"/>
    <w:rsid w:val="00DA6B0B"/>
    <w:rsid w:val="00DB6BC3"/>
    <w:rsid w:val="00DC6BE5"/>
    <w:rsid w:val="00DE3148"/>
    <w:rsid w:val="00DE3DCA"/>
    <w:rsid w:val="00DE5ADF"/>
    <w:rsid w:val="00DF3DF6"/>
    <w:rsid w:val="00DF46BC"/>
    <w:rsid w:val="00E05311"/>
    <w:rsid w:val="00E3039C"/>
    <w:rsid w:val="00E40AFD"/>
    <w:rsid w:val="00E61DEE"/>
    <w:rsid w:val="00E634AD"/>
    <w:rsid w:val="00E6687B"/>
    <w:rsid w:val="00E71671"/>
    <w:rsid w:val="00E7213D"/>
    <w:rsid w:val="00E74FCD"/>
    <w:rsid w:val="00E756FC"/>
    <w:rsid w:val="00E82C51"/>
    <w:rsid w:val="00E85729"/>
    <w:rsid w:val="00E862AC"/>
    <w:rsid w:val="00E86FDE"/>
    <w:rsid w:val="00E96CDA"/>
    <w:rsid w:val="00EA79CD"/>
    <w:rsid w:val="00EB6C3C"/>
    <w:rsid w:val="00ED6436"/>
    <w:rsid w:val="00ED6F73"/>
    <w:rsid w:val="00EE2E55"/>
    <w:rsid w:val="00EE335B"/>
    <w:rsid w:val="00F129B4"/>
    <w:rsid w:val="00F25873"/>
    <w:rsid w:val="00F4631D"/>
    <w:rsid w:val="00F5116D"/>
    <w:rsid w:val="00F65816"/>
    <w:rsid w:val="00F76B39"/>
    <w:rsid w:val="00F86A8C"/>
    <w:rsid w:val="00F9519F"/>
    <w:rsid w:val="00FA4C6F"/>
    <w:rsid w:val="00FB721E"/>
    <w:rsid w:val="00FC1228"/>
    <w:rsid w:val="00FC7068"/>
    <w:rsid w:val="00FD5C5A"/>
    <w:rsid w:val="010A4083"/>
    <w:rsid w:val="011A3DF2"/>
    <w:rsid w:val="01426944"/>
    <w:rsid w:val="01666572"/>
    <w:rsid w:val="01D91C17"/>
    <w:rsid w:val="02293FB9"/>
    <w:rsid w:val="02CB4CDD"/>
    <w:rsid w:val="02E60B3C"/>
    <w:rsid w:val="02FA5967"/>
    <w:rsid w:val="030A1494"/>
    <w:rsid w:val="03B834A9"/>
    <w:rsid w:val="03D835B0"/>
    <w:rsid w:val="0483056D"/>
    <w:rsid w:val="05317A2B"/>
    <w:rsid w:val="067538F3"/>
    <w:rsid w:val="07644D6E"/>
    <w:rsid w:val="076D360A"/>
    <w:rsid w:val="07A0423D"/>
    <w:rsid w:val="08122710"/>
    <w:rsid w:val="08F70AD8"/>
    <w:rsid w:val="09CA1C8C"/>
    <w:rsid w:val="09ED4054"/>
    <w:rsid w:val="0A5A3E1A"/>
    <w:rsid w:val="0A966AAA"/>
    <w:rsid w:val="0B084B0B"/>
    <w:rsid w:val="0B0C7F8F"/>
    <w:rsid w:val="0BCA135B"/>
    <w:rsid w:val="0BD611FC"/>
    <w:rsid w:val="0BF144F2"/>
    <w:rsid w:val="0C0063F6"/>
    <w:rsid w:val="0C242CE6"/>
    <w:rsid w:val="0CB937E7"/>
    <w:rsid w:val="0CC42737"/>
    <w:rsid w:val="0CCE583C"/>
    <w:rsid w:val="0CE8743F"/>
    <w:rsid w:val="0D457F9B"/>
    <w:rsid w:val="0D732D87"/>
    <w:rsid w:val="0D7F711C"/>
    <w:rsid w:val="0DBA3DFA"/>
    <w:rsid w:val="0E3634E0"/>
    <w:rsid w:val="0EF72DD4"/>
    <w:rsid w:val="0EFF1259"/>
    <w:rsid w:val="0F3A4E10"/>
    <w:rsid w:val="0FA923AF"/>
    <w:rsid w:val="0FAA0237"/>
    <w:rsid w:val="0FF338C1"/>
    <w:rsid w:val="10471128"/>
    <w:rsid w:val="1093407F"/>
    <w:rsid w:val="10A95BFC"/>
    <w:rsid w:val="10ED73A0"/>
    <w:rsid w:val="115A0B64"/>
    <w:rsid w:val="1181586A"/>
    <w:rsid w:val="11B1575B"/>
    <w:rsid w:val="12097B54"/>
    <w:rsid w:val="121E1C0F"/>
    <w:rsid w:val="12523879"/>
    <w:rsid w:val="12925914"/>
    <w:rsid w:val="129F31F6"/>
    <w:rsid w:val="12F904CF"/>
    <w:rsid w:val="139C1746"/>
    <w:rsid w:val="13C7237D"/>
    <w:rsid w:val="13D00905"/>
    <w:rsid w:val="143A5B28"/>
    <w:rsid w:val="144111B7"/>
    <w:rsid w:val="154C29C8"/>
    <w:rsid w:val="15697A11"/>
    <w:rsid w:val="15B85205"/>
    <w:rsid w:val="16014D2D"/>
    <w:rsid w:val="162043AE"/>
    <w:rsid w:val="163E6F8F"/>
    <w:rsid w:val="16786EC4"/>
    <w:rsid w:val="16AE5A05"/>
    <w:rsid w:val="16B761E3"/>
    <w:rsid w:val="17162A5B"/>
    <w:rsid w:val="184D31AB"/>
    <w:rsid w:val="189041FB"/>
    <w:rsid w:val="192D41F3"/>
    <w:rsid w:val="198D389A"/>
    <w:rsid w:val="19A17DF6"/>
    <w:rsid w:val="1A024688"/>
    <w:rsid w:val="1A0F7BE0"/>
    <w:rsid w:val="1B5A4F1D"/>
    <w:rsid w:val="1B8F5283"/>
    <w:rsid w:val="1BE742BE"/>
    <w:rsid w:val="1C7E6621"/>
    <w:rsid w:val="1C8E30F1"/>
    <w:rsid w:val="1D146DA1"/>
    <w:rsid w:val="1F327E74"/>
    <w:rsid w:val="1FDC5922"/>
    <w:rsid w:val="200A6607"/>
    <w:rsid w:val="21607946"/>
    <w:rsid w:val="21790440"/>
    <w:rsid w:val="217D3AB4"/>
    <w:rsid w:val="218A2EC0"/>
    <w:rsid w:val="22F31770"/>
    <w:rsid w:val="234B27AC"/>
    <w:rsid w:val="24E748DD"/>
    <w:rsid w:val="27D57C99"/>
    <w:rsid w:val="28387CB5"/>
    <w:rsid w:val="2845090C"/>
    <w:rsid w:val="28B22ECB"/>
    <w:rsid w:val="28B47868"/>
    <w:rsid w:val="28E33DA5"/>
    <w:rsid w:val="28EC32AF"/>
    <w:rsid w:val="2A18496F"/>
    <w:rsid w:val="2A525A9F"/>
    <w:rsid w:val="2A724DE5"/>
    <w:rsid w:val="2A8008D1"/>
    <w:rsid w:val="2A876B1F"/>
    <w:rsid w:val="2B0876A6"/>
    <w:rsid w:val="2BA546FD"/>
    <w:rsid w:val="2C794667"/>
    <w:rsid w:val="2CCD3C21"/>
    <w:rsid w:val="2CD45A5B"/>
    <w:rsid w:val="2D9B5927"/>
    <w:rsid w:val="2E401830"/>
    <w:rsid w:val="2EF5591D"/>
    <w:rsid w:val="2EFC739E"/>
    <w:rsid w:val="2F0916BD"/>
    <w:rsid w:val="3012171F"/>
    <w:rsid w:val="30213781"/>
    <w:rsid w:val="30A56DDE"/>
    <w:rsid w:val="318D132F"/>
    <w:rsid w:val="32923C73"/>
    <w:rsid w:val="3308478E"/>
    <w:rsid w:val="3357790F"/>
    <w:rsid w:val="337377E6"/>
    <w:rsid w:val="350C76A0"/>
    <w:rsid w:val="35312A0A"/>
    <w:rsid w:val="355D24EF"/>
    <w:rsid w:val="36197191"/>
    <w:rsid w:val="361B0A1D"/>
    <w:rsid w:val="362155E7"/>
    <w:rsid w:val="36E01801"/>
    <w:rsid w:val="386062E1"/>
    <w:rsid w:val="386D2867"/>
    <w:rsid w:val="390417E9"/>
    <w:rsid w:val="39AC2B02"/>
    <w:rsid w:val="39B130C4"/>
    <w:rsid w:val="3A9F6430"/>
    <w:rsid w:val="3AD576A1"/>
    <w:rsid w:val="3ADD20F5"/>
    <w:rsid w:val="3B0829F7"/>
    <w:rsid w:val="3C6B0257"/>
    <w:rsid w:val="3D83302F"/>
    <w:rsid w:val="3DBE161B"/>
    <w:rsid w:val="3E67218B"/>
    <w:rsid w:val="3E710B78"/>
    <w:rsid w:val="3F6F17B4"/>
    <w:rsid w:val="405D723A"/>
    <w:rsid w:val="43797CFD"/>
    <w:rsid w:val="43A75D85"/>
    <w:rsid w:val="44A8630B"/>
    <w:rsid w:val="457149F8"/>
    <w:rsid w:val="457818E1"/>
    <w:rsid w:val="45D668A1"/>
    <w:rsid w:val="46BE6A8C"/>
    <w:rsid w:val="46EE1D8A"/>
    <w:rsid w:val="472C61CE"/>
    <w:rsid w:val="49C17637"/>
    <w:rsid w:val="49F4237D"/>
    <w:rsid w:val="4A4E21C1"/>
    <w:rsid w:val="4A573E87"/>
    <w:rsid w:val="4AD95104"/>
    <w:rsid w:val="4BCD3776"/>
    <w:rsid w:val="4BD7093C"/>
    <w:rsid w:val="4C9470FB"/>
    <w:rsid w:val="4CA1339D"/>
    <w:rsid w:val="4CA15AA3"/>
    <w:rsid w:val="4CF97D45"/>
    <w:rsid w:val="4D5D0627"/>
    <w:rsid w:val="4E047299"/>
    <w:rsid w:val="4E1C0C1C"/>
    <w:rsid w:val="4E2316F6"/>
    <w:rsid w:val="4E716B9D"/>
    <w:rsid w:val="4E9A160E"/>
    <w:rsid w:val="4E9D5109"/>
    <w:rsid w:val="4EA70D60"/>
    <w:rsid w:val="4F8672AA"/>
    <w:rsid w:val="50871A99"/>
    <w:rsid w:val="51105A81"/>
    <w:rsid w:val="515F38BA"/>
    <w:rsid w:val="525B5F56"/>
    <w:rsid w:val="52B14CC8"/>
    <w:rsid w:val="534322B4"/>
    <w:rsid w:val="53A56906"/>
    <w:rsid w:val="53D2509D"/>
    <w:rsid w:val="54481EAF"/>
    <w:rsid w:val="545E39B4"/>
    <w:rsid w:val="54A14465"/>
    <w:rsid w:val="550341F7"/>
    <w:rsid w:val="55215519"/>
    <w:rsid w:val="556C7B1D"/>
    <w:rsid w:val="55FA04B8"/>
    <w:rsid w:val="570E37B0"/>
    <w:rsid w:val="57336A53"/>
    <w:rsid w:val="580956FB"/>
    <w:rsid w:val="58E633E8"/>
    <w:rsid w:val="59073201"/>
    <w:rsid w:val="596947AD"/>
    <w:rsid w:val="59827721"/>
    <w:rsid w:val="5A362D7A"/>
    <w:rsid w:val="5B3C09CA"/>
    <w:rsid w:val="5B4F6759"/>
    <w:rsid w:val="5BEC57F1"/>
    <w:rsid w:val="5C213A80"/>
    <w:rsid w:val="5CC56E23"/>
    <w:rsid w:val="5CCE743A"/>
    <w:rsid w:val="5D921EFD"/>
    <w:rsid w:val="5D942268"/>
    <w:rsid w:val="5D9D3C53"/>
    <w:rsid w:val="5DD606EB"/>
    <w:rsid w:val="5E3370E2"/>
    <w:rsid w:val="5E5149EB"/>
    <w:rsid w:val="5EBF7FA9"/>
    <w:rsid w:val="5F596EDB"/>
    <w:rsid w:val="5F734630"/>
    <w:rsid w:val="60353D3D"/>
    <w:rsid w:val="606E5E03"/>
    <w:rsid w:val="60D11B4A"/>
    <w:rsid w:val="61A832E6"/>
    <w:rsid w:val="61F520BC"/>
    <w:rsid w:val="62CB11E2"/>
    <w:rsid w:val="62D05741"/>
    <w:rsid w:val="63186839"/>
    <w:rsid w:val="63B13A75"/>
    <w:rsid w:val="63DC6196"/>
    <w:rsid w:val="63FE14DC"/>
    <w:rsid w:val="643B6141"/>
    <w:rsid w:val="64A21070"/>
    <w:rsid w:val="65023969"/>
    <w:rsid w:val="65440EB7"/>
    <w:rsid w:val="655F6C6B"/>
    <w:rsid w:val="6666500C"/>
    <w:rsid w:val="66F2530E"/>
    <w:rsid w:val="67305856"/>
    <w:rsid w:val="673B64AE"/>
    <w:rsid w:val="67E432F1"/>
    <w:rsid w:val="684C0C83"/>
    <w:rsid w:val="69AE7D0C"/>
    <w:rsid w:val="69C241FB"/>
    <w:rsid w:val="69C929B8"/>
    <w:rsid w:val="6A1B2ACB"/>
    <w:rsid w:val="6AAC3696"/>
    <w:rsid w:val="6B135ED4"/>
    <w:rsid w:val="6B335C41"/>
    <w:rsid w:val="6B845E74"/>
    <w:rsid w:val="6CE433B3"/>
    <w:rsid w:val="6D1F138D"/>
    <w:rsid w:val="6D430C17"/>
    <w:rsid w:val="6D9507AA"/>
    <w:rsid w:val="6D9D64E4"/>
    <w:rsid w:val="6DB128CF"/>
    <w:rsid w:val="6E130C97"/>
    <w:rsid w:val="6E4F0C4A"/>
    <w:rsid w:val="6E602463"/>
    <w:rsid w:val="6ECA426A"/>
    <w:rsid w:val="6F5E61D1"/>
    <w:rsid w:val="6F9F3F7A"/>
    <w:rsid w:val="6FA54944"/>
    <w:rsid w:val="70D418F0"/>
    <w:rsid w:val="70F44027"/>
    <w:rsid w:val="71382C84"/>
    <w:rsid w:val="719A74E0"/>
    <w:rsid w:val="724E370C"/>
    <w:rsid w:val="72677186"/>
    <w:rsid w:val="72744EA3"/>
    <w:rsid w:val="746C04A6"/>
    <w:rsid w:val="74FF1EE9"/>
    <w:rsid w:val="75362309"/>
    <w:rsid w:val="76902B2F"/>
    <w:rsid w:val="77520EC7"/>
    <w:rsid w:val="77C828C4"/>
    <w:rsid w:val="78037707"/>
    <w:rsid w:val="78092E8A"/>
    <w:rsid w:val="78F4048F"/>
    <w:rsid w:val="79686649"/>
    <w:rsid w:val="79812841"/>
    <w:rsid w:val="7A476B0F"/>
    <w:rsid w:val="7A6F3F84"/>
    <w:rsid w:val="7A741675"/>
    <w:rsid w:val="7A9F54E3"/>
    <w:rsid w:val="7B8151A2"/>
    <w:rsid w:val="7C0877C1"/>
    <w:rsid w:val="7C0879D4"/>
    <w:rsid w:val="7C251574"/>
    <w:rsid w:val="7CEE2462"/>
    <w:rsid w:val="7D496D2C"/>
    <w:rsid w:val="7DA46071"/>
    <w:rsid w:val="7DAD1CCF"/>
    <w:rsid w:val="7E4833FC"/>
    <w:rsid w:val="7EB10E22"/>
    <w:rsid w:val="7F0654A1"/>
    <w:rsid w:val="7F32406D"/>
    <w:rsid w:val="7F535865"/>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line="674" w:lineRule="exact"/>
      <w:ind w:left="747"/>
      <w:outlineLvl w:val="0"/>
    </w:pPr>
    <w:rPr>
      <w:rFonts w:ascii="Droid Sans Fallback" w:hAnsi="Droid Sans Fallback" w:eastAsia="Droid Sans Fallback" w:cs="Droid Sans Fallback"/>
      <w:sz w:val="40"/>
      <w:szCs w:val="40"/>
      <w:u w:val="single" w:color="000000"/>
      <w:lang w:val="zh-CN" w:bidi="zh-CN"/>
    </w:rPr>
  </w:style>
  <w:style w:type="paragraph" w:styleId="3">
    <w:name w:val="heading 2"/>
    <w:basedOn w:val="1"/>
    <w:next w:val="1"/>
    <w:link w:val="33"/>
    <w:qFormat/>
    <w:uiPriority w:val="9"/>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34"/>
    <w:qFormat/>
    <w:uiPriority w:val="9"/>
    <w:pPr>
      <w:keepNext/>
      <w:keepLines/>
      <w:spacing w:before="260" w:after="260" w:line="413" w:lineRule="auto"/>
      <w:outlineLvl w:val="2"/>
    </w:pPr>
    <w:rPr>
      <w:b/>
      <w:sz w:val="32"/>
    </w:rPr>
  </w:style>
  <w:style w:type="paragraph" w:styleId="5">
    <w:name w:val="heading 4"/>
    <w:basedOn w:val="1"/>
    <w:next w:val="1"/>
    <w:link w:val="35"/>
    <w:unhideWhenUsed/>
    <w:qFormat/>
    <w:uiPriority w:val="9"/>
    <w:pPr>
      <w:keepNext/>
      <w:keepLines/>
      <w:adjustRightInd w:val="0"/>
      <w:snapToGrid w:val="0"/>
      <w:jc w:val="left"/>
      <w:outlineLvl w:val="3"/>
    </w:pPr>
    <w:rPr>
      <w:bCs/>
      <w:sz w:val="28"/>
      <w:szCs w:val="28"/>
    </w:rPr>
  </w:style>
  <w:style w:type="paragraph" w:styleId="6">
    <w:name w:val="heading 5"/>
    <w:basedOn w:val="1"/>
    <w:next w:val="1"/>
    <w:link w:val="36"/>
    <w:unhideWhenUsed/>
    <w:qFormat/>
    <w:uiPriority w:val="0"/>
    <w:pPr>
      <w:keepNext/>
      <w:keepLines/>
      <w:adjustRightInd w:val="0"/>
      <w:snapToGrid w:val="0"/>
      <w:jc w:val="center"/>
      <w:outlineLvl w:val="4"/>
    </w:pPr>
    <w:rPr>
      <w:rFonts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7">
    <w:name w:val="Normal Indent"/>
    <w:basedOn w:val="1"/>
    <w:link w:val="37"/>
    <w:qFormat/>
    <w:uiPriority w:val="99"/>
    <w:pPr>
      <w:spacing w:before="60"/>
      <w:ind w:firstLine="420" w:firstLineChars="200"/>
    </w:pPr>
  </w:style>
  <w:style w:type="paragraph" w:styleId="8">
    <w:name w:val="caption"/>
    <w:basedOn w:val="1"/>
    <w:next w:val="1"/>
    <w:semiHidden/>
    <w:unhideWhenUsed/>
    <w:qFormat/>
    <w:uiPriority w:val="35"/>
    <w:pPr>
      <w:adjustRightInd w:val="0"/>
      <w:snapToGrid w:val="0"/>
      <w:spacing w:line="360" w:lineRule="auto"/>
      <w:ind w:firstLine="200" w:firstLineChars="200"/>
    </w:pPr>
    <w:rPr>
      <w:rFonts w:ascii="Cambria" w:hAnsi="Cambria" w:eastAsia="黑体"/>
      <w:sz w:val="20"/>
      <w:szCs w:val="20"/>
    </w:rPr>
  </w:style>
  <w:style w:type="paragraph" w:styleId="9">
    <w:name w:val="Document Map"/>
    <w:basedOn w:val="1"/>
    <w:link w:val="109"/>
    <w:uiPriority w:val="0"/>
    <w:rPr>
      <w:rFonts w:ascii="宋体"/>
      <w:sz w:val="18"/>
      <w:szCs w:val="18"/>
    </w:rPr>
  </w:style>
  <w:style w:type="paragraph" w:styleId="10">
    <w:name w:val="annotation text"/>
    <w:basedOn w:val="1"/>
    <w:link w:val="38"/>
    <w:qFormat/>
    <w:uiPriority w:val="99"/>
    <w:pPr>
      <w:jc w:val="left"/>
    </w:pPr>
  </w:style>
  <w:style w:type="paragraph" w:styleId="11">
    <w:name w:val="Body Text"/>
    <w:basedOn w:val="1"/>
    <w:qFormat/>
    <w:uiPriority w:val="0"/>
    <w:pPr>
      <w:spacing w:after="120"/>
    </w:pPr>
  </w:style>
  <w:style w:type="paragraph" w:styleId="12">
    <w:name w:val="toc 3"/>
    <w:basedOn w:val="1"/>
    <w:next w:val="1"/>
    <w:qFormat/>
    <w:uiPriority w:val="39"/>
    <w:pPr>
      <w:ind w:left="840" w:leftChars="400"/>
    </w:pPr>
    <w:rPr>
      <w:rFonts w:ascii="Calibri" w:hAnsi="Calibri"/>
      <w:szCs w:val="20"/>
    </w:rPr>
  </w:style>
  <w:style w:type="paragraph" w:styleId="13">
    <w:name w:val="Plain Text"/>
    <w:basedOn w:val="1"/>
    <w:qFormat/>
    <w:uiPriority w:val="0"/>
    <w:rPr>
      <w:rFonts w:ascii="宋体" w:hAnsi="Courier New"/>
    </w:rPr>
  </w:style>
  <w:style w:type="paragraph" w:styleId="14">
    <w:name w:val="Body Text Indent 2"/>
    <w:basedOn w:val="1"/>
    <w:qFormat/>
    <w:uiPriority w:val="0"/>
    <w:pPr>
      <w:spacing w:line="500" w:lineRule="exact"/>
      <w:ind w:firstLine="560" w:firstLineChars="200"/>
    </w:pPr>
    <w:rPr>
      <w:color w:val="000000"/>
      <w:sz w:val="28"/>
    </w:rPr>
  </w:style>
  <w:style w:type="paragraph" w:styleId="15">
    <w:name w:val="Balloon Text"/>
    <w:basedOn w:val="1"/>
    <w:link w:val="68"/>
    <w:unhideWhenUsed/>
    <w:qFormat/>
    <w:uiPriority w:val="99"/>
    <w:pPr>
      <w:adjustRightInd w:val="0"/>
      <w:snapToGrid w:val="0"/>
      <w:ind w:firstLine="200" w:firstLineChars="200"/>
    </w:pPr>
    <w:rPr>
      <w:sz w:val="18"/>
      <w:szCs w:val="18"/>
    </w:rPr>
  </w:style>
  <w:style w:type="paragraph" w:styleId="16">
    <w:name w:val="footer"/>
    <w:basedOn w:val="1"/>
    <w:link w:val="39"/>
    <w:qFormat/>
    <w:uiPriority w:val="99"/>
    <w:pPr>
      <w:tabs>
        <w:tab w:val="center" w:pos="4153"/>
        <w:tab w:val="right" w:pos="8306"/>
      </w:tabs>
      <w:snapToGrid w:val="0"/>
      <w:jc w:val="left"/>
    </w:pPr>
    <w:rPr>
      <w:sz w:val="18"/>
    </w:rPr>
  </w:style>
  <w:style w:type="paragraph" w:styleId="17">
    <w:name w:val="header"/>
    <w:basedOn w:val="1"/>
    <w:link w:val="4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pPr>
      <w:tabs>
        <w:tab w:val="right" w:leader="dot" w:pos="8296"/>
      </w:tabs>
      <w:adjustRightInd w:val="0"/>
      <w:snapToGrid w:val="0"/>
      <w:spacing w:beforeLines="50" w:line="360" w:lineRule="auto"/>
      <w:ind w:firstLine="200" w:firstLineChars="200"/>
    </w:pPr>
    <w:rPr>
      <w:rFonts w:ascii="楷体" w:hAnsi="楷体" w:eastAsia="楷体"/>
      <w:b/>
      <w:sz w:val="28"/>
      <w:szCs w:val="28"/>
    </w:rPr>
  </w:style>
  <w:style w:type="paragraph" w:styleId="19">
    <w:name w:val="toc 2"/>
    <w:basedOn w:val="1"/>
    <w:next w:val="1"/>
    <w:qFormat/>
    <w:uiPriority w:val="39"/>
    <w:pPr>
      <w:spacing w:before="240"/>
      <w:jc w:val="left"/>
    </w:pPr>
    <w:rPr>
      <w:b/>
      <w:bCs/>
      <w:sz w:val="20"/>
      <w:szCs w:val="20"/>
    </w:rPr>
  </w:style>
  <w:style w:type="paragraph" w:styleId="20">
    <w:name w:val="Normal (Web)"/>
    <w:basedOn w:val="1"/>
    <w:unhideWhenUsed/>
    <w:qFormat/>
    <w:uiPriority w:val="99"/>
    <w:pPr>
      <w:widowControl/>
      <w:spacing w:before="100" w:beforeAutospacing="1" w:after="100" w:afterAutospacing="1"/>
      <w:jc w:val="left"/>
    </w:pPr>
    <w:rPr>
      <w:rFonts w:ascii="宋体" w:hAnsi="宋体" w:cs="宋体"/>
      <w:color w:val="000000"/>
      <w:kern w:val="0"/>
      <w:sz w:val="24"/>
    </w:rPr>
  </w:style>
  <w:style w:type="paragraph" w:styleId="21">
    <w:name w:val="Title"/>
    <w:basedOn w:val="1"/>
    <w:next w:val="1"/>
    <w:link w:val="69"/>
    <w:qFormat/>
    <w:uiPriority w:val="10"/>
    <w:pPr>
      <w:adjustRightInd w:val="0"/>
      <w:snapToGrid w:val="0"/>
      <w:spacing w:beforeLines="50" w:line="360" w:lineRule="auto"/>
      <w:ind w:firstLine="200" w:firstLineChars="200"/>
      <w:jc w:val="left"/>
      <w:outlineLvl w:val="3"/>
    </w:pPr>
    <w:rPr>
      <w:rFonts w:ascii="Cambria" w:hAnsi="Cambria"/>
      <w:b/>
      <w:bCs/>
      <w:sz w:val="30"/>
      <w:szCs w:val="32"/>
    </w:rPr>
  </w:style>
  <w:style w:type="paragraph" w:styleId="22">
    <w:name w:val="annotation subject"/>
    <w:basedOn w:val="10"/>
    <w:next w:val="10"/>
    <w:link w:val="67"/>
    <w:unhideWhenUsed/>
    <w:qFormat/>
    <w:uiPriority w:val="99"/>
    <w:pPr>
      <w:adjustRightInd w:val="0"/>
      <w:snapToGrid w:val="0"/>
      <w:spacing w:line="360" w:lineRule="auto"/>
      <w:ind w:firstLine="200" w:firstLineChars="200"/>
    </w:pPr>
    <w:rPr>
      <w:b/>
      <w:bCs/>
      <w:sz w:val="28"/>
    </w:rPr>
  </w:style>
  <w:style w:type="table" w:styleId="24">
    <w:name w:val="Table Grid"/>
    <w:basedOn w:val="23"/>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page number"/>
    <w:basedOn w:val="25"/>
    <w:qFormat/>
    <w:uiPriority w:val="0"/>
    <w:rPr>
      <w:rFonts w:ascii="仿宋_GB2312" w:hAnsi="Tahoma" w:eastAsia="仿宋_GB2312"/>
      <w:kern w:val="2"/>
      <w:sz w:val="28"/>
      <w:szCs w:val="28"/>
      <w:lang w:val="en-US" w:eastAsia="zh-CN" w:bidi="ar-SA"/>
    </w:rPr>
  </w:style>
  <w:style w:type="character" w:styleId="28">
    <w:name w:val="FollowedHyperlink"/>
    <w:basedOn w:val="25"/>
    <w:unhideWhenUsed/>
    <w:qFormat/>
    <w:uiPriority w:val="99"/>
    <w:rPr>
      <w:color w:val="800080"/>
      <w:u w:val="single"/>
    </w:rPr>
  </w:style>
  <w:style w:type="character" w:styleId="29">
    <w:name w:val="Emphasis"/>
    <w:basedOn w:val="25"/>
    <w:qFormat/>
    <w:uiPriority w:val="0"/>
  </w:style>
  <w:style w:type="character" w:styleId="30">
    <w:name w:val="Hyperlink"/>
    <w:basedOn w:val="25"/>
    <w:qFormat/>
    <w:uiPriority w:val="99"/>
    <w:rPr>
      <w:color w:val="0000FF"/>
      <w:u w:val="single"/>
    </w:rPr>
  </w:style>
  <w:style w:type="character" w:styleId="31">
    <w:name w:val="annotation reference"/>
    <w:basedOn w:val="25"/>
    <w:unhideWhenUsed/>
    <w:qFormat/>
    <w:uiPriority w:val="99"/>
    <w:rPr>
      <w:sz w:val="21"/>
      <w:szCs w:val="21"/>
    </w:rPr>
  </w:style>
  <w:style w:type="character" w:styleId="32">
    <w:name w:val="HTML Cite"/>
    <w:basedOn w:val="25"/>
    <w:qFormat/>
    <w:uiPriority w:val="0"/>
  </w:style>
  <w:style w:type="character" w:customStyle="1" w:styleId="33">
    <w:name w:val="标题 2 Char"/>
    <w:basedOn w:val="25"/>
    <w:link w:val="3"/>
    <w:qFormat/>
    <w:uiPriority w:val="0"/>
    <w:rPr>
      <w:rFonts w:ascii="Arial" w:hAnsi="Arial" w:eastAsia="黑体"/>
      <w:b/>
      <w:bCs/>
      <w:kern w:val="2"/>
      <w:sz w:val="32"/>
      <w:szCs w:val="32"/>
    </w:rPr>
  </w:style>
  <w:style w:type="character" w:customStyle="1" w:styleId="34">
    <w:name w:val="标题 3 Char"/>
    <w:basedOn w:val="25"/>
    <w:link w:val="4"/>
    <w:qFormat/>
    <w:uiPriority w:val="9"/>
    <w:rPr>
      <w:rFonts w:ascii="Times New Roman" w:hAnsi="Times New Roman"/>
      <w:b/>
      <w:kern w:val="2"/>
      <w:sz w:val="32"/>
      <w:szCs w:val="24"/>
    </w:rPr>
  </w:style>
  <w:style w:type="character" w:customStyle="1" w:styleId="35">
    <w:name w:val="标题 4 Char"/>
    <w:basedOn w:val="25"/>
    <w:link w:val="5"/>
    <w:qFormat/>
    <w:uiPriority w:val="9"/>
    <w:rPr>
      <w:rFonts w:ascii="Times New Roman" w:hAnsi="Times New Roman" w:cs="Times New Roman"/>
      <w:bCs/>
      <w:kern w:val="2"/>
      <w:sz w:val="28"/>
      <w:szCs w:val="28"/>
    </w:rPr>
  </w:style>
  <w:style w:type="character" w:customStyle="1" w:styleId="36">
    <w:name w:val="标题 5 Char"/>
    <w:basedOn w:val="25"/>
    <w:link w:val="6"/>
    <w:qFormat/>
    <w:uiPriority w:val="0"/>
    <w:rPr>
      <w:rFonts w:ascii="Times New Roman" w:hAnsi="Times New Roman" w:eastAsia="黑体"/>
      <w:b/>
      <w:bCs/>
      <w:kern w:val="2"/>
      <w:sz w:val="28"/>
      <w:szCs w:val="28"/>
    </w:rPr>
  </w:style>
  <w:style w:type="character" w:customStyle="1" w:styleId="37">
    <w:name w:val="正文缩进 Char"/>
    <w:link w:val="7"/>
    <w:qFormat/>
    <w:locked/>
    <w:uiPriority w:val="99"/>
    <w:rPr>
      <w:rFonts w:ascii="Times New Roman" w:hAnsi="Times New Roman"/>
      <w:kern w:val="2"/>
      <w:sz w:val="21"/>
      <w:szCs w:val="24"/>
    </w:rPr>
  </w:style>
  <w:style w:type="character" w:customStyle="1" w:styleId="38">
    <w:name w:val="批注文字 Char"/>
    <w:basedOn w:val="25"/>
    <w:link w:val="10"/>
    <w:qFormat/>
    <w:uiPriority w:val="99"/>
    <w:rPr>
      <w:rFonts w:ascii="Times New Roman" w:hAnsi="Times New Roman"/>
      <w:kern w:val="2"/>
      <w:sz w:val="21"/>
      <w:szCs w:val="24"/>
    </w:rPr>
  </w:style>
  <w:style w:type="character" w:customStyle="1" w:styleId="39">
    <w:name w:val="页脚 Char"/>
    <w:link w:val="16"/>
    <w:qFormat/>
    <w:uiPriority w:val="99"/>
    <w:rPr>
      <w:rFonts w:ascii="Times New Roman" w:hAnsi="Times New Roman"/>
      <w:kern w:val="2"/>
      <w:sz w:val="18"/>
      <w:szCs w:val="24"/>
    </w:rPr>
  </w:style>
  <w:style w:type="character" w:customStyle="1" w:styleId="40">
    <w:name w:val="页眉 Char"/>
    <w:link w:val="17"/>
    <w:qFormat/>
    <w:uiPriority w:val="99"/>
    <w:rPr>
      <w:rFonts w:ascii="Times New Roman" w:hAnsi="Times New Roman"/>
      <w:kern w:val="2"/>
      <w:sz w:val="18"/>
      <w:szCs w:val="24"/>
    </w:rPr>
  </w:style>
  <w:style w:type="character" w:customStyle="1" w:styleId="41">
    <w:name w:val="标题 3 字符"/>
    <w:qFormat/>
    <w:uiPriority w:val="0"/>
    <w:rPr>
      <w:rFonts w:eastAsia="方正仿宋_GBK"/>
      <w:b/>
      <w:bCs/>
      <w:kern w:val="2"/>
      <w:sz w:val="32"/>
      <w:szCs w:val="32"/>
      <w:lang w:val="en-US" w:eastAsia="zh-CN" w:bidi="ar-SA"/>
    </w:rPr>
  </w:style>
  <w:style w:type="character" w:customStyle="1" w:styleId="42">
    <w:name w:val="标题 1 Char"/>
    <w:qFormat/>
    <w:uiPriority w:val="0"/>
    <w:rPr>
      <w:rFonts w:hint="default" w:ascii="Arial" w:hAnsi="Arial" w:eastAsia="宋体" w:cs="Arial"/>
      <w:bCs/>
      <w:kern w:val="32"/>
      <w:sz w:val="32"/>
      <w:szCs w:val="32"/>
      <w:lang w:val="en-US" w:eastAsia="zh-CN" w:bidi="ar-SA"/>
    </w:rPr>
  </w:style>
  <w:style w:type="character" w:customStyle="1" w:styleId="43">
    <w:name w:val="标题 2 字符"/>
    <w:qFormat/>
    <w:uiPriority w:val="0"/>
    <w:rPr>
      <w:rFonts w:ascii="Arial" w:hAnsi="Arial" w:eastAsia="黑体"/>
      <w:b/>
      <w:bCs/>
      <w:kern w:val="2"/>
      <w:sz w:val="32"/>
      <w:szCs w:val="32"/>
      <w:lang w:val="en-US" w:eastAsia="zh-CN" w:bidi="ar-SA"/>
    </w:rPr>
  </w:style>
  <w:style w:type="character" w:customStyle="1" w:styleId="44">
    <w:name w:val="标题 1 Char1"/>
    <w:qFormat/>
    <w:uiPriority w:val="9"/>
    <w:rPr>
      <w:rFonts w:hint="default" w:ascii="Arial" w:hAnsi="Arial" w:eastAsia="宋体" w:cs="Arial"/>
      <w:bCs/>
      <w:kern w:val="32"/>
      <w:sz w:val="32"/>
      <w:szCs w:val="32"/>
      <w:lang w:val="en-US" w:eastAsia="zh-CN" w:bidi="ar-SA"/>
    </w:rPr>
  </w:style>
  <w:style w:type="paragraph" w:customStyle="1" w:styleId="45">
    <w:name w:val="正文首行缩进两字符"/>
    <w:basedOn w:val="1"/>
    <w:qFormat/>
    <w:uiPriority w:val="0"/>
    <w:pPr>
      <w:spacing w:line="360" w:lineRule="auto"/>
      <w:ind w:firstLine="200" w:firstLineChars="200"/>
    </w:pPr>
  </w:style>
  <w:style w:type="paragraph" w:customStyle="1" w:styleId="46">
    <w:name w:val="TOC 3"/>
    <w:basedOn w:val="1"/>
    <w:qFormat/>
    <w:uiPriority w:val="1"/>
    <w:pPr>
      <w:spacing w:line="320" w:lineRule="exact"/>
      <w:ind w:left="1770"/>
    </w:pPr>
    <w:rPr>
      <w:sz w:val="24"/>
    </w:rPr>
  </w:style>
  <w:style w:type="paragraph" w:customStyle="1" w:styleId="47">
    <w:name w:val="Heading 3"/>
    <w:basedOn w:val="1"/>
    <w:qFormat/>
    <w:uiPriority w:val="1"/>
    <w:pPr>
      <w:spacing w:line="568" w:lineRule="exact"/>
      <w:outlineLvl w:val="3"/>
    </w:pPr>
    <w:rPr>
      <w:rFonts w:ascii="Noto Sans CJK JP Regular" w:hAnsi="Noto Sans CJK JP Regular" w:eastAsia="Noto Sans CJK JP Regular" w:cs="Noto Sans CJK JP Regular"/>
      <w:sz w:val="32"/>
      <w:szCs w:val="32"/>
    </w:rPr>
  </w:style>
  <w:style w:type="paragraph" w:customStyle="1" w:styleId="48">
    <w:name w:val="正文1"/>
    <w:basedOn w:val="1"/>
    <w:link w:val="49"/>
    <w:qFormat/>
    <w:uiPriority w:val="0"/>
    <w:pPr>
      <w:adjustRightInd w:val="0"/>
      <w:snapToGrid w:val="0"/>
      <w:spacing w:line="360" w:lineRule="auto"/>
      <w:ind w:firstLine="640"/>
    </w:pPr>
    <w:rPr>
      <w:rFonts w:ascii="仿宋_GB2312" w:hAnsi="仿宋" w:eastAsia="仿宋_GB2312"/>
      <w:sz w:val="32"/>
      <w:szCs w:val="32"/>
    </w:rPr>
  </w:style>
  <w:style w:type="character" w:customStyle="1" w:styleId="49">
    <w:name w:val="正文1 字符"/>
    <w:basedOn w:val="25"/>
    <w:link w:val="48"/>
    <w:uiPriority w:val="0"/>
    <w:rPr>
      <w:rFonts w:ascii="仿宋_GB2312" w:hAnsi="仿宋" w:eastAsia="仿宋_GB2312"/>
      <w:kern w:val="2"/>
      <w:sz w:val="32"/>
      <w:szCs w:val="32"/>
    </w:rPr>
  </w:style>
  <w:style w:type="paragraph" w:customStyle="1" w:styleId="50">
    <w:name w:val="Heading 5"/>
    <w:basedOn w:val="1"/>
    <w:qFormat/>
    <w:uiPriority w:val="1"/>
    <w:pPr>
      <w:ind w:left="120"/>
      <w:outlineLvl w:val="5"/>
    </w:pPr>
    <w:rPr>
      <w:rFonts w:ascii="Noto Sans CJK JP Regular" w:hAnsi="Noto Sans CJK JP Regular" w:eastAsia="Noto Sans CJK JP Regular" w:cs="Noto Sans CJK JP Regular"/>
      <w:sz w:val="28"/>
      <w:szCs w:val="28"/>
    </w:rPr>
  </w:style>
  <w:style w:type="paragraph" w:customStyle="1" w:styleId="51">
    <w:name w:val="TOC 4"/>
    <w:basedOn w:val="1"/>
    <w:qFormat/>
    <w:uiPriority w:val="1"/>
    <w:pPr>
      <w:spacing w:line="320" w:lineRule="exact"/>
      <w:ind w:left="2250"/>
    </w:pPr>
    <w:rPr>
      <w:sz w:val="24"/>
    </w:rPr>
  </w:style>
  <w:style w:type="paragraph" w:customStyle="1" w:styleId="52">
    <w:name w:val="Char Char Char"/>
    <w:basedOn w:val="1"/>
    <w:qFormat/>
    <w:uiPriority w:val="0"/>
    <w:pPr>
      <w:widowControl/>
      <w:spacing w:after="160" w:line="240" w:lineRule="exact"/>
      <w:jc w:val="left"/>
    </w:pPr>
  </w:style>
  <w:style w:type="paragraph" w:customStyle="1" w:styleId="53">
    <w:name w:val="Char Char Char1"/>
    <w:basedOn w:val="1"/>
    <w:qFormat/>
    <w:uiPriority w:val="0"/>
    <w:pPr>
      <w:spacing w:line="400" w:lineRule="exact"/>
      <w:jc w:val="center"/>
    </w:p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newstyle16"/>
    <w:basedOn w:val="1"/>
    <w:qFormat/>
    <w:uiPriority w:val="0"/>
    <w:pPr>
      <w:widowControl/>
      <w:jc w:val="left"/>
    </w:pPr>
    <w:rPr>
      <w:rFonts w:ascii="宋体" w:hAnsi="宋体" w:cs="宋体"/>
      <w:kern w:val="0"/>
      <w:sz w:val="24"/>
    </w:rPr>
  </w:style>
  <w:style w:type="paragraph" w:customStyle="1" w:styleId="56">
    <w:name w:val="p0"/>
    <w:basedOn w:val="1"/>
    <w:qFormat/>
    <w:uiPriority w:val="0"/>
    <w:pPr>
      <w:widowControl/>
    </w:pPr>
    <w:rPr>
      <w:kern w:val="0"/>
      <w:szCs w:val="21"/>
    </w:rPr>
  </w:style>
  <w:style w:type="paragraph" w:customStyle="1" w:styleId="57">
    <w:name w:val="表格文字"/>
    <w:basedOn w:val="1"/>
    <w:qFormat/>
    <w:uiPriority w:val="0"/>
    <w:pPr>
      <w:spacing w:before="25" w:after="25"/>
      <w:jc w:val="left"/>
    </w:pPr>
    <w:rPr>
      <w:bCs/>
      <w:spacing w:val="10"/>
      <w:kern w:val="0"/>
      <w:sz w:val="24"/>
      <w:szCs w:val="20"/>
    </w:rPr>
  </w:style>
  <w:style w:type="paragraph" w:customStyle="1" w:styleId="58">
    <w:name w:val="列出段落1"/>
    <w:basedOn w:val="1"/>
    <w:qFormat/>
    <w:uiPriority w:val="34"/>
    <w:pPr>
      <w:ind w:left="229" w:firstLine="480"/>
    </w:pPr>
    <w:rPr>
      <w:rFonts w:ascii="Noto Sans CJK JP Regular" w:hAnsi="Noto Sans CJK JP Regular" w:eastAsia="Noto Sans CJK JP Regular" w:cs="Noto Sans CJK JP Regular"/>
    </w:rPr>
  </w:style>
  <w:style w:type="paragraph" w:customStyle="1" w:styleId="59">
    <w:name w:val="TOC 2"/>
    <w:basedOn w:val="1"/>
    <w:qFormat/>
    <w:uiPriority w:val="1"/>
    <w:pPr>
      <w:spacing w:line="320" w:lineRule="exact"/>
      <w:ind w:left="1290"/>
    </w:pPr>
    <w:rPr>
      <w:sz w:val="24"/>
    </w:rPr>
  </w:style>
  <w:style w:type="paragraph" w:customStyle="1" w:styleId="60">
    <w:name w:val="TOC 1"/>
    <w:basedOn w:val="1"/>
    <w:qFormat/>
    <w:uiPriority w:val="1"/>
    <w:pPr>
      <w:spacing w:line="320" w:lineRule="exact"/>
      <w:ind w:left="810"/>
    </w:pPr>
    <w:rPr>
      <w:sz w:val="24"/>
    </w:rPr>
  </w:style>
  <w:style w:type="paragraph" w:customStyle="1" w:styleId="61">
    <w:name w:val="Table Paragraph"/>
    <w:basedOn w:val="1"/>
    <w:qFormat/>
    <w:uiPriority w:val="1"/>
    <w:rPr>
      <w:rFonts w:ascii="Noto Sans CJK JP Regular" w:hAnsi="Noto Sans CJK JP Regular" w:eastAsia="Noto Sans CJK JP Regular" w:cs="Noto Sans CJK JP Regular"/>
    </w:rPr>
  </w:style>
  <w:style w:type="paragraph" w:customStyle="1" w:styleId="62">
    <w:name w:val="Heading 4"/>
    <w:basedOn w:val="1"/>
    <w:qFormat/>
    <w:uiPriority w:val="1"/>
    <w:pPr>
      <w:ind w:left="100"/>
      <w:outlineLvl w:val="4"/>
    </w:pPr>
    <w:rPr>
      <w:rFonts w:ascii="Noto Sans CJK JP Regular" w:hAnsi="Noto Sans CJK JP Regular" w:eastAsia="Noto Sans CJK JP Regular" w:cs="Noto Sans CJK JP Regular"/>
      <w:sz w:val="31"/>
      <w:szCs w:val="31"/>
    </w:rPr>
  </w:style>
  <w:style w:type="paragraph" w:customStyle="1" w:styleId="63">
    <w:name w:val="样式1"/>
    <w:basedOn w:val="1"/>
    <w:qFormat/>
    <w:uiPriority w:val="0"/>
    <w:pPr>
      <w:tabs>
        <w:tab w:val="left" w:pos="709"/>
      </w:tabs>
      <w:adjustRightInd w:val="0"/>
      <w:ind w:left="709" w:hanging="709"/>
      <w:textAlignment w:val="baseline"/>
    </w:pPr>
    <w:rPr>
      <w:rFonts w:ascii="宋体" w:hAnsi="宋体"/>
      <w:kern w:val="0"/>
    </w:rPr>
  </w:style>
  <w:style w:type="table" w:customStyle="1" w:styleId="64">
    <w:name w:val="Table Normal"/>
    <w:unhideWhenUsed/>
    <w:qFormat/>
    <w:uiPriority w:val="2"/>
    <w:tblPr>
      <w:tblLayout w:type="fixed"/>
      <w:tblCellMar>
        <w:top w:w="0" w:type="dxa"/>
        <w:left w:w="0" w:type="dxa"/>
        <w:bottom w:w="0" w:type="dxa"/>
        <w:right w:w="0" w:type="dxa"/>
      </w:tblCellMar>
    </w:tblPr>
  </w:style>
  <w:style w:type="paragraph" w:customStyle="1" w:styleId="65">
    <w:name w:val="WPSOffice手动目录 2"/>
    <w:qFormat/>
    <w:uiPriority w:val="0"/>
    <w:pPr>
      <w:ind w:left="200" w:leftChars="200"/>
    </w:pPr>
    <w:rPr>
      <w:rFonts w:ascii="Calibri" w:hAnsi="Calibri" w:eastAsia="Calibri" w:cs="Times New Roman"/>
      <w:lang w:val="en-US" w:eastAsia="zh-CN" w:bidi="ar-SA"/>
    </w:rPr>
  </w:style>
  <w:style w:type="paragraph" w:customStyle="1" w:styleId="66">
    <w:name w:val="WPSOffice手动目录 3"/>
    <w:qFormat/>
    <w:uiPriority w:val="0"/>
    <w:pPr>
      <w:ind w:left="400" w:leftChars="400"/>
    </w:pPr>
    <w:rPr>
      <w:rFonts w:ascii="Calibri" w:hAnsi="Calibri" w:eastAsia="Calibri" w:cs="Times New Roman"/>
      <w:lang w:val="en-US" w:eastAsia="zh-CN" w:bidi="ar-SA"/>
    </w:rPr>
  </w:style>
  <w:style w:type="character" w:customStyle="1" w:styleId="67">
    <w:name w:val="批注主题 Char"/>
    <w:basedOn w:val="38"/>
    <w:link w:val="22"/>
    <w:qFormat/>
    <w:uiPriority w:val="99"/>
    <w:rPr>
      <w:rFonts w:cs="Times New Roman"/>
      <w:b/>
      <w:bCs/>
      <w:sz w:val="28"/>
    </w:rPr>
  </w:style>
  <w:style w:type="character" w:customStyle="1" w:styleId="68">
    <w:name w:val="批注框文本 Char"/>
    <w:basedOn w:val="25"/>
    <w:link w:val="15"/>
    <w:qFormat/>
    <w:uiPriority w:val="99"/>
    <w:rPr>
      <w:rFonts w:ascii="Times New Roman" w:hAnsi="Times New Roman" w:cs="Times New Roman"/>
      <w:kern w:val="2"/>
      <w:sz w:val="18"/>
      <w:szCs w:val="18"/>
    </w:rPr>
  </w:style>
  <w:style w:type="character" w:customStyle="1" w:styleId="69">
    <w:name w:val="标题 Char"/>
    <w:basedOn w:val="25"/>
    <w:link w:val="21"/>
    <w:qFormat/>
    <w:uiPriority w:val="10"/>
    <w:rPr>
      <w:rFonts w:ascii="Cambria" w:hAnsi="Cambria" w:eastAsia="宋体" w:cs="Times New Roman"/>
      <w:b/>
      <w:bCs/>
      <w:kern w:val="2"/>
      <w:sz w:val="30"/>
      <w:szCs w:val="32"/>
    </w:rPr>
  </w:style>
  <w:style w:type="character" w:customStyle="1" w:styleId="70">
    <w:name w:val="页眉 字符"/>
    <w:basedOn w:val="25"/>
    <w:qFormat/>
    <w:uiPriority w:val="99"/>
    <w:rPr>
      <w:rFonts w:ascii="Calibri" w:hAnsi="Calibri" w:eastAsia="宋体" w:cs="Times New Roman"/>
      <w:sz w:val="18"/>
      <w:szCs w:val="18"/>
    </w:rPr>
  </w:style>
  <w:style w:type="character" w:customStyle="1" w:styleId="71">
    <w:name w:val="页脚 字符"/>
    <w:basedOn w:val="25"/>
    <w:qFormat/>
    <w:uiPriority w:val="99"/>
    <w:rPr>
      <w:rFonts w:ascii="Calibri" w:hAnsi="Calibri" w:eastAsia="宋体" w:cs="Times New Roman"/>
      <w:sz w:val="18"/>
      <w:szCs w:val="18"/>
    </w:rPr>
  </w:style>
  <w:style w:type="character" w:customStyle="1" w:styleId="72">
    <w:name w:val="图表标题 Char"/>
    <w:locked/>
    <w:uiPriority w:val="0"/>
    <w:rPr>
      <w:rFonts w:ascii="Cambria" w:hAnsi="Cambria" w:eastAsia="黑体"/>
      <w:sz w:val="21"/>
      <w:lang w:val="zh-CN" w:eastAsia="zh-CN"/>
    </w:rPr>
  </w:style>
  <w:style w:type="paragraph" w:customStyle="1" w:styleId="73">
    <w:name w:val="模板正文"/>
    <w:basedOn w:val="1"/>
    <w:link w:val="74"/>
    <w:qFormat/>
    <w:uiPriority w:val="0"/>
    <w:pPr>
      <w:spacing w:line="360" w:lineRule="auto"/>
      <w:ind w:firstLine="560" w:firstLineChars="200"/>
    </w:pPr>
    <w:rPr>
      <w:rFonts w:ascii="宋体" w:hAnsi="宋体"/>
      <w:kern w:val="0"/>
      <w:sz w:val="28"/>
      <w:szCs w:val="28"/>
      <w:lang w:val="zh-CN"/>
    </w:rPr>
  </w:style>
  <w:style w:type="character" w:customStyle="1" w:styleId="74">
    <w:name w:val="模板正文 Char"/>
    <w:link w:val="73"/>
    <w:qFormat/>
    <w:uiPriority w:val="0"/>
    <w:rPr>
      <w:rFonts w:ascii="宋体" w:hAnsi="宋体"/>
      <w:sz w:val="28"/>
      <w:szCs w:val="28"/>
      <w:lang w:val="zh-CN"/>
    </w:rPr>
  </w:style>
  <w:style w:type="paragraph" w:styleId="75">
    <w:name w:val="List Paragraph"/>
    <w:basedOn w:val="1"/>
    <w:uiPriority w:val="99"/>
    <w:pPr>
      <w:adjustRightInd w:val="0"/>
      <w:snapToGrid w:val="0"/>
      <w:spacing w:line="360" w:lineRule="auto"/>
      <w:ind w:firstLine="420" w:firstLineChars="200"/>
    </w:pPr>
    <w:rPr>
      <w:sz w:val="28"/>
    </w:rPr>
  </w:style>
  <w:style w:type="character" w:customStyle="1" w:styleId="76">
    <w:name w:val="font01"/>
    <w:basedOn w:val="25"/>
    <w:qFormat/>
    <w:uiPriority w:val="0"/>
    <w:rPr>
      <w:rFonts w:hint="eastAsia" w:ascii="宋体" w:hAnsi="宋体" w:eastAsia="宋体" w:cs="宋体"/>
      <w:color w:val="000000"/>
      <w:sz w:val="21"/>
      <w:szCs w:val="21"/>
      <w:u w:val="none"/>
    </w:rPr>
  </w:style>
  <w:style w:type="paragraph" w:customStyle="1" w:styleId="77">
    <w:name w:val="TOC 标题1"/>
    <w:basedOn w:val="2"/>
    <w:next w:val="1"/>
    <w:unhideWhenUsed/>
    <w:qFormat/>
    <w:uiPriority w:val="39"/>
    <w:pPr>
      <w:keepNext/>
      <w:keepLines/>
      <w:widowControl/>
      <w:spacing w:before="240" w:line="259" w:lineRule="auto"/>
      <w:ind w:left="0"/>
      <w:jc w:val="left"/>
      <w:outlineLvl w:val="9"/>
    </w:pPr>
    <w:rPr>
      <w:rFonts w:ascii="Cambria" w:hAnsi="Cambria" w:eastAsia="宋体" w:cs="Times New Roman"/>
      <w:color w:val="365F91"/>
      <w:kern w:val="0"/>
      <w:sz w:val="32"/>
      <w:szCs w:val="32"/>
      <w:u w:val="none"/>
      <w:lang w:val="en-US" w:bidi="ar-SA"/>
    </w:rPr>
  </w:style>
  <w:style w:type="paragraph" w:customStyle="1" w:styleId="78">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79">
    <w:name w:val="No Spacing"/>
    <w:qFormat/>
    <w:uiPriority w:val="1"/>
    <w:pPr>
      <w:widowControl w:val="0"/>
      <w:jc w:val="both"/>
    </w:pPr>
    <w:rPr>
      <w:rFonts w:ascii="Calibri" w:hAnsi="Calibri" w:eastAsia="宋体" w:cs="Times New Roman"/>
      <w:kern w:val="2"/>
      <w:sz w:val="21"/>
      <w:szCs w:val="22"/>
      <w:lang w:val="en-US" w:eastAsia="zh-CN" w:bidi="ar-SA"/>
    </w:rPr>
  </w:style>
  <w:style w:type="character" w:styleId="80">
    <w:name w:val="Placeholder Text"/>
    <w:basedOn w:val="25"/>
    <w:semiHidden/>
    <w:qFormat/>
    <w:uiPriority w:val="99"/>
    <w:rPr>
      <w:color w:val="808080"/>
    </w:rPr>
  </w:style>
  <w:style w:type="paragraph" w:customStyle="1" w:styleId="81">
    <w:name w:val="font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82">
    <w:name w:val="font6"/>
    <w:basedOn w:val="1"/>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83">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4"/>
    </w:rPr>
  </w:style>
  <w:style w:type="paragraph" w:customStyle="1" w:styleId="84">
    <w:name w:val="xl70"/>
    <w:basedOn w:val="1"/>
    <w:uiPriority w:val="0"/>
    <w:pPr>
      <w:widowControl/>
      <w:spacing w:before="100" w:beforeAutospacing="1" w:after="100" w:afterAutospacing="1"/>
      <w:jc w:val="left"/>
    </w:pPr>
    <w:rPr>
      <w:rFonts w:ascii="宋体" w:hAnsi="宋体" w:cs="宋体"/>
      <w:b/>
      <w:bCs/>
      <w:kern w:val="0"/>
      <w:sz w:val="24"/>
    </w:rPr>
  </w:style>
  <w:style w:type="paragraph" w:customStyle="1" w:styleId="85">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rPr>
  </w:style>
  <w:style w:type="paragraph" w:customStyle="1" w:styleId="86">
    <w:name w:val="xl72"/>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87">
    <w:name w:val="xl73"/>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8">
    <w:name w:val="xl74"/>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9">
    <w:name w:val="xl75"/>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w:hAnsi="Arial" w:cs="Arial"/>
      <w:kern w:val="0"/>
      <w:sz w:val="24"/>
    </w:rPr>
  </w:style>
  <w:style w:type="paragraph" w:customStyle="1" w:styleId="9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91">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b/>
      <w:bCs/>
      <w:kern w:val="0"/>
      <w:sz w:val="24"/>
    </w:rPr>
  </w:style>
  <w:style w:type="paragraph" w:customStyle="1" w:styleId="92">
    <w:name w:val="xl78"/>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93">
    <w:name w:val="xl79"/>
    <w:basedOn w:val="1"/>
    <w:uiPriority w:val="0"/>
    <w:pPr>
      <w:widowControl/>
      <w:pBdr>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94">
    <w:name w:val="xl80"/>
    <w:basedOn w:val="1"/>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4"/>
    </w:rPr>
  </w:style>
  <w:style w:type="paragraph" w:customStyle="1" w:styleId="9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9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7">
    <w:name w:val="xl8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98">
    <w:name w:val="xl84"/>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99">
    <w:name w:val="xl85"/>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00">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01">
    <w:name w:val="xl87"/>
    <w:basedOn w:val="1"/>
    <w:qFormat/>
    <w:uiPriority w:val="0"/>
    <w:pPr>
      <w:widowControl/>
      <w:pBdr>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02">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03">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04">
    <w:name w:val="xl90"/>
    <w:basedOn w:val="1"/>
    <w:uiPriority w:val="0"/>
    <w:pPr>
      <w:widowControl/>
      <w:pBdr>
        <w:top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05">
    <w:name w:val="xl91"/>
    <w:basedOn w:val="1"/>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106">
    <w:name w:val="xl92"/>
    <w:basedOn w:val="1"/>
    <w:uiPriority w:val="0"/>
    <w:pPr>
      <w:widowControl/>
      <w:pBdr>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07">
    <w:name w:val="xl93"/>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08">
    <w:name w:val="TOC Heading"/>
    <w:basedOn w:val="2"/>
    <w:next w:val="1"/>
    <w:unhideWhenUsed/>
    <w:qFormat/>
    <w:uiPriority w:val="39"/>
    <w:pPr>
      <w:keepNext/>
      <w:keepLines/>
      <w:widowControl/>
      <w:spacing w:before="240" w:line="259" w:lineRule="auto"/>
      <w:ind w:left="0"/>
      <w:jc w:val="left"/>
      <w:outlineLvl w:val="9"/>
    </w:pPr>
    <w:rPr>
      <w:rFonts w:ascii="Cambria" w:hAnsi="Cambria" w:eastAsia="宋体" w:cs="Times New Roman"/>
      <w:color w:val="365F91"/>
      <w:kern w:val="0"/>
      <w:sz w:val="32"/>
      <w:szCs w:val="32"/>
      <w:u w:val="none"/>
      <w:lang w:val="en-US" w:bidi="ar-SA"/>
    </w:rPr>
  </w:style>
  <w:style w:type="character" w:customStyle="1" w:styleId="109">
    <w:name w:val="文档结构图 Char"/>
    <w:basedOn w:val="25"/>
    <w:link w:val="9"/>
    <w:uiPriority w:val="0"/>
    <w:rPr>
      <w:rFonts w:ascii="宋体" w:hAnsi="Times New Roman"/>
      <w:kern w:val="2"/>
      <w:sz w:val="18"/>
      <w:szCs w:val="18"/>
    </w:rPr>
  </w:style>
  <w:style w:type="character" w:customStyle="1" w:styleId="110">
    <w:name w:val="纯文本 Char"/>
    <w:qFormat/>
    <w:uiPriority w:val="0"/>
    <w:rPr>
      <w:rFonts w:ascii="宋体" w:hAnsi="Courier New" w:eastAsia="宋体"/>
      <w:spacing w:val="-8"/>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1.png"/><Relationship Id="rId8" Type="http://schemas.openxmlformats.org/officeDocument/2006/relationships/footer" Target="footer3.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header" Target="head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footer" Target="footer2.xml"/><Relationship Id="rId59" Type="http://schemas.openxmlformats.org/officeDocument/2006/relationships/image" Target="media/image40.wmf"/><Relationship Id="rId58" Type="http://schemas.openxmlformats.org/officeDocument/2006/relationships/oleObject" Target="embeddings/oleObject2.bin"/><Relationship Id="rId57" Type="http://schemas.openxmlformats.org/officeDocument/2006/relationships/image" Target="media/image39.wmf"/><Relationship Id="rId56" Type="http://schemas.openxmlformats.org/officeDocument/2006/relationships/oleObject" Target="embeddings/oleObject1.bin"/><Relationship Id="rId55" Type="http://schemas.openxmlformats.org/officeDocument/2006/relationships/image" Target="media/image38.emf"/><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2.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2"/>
    <customShpInfo spid="_x0000_s2073"/>
    <customShpInfo spid="_x0000_s2067"/>
    <customShpInfo spid="_x0000_s2078"/>
    <customShpInfo spid="_x0000_s2079"/>
    <customShpInfo spid="_x0000_s2080"/>
    <customShpInfo spid="_x0000_s2081"/>
    <customShpInfo spid="_x0000_s1154"/>
    <customShpInfo spid="_x0000_s115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3A0CB6-2702-4BDD-B0FB-579C8B2CF849}">
  <ds:schemaRefs/>
</ds:datastoreItem>
</file>

<file path=docProps/app.xml><?xml version="1.0" encoding="utf-8"?>
<Properties xmlns="http://schemas.openxmlformats.org/officeDocument/2006/extended-properties" xmlns:vt="http://schemas.openxmlformats.org/officeDocument/2006/docPropsVTypes">
  <Template>Normal</Template>
  <Company>http://sdwm.org</Company>
  <Pages>172</Pages>
  <Words>15796</Words>
  <Characters>90039</Characters>
  <Lines>750</Lines>
  <Paragraphs>211</Paragraphs>
  <TotalTime>124</TotalTime>
  <ScaleCrop>false</ScaleCrop>
  <LinksUpToDate>false</LinksUpToDate>
  <CharactersWithSpaces>105624</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2019-09-10T06:47:00Z</dcterms:created>
  <dc:creator>海南政源招标代理有限公司</dc:creator>
  <cp:lastModifiedBy>噜啦啦</cp:lastModifiedBy>
  <cp:lastPrinted>2019-09-17T02:55:00Z</cp:lastPrinted>
  <dcterms:modified xsi:type="dcterms:W3CDTF">2019-10-10T09:14:23Z</dcterms:modified>
  <dc:subject>公开招标采购文件</dc:subject>
  <dc:title>公开招标范本初稿</dc:title>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