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rPr>
          <w:rFonts w:ascii="华文中宋" w:hAnsi="华文中宋" w:eastAsia="华文中宋"/>
          <w:sz w:val="36"/>
        </w:rPr>
      </w:pPr>
      <w:bookmarkStart w:id="0" w:name="_Toc217996594"/>
      <w:bookmarkStart w:id="1" w:name="_Toc414445718"/>
      <w:bookmarkStart w:id="2" w:name="_Toc216619175"/>
      <w:bookmarkStart w:id="3" w:name="_Toc219467631"/>
      <w:bookmarkStart w:id="4" w:name="_Toc216702787"/>
      <w:bookmarkStart w:id="5" w:name="_Toc195921780"/>
      <w:r>
        <w:rPr>
          <w:rFonts w:ascii="华文中宋" w:hAnsi="华文中宋" w:eastAsia="华文中宋"/>
          <w:sz w:val="36"/>
        </w:rPr>
        <w:drawing>
          <wp:inline distT="0" distB="0" distL="0" distR="0">
            <wp:extent cx="685800" cy="542925"/>
            <wp:effectExtent l="19050" t="0" r="0" b="0"/>
            <wp:docPr id="1" name="图片 1" descr="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con"/>
                    <pic:cNvPicPr>
                      <a:picLocks noChangeAspect="1" noChangeArrowheads="1"/>
                    </pic:cNvPicPr>
                  </pic:nvPicPr>
                  <pic:blipFill>
                    <a:blip r:embed="rId11" cstate="print"/>
                    <a:srcRect/>
                    <a:stretch>
                      <a:fillRect/>
                    </a:stretch>
                  </pic:blipFill>
                  <pic:spPr>
                    <a:xfrm>
                      <a:off x="0" y="0"/>
                      <a:ext cx="685800" cy="542925"/>
                    </a:xfrm>
                    <a:prstGeom prst="rect">
                      <a:avLst/>
                    </a:prstGeom>
                    <a:noFill/>
                    <a:ln w="9525" cmpd="sng">
                      <a:noFill/>
                      <a:miter lim="800000"/>
                      <a:headEnd/>
                      <a:tailEnd/>
                    </a:ln>
                  </pic:spPr>
                </pic:pic>
              </a:graphicData>
            </a:graphic>
          </wp:inline>
        </w:drawing>
      </w:r>
    </w:p>
    <w:p>
      <w:pPr>
        <w:pStyle w:val="19"/>
        <w:ind w:firstLine="0" w:firstLineChars="0"/>
        <w:jc w:val="left"/>
        <w:rPr>
          <w:rFonts w:ascii="黑体"/>
          <w:b w:val="0"/>
          <w:color w:val="auto"/>
          <w:sz w:val="52"/>
        </w:rPr>
      </w:pPr>
      <w:r>
        <w:rPr>
          <w:color w:val="auto"/>
        </w:rPr>
        <w:t>GXTC</w:t>
      </w:r>
    </w:p>
    <w:p>
      <w:pPr>
        <w:jc w:val="center"/>
        <w:rPr>
          <w:rFonts w:eastAsia="黑体"/>
          <w:b/>
          <w:bCs/>
          <w:sz w:val="84"/>
        </w:rPr>
      </w:pPr>
    </w:p>
    <w:p>
      <w:pPr>
        <w:jc w:val="center"/>
        <w:rPr>
          <w:rFonts w:eastAsia="黑体"/>
          <w:b/>
          <w:bCs/>
          <w:sz w:val="48"/>
          <w:szCs w:val="48"/>
        </w:rPr>
      </w:pPr>
      <w:r>
        <w:rPr>
          <w:rFonts w:eastAsia="黑体"/>
          <w:b/>
          <w:bCs/>
          <w:sz w:val="48"/>
          <w:szCs w:val="48"/>
        </w:rPr>
        <w:t>政府采购竞争性磋商</w:t>
      </w:r>
    </w:p>
    <w:p>
      <w:pPr>
        <w:jc w:val="center"/>
        <w:rPr>
          <w:rFonts w:eastAsia="黑体"/>
          <w:b/>
          <w:bCs/>
          <w:sz w:val="48"/>
          <w:szCs w:val="48"/>
        </w:rPr>
      </w:pPr>
    </w:p>
    <w:p>
      <w:pPr>
        <w:jc w:val="center"/>
        <w:rPr>
          <w:rFonts w:eastAsia="黑体"/>
          <w:b/>
          <w:bCs/>
          <w:sz w:val="84"/>
        </w:rPr>
      </w:pPr>
      <w:r>
        <w:rPr>
          <w:rFonts w:hint="eastAsia" w:eastAsia="黑体"/>
          <w:b/>
          <w:bCs/>
          <w:sz w:val="84"/>
        </w:rPr>
        <w:t>磋 商 文 件</w:t>
      </w:r>
    </w:p>
    <w:p>
      <w:pPr>
        <w:adjustRightInd w:val="0"/>
        <w:jc w:val="center"/>
        <w:textAlignment w:val="baseline"/>
        <w:rPr>
          <w:b/>
          <w:bCs/>
          <w:sz w:val="36"/>
        </w:rPr>
      </w:pPr>
    </w:p>
    <w:p>
      <w:pPr>
        <w:adjustRightInd w:val="0"/>
        <w:ind w:firstLine="1084" w:firstLineChars="300"/>
        <w:jc w:val="left"/>
        <w:textAlignment w:val="baseline"/>
        <w:rPr>
          <w:b/>
          <w:bCs/>
          <w:sz w:val="36"/>
        </w:rPr>
      </w:pPr>
    </w:p>
    <w:p>
      <w:pPr>
        <w:adjustRightInd w:val="0"/>
        <w:jc w:val="left"/>
        <w:textAlignment w:val="baseline"/>
        <w:rPr>
          <w:b/>
          <w:bCs/>
          <w:sz w:val="32"/>
          <w:szCs w:val="32"/>
        </w:rPr>
      </w:pPr>
      <w:r>
        <w:rPr>
          <w:rFonts w:hint="eastAsia"/>
          <w:b/>
          <w:bCs/>
          <w:sz w:val="32"/>
          <w:szCs w:val="32"/>
        </w:rPr>
        <w:t xml:space="preserve">        项目编号：GXTC-CZ-D1-2052014 </w:t>
      </w:r>
    </w:p>
    <w:p>
      <w:pPr>
        <w:adjustRightInd w:val="0"/>
        <w:ind w:left="2753" w:leftChars="266" w:hanging="2194" w:hangingChars="683"/>
        <w:jc w:val="left"/>
        <w:textAlignment w:val="baseline"/>
        <w:rPr>
          <w:b/>
          <w:bCs/>
          <w:sz w:val="32"/>
          <w:szCs w:val="32"/>
          <w:lang w:val="zh-CN"/>
        </w:rPr>
      </w:pPr>
      <w:r>
        <w:rPr>
          <w:rFonts w:hint="eastAsia"/>
          <w:b/>
          <w:bCs/>
          <w:sz w:val="32"/>
          <w:szCs w:val="32"/>
        </w:rPr>
        <w:t xml:space="preserve">    项目名称：海南省海域使用金地方标准制定、海域基准价格制定和评估技术规范编制</w:t>
      </w: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p>
    <w:tbl>
      <w:tblPr>
        <w:tblStyle w:val="74"/>
        <w:tblW w:w="831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402"/>
        <w:gridCol w:w="591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59" w:hRule="atLeast"/>
          <w:jc w:val="center"/>
        </w:trPr>
        <w:tc>
          <w:tcPr>
            <w:tcW w:w="2402" w:type="dxa"/>
          </w:tcPr>
          <w:p>
            <w:pPr>
              <w:autoSpaceDE w:val="0"/>
              <w:autoSpaceDN w:val="0"/>
              <w:adjustRightInd w:val="0"/>
              <w:snapToGrid w:val="0"/>
              <w:spacing w:after="156" w:afterLines="50"/>
              <w:jc w:val="center"/>
              <w:rPr>
                <w:rFonts w:ascii="宋体" w:hAnsi="宋体" w:cs="黑体"/>
                <w:kern w:val="0"/>
                <w:sz w:val="32"/>
                <w:szCs w:val="32"/>
              </w:rPr>
            </w:pPr>
            <w:r>
              <w:rPr>
                <w:rFonts w:hint="eastAsia" w:ascii="宋体" w:hAnsi="宋体" w:cs="黑体"/>
                <w:kern w:val="0"/>
                <w:sz w:val="32"/>
                <w:szCs w:val="32"/>
              </w:rPr>
              <w:t>采   购   人：</w:t>
            </w:r>
          </w:p>
        </w:tc>
        <w:tc>
          <w:tcPr>
            <w:tcW w:w="5917" w:type="dxa"/>
          </w:tcPr>
          <w:p>
            <w:pPr>
              <w:autoSpaceDE w:val="0"/>
              <w:autoSpaceDN w:val="0"/>
              <w:adjustRightInd w:val="0"/>
              <w:snapToGrid w:val="0"/>
              <w:spacing w:after="156" w:afterLines="50"/>
              <w:jc w:val="left"/>
              <w:rPr>
                <w:rFonts w:ascii="宋体" w:hAnsi="宋体" w:cs="黑体"/>
                <w:kern w:val="0"/>
                <w:sz w:val="32"/>
                <w:szCs w:val="32"/>
              </w:rPr>
            </w:pPr>
            <w:r>
              <w:rPr>
                <w:rFonts w:hint="eastAsia" w:ascii="宋体" w:hAnsi="宋体" w:cs="黑体"/>
                <w:kern w:val="0"/>
                <w:sz w:val="32"/>
                <w:szCs w:val="32"/>
              </w:rPr>
              <w:t xml:space="preserve"> 海南省自然资源和规划厅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7" w:hRule="atLeast"/>
          <w:jc w:val="center"/>
        </w:trPr>
        <w:tc>
          <w:tcPr>
            <w:tcW w:w="2402" w:type="dxa"/>
          </w:tcPr>
          <w:p>
            <w:pPr>
              <w:autoSpaceDE w:val="0"/>
              <w:autoSpaceDN w:val="0"/>
              <w:adjustRightInd w:val="0"/>
              <w:snapToGrid w:val="0"/>
              <w:spacing w:after="156" w:afterLines="50"/>
              <w:jc w:val="center"/>
              <w:rPr>
                <w:rFonts w:ascii="宋体" w:hAnsi="宋体" w:cs="黑体"/>
                <w:kern w:val="0"/>
                <w:sz w:val="32"/>
                <w:szCs w:val="32"/>
              </w:rPr>
            </w:pPr>
            <w:r>
              <w:rPr>
                <w:rFonts w:hint="eastAsia" w:ascii="宋体" w:hAnsi="宋体" w:cs="黑体"/>
                <w:kern w:val="0"/>
                <w:sz w:val="32"/>
                <w:szCs w:val="32"/>
              </w:rPr>
              <w:t>采购代理机构：</w:t>
            </w:r>
          </w:p>
        </w:tc>
        <w:tc>
          <w:tcPr>
            <w:tcW w:w="5917" w:type="dxa"/>
          </w:tcPr>
          <w:p>
            <w:pPr>
              <w:autoSpaceDE w:val="0"/>
              <w:autoSpaceDN w:val="0"/>
              <w:adjustRightInd w:val="0"/>
              <w:snapToGrid w:val="0"/>
              <w:spacing w:after="156" w:afterLines="50"/>
              <w:jc w:val="left"/>
              <w:rPr>
                <w:rFonts w:ascii="宋体" w:hAnsi="宋体" w:cs="黑体"/>
                <w:kern w:val="0"/>
                <w:sz w:val="32"/>
                <w:szCs w:val="32"/>
              </w:rPr>
            </w:pPr>
            <w:r>
              <w:rPr>
                <w:rFonts w:hint="eastAsia" w:ascii="宋体" w:hAnsi="宋体" w:cs="黑体"/>
                <w:kern w:val="0"/>
                <w:sz w:val="32"/>
                <w:szCs w:val="32"/>
              </w:rPr>
              <w:t>国信国采（海口）招标有限责任公司</w:t>
            </w:r>
          </w:p>
        </w:tc>
      </w:tr>
    </w:tbl>
    <w:p>
      <w:pPr>
        <w:autoSpaceDE w:val="0"/>
        <w:autoSpaceDN w:val="0"/>
        <w:adjustRightInd w:val="0"/>
        <w:snapToGrid w:val="0"/>
        <w:spacing w:after="156" w:afterLines="50"/>
        <w:jc w:val="center"/>
        <w:rPr>
          <w:rFonts w:ascii="宋体" w:hAnsi="宋体" w:cs="黑体"/>
          <w:kern w:val="0"/>
          <w:sz w:val="32"/>
          <w:szCs w:val="32"/>
        </w:rPr>
      </w:pPr>
    </w:p>
    <w:p>
      <w:pPr>
        <w:autoSpaceDE w:val="0"/>
        <w:autoSpaceDN w:val="0"/>
        <w:adjustRightInd w:val="0"/>
        <w:snapToGrid w:val="0"/>
        <w:spacing w:after="156" w:afterLines="50"/>
        <w:jc w:val="center"/>
        <w:rPr>
          <w:rFonts w:ascii="宋体" w:hAnsi="宋体" w:cs="黑体"/>
          <w:kern w:val="0"/>
          <w:sz w:val="32"/>
          <w:szCs w:val="32"/>
        </w:rPr>
      </w:pPr>
      <w:r>
        <w:rPr>
          <w:rFonts w:hint="eastAsia" w:ascii="宋体" w:hAnsi="宋体" w:cs="黑体"/>
          <w:kern w:val="0"/>
          <w:sz w:val="32"/>
          <w:szCs w:val="32"/>
        </w:rPr>
        <w:t>2020年5月</w:t>
      </w:r>
    </w:p>
    <w:p>
      <w:pPr>
        <w:widowControl/>
        <w:jc w:val="left"/>
        <w:rPr>
          <w:rFonts w:ascii="宋体" w:hAnsi="宋体" w:cs="黑体"/>
          <w:kern w:val="0"/>
          <w:sz w:val="32"/>
          <w:szCs w:val="32"/>
        </w:rPr>
      </w:pPr>
      <w:r>
        <w:rPr>
          <w:rFonts w:ascii="宋体" w:hAnsi="宋体" w:cs="黑体"/>
          <w:kern w:val="0"/>
          <w:sz w:val="32"/>
          <w:szCs w:val="32"/>
        </w:rPr>
        <w:br w:type="page"/>
      </w:r>
    </w:p>
    <w:p>
      <w:pPr>
        <w:autoSpaceDE w:val="0"/>
        <w:autoSpaceDN w:val="0"/>
        <w:adjustRightInd w:val="0"/>
        <w:snapToGrid w:val="0"/>
        <w:spacing w:after="156" w:afterLines="50"/>
        <w:jc w:val="center"/>
        <w:outlineLvl w:val="0"/>
        <w:rPr>
          <w:rFonts w:ascii="宋体" w:hAnsi="宋体" w:cs="黑体"/>
          <w:kern w:val="0"/>
          <w:sz w:val="32"/>
          <w:szCs w:val="32"/>
        </w:rPr>
      </w:pPr>
      <w:bookmarkStart w:id="6" w:name="_Toc14567"/>
      <w:bookmarkStart w:id="7" w:name="_Toc18947"/>
      <w:bookmarkStart w:id="8" w:name="_Toc26479"/>
      <w:r>
        <w:rPr>
          <w:rFonts w:hint="eastAsia" w:ascii="宋体" w:hAnsi="宋体" w:cs="黑体"/>
          <w:kern w:val="0"/>
          <w:sz w:val="32"/>
          <w:szCs w:val="32"/>
        </w:rPr>
        <w:t>目录</w:t>
      </w:r>
      <w:bookmarkEnd w:id="6"/>
      <w:bookmarkEnd w:id="7"/>
      <w:bookmarkEnd w:id="8"/>
    </w:p>
    <w:p>
      <w:pPr>
        <w:rPr>
          <w:kern w:val="0"/>
        </w:rPr>
      </w:pPr>
    </w:p>
    <w:p>
      <w:pPr>
        <w:pStyle w:val="50"/>
        <w:tabs>
          <w:tab w:val="right" w:leader="underscore" w:pos="9412"/>
          <w:tab w:val="clear" w:pos="8778"/>
        </w:tabs>
      </w:pPr>
      <w:r>
        <w:rPr>
          <w:rFonts w:ascii="宋体" w:hAnsi="宋体" w:cs="黑体"/>
          <w:sz w:val="21"/>
          <w:szCs w:val="21"/>
        </w:rPr>
        <w:fldChar w:fldCharType="begin"/>
      </w:r>
      <w:r>
        <w:rPr>
          <w:rFonts w:ascii="宋体" w:hAnsi="宋体" w:cs="黑体"/>
          <w:sz w:val="21"/>
          <w:szCs w:val="21"/>
        </w:rPr>
        <w:instrText xml:space="preserve">TOC \o "1-2" \h \u </w:instrText>
      </w:r>
      <w:r>
        <w:rPr>
          <w:rFonts w:ascii="宋体" w:hAnsi="宋体" w:cs="黑体"/>
          <w:sz w:val="21"/>
          <w:szCs w:val="21"/>
        </w:rPr>
        <w:fldChar w:fldCharType="separate"/>
      </w:r>
      <w:r>
        <w:fldChar w:fldCharType="begin"/>
      </w:r>
      <w:r>
        <w:instrText xml:space="preserve"> HYPERLINK \l "_Toc26479" </w:instrText>
      </w:r>
      <w:r>
        <w:fldChar w:fldCharType="separate"/>
      </w:r>
      <w:r>
        <w:rPr>
          <w:rFonts w:hint="eastAsia" w:ascii="宋体" w:hAnsi="宋体" w:cs="黑体"/>
          <w:szCs w:val="32"/>
        </w:rPr>
        <w:t>目录</w:t>
      </w:r>
      <w:r>
        <w:tab/>
      </w:r>
      <w:r>
        <w:fldChar w:fldCharType="begin"/>
      </w:r>
      <w:r>
        <w:instrText xml:space="preserve"> PAGEREF _Toc26479 </w:instrText>
      </w:r>
      <w:r>
        <w:fldChar w:fldCharType="separate"/>
      </w:r>
      <w:r>
        <w:t>2</w:t>
      </w:r>
      <w:r>
        <w:fldChar w:fldCharType="end"/>
      </w:r>
      <w:r>
        <w:fldChar w:fldCharType="end"/>
      </w:r>
    </w:p>
    <w:p>
      <w:pPr>
        <w:pStyle w:val="50"/>
        <w:tabs>
          <w:tab w:val="right" w:leader="underscore" w:pos="9412"/>
          <w:tab w:val="clear" w:pos="8778"/>
        </w:tabs>
      </w:pPr>
      <w:r>
        <w:fldChar w:fldCharType="begin"/>
      </w:r>
      <w:r>
        <w:instrText xml:space="preserve"> HYPERLINK \l "_Toc18955" </w:instrText>
      </w:r>
      <w:r>
        <w:fldChar w:fldCharType="separate"/>
      </w:r>
      <w:r>
        <w:rPr>
          <w:rFonts w:hint="eastAsia" w:ascii="宋体" w:hAnsi="宋体" w:cs="黑体"/>
          <w:szCs w:val="32"/>
        </w:rPr>
        <w:t>第一章  竞争性磋商公告</w:t>
      </w:r>
      <w:r>
        <w:tab/>
      </w:r>
      <w:r>
        <w:fldChar w:fldCharType="begin"/>
      </w:r>
      <w:r>
        <w:instrText xml:space="preserve"> PAGEREF _Toc18955 </w:instrText>
      </w:r>
      <w:r>
        <w:fldChar w:fldCharType="separate"/>
      </w:r>
      <w:r>
        <w:t>3</w:t>
      </w:r>
      <w:r>
        <w:fldChar w:fldCharType="end"/>
      </w:r>
      <w:r>
        <w:fldChar w:fldCharType="end"/>
      </w:r>
    </w:p>
    <w:p>
      <w:pPr>
        <w:pStyle w:val="50"/>
        <w:tabs>
          <w:tab w:val="right" w:leader="underscore" w:pos="9412"/>
          <w:tab w:val="clear" w:pos="8778"/>
        </w:tabs>
      </w:pPr>
      <w:r>
        <w:fldChar w:fldCharType="begin"/>
      </w:r>
      <w:r>
        <w:instrText xml:space="preserve"> HYPERLINK \l "_Toc20080" </w:instrText>
      </w:r>
      <w:r>
        <w:fldChar w:fldCharType="separate"/>
      </w:r>
      <w:r>
        <w:rPr>
          <w:rFonts w:hint="eastAsia" w:ascii="宋体" w:hAnsi="宋体" w:cs="黑体"/>
          <w:szCs w:val="32"/>
        </w:rPr>
        <w:t>第二章供应商须知</w:t>
      </w:r>
      <w:r>
        <w:tab/>
      </w:r>
      <w:r>
        <w:fldChar w:fldCharType="begin"/>
      </w:r>
      <w:r>
        <w:instrText xml:space="preserve"> PAGEREF _Toc20080 </w:instrText>
      </w:r>
      <w:r>
        <w:fldChar w:fldCharType="separate"/>
      </w:r>
      <w:r>
        <w:t>6</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"_Toc11393" </w:instrText>
      </w:r>
      <w:r>
        <w:fldChar w:fldCharType="separate"/>
      </w:r>
      <w:r>
        <w:rPr>
          <w:rFonts w:hint="eastAsia" w:ascii="宋体" w:hAnsi="宋体" w:cs="黑体"/>
          <w:kern w:val="0"/>
          <w:szCs w:val="28"/>
        </w:rPr>
        <w:t>（一）供应商须知前附表</w:t>
      </w:r>
      <w:r>
        <w:tab/>
      </w:r>
      <w:r>
        <w:fldChar w:fldCharType="begin"/>
      </w:r>
      <w:r>
        <w:instrText xml:space="preserve"> PAGEREF _Toc11393 </w:instrText>
      </w:r>
      <w:r>
        <w:fldChar w:fldCharType="separate"/>
      </w:r>
      <w:r>
        <w:t>6</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"_Toc16578" </w:instrText>
      </w:r>
      <w:r>
        <w:fldChar w:fldCharType="separate"/>
      </w:r>
      <w:r>
        <w:rPr>
          <w:rFonts w:hint="eastAsia" w:ascii="宋体" w:hAnsi="宋体" w:cs="黑体"/>
          <w:kern w:val="0"/>
          <w:szCs w:val="28"/>
        </w:rPr>
        <w:t>（二）供应商须知</w:t>
      </w:r>
      <w:r>
        <w:tab/>
      </w:r>
      <w:r>
        <w:fldChar w:fldCharType="begin"/>
      </w:r>
      <w:r>
        <w:instrText xml:space="preserve"> PAGEREF _Toc16578 </w:instrText>
      </w:r>
      <w:r>
        <w:fldChar w:fldCharType="separate"/>
      </w:r>
      <w:r>
        <w:t>8</w:t>
      </w:r>
      <w:r>
        <w:fldChar w:fldCharType="end"/>
      </w:r>
      <w:r>
        <w:fldChar w:fldCharType="end"/>
      </w:r>
    </w:p>
    <w:p>
      <w:pPr>
        <w:pStyle w:val="50"/>
        <w:tabs>
          <w:tab w:val="right" w:leader="underscore" w:pos="9412"/>
          <w:tab w:val="clear" w:pos="8778"/>
        </w:tabs>
      </w:pPr>
      <w:r>
        <w:fldChar w:fldCharType="begin"/>
      </w:r>
      <w:r>
        <w:instrText xml:space="preserve"> HYPERLINK \l "_Toc26641" </w:instrText>
      </w:r>
      <w:r>
        <w:fldChar w:fldCharType="separate"/>
      </w:r>
      <w:r>
        <w:rPr>
          <w:rFonts w:hint="eastAsia" w:ascii="宋体" w:hAnsi="宋体" w:cs="黑体"/>
          <w:szCs w:val="32"/>
        </w:rPr>
        <w:t>第三章评标办法和标准</w:t>
      </w:r>
      <w:r>
        <w:tab/>
      </w:r>
      <w:r>
        <w:fldChar w:fldCharType="begin"/>
      </w:r>
      <w:r>
        <w:instrText xml:space="preserve"> PAGEREF _Toc26641 </w:instrText>
      </w:r>
      <w:r>
        <w:fldChar w:fldCharType="separate"/>
      </w:r>
      <w:r>
        <w:t>18</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"_Toc14242" </w:instrText>
      </w:r>
      <w:r>
        <w:fldChar w:fldCharType="separate"/>
      </w:r>
      <w:r>
        <w:rPr>
          <w:rFonts w:hint="eastAsia" w:ascii="黑体" w:hAnsi="TimesNewRomanPSMT" w:eastAsia="黑体" w:cs="TimesNewRomanPSMT"/>
          <w:kern w:val="0"/>
        </w:rPr>
        <w:t>1 评标方法</w:t>
      </w:r>
      <w:r>
        <w:tab/>
      </w:r>
      <w:r>
        <w:fldChar w:fldCharType="begin"/>
      </w:r>
      <w:r>
        <w:instrText xml:space="preserve"> PAGEREF _Toc14242 </w:instrText>
      </w:r>
      <w:r>
        <w:fldChar w:fldCharType="separate"/>
      </w:r>
      <w:r>
        <w:t>18</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"_Toc25444" </w:instrText>
      </w:r>
      <w:r>
        <w:fldChar w:fldCharType="separate"/>
      </w:r>
      <w:r>
        <w:rPr>
          <w:rFonts w:hint="eastAsia" w:ascii="黑体" w:hAnsi="TimesNewRomanPSMT" w:eastAsia="黑体" w:cs="TimesNewRomanPSMT"/>
          <w:kern w:val="0"/>
        </w:rPr>
        <w:t>2 评审标准</w:t>
      </w:r>
      <w:r>
        <w:tab/>
      </w:r>
      <w:r>
        <w:fldChar w:fldCharType="begin"/>
      </w:r>
      <w:r>
        <w:instrText xml:space="preserve"> PAGEREF _Toc25444 </w:instrText>
      </w:r>
      <w:r>
        <w:fldChar w:fldCharType="separate"/>
      </w:r>
      <w:r>
        <w:t>18</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"_Toc4075" </w:instrText>
      </w:r>
      <w:r>
        <w:fldChar w:fldCharType="separate"/>
      </w:r>
      <w:r>
        <w:rPr>
          <w:rFonts w:hint="eastAsia" w:ascii="黑体" w:hAnsi="TimesNewRomanPSMT" w:eastAsia="黑体" w:cs="TimesNewRomanPSMT"/>
          <w:kern w:val="0"/>
        </w:rPr>
        <w:t>3 评审程序</w:t>
      </w:r>
      <w:r>
        <w:tab/>
      </w:r>
      <w:r>
        <w:fldChar w:fldCharType="begin"/>
      </w:r>
      <w:r>
        <w:instrText xml:space="preserve"> PAGEREF _Toc4075 </w:instrText>
      </w:r>
      <w:r>
        <w:fldChar w:fldCharType="separate"/>
      </w:r>
      <w:r>
        <w:t>18</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"_Toc15710" </w:instrText>
      </w:r>
      <w:r>
        <w:fldChar w:fldCharType="separate"/>
      </w:r>
      <w:r>
        <w:rPr>
          <w:rFonts w:hint="eastAsia" w:ascii="黑体" w:hAnsi="TimesNewRomanPSMT" w:eastAsia="黑体" w:cs="TimesNewRomanPSMT"/>
          <w:kern w:val="0"/>
        </w:rPr>
        <w:t>3.1 资格审查及符合性审查</w:t>
      </w:r>
      <w:r>
        <w:tab/>
      </w:r>
      <w:r>
        <w:fldChar w:fldCharType="begin"/>
      </w:r>
      <w:r>
        <w:instrText xml:space="preserve"> PAGEREF _Toc15710 </w:instrText>
      </w:r>
      <w:r>
        <w:fldChar w:fldCharType="separate"/>
      </w:r>
      <w:r>
        <w:t>19</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"_Toc5281" </w:instrText>
      </w:r>
      <w:r>
        <w:fldChar w:fldCharType="separate"/>
      </w:r>
      <w:r>
        <w:rPr>
          <w:rFonts w:hint="eastAsia" w:ascii="黑体" w:hAnsi="TimesNewRomanPSMT" w:eastAsia="黑体" w:cs="TimesNewRomanPSMT"/>
          <w:kern w:val="0"/>
        </w:rPr>
        <w:t>3.2 磋商</w:t>
      </w:r>
      <w:r>
        <w:tab/>
      </w:r>
      <w:r>
        <w:fldChar w:fldCharType="begin"/>
      </w:r>
      <w:r>
        <w:instrText xml:space="preserve"> PAGEREF _Toc5281 </w:instrText>
      </w:r>
      <w:r>
        <w:fldChar w:fldCharType="separate"/>
      </w:r>
      <w:r>
        <w:t>19</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"_Toc17907" </w:instrText>
      </w:r>
      <w:r>
        <w:fldChar w:fldCharType="separate"/>
      </w:r>
      <w:r>
        <w:rPr>
          <w:rFonts w:hint="eastAsia" w:ascii="黑体" w:hAnsi="TimesNewRomanPSMT" w:eastAsia="黑体" w:cs="TimesNewRomanPSMT"/>
          <w:kern w:val="0"/>
        </w:rPr>
        <w:t>3.3 评审</w:t>
      </w:r>
      <w:r>
        <w:tab/>
      </w:r>
      <w:r>
        <w:fldChar w:fldCharType="begin"/>
      </w:r>
      <w:r>
        <w:instrText xml:space="preserve"> PAGEREF _Toc17907 </w:instrText>
      </w:r>
      <w:r>
        <w:fldChar w:fldCharType="separate"/>
      </w:r>
      <w:r>
        <w:t>19</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"_Toc19167" </w:instrText>
      </w:r>
      <w:r>
        <w:fldChar w:fldCharType="separate"/>
      </w:r>
      <w:r>
        <w:rPr>
          <w:szCs w:val="28"/>
        </w:rPr>
        <w:t>附表一资格审查表</w:t>
      </w:r>
      <w:r>
        <w:tab/>
      </w:r>
      <w:r>
        <w:fldChar w:fldCharType="begin"/>
      </w:r>
      <w:r>
        <w:instrText xml:space="preserve"> PAGEREF _Toc19167 </w:instrText>
      </w:r>
      <w:r>
        <w:fldChar w:fldCharType="separate"/>
      </w:r>
      <w:r>
        <w:t>20</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"_Toc30435" </w:instrText>
      </w:r>
      <w:r>
        <w:fldChar w:fldCharType="separate"/>
      </w:r>
      <w:r>
        <w:rPr>
          <w:rFonts w:hint="eastAsia"/>
          <w:szCs w:val="28"/>
        </w:rPr>
        <w:t xml:space="preserve">附表二 </w:t>
      </w:r>
      <w:r>
        <w:rPr>
          <w:szCs w:val="28"/>
        </w:rPr>
        <w:t>符合性审查表</w:t>
      </w:r>
      <w:r>
        <w:tab/>
      </w:r>
      <w:r>
        <w:fldChar w:fldCharType="begin"/>
      </w:r>
      <w:r>
        <w:instrText xml:space="preserve"> PAGEREF _Toc30435 </w:instrText>
      </w:r>
      <w:r>
        <w:fldChar w:fldCharType="separate"/>
      </w:r>
      <w:r>
        <w:t>21</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"_Toc29229" </w:instrText>
      </w:r>
      <w:r>
        <w:fldChar w:fldCharType="separate"/>
      </w:r>
      <w:r>
        <w:rPr>
          <w:szCs w:val="28"/>
        </w:rPr>
        <w:t>附表</w:t>
      </w:r>
      <w:r>
        <w:rPr>
          <w:rFonts w:hint="eastAsia"/>
          <w:szCs w:val="28"/>
        </w:rPr>
        <w:t xml:space="preserve">三 </w:t>
      </w:r>
      <w:r>
        <w:rPr>
          <w:szCs w:val="28"/>
        </w:rPr>
        <w:t>商务评审因素及分值分配表</w:t>
      </w:r>
      <w:r>
        <w:tab/>
      </w:r>
      <w:r>
        <w:fldChar w:fldCharType="begin"/>
      </w:r>
      <w:r>
        <w:instrText xml:space="preserve"> PAGEREF _Toc29229 </w:instrText>
      </w:r>
      <w:r>
        <w:fldChar w:fldCharType="separate"/>
      </w:r>
      <w:r>
        <w:t>22</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"_Toc13114" </w:instrText>
      </w:r>
      <w:r>
        <w:fldChar w:fldCharType="separate"/>
      </w:r>
      <w:r>
        <w:rPr>
          <w:rFonts w:hint="eastAsia"/>
          <w:szCs w:val="28"/>
        </w:rPr>
        <w:t xml:space="preserve">附件四 </w:t>
      </w:r>
      <w:r>
        <w:rPr>
          <w:szCs w:val="28"/>
        </w:rPr>
        <w:t>技术评审因素及分值分配</w:t>
      </w:r>
      <w:r>
        <w:tab/>
      </w:r>
      <w:r>
        <w:fldChar w:fldCharType="begin"/>
      </w:r>
      <w:r>
        <w:instrText xml:space="preserve"> PAGEREF _Toc13114 </w:instrText>
      </w:r>
      <w:r>
        <w:fldChar w:fldCharType="separate"/>
      </w:r>
      <w:r>
        <w:t>23</w:t>
      </w:r>
      <w:r>
        <w:fldChar w:fldCharType="end"/>
      </w:r>
      <w:r>
        <w:fldChar w:fldCharType="end"/>
      </w:r>
    </w:p>
    <w:p>
      <w:pPr>
        <w:pStyle w:val="50"/>
        <w:tabs>
          <w:tab w:val="right" w:leader="underscore" w:pos="9412"/>
          <w:tab w:val="clear" w:pos="8778"/>
        </w:tabs>
      </w:pPr>
      <w:r>
        <w:fldChar w:fldCharType="begin"/>
      </w:r>
      <w:r>
        <w:instrText xml:space="preserve"> HYPERLINK \l "_Toc1160" </w:instrText>
      </w:r>
      <w:r>
        <w:fldChar w:fldCharType="separate"/>
      </w:r>
      <w:r>
        <w:rPr>
          <w:rFonts w:hint="eastAsia" w:hAnsi="宋体" w:cs="黑体"/>
          <w:szCs w:val="24"/>
        </w:rPr>
        <w:t>第四章  合同条款</w:t>
      </w:r>
      <w:r>
        <w:tab/>
      </w:r>
      <w:r>
        <w:fldChar w:fldCharType="begin"/>
      </w:r>
      <w:r>
        <w:instrText xml:space="preserve"> PAGEREF _Toc1160 </w:instrText>
      </w:r>
      <w:r>
        <w:fldChar w:fldCharType="separate"/>
      </w:r>
      <w:r>
        <w:t>25</w:t>
      </w:r>
      <w:r>
        <w:fldChar w:fldCharType="end"/>
      </w:r>
      <w:r>
        <w:fldChar w:fldCharType="end"/>
      </w:r>
    </w:p>
    <w:p>
      <w:pPr>
        <w:pStyle w:val="50"/>
        <w:tabs>
          <w:tab w:val="right" w:leader="underscore" w:pos="9412"/>
          <w:tab w:val="clear" w:pos="8778"/>
        </w:tabs>
      </w:pPr>
      <w:r>
        <w:fldChar w:fldCharType="begin"/>
      </w:r>
      <w:r>
        <w:instrText xml:space="preserve"> HYPERLINK \l "_Toc2995" </w:instrText>
      </w:r>
      <w:r>
        <w:fldChar w:fldCharType="separate"/>
      </w:r>
      <w:r>
        <w:rPr>
          <w:rFonts w:hint="eastAsia"/>
        </w:rPr>
        <w:t>第五章采购需求</w:t>
      </w:r>
      <w:r>
        <w:tab/>
      </w:r>
      <w:r>
        <w:fldChar w:fldCharType="begin"/>
      </w:r>
      <w:r>
        <w:instrText xml:space="preserve"> PAGEREF _Toc2995 </w:instrText>
      </w:r>
      <w:r>
        <w:fldChar w:fldCharType="separate"/>
      </w:r>
      <w:r>
        <w:t>33</w:t>
      </w:r>
      <w:r>
        <w:fldChar w:fldCharType="end"/>
      </w:r>
      <w:r>
        <w:fldChar w:fldCharType="end"/>
      </w:r>
    </w:p>
    <w:p>
      <w:pPr>
        <w:pStyle w:val="50"/>
        <w:tabs>
          <w:tab w:val="right" w:leader="underscore" w:pos="9412"/>
          <w:tab w:val="clear" w:pos="8778"/>
        </w:tabs>
      </w:pPr>
      <w:r>
        <w:fldChar w:fldCharType="begin"/>
      </w:r>
      <w:r>
        <w:instrText xml:space="preserve"> HYPERLINK \l "_Toc7071" </w:instrText>
      </w:r>
      <w:r>
        <w:fldChar w:fldCharType="separate"/>
      </w:r>
      <w:r>
        <w:rPr>
          <w:rFonts w:hint="eastAsia"/>
          <w:szCs w:val="44"/>
        </w:rPr>
        <w:t>第六章响应文件格式</w:t>
      </w:r>
      <w:r>
        <w:tab/>
      </w:r>
      <w:r>
        <w:fldChar w:fldCharType="begin"/>
      </w:r>
      <w:r>
        <w:instrText xml:space="preserve"> PAGEREF _Toc7071 </w:instrText>
      </w:r>
      <w:r>
        <w:fldChar w:fldCharType="separate"/>
      </w:r>
      <w:r>
        <w:t>35</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"_Toc30594" </w:instrText>
      </w:r>
      <w:r>
        <w:fldChar w:fldCharType="separate"/>
      </w:r>
      <w:r>
        <w:rPr>
          <w:szCs w:val="30"/>
        </w:rPr>
        <w:t>评</w:t>
      </w:r>
      <w:r>
        <w:rPr>
          <w:rFonts w:hint="eastAsia"/>
          <w:szCs w:val="30"/>
        </w:rPr>
        <w:t>审</w:t>
      </w:r>
      <w:r>
        <w:rPr>
          <w:szCs w:val="30"/>
        </w:rPr>
        <w:t>索引</w:t>
      </w:r>
      <w:r>
        <w:tab/>
      </w:r>
      <w:r>
        <w:fldChar w:fldCharType="begin"/>
      </w:r>
      <w:r>
        <w:instrText xml:space="preserve"> PAGEREF _Toc30594 </w:instrText>
      </w:r>
      <w:r>
        <w:fldChar w:fldCharType="separate"/>
      </w:r>
      <w:r>
        <w:t>36</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"_Toc3351" </w:instrText>
      </w:r>
      <w:r>
        <w:fldChar w:fldCharType="separate"/>
      </w:r>
      <w:r>
        <w:rPr>
          <w:rFonts w:hint="eastAsia"/>
        </w:rPr>
        <w:t xml:space="preserve">附件 1 </w:t>
      </w:r>
      <w:r>
        <w:t>报价函</w:t>
      </w:r>
      <w:r>
        <w:rPr>
          <w:i/>
        </w:rPr>
        <w:t>及</w:t>
      </w:r>
      <w:r>
        <w:t>报价函附录</w:t>
      </w:r>
      <w:r>
        <w:tab/>
      </w:r>
      <w:r>
        <w:fldChar w:fldCharType="begin"/>
      </w:r>
      <w:r>
        <w:instrText xml:space="preserve"> PAGEREF _Toc3351 </w:instrText>
      </w:r>
      <w:r>
        <w:fldChar w:fldCharType="separate"/>
      </w:r>
      <w:r>
        <w:t>37</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"_Toc11272" </w:instrText>
      </w:r>
      <w:r>
        <w:fldChar w:fldCharType="separate"/>
      </w:r>
      <w:r>
        <w:rPr>
          <w:rFonts w:hint="eastAsia"/>
        </w:rPr>
        <w:t>附件 2 法定代表人身份证明</w:t>
      </w:r>
      <w:r>
        <w:tab/>
      </w:r>
      <w:r>
        <w:fldChar w:fldCharType="begin"/>
      </w:r>
      <w:r>
        <w:instrText xml:space="preserve"> PAGEREF _Toc11272 </w:instrText>
      </w:r>
      <w:r>
        <w:fldChar w:fldCharType="separate"/>
      </w:r>
      <w:r>
        <w:t>39</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"_Toc24022" </w:instrText>
      </w:r>
      <w:r>
        <w:fldChar w:fldCharType="separate"/>
      </w:r>
      <w:r>
        <w:rPr>
          <w:rFonts w:hint="eastAsia"/>
        </w:rPr>
        <w:t>附件 3 授权委托书</w:t>
      </w:r>
      <w:r>
        <w:tab/>
      </w:r>
      <w:r>
        <w:fldChar w:fldCharType="begin"/>
      </w:r>
      <w:r>
        <w:instrText xml:space="preserve"> PAGEREF _Toc24022 </w:instrText>
      </w:r>
      <w:r>
        <w:fldChar w:fldCharType="separate"/>
      </w:r>
      <w:r>
        <w:t>40</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"_Toc21368" </w:instrText>
      </w:r>
      <w:r>
        <w:fldChar w:fldCharType="separate"/>
      </w:r>
      <w:r>
        <w:rPr>
          <w:rFonts w:hint="eastAsia"/>
        </w:rPr>
        <w:t>附件 4 磋商保证金</w:t>
      </w:r>
      <w:r>
        <w:tab/>
      </w:r>
      <w:r>
        <w:fldChar w:fldCharType="begin"/>
      </w:r>
      <w:r>
        <w:instrText xml:space="preserve"> PAGEREF _Toc21368 </w:instrText>
      </w:r>
      <w:r>
        <w:fldChar w:fldCharType="separate"/>
      </w:r>
      <w:r>
        <w:t>41</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"_Toc27804" </w:instrText>
      </w:r>
      <w:r>
        <w:fldChar w:fldCharType="separate"/>
      </w:r>
      <w:r>
        <w:rPr>
          <w:rFonts w:hint="eastAsia"/>
        </w:rPr>
        <w:t>附件 5 分项报价表（若有）</w:t>
      </w:r>
      <w:r>
        <w:tab/>
      </w:r>
      <w:r>
        <w:fldChar w:fldCharType="begin"/>
      </w:r>
      <w:r>
        <w:instrText xml:space="preserve"> PAGEREF _Toc27804 </w:instrText>
      </w:r>
      <w:r>
        <w:fldChar w:fldCharType="separate"/>
      </w:r>
      <w:r>
        <w:t>42</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"_Toc8583" </w:instrText>
      </w:r>
      <w:r>
        <w:fldChar w:fldCharType="separate"/>
      </w:r>
      <w:r>
        <w:t>附件</w:t>
      </w:r>
      <w:r>
        <w:rPr>
          <w:rFonts w:hint="eastAsia"/>
        </w:rPr>
        <w:t xml:space="preserve"> 6</w:t>
      </w:r>
      <w:r>
        <w:t>商务、合同条款偏差表</w:t>
      </w:r>
      <w:r>
        <w:tab/>
      </w:r>
      <w:r>
        <w:fldChar w:fldCharType="begin"/>
      </w:r>
      <w:r>
        <w:instrText xml:space="preserve"> PAGEREF _Toc8583 </w:instrText>
      </w:r>
      <w:r>
        <w:fldChar w:fldCharType="separate"/>
      </w:r>
      <w:r>
        <w:t>43</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"_Toc30325" </w:instrText>
      </w:r>
      <w:r>
        <w:fldChar w:fldCharType="separate"/>
      </w:r>
      <w:r>
        <w:rPr>
          <w:rFonts w:hint="eastAsia" w:ascii="宋体" w:hAnsi="宋体" w:cs="宋体"/>
        </w:rPr>
        <w:t xml:space="preserve">附件7 </w:t>
      </w:r>
      <w:r>
        <w:t>供应商基本情况表</w:t>
      </w:r>
      <w:r>
        <w:tab/>
      </w:r>
      <w:r>
        <w:fldChar w:fldCharType="begin"/>
      </w:r>
      <w:r>
        <w:instrText xml:space="preserve"> PAGEREF _Toc30325 </w:instrText>
      </w:r>
      <w:r>
        <w:fldChar w:fldCharType="separate"/>
      </w:r>
      <w:r>
        <w:t>44</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"_Toc32396" </w:instrText>
      </w:r>
      <w:r>
        <w:fldChar w:fldCharType="separate"/>
      </w:r>
      <w:r>
        <w:rPr>
          <w:rFonts w:ascii="宋体" w:hAnsi="宋体" w:cs="宋体"/>
        </w:rPr>
        <w:t>附件</w:t>
      </w:r>
      <w:r>
        <w:rPr>
          <w:rFonts w:hint="eastAsia" w:ascii="宋体" w:hAnsi="宋体" w:cs="宋体"/>
        </w:rPr>
        <w:t>8 资格证明文件</w:t>
      </w:r>
      <w:r>
        <w:tab/>
      </w:r>
      <w:r>
        <w:fldChar w:fldCharType="begin"/>
      </w:r>
      <w:r>
        <w:instrText xml:space="preserve"> PAGEREF _Toc32396 </w:instrText>
      </w:r>
      <w:r>
        <w:fldChar w:fldCharType="separate"/>
      </w:r>
      <w:r>
        <w:t>45</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"_Toc27603" </w:instrText>
      </w:r>
      <w:r>
        <w:fldChar w:fldCharType="separate"/>
      </w:r>
      <w:r>
        <w:rPr>
          <w:rFonts w:hint="eastAsia"/>
          <w:bCs/>
        </w:rPr>
        <w:t xml:space="preserve">附件 9 </w:t>
      </w:r>
      <w:r>
        <w:rPr>
          <w:bCs/>
        </w:rPr>
        <w:t>供应商</w:t>
      </w:r>
      <w:r>
        <w:rPr>
          <w:rFonts w:hint="eastAsia"/>
          <w:bCs/>
        </w:rPr>
        <w:t>服务</w:t>
      </w:r>
      <w:r>
        <w:rPr>
          <w:bCs/>
        </w:rPr>
        <w:t>业绩</w:t>
      </w:r>
      <w:r>
        <w:rPr>
          <w:rFonts w:hint="eastAsia"/>
          <w:bCs/>
        </w:rPr>
        <w:t>一览</w:t>
      </w:r>
      <w:r>
        <w:rPr>
          <w:bCs/>
        </w:rPr>
        <w:t>表</w:t>
      </w:r>
      <w:r>
        <w:tab/>
      </w:r>
      <w:r>
        <w:fldChar w:fldCharType="begin"/>
      </w:r>
      <w:r>
        <w:instrText xml:space="preserve"> PAGEREF _Toc27603 </w:instrText>
      </w:r>
      <w:r>
        <w:fldChar w:fldCharType="separate"/>
      </w:r>
      <w:r>
        <w:t>53</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"_Toc1221" </w:instrText>
      </w:r>
      <w:r>
        <w:fldChar w:fldCharType="separate"/>
      </w:r>
      <w:r>
        <w:rPr>
          <w:rFonts w:hint="eastAsia"/>
        </w:rPr>
        <w:t>附件10 小微企业、监狱企业、残疾人福利单位的声明函或证明材料</w:t>
      </w:r>
      <w:r>
        <w:tab/>
      </w:r>
      <w:r>
        <w:fldChar w:fldCharType="begin"/>
      </w:r>
      <w:r>
        <w:instrText xml:space="preserve"> PAGEREF _Toc1221 </w:instrText>
      </w:r>
      <w:r>
        <w:fldChar w:fldCharType="separate"/>
      </w:r>
      <w:r>
        <w:t>54</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"_Toc844" </w:instrText>
      </w:r>
      <w:r>
        <w:fldChar w:fldCharType="separate"/>
      </w:r>
      <w:r>
        <w:rPr>
          <w:rFonts w:hint="eastAsia"/>
        </w:rPr>
        <w:t xml:space="preserve">附件11 </w:t>
      </w:r>
      <w:r>
        <w:t>响应承诺书</w:t>
      </w:r>
      <w:r>
        <w:tab/>
      </w:r>
      <w:r>
        <w:fldChar w:fldCharType="begin"/>
      </w:r>
      <w:r>
        <w:instrText xml:space="preserve"> PAGEREF _Toc844 </w:instrText>
      </w:r>
      <w:r>
        <w:fldChar w:fldCharType="separate"/>
      </w:r>
      <w:r>
        <w:t>57</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"_Toc10392" </w:instrText>
      </w:r>
      <w:r>
        <w:fldChar w:fldCharType="separate"/>
      </w:r>
      <w:r>
        <w:rPr>
          <w:rFonts w:hint="eastAsia"/>
        </w:rPr>
        <w:t xml:space="preserve">附件12 </w:t>
      </w:r>
      <w:r>
        <w:t>技术偏</w:t>
      </w:r>
      <w:r>
        <w:rPr>
          <w:rFonts w:hint="eastAsia"/>
        </w:rPr>
        <w:t>离</w:t>
      </w:r>
      <w:r>
        <w:t>表</w:t>
      </w:r>
      <w:r>
        <w:tab/>
      </w:r>
      <w:r>
        <w:fldChar w:fldCharType="begin"/>
      </w:r>
      <w:r>
        <w:instrText xml:space="preserve"> PAGEREF _Toc10392 </w:instrText>
      </w:r>
      <w:r>
        <w:fldChar w:fldCharType="separate"/>
      </w:r>
      <w:r>
        <w:t>58</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"_Toc8001" </w:instrText>
      </w:r>
      <w:r>
        <w:fldChar w:fldCharType="separate"/>
      </w:r>
      <w:r>
        <w:rPr>
          <w:rFonts w:hint="eastAsia"/>
        </w:rPr>
        <w:t>附件13 服务的主要内容、服务标准、工作思路、服务方案等要求的响应</w:t>
      </w:r>
      <w:r>
        <w:tab/>
      </w:r>
      <w:r>
        <w:fldChar w:fldCharType="begin"/>
      </w:r>
      <w:r>
        <w:instrText xml:space="preserve"> PAGEREF _Toc8001 </w:instrText>
      </w:r>
      <w:r>
        <w:fldChar w:fldCharType="separate"/>
      </w:r>
      <w:r>
        <w:t>59</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"_Toc27657" </w:instrText>
      </w:r>
      <w:r>
        <w:fldChar w:fldCharType="separate"/>
      </w:r>
      <w:r>
        <w:rPr>
          <w:rFonts w:hint="eastAsia"/>
        </w:rPr>
        <w:t>附件14 拟派服务实施人员表</w:t>
      </w:r>
      <w:r>
        <w:tab/>
      </w:r>
      <w:r>
        <w:fldChar w:fldCharType="begin"/>
      </w:r>
      <w:r>
        <w:instrText xml:space="preserve"> PAGEREF _Toc27657 </w:instrText>
      </w:r>
      <w:r>
        <w:fldChar w:fldCharType="separate"/>
      </w:r>
      <w:r>
        <w:t>60</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"_Toc1555" </w:instrText>
      </w:r>
      <w:r>
        <w:fldChar w:fldCharType="separate"/>
      </w:r>
      <w:r>
        <w:rPr>
          <w:rFonts w:hint="eastAsia"/>
        </w:rPr>
        <w:t>附件15 供应商其他材料或承诺（如有）</w:t>
      </w:r>
      <w:r>
        <w:tab/>
      </w:r>
      <w:r>
        <w:fldChar w:fldCharType="begin"/>
      </w:r>
      <w:r>
        <w:instrText xml:space="preserve"> PAGEREF _Toc1555 </w:instrText>
      </w:r>
      <w:r>
        <w:fldChar w:fldCharType="separate"/>
      </w:r>
      <w:r>
        <w:t>61</w:t>
      </w:r>
      <w:r>
        <w:fldChar w:fldCharType="end"/>
      </w:r>
      <w:r>
        <w:fldChar w:fldCharType="end"/>
      </w:r>
    </w:p>
    <w:p>
      <w:pPr>
        <w:pStyle w:val="62"/>
        <w:tabs>
          <w:tab w:val="right" w:leader="underscore" w:pos="9412"/>
          <w:tab w:val="clear" w:pos="8778"/>
        </w:tabs>
        <w:ind w:left="24" w:hanging="5"/>
      </w:pPr>
      <w:r>
        <w:fldChar w:fldCharType="begin"/>
      </w:r>
      <w:r>
        <w:instrText xml:space="preserve"> HYPERLINK \l "_Toc16066" </w:instrText>
      </w:r>
      <w:r>
        <w:fldChar w:fldCharType="separate"/>
      </w:r>
      <w:r>
        <w:rPr>
          <w:rFonts w:hint="eastAsia"/>
        </w:rPr>
        <w:t>附件16最后报价函</w:t>
      </w:r>
      <w:r>
        <w:tab/>
      </w:r>
      <w:r>
        <w:fldChar w:fldCharType="begin"/>
      </w:r>
      <w:r>
        <w:instrText xml:space="preserve"> PAGEREF _Toc16066 </w:instrText>
      </w:r>
      <w:r>
        <w:fldChar w:fldCharType="separate"/>
      </w:r>
      <w:r>
        <w:t>62</w:t>
      </w:r>
      <w:r>
        <w:fldChar w:fldCharType="end"/>
      </w:r>
      <w:r>
        <w:fldChar w:fldCharType="end"/>
      </w:r>
    </w:p>
    <w:p>
      <w:pPr>
        <w:autoSpaceDE w:val="0"/>
        <w:autoSpaceDN w:val="0"/>
        <w:adjustRightInd w:val="0"/>
        <w:snapToGrid w:val="0"/>
        <w:spacing w:after="156" w:afterLines="50"/>
        <w:jc w:val="center"/>
        <w:outlineLvl w:val="0"/>
        <w:rPr>
          <w:rFonts w:ascii="宋体" w:hAnsi="宋体" w:cs="黑体"/>
          <w:kern w:val="0"/>
          <w:sz w:val="32"/>
          <w:szCs w:val="32"/>
        </w:rPr>
        <w:sectPr>
          <w:footerReference r:id="rId3" w:type="default"/>
          <w:pgSz w:w="11906" w:h="16838"/>
          <w:pgMar w:top="1440" w:right="1247" w:bottom="1361" w:left="1247" w:header="851" w:footer="992" w:gutter="0"/>
          <w:cols w:space="720" w:num="1"/>
          <w:docGrid w:type="lines" w:linePitch="312" w:charSpace="0"/>
        </w:sectPr>
      </w:pPr>
      <w:r>
        <w:rPr>
          <w:rFonts w:ascii="宋体" w:hAnsi="宋体" w:cs="黑体"/>
          <w:kern w:val="0"/>
          <w:szCs w:val="21"/>
        </w:rPr>
        <w:fldChar w:fldCharType="end"/>
      </w:r>
    </w:p>
    <w:p>
      <w:pPr>
        <w:autoSpaceDE w:val="0"/>
        <w:autoSpaceDN w:val="0"/>
        <w:adjustRightInd w:val="0"/>
        <w:snapToGrid w:val="0"/>
        <w:spacing w:after="156" w:afterLines="50"/>
        <w:jc w:val="center"/>
        <w:outlineLvl w:val="0"/>
        <w:rPr>
          <w:rFonts w:ascii="宋体" w:hAnsi="宋体" w:cs="黑体"/>
          <w:kern w:val="0"/>
          <w:sz w:val="32"/>
          <w:szCs w:val="32"/>
        </w:rPr>
      </w:pPr>
      <w:bookmarkStart w:id="9" w:name="_Toc18955"/>
      <w:bookmarkStart w:id="10" w:name="_Toc28428"/>
      <w:r>
        <w:rPr>
          <w:rFonts w:hint="eastAsia" w:ascii="宋体" w:hAnsi="宋体" w:cs="黑体"/>
          <w:kern w:val="0"/>
          <w:sz w:val="32"/>
          <w:szCs w:val="32"/>
        </w:rPr>
        <w:t>第一章  竞争性磋商公告</w:t>
      </w:r>
      <w:bookmarkEnd w:id="0"/>
      <w:bookmarkEnd w:id="1"/>
      <w:bookmarkEnd w:id="2"/>
      <w:bookmarkEnd w:id="3"/>
      <w:bookmarkEnd w:id="4"/>
      <w:bookmarkEnd w:id="9"/>
      <w:bookmarkEnd w:id="10"/>
    </w:p>
    <w:p>
      <w:pPr>
        <w:jc w:val="center"/>
        <w:rPr>
          <w:sz w:val="24"/>
        </w:rPr>
      </w:pPr>
    </w:p>
    <w:p>
      <w:pPr>
        <w:numPr>
          <w:ilvl w:val="0"/>
          <w:numId w:val="1"/>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受海南省自然资源和规划厅委托，国信国采（海口）招标有限责任公司对海南省海域使用金地方标准制定、海域基准价格制定和评估技术规范编制（项目编号：GXTC-CZ-D1-2052014）项目以竞争性磋商采购方式组织采购，欢迎符合条件的供应商参加磋商。</w:t>
      </w:r>
    </w:p>
    <w:p>
      <w:pPr>
        <w:numPr>
          <w:ilvl w:val="0"/>
          <w:numId w:val="1"/>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采购项目的名称、预算金额及最高限价</w:t>
      </w:r>
    </w:p>
    <w:p>
      <w:pPr>
        <w:spacing w:line="360" w:lineRule="auto"/>
        <w:ind w:left="2100" w:leftChars="200" w:hanging="1680" w:hangingChars="700"/>
        <w:rPr>
          <w:sz w:val="24"/>
        </w:rPr>
      </w:pPr>
      <w:r>
        <w:rPr>
          <w:rFonts w:hint="eastAsia"/>
          <w:sz w:val="24"/>
        </w:rPr>
        <w:t>采购项目名称：海南省海域使用金地方标准制定、海域基准价格制定和评估技术规范编制。</w:t>
      </w:r>
    </w:p>
    <w:p>
      <w:pPr>
        <w:spacing w:line="360" w:lineRule="auto"/>
        <w:ind w:left="420"/>
        <w:rPr>
          <w:sz w:val="24"/>
        </w:rPr>
      </w:pPr>
      <w:r>
        <w:rPr>
          <w:rFonts w:hint="eastAsia"/>
          <w:sz w:val="24"/>
        </w:rPr>
        <w:t>预算金额：3,000,000.00元。</w:t>
      </w:r>
    </w:p>
    <w:p>
      <w:pPr>
        <w:spacing w:line="360" w:lineRule="auto"/>
        <w:ind w:left="420"/>
        <w:rPr>
          <w:sz w:val="24"/>
        </w:rPr>
      </w:pPr>
      <w:r>
        <w:rPr>
          <w:rFonts w:hint="eastAsia"/>
          <w:sz w:val="24"/>
        </w:rPr>
        <w:t>最高限价：3,000,000.00元。</w:t>
      </w:r>
    </w:p>
    <w:p>
      <w:pPr>
        <w:numPr>
          <w:ilvl w:val="0"/>
          <w:numId w:val="1"/>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项目概况；</w:t>
      </w:r>
    </w:p>
    <w:p>
      <w:pPr>
        <w:tabs>
          <w:tab w:val="left" w:pos="709"/>
        </w:tabs>
        <w:autoSpaceDE w:val="0"/>
        <w:autoSpaceDN w:val="0"/>
        <w:adjustRightInd w:val="0"/>
        <w:snapToGrid w:val="0"/>
        <w:spacing w:after="156" w:afterLines="50"/>
        <w:ind w:left="1908" w:leftChars="337" w:hanging="1200" w:hangingChars="500"/>
        <w:rPr>
          <w:rFonts w:ascii="宋体" w:hAnsi="宋体" w:cs="黑体"/>
          <w:kern w:val="0"/>
          <w:sz w:val="24"/>
        </w:rPr>
      </w:pPr>
      <w:r>
        <w:rPr>
          <w:rFonts w:hint="eastAsia" w:ascii="宋体" w:hAnsi="宋体" w:cs="黑体"/>
          <w:kern w:val="0"/>
          <w:sz w:val="24"/>
        </w:rPr>
        <w:t>服务名称：海南省海域使用金地方标准制定、海域基准价格制定和评估技术规范编制</w:t>
      </w:r>
    </w:p>
    <w:p>
      <w:pPr>
        <w:widowControl/>
        <w:spacing w:line="460" w:lineRule="atLeast"/>
        <w:ind w:left="1908" w:leftChars="341" w:hanging="1192" w:hangingChars="497"/>
        <w:jc w:val="left"/>
        <w:rPr>
          <w:rFonts w:ascii="宋体" w:hAnsi="宋体" w:cs="黑体"/>
          <w:kern w:val="0"/>
          <w:sz w:val="24"/>
        </w:rPr>
      </w:pPr>
      <w:r>
        <w:rPr>
          <w:rFonts w:hint="eastAsia" w:ascii="宋体" w:hAnsi="宋体" w:cs="黑体"/>
          <w:kern w:val="0"/>
          <w:sz w:val="24"/>
        </w:rPr>
        <w:t>采购需求：(1)海域定级，为制定海南省海域使用金制定和海南省海域基准价格制定提供依据(2)海南省海域使用地方标准制定，为审批的方式出让海域使用金提供收费依据，也为海洋价格评估提供基础依据(3)海域基准价格和基准价格修正体系建立，为基准价格系数法评价海域价格提供基础依据。（4）编制《海南省海域价格评估技术规范》，为规范海南省海域价格评估，为海南省海域价格的正确科学评估及管理海域市场服务。详见“</w:t>
      </w:r>
      <w:r>
        <w:rPr>
          <w:rFonts w:hint="eastAsia" w:ascii="宋体" w:hAnsi="宋体"/>
          <w:sz w:val="24"/>
        </w:rPr>
        <w:t>第五章采购需求”</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单位：项</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数量：1</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服务期：2021年12月25日前完成。</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服务地点：海南省</w:t>
      </w:r>
    </w:p>
    <w:p>
      <w:pPr>
        <w:tabs>
          <w:tab w:val="left" w:pos="709"/>
        </w:tabs>
        <w:autoSpaceDE w:val="0"/>
        <w:autoSpaceDN w:val="0"/>
        <w:adjustRightInd w:val="0"/>
        <w:snapToGrid w:val="0"/>
        <w:spacing w:after="156" w:afterLines="50"/>
        <w:ind w:left="708" w:leftChars="337"/>
        <w:rPr>
          <w:rFonts w:ascii="宋体" w:hAnsi="宋体" w:cs="黑体"/>
          <w:kern w:val="0"/>
          <w:sz w:val="24"/>
        </w:rPr>
      </w:pPr>
      <w:r>
        <w:rPr>
          <w:rFonts w:hint="eastAsia" w:ascii="宋体" w:hAnsi="宋体" w:cs="黑体"/>
          <w:kern w:val="0"/>
          <w:sz w:val="24"/>
        </w:rPr>
        <w:t>是否接受进口产品： 否</w:t>
      </w:r>
    </w:p>
    <w:p>
      <w:pPr>
        <w:tabs>
          <w:tab w:val="left" w:pos="709"/>
        </w:tabs>
        <w:autoSpaceDE w:val="0"/>
        <w:autoSpaceDN w:val="0"/>
        <w:adjustRightInd w:val="0"/>
        <w:snapToGrid w:val="0"/>
        <w:spacing w:after="156" w:afterLines="50"/>
        <w:ind w:left="708" w:leftChars="337"/>
        <w:rPr>
          <w:i/>
          <w:sz w:val="24"/>
        </w:rPr>
      </w:pPr>
      <w:r>
        <w:rPr>
          <w:rFonts w:hint="eastAsia" w:ascii="宋体" w:hAnsi="宋体" w:cs="黑体"/>
          <w:kern w:val="0"/>
          <w:sz w:val="24"/>
        </w:rPr>
        <w:t>其他：供应商必须对磋商文件要求的所有服务内容进行响应，否则作为无效响应文件处理。</w:t>
      </w:r>
    </w:p>
    <w:p>
      <w:pPr>
        <w:numPr>
          <w:ilvl w:val="0"/>
          <w:numId w:val="1"/>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采购项目执行政府采购政策</w:t>
      </w:r>
    </w:p>
    <w:p>
      <w:pPr>
        <w:numPr>
          <w:ilvl w:val="0"/>
          <w:numId w:val="2"/>
        </w:numPr>
        <w:spacing w:line="360" w:lineRule="auto"/>
        <w:ind w:left="1276" w:hanging="567"/>
        <w:rPr>
          <w:sz w:val="24"/>
        </w:rPr>
      </w:pPr>
      <w:r>
        <w:rPr>
          <w:rFonts w:hint="eastAsia"/>
          <w:sz w:val="24"/>
        </w:rPr>
        <w:t>对小微企业的产品给予价格扣除（监狱企业、残疾人福利性单位视同小微企业；残疾人福利性单位属于小型、微型企业的，不重复享受政策）；</w:t>
      </w:r>
    </w:p>
    <w:p>
      <w:pPr>
        <w:numPr>
          <w:ilvl w:val="0"/>
          <w:numId w:val="1"/>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供应商资格要求</w:t>
      </w:r>
    </w:p>
    <w:p>
      <w:pPr>
        <w:pStyle w:val="256"/>
        <w:numPr>
          <w:ilvl w:val="0"/>
          <w:numId w:val="3"/>
        </w:numPr>
        <w:tabs>
          <w:tab w:val="left" w:pos="709"/>
        </w:tabs>
        <w:autoSpaceDE w:val="0"/>
        <w:autoSpaceDN w:val="0"/>
        <w:adjustRightInd w:val="0"/>
        <w:snapToGrid w:val="0"/>
        <w:spacing w:after="156" w:afterLines="50"/>
        <w:ind w:left="1276" w:hanging="567" w:firstLineChars="0"/>
        <w:rPr>
          <w:rFonts w:cs="黑体" w:asciiTheme="minorEastAsia" w:hAnsiTheme="minorEastAsia" w:eastAsiaTheme="minorEastAsia"/>
          <w:kern w:val="0"/>
          <w:sz w:val="24"/>
        </w:rPr>
      </w:pPr>
      <w:r>
        <w:rPr>
          <w:rFonts w:hint="eastAsia" w:asciiTheme="minorEastAsia" w:hAnsiTheme="minorEastAsia" w:eastAsiaTheme="minorEastAsia"/>
          <w:sz w:val="24"/>
        </w:rPr>
        <w:t>符合《中华人民共和国政府采购法》第二十二条（一）至（六）的规定，即：</w:t>
      </w:r>
    </w:p>
    <w:p>
      <w:pPr>
        <w:pStyle w:val="256"/>
        <w:numPr>
          <w:ilvl w:val="0"/>
          <w:numId w:val="4"/>
        </w:numPr>
        <w:tabs>
          <w:tab w:val="left" w:pos="709"/>
        </w:tabs>
        <w:autoSpaceDE w:val="0"/>
        <w:autoSpaceDN w:val="0"/>
        <w:adjustRightInd w:val="0"/>
        <w:snapToGrid w:val="0"/>
        <w:spacing w:after="156" w:afterLines="50"/>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具有独立承担民事责任的能力； </w:t>
      </w:r>
    </w:p>
    <w:p>
      <w:pPr>
        <w:pStyle w:val="256"/>
        <w:numPr>
          <w:ilvl w:val="0"/>
          <w:numId w:val="4"/>
        </w:numPr>
        <w:tabs>
          <w:tab w:val="left" w:pos="709"/>
        </w:tabs>
        <w:autoSpaceDE w:val="0"/>
        <w:autoSpaceDN w:val="0"/>
        <w:adjustRightInd w:val="0"/>
        <w:snapToGrid w:val="0"/>
        <w:spacing w:after="156" w:afterLines="50"/>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具有良好的商业信誉和健全的财务会计制度； </w:t>
      </w:r>
    </w:p>
    <w:p>
      <w:pPr>
        <w:pStyle w:val="256"/>
        <w:numPr>
          <w:ilvl w:val="0"/>
          <w:numId w:val="4"/>
        </w:numPr>
        <w:tabs>
          <w:tab w:val="left" w:pos="709"/>
        </w:tabs>
        <w:autoSpaceDE w:val="0"/>
        <w:autoSpaceDN w:val="0"/>
        <w:adjustRightInd w:val="0"/>
        <w:snapToGrid w:val="0"/>
        <w:spacing w:after="156" w:afterLines="50"/>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具有履行合同所必需的设备和专业技术能力； </w:t>
      </w:r>
    </w:p>
    <w:p>
      <w:pPr>
        <w:pStyle w:val="256"/>
        <w:numPr>
          <w:ilvl w:val="0"/>
          <w:numId w:val="4"/>
        </w:numPr>
        <w:tabs>
          <w:tab w:val="left" w:pos="709"/>
        </w:tabs>
        <w:autoSpaceDE w:val="0"/>
        <w:autoSpaceDN w:val="0"/>
        <w:adjustRightInd w:val="0"/>
        <w:snapToGrid w:val="0"/>
        <w:spacing w:after="156" w:afterLines="50"/>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有依法缴纳税收和社会保障资金的良好记录； </w:t>
      </w:r>
    </w:p>
    <w:p>
      <w:pPr>
        <w:pStyle w:val="256"/>
        <w:numPr>
          <w:ilvl w:val="0"/>
          <w:numId w:val="4"/>
        </w:numPr>
        <w:tabs>
          <w:tab w:val="left" w:pos="709"/>
        </w:tabs>
        <w:autoSpaceDE w:val="0"/>
        <w:autoSpaceDN w:val="0"/>
        <w:adjustRightInd w:val="0"/>
        <w:snapToGrid w:val="0"/>
        <w:spacing w:after="156" w:afterLines="50"/>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 xml:space="preserve">参加政府采购活动前三年内，在经营活动中没有重大违法记录（重大违法记录是指供应商因违法经营受到刑事处罚或者责令停产停业、吊销许可证或者执照、较大数额罚款等行政处罚）； </w:t>
      </w:r>
    </w:p>
    <w:p>
      <w:pPr>
        <w:pStyle w:val="256"/>
        <w:numPr>
          <w:ilvl w:val="0"/>
          <w:numId w:val="4"/>
        </w:numPr>
        <w:tabs>
          <w:tab w:val="left" w:pos="709"/>
        </w:tabs>
        <w:autoSpaceDE w:val="0"/>
        <w:autoSpaceDN w:val="0"/>
        <w:adjustRightInd w:val="0"/>
        <w:snapToGrid w:val="0"/>
        <w:spacing w:after="156" w:afterLines="50"/>
        <w:ind w:left="2127" w:hanging="851" w:firstLineChars="0"/>
        <w:rPr>
          <w:rFonts w:asciiTheme="minorEastAsia" w:hAnsiTheme="minorEastAsia" w:eastAsiaTheme="minorEastAsia"/>
          <w:sz w:val="24"/>
        </w:rPr>
      </w:pPr>
      <w:r>
        <w:rPr>
          <w:rFonts w:hint="eastAsia" w:asciiTheme="minorEastAsia" w:hAnsiTheme="minorEastAsia" w:eastAsiaTheme="minorEastAsia"/>
          <w:sz w:val="24"/>
        </w:rPr>
        <w:t>法律、行政法规规定的其他条件。</w:t>
      </w:r>
    </w:p>
    <w:p>
      <w:pPr>
        <w:pStyle w:val="256"/>
        <w:numPr>
          <w:ilvl w:val="0"/>
          <w:numId w:val="3"/>
        </w:numPr>
        <w:tabs>
          <w:tab w:val="left" w:pos="709"/>
        </w:tabs>
        <w:autoSpaceDE w:val="0"/>
        <w:autoSpaceDN w:val="0"/>
        <w:adjustRightInd w:val="0"/>
        <w:snapToGrid w:val="0"/>
        <w:spacing w:after="156" w:afterLines="50"/>
        <w:ind w:left="1276" w:hanging="567" w:firstLineChars="0"/>
        <w:rPr>
          <w:rFonts w:asciiTheme="minorEastAsia" w:hAnsiTheme="minorEastAsia" w:eastAsiaTheme="minorEastAsia"/>
          <w:sz w:val="24"/>
        </w:rPr>
      </w:pPr>
      <w:r>
        <w:rPr>
          <w:rFonts w:hint="eastAsia" w:ascii="宋体" w:hAnsi="宋体" w:cs="宋体"/>
          <w:kern w:val="0"/>
          <w:sz w:val="24"/>
          <w:szCs w:val="24"/>
        </w:rPr>
        <w:t>被“信用中国”网站（</w:t>
      </w:r>
      <w:r>
        <w:fldChar w:fldCharType="begin"/>
      </w:r>
      <w:r>
        <w:instrText xml:space="preserve"> HYPERLINK "http://www.creditchina.gov.cn）中列入失信被执行人和/" </w:instrText>
      </w:r>
      <w:r>
        <w:fldChar w:fldCharType="separate"/>
      </w:r>
      <w:r>
        <w:rPr>
          <w:rStyle w:val="84"/>
          <w:rFonts w:hint="default"/>
          <w:color w:val="auto"/>
          <w:kern w:val="0"/>
          <w:sz w:val="24"/>
          <w:szCs w:val="24"/>
          <w:u w:val="none"/>
        </w:rPr>
        <w:t>www.creditchina.gov.cn）中列入失信被执行人和</w:t>
      </w:r>
      <w:r>
        <w:rPr>
          <w:rStyle w:val="84"/>
          <w:rFonts w:hint="default"/>
          <w:color w:val="auto"/>
          <w:kern w:val="0"/>
          <w:sz w:val="24"/>
          <w:szCs w:val="24"/>
          <w:u w:val="none"/>
        </w:rPr>
        <w:fldChar w:fldCharType="end"/>
      </w:r>
      <w:r>
        <w:rPr>
          <w:rFonts w:hint="eastAsia" w:ascii="宋体" w:hAnsi="宋体" w:cs="宋体"/>
          <w:kern w:val="0"/>
          <w:sz w:val="24"/>
          <w:szCs w:val="24"/>
        </w:rPr>
        <w:t>重大税收违法案件当事人名单的供应商、被中国政府采购网（www.ccgp.gov.cn）列入政府采购严重违法失信行为记录名单中被财政部门禁止参加政府采购活动的供应商（处罚决定规定的时间和地域范围内），无资格</w:t>
      </w:r>
      <w:r>
        <w:rPr>
          <w:rFonts w:hint="eastAsia" w:asciiTheme="minorEastAsia" w:hAnsiTheme="minorEastAsia" w:eastAsiaTheme="minorEastAsia" w:cstheme="minorEastAsia"/>
          <w:sz w:val="24"/>
          <w:szCs w:val="24"/>
        </w:rPr>
        <w:t>参加本项目的采购活动。</w:t>
      </w:r>
    </w:p>
    <w:p>
      <w:pPr>
        <w:pStyle w:val="256"/>
        <w:numPr>
          <w:ilvl w:val="0"/>
          <w:numId w:val="3"/>
        </w:numPr>
        <w:tabs>
          <w:tab w:val="left" w:pos="709"/>
        </w:tabs>
        <w:autoSpaceDE w:val="0"/>
        <w:autoSpaceDN w:val="0"/>
        <w:adjustRightInd w:val="0"/>
        <w:snapToGrid w:val="0"/>
        <w:spacing w:after="156" w:afterLines="50"/>
        <w:ind w:left="1276" w:hanging="567" w:firstLineChars="0"/>
        <w:rPr>
          <w:rFonts w:asciiTheme="minorEastAsia" w:hAnsiTheme="minorEastAsia" w:eastAsiaTheme="minorEastAsia"/>
          <w:sz w:val="24"/>
        </w:rPr>
      </w:pPr>
      <w:r>
        <w:rPr>
          <w:rFonts w:hint="eastAsia" w:asciiTheme="minorEastAsia" w:hAnsiTheme="minorEastAsia" w:eastAsiaTheme="minorEastAsia"/>
          <w:sz w:val="24"/>
        </w:rPr>
        <w:t>单位负责人为同一人或者存在控股、管理关系的不同单位，不得同时参加本项目的磋商。为采购项目提供整体设计、规范编制或者项目管理、监理、检测等服务的供应商，不得再参加本项目磋商。</w:t>
      </w:r>
    </w:p>
    <w:p>
      <w:pPr>
        <w:pStyle w:val="256"/>
        <w:numPr>
          <w:ilvl w:val="0"/>
          <w:numId w:val="3"/>
        </w:numPr>
        <w:tabs>
          <w:tab w:val="left" w:pos="709"/>
        </w:tabs>
        <w:autoSpaceDE w:val="0"/>
        <w:autoSpaceDN w:val="0"/>
        <w:adjustRightInd w:val="0"/>
        <w:snapToGrid w:val="0"/>
        <w:spacing w:after="156" w:afterLines="50"/>
        <w:ind w:left="1276" w:hanging="567" w:firstLineChars="0"/>
        <w:rPr>
          <w:rFonts w:asciiTheme="minorEastAsia" w:hAnsiTheme="minorEastAsia" w:eastAsiaTheme="minorEastAsia"/>
          <w:sz w:val="24"/>
        </w:rPr>
      </w:pPr>
      <w:r>
        <w:rPr>
          <w:rFonts w:hint="eastAsia" w:asciiTheme="minorEastAsia" w:hAnsiTheme="minorEastAsia" w:eastAsiaTheme="minorEastAsia"/>
          <w:sz w:val="24"/>
        </w:rPr>
        <w:t>本项目不接受联合体。</w:t>
      </w:r>
    </w:p>
    <w:p>
      <w:pPr>
        <w:numPr>
          <w:ilvl w:val="0"/>
          <w:numId w:val="1"/>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获取磋商文件的时间期限、地点、方式及售价</w:t>
      </w:r>
    </w:p>
    <w:p>
      <w:pPr>
        <w:spacing w:line="360" w:lineRule="auto"/>
        <w:ind w:left="420" w:leftChars="200"/>
        <w:rPr>
          <w:sz w:val="24"/>
        </w:rPr>
      </w:pPr>
      <w:r>
        <w:rPr>
          <w:rFonts w:hint="eastAsia" w:ascii="宋体" w:hAnsi="宋体" w:cs="宋体"/>
          <w:sz w:val="24"/>
        </w:rPr>
        <w:t>6.1</w:t>
      </w:r>
      <w:r>
        <w:rPr>
          <w:rFonts w:ascii="宋体" w:hAnsi="宋体" w:cs="宋体"/>
          <w:sz w:val="24"/>
        </w:rPr>
        <w:t> 请于</w:t>
      </w:r>
      <w:r>
        <w:rPr>
          <w:rFonts w:ascii="宋体" w:hAnsi="宋体" w:cs="宋体"/>
          <w:sz w:val="24"/>
          <w:highlight w:val="none"/>
        </w:rPr>
        <w:t>2020年</w:t>
      </w:r>
      <w:r>
        <w:rPr>
          <w:rFonts w:hint="eastAsia" w:ascii="宋体" w:hAnsi="宋体" w:cs="宋体"/>
          <w:sz w:val="24"/>
          <w:highlight w:val="none"/>
        </w:rPr>
        <w:t>5</w:t>
      </w:r>
      <w:r>
        <w:rPr>
          <w:rFonts w:ascii="宋体" w:hAnsi="宋体" w:cs="宋体"/>
          <w:sz w:val="24"/>
          <w:highlight w:val="none"/>
        </w:rPr>
        <w:t>月</w:t>
      </w:r>
      <w:r>
        <w:rPr>
          <w:rFonts w:hint="eastAsia" w:ascii="宋体" w:hAnsi="宋体" w:cs="宋体"/>
          <w:sz w:val="24"/>
          <w:highlight w:val="none"/>
        </w:rPr>
        <w:t>18</w:t>
      </w:r>
      <w:r>
        <w:rPr>
          <w:rFonts w:ascii="宋体" w:hAnsi="宋体" w:cs="宋体"/>
          <w:sz w:val="24"/>
          <w:highlight w:val="none"/>
        </w:rPr>
        <w:t>日至2020年</w:t>
      </w:r>
      <w:r>
        <w:rPr>
          <w:rFonts w:hint="eastAsia" w:ascii="宋体" w:hAnsi="宋体" w:cs="宋体"/>
          <w:sz w:val="24"/>
          <w:highlight w:val="none"/>
        </w:rPr>
        <w:t>5</w:t>
      </w:r>
      <w:r>
        <w:rPr>
          <w:rFonts w:ascii="宋体" w:hAnsi="宋体" w:cs="宋体"/>
          <w:sz w:val="24"/>
          <w:highlight w:val="none"/>
        </w:rPr>
        <w:t>月25日(</w:t>
      </w:r>
      <w:r>
        <w:rPr>
          <w:rFonts w:ascii="宋体" w:hAnsi="宋体" w:cs="宋体"/>
          <w:sz w:val="24"/>
        </w:rPr>
        <w:t>法定公休日、法定节假日除外)，每日上午8:30时至12:00时，下午14:30时至17:30时(北京时间，下同)持授权委托书（含法定代表人和被授权人身份证复印件）原件到海口市金贸西路8号诚田国际商务大厦A栋5楼AB室购买</w:t>
      </w:r>
      <w:r>
        <w:rPr>
          <w:rFonts w:hint="eastAsia" w:ascii="宋体" w:hAnsi="宋体" w:cs="黑体"/>
          <w:kern w:val="0"/>
          <w:sz w:val="24"/>
        </w:rPr>
        <w:t>磋商</w:t>
      </w:r>
      <w:r>
        <w:rPr>
          <w:rFonts w:ascii="宋体" w:hAnsi="宋体" w:cs="宋体"/>
          <w:sz w:val="24"/>
        </w:rPr>
        <w:t>文件</w:t>
      </w:r>
      <w:r>
        <w:rPr>
          <w:rFonts w:hint="eastAsia" w:ascii="宋体" w:hAnsi="宋体" w:cs="宋体"/>
          <w:sz w:val="24"/>
        </w:rPr>
        <w:t>。</w:t>
      </w:r>
    </w:p>
    <w:p>
      <w:pPr>
        <w:spacing w:line="360" w:lineRule="auto"/>
        <w:ind w:left="420" w:leftChars="200"/>
        <w:rPr>
          <w:sz w:val="24"/>
        </w:rPr>
      </w:pPr>
      <w:r>
        <w:rPr>
          <w:rFonts w:hint="eastAsia"/>
          <w:sz w:val="24"/>
        </w:rPr>
        <w:t>6.2 招标文件售价：人民币200元（/套），售后不退。磋商保证金：20000.00元。</w:t>
      </w:r>
    </w:p>
    <w:p>
      <w:pPr>
        <w:spacing w:line="360" w:lineRule="auto"/>
        <w:ind w:left="636" w:leftChars="303"/>
        <w:rPr>
          <w:highlight w:val="yellow"/>
        </w:rPr>
      </w:pPr>
    </w:p>
    <w:p>
      <w:pPr>
        <w:numPr>
          <w:ilvl w:val="0"/>
          <w:numId w:val="1"/>
        </w:numPr>
        <w:tabs>
          <w:tab w:val="left" w:pos="709"/>
        </w:tabs>
        <w:autoSpaceDE w:val="0"/>
        <w:autoSpaceDN w:val="0"/>
        <w:adjustRightInd w:val="0"/>
        <w:snapToGrid w:val="0"/>
        <w:spacing w:line="360" w:lineRule="auto"/>
        <w:ind w:left="709" w:hanging="709"/>
        <w:rPr>
          <w:rFonts w:ascii="宋体" w:hAnsi="宋体" w:cs="黑体"/>
          <w:kern w:val="0"/>
          <w:sz w:val="24"/>
        </w:rPr>
      </w:pPr>
      <w:r>
        <w:rPr>
          <w:rFonts w:hint="eastAsia" w:ascii="宋体" w:hAnsi="宋体" w:cs="黑体"/>
          <w:kern w:val="0"/>
          <w:sz w:val="24"/>
        </w:rPr>
        <w:t>公告发布媒介及公告期限</w:t>
      </w:r>
    </w:p>
    <w:p>
      <w:pPr>
        <w:tabs>
          <w:tab w:val="left" w:pos="709"/>
        </w:tabs>
        <w:autoSpaceDE w:val="0"/>
        <w:autoSpaceDN w:val="0"/>
        <w:adjustRightInd w:val="0"/>
        <w:snapToGrid w:val="0"/>
        <w:spacing w:after="156" w:afterLines="50" w:line="360" w:lineRule="auto"/>
        <w:ind w:left="708" w:leftChars="337" w:firstLine="480" w:firstLineChars="200"/>
        <w:rPr>
          <w:rFonts w:ascii="宋体" w:hAnsi="宋体" w:cs="黑体"/>
          <w:kern w:val="0"/>
          <w:sz w:val="24"/>
        </w:rPr>
      </w:pPr>
      <w:r>
        <w:rPr>
          <w:rFonts w:hint="eastAsia" w:ascii="宋体" w:hAnsi="宋体" w:cs="黑体"/>
          <w:kern w:val="0"/>
          <w:sz w:val="24"/>
        </w:rPr>
        <w:t>本竞争性磋商公告在全国公共资源交易平台（海南省）：</w:t>
      </w:r>
      <w:r>
        <w:fldChar w:fldCharType="begin"/>
      </w:r>
      <w:r>
        <w:instrText xml:space="preserve"> HYPERLINK "http://zw.hainan.gov.cn/ggzy/" </w:instrText>
      </w:r>
      <w:r>
        <w:fldChar w:fldCharType="separate"/>
      </w:r>
      <w:r>
        <w:rPr>
          <w:rFonts w:hint="eastAsia" w:ascii="宋体" w:hAnsi="宋体" w:cs="黑体"/>
          <w:kern w:val="0"/>
          <w:sz w:val="24"/>
        </w:rPr>
        <w:t>http://zw.hainan.gov.cn/ggzy/</w:t>
      </w:r>
      <w:r>
        <w:rPr>
          <w:rFonts w:hint="eastAsia" w:ascii="宋体" w:hAnsi="宋体" w:cs="黑体"/>
          <w:kern w:val="0"/>
          <w:sz w:val="24"/>
        </w:rPr>
        <w:fldChar w:fldCharType="end"/>
      </w:r>
      <w:r>
        <w:rPr>
          <w:rFonts w:hint="eastAsia" w:ascii="宋体" w:hAnsi="宋体" w:cs="黑体"/>
          <w:kern w:val="0"/>
          <w:sz w:val="24"/>
        </w:rPr>
        <w:t>、中国海南政府采购网http://www.ccgp-hainan.gov.cn/上发布。</w:t>
      </w:r>
    </w:p>
    <w:p>
      <w:pPr>
        <w:autoSpaceDE w:val="0"/>
        <w:autoSpaceDN w:val="0"/>
        <w:adjustRightInd w:val="0"/>
        <w:snapToGrid w:val="0"/>
        <w:spacing w:after="156" w:afterLines="50" w:line="360" w:lineRule="auto"/>
        <w:ind w:firstLine="709"/>
        <w:rPr>
          <w:rFonts w:ascii="宋体" w:hAnsi="宋体" w:cs="黑体"/>
          <w:kern w:val="0"/>
          <w:sz w:val="24"/>
        </w:rPr>
      </w:pPr>
      <w:r>
        <w:rPr>
          <w:rFonts w:hint="eastAsia" w:asciiTheme="minorEastAsia" w:hAnsiTheme="minorEastAsia"/>
          <w:sz w:val="24"/>
        </w:rPr>
        <w:t>公告期限：自公告发布次日起 5个工作日。</w:t>
      </w:r>
    </w:p>
    <w:p>
      <w:pPr>
        <w:numPr>
          <w:ilvl w:val="0"/>
          <w:numId w:val="1"/>
        </w:numPr>
        <w:tabs>
          <w:tab w:val="left" w:pos="709"/>
        </w:tabs>
        <w:autoSpaceDE w:val="0"/>
        <w:autoSpaceDN w:val="0"/>
        <w:adjustRightInd w:val="0"/>
        <w:snapToGrid w:val="0"/>
        <w:spacing w:after="156" w:afterLines="50"/>
        <w:ind w:left="709" w:hanging="709"/>
        <w:rPr>
          <w:rFonts w:ascii="宋体" w:hAnsi="宋体" w:cs="黑体"/>
          <w:kern w:val="0"/>
          <w:sz w:val="24"/>
        </w:rPr>
      </w:pPr>
      <w:r>
        <w:rPr>
          <w:rFonts w:hint="eastAsia" w:ascii="宋体" w:hAnsi="宋体" w:cs="黑体"/>
          <w:kern w:val="0"/>
          <w:sz w:val="24"/>
        </w:rPr>
        <w:t>响应文件首次递交截止时间、磋商时间及地点</w:t>
      </w:r>
    </w:p>
    <w:p>
      <w:pPr>
        <w:spacing w:line="360" w:lineRule="auto"/>
        <w:ind w:left="708" w:leftChars="337"/>
        <w:rPr>
          <w:sz w:val="24"/>
        </w:rPr>
      </w:pPr>
      <w:r>
        <w:rPr>
          <w:rFonts w:hint="eastAsia" w:ascii="宋体" w:hAnsi="宋体" w:cs="黑体"/>
          <w:kern w:val="0"/>
          <w:sz w:val="24"/>
        </w:rPr>
        <w:t>响应文件首次递交</w:t>
      </w:r>
      <w:r>
        <w:rPr>
          <w:rFonts w:hint="eastAsia"/>
          <w:sz w:val="24"/>
        </w:rPr>
        <w:t>截止时间：2020年</w:t>
      </w:r>
      <w:r>
        <w:rPr>
          <w:sz w:val="24"/>
        </w:rPr>
        <w:t>5</w:t>
      </w:r>
      <w:r>
        <w:rPr>
          <w:rFonts w:hint="eastAsia"/>
          <w:sz w:val="24"/>
        </w:rPr>
        <w:t>月</w:t>
      </w:r>
      <w:r>
        <w:rPr>
          <w:sz w:val="24"/>
        </w:rPr>
        <w:t>29</w:t>
      </w:r>
      <w:r>
        <w:rPr>
          <w:rFonts w:hint="eastAsia"/>
          <w:sz w:val="24"/>
        </w:rPr>
        <w:t>日</w:t>
      </w:r>
      <w:r>
        <w:rPr>
          <w:sz w:val="24"/>
        </w:rPr>
        <w:t>9</w:t>
      </w:r>
      <w:r>
        <w:rPr>
          <w:rFonts w:hint="eastAsia"/>
          <w:sz w:val="24"/>
        </w:rPr>
        <w:t>时</w:t>
      </w:r>
      <w:r>
        <w:rPr>
          <w:sz w:val="24"/>
        </w:rPr>
        <w:t>00</w:t>
      </w:r>
      <w:r>
        <w:rPr>
          <w:rFonts w:hint="eastAsia"/>
          <w:sz w:val="24"/>
        </w:rPr>
        <w:t>分；</w:t>
      </w:r>
    </w:p>
    <w:p>
      <w:pPr>
        <w:spacing w:line="360" w:lineRule="auto"/>
        <w:ind w:left="708" w:leftChars="337"/>
        <w:rPr>
          <w:sz w:val="24"/>
        </w:rPr>
      </w:pPr>
      <w:r>
        <w:rPr>
          <w:rFonts w:hint="eastAsia"/>
          <w:sz w:val="24"/>
        </w:rPr>
        <w:t>磋商时间：2020年</w:t>
      </w:r>
      <w:r>
        <w:rPr>
          <w:sz w:val="24"/>
        </w:rPr>
        <w:t>5</w:t>
      </w:r>
      <w:r>
        <w:rPr>
          <w:rFonts w:hint="eastAsia"/>
          <w:sz w:val="24"/>
        </w:rPr>
        <w:t>月2</w:t>
      </w:r>
      <w:r>
        <w:rPr>
          <w:sz w:val="24"/>
        </w:rPr>
        <w:t>9</w:t>
      </w:r>
      <w:r>
        <w:rPr>
          <w:rFonts w:hint="eastAsia"/>
          <w:sz w:val="24"/>
        </w:rPr>
        <w:t>日</w:t>
      </w:r>
      <w:r>
        <w:rPr>
          <w:sz w:val="24"/>
        </w:rPr>
        <w:t>9</w:t>
      </w:r>
      <w:r>
        <w:rPr>
          <w:rFonts w:hint="eastAsia"/>
          <w:sz w:val="24"/>
        </w:rPr>
        <w:t>时</w:t>
      </w:r>
      <w:r>
        <w:rPr>
          <w:sz w:val="24"/>
        </w:rPr>
        <w:t>00</w:t>
      </w:r>
      <w:r>
        <w:rPr>
          <w:rFonts w:hint="eastAsia"/>
          <w:sz w:val="24"/>
        </w:rPr>
        <w:t>分为磋商小组通知时间。</w:t>
      </w:r>
    </w:p>
    <w:p>
      <w:pPr>
        <w:spacing w:line="360" w:lineRule="auto"/>
        <w:ind w:left="708" w:leftChars="337"/>
        <w:rPr>
          <w:sz w:val="24"/>
        </w:rPr>
      </w:pPr>
      <w:r>
        <w:rPr>
          <w:rFonts w:hint="eastAsia" w:ascii="宋体" w:hAnsi="宋体" w:cs="黑体"/>
          <w:kern w:val="0"/>
          <w:sz w:val="24"/>
        </w:rPr>
        <w:t>响应文件首次递交</w:t>
      </w:r>
      <w:r>
        <w:rPr>
          <w:rFonts w:hint="eastAsia"/>
          <w:sz w:val="24"/>
        </w:rPr>
        <w:t>和磋商地点：</w:t>
      </w:r>
      <w:r>
        <w:rPr>
          <w:rFonts w:hint="eastAsia" w:ascii="宋体" w:hAnsi="宋体" w:cs="黑体"/>
          <w:kern w:val="0"/>
          <w:sz w:val="24"/>
        </w:rPr>
        <w:t>海口市龙华区金贸西路8号诚田国际商务大厦5层</w:t>
      </w:r>
      <w:r>
        <w:rPr>
          <w:rFonts w:hint="eastAsia"/>
          <w:sz w:val="24"/>
        </w:rPr>
        <w:t>。</w:t>
      </w:r>
    </w:p>
    <w:p>
      <w:pPr>
        <w:spacing w:line="360" w:lineRule="auto"/>
        <w:jc w:val="left"/>
        <w:rPr>
          <w:sz w:val="24"/>
        </w:rPr>
      </w:pPr>
    </w:p>
    <w:p>
      <w:pPr>
        <w:tabs>
          <w:tab w:val="left" w:pos="709"/>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九、采购人及其委托的采购代理机构的名称、地址和联系方法</w:t>
      </w:r>
    </w:p>
    <w:p>
      <w:pPr>
        <w:spacing w:line="360" w:lineRule="auto"/>
        <w:ind w:firstLine="1200" w:firstLineChars="500"/>
        <w:rPr>
          <w:sz w:val="24"/>
        </w:rPr>
      </w:pPr>
      <w:r>
        <w:rPr>
          <w:rFonts w:hint="eastAsia"/>
          <w:sz w:val="24"/>
        </w:rPr>
        <w:t xml:space="preserve">采 购 人：海南省自然资源和规划厅 </w:t>
      </w:r>
    </w:p>
    <w:p>
      <w:pPr>
        <w:spacing w:line="360" w:lineRule="auto"/>
        <w:ind w:left="420" w:firstLine="739" w:firstLineChars="308"/>
        <w:rPr>
          <w:sz w:val="24"/>
        </w:rPr>
      </w:pPr>
      <w:r>
        <w:rPr>
          <w:rFonts w:hint="eastAsia"/>
          <w:sz w:val="24"/>
        </w:rPr>
        <w:t>地    址：海南省海口市</w:t>
      </w:r>
      <w:r>
        <w:rPr>
          <w:rFonts w:hint="eastAsia"/>
          <w:sz w:val="24"/>
          <w:lang w:eastAsia="zh-CN"/>
        </w:rPr>
        <w:t>美兰</w:t>
      </w:r>
      <w:r>
        <w:rPr>
          <w:rFonts w:hint="eastAsia"/>
          <w:sz w:val="24"/>
        </w:rPr>
        <w:t xml:space="preserve">区美贤路9号 </w:t>
      </w:r>
    </w:p>
    <w:p>
      <w:pPr>
        <w:spacing w:line="360" w:lineRule="auto"/>
        <w:ind w:left="420" w:firstLine="739" w:firstLineChars="308"/>
        <w:rPr>
          <w:sz w:val="24"/>
        </w:rPr>
      </w:pPr>
      <w:r>
        <w:rPr>
          <w:rFonts w:hint="eastAsia"/>
          <w:sz w:val="24"/>
        </w:rPr>
        <w:t>联 系 人：韦工</w:t>
      </w:r>
    </w:p>
    <w:p>
      <w:pPr>
        <w:spacing w:line="360" w:lineRule="auto"/>
        <w:ind w:left="420" w:firstLine="739" w:firstLineChars="308"/>
        <w:rPr>
          <w:rFonts w:hint="default" w:eastAsia="宋体"/>
          <w:sz w:val="24"/>
          <w:lang w:val="en-US" w:eastAsia="zh-CN"/>
        </w:rPr>
      </w:pPr>
      <w:r>
        <w:rPr>
          <w:rFonts w:hint="eastAsia"/>
          <w:sz w:val="24"/>
        </w:rPr>
        <w:t>电    话：</w:t>
      </w:r>
      <w:r>
        <w:rPr>
          <w:rFonts w:hint="eastAsia"/>
          <w:sz w:val="24"/>
          <w:lang w:val="en-US" w:eastAsia="zh-CN"/>
        </w:rPr>
        <w:t>0898-65236052</w:t>
      </w:r>
    </w:p>
    <w:p>
      <w:pPr>
        <w:spacing w:line="360" w:lineRule="auto"/>
        <w:ind w:left="420" w:firstLine="739" w:firstLineChars="308"/>
        <w:rPr>
          <w:sz w:val="24"/>
        </w:rPr>
      </w:pPr>
    </w:p>
    <w:p>
      <w:pPr>
        <w:spacing w:line="360" w:lineRule="auto"/>
        <w:ind w:left="420" w:firstLine="768" w:firstLineChars="320"/>
        <w:rPr>
          <w:sz w:val="24"/>
        </w:rPr>
      </w:pPr>
      <w:r>
        <w:rPr>
          <w:rFonts w:hint="eastAsia"/>
          <w:sz w:val="24"/>
        </w:rPr>
        <w:t xml:space="preserve">采购代理机构：国信国采（海口）招标有限责任公司 </w:t>
      </w:r>
    </w:p>
    <w:p>
      <w:pPr>
        <w:spacing w:line="360" w:lineRule="auto"/>
        <w:ind w:left="420" w:firstLine="739" w:firstLineChars="308"/>
        <w:rPr>
          <w:sz w:val="24"/>
        </w:rPr>
      </w:pPr>
      <w:r>
        <w:rPr>
          <w:rFonts w:hint="eastAsia"/>
          <w:sz w:val="24"/>
        </w:rPr>
        <w:t xml:space="preserve">地    址：海口市龙华区金贸西路诚田国际商务大厦5楼  </w:t>
      </w:r>
    </w:p>
    <w:p>
      <w:pPr>
        <w:spacing w:line="360" w:lineRule="auto"/>
        <w:ind w:left="420" w:firstLine="739" w:firstLineChars="308"/>
        <w:rPr>
          <w:sz w:val="24"/>
        </w:rPr>
      </w:pPr>
      <w:r>
        <w:rPr>
          <w:rFonts w:hint="eastAsia"/>
          <w:sz w:val="24"/>
        </w:rPr>
        <w:t>联 系 人：吴工</w:t>
      </w:r>
    </w:p>
    <w:p>
      <w:pPr>
        <w:spacing w:line="360" w:lineRule="auto"/>
        <w:ind w:left="420" w:firstLine="739" w:firstLineChars="308"/>
        <w:rPr>
          <w:sz w:val="24"/>
        </w:rPr>
      </w:pPr>
      <w:r>
        <w:rPr>
          <w:rFonts w:hint="eastAsia"/>
          <w:sz w:val="24"/>
        </w:rPr>
        <w:t>电    话：0898-68519119</w:t>
      </w:r>
    </w:p>
    <w:p>
      <w:pPr>
        <w:widowControl/>
        <w:jc w:val="left"/>
        <w:rPr>
          <w:sz w:val="24"/>
        </w:rPr>
      </w:pPr>
    </w:p>
    <w:p>
      <w:pPr>
        <w:spacing w:line="360" w:lineRule="auto"/>
        <w:ind w:left="420" w:leftChars="200"/>
        <w:rPr>
          <w:sz w:val="24"/>
        </w:rPr>
      </w:pPr>
      <w:r>
        <w:rPr>
          <w:rFonts w:hint="eastAsia"/>
          <w:sz w:val="24"/>
        </w:rPr>
        <w:t>招标标书款/服务费账户信息：</w:t>
      </w:r>
    </w:p>
    <w:p>
      <w:pPr>
        <w:spacing w:line="360" w:lineRule="auto"/>
        <w:ind w:left="420" w:leftChars="200"/>
        <w:rPr>
          <w:sz w:val="24"/>
        </w:rPr>
      </w:pPr>
      <w:r>
        <w:rPr>
          <w:rFonts w:hint="eastAsia"/>
          <w:sz w:val="24"/>
        </w:rPr>
        <w:t>账号名称：国信国采（海口）招标有限责任公司</w:t>
      </w:r>
    </w:p>
    <w:p>
      <w:pPr>
        <w:spacing w:line="360" w:lineRule="auto"/>
        <w:ind w:left="420" w:leftChars="200"/>
        <w:rPr>
          <w:sz w:val="24"/>
        </w:rPr>
      </w:pPr>
      <w:r>
        <w:rPr>
          <w:rFonts w:hint="eastAsia"/>
          <w:sz w:val="24"/>
        </w:rPr>
        <w:t xml:space="preserve">开户银行：招商银行海口分行营业部 </w:t>
      </w:r>
    </w:p>
    <w:p>
      <w:pPr>
        <w:spacing w:line="360" w:lineRule="auto"/>
        <w:ind w:left="420" w:leftChars="200"/>
        <w:jc w:val="left"/>
        <w:rPr>
          <w:sz w:val="24"/>
        </w:rPr>
      </w:pPr>
      <w:r>
        <w:rPr>
          <w:rFonts w:hint="eastAsia"/>
          <w:sz w:val="24"/>
        </w:rPr>
        <w:t>账号：898901320010666</w:t>
      </w:r>
    </w:p>
    <w:p>
      <w:pPr>
        <w:spacing w:line="360" w:lineRule="auto"/>
        <w:ind w:left="420" w:leftChars="200"/>
        <w:jc w:val="left"/>
        <w:rPr>
          <w:sz w:val="24"/>
        </w:rPr>
      </w:pPr>
      <w:r>
        <w:rPr>
          <w:rFonts w:hint="eastAsia"/>
          <w:sz w:val="24"/>
        </w:rPr>
        <w:t>请各投标人在汇款时务必注明所投标项目的项目编号，否则，因款项用途不明导致投标无效等后果由投标人自行承担</w:t>
      </w:r>
    </w:p>
    <w:p>
      <w:pPr>
        <w:widowControl/>
        <w:jc w:val="left"/>
        <w:rPr>
          <w:sz w:val="24"/>
        </w:rPr>
      </w:pPr>
      <w:r>
        <w:rPr>
          <w:sz w:val="24"/>
        </w:rPr>
        <w:br w:type="page"/>
      </w:r>
    </w:p>
    <w:p>
      <w:pPr>
        <w:spacing w:line="360" w:lineRule="auto"/>
        <w:ind w:left="420" w:leftChars="200"/>
        <w:rPr>
          <w:sz w:val="24"/>
        </w:rPr>
      </w:pPr>
    </w:p>
    <w:p>
      <w:pPr>
        <w:autoSpaceDE w:val="0"/>
        <w:autoSpaceDN w:val="0"/>
        <w:adjustRightInd w:val="0"/>
        <w:snapToGrid w:val="0"/>
        <w:spacing w:after="156" w:afterLines="50"/>
        <w:jc w:val="center"/>
        <w:outlineLvl w:val="0"/>
        <w:rPr>
          <w:rFonts w:ascii="宋体" w:hAnsi="宋体" w:cs="黑体"/>
          <w:kern w:val="0"/>
          <w:sz w:val="32"/>
          <w:szCs w:val="32"/>
        </w:rPr>
      </w:pPr>
      <w:bookmarkStart w:id="11" w:name="_Toc20080"/>
      <w:bookmarkStart w:id="12" w:name="_Toc26940"/>
      <w:r>
        <w:rPr>
          <w:rFonts w:hint="eastAsia" w:ascii="宋体" w:hAnsi="宋体" w:cs="黑体"/>
          <w:kern w:val="0"/>
          <w:sz w:val="32"/>
          <w:szCs w:val="32"/>
        </w:rPr>
        <w:t>第二章供应商须知</w:t>
      </w:r>
      <w:bookmarkEnd w:id="5"/>
      <w:bookmarkEnd w:id="11"/>
      <w:bookmarkEnd w:id="12"/>
    </w:p>
    <w:p>
      <w:pPr>
        <w:autoSpaceDE w:val="0"/>
        <w:autoSpaceDN w:val="0"/>
        <w:adjustRightInd w:val="0"/>
        <w:snapToGrid w:val="0"/>
        <w:spacing w:after="156" w:afterLines="50"/>
        <w:jc w:val="center"/>
        <w:outlineLvl w:val="1"/>
        <w:rPr>
          <w:rFonts w:ascii="宋体" w:hAnsi="宋体" w:cs="黑体"/>
          <w:kern w:val="0"/>
          <w:sz w:val="28"/>
          <w:szCs w:val="28"/>
        </w:rPr>
      </w:pPr>
      <w:bookmarkStart w:id="13" w:name="_Toc11393"/>
      <w:bookmarkStart w:id="14" w:name="_Toc28345"/>
      <w:r>
        <w:rPr>
          <w:rFonts w:hint="eastAsia" w:ascii="宋体" w:hAnsi="宋体" w:cs="黑体"/>
          <w:kern w:val="0"/>
          <w:sz w:val="28"/>
          <w:szCs w:val="28"/>
        </w:rPr>
        <w:t>（一）供应商须知前附表</w:t>
      </w:r>
      <w:bookmarkEnd w:id="13"/>
      <w:bookmarkEnd w:id="14"/>
    </w:p>
    <w:tbl>
      <w:tblPr>
        <w:tblStyle w:val="73"/>
        <w:tblW w:w="93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515"/>
        <w:gridCol w:w="5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1188" w:type="dxa"/>
            <w:vAlign w:val="center"/>
          </w:tcPr>
          <w:p>
            <w:pPr>
              <w:autoSpaceDE w:val="0"/>
              <w:autoSpaceDN w:val="0"/>
              <w:adjustRightInd w:val="0"/>
              <w:snapToGrid w:val="0"/>
              <w:jc w:val="center"/>
              <w:rPr>
                <w:rFonts w:ascii="宋体" w:hAnsi="宋体" w:cs="黑体"/>
                <w:kern w:val="0"/>
                <w:sz w:val="24"/>
              </w:rPr>
            </w:pPr>
            <w:r>
              <w:rPr>
                <w:rFonts w:hint="eastAsia" w:ascii="宋体" w:hAnsi="宋体" w:cs="仿宋_GB2312"/>
                <w:kern w:val="0"/>
                <w:sz w:val="24"/>
              </w:rPr>
              <w:t>条款号</w:t>
            </w:r>
          </w:p>
        </w:tc>
        <w:tc>
          <w:tcPr>
            <w:tcW w:w="2515" w:type="dxa"/>
            <w:vAlign w:val="center"/>
          </w:tcPr>
          <w:p>
            <w:pPr>
              <w:autoSpaceDE w:val="0"/>
              <w:autoSpaceDN w:val="0"/>
              <w:adjustRightInd w:val="0"/>
              <w:snapToGrid w:val="0"/>
              <w:jc w:val="center"/>
              <w:rPr>
                <w:rFonts w:ascii="宋体" w:hAnsi="宋体" w:cs="黑体"/>
                <w:kern w:val="0"/>
                <w:sz w:val="24"/>
              </w:rPr>
            </w:pPr>
            <w:r>
              <w:rPr>
                <w:rFonts w:hint="eastAsia" w:ascii="宋体" w:hAnsi="宋体" w:cs="仿宋_GB2312"/>
                <w:kern w:val="0"/>
                <w:sz w:val="24"/>
              </w:rPr>
              <w:t>条款名称</w:t>
            </w:r>
          </w:p>
        </w:tc>
        <w:tc>
          <w:tcPr>
            <w:tcW w:w="5675" w:type="dxa"/>
            <w:vAlign w:val="center"/>
          </w:tcPr>
          <w:p>
            <w:pPr>
              <w:autoSpaceDE w:val="0"/>
              <w:autoSpaceDN w:val="0"/>
              <w:adjustRightInd w:val="0"/>
              <w:snapToGrid w:val="0"/>
              <w:rPr>
                <w:rFonts w:ascii="宋体" w:hAnsi="宋体" w:cs="黑体"/>
                <w:kern w:val="0"/>
                <w:sz w:val="24"/>
              </w:rPr>
            </w:pPr>
            <w:r>
              <w:rPr>
                <w:rFonts w:hint="eastAsia" w:ascii="宋体" w:hAnsi="宋体" w:cs="仿宋_GB2312"/>
                <w:kern w:val="0"/>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仿宋_GB2312"/>
                <w:kern w:val="0"/>
                <w:sz w:val="20"/>
                <w:szCs w:val="20"/>
              </w:rPr>
            </w:pPr>
            <w:r>
              <w:fldChar w:fldCharType="begin"/>
            </w:r>
            <w:r>
              <w:instrText xml:space="preserve"> REF _Ref527292580 \r \h  \* MERGEFORMAT </w:instrText>
            </w:r>
            <w:r>
              <w:fldChar w:fldCharType="separate"/>
            </w:r>
            <w:r>
              <w:rPr>
                <w:rFonts w:ascii="宋体" w:hAnsi="宋体" w:cs="仿宋_GB2312"/>
                <w:kern w:val="0"/>
                <w:sz w:val="20"/>
                <w:szCs w:val="20"/>
              </w:rPr>
              <w:t>1.12.1</w:t>
            </w:r>
            <w:r>
              <w:rPr>
                <w:rFonts w:ascii="宋体" w:hAnsi="宋体" w:cs="仿宋_GB2312"/>
                <w:kern w:val="0"/>
                <w:sz w:val="20"/>
                <w:szCs w:val="20"/>
              </w:rPr>
              <w:fldChar w:fldCharType="end"/>
            </w:r>
          </w:p>
        </w:tc>
        <w:tc>
          <w:tcPr>
            <w:tcW w:w="2515" w:type="dxa"/>
            <w:vAlign w:val="center"/>
          </w:tcPr>
          <w:p>
            <w:pPr>
              <w:autoSpaceDE w:val="0"/>
              <w:autoSpaceDN w:val="0"/>
              <w:adjustRightInd w:val="0"/>
              <w:snapToGrid w:val="0"/>
              <w:jc w:val="left"/>
              <w:rPr>
                <w:rFonts w:ascii="宋体" w:hAnsi="宋体" w:cs="仿宋_GB2312"/>
                <w:kern w:val="0"/>
                <w:sz w:val="24"/>
              </w:rPr>
            </w:pPr>
            <w:r>
              <w:rPr>
                <w:rFonts w:hint="eastAsia" w:ascii="宋体" w:hAnsi="宋体" w:cs="仿宋_GB2312"/>
                <w:kern w:val="0"/>
                <w:sz w:val="24"/>
              </w:rPr>
              <w:t>现场踏勘</w:t>
            </w:r>
          </w:p>
        </w:tc>
        <w:tc>
          <w:tcPr>
            <w:tcW w:w="5675" w:type="dxa"/>
            <w:vAlign w:val="center"/>
          </w:tcPr>
          <w:p>
            <w:pPr>
              <w:autoSpaceDE w:val="0"/>
              <w:autoSpaceDN w:val="0"/>
              <w:adjustRightInd w:val="0"/>
              <w:snapToGrid w:val="0"/>
              <w:rPr>
                <w:rFonts w:ascii="宋体" w:hAnsi="宋体" w:cs="TimesNewRomanPSMT"/>
                <w:kern w:val="0"/>
                <w:sz w:val="24"/>
              </w:rPr>
            </w:pPr>
            <w:r>
              <w:rPr>
                <w:rFonts w:hint="eastAsia" w:ascii="宋体" w:hAnsi="宋体" w:cs="仿宋_GB2312"/>
                <w:kern w:val="0"/>
                <w:sz w:val="24"/>
              </w:rPr>
              <w:sym w:font="Wingdings 2" w:char="0052"/>
            </w:r>
            <w:r>
              <w:rPr>
                <w:rFonts w:ascii="宋体" w:hAnsi="宋体" w:cs="TimesNewRomanPSMT"/>
                <w:kern w:val="0"/>
                <w:sz w:val="24"/>
              </w:rPr>
              <w:t>不组织</w:t>
            </w:r>
          </w:p>
          <w:p>
            <w:pPr>
              <w:autoSpaceDE w:val="0"/>
              <w:autoSpaceDN w:val="0"/>
              <w:adjustRightInd w:val="0"/>
              <w:snapToGrid w:val="0"/>
              <w:rPr>
                <w:rFonts w:ascii="宋体" w:hAnsi="宋体" w:cs="TimesNewRomanPSMT"/>
                <w:kern w:val="0"/>
                <w:sz w:val="24"/>
              </w:rPr>
            </w:pPr>
            <w:r>
              <w:rPr>
                <w:rFonts w:hint="eastAsia" w:ascii="宋体" w:hAnsi="宋体" w:cs="仿宋_GB2312"/>
                <w:kern w:val="0"/>
                <w:sz w:val="24"/>
              </w:rPr>
              <w:t>□</w:t>
            </w:r>
            <w:r>
              <w:rPr>
                <w:rFonts w:hint="eastAsia" w:ascii="宋体" w:hAnsi="宋体" w:cs="TimesNewRomanPSMT"/>
                <w:kern w:val="0"/>
                <w:sz w:val="24"/>
              </w:rPr>
              <w:t>组  织：</w:t>
            </w:r>
          </w:p>
          <w:p>
            <w:pPr>
              <w:autoSpaceDE w:val="0"/>
              <w:autoSpaceDN w:val="0"/>
              <w:adjustRightInd w:val="0"/>
              <w:snapToGrid w:val="0"/>
              <w:ind w:left="311" w:leftChars="148"/>
              <w:rPr>
                <w:rFonts w:ascii="宋体" w:hAnsi="宋体" w:cs="TimesNewRomanPSMT"/>
                <w:kern w:val="0"/>
                <w:sz w:val="24"/>
              </w:rPr>
            </w:pPr>
            <w:r>
              <w:rPr>
                <w:rFonts w:hint="eastAsia" w:ascii="宋体" w:hAnsi="宋体" w:cs="TimesNewRomanPSMT"/>
                <w:kern w:val="0"/>
                <w:sz w:val="24"/>
              </w:rPr>
              <w:t>踏勘时间：</w:t>
            </w:r>
          </w:p>
          <w:p>
            <w:pPr>
              <w:autoSpaceDE w:val="0"/>
              <w:autoSpaceDN w:val="0"/>
              <w:adjustRightInd w:val="0"/>
              <w:snapToGrid w:val="0"/>
              <w:ind w:left="311" w:leftChars="148"/>
              <w:rPr>
                <w:rFonts w:ascii="宋体" w:hAnsi="宋体" w:cs="TimesNewRomanPSMT"/>
                <w:kern w:val="0"/>
                <w:sz w:val="24"/>
              </w:rPr>
            </w:pPr>
            <w:r>
              <w:rPr>
                <w:rFonts w:hint="eastAsia" w:ascii="宋体" w:hAnsi="宋体" w:cs="TimesNewRomanPSMT"/>
                <w:kern w:val="0"/>
                <w:sz w:val="24"/>
              </w:rPr>
              <w:t>集合地点：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仿宋_GB2312"/>
                <w:kern w:val="0"/>
                <w:sz w:val="20"/>
                <w:szCs w:val="20"/>
              </w:rPr>
            </w:pPr>
            <w:r>
              <w:fldChar w:fldCharType="begin"/>
            </w:r>
            <w:r>
              <w:instrText xml:space="preserve"> REF _Ref527101604 \r \h  \* MERGEFORMAT </w:instrText>
            </w:r>
            <w:r>
              <w:fldChar w:fldCharType="separate"/>
            </w:r>
            <w:r>
              <w:rPr>
                <w:rFonts w:ascii="宋体" w:hAnsi="宋体" w:cs="仿宋_GB2312"/>
                <w:kern w:val="0"/>
                <w:sz w:val="20"/>
                <w:szCs w:val="20"/>
              </w:rPr>
              <w:t>2.2.2</w:t>
            </w:r>
            <w:r>
              <w:rPr>
                <w:rFonts w:ascii="宋体" w:hAnsi="宋体" w:cs="仿宋_GB2312"/>
                <w:kern w:val="0"/>
                <w:sz w:val="20"/>
                <w:szCs w:val="20"/>
              </w:rPr>
              <w:fldChar w:fldCharType="end"/>
            </w:r>
          </w:p>
        </w:tc>
        <w:tc>
          <w:tcPr>
            <w:tcW w:w="2515" w:type="dxa"/>
            <w:vAlign w:val="center"/>
          </w:tcPr>
          <w:p>
            <w:pPr>
              <w:autoSpaceDE w:val="0"/>
              <w:autoSpaceDN w:val="0"/>
              <w:adjustRightInd w:val="0"/>
              <w:snapToGrid w:val="0"/>
              <w:jc w:val="left"/>
              <w:rPr>
                <w:rFonts w:ascii="宋体" w:hAnsi="宋体" w:cs="仿宋_GB2312"/>
                <w:kern w:val="0"/>
                <w:sz w:val="24"/>
              </w:rPr>
            </w:pPr>
            <w:r>
              <w:rPr>
                <w:rFonts w:hint="eastAsia" w:ascii="宋体" w:hAnsi="宋体" w:cs="仿宋_GB2312"/>
                <w:kern w:val="0"/>
                <w:sz w:val="24"/>
              </w:rPr>
              <w:t>供应商询问或要求澄清的截止时间</w:t>
            </w:r>
          </w:p>
        </w:tc>
        <w:tc>
          <w:tcPr>
            <w:tcW w:w="5675" w:type="dxa"/>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2020年</w:t>
            </w:r>
            <w:r>
              <w:rPr>
                <w:rFonts w:ascii="宋体" w:hAnsi="宋体" w:cs="仿宋_GB2312"/>
                <w:kern w:val="0"/>
                <w:sz w:val="24"/>
              </w:rPr>
              <w:t>5</w:t>
            </w:r>
            <w:r>
              <w:rPr>
                <w:rFonts w:hint="eastAsia" w:ascii="宋体" w:hAnsi="宋体" w:cs="仿宋_GB2312"/>
                <w:kern w:val="0"/>
                <w:sz w:val="24"/>
              </w:rPr>
              <w:t>月</w:t>
            </w:r>
            <w:r>
              <w:rPr>
                <w:rFonts w:ascii="宋体" w:hAnsi="宋体" w:cs="仿宋_GB2312"/>
                <w:kern w:val="0"/>
                <w:sz w:val="24"/>
              </w:rPr>
              <w:t>25</w:t>
            </w:r>
            <w:r>
              <w:rPr>
                <w:rFonts w:hint="eastAsia" w:ascii="宋体" w:hAnsi="宋体" w:cs="仿宋_GB2312"/>
                <w:kern w:val="0"/>
                <w:sz w:val="24"/>
              </w:rPr>
              <w:t>日</w:t>
            </w:r>
            <w:r>
              <w:rPr>
                <w:rFonts w:ascii="宋体" w:hAnsi="宋体" w:cs="仿宋_GB2312"/>
                <w:kern w:val="0"/>
                <w:sz w:val="24"/>
              </w:rPr>
              <w:t>17</w:t>
            </w:r>
            <w:r>
              <w:rPr>
                <w:rFonts w:hint="eastAsia" w:ascii="宋体" w:hAnsi="宋体" w:cs="仿宋_GB2312"/>
                <w:kern w:val="0"/>
                <w:sz w:val="24"/>
              </w:rPr>
              <w:t>时</w:t>
            </w:r>
            <w:r>
              <w:rPr>
                <w:rFonts w:ascii="宋体" w:hAnsi="宋体" w:cs="仿宋_GB2312"/>
                <w:kern w:val="0"/>
                <w:sz w:val="24"/>
              </w:rPr>
              <w:t>30</w:t>
            </w:r>
            <w:r>
              <w:rPr>
                <w:rFonts w:hint="eastAsia" w:ascii="宋体" w:hAnsi="宋体" w:cs="仿宋_GB2312"/>
                <w:kern w:val="0"/>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_Ref527101721 \r \h  \* MERGEFORMAT </w:instrText>
            </w:r>
            <w:r>
              <w:fldChar w:fldCharType="separate"/>
            </w:r>
            <w:r>
              <w:rPr>
                <w:rFonts w:ascii="宋体" w:hAnsi="宋体" w:cs="TimesNewRomanPSMT"/>
                <w:kern w:val="0"/>
                <w:sz w:val="20"/>
                <w:szCs w:val="21"/>
              </w:rPr>
              <w:t>2.3</w:t>
            </w:r>
            <w:r>
              <w:rPr>
                <w:rFonts w:ascii="宋体" w:hAnsi="宋体" w:cs="TimesNewRomanPSMT"/>
                <w:kern w:val="0"/>
                <w:sz w:val="20"/>
                <w:szCs w:val="21"/>
              </w:rPr>
              <w:fldChar w:fldCharType="end"/>
            </w:r>
          </w:p>
        </w:tc>
        <w:tc>
          <w:tcPr>
            <w:tcW w:w="2515" w:type="dxa"/>
            <w:vAlign w:val="center"/>
          </w:tcPr>
          <w:p>
            <w:pPr>
              <w:jc w:val="center"/>
            </w:pPr>
            <w:r>
              <w:rPr>
                <w:rFonts w:hint="eastAsia"/>
              </w:rPr>
              <w:t>质疑函送达方式</w:t>
            </w:r>
          </w:p>
        </w:tc>
        <w:tc>
          <w:tcPr>
            <w:tcW w:w="5675" w:type="dxa"/>
            <w:vAlign w:val="center"/>
          </w:tcPr>
          <w:p>
            <w:pPr>
              <w:autoSpaceDE w:val="0"/>
              <w:autoSpaceDN w:val="0"/>
              <w:adjustRightInd w:val="0"/>
              <w:snapToGrid w:val="0"/>
              <w:spacing w:after="156" w:afterLines="50"/>
              <w:rPr>
                <w:rFonts w:ascii="宋体" w:hAnsi="宋体" w:cs="TimesNewRomanPSMT"/>
                <w:kern w:val="0"/>
                <w:sz w:val="24"/>
              </w:rPr>
            </w:pPr>
            <w:r>
              <w:rPr>
                <w:rFonts w:hint="eastAsia" w:ascii="宋体" w:hAnsi="宋体" w:cs="TimesNewRomanPSMT"/>
                <w:kern w:val="0"/>
                <w:sz w:val="24"/>
              </w:rPr>
              <w:t>质疑函应以书面形式送达（仅接收派人送达、邮寄送达质疑函原件两种方式），质疑函的格式和内容应当符合《政府采购质疑和投诉办法》的要求。</w:t>
            </w:r>
          </w:p>
          <w:p>
            <w:pPr>
              <w:autoSpaceDE w:val="0"/>
              <w:autoSpaceDN w:val="0"/>
              <w:adjustRightInd w:val="0"/>
              <w:snapToGrid w:val="0"/>
              <w:spacing w:after="156" w:afterLines="50"/>
              <w:rPr>
                <w:rFonts w:ascii="宋体" w:hAnsi="宋体" w:cs="TimesNewRomanPSMT"/>
                <w:kern w:val="0"/>
                <w:sz w:val="24"/>
              </w:rPr>
            </w:pPr>
            <w:r>
              <w:rPr>
                <w:rFonts w:hint="eastAsia" w:ascii="宋体" w:hAnsi="宋体" w:cs="TimesNewRomanPSMT"/>
                <w:kern w:val="0"/>
                <w:sz w:val="24"/>
              </w:rPr>
              <w:t>联系部门：国信国采（海口）招标有限责任公司</w:t>
            </w:r>
          </w:p>
          <w:p>
            <w:pPr>
              <w:autoSpaceDE w:val="0"/>
              <w:autoSpaceDN w:val="0"/>
              <w:adjustRightInd w:val="0"/>
              <w:snapToGrid w:val="0"/>
              <w:spacing w:after="156" w:afterLines="50"/>
              <w:rPr>
                <w:rFonts w:ascii="宋体" w:hAnsi="宋体" w:cs="TimesNewRomanPSMT"/>
                <w:kern w:val="0"/>
                <w:sz w:val="24"/>
              </w:rPr>
            </w:pPr>
            <w:r>
              <w:rPr>
                <w:rFonts w:hint="eastAsia" w:ascii="宋体" w:hAnsi="宋体" w:cs="TimesNewRomanPSMT"/>
                <w:kern w:val="0"/>
                <w:sz w:val="24"/>
              </w:rPr>
              <w:t>联系人：吴坤仕</w:t>
            </w:r>
          </w:p>
          <w:p>
            <w:pPr>
              <w:autoSpaceDE w:val="0"/>
              <w:autoSpaceDN w:val="0"/>
              <w:adjustRightInd w:val="0"/>
              <w:snapToGrid w:val="0"/>
              <w:spacing w:after="156" w:afterLines="50"/>
              <w:rPr>
                <w:rFonts w:ascii="宋体" w:hAnsi="宋体" w:cs="TimesNewRomanPSMT"/>
                <w:kern w:val="0"/>
                <w:sz w:val="24"/>
              </w:rPr>
            </w:pPr>
            <w:r>
              <w:rPr>
                <w:rFonts w:hint="eastAsia" w:ascii="宋体" w:hAnsi="宋体" w:cs="TimesNewRomanPSMT"/>
                <w:kern w:val="0"/>
                <w:sz w:val="24"/>
              </w:rPr>
              <w:t>联系电话：0898-68519119</w:t>
            </w:r>
          </w:p>
          <w:p>
            <w:pPr>
              <w:autoSpaceDE w:val="0"/>
              <w:autoSpaceDN w:val="0"/>
              <w:adjustRightInd w:val="0"/>
              <w:snapToGrid w:val="0"/>
              <w:spacing w:line="360" w:lineRule="auto"/>
              <w:ind w:left="27" w:leftChars="13"/>
              <w:rPr>
                <w:rFonts w:ascii="宋体" w:hAnsi="宋体" w:cs="TimesNewRomanPSMT"/>
                <w:kern w:val="0"/>
                <w:sz w:val="24"/>
              </w:rPr>
            </w:pPr>
            <w:r>
              <w:rPr>
                <w:rFonts w:hint="eastAsia" w:ascii="宋体" w:hAnsi="宋体" w:cs="TimesNewRomanPSMT"/>
                <w:kern w:val="0"/>
                <w:sz w:val="24"/>
              </w:rPr>
              <w:t>通信地址：海口市金贸西路8号诚田国际商务大厦5楼AB室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_Ref527102185 \r \h  \* MERGEFORMAT </w:instrText>
            </w:r>
            <w:r>
              <w:fldChar w:fldCharType="separate"/>
            </w:r>
            <w:r>
              <w:rPr>
                <w:rFonts w:ascii="宋体" w:hAnsi="宋体" w:cs="TimesNewRomanPSMT"/>
                <w:kern w:val="0"/>
                <w:sz w:val="20"/>
                <w:szCs w:val="21"/>
              </w:rPr>
              <w:t>3.6.1</w:t>
            </w:r>
            <w:r>
              <w:rPr>
                <w:rFonts w:ascii="宋体" w:hAnsi="宋体" w:cs="TimesNewRomanPSMT"/>
                <w:kern w:val="0"/>
                <w:sz w:val="20"/>
                <w:szCs w:val="21"/>
              </w:rPr>
              <w:fldChar w:fldCharType="end"/>
            </w:r>
          </w:p>
        </w:tc>
        <w:tc>
          <w:tcPr>
            <w:tcW w:w="2515" w:type="dxa"/>
            <w:vAlign w:val="center"/>
          </w:tcPr>
          <w:p>
            <w:pPr>
              <w:jc w:val="center"/>
            </w:pPr>
            <w:r>
              <w:rPr>
                <w:rFonts w:hint="eastAsia"/>
              </w:rPr>
              <w:t>响应文件有效期</w:t>
            </w:r>
          </w:p>
        </w:tc>
        <w:tc>
          <w:tcPr>
            <w:tcW w:w="5675" w:type="dxa"/>
            <w:vAlign w:val="center"/>
          </w:tcPr>
          <w:p>
            <w:pPr>
              <w:autoSpaceDE w:val="0"/>
              <w:autoSpaceDN w:val="0"/>
              <w:adjustRightInd w:val="0"/>
              <w:snapToGrid w:val="0"/>
              <w:spacing w:after="156" w:afterLines="50"/>
              <w:rPr>
                <w:rFonts w:ascii="宋体" w:hAnsi="宋体" w:cs="TimesNewRomanPSMT"/>
                <w:kern w:val="0"/>
                <w:sz w:val="24"/>
              </w:rPr>
            </w:pPr>
            <w:r>
              <w:rPr>
                <w:rFonts w:hint="eastAsia" w:ascii="宋体" w:hAnsi="宋体" w:cs="TimesNewRomanPSMT"/>
                <w:kern w:val="0"/>
                <w:sz w:val="24"/>
              </w:rPr>
              <w:t>90日历天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_Ref419361076 \r \h  \* MERGEFORMAT </w:instrText>
            </w:r>
            <w:r>
              <w:fldChar w:fldCharType="separate"/>
            </w:r>
            <w:r>
              <w:rPr>
                <w:rFonts w:ascii="宋体" w:hAnsi="宋体" w:cs="TimesNewRomanPSMT"/>
                <w:kern w:val="0"/>
                <w:sz w:val="20"/>
                <w:szCs w:val="21"/>
              </w:rPr>
              <w:t>3.7.1</w:t>
            </w:r>
            <w:r>
              <w:rPr>
                <w:rFonts w:ascii="宋体" w:hAnsi="宋体" w:cs="TimesNewRomanPSMT"/>
                <w:kern w:val="0"/>
                <w:sz w:val="20"/>
                <w:szCs w:val="21"/>
              </w:rPr>
              <w:fldChar w:fldCharType="end"/>
            </w:r>
          </w:p>
        </w:tc>
        <w:tc>
          <w:tcPr>
            <w:tcW w:w="2515" w:type="dxa"/>
            <w:vAlign w:val="center"/>
          </w:tcPr>
          <w:p>
            <w:pPr>
              <w:jc w:val="center"/>
            </w:pPr>
            <w:r>
              <w:rPr>
                <w:rFonts w:hint="eastAsia"/>
              </w:rPr>
              <w:t>磋商保证金</w:t>
            </w:r>
          </w:p>
        </w:tc>
        <w:tc>
          <w:tcPr>
            <w:tcW w:w="5675" w:type="dxa"/>
            <w:vAlign w:val="center"/>
          </w:tcPr>
          <w:p>
            <w:pPr>
              <w:autoSpaceDE w:val="0"/>
              <w:autoSpaceDN w:val="0"/>
              <w:adjustRightInd w:val="0"/>
              <w:snapToGrid w:val="0"/>
              <w:spacing w:after="156" w:afterLines="50"/>
              <w:rPr>
                <w:rFonts w:asciiTheme="minorEastAsia" w:hAnsiTheme="minorEastAsia"/>
                <w:sz w:val="24"/>
                <w:lang w:val="zh-CN"/>
              </w:rPr>
            </w:pPr>
            <w:r>
              <w:rPr>
                <w:rFonts w:hint="eastAsia" w:asciiTheme="minorEastAsia" w:hAnsiTheme="minorEastAsia"/>
                <w:sz w:val="24"/>
                <w:lang w:val="zh-CN"/>
              </w:rPr>
              <w:t>磋商投标保证金的形式：电汇、支票、转账或投标保函方式</w:t>
            </w:r>
          </w:p>
          <w:p>
            <w:pPr>
              <w:autoSpaceDE w:val="0"/>
              <w:autoSpaceDN w:val="0"/>
              <w:adjustRightInd w:val="0"/>
              <w:snapToGrid w:val="0"/>
              <w:spacing w:after="156" w:afterLines="50"/>
              <w:rPr>
                <w:rFonts w:asciiTheme="minorEastAsia" w:hAnsiTheme="minorEastAsia"/>
                <w:sz w:val="24"/>
                <w:lang w:val="zh-CN"/>
              </w:rPr>
            </w:pPr>
            <w:r>
              <w:rPr>
                <w:rFonts w:hint="eastAsia" w:asciiTheme="minorEastAsia" w:hAnsiTheme="minorEastAsia"/>
                <w:sz w:val="24"/>
                <w:lang w:val="zh-CN"/>
              </w:rPr>
              <w:t>磋商保证金的金额：</w:t>
            </w:r>
            <w:r>
              <w:rPr>
                <w:rFonts w:hint="eastAsia" w:asciiTheme="minorEastAsia" w:hAnsiTheme="minorEastAsia"/>
                <w:sz w:val="24"/>
              </w:rPr>
              <w:t>2</w:t>
            </w:r>
            <w:r>
              <w:rPr>
                <w:rFonts w:hint="eastAsia" w:asciiTheme="minorEastAsia" w:hAnsiTheme="minorEastAsia"/>
                <w:sz w:val="24"/>
                <w:lang w:val="zh-CN"/>
              </w:rPr>
              <w:t>0000.00（贰万元整）（不得超过项目估算价的2%；如转账，供应商需要一次性转账所需金额）。</w:t>
            </w:r>
          </w:p>
          <w:p>
            <w:pPr>
              <w:autoSpaceDE w:val="0"/>
              <w:autoSpaceDN w:val="0"/>
              <w:adjustRightInd w:val="0"/>
              <w:snapToGrid w:val="0"/>
              <w:spacing w:after="156" w:afterLines="50"/>
              <w:rPr>
                <w:rFonts w:asciiTheme="minorEastAsia" w:hAnsiTheme="minorEastAsia"/>
                <w:sz w:val="24"/>
                <w:lang w:val="zh-CN"/>
              </w:rPr>
            </w:pPr>
            <w:r>
              <w:rPr>
                <w:rFonts w:hint="eastAsia" w:asciiTheme="minorEastAsia" w:hAnsiTheme="minorEastAsia"/>
                <w:sz w:val="24"/>
                <w:lang w:val="zh-CN"/>
              </w:rPr>
              <w:t>接收保证金开户行、帐号：</w:t>
            </w:r>
          </w:p>
          <w:p>
            <w:pPr>
              <w:autoSpaceDE w:val="0"/>
              <w:autoSpaceDN w:val="0"/>
              <w:adjustRightInd w:val="0"/>
              <w:snapToGrid w:val="0"/>
              <w:spacing w:after="156" w:afterLines="50"/>
              <w:rPr>
                <w:rFonts w:asciiTheme="minorEastAsia" w:hAnsiTheme="minorEastAsia"/>
                <w:sz w:val="24"/>
                <w:lang w:val="zh-CN"/>
              </w:rPr>
            </w:pPr>
            <w:r>
              <w:rPr>
                <w:rFonts w:hint="eastAsia" w:asciiTheme="minorEastAsia" w:hAnsiTheme="minorEastAsia"/>
                <w:sz w:val="24"/>
                <w:lang w:val="zh-CN"/>
              </w:rPr>
              <w:t>户名：国信国采（海口）招标有限责任公司</w:t>
            </w:r>
          </w:p>
          <w:p>
            <w:pPr>
              <w:autoSpaceDE w:val="0"/>
              <w:autoSpaceDN w:val="0"/>
              <w:adjustRightInd w:val="0"/>
              <w:snapToGrid w:val="0"/>
              <w:spacing w:after="156" w:afterLines="50"/>
              <w:rPr>
                <w:rFonts w:asciiTheme="minorEastAsia" w:hAnsiTheme="minorEastAsia"/>
                <w:sz w:val="24"/>
                <w:lang w:val="zh-CN"/>
              </w:rPr>
            </w:pPr>
            <w:r>
              <w:rPr>
                <w:rFonts w:hint="eastAsia" w:asciiTheme="minorEastAsia" w:hAnsiTheme="minorEastAsia"/>
                <w:sz w:val="24"/>
                <w:lang w:val="zh-CN"/>
              </w:rPr>
              <w:t>开户银行：招行海口国贸支行</w:t>
            </w:r>
          </w:p>
          <w:p>
            <w:pPr>
              <w:autoSpaceDE w:val="0"/>
              <w:autoSpaceDN w:val="0"/>
              <w:adjustRightInd w:val="0"/>
              <w:snapToGrid w:val="0"/>
              <w:spacing w:after="156" w:afterLines="50"/>
              <w:rPr>
                <w:rFonts w:asciiTheme="minorEastAsia" w:hAnsiTheme="minorEastAsia"/>
                <w:sz w:val="24"/>
                <w:lang w:val="zh-CN"/>
              </w:rPr>
            </w:pPr>
            <w:r>
              <w:rPr>
                <w:rFonts w:hint="eastAsia" w:asciiTheme="minorEastAsia" w:hAnsiTheme="minorEastAsia"/>
                <w:sz w:val="24"/>
                <w:lang w:val="zh-CN"/>
              </w:rPr>
              <w:t>帐号：898901320010888</w:t>
            </w:r>
          </w:p>
          <w:p>
            <w:pPr>
              <w:autoSpaceDE w:val="0"/>
              <w:autoSpaceDN w:val="0"/>
              <w:adjustRightInd w:val="0"/>
              <w:snapToGrid w:val="0"/>
              <w:spacing w:after="156" w:afterLines="50"/>
              <w:rPr>
                <w:rFonts w:asciiTheme="minorEastAsia" w:hAnsiTheme="minorEastAsia"/>
                <w:sz w:val="24"/>
                <w:lang w:val="zh-CN"/>
              </w:rPr>
            </w:pPr>
            <w:r>
              <w:rPr>
                <w:rFonts w:hint="eastAsia" w:asciiTheme="minorEastAsia" w:hAnsiTheme="minorEastAsia"/>
                <w:sz w:val="24"/>
                <w:lang w:val="zh-CN"/>
              </w:rPr>
              <w:t>用途：</w:t>
            </w:r>
            <w:r>
              <w:rPr>
                <w:rFonts w:hint="eastAsia" w:ascii="宋体" w:hAnsi="宋体" w:cs="黑体"/>
                <w:kern w:val="0"/>
                <w:sz w:val="24"/>
              </w:rPr>
              <w:t>GXTC-CZ-D1-2052014</w:t>
            </w:r>
            <w:r>
              <w:rPr>
                <w:rFonts w:hint="eastAsia" w:asciiTheme="minorEastAsia" w:hAnsiTheme="minorEastAsia"/>
                <w:sz w:val="24"/>
                <w:lang w:val="zh-CN"/>
              </w:rPr>
              <w:t>项目投标保证金</w:t>
            </w:r>
          </w:p>
          <w:p>
            <w:pPr>
              <w:autoSpaceDE w:val="0"/>
              <w:autoSpaceDN w:val="0"/>
              <w:adjustRightInd w:val="0"/>
              <w:snapToGrid w:val="0"/>
              <w:spacing w:after="156" w:afterLines="50"/>
              <w:rPr>
                <w:rFonts w:ascii="宋体" w:hAnsi="宋体" w:cs="TimesNewRomanPSMT"/>
                <w:b/>
                <w:kern w:val="0"/>
                <w:sz w:val="24"/>
              </w:rPr>
            </w:pPr>
            <w:r>
              <w:rPr>
                <w:rFonts w:hint="eastAsia" w:asciiTheme="minorEastAsia" w:hAnsiTheme="minorEastAsia"/>
                <w:sz w:val="24"/>
                <w:lang w:val="zh-CN"/>
              </w:rPr>
              <w:t>磋商保证金到账截止时间：同磋商文件递交截止时间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rPr>
                <w:rFonts w:ascii="宋体" w:hAnsi="宋体" w:cs="TimesNewRomanPSMT"/>
                <w:kern w:val="0"/>
                <w:sz w:val="20"/>
                <w:szCs w:val="21"/>
              </w:rPr>
              <w:t>3.</w:t>
            </w:r>
            <w:r>
              <w:rPr>
                <w:rFonts w:hint="eastAsia" w:ascii="宋体" w:hAnsi="宋体" w:cs="TimesNewRomanPSMT"/>
                <w:kern w:val="0"/>
                <w:sz w:val="20"/>
                <w:szCs w:val="21"/>
              </w:rPr>
              <w:t>8</w:t>
            </w:r>
            <w:r>
              <w:rPr>
                <w:rFonts w:ascii="宋体" w:hAnsi="宋体" w:cs="TimesNewRomanPSMT"/>
                <w:kern w:val="0"/>
                <w:sz w:val="20"/>
                <w:szCs w:val="21"/>
              </w:rPr>
              <w:t>.</w:t>
            </w:r>
            <w:r>
              <w:rPr>
                <w:rFonts w:hint="eastAsia" w:ascii="宋体" w:hAnsi="宋体" w:cs="TimesNewRomanPSMT"/>
                <w:kern w:val="0"/>
                <w:sz w:val="20"/>
                <w:szCs w:val="21"/>
              </w:rPr>
              <w:t>3</w:t>
            </w:r>
          </w:p>
        </w:tc>
        <w:tc>
          <w:tcPr>
            <w:tcW w:w="2515" w:type="dxa"/>
            <w:vAlign w:val="center"/>
          </w:tcPr>
          <w:p>
            <w:pPr>
              <w:jc w:val="center"/>
            </w:pPr>
            <w:r>
              <w:rPr>
                <w:rFonts w:hint="eastAsia"/>
              </w:rPr>
              <w:t>响应文件副本份数</w:t>
            </w:r>
          </w:p>
        </w:tc>
        <w:tc>
          <w:tcPr>
            <w:tcW w:w="5675" w:type="dxa"/>
            <w:vAlign w:val="center"/>
          </w:tcPr>
          <w:p>
            <w:pPr>
              <w:autoSpaceDE w:val="0"/>
              <w:autoSpaceDN w:val="0"/>
              <w:adjustRightInd w:val="0"/>
              <w:snapToGrid w:val="0"/>
              <w:spacing w:after="156" w:afterLines="50"/>
              <w:rPr>
                <w:rFonts w:ascii="宋体" w:hAnsi="宋体" w:cs="仿宋_GB2312"/>
                <w:kern w:val="0"/>
                <w:sz w:val="24"/>
              </w:rPr>
            </w:pPr>
            <w:r>
              <w:rPr>
                <w:rFonts w:hint="eastAsia" w:ascii="宋体" w:hAnsi="宋体" w:cs="仿宋_GB2312"/>
                <w:kern w:val="0"/>
                <w:sz w:val="24"/>
              </w:rPr>
              <w:t>2份；电子文档 1 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rPr>
                <w:rFonts w:ascii="宋体" w:hAnsi="宋体" w:cs="TimesNewRomanPSMT"/>
                <w:kern w:val="0"/>
                <w:sz w:val="20"/>
                <w:szCs w:val="21"/>
              </w:rPr>
              <w:t>3.</w:t>
            </w:r>
            <w:r>
              <w:rPr>
                <w:rFonts w:hint="eastAsia" w:ascii="宋体" w:hAnsi="宋体" w:cs="TimesNewRomanPSMT"/>
                <w:kern w:val="0"/>
                <w:sz w:val="20"/>
                <w:szCs w:val="21"/>
              </w:rPr>
              <w:t>8</w:t>
            </w:r>
            <w:r>
              <w:rPr>
                <w:rFonts w:ascii="宋体" w:hAnsi="宋体" w:cs="TimesNewRomanPSMT"/>
                <w:kern w:val="0"/>
                <w:sz w:val="20"/>
                <w:szCs w:val="21"/>
              </w:rPr>
              <w:t>.</w:t>
            </w:r>
            <w:r>
              <w:rPr>
                <w:rFonts w:hint="eastAsia" w:ascii="宋体" w:hAnsi="宋体" w:cs="TimesNewRomanPSMT"/>
                <w:kern w:val="0"/>
                <w:sz w:val="20"/>
                <w:szCs w:val="21"/>
              </w:rPr>
              <w:t>4</w:t>
            </w:r>
          </w:p>
        </w:tc>
        <w:tc>
          <w:tcPr>
            <w:tcW w:w="2515" w:type="dxa"/>
            <w:vAlign w:val="center"/>
          </w:tcPr>
          <w:p>
            <w:pPr>
              <w:jc w:val="center"/>
            </w:pPr>
            <w:r>
              <w:rPr>
                <w:rFonts w:hint="eastAsia"/>
              </w:rPr>
              <w:t>装订要求</w:t>
            </w:r>
          </w:p>
        </w:tc>
        <w:tc>
          <w:tcPr>
            <w:tcW w:w="5675" w:type="dxa"/>
            <w:vAlign w:val="center"/>
          </w:tcPr>
          <w:p>
            <w:pPr>
              <w:autoSpaceDE w:val="0"/>
              <w:autoSpaceDN w:val="0"/>
              <w:adjustRightInd w:val="0"/>
              <w:snapToGrid w:val="0"/>
              <w:rPr>
                <w:rFonts w:ascii="宋体" w:hAnsi="宋体" w:cs="仿宋_GB2312"/>
                <w:i/>
                <w:kern w:val="0"/>
                <w:sz w:val="24"/>
              </w:rPr>
            </w:pPr>
            <w:r>
              <w:rPr>
                <w:rFonts w:hint="eastAsia" w:ascii="宋体" w:hAnsi="宋体" w:cs="仿宋_GB2312"/>
                <w:kern w:val="0"/>
                <w:sz w:val="24"/>
              </w:rPr>
              <w:t>应装订成册（胶装），不得采用活页方式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rPr>
                <w:rFonts w:ascii="宋体" w:hAnsi="宋体" w:cs="TimesNewRomanPSMT"/>
                <w:kern w:val="0"/>
                <w:sz w:val="20"/>
                <w:szCs w:val="21"/>
              </w:rPr>
              <w:t>4.1.2</w:t>
            </w:r>
          </w:p>
        </w:tc>
        <w:tc>
          <w:tcPr>
            <w:tcW w:w="2515" w:type="dxa"/>
            <w:vAlign w:val="center"/>
          </w:tcPr>
          <w:p>
            <w:pPr>
              <w:jc w:val="center"/>
            </w:pPr>
            <w:r>
              <w:rPr>
                <w:rFonts w:hint="eastAsia"/>
              </w:rPr>
              <w:t>封套上写明</w:t>
            </w:r>
          </w:p>
        </w:tc>
        <w:tc>
          <w:tcPr>
            <w:tcW w:w="5675" w:type="dxa"/>
            <w:vAlign w:val="center"/>
          </w:tcPr>
          <w:p>
            <w:pPr>
              <w:autoSpaceDE w:val="0"/>
              <w:autoSpaceDN w:val="0"/>
              <w:adjustRightInd w:val="0"/>
              <w:snapToGrid w:val="0"/>
              <w:spacing w:after="156" w:afterLines="50"/>
              <w:rPr>
                <w:rFonts w:ascii="宋体" w:hAnsi="宋体" w:cs="仿宋_GB2312"/>
                <w:kern w:val="0"/>
                <w:sz w:val="24"/>
              </w:rPr>
            </w:pPr>
            <w:r>
              <w:rPr>
                <w:rFonts w:hint="eastAsia" w:ascii="宋体" w:hAnsi="宋体" w:cs="仿宋_GB2312"/>
                <w:kern w:val="0"/>
                <w:sz w:val="24"/>
              </w:rPr>
              <w:t>采购人名称：海南省自然资源和规划厅</w:t>
            </w:r>
          </w:p>
          <w:p>
            <w:pPr>
              <w:autoSpaceDE w:val="0"/>
              <w:autoSpaceDN w:val="0"/>
              <w:adjustRightInd w:val="0"/>
              <w:snapToGrid w:val="0"/>
              <w:spacing w:after="156" w:afterLines="50"/>
              <w:rPr>
                <w:rFonts w:ascii="宋体" w:hAnsi="宋体" w:cs="仿宋_GB2312"/>
                <w:b/>
                <w:kern w:val="0"/>
                <w:sz w:val="24"/>
              </w:rPr>
            </w:pPr>
            <w:r>
              <w:rPr>
                <w:rFonts w:hint="eastAsia" w:ascii="宋体" w:hAnsi="宋体" w:cs="仿宋_GB2312"/>
                <w:kern w:val="0"/>
                <w:sz w:val="24"/>
              </w:rPr>
              <w:t>项目编号：</w:t>
            </w:r>
            <w:r>
              <w:rPr>
                <w:rFonts w:hint="eastAsia" w:ascii="宋体" w:hAnsi="宋体" w:cs="黑体"/>
                <w:kern w:val="0"/>
                <w:sz w:val="24"/>
              </w:rPr>
              <w:t>GXTC-CZ-D1-2052014</w:t>
            </w:r>
          </w:p>
          <w:p>
            <w:pPr>
              <w:autoSpaceDE w:val="0"/>
              <w:autoSpaceDN w:val="0"/>
              <w:adjustRightInd w:val="0"/>
              <w:snapToGrid w:val="0"/>
              <w:spacing w:after="156" w:afterLines="50"/>
              <w:rPr>
                <w:rFonts w:ascii="宋体" w:hAnsi="宋体" w:cs="仿宋_GB2312"/>
                <w:b/>
                <w:kern w:val="0"/>
                <w:sz w:val="24"/>
              </w:rPr>
            </w:pPr>
            <w:r>
              <w:rPr>
                <w:rFonts w:hint="eastAsia" w:ascii="宋体" w:hAnsi="宋体" w:cs="仿宋_GB2312"/>
                <w:kern w:val="0"/>
                <w:sz w:val="24"/>
                <w:u w:val="single"/>
              </w:rPr>
              <w:t>海南省海域使用金地方标准制定、海域基准价格制定和评估技术规范编制</w:t>
            </w:r>
            <w:r>
              <w:rPr>
                <w:rFonts w:hint="eastAsia" w:ascii="宋体" w:hAnsi="宋体" w:cs="仿宋_GB2312"/>
                <w:kern w:val="0"/>
                <w:sz w:val="24"/>
              </w:rPr>
              <w:t>（项目名称）响应文件在2020年</w:t>
            </w:r>
            <w:r>
              <w:rPr>
                <w:rFonts w:ascii="宋体" w:hAnsi="宋体" w:cs="仿宋_GB2312"/>
                <w:kern w:val="0"/>
                <w:sz w:val="24"/>
              </w:rPr>
              <w:t>5</w:t>
            </w:r>
            <w:r>
              <w:rPr>
                <w:rFonts w:hint="eastAsia" w:ascii="宋体" w:hAnsi="宋体" w:cs="仿宋_GB2312"/>
                <w:kern w:val="0"/>
                <w:sz w:val="24"/>
              </w:rPr>
              <w:t>月</w:t>
            </w:r>
            <w:r>
              <w:rPr>
                <w:rFonts w:ascii="宋体" w:hAnsi="宋体" w:cs="仿宋_GB2312"/>
                <w:kern w:val="0"/>
                <w:sz w:val="24"/>
              </w:rPr>
              <w:t>29</w:t>
            </w:r>
            <w:r>
              <w:rPr>
                <w:rFonts w:hint="eastAsia" w:ascii="宋体" w:hAnsi="宋体" w:cs="仿宋_GB2312"/>
                <w:kern w:val="0"/>
                <w:sz w:val="24"/>
              </w:rPr>
              <w:t>日</w:t>
            </w:r>
            <w:r>
              <w:rPr>
                <w:rFonts w:ascii="宋体" w:hAnsi="宋体" w:cs="仿宋_GB2312"/>
                <w:kern w:val="0"/>
                <w:sz w:val="24"/>
              </w:rPr>
              <w:t>9</w:t>
            </w:r>
            <w:r>
              <w:rPr>
                <w:rFonts w:hint="eastAsia" w:ascii="宋体" w:hAnsi="宋体" w:cs="仿宋_GB2312"/>
                <w:kern w:val="0"/>
                <w:sz w:val="24"/>
              </w:rPr>
              <w:t>时0</w:t>
            </w:r>
            <w:r>
              <w:rPr>
                <w:rFonts w:ascii="宋体" w:hAnsi="宋体" w:cs="仿宋_GB2312"/>
                <w:kern w:val="0"/>
                <w:sz w:val="24"/>
              </w:rPr>
              <w:t>0</w:t>
            </w:r>
            <w:r>
              <w:rPr>
                <w:rFonts w:hint="eastAsia" w:ascii="宋体" w:hAnsi="宋体" w:cs="仿宋_GB2312"/>
                <w:kern w:val="0"/>
                <w:sz w:val="24"/>
              </w:rPr>
              <w:t>分（开标时间）前不得开启</w:t>
            </w:r>
          </w:p>
          <w:p>
            <w:pPr>
              <w:autoSpaceDE w:val="0"/>
              <w:autoSpaceDN w:val="0"/>
              <w:adjustRightInd w:val="0"/>
              <w:snapToGrid w:val="0"/>
              <w:spacing w:after="156" w:afterLines="50"/>
              <w:rPr>
                <w:rFonts w:ascii="宋体" w:hAnsi="宋体" w:cs="仿宋_GB2312"/>
                <w:b/>
                <w:kern w:val="0"/>
                <w:sz w:val="24"/>
              </w:rPr>
            </w:pPr>
            <w:r>
              <w:rPr>
                <w:rFonts w:hint="eastAsia" w:ascii="宋体" w:hAnsi="宋体" w:cs="仿宋_GB2312"/>
                <w:kern w:val="0"/>
                <w:sz w:val="24"/>
              </w:rPr>
              <w:t>供应商名称：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_Ref527102573 \r \h  \* MERGEFORMAT </w:instrText>
            </w:r>
            <w:r>
              <w:fldChar w:fldCharType="separate"/>
            </w:r>
            <w:r>
              <w:rPr>
                <w:rFonts w:ascii="宋体" w:hAnsi="宋体" w:cs="TimesNewRomanPSMT"/>
                <w:kern w:val="0"/>
                <w:sz w:val="20"/>
                <w:szCs w:val="21"/>
              </w:rPr>
              <w:t>5.1.1</w:t>
            </w:r>
            <w:r>
              <w:rPr>
                <w:rFonts w:ascii="宋体" w:hAnsi="宋体" w:cs="TimesNewRomanPSMT"/>
                <w:kern w:val="0"/>
                <w:sz w:val="20"/>
                <w:szCs w:val="21"/>
              </w:rPr>
              <w:fldChar w:fldCharType="end"/>
            </w:r>
          </w:p>
        </w:tc>
        <w:tc>
          <w:tcPr>
            <w:tcW w:w="2515" w:type="dxa"/>
            <w:vAlign w:val="center"/>
          </w:tcPr>
          <w:p>
            <w:pPr>
              <w:autoSpaceDE w:val="0"/>
              <w:autoSpaceDN w:val="0"/>
              <w:adjustRightInd w:val="0"/>
              <w:snapToGrid w:val="0"/>
              <w:jc w:val="center"/>
              <w:rPr>
                <w:rFonts w:ascii="宋体" w:hAnsi="宋体" w:cs="仿宋_GB2312"/>
                <w:kern w:val="0"/>
                <w:sz w:val="24"/>
              </w:rPr>
            </w:pPr>
            <w:r>
              <w:rPr>
                <w:rFonts w:hint="eastAsia" w:ascii="宋体" w:hAnsi="宋体" w:cs="仿宋_GB2312"/>
                <w:kern w:val="0"/>
                <w:sz w:val="24"/>
              </w:rPr>
              <w:t>磋商小组成员</w:t>
            </w:r>
          </w:p>
        </w:tc>
        <w:tc>
          <w:tcPr>
            <w:tcW w:w="5675" w:type="dxa"/>
            <w:vAlign w:val="center"/>
          </w:tcPr>
          <w:p>
            <w:pPr>
              <w:autoSpaceDE w:val="0"/>
              <w:autoSpaceDN w:val="0"/>
              <w:adjustRightInd w:val="0"/>
              <w:snapToGrid w:val="0"/>
              <w:spacing w:after="156" w:afterLines="50"/>
              <w:rPr>
                <w:rFonts w:ascii="宋体" w:hAnsi="宋体" w:cs="仿宋_GB2312"/>
                <w:kern w:val="0"/>
                <w:sz w:val="24"/>
              </w:rPr>
            </w:pPr>
            <w:r>
              <w:rPr>
                <w:rFonts w:ascii="宋体" w:hAnsi="宋体" w:cs="仿宋_GB2312"/>
                <w:kern w:val="0"/>
                <w:sz w:val="24"/>
              </w:rPr>
              <w:t>采购人代表</w:t>
            </w:r>
            <w:r>
              <w:rPr>
                <w:rFonts w:hint="eastAsia" w:ascii="宋体" w:hAnsi="宋体" w:cs="仿宋_GB2312"/>
                <w:kern w:val="0"/>
                <w:sz w:val="24"/>
              </w:rPr>
              <w:t>1人</w:t>
            </w:r>
          </w:p>
          <w:p>
            <w:pPr>
              <w:autoSpaceDE w:val="0"/>
              <w:autoSpaceDN w:val="0"/>
              <w:adjustRightInd w:val="0"/>
              <w:snapToGrid w:val="0"/>
              <w:spacing w:after="156" w:afterLines="50"/>
              <w:rPr>
                <w:rFonts w:ascii="宋体" w:hAnsi="宋体" w:cs="仿宋_GB2312"/>
                <w:b/>
                <w:kern w:val="0"/>
                <w:sz w:val="24"/>
              </w:rPr>
            </w:pPr>
            <w:r>
              <w:rPr>
                <w:rFonts w:hint="eastAsia" w:ascii="宋体" w:hAnsi="宋体" w:cs="仿宋_GB2312"/>
                <w:kern w:val="0"/>
                <w:sz w:val="24"/>
              </w:rPr>
              <w:t>从综合专家库抽取的评审专家 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_Ref527102841 \r \h  \* MERGEFORMAT </w:instrText>
            </w:r>
            <w:r>
              <w:fldChar w:fldCharType="separate"/>
            </w:r>
            <w:r>
              <w:rPr>
                <w:rFonts w:ascii="宋体" w:hAnsi="宋体" w:cs="TimesNewRomanPSMT"/>
                <w:kern w:val="0"/>
                <w:sz w:val="20"/>
                <w:szCs w:val="21"/>
              </w:rPr>
              <w:t>6.1</w:t>
            </w:r>
            <w:r>
              <w:rPr>
                <w:rFonts w:ascii="宋体" w:hAnsi="宋体" w:cs="TimesNewRomanPSMT"/>
                <w:kern w:val="0"/>
                <w:sz w:val="20"/>
                <w:szCs w:val="21"/>
              </w:rPr>
              <w:fldChar w:fldCharType="end"/>
            </w:r>
          </w:p>
        </w:tc>
        <w:tc>
          <w:tcPr>
            <w:tcW w:w="2515" w:type="dxa"/>
            <w:vAlign w:val="center"/>
          </w:tcPr>
          <w:p>
            <w:pPr>
              <w:jc w:val="center"/>
            </w:pPr>
            <w:r>
              <w:rPr>
                <w:rFonts w:hint="eastAsia"/>
              </w:rPr>
              <w:t>确定成交供应商方式</w:t>
            </w:r>
          </w:p>
        </w:tc>
        <w:tc>
          <w:tcPr>
            <w:tcW w:w="5675" w:type="dxa"/>
            <w:vAlign w:val="center"/>
          </w:tcPr>
          <w:p>
            <w:pPr>
              <w:autoSpaceDE w:val="0"/>
              <w:autoSpaceDN w:val="0"/>
              <w:adjustRightInd w:val="0"/>
              <w:snapToGrid w:val="0"/>
              <w:spacing w:after="156" w:afterLines="50"/>
              <w:rPr>
                <w:rFonts w:ascii="宋体" w:hAnsi="宋体" w:cs="仿宋_GB2312"/>
                <w:kern w:val="0"/>
                <w:sz w:val="24"/>
              </w:rPr>
            </w:pPr>
            <w:r>
              <w:rPr>
                <w:rFonts w:hint="eastAsia" w:ascii="宋体" w:hAnsi="宋体" w:cs="仿宋_GB2312"/>
                <w:kern w:val="0"/>
                <w:sz w:val="24"/>
              </w:rPr>
              <w:sym w:font="Wingdings 2" w:char="0052"/>
            </w:r>
            <w:r>
              <w:rPr>
                <w:rFonts w:hint="eastAsia" w:ascii="宋体" w:hAnsi="宋体" w:cs="仿宋_GB2312"/>
                <w:kern w:val="0"/>
                <w:sz w:val="24"/>
              </w:rPr>
              <w:t>采购人</w:t>
            </w:r>
          </w:p>
          <w:p>
            <w:pPr>
              <w:autoSpaceDE w:val="0"/>
              <w:autoSpaceDN w:val="0"/>
              <w:adjustRightInd w:val="0"/>
              <w:snapToGrid w:val="0"/>
              <w:spacing w:after="156" w:afterLines="50"/>
              <w:rPr>
                <w:rFonts w:ascii="宋体" w:hAnsi="宋体" w:cs="仿宋_GB2312"/>
                <w:b/>
                <w:kern w:val="0"/>
                <w:sz w:val="24"/>
              </w:rPr>
            </w:pPr>
            <w:r>
              <w:rPr>
                <w:rFonts w:hint="eastAsia" w:ascii="宋体" w:hAnsi="宋体" w:cs="仿宋_GB2312"/>
                <w:kern w:val="0"/>
                <w:sz w:val="24"/>
              </w:rPr>
              <w:t>□采购人授权磋商小组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_Ref421009348 \r \h  \* MERGEFORMAT </w:instrText>
            </w:r>
            <w:r>
              <w:fldChar w:fldCharType="separate"/>
            </w:r>
            <w:r>
              <w:rPr>
                <w:rFonts w:ascii="宋体" w:hAnsi="宋体" w:cs="TimesNewRomanPSMT"/>
                <w:kern w:val="0"/>
                <w:sz w:val="20"/>
                <w:szCs w:val="21"/>
              </w:rPr>
              <w:t>6.4.1</w:t>
            </w:r>
            <w:r>
              <w:rPr>
                <w:rFonts w:ascii="宋体" w:hAnsi="宋体" w:cs="TimesNewRomanPSMT"/>
                <w:kern w:val="0"/>
                <w:sz w:val="20"/>
                <w:szCs w:val="21"/>
              </w:rPr>
              <w:fldChar w:fldCharType="end"/>
            </w:r>
          </w:p>
        </w:tc>
        <w:tc>
          <w:tcPr>
            <w:tcW w:w="2515" w:type="dxa"/>
            <w:vAlign w:val="center"/>
          </w:tcPr>
          <w:p>
            <w:pPr>
              <w:jc w:val="center"/>
            </w:pPr>
            <w:r>
              <w:rPr>
                <w:rFonts w:hint="eastAsia"/>
              </w:rPr>
              <w:t>履约保证金</w:t>
            </w:r>
          </w:p>
        </w:tc>
        <w:tc>
          <w:tcPr>
            <w:tcW w:w="5675" w:type="dxa"/>
            <w:vAlign w:val="center"/>
          </w:tcPr>
          <w:p>
            <w:pPr>
              <w:autoSpaceDE w:val="0"/>
              <w:autoSpaceDN w:val="0"/>
              <w:adjustRightInd w:val="0"/>
              <w:snapToGrid w:val="0"/>
              <w:spacing w:after="156" w:afterLines="50"/>
              <w:rPr>
                <w:rFonts w:ascii="宋体" w:hAnsi="宋体" w:cs="仿宋_GB2312"/>
                <w:b/>
                <w:kern w:val="0"/>
                <w:sz w:val="24"/>
              </w:rPr>
            </w:pPr>
            <w:r>
              <w:rPr>
                <w:rFonts w:hint="eastAsia" w:ascii="宋体" w:hAnsi="宋体" w:cs="仿宋_GB2312"/>
                <w:kern w:val="0"/>
                <w:sz w:val="24"/>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fldChar w:fldCharType="begin"/>
            </w:r>
            <w:r>
              <w:instrText xml:space="preserve"> REF _Ref527103019 \r \h  \* MERGEFORMAT </w:instrText>
            </w:r>
            <w:r>
              <w:fldChar w:fldCharType="separate"/>
            </w:r>
            <w:r>
              <w:t>9</w:t>
            </w:r>
            <w:r>
              <w:fldChar w:fldCharType="end"/>
            </w:r>
          </w:p>
        </w:tc>
        <w:tc>
          <w:tcPr>
            <w:tcW w:w="8190" w:type="dxa"/>
            <w:gridSpan w:val="2"/>
            <w:vAlign w:val="center"/>
          </w:tcPr>
          <w:p>
            <w:pPr>
              <w:autoSpaceDE w:val="0"/>
              <w:autoSpaceDN w:val="0"/>
              <w:adjustRightInd w:val="0"/>
              <w:snapToGrid w:val="0"/>
              <w:rPr>
                <w:rFonts w:ascii="宋体" w:hAnsi="宋体" w:cs="仿宋_GB2312"/>
                <w:kern w:val="0"/>
                <w:sz w:val="24"/>
              </w:rPr>
            </w:pPr>
            <w:r>
              <w:rPr>
                <w:rFonts w:hint="eastAsia" w:ascii="宋体" w:hAnsi="宋体" w:cs="仿宋_GB2312"/>
                <w:kern w:val="0"/>
                <w:sz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rPr>
                <w:rFonts w:ascii="宋体" w:hAnsi="宋体" w:cs="TimesNewRomanPSMT"/>
                <w:kern w:val="0"/>
                <w:sz w:val="20"/>
                <w:szCs w:val="21"/>
              </w:rPr>
              <w:t>（</w:t>
            </w:r>
            <w:r>
              <w:rPr>
                <w:rFonts w:hint="eastAsia" w:ascii="宋体" w:hAnsi="宋体" w:cs="TimesNewRomanPSMT"/>
                <w:kern w:val="0"/>
                <w:sz w:val="20"/>
                <w:szCs w:val="21"/>
              </w:rPr>
              <w:t>1）</w:t>
            </w:r>
          </w:p>
        </w:tc>
        <w:tc>
          <w:tcPr>
            <w:tcW w:w="8190" w:type="dxa"/>
            <w:gridSpan w:val="2"/>
            <w:vAlign w:val="center"/>
          </w:tcPr>
          <w:p>
            <w:pPr>
              <w:autoSpaceDE w:val="0"/>
              <w:autoSpaceDN w:val="0"/>
              <w:adjustRightInd w:val="0"/>
              <w:snapToGrid w:val="0"/>
              <w:spacing w:after="156" w:afterLines="50" w:line="360" w:lineRule="auto"/>
              <w:rPr>
                <w:rFonts w:ascii="宋体" w:hAnsi="宋体" w:cs="仿宋_GB2312"/>
                <w:kern w:val="0"/>
                <w:sz w:val="24"/>
                <w:lang w:val="zh-CN"/>
              </w:rPr>
            </w:pPr>
            <w:r>
              <w:rPr>
                <w:rFonts w:hint="eastAsia" w:ascii="宋体" w:hAnsi="宋体" w:cs="仿宋_GB2312"/>
                <w:kern w:val="0"/>
                <w:sz w:val="24"/>
                <w:lang w:val="zh-CN"/>
              </w:rPr>
              <w:t>注意事项:</w:t>
            </w:r>
          </w:p>
          <w:p>
            <w:pPr>
              <w:autoSpaceDE w:val="0"/>
              <w:autoSpaceDN w:val="0"/>
              <w:adjustRightInd w:val="0"/>
              <w:snapToGrid w:val="0"/>
              <w:spacing w:line="360" w:lineRule="auto"/>
              <w:ind w:firstLine="480" w:firstLineChars="200"/>
              <w:rPr>
                <w:rFonts w:ascii="宋体" w:hAnsi="宋体" w:cs="仿宋_GB2312"/>
                <w:kern w:val="0"/>
                <w:sz w:val="24"/>
              </w:rPr>
            </w:pPr>
            <w:r>
              <w:rPr>
                <w:rFonts w:hint="eastAsia" w:ascii="宋体" w:hAnsi="宋体" w:cs="仿宋_GB2312"/>
                <w:kern w:val="0"/>
                <w:sz w:val="24"/>
                <w:lang w:val="zh-CN"/>
              </w:rPr>
              <w:t>供应商须保证在本项目谈判过程中所提供资料真实有效，若发现有伪造编制，弄虚作假骗取成交，采购人将取消其谈判资格，成交的取消成交资格，并将其不良行为上报有关行政主管部门。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188" w:type="dxa"/>
            <w:vAlign w:val="center"/>
          </w:tcPr>
          <w:p>
            <w:pPr>
              <w:autoSpaceDE w:val="0"/>
              <w:autoSpaceDN w:val="0"/>
              <w:adjustRightInd w:val="0"/>
              <w:snapToGrid w:val="0"/>
              <w:jc w:val="center"/>
              <w:rPr>
                <w:rFonts w:ascii="宋体" w:hAnsi="宋体" w:cs="TimesNewRomanPSMT"/>
                <w:kern w:val="0"/>
                <w:sz w:val="20"/>
                <w:szCs w:val="21"/>
              </w:rPr>
            </w:pPr>
            <w:r>
              <w:rPr>
                <w:rFonts w:hint="eastAsia" w:ascii="宋体" w:hAnsi="宋体" w:cs="TimesNewRomanPSMT"/>
                <w:kern w:val="0"/>
                <w:sz w:val="20"/>
                <w:szCs w:val="21"/>
              </w:rPr>
              <w:t>(2)</w:t>
            </w:r>
          </w:p>
        </w:tc>
        <w:tc>
          <w:tcPr>
            <w:tcW w:w="8190" w:type="dxa"/>
            <w:gridSpan w:val="2"/>
            <w:vAlign w:val="center"/>
          </w:tcPr>
          <w:p>
            <w:pPr>
              <w:autoSpaceDE w:val="0"/>
              <w:autoSpaceDN w:val="0"/>
              <w:adjustRightInd w:val="0"/>
              <w:snapToGrid w:val="0"/>
              <w:spacing w:line="360" w:lineRule="auto"/>
              <w:rPr>
                <w:rFonts w:ascii="宋体" w:hAnsi="宋体" w:cs="仿宋_GB2312"/>
                <w:kern w:val="0"/>
                <w:sz w:val="24"/>
                <w:lang w:val="zh-CN"/>
              </w:rPr>
            </w:pPr>
            <w:r>
              <w:rPr>
                <w:rFonts w:hint="eastAsia" w:ascii="宋体" w:hAnsi="宋体" w:cs="仿宋_GB2312"/>
                <w:kern w:val="0"/>
                <w:sz w:val="24"/>
                <w:lang w:val="zh-CN"/>
              </w:rPr>
              <w:t>招标代理服务费：按《关于降低部分招标代理服务收费标准的通知》(琼价费管【2011】225号)的规定八折向成交人收取23300元。除按规定收取代理服务费外，受托人不得以评审专家劳务费等名义向中标单位收取其他费用。在发出成交通知书前由成交人一次性向招标代理机构支付。</w:t>
            </w:r>
          </w:p>
        </w:tc>
      </w:tr>
    </w:tbl>
    <w:p>
      <w:pPr>
        <w:rPr>
          <w:kern w:val="0"/>
        </w:rPr>
      </w:pPr>
    </w:p>
    <w:p>
      <w:pPr>
        <w:rPr>
          <w:kern w:val="0"/>
        </w:rPr>
      </w:pPr>
    </w:p>
    <w:p>
      <w:pPr>
        <w:rPr>
          <w:rFonts w:cs="黑体"/>
          <w:kern w:val="0"/>
          <w:sz w:val="28"/>
          <w:szCs w:val="28"/>
        </w:rPr>
      </w:pPr>
      <w:r>
        <w:rPr>
          <w:kern w:val="0"/>
        </w:rPr>
        <w:br w:type="page"/>
      </w:r>
    </w:p>
    <w:p>
      <w:pPr>
        <w:autoSpaceDE w:val="0"/>
        <w:autoSpaceDN w:val="0"/>
        <w:adjustRightInd w:val="0"/>
        <w:snapToGrid w:val="0"/>
        <w:spacing w:after="156" w:afterLines="50"/>
        <w:jc w:val="center"/>
        <w:outlineLvl w:val="1"/>
        <w:rPr>
          <w:rFonts w:ascii="宋体" w:hAnsi="宋体" w:cs="黑体"/>
          <w:kern w:val="0"/>
          <w:sz w:val="28"/>
          <w:szCs w:val="28"/>
        </w:rPr>
      </w:pPr>
      <w:bookmarkStart w:id="15" w:name="_Toc16578"/>
      <w:bookmarkStart w:id="16" w:name="_Toc12870"/>
      <w:r>
        <w:rPr>
          <w:rFonts w:hint="eastAsia" w:ascii="宋体" w:hAnsi="宋体" w:cs="黑体"/>
          <w:kern w:val="0"/>
          <w:sz w:val="28"/>
          <w:szCs w:val="28"/>
        </w:rPr>
        <w:t>（二）供应商须知</w:t>
      </w:r>
      <w:bookmarkEnd w:id="15"/>
      <w:bookmarkEnd w:id="16"/>
    </w:p>
    <w:p>
      <w:pPr>
        <w:numPr>
          <w:ilvl w:val="0"/>
          <w:numId w:val="5"/>
        </w:numPr>
        <w:autoSpaceDE w:val="0"/>
        <w:autoSpaceDN w:val="0"/>
        <w:adjustRightInd w:val="0"/>
        <w:spacing w:after="156" w:afterLines="50"/>
        <w:outlineLvl w:val="2"/>
        <w:rPr>
          <w:rFonts w:ascii="黑体" w:hAnsi="宋体" w:eastAsia="黑体" w:cs="黑体"/>
          <w:kern w:val="0"/>
          <w:sz w:val="24"/>
        </w:rPr>
      </w:pPr>
      <w:bookmarkStart w:id="17" w:name="_Toc195921793"/>
      <w:r>
        <w:rPr>
          <w:rFonts w:hint="eastAsia" w:ascii="黑体" w:hAnsi="宋体" w:eastAsia="黑体" w:cs="黑体"/>
          <w:kern w:val="0"/>
          <w:sz w:val="24"/>
        </w:rPr>
        <w:t>总则</w:t>
      </w:r>
      <w:bookmarkEnd w:id="17"/>
    </w:p>
    <w:p>
      <w:pPr>
        <w:numPr>
          <w:ilvl w:val="1"/>
          <w:numId w:val="5"/>
        </w:numPr>
        <w:autoSpaceDE w:val="0"/>
        <w:autoSpaceDN w:val="0"/>
        <w:adjustRightInd w:val="0"/>
        <w:snapToGrid w:val="0"/>
        <w:spacing w:after="156" w:afterLines="50"/>
        <w:rPr>
          <w:rFonts w:ascii="宋体" w:hAnsi="宋体" w:cs="黑体"/>
          <w:kern w:val="0"/>
          <w:sz w:val="24"/>
        </w:rPr>
      </w:pPr>
      <w:bookmarkStart w:id="18" w:name="_Toc195921794"/>
      <w:r>
        <w:rPr>
          <w:rFonts w:hint="eastAsia" w:ascii="宋体" w:hAnsi="宋体" w:cs="黑体"/>
          <w:kern w:val="0"/>
          <w:sz w:val="24"/>
        </w:rPr>
        <w:t>项目概况</w:t>
      </w:r>
      <w:bookmarkEnd w:id="18"/>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根据《中华人民共和国政府采购法》和《中华人民共和国政府采购法实施条例》等有关法律、法规、规章和规范性文件的规定，对本项目通过竞争性磋商进行采购。</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采购人：</w:t>
      </w:r>
      <w:r>
        <w:rPr>
          <w:rFonts w:hint="eastAsia"/>
          <w:sz w:val="24"/>
        </w:rPr>
        <w:t>指依法进行政府采购的国家机关、事业单位、团体组织。本项目采购人见竞争性磋商公告/磋商邀请书</w:t>
      </w:r>
      <w:r>
        <w:rPr>
          <w:rFonts w:hint="eastAsia" w:ascii="宋体" w:hAnsi="宋体" w:cs="黑体"/>
          <w:kern w:val="0"/>
          <w:sz w:val="24"/>
        </w:rPr>
        <w:t>。</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采购代理机构：</w:t>
      </w:r>
      <w:r>
        <w:rPr>
          <w:rFonts w:hint="eastAsia"/>
          <w:sz w:val="24"/>
        </w:rPr>
        <w:t>指采购人委托的采购代理机构。本项目采购代理机构见竞争性磋商公告</w:t>
      </w:r>
      <w:r>
        <w:rPr>
          <w:rFonts w:hint="eastAsia" w:ascii="宋体" w:hAnsi="宋体" w:cs="黑体"/>
          <w:kern w:val="0"/>
          <w:sz w:val="24"/>
        </w:rPr>
        <w:t>。</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采购项目名称：</w:t>
      </w:r>
    </w:p>
    <w:p>
      <w:pPr>
        <w:autoSpaceDE w:val="0"/>
        <w:autoSpaceDN w:val="0"/>
        <w:adjustRightInd w:val="0"/>
        <w:snapToGrid w:val="0"/>
        <w:spacing w:after="156" w:afterLines="50"/>
        <w:ind w:left="1079"/>
        <w:rPr>
          <w:rFonts w:ascii="宋体" w:hAnsi="宋体"/>
          <w:sz w:val="24"/>
        </w:rPr>
      </w:pPr>
      <w:r>
        <w:rPr>
          <w:rFonts w:hint="eastAsia" w:ascii="宋体" w:hAnsi="宋体"/>
          <w:sz w:val="24"/>
        </w:rPr>
        <w:t>见竞争性磋商公告。</w:t>
      </w:r>
    </w:p>
    <w:p>
      <w:pPr>
        <w:numPr>
          <w:ilvl w:val="1"/>
          <w:numId w:val="5"/>
        </w:numPr>
        <w:autoSpaceDE w:val="0"/>
        <w:autoSpaceDN w:val="0"/>
        <w:adjustRightInd w:val="0"/>
        <w:snapToGrid w:val="0"/>
        <w:spacing w:after="156" w:afterLines="50"/>
        <w:rPr>
          <w:rFonts w:ascii="宋体" w:hAnsi="宋体" w:cs="黑体"/>
          <w:kern w:val="0"/>
          <w:sz w:val="24"/>
        </w:rPr>
      </w:pPr>
      <w:bookmarkStart w:id="19" w:name="_Toc195921795"/>
      <w:r>
        <w:rPr>
          <w:rFonts w:hint="eastAsia" w:ascii="宋体" w:hAnsi="宋体" w:cs="黑体"/>
          <w:kern w:val="0"/>
          <w:sz w:val="24"/>
        </w:rPr>
        <w:t>采购预算</w:t>
      </w:r>
      <w:bookmarkEnd w:id="19"/>
      <w:r>
        <w:rPr>
          <w:rFonts w:hint="eastAsia" w:ascii="宋体" w:hAnsi="宋体" w:cs="黑体"/>
          <w:kern w:val="0"/>
          <w:sz w:val="24"/>
        </w:rPr>
        <w:t>及最高限价</w:t>
      </w:r>
    </w:p>
    <w:p>
      <w:pPr>
        <w:autoSpaceDE w:val="0"/>
        <w:autoSpaceDN w:val="0"/>
        <w:adjustRightInd w:val="0"/>
        <w:snapToGrid w:val="0"/>
        <w:spacing w:after="156" w:afterLines="50"/>
        <w:ind w:left="1079"/>
        <w:rPr>
          <w:rFonts w:ascii="宋体" w:hAnsi="宋体"/>
          <w:sz w:val="24"/>
        </w:rPr>
      </w:pPr>
      <w:r>
        <w:rPr>
          <w:rFonts w:hint="eastAsia" w:ascii="宋体" w:hAnsi="宋体"/>
          <w:sz w:val="24"/>
        </w:rPr>
        <w:t>见竞争性磋商公告。</w:t>
      </w:r>
    </w:p>
    <w:p>
      <w:pPr>
        <w:numPr>
          <w:ilvl w:val="1"/>
          <w:numId w:val="5"/>
        </w:numPr>
        <w:autoSpaceDE w:val="0"/>
        <w:autoSpaceDN w:val="0"/>
        <w:adjustRightInd w:val="0"/>
        <w:snapToGrid w:val="0"/>
        <w:spacing w:after="156" w:afterLines="50"/>
        <w:rPr>
          <w:rFonts w:ascii="宋体" w:hAnsi="宋体" w:cs="黑体"/>
          <w:kern w:val="0"/>
          <w:sz w:val="24"/>
        </w:rPr>
      </w:pPr>
      <w:bookmarkStart w:id="20" w:name="_Toc195921796"/>
      <w:r>
        <w:rPr>
          <w:rFonts w:hint="eastAsia" w:ascii="宋体" w:hAnsi="宋体" w:cs="黑体"/>
          <w:kern w:val="0"/>
          <w:sz w:val="24"/>
        </w:rPr>
        <w:t>采购范围、服务期和质量要求</w:t>
      </w:r>
      <w:bookmarkEnd w:id="20"/>
    </w:p>
    <w:p>
      <w:pPr>
        <w:autoSpaceDE w:val="0"/>
        <w:autoSpaceDN w:val="0"/>
        <w:adjustRightInd w:val="0"/>
        <w:snapToGrid w:val="0"/>
        <w:spacing w:after="156" w:afterLines="50"/>
        <w:ind w:left="1079"/>
        <w:rPr>
          <w:rFonts w:ascii="宋体" w:hAnsi="宋体"/>
          <w:sz w:val="24"/>
        </w:rPr>
      </w:pPr>
      <w:r>
        <w:rPr>
          <w:rFonts w:hint="eastAsia" w:ascii="宋体" w:hAnsi="宋体"/>
          <w:sz w:val="24"/>
        </w:rPr>
        <w:t>见采购需求。</w:t>
      </w:r>
    </w:p>
    <w:p>
      <w:pPr>
        <w:numPr>
          <w:ilvl w:val="1"/>
          <w:numId w:val="5"/>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供应商：</w:t>
      </w:r>
      <w:r>
        <w:rPr>
          <w:rFonts w:hint="eastAsia" w:asciiTheme="minorEastAsia" w:hAnsiTheme="minorEastAsia"/>
          <w:sz w:val="24"/>
        </w:rPr>
        <w:t>指递交响应文件的法人、其他组织或者自然人</w:t>
      </w:r>
      <w:r>
        <w:rPr>
          <w:rFonts w:hint="eastAsia" w:ascii="宋体" w:hAnsi="宋体" w:cs="黑体"/>
          <w:kern w:val="0"/>
          <w:sz w:val="24"/>
        </w:rPr>
        <w:t>。</w:t>
      </w:r>
    </w:p>
    <w:p>
      <w:pPr>
        <w:numPr>
          <w:ilvl w:val="1"/>
          <w:numId w:val="5"/>
        </w:numPr>
        <w:autoSpaceDE w:val="0"/>
        <w:autoSpaceDN w:val="0"/>
        <w:adjustRightInd w:val="0"/>
        <w:snapToGrid w:val="0"/>
        <w:spacing w:after="156" w:afterLines="50"/>
        <w:rPr>
          <w:rFonts w:ascii="宋体" w:hAnsi="宋体" w:cs="黑体"/>
          <w:kern w:val="0"/>
          <w:sz w:val="24"/>
        </w:rPr>
      </w:pPr>
      <w:r>
        <w:rPr>
          <w:rFonts w:ascii="宋体" w:hAnsi="宋体" w:cs="黑体"/>
          <w:kern w:val="0"/>
          <w:sz w:val="24"/>
        </w:rPr>
        <w:t>对供应商相关要求</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符合竞争性磋商公告“供应商资格要求”。</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Theme="minorEastAsia" w:hAnsiTheme="minorEastAsia"/>
          <w:sz w:val="24"/>
        </w:rPr>
        <w:t>供应商应当遵循公平竞争的原则，不得恶意串通，不得妨碍其他供应商的竞争行为，不得损害采购人或者其他供应商的合法权益。</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供应商不得以向采购人、采购代理机构、磋商小组成员行贿或者采取其他不正当手段谋取成交。</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竞争性磋商公告规定接受联合体的，还应遵守以下规定：</w:t>
      </w:r>
    </w:p>
    <w:p>
      <w:pPr>
        <w:numPr>
          <w:ilvl w:val="0"/>
          <w:numId w:val="6"/>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联合体各方应按磋商文件提供的格式签订联合体协议书，明确联合体牵头人和各方工作内容和义务；</w:t>
      </w:r>
    </w:p>
    <w:p>
      <w:pPr>
        <w:numPr>
          <w:ilvl w:val="0"/>
          <w:numId w:val="6"/>
        </w:numPr>
        <w:tabs>
          <w:tab w:val="left" w:pos="1701"/>
        </w:tabs>
        <w:autoSpaceDE w:val="0"/>
        <w:autoSpaceDN w:val="0"/>
        <w:adjustRightInd w:val="0"/>
        <w:snapToGrid w:val="0"/>
        <w:spacing w:after="156" w:afterLines="50"/>
        <w:ind w:left="1701" w:hanging="622"/>
        <w:rPr>
          <w:rFonts w:ascii="宋体" w:hAnsi="宋体"/>
          <w:sz w:val="24"/>
        </w:rPr>
      </w:pPr>
      <w:r>
        <w:rPr>
          <w:rFonts w:ascii="宋体" w:hAnsi="宋体"/>
          <w:sz w:val="24"/>
        </w:rPr>
        <w:t>联合体中有同类资质的供应商按照联合体分工承担相同工作的，应当按照资质等级较低的供应商确定联合体的资质等级。</w:t>
      </w:r>
    </w:p>
    <w:p>
      <w:pPr>
        <w:numPr>
          <w:ilvl w:val="0"/>
          <w:numId w:val="6"/>
        </w:numPr>
        <w:tabs>
          <w:tab w:val="left" w:pos="1701"/>
        </w:tabs>
        <w:autoSpaceDE w:val="0"/>
        <w:autoSpaceDN w:val="0"/>
        <w:adjustRightInd w:val="0"/>
        <w:snapToGrid w:val="0"/>
        <w:spacing w:after="156" w:afterLines="50"/>
        <w:ind w:left="1701" w:hanging="622"/>
        <w:rPr>
          <w:rFonts w:ascii="宋体" w:hAnsi="宋体"/>
          <w:sz w:val="24"/>
        </w:rPr>
      </w:pPr>
      <w:r>
        <w:rPr>
          <w:rFonts w:ascii="宋体" w:hAnsi="宋体"/>
          <w:sz w:val="24"/>
        </w:rPr>
        <w:t>联合体各方不得再单独参加或者与其他供应商另外组成联合体参加同一合同项下的</w:t>
      </w:r>
      <w:r>
        <w:rPr>
          <w:rFonts w:hint="eastAsia" w:ascii="宋体" w:hAnsi="宋体"/>
          <w:sz w:val="24"/>
        </w:rPr>
        <w:t>磋商。</w:t>
      </w:r>
    </w:p>
    <w:p>
      <w:pPr>
        <w:numPr>
          <w:ilvl w:val="0"/>
          <w:numId w:val="6"/>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联合体各方应当共同与采购人签订采购合同，就合同约定的事项对采购人承担连带责任。</w:t>
      </w:r>
    </w:p>
    <w:p>
      <w:pPr>
        <w:numPr>
          <w:ilvl w:val="1"/>
          <w:numId w:val="5"/>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本项目将执行在政府采购活动中查询及使用信用记录的规定，具体要求为：</w:t>
      </w:r>
    </w:p>
    <w:p>
      <w:pPr>
        <w:numPr>
          <w:ilvl w:val="0"/>
          <w:numId w:val="7"/>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信用信息查询的截止时点：递交首次响应文件截止时间后。</w:t>
      </w:r>
    </w:p>
    <w:p>
      <w:pPr>
        <w:numPr>
          <w:ilvl w:val="0"/>
          <w:numId w:val="7"/>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查询渠道：“信用中国”网站（</w:t>
      </w:r>
      <w:r>
        <w:rPr>
          <w:rFonts w:ascii="宋体" w:hAnsi="宋体"/>
          <w:sz w:val="24"/>
        </w:rPr>
        <w:t xml:space="preserve">www.creditchina.gov.cn）和中国政府采购网（www.ccgp.gov.cn）； </w:t>
      </w:r>
    </w:p>
    <w:p>
      <w:pPr>
        <w:numPr>
          <w:ilvl w:val="0"/>
          <w:numId w:val="7"/>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信用信息查询记录和证据留存具体方式：将经查询存在不良信用记录的潜在供应商的查询结果网页截图作为查询记录和证据，与其他磋商文件一并保存；</w:t>
      </w:r>
    </w:p>
    <w:p>
      <w:pPr>
        <w:numPr>
          <w:ilvl w:val="0"/>
          <w:numId w:val="7"/>
        </w:numPr>
        <w:tabs>
          <w:tab w:val="left" w:pos="1701"/>
        </w:tabs>
        <w:autoSpaceDE w:val="0"/>
        <w:autoSpaceDN w:val="0"/>
        <w:adjustRightInd w:val="0"/>
        <w:snapToGrid w:val="0"/>
        <w:spacing w:after="156" w:afterLines="50"/>
        <w:ind w:left="1701" w:hanging="622"/>
        <w:rPr>
          <w:rFonts w:ascii="宋体" w:hAnsi="宋体"/>
          <w:sz w:val="24"/>
        </w:rPr>
      </w:pPr>
      <w:r>
        <w:rPr>
          <w:rFonts w:hint="eastAsia" w:ascii="宋体" w:hAnsi="宋体"/>
          <w:sz w:val="24"/>
        </w:rPr>
        <w:t>信用信息的使用规则：</w:t>
      </w:r>
      <w:r>
        <w:rPr>
          <w:rFonts w:ascii="宋体" w:hAnsi="宋体"/>
          <w:sz w:val="24"/>
        </w:rPr>
        <w:t>本政府采购项目的供应商在</w:t>
      </w:r>
      <w:r>
        <w:rPr>
          <w:rFonts w:hint="eastAsia" w:ascii="宋体" w:hAnsi="宋体"/>
          <w:sz w:val="24"/>
        </w:rPr>
        <w:t>信用信息查询</w:t>
      </w:r>
      <w:r>
        <w:rPr>
          <w:rFonts w:ascii="宋体" w:hAnsi="宋体"/>
          <w:sz w:val="24"/>
        </w:rPr>
        <w:t>截止时点（含）之前存在</w:t>
      </w:r>
      <w:r>
        <w:rPr>
          <w:rFonts w:hint="eastAsia" w:ascii="宋体" w:hAnsi="宋体"/>
          <w:sz w:val="24"/>
        </w:rPr>
        <w:t>第一章竞争性磋商公告</w:t>
      </w:r>
      <w:r>
        <w:rPr>
          <w:rFonts w:hint="eastAsia"/>
          <w:sz w:val="24"/>
        </w:rPr>
        <w:t>/磋商邀请书“供应商资格要求”中</w:t>
      </w:r>
      <w:r>
        <w:rPr>
          <w:rFonts w:hint="eastAsia" w:ascii="宋体" w:hAnsi="宋体"/>
          <w:sz w:val="24"/>
        </w:rPr>
        <w:t>所述</w:t>
      </w:r>
      <w:r>
        <w:rPr>
          <w:rFonts w:ascii="宋体" w:hAnsi="宋体"/>
          <w:sz w:val="24"/>
        </w:rPr>
        <w:t>不良信用记录的，不得参与磋商。</w:t>
      </w:r>
    </w:p>
    <w:p>
      <w:pPr>
        <w:numPr>
          <w:ilvl w:val="1"/>
          <w:numId w:val="5"/>
        </w:numPr>
        <w:autoSpaceDE w:val="0"/>
        <w:autoSpaceDN w:val="0"/>
        <w:adjustRightInd w:val="0"/>
        <w:snapToGrid w:val="0"/>
        <w:spacing w:after="156" w:afterLines="50"/>
        <w:rPr>
          <w:rFonts w:ascii="宋体" w:hAnsi="宋体" w:cs="黑体"/>
          <w:kern w:val="0"/>
          <w:sz w:val="24"/>
        </w:rPr>
      </w:pPr>
      <w:bookmarkStart w:id="21" w:name="_Ref527101463"/>
      <w:r>
        <w:rPr>
          <w:rFonts w:hint="eastAsia" w:ascii="宋体" w:hAnsi="宋体" w:cs="黑体"/>
          <w:kern w:val="0"/>
          <w:sz w:val="24"/>
        </w:rPr>
        <w:t>分包</w:t>
      </w:r>
      <w:bookmarkEnd w:id="21"/>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供应商须知前附表规定允许分包的，供应商应根据磋商文件的规定和采购项目的实际情况，将拟在成交后将采购项目的非主体、非关键性工作分包的，在响应文件中载明分包承担主体，分包承担主体应当具备相应资质条件且不得再次分包。政府采购合同分包履行的，成交供应商就采购项目和分包项目向采购人负责，分包人就分包项目承担责任。</w:t>
      </w:r>
    </w:p>
    <w:p>
      <w:pPr>
        <w:numPr>
          <w:ilvl w:val="1"/>
          <w:numId w:val="5"/>
        </w:numPr>
        <w:autoSpaceDE w:val="0"/>
        <w:autoSpaceDN w:val="0"/>
        <w:adjustRightInd w:val="0"/>
        <w:snapToGrid w:val="0"/>
        <w:spacing w:after="156" w:afterLines="50"/>
        <w:rPr>
          <w:rFonts w:ascii="宋体" w:hAnsi="宋体" w:cs="黑体"/>
          <w:kern w:val="0"/>
          <w:sz w:val="24"/>
        </w:rPr>
      </w:pPr>
      <w:bookmarkStart w:id="22" w:name="_Toc195921799"/>
      <w:r>
        <w:rPr>
          <w:rFonts w:hint="eastAsia" w:ascii="宋体" w:hAnsi="宋体" w:cs="黑体"/>
          <w:kern w:val="0"/>
          <w:sz w:val="24"/>
        </w:rPr>
        <w:t>费用承担</w:t>
      </w:r>
      <w:bookmarkEnd w:id="22"/>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供应商准备和参加磋商活动发生的费用自理。</w:t>
      </w:r>
    </w:p>
    <w:p>
      <w:pPr>
        <w:numPr>
          <w:ilvl w:val="1"/>
          <w:numId w:val="5"/>
        </w:numPr>
        <w:autoSpaceDE w:val="0"/>
        <w:autoSpaceDN w:val="0"/>
        <w:adjustRightInd w:val="0"/>
        <w:snapToGrid w:val="0"/>
        <w:spacing w:after="156" w:afterLines="50"/>
        <w:rPr>
          <w:rFonts w:ascii="宋体" w:hAnsi="宋体" w:cs="黑体"/>
          <w:kern w:val="0"/>
          <w:sz w:val="24"/>
        </w:rPr>
      </w:pPr>
      <w:bookmarkStart w:id="23" w:name="_Toc195921800"/>
      <w:r>
        <w:rPr>
          <w:rFonts w:hint="eastAsia" w:ascii="宋体" w:hAnsi="宋体" w:cs="黑体"/>
          <w:kern w:val="0"/>
          <w:sz w:val="24"/>
        </w:rPr>
        <w:t>保密</w:t>
      </w:r>
      <w:bookmarkEnd w:id="23"/>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参与磋商活动的各方应对磋商文件和响应文件中的商业和技术等秘密保密，违者应对由此造成的后果承担法律责任。</w:t>
      </w:r>
    </w:p>
    <w:p>
      <w:pPr>
        <w:numPr>
          <w:ilvl w:val="1"/>
          <w:numId w:val="5"/>
        </w:numPr>
        <w:autoSpaceDE w:val="0"/>
        <w:autoSpaceDN w:val="0"/>
        <w:adjustRightInd w:val="0"/>
        <w:snapToGrid w:val="0"/>
        <w:spacing w:after="156" w:afterLines="50"/>
        <w:rPr>
          <w:rFonts w:ascii="宋体" w:hAnsi="宋体" w:cs="黑体"/>
          <w:kern w:val="0"/>
          <w:sz w:val="24"/>
        </w:rPr>
      </w:pPr>
      <w:bookmarkStart w:id="24" w:name="_Toc195921801"/>
      <w:r>
        <w:rPr>
          <w:rFonts w:hint="eastAsia" w:ascii="宋体" w:hAnsi="宋体" w:cs="黑体"/>
          <w:kern w:val="0"/>
          <w:sz w:val="24"/>
        </w:rPr>
        <w:t>语言文字</w:t>
      </w:r>
      <w:bookmarkEnd w:id="24"/>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除专用术语外，与磋商有关的语言均使用中文。必要时专用术语应附有中文注释。</w:t>
      </w:r>
    </w:p>
    <w:p>
      <w:pPr>
        <w:numPr>
          <w:ilvl w:val="1"/>
          <w:numId w:val="5"/>
        </w:numPr>
        <w:autoSpaceDE w:val="0"/>
        <w:autoSpaceDN w:val="0"/>
        <w:adjustRightInd w:val="0"/>
        <w:snapToGrid w:val="0"/>
        <w:spacing w:after="156" w:afterLines="50"/>
        <w:rPr>
          <w:rFonts w:ascii="宋体" w:hAnsi="宋体" w:cs="黑体"/>
          <w:kern w:val="0"/>
          <w:sz w:val="24"/>
        </w:rPr>
      </w:pPr>
      <w:bookmarkStart w:id="25" w:name="_Toc195921802"/>
      <w:r>
        <w:rPr>
          <w:rFonts w:hint="eastAsia" w:ascii="宋体" w:hAnsi="宋体" w:cs="黑体"/>
          <w:kern w:val="0"/>
          <w:sz w:val="24"/>
        </w:rPr>
        <w:t>计量单位</w:t>
      </w:r>
      <w:bookmarkEnd w:id="25"/>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所有计量均采用中华人民共和国法定计量单位。</w:t>
      </w:r>
    </w:p>
    <w:p>
      <w:pPr>
        <w:numPr>
          <w:ilvl w:val="1"/>
          <w:numId w:val="5"/>
        </w:numPr>
        <w:autoSpaceDE w:val="0"/>
        <w:autoSpaceDN w:val="0"/>
        <w:adjustRightInd w:val="0"/>
        <w:snapToGrid w:val="0"/>
        <w:spacing w:after="156" w:afterLines="50"/>
        <w:rPr>
          <w:rFonts w:ascii="宋体" w:hAnsi="宋体" w:cs="黑体"/>
          <w:kern w:val="0"/>
          <w:sz w:val="24"/>
        </w:rPr>
      </w:pPr>
      <w:bookmarkStart w:id="26" w:name="_Ref527101478"/>
      <w:r>
        <w:rPr>
          <w:rFonts w:ascii="宋体" w:hAnsi="宋体" w:cs="黑体"/>
          <w:kern w:val="0"/>
          <w:sz w:val="24"/>
        </w:rPr>
        <w:t>踏勘现场</w:t>
      </w:r>
      <w:bookmarkEnd w:id="26"/>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bookmarkStart w:id="27" w:name="_Ref527292580"/>
      <w:r>
        <w:rPr>
          <w:rFonts w:ascii="宋体" w:hAnsi="宋体" w:cs="黑体"/>
          <w:kern w:val="0"/>
          <w:sz w:val="24"/>
        </w:rPr>
        <w:t>供应商须知前附表规定组织踏勘现场的，采购人须按照规定时间、地点组织供应商踏勘项目现场。</w:t>
      </w:r>
      <w:bookmarkEnd w:id="27"/>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ascii="宋体" w:hAnsi="宋体" w:cs="黑体"/>
          <w:kern w:val="0"/>
          <w:sz w:val="24"/>
        </w:rPr>
        <w:t>供应商承担踏勘现场所发生的自身费用、责任和风险。</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ascii="宋体" w:hAnsi="宋体" w:cs="黑体"/>
          <w:kern w:val="0"/>
          <w:sz w:val="24"/>
        </w:rPr>
        <w:t>采购人向供应商提供的有关现场的资料和数据，是采购人现有的能被供应商利用的资料，采购人不对供应商由此而做出的推论、理解和结论负责。</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ascii="宋体" w:hAnsi="宋体" w:cs="黑体"/>
          <w:kern w:val="0"/>
          <w:sz w:val="24"/>
        </w:rPr>
        <w:t>除采购人原因外，供应商应对踏勘现场而造成的人员伤亡、财产损失以及由此引起的连带责任和费用负责。</w:t>
      </w:r>
    </w:p>
    <w:p>
      <w:pPr>
        <w:autoSpaceDE w:val="0"/>
        <w:autoSpaceDN w:val="0"/>
        <w:adjustRightInd w:val="0"/>
        <w:snapToGrid w:val="0"/>
        <w:spacing w:after="156" w:afterLines="50"/>
        <w:ind w:left="1134" w:leftChars="540"/>
        <w:rPr>
          <w:rFonts w:ascii="宋体" w:hAnsi="宋体" w:cs="黑体"/>
          <w:kern w:val="0"/>
          <w:sz w:val="24"/>
        </w:rPr>
      </w:pPr>
    </w:p>
    <w:p>
      <w:pPr>
        <w:numPr>
          <w:ilvl w:val="0"/>
          <w:numId w:val="5"/>
        </w:numPr>
        <w:autoSpaceDE w:val="0"/>
        <w:autoSpaceDN w:val="0"/>
        <w:adjustRightInd w:val="0"/>
        <w:spacing w:after="156" w:afterLines="50"/>
        <w:outlineLvl w:val="2"/>
        <w:rPr>
          <w:rFonts w:ascii="黑体" w:hAnsi="宋体" w:eastAsia="黑体" w:cs="黑体"/>
          <w:kern w:val="0"/>
          <w:sz w:val="24"/>
        </w:rPr>
      </w:pPr>
      <w:r>
        <w:rPr>
          <w:rFonts w:hint="eastAsia" w:ascii="黑体" w:hAnsi="宋体" w:eastAsia="黑体" w:cs="黑体"/>
          <w:kern w:val="0"/>
          <w:sz w:val="24"/>
        </w:rPr>
        <w:t>磋商文件</w:t>
      </w:r>
    </w:p>
    <w:p>
      <w:pPr>
        <w:numPr>
          <w:ilvl w:val="1"/>
          <w:numId w:val="5"/>
        </w:numPr>
        <w:autoSpaceDE w:val="0"/>
        <w:autoSpaceDN w:val="0"/>
        <w:adjustRightInd w:val="0"/>
        <w:snapToGrid w:val="0"/>
        <w:spacing w:after="156" w:afterLines="50"/>
        <w:rPr>
          <w:rFonts w:ascii="宋体" w:hAnsi="宋体" w:cs="黑体"/>
          <w:kern w:val="0"/>
          <w:sz w:val="24"/>
        </w:rPr>
      </w:pPr>
      <w:bookmarkStart w:id="28" w:name="_Toc195921808"/>
      <w:r>
        <w:rPr>
          <w:rFonts w:hint="eastAsia" w:ascii="宋体" w:hAnsi="宋体" w:cs="黑体"/>
          <w:kern w:val="0"/>
          <w:sz w:val="24"/>
        </w:rPr>
        <w:t>磋商文件的组成</w:t>
      </w:r>
      <w:bookmarkEnd w:id="28"/>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本磋商文件包括：</w:t>
      </w:r>
    </w:p>
    <w:p>
      <w:pPr>
        <w:pStyle w:val="425"/>
        <w:numPr>
          <w:ilvl w:val="0"/>
          <w:numId w:val="8"/>
        </w:numPr>
        <w:autoSpaceDE w:val="0"/>
        <w:autoSpaceDN w:val="0"/>
        <w:adjustRightInd w:val="0"/>
        <w:snapToGrid w:val="0"/>
        <w:spacing w:after="156" w:afterLines="50"/>
        <w:ind w:firstLineChars="0"/>
        <w:rPr>
          <w:rFonts w:ascii="宋体" w:hAnsi="宋体" w:cs="黑体"/>
          <w:kern w:val="0"/>
          <w:sz w:val="24"/>
        </w:rPr>
      </w:pPr>
      <w:r>
        <w:rPr>
          <w:rFonts w:hint="eastAsia" w:ascii="宋体" w:hAnsi="宋体" w:cs="黑体"/>
          <w:kern w:val="0"/>
          <w:sz w:val="24"/>
        </w:rPr>
        <w:t>竞争性磋商公告；</w:t>
      </w:r>
    </w:p>
    <w:p>
      <w:pPr>
        <w:pStyle w:val="425"/>
        <w:numPr>
          <w:ilvl w:val="0"/>
          <w:numId w:val="8"/>
        </w:numPr>
        <w:autoSpaceDE w:val="0"/>
        <w:autoSpaceDN w:val="0"/>
        <w:adjustRightInd w:val="0"/>
        <w:snapToGrid w:val="0"/>
        <w:spacing w:after="156" w:afterLines="50"/>
        <w:ind w:firstLineChars="0"/>
        <w:rPr>
          <w:rFonts w:ascii="宋体" w:hAnsi="宋体" w:cs="黑体"/>
          <w:kern w:val="0"/>
          <w:sz w:val="24"/>
        </w:rPr>
      </w:pPr>
      <w:r>
        <w:rPr>
          <w:rFonts w:hint="eastAsia" w:ascii="宋体" w:hAnsi="宋体" w:cs="黑体"/>
          <w:kern w:val="0"/>
          <w:sz w:val="24"/>
        </w:rPr>
        <w:t>供应商须知；</w:t>
      </w:r>
    </w:p>
    <w:p>
      <w:pPr>
        <w:pStyle w:val="425"/>
        <w:numPr>
          <w:ilvl w:val="0"/>
          <w:numId w:val="8"/>
        </w:numPr>
        <w:autoSpaceDE w:val="0"/>
        <w:autoSpaceDN w:val="0"/>
        <w:adjustRightInd w:val="0"/>
        <w:snapToGrid w:val="0"/>
        <w:spacing w:after="156" w:afterLines="50"/>
        <w:ind w:firstLineChars="0"/>
        <w:rPr>
          <w:rFonts w:ascii="宋体" w:hAnsi="宋体" w:cs="黑体"/>
          <w:kern w:val="0"/>
          <w:sz w:val="24"/>
        </w:rPr>
      </w:pPr>
      <w:r>
        <w:rPr>
          <w:rFonts w:hint="eastAsia" w:ascii="宋体" w:hAnsi="宋体" w:cs="黑体"/>
          <w:kern w:val="0"/>
          <w:sz w:val="24"/>
        </w:rPr>
        <w:t>评审办法和标准；</w:t>
      </w:r>
    </w:p>
    <w:p>
      <w:pPr>
        <w:pStyle w:val="425"/>
        <w:numPr>
          <w:ilvl w:val="0"/>
          <w:numId w:val="8"/>
        </w:numPr>
        <w:autoSpaceDE w:val="0"/>
        <w:autoSpaceDN w:val="0"/>
        <w:adjustRightInd w:val="0"/>
        <w:snapToGrid w:val="0"/>
        <w:spacing w:after="156" w:afterLines="50"/>
        <w:ind w:firstLineChars="0"/>
        <w:rPr>
          <w:rFonts w:ascii="宋体" w:hAnsi="宋体" w:cs="黑体"/>
          <w:kern w:val="0"/>
          <w:sz w:val="24"/>
        </w:rPr>
      </w:pPr>
      <w:r>
        <w:rPr>
          <w:rFonts w:hint="eastAsia" w:ascii="宋体" w:hAnsi="宋体" w:cs="黑体"/>
          <w:kern w:val="0"/>
          <w:sz w:val="24"/>
        </w:rPr>
        <w:t>合同条款；</w:t>
      </w:r>
    </w:p>
    <w:p>
      <w:pPr>
        <w:pStyle w:val="425"/>
        <w:numPr>
          <w:ilvl w:val="0"/>
          <w:numId w:val="8"/>
        </w:numPr>
        <w:autoSpaceDE w:val="0"/>
        <w:autoSpaceDN w:val="0"/>
        <w:adjustRightInd w:val="0"/>
        <w:snapToGrid w:val="0"/>
        <w:spacing w:after="156" w:afterLines="50"/>
        <w:ind w:firstLineChars="0"/>
        <w:rPr>
          <w:rFonts w:ascii="宋体" w:hAnsi="宋体" w:cs="黑体"/>
          <w:kern w:val="0"/>
          <w:sz w:val="24"/>
        </w:rPr>
      </w:pPr>
      <w:r>
        <w:rPr>
          <w:rFonts w:hint="eastAsia" w:ascii="宋体" w:hAnsi="宋体" w:cs="黑体"/>
          <w:kern w:val="0"/>
          <w:sz w:val="24"/>
        </w:rPr>
        <w:t>采购需求</w:t>
      </w:r>
    </w:p>
    <w:p>
      <w:pPr>
        <w:pStyle w:val="425"/>
        <w:numPr>
          <w:ilvl w:val="0"/>
          <w:numId w:val="8"/>
        </w:numPr>
        <w:autoSpaceDE w:val="0"/>
        <w:autoSpaceDN w:val="0"/>
        <w:adjustRightInd w:val="0"/>
        <w:snapToGrid w:val="0"/>
        <w:spacing w:after="156" w:afterLines="50"/>
        <w:ind w:firstLineChars="0"/>
        <w:rPr>
          <w:rFonts w:ascii="宋体" w:hAnsi="宋体" w:cs="黑体"/>
          <w:kern w:val="0"/>
          <w:sz w:val="24"/>
        </w:rPr>
      </w:pPr>
      <w:r>
        <w:rPr>
          <w:rFonts w:hint="eastAsia" w:ascii="宋体" w:hAnsi="宋体" w:cs="黑体"/>
          <w:kern w:val="0"/>
          <w:sz w:val="24"/>
        </w:rPr>
        <w:t>响应文件格式。</w:t>
      </w:r>
    </w:p>
    <w:p>
      <w:p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根据本章第</w:t>
      </w:r>
      <w:r>
        <w:fldChar w:fldCharType="begin"/>
      </w:r>
      <w:r>
        <w:instrText xml:space="preserve"> REF _Ref527655465 \r \h  \* MERGEFORMAT </w:instrText>
      </w:r>
      <w:r>
        <w:fldChar w:fldCharType="separate"/>
      </w:r>
      <w:r>
        <w:rPr>
          <w:rFonts w:ascii="宋体" w:hAnsi="宋体" w:cs="黑体"/>
          <w:kern w:val="0"/>
          <w:sz w:val="24"/>
        </w:rPr>
        <w:t>2.2</w:t>
      </w:r>
      <w:r>
        <w:rPr>
          <w:rFonts w:ascii="宋体" w:hAnsi="宋体" w:cs="黑体"/>
          <w:kern w:val="0"/>
          <w:sz w:val="24"/>
        </w:rPr>
        <w:fldChar w:fldCharType="end"/>
      </w:r>
      <w:r>
        <w:rPr>
          <w:rFonts w:hint="eastAsia" w:ascii="宋体" w:hAnsi="宋体" w:cs="黑体"/>
          <w:kern w:val="0"/>
          <w:sz w:val="24"/>
        </w:rPr>
        <w:t>款对磋商文件所作的澄清、修改，构成磋商文件的组成部分。</w:t>
      </w:r>
    </w:p>
    <w:p>
      <w:pPr>
        <w:numPr>
          <w:ilvl w:val="1"/>
          <w:numId w:val="5"/>
        </w:numPr>
        <w:autoSpaceDE w:val="0"/>
        <w:autoSpaceDN w:val="0"/>
        <w:adjustRightInd w:val="0"/>
        <w:snapToGrid w:val="0"/>
        <w:spacing w:after="156" w:afterLines="50"/>
        <w:rPr>
          <w:rFonts w:ascii="宋体" w:hAnsi="宋体" w:cs="黑体"/>
          <w:kern w:val="0"/>
          <w:sz w:val="24"/>
        </w:rPr>
      </w:pPr>
      <w:bookmarkStart w:id="29" w:name="_Ref426441946"/>
      <w:bookmarkStart w:id="30" w:name="_Toc195921809"/>
      <w:bookmarkStart w:id="31" w:name="_Ref527655465"/>
      <w:r>
        <w:rPr>
          <w:rFonts w:hint="eastAsia" w:ascii="宋体" w:hAnsi="宋体" w:cs="黑体"/>
          <w:kern w:val="0"/>
          <w:sz w:val="24"/>
        </w:rPr>
        <w:t>磋商文件的澄清</w:t>
      </w:r>
      <w:bookmarkEnd w:id="29"/>
      <w:bookmarkEnd w:id="30"/>
      <w:r>
        <w:rPr>
          <w:rFonts w:hint="eastAsia" w:ascii="宋体" w:hAnsi="宋体" w:cs="黑体"/>
          <w:kern w:val="0"/>
          <w:sz w:val="24"/>
        </w:rPr>
        <w:t>或修改</w:t>
      </w:r>
      <w:bookmarkEnd w:id="31"/>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供应商应仔细阅读和检查磋商文件的全部内容。如发现缺页或附件不全，应及时向采购人提出，以便补齐。</w:t>
      </w:r>
    </w:p>
    <w:p>
      <w:pPr>
        <w:numPr>
          <w:ilvl w:val="2"/>
          <w:numId w:val="5"/>
        </w:numPr>
        <w:tabs>
          <w:tab w:val="left" w:pos="1260"/>
        </w:tabs>
        <w:autoSpaceDE w:val="0"/>
        <w:autoSpaceDN w:val="0"/>
        <w:adjustRightInd w:val="0"/>
        <w:snapToGrid w:val="0"/>
        <w:spacing w:after="156" w:afterLines="50"/>
        <w:rPr>
          <w:rFonts w:ascii="宋体" w:hAnsi="宋体"/>
          <w:sz w:val="24"/>
        </w:rPr>
      </w:pPr>
      <w:bookmarkStart w:id="32" w:name="_Ref527101604"/>
      <w:r>
        <w:rPr>
          <w:rFonts w:hint="eastAsia" w:ascii="宋体" w:hAnsi="宋体"/>
          <w:sz w:val="24"/>
        </w:rPr>
        <w:t>供应商</w:t>
      </w:r>
      <w:r>
        <w:rPr>
          <w:rFonts w:hint="eastAsia" w:ascii="宋体" w:hAnsi="宋体" w:cs="黑体"/>
          <w:kern w:val="0"/>
          <w:sz w:val="24"/>
        </w:rPr>
        <w:t>如有疑问</w:t>
      </w:r>
      <w:r>
        <w:rPr>
          <w:rFonts w:cs="宋体" w:asciiTheme="minorEastAsia" w:hAnsiTheme="minorEastAsia" w:eastAsiaTheme="minorEastAsia"/>
          <w:sz w:val="24"/>
        </w:rPr>
        <w:t>可以在供应商须知前附表规定的时间内向采购人提出询问</w:t>
      </w:r>
      <w:r>
        <w:rPr>
          <w:rFonts w:hint="eastAsia" w:ascii="宋体" w:hAnsi="宋体" w:cs="黑体"/>
          <w:kern w:val="0"/>
          <w:sz w:val="24"/>
        </w:rPr>
        <w:t>，要求采购人对磋商文件予以澄清。</w:t>
      </w:r>
      <w:bookmarkEnd w:id="32"/>
    </w:p>
    <w:p>
      <w:pPr>
        <w:numPr>
          <w:ilvl w:val="2"/>
          <w:numId w:val="5"/>
        </w:numPr>
        <w:tabs>
          <w:tab w:val="left" w:pos="1260"/>
        </w:tabs>
        <w:autoSpaceDE w:val="0"/>
        <w:autoSpaceDN w:val="0"/>
        <w:adjustRightInd w:val="0"/>
        <w:snapToGrid w:val="0"/>
        <w:spacing w:after="156" w:afterLines="50"/>
        <w:rPr>
          <w:rFonts w:hAnsi="宋体" w:cs="宋体"/>
          <w:sz w:val="24"/>
        </w:rPr>
      </w:pPr>
      <w:r>
        <w:rPr>
          <w:rFonts w:hint="eastAsia" w:hAnsi="宋体" w:cs="宋体"/>
          <w:sz w:val="24"/>
        </w:rPr>
        <w:t>提交首次响应文件截止之日前，采购人、采购代理机构或者磋商小组可以对已发出的磋商文件进行必要的澄清或者修改，澄清或者修改的内容作为磋商文件</w:t>
      </w:r>
      <w:r>
        <w:rPr>
          <w:rFonts w:hint="eastAsia" w:cs="宋体" w:asciiTheme="minorEastAsia" w:hAnsiTheme="minorEastAsia" w:eastAsiaTheme="minorEastAsia"/>
          <w:sz w:val="24"/>
        </w:rPr>
        <w:t>的组成部分。澄清或者修改的内容可能影响响应文件编制的，采购人、采购代理机构或者磋商小组应当在提交首次响应文件截止之日5日前，以书面形式通知所有接收磋商文件的供应商，不足5日的，应当顺延提交首次响应文件截止之日。</w:t>
      </w:r>
    </w:p>
    <w:p>
      <w:pPr>
        <w:autoSpaceDE w:val="0"/>
        <w:autoSpaceDN w:val="0"/>
        <w:adjustRightInd w:val="0"/>
        <w:snapToGrid w:val="0"/>
        <w:spacing w:after="156" w:afterLines="50"/>
        <w:ind w:left="1134" w:leftChars="540"/>
        <w:rPr>
          <w:rFonts w:hAnsi="宋体" w:cs="宋体"/>
          <w:sz w:val="24"/>
        </w:rPr>
      </w:pPr>
      <w:r>
        <w:rPr>
          <w:rFonts w:hint="eastAsia" w:ascii="宋体" w:hAnsi="宋体" w:cs="黑体"/>
          <w:kern w:val="0"/>
          <w:sz w:val="24"/>
        </w:rPr>
        <w:t>通过发布公告邀请供应商参加磋商的，澄清修改和更正内容将在磋商公告发布媒体上予以公告。</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bookmarkStart w:id="33" w:name="_Ref527292721"/>
      <w:r>
        <w:rPr>
          <w:rFonts w:hint="eastAsia" w:ascii="宋体" w:hAnsi="宋体" w:cs="黑体"/>
          <w:kern w:val="0"/>
          <w:sz w:val="24"/>
        </w:rPr>
        <w:t>供应商应在收到澄清或修改文件后</w:t>
      </w:r>
      <w:r>
        <w:rPr>
          <w:rFonts w:hint="eastAsia" w:ascii="宋体" w:hAnsi="宋体" w:cs="宋体"/>
          <w:sz w:val="24"/>
        </w:rPr>
        <w:t>24小时内或根据澄清通知中要求的时间内</w:t>
      </w:r>
      <w:r>
        <w:rPr>
          <w:rFonts w:hint="eastAsia" w:ascii="宋体" w:hAnsi="宋体" w:cs="黑体"/>
          <w:kern w:val="0"/>
          <w:sz w:val="24"/>
        </w:rPr>
        <w:t>，将加盖公章的回执书面形式通知采购人</w:t>
      </w:r>
      <w:r>
        <w:rPr>
          <w:rFonts w:hAnsi="宋体" w:cs="宋体"/>
          <w:sz w:val="24"/>
        </w:rPr>
        <w:t>、采购代理机构或磋商小组</w:t>
      </w:r>
      <w:r>
        <w:rPr>
          <w:rFonts w:hint="eastAsia" w:ascii="宋体" w:hAnsi="宋体" w:cs="黑体"/>
          <w:kern w:val="0"/>
          <w:sz w:val="24"/>
        </w:rPr>
        <w:t>，确认已收到该澄清。否则，视为同意和接受该澄清或者修改内容。</w:t>
      </w:r>
      <w:bookmarkEnd w:id="33"/>
    </w:p>
    <w:p>
      <w:pPr>
        <w:numPr>
          <w:ilvl w:val="1"/>
          <w:numId w:val="5"/>
        </w:numPr>
        <w:autoSpaceDE w:val="0"/>
        <w:autoSpaceDN w:val="0"/>
        <w:adjustRightInd w:val="0"/>
        <w:snapToGrid w:val="0"/>
        <w:spacing w:after="156" w:afterLines="50"/>
        <w:rPr>
          <w:rFonts w:ascii="宋体" w:hAnsi="宋体" w:cs="黑体"/>
          <w:kern w:val="0"/>
          <w:sz w:val="24"/>
        </w:rPr>
      </w:pPr>
      <w:bookmarkStart w:id="34" w:name="_Ref527101721"/>
      <w:r>
        <w:rPr>
          <w:rFonts w:cs="宋体" w:asciiTheme="minorEastAsia" w:hAnsiTheme="minorEastAsia" w:eastAsiaTheme="minorEastAsia"/>
          <w:sz w:val="24"/>
        </w:rPr>
        <w:t>供应商对磋商文件提出质疑的，</w:t>
      </w:r>
      <w:r>
        <w:rPr>
          <w:rFonts w:hint="eastAsia" w:asciiTheme="minorEastAsia" w:hAnsiTheme="minorEastAsia"/>
          <w:sz w:val="24"/>
        </w:rPr>
        <w:t>应当在获取磋商文件或者磋商文件公告期限届满之日起7个工作日内</w:t>
      </w:r>
      <w:r>
        <w:rPr>
          <w:rFonts w:hint="eastAsia" w:ascii="宋体" w:hAnsi="宋体"/>
          <w:sz w:val="24"/>
        </w:rPr>
        <w:t>，按供应商须知前附表中送达质疑函的方式以书面形式一次性提出质疑</w:t>
      </w:r>
      <w:r>
        <w:rPr>
          <w:rFonts w:cs="宋体" w:asciiTheme="minorEastAsia" w:hAnsiTheme="minorEastAsia" w:eastAsiaTheme="minorEastAsia"/>
          <w:sz w:val="24"/>
        </w:rPr>
        <w:t>。供应商</w:t>
      </w:r>
      <w:r>
        <w:rPr>
          <w:rFonts w:hint="eastAsia" w:asciiTheme="minorEastAsia" w:hAnsiTheme="minorEastAsia"/>
          <w:sz w:val="24"/>
        </w:rPr>
        <w:t>提出质疑应当提交质疑函和必要的证明材料，质疑函的内容应符合政府采购质疑和投诉办法的规定。</w:t>
      </w:r>
      <w:bookmarkEnd w:id="34"/>
    </w:p>
    <w:p>
      <w:pPr>
        <w:numPr>
          <w:ilvl w:val="0"/>
          <w:numId w:val="5"/>
        </w:numPr>
        <w:autoSpaceDE w:val="0"/>
        <w:autoSpaceDN w:val="0"/>
        <w:adjustRightInd w:val="0"/>
        <w:spacing w:after="156" w:afterLines="50"/>
        <w:outlineLvl w:val="2"/>
        <w:rPr>
          <w:rFonts w:ascii="黑体" w:hAnsi="宋体" w:eastAsia="黑体" w:cs="黑体"/>
          <w:kern w:val="0"/>
          <w:sz w:val="24"/>
        </w:rPr>
      </w:pPr>
      <w:r>
        <w:rPr>
          <w:rFonts w:hint="eastAsia" w:ascii="黑体" w:hAnsi="宋体" w:eastAsia="黑体" w:cs="黑体"/>
          <w:kern w:val="0"/>
          <w:sz w:val="24"/>
        </w:rPr>
        <w:t>响应文件编制</w:t>
      </w:r>
    </w:p>
    <w:p>
      <w:pPr>
        <w:numPr>
          <w:ilvl w:val="1"/>
          <w:numId w:val="5"/>
        </w:numPr>
        <w:autoSpaceDE w:val="0"/>
        <w:autoSpaceDN w:val="0"/>
        <w:adjustRightInd w:val="0"/>
        <w:snapToGrid w:val="0"/>
        <w:spacing w:after="156" w:afterLines="50"/>
        <w:rPr>
          <w:rFonts w:ascii="宋体" w:hAnsi="宋体" w:cs="黑体"/>
          <w:kern w:val="0"/>
          <w:sz w:val="24"/>
        </w:rPr>
      </w:pPr>
      <w:bookmarkStart w:id="35" w:name="_Toc195921812"/>
      <w:r>
        <w:rPr>
          <w:rFonts w:hint="eastAsia" w:ascii="宋体" w:hAnsi="宋体" w:cs="黑体"/>
          <w:kern w:val="0"/>
          <w:sz w:val="24"/>
        </w:rPr>
        <w:t>响应文件的组成</w:t>
      </w:r>
      <w:bookmarkEnd w:id="35"/>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响应文件应包括下列内容：</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报价函及其附录；</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法定代表人身份证明；</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授权委托书；</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磋商保证金；</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分项报价表（若有）；</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商务、合同条款偏差表；</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供应商基本情况表</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资格证明文件（详见响应文件格式要求）；</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供应商服务业绩一览表</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小微企业、监狱企业、残疾人福利单位的声明函或证明材料（如有）</w:t>
      </w:r>
      <w:r>
        <w:rPr>
          <w:rFonts w:ascii="宋体" w:hAnsi="宋体" w:cs="黑体"/>
          <w:kern w:val="0"/>
          <w:sz w:val="24"/>
        </w:rPr>
        <w:t>；</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响应承诺书；</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技术偏差表</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对服务的技术规格、数量、服务标准、验收等要求的响应；（如有）</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拟派服务实施人员表和资历表；</w:t>
      </w:r>
    </w:p>
    <w:p>
      <w:pPr>
        <w:numPr>
          <w:ilvl w:val="0"/>
          <w:numId w:val="9"/>
        </w:numPr>
        <w:autoSpaceDE w:val="0"/>
        <w:autoSpaceDN w:val="0"/>
        <w:adjustRightInd w:val="0"/>
        <w:snapToGrid w:val="0"/>
        <w:spacing w:after="156" w:afterLines="50"/>
        <w:rPr>
          <w:rFonts w:ascii="宋体" w:hAnsi="宋体" w:cs="黑体"/>
          <w:kern w:val="0"/>
          <w:sz w:val="24"/>
        </w:rPr>
      </w:pPr>
      <w:r>
        <w:rPr>
          <w:rFonts w:ascii="宋体" w:hAnsi="宋体" w:cs="黑体"/>
          <w:kern w:val="0"/>
          <w:sz w:val="24"/>
        </w:rPr>
        <w:t>售后服务支持能力</w:t>
      </w:r>
    </w:p>
    <w:p>
      <w:pPr>
        <w:numPr>
          <w:ilvl w:val="0"/>
          <w:numId w:val="9"/>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供应商其他承诺（如有）；</w:t>
      </w:r>
    </w:p>
    <w:p>
      <w:pPr>
        <w:numPr>
          <w:ilvl w:val="0"/>
          <w:numId w:val="9"/>
        </w:numPr>
        <w:autoSpaceDE w:val="0"/>
        <w:autoSpaceDN w:val="0"/>
        <w:adjustRightInd w:val="0"/>
        <w:snapToGrid w:val="0"/>
        <w:spacing w:after="156" w:afterLines="50"/>
        <w:rPr>
          <w:rFonts w:ascii="宋体" w:hAnsi="宋体" w:cs="黑体"/>
          <w:kern w:val="0"/>
          <w:sz w:val="24"/>
        </w:rPr>
      </w:pPr>
      <w:r>
        <w:rPr>
          <w:rFonts w:ascii="宋体" w:hAnsi="宋体" w:cs="黑体"/>
          <w:kern w:val="0"/>
          <w:sz w:val="24"/>
        </w:rPr>
        <w:t>最后报价函（磋商结束后，根据磋商小组要求提交）；</w:t>
      </w:r>
    </w:p>
    <w:p>
      <w:pPr>
        <w:numPr>
          <w:ilvl w:val="0"/>
          <w:numId w:val="9"/>
        </w:numPr>
        <w:autoSpaceDE w:val="0"/>
        <w:autoSpaceDN w:val="0"/>
        <w:adjustRightInd w:val="0"/>
        <w:snapToGrid w:val="0"/>
        <w:spacing w:after="156" w:afterLines="50"/>
        <w:rPr>
          <w:rFonts w:ascii="宋体" w:hAnsi="宋体" w:cs="黑体"/>
          <w:color w:val="000000" w:themeColor="text1"/>
          <w:kern w:val="0"/>
          <w:sz w:val="24"/>
        </w:rPr>
      </w:pPr>
      <w:r>
        <w:rPr>
          <w:rFonts w:hint="eastAsia" w:ascii="宋体" w:hAnsi="宋体" w:cs="黑体"/>
          <w:color w:val="000000" w:themeColor="text1"/>
          <w:kern w:val="0"/>
          <w:sz w:val="24"/>
        </w:rPr>
        <w:t>磋商文件要求的其他内容以及供应商认为必要的其他内容。</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bookmarkStart w:id="36" w:name="_Toc195921813"/>
      <w:r>
        <w:rPr>
          <w:rFonts w:hint="eastAsia" w:ascii="宋体" w:hAnsi="宋体" w:cs="黑体"/>
          <w:kern w:val="0"/>
          <w:sz w:val="24"/>
        </w:rPr>
        <w:t>首次报价</w:t>
      </w:r>
      <w:bookmarkEnd w:id="36"/>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bookmarkStart w:id="37" w:name="_Toc195921814"/>
      <w:r>
        <w:rPr>
          <w:rFonts w:hint="eastAsia" w:ascii="宋体" w:hAnsi="宋体" w:cs="黑体"/>
          <w:kern w:val="0"/>
          <w:sz w:val="24"/>
        </w:rPr>
        <w:t>供应商应按磋商文件第六章提供的格式进行首次报价。</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所有根据合同或其它原因应由供应商支付的税款和其它应交纳的费用都应包括在供应商提交的报价中。</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ascii="宋体" w:hAnsi="宋体" w:cs="黑体"/>
          <w:kern w:val="0"/>
          <w:sz w:val="24"/>
        </w:rPr>
        <w:t>供应商应仔细阅读所有磋商文件，填报自己认为正确的报价。</w:t>
      </w:r>
    </w:p>
    <w:p>
      <w:pPr>
        <w:numPr>
          <w:ilvl w:val="1"/>
          <w:numId w:val="5"/>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供应商对采购内容只允许有一个报价，采购人不接受任何有选择的报价。</w:t>
      </w:r>
    </w:p>
    <w:p>
      <w:pPr>
        <w:numPr>
          <w:ilvl w:val="1"/>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本项目为总价合同，除非合同另有约定，供应商所报的最后价格在合同执行过程中是固定不变的，不得以任何理由予以变更。任何包含价格调整要求的响应文件，将被认为是非实质响应性而予以拒绝。</w:t>
      </w:r>
    </w:p>
    <w:p>
      <w:pPr>
        <w:numPr>
          <w:ilvl w:val="1"/>
          <w:numId w:val="5"/>
        </w:numPr>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报价不得有选择性报价和附有条件的报价，且不得高于预算价或最高限价，否则其报价无效。</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bookmarkStart w:id="38" w:name="_Ref421009326"/>
      <w:r>
        <w:rPr>
          <w:rFonts w:hint="eastAsia" w:ascii="宋体" w:hAnsi="宋体" w:cs="黑体"/>
          <w:kern w:val="0"/>
          <w:sz w:val="24"/>
        </w:rPr>
        <w:t>响应文件有效期</w:t>
      </w:r>
      <w:bookmarkEnd w:id="37"/>
      <w:bookmarkEnd w:id="38"/>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bookmarkStart w:id="39" w:name="_Ref527102185"/>
      <w:r>
        <w:rPr>
          <w:rFonts w:hint="eastAsia" w:asciiTheme="minorEastAsia" w:hAnsiTheme="minorEastAsia"/>
          <w:sz w:val="24"/>
        </w:rPr>
        <w:t>本项目</w:t>
      </w:r>
      <w:r>
        <w:rPr>
          <w:rFonts w:hint="eastAsia" w:ascii="宋体" w:hAnsi="宋体" w:cs="黑体"/>
          <w:kern w:val="0"/>
          <w:sz w:val="24"/>
        </w:rPr>
        <w:t>响应文件</w:t>
      </w:r>
      <w:r>
        <w:rPr>
          <w:rFonts w:hint="eastAsia" w:asciiTheme="minorEastAsia" w:hAnsiTheme="minorEastAsia"/>
          <w:sz w:val="24"/>
        </w:rPr>
        <w:t>有效期见供应商须知前附表。</w:t>
      </w:r>
      <w:r>
        <w:rPr>
          <w:rFonts w:hint="eastAsia" w:ascii="宋体" w:hAnsi="宋体" w:cs="黑体"/>
          <w:kern w:val="0"/>
          <w:sz w:val="24"/>
        </w:rPr>
        <w:t>响应文件</w:t>
      </w:r>
      <w:r>
        <w:rPr>
          <w:rFonts w:hint="eastAsia" w:asciiTheme="minorEastAsia" w:hAnsiTheme="minorEastAsia"/>
          <w:sz w:val="24"/>
        </w:rPr>
        <w:t>有效期从提交响应文件的截止之日起算。响应文件中承诺的有效期应当不少于磋商文件中载明的有效期。</w:t>
      </w:r>
      <w:bookmarkEnd w:id="39"/>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在供应商须知前附表规定的响应文件有效期内，供应商不得要求撤销或修改其响应文件。</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bookmarkStart w:id="40" w:name="_Toc195921815"/>
      <w:r>
        <w:rPr>
          <w:rFonts w:hint="eastAsia" w:ascii="宋体" w:hAnsi="宋体" w:cs="黑体"/>
          <w:kern w:val="0"/>
          <w:sz w:val="24"/>
        </w:rPr>
        <w:t>磋商保证金</w:t>
      </w:r>
      <w:bookmarkEnd w:id="40"/>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bookmarkStart w:id="41" w:name="_Ref419361076"/>
      <w:r>
        <w:rPr>
          <w:rFonts w:hint="eastAsia" w:ascii="宋体" w:hAnsi="宋体" w:cs="黑体"/>
          <w:kern w:val="0"/>
          <w:sz w:val="24"/>
        </w:rPr>
        <w:t>供应商应按供应商前附表规定的金额、形式递交磋商保证金，并作为其响应文件的组成部分。以联合体形式递交响应文件的，可以由联合体中的一方或者共同提交磋商保证金，以一方名义提交磋商保证金的，对联合体各方均具有约束力。</w:t>
      </w:r>
      <w:bookmarkEnd w:id="41"/>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供应商不按本章第</w:t>
      </w:r>
      <w:r>
        <w:fldChar w:fldCharType="begin"/>
      </w:r>
      <w:r>
        <w:instrText xml:space="preserve"> REF _Ref419361076 \r \h  \* MERGEFORMAT </w:instrText>
      </w:r>
      <w:r>
        <w:fldChar w:fldCharType="separate"/>
      </w:r>
      <w:r>
        <w:rPr>
          <w:rFonts w:ascii="宋体" w:hAnsi="宋体" w:cs="黑体"/>
          <w:kern w:val="0"/>
          <w:sz w:val="24"/>
        </w:rPr>
        <w:t>3.</w:t>
      </w:r>
      <w:r>
        <w:rPr>
          <w:rFonts w:hint="eastAsia" w:ascii="宋体" w:hAnsi="宋体" w:cs="黑体"/>
          <w:kern w:val="0"/>
          <w:sz w:val="24"/>
        </w:rPr>
        <w:t>7</w:t>
      </w:r>
      <w:r>
        <w:rPr>
          <w:rFonts w:ascii="宋体" w:hAnsi="宋体" w:cs="黑体"/>
          <w:kern w:val="0"/>
          <w:sz w:val="24"/>
        </w:rPr>
        <w:t>.1</w:t>
      </w:r>
      <w:r>
        <w:rPr>
          <w:rFonts w:ascii="宋体" w:hAnsi="宋体" w:cs="黑体"/>
          <w:kern w:val="0"/>
          <w:sz w:val="24"/>
        </w:rPr>
        <w:fldChar w:fldCharType="end"/>
      </w:r>
      <w:r>
        <w:rPr>
          <w:rFonts w:hint="eastAsia" w:ascii="宋体" w:hAnsi="宋体" w:cs="黑体"/>
          <w:kern w:val="0"/>
          <w:sz w:val="24"/>
        </w:rPr>
        <w:t>项要求提交磋商保证金的，其响应文件无效。</w:t>
      </w:r>
    </w:p>
    <w:p>
      <w:pPr>
        <w:numPr>
          <w:ilvl w:val="2"/>
          <w:numId w:val="5"/>
        </w:numPr>
        <w:tabs>
          <w:tab w:val="left" w:pos="1260"/>
        </w:tabs>
        <w:autoSpaceDE w:val="0"/>
        <w:autoSpaceDN w:val="0"/>
        <w:adjustRightInd w:val="0"/>
        <w:snapToGrid w:val="0"/>
        <w:spacing w:after="156" w:afterLines="50"/>
        <w:rPr>
          <w:rFonts w:ascii="宋体" w:hAnsi="宋体"/>
          <w:sz w:val="24"/>
        </w:rPr>
      </w:pPr>
      <w:bookmarkStart w:id="42" w:name="_Ref419361088"/>
      <w:r>
        <w:rPr>
          <w:rFonts w:hint="eastAsia" w:ascii="宋体" w:hAnsi="宋体"/>
          <w:sz w:val="24"/>
        </w:rPr>
        <w:t>供应商在首次递交响应文件截止时间3日前，按磋商文件的要求向采购代理机构递交磋商保证金，递交首次响应文件截止时间之后递交的磋商保证金将被拒绝。</w:t>
      </w:r>
      <w:bookmarkEnd w:id="42"/>
    </w:p>
    <w:p>
      <w:pPr>
        <w:numPr>
          <w:ilvl w:val="2"/>
          <w:numId w:val="5"/>
        </w:numPr>
        <w:tabs>
          <w:tab w:val="left" w:pos="1260"/>
        </w:tabs>
        <w:autoSpaceDE w:val="0"/>
        <w:autoSpaceDN w:val="0"/>
        <w:adjustRightInd w:val="0"/>
        <w:snapToGrid w:val="0"/>
        <w:spacing w:after="156" w:afterLines="50"/>
        <w:rPr>
          <w:rFonts w:ascii="宋体" w:hAnsi="宋体"/>
          <w:sz w:val="24"/>
        </w:rPr>
      </w:pPr>
      <w:r>
        <w:rPr>
          <w:rFonts w:hint="eastAsia" w:ascii="宋体" w:hAnsi="宋体"/>
          <w:sz w:val="24"/>
        </w:rPr>
        <w:t>供应商在汇款时务必注明所参与磋商项目的编号及用途，否则，因款项用途不明导致响应文件无效等后果由供应商自行承担。</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采购人或者采购代理机构应当自成交通知书发出之日起5个工作日内退还非成交供应商的磋商保证金，自政府采购合同签订之日起5个工作日内退还成交供应商的磋商保证金</w:t>
      </w:r>
      <w:r>
        <w:rPr>
          <w:rFonts w:hint="eastAsia" w:asciiTheme="minorEastAsia" w:hAnsiTheme="minorEastAsia"/>
          <w:sz w:val="24"/>
        </w:rPr>
        <w:t>或者转为成交供应商的履约保证金</w:t>
      </w:r>
      <w:r>
        <w:rPr>
          <w:rFonts w:hint="eastAsia" w:ascii="宋体" w:hAnsi="宋体" w:cs="黑体"/>
          <w:kern w:val="0"/>
          <w:sz w:val="24"/>
        </w:rPr>
        <w:t>。</w:t>
      </w:r>
    </w:p>
    <w:p>
      <w:pPr>
        <w:numPr>
          <w:ilvl w:val="255"/>
          <w:numId w:val="0"/>
        </w:numPr>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采购人或者采购代理机构逾期退还磋商保证金的，除退还磋商保证金本金外，还应当按中国人民银行同期贷款基准利率上浮20％后的利率支付超期资金占用费，但因供应商自身原因导致无法及时退还的除外。</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hAnsi="宋体" w:cs="宋体"/>
          <w:sz w:val="24"/>
        </w:rPr>
        <w:t>供应商有下列行为之一者，其磋商保证金可不予退还：</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（1）供应商在响应文件有效期内撤回响应文件的；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（2）供应商在响应文件中提供虚假材料的；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（3）除因不可抗力或磋商文件认可的情形以外，成交供应商不与采购人签订合同的；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（4）供应商与采购人、其他供应商或者采购代理机构恶意串通的；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（5）磋商文件规定应由成交供应商缴纳代理服务费而成交供应商未缴纳的；</w:t>
      </w:r>
    </w:p>
    <w:p>
      <w:pPr>
        <w:tabs>
          <w:tab w:val="left" w:pos="1843"/>
        </w:tabs>
        <w:autoSpaceDE w:val="0"/>
        <w:autoSpaceDN w:val="0"/>
        <w:adjustRightInd w:val="0"/>
        <w:snapToGrid w:val="0"/>
        <w:spacing w:after="156" w:afterLines="50"/>
        <w:ind w:left="1734" w:leftChars="540" w:hanging="600" w:hangingChars="250"/>
        <w:rPr>
          <w:rFonts w:ascii="宋体" w:hAnsi="宋体" w:cs="黑体"/>
          <w:kern w:val="0"/>
          <w:sz w:val="24"/>
        </w:rPr>
      </w:pPr>
      <w:r>
        <w:rPr>
          <w:rFonts w:hint="eastAsia" w:ascii="宋体" w:hAnsi="宋体" w:cs="黑体"/>
          <w:kern w:val="0"/>
          <w:sz w:val="24"/>
        </w:rPr>
        <w:t>（6）磋商文件规定的其他情形。</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bookmarkStart w:id="43" w:name="_Toc195921818"/>
      <w:r>
        <w:rPr>
          <w:rFonts w:hint="eastAsia" w:ascii="宋体" w:hAnsi="宋体" w:cs="黑体"/>
          <w:kern w:val="0"/>
          <w:sz w:val="24"/>
        </w:rPr>
        <w:t>响应文件的编制</w:t>
      </w:r>
      <w:bookmarkEnd w:id="43"/>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响应文件应按第六章“响应文件格式”进行编写，如有必要，可以增加附页，作为响应文件的组成部分。供应商可以提出比磋商文件要求更有利于采购人的承诺。</w:t>
      </w:r>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响应文件应当对磋商文件有关采购范围、服务期、响应文件有效期及磋商文件要求实质性内容作出响应。</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bookmarkStart w:id="44" w:name="_Ref527102437"/>
      <w:r>
        <w:rPr>
          <w:rFonts w:hint="eastAsia" w:ascii="宋体" w:hAnsi="宋体" w:cs="黑体"/>
          <w:kern w:val="0"/>
          <w:sz w:val="24"/>
        </w:rPr>
        <w:t>响应文件正本需打印或用不褪色墨水书写，供应商的法定代表人或经授权的代表须根据磋商文件第六章的规定在响应文件中需要签字和（或）盖章的位置签字（或盖人名章）和（或）加盖单位公章。授权代表须持有书面的“法定代表人授权书”（格式附后），并将其附在响应文件中。</w:t>
      </w:r>
      <w:bookmarkEnd w:id="44"/>
    </w:p>
    <w:p>
      <w:pPr>
        <w:tabs>
          <w:tab w:val="left" w:pos="1260"/>
        </w:tabs>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首次响应文件递交截止时间前，如对首次响应文件进行了修改，包括在响应文件行间插字、涂改和增删，均应由供应商的法定代表人或经授权的代表在修改的每一页上签字。</w:t>
      </w:r>
    </w:p>
    <w:p>
      <w:pPr>
        <w:tabs>
          <w:tab w:val="left" w:pos="1260"/>
        </w:tabs>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响应文件的副本可采用正本的复印件。</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响应文件正本一份，副本份数及电子文档要求见供应商须知前附表。正本和副本的封面上应清楚地标记“正本”或“副本”的字样。当副本和正本不一致时，以正本为准。</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bookmarkStart w:id="45" w:name="_Ref527102466"/>
      <w:r>
        <w:rPr>
          <w:rFonts w:hint="eastAsia" w:ascii="宋体" w:hAnsi="宋体" w:cs="黑体"/>
          <w:kern w:val="0"/>
          <w:sz w:val="24"/>
        </w:rPr>
        <w:t>响应文件的正本与副本应分别装订成册，并编制目录，具体分册及装订要求见供应商须知前附表规定。</w:t>
      </w:r>
      <w:bookmarkEnd w:id="45"/>
    </w:p>
    <w:p>
      <w:pPr>
        <w:numPr>
          <w:ilvl w:val="0"/>
          <w:numId w:val="5"/>
        </w:numPr>
        <w:autoSpaceDE w:val="0"/>
        <w:autoSpaceDN w:val="0"/>
        <w:adjustRightInd w:val="0"/>
        <w:spacing w:after="156" w:afterLines="50"/>
        <w:outlineLvl w:val="2"/>
        <w:rPr>
          <w:rFonts w:ascii="黑体" w:hAnsi="宋体" w:eastAsia="黑体" w:cs="黑体"/>
          <w:kern w:val="0"/>
          <w:sz w:val="24"/>
        </w:rPr>
      </w:pPr>
      <w:bookmarkStart w:id="46" w:name="_Toc195921819"/>
      <w:r>
        <w:rPr>
          <w:rFonts w:hint="eastAsia" w:ascii="黑体" w:hAnsi="宋体" w:eastAsia="黑体" w:cs="黑体"/>
          <w:kern w:val="0"/>
          <w:sz w:val="24"/>
        </w:rPr>
        <w:t>响应文件</w:t>
      </w:r>
      <w:bookmarkEnd w:id="46"/>
      <w:r>
        <w:rPr>
          <w:rFonts w:hint="eastAsia" w:ascii="黑体" w:hAnsi="宋体" w:eastAsia="黑体" w:cs="黑体"/>
          <w:kern w:val="0"/>
          <w:sz w:val="24"/>
        </w:rPr>
        <w:t>提交</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bookmarkStart w:id="47" w:name="_Toc195921820"/>
      <w:r>
        <w:rPr>
          <w:rFonts w:hint="eastAsia" w:ascii="宋体" w:hAnsi="宋体" w:cs="黑体"/>
          <w:kern w:val="0"/>
          <w:sz w:val="24"/>
        </w:rPr>
        <w:t>响应文件的</w:t>
      </w:r>
      <w:bookmarkEnd w:id="47"/>
      <w:r>
        <w:rPr>
          <w:rFonts w:hint="eastAsia" w:ascii="宋体" w:hAnsi="宋体" w:cs="黑体"/>
          <w:kern w:val="0"/>
          <w:sz w:val="24"/>
        </w:rPr>
        <w:t>密封和标记</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bookmarkStart w:id="48" w:name="_Ref421008478"/>
      <w:r>
        <w:rPr>
          <w:rFonts w:hint="eastAsia" w:ascii="宋体" w:hAnsi="宋体" w:cs="黑体"/>
          <w:kern w:val="0"/>
          <w:sz w:val="24"/>
        </w:rPr>
        <w:t>供应商递交的响应文件，应按照标包分别加以密封。密封方式为在响应文件外包装封口处加盖公章或“密封章”。</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bookmarkStart w:id="49" w:name="_Ref527102501"/>
      <w:r>
        <w:rPr>
          <w:rFonts w:hint="eastAsia" w:ascii="宋体" w:hAnsi="宋体" w:cs="黑体"/>
          <w:kern w:val="0"/>
          <w:sz w:val="24"/>
        </w:rPr>
        <w:t>响应文件的封套上应标识的其他内容见供应商须知前附表。</w:t>
      </w:r>
      <w:bookmarkEnd w:id="48"/>
      <w:bookmarkEnd w:id="49"/>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未按本章第</w:t>
      </w:r>
      <w:r>
        <w:fldChar w:fldCharType="begin"/>
      </w:r>
      <w:r>
        <w:instrText xml:space="preserve"> REF _Ref421008478 \r \h  \* MERGEFORMAT </w:instrText>
      </w:r>
      <w:r>
        <w:fldChar w:fldCharType="separate"/>
      </w:r>
      <w:r>
        <w:rPr>
          <w:rFonts w:ascii="宋体" w:hAnsi="宋体" w:cs="黑体"/>
          <w:kern w:val="0"/>
          <w:sz w:val="24"/>
        </w:rPr>
        <w:t>4.1.1</w:t>
      </w:r>
      <w:r>
        <w:rPr>
          <w:rFonts w:ascii="宋体" w:hAnsi="宋体" w:cs="黑体"/>
          <w:kern w:val="0"/>
          <w:sz w:val="24"/>
        </w:rPr>
        <w:fldChar w:fldCharType="end"/>
      </w:r>
      <w:r>
        <w:rPr>
          <w:rFonts w:hint="eastAsia" w:ascii="宋体" w:hAnsi="宋体" w:cs="黑体"/>
          <w:kern w:val="0"/>
          <w:sz w:val="24"/>
        </w:rPr>
        <w:t>项、第</w:t>
      </w:r>
      <w:r>
        <w:rPr>
          <w:rFonts w:hint="eastAsia"/>
        </w:rPr>
        <w:fldChar w:fldCharType="begin"/>
      </w:r>
      <w:r>
        <w:instrText xml:space="preserve"> REF _Ref421008478 \r \h  \* MERGEFORMAT </w:instrText>
      </w:r>
      <w:r>
        <w:rPr>
          <w:rFonts w:hint="eastAsia"/>
        </w:rPr>
        <w:fldChar w:fldCharType="separate"/>
      </w:r>
      <w:r>
        <w:rPr>
          <w:rFonts w:ascii="宋体" w:hAnsi="宋体" w:cs="黑体"/>
          <w:kern w:val="0"/>
          <w:sz w:val="24"/>
        </w:rPr>
        <w:t>4.1.</w:t>
      </w:r>
      <w:r>
        <w:rPr>
          <w:rFonts w:hint="eastAsia" w:ascii="宋体" w:hAnsi="宋体" w:cs="黑体"/>
          <w:kern w:val="0"/>
          <w:sz w:val="24"/>
        </w:rPr>
        <w:t>2</w:t>
      </w:r>
      <w:r>
        <w:rPr>
          <w:rFonts w:hint="eastAsia" w:ascii="宋体" w:hAnsi="宋体" w:cs="黑体"/>
          <w:kern w:val="0"/>
          <w:sz w:val="24"/>
        </w:rPr>
        <w:fldChar w:fldCharType="end"/>
      </w:r>
      <w:r>
        <w:rPr>
          <w:rFonts w:hint="eastAsia" w:ascii="宋体" w:hAnsi="宋体" w:cs="黑体"/>
          <w:kern w:val="0"/>
          <w:sz w:val="24"/>
        </w:rPr>
        <w:t>项要求密封并加写标识的响应文件，采购人不予受理。</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bookmarkStart w:id="50" w:name="_Toc195921821"/>
      <w:r>
        <w:rPr>
          <w:rFonts w:hint="eastAsia" w:ascii="宋体" w:hAnsi="宋体" w:cs="黑体"/>
          <w:kern w:val="0"/>
          <w:sz w:val="24"/>
        </w:rPr>
        <w:t>首次响应文件的递交</w:t>
      </w:r>
      <w:bookmarkEnd w:id="50"/>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供应商应在竞争性磋商公告</w:t>
      </w:r>
      <w:r>
        <w:rPr>
          <w:rFonts w:hint="eastAsia"/>
          <w:sz w:val="24"/>
        </w:rPr>
        <w:t>或磋商邀请书</w:t>
      </w:r>
      <w:r>
        <w:rPr>
          <w:rFonts w:hint="eastAsia" w:ascii="宋体" w:hAnsi="宋体" w:cs="黑体"/>
          <w:kern w:val="0"/>
          <w:sz w:val="24"/>
        </w:rPr>
        <w:t>规定的递交响应文件截止时间前递交首次响应文件。如有变化，见澄清修改文件。</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供应商递交首次响应文件的地点：见竞争性磋商公告</w:t>
      </w:r>
      <w:r>
        <w:rPr>
          <w:rFonts w:hint="eastAsia"/>
          <w:sz w:val="24"/>
        </w:rPr>
        <w:t>或磋商邀请书</w:t>
      </w:r>
      <w:r>
        <w:rPr>
          <w:rFonts w:hint="eastAsia" w:ascii="宋体" w:hAnsi="宋体" w:cs="黑体"/>
          <w:kern w:val="0"/>
          <w:sz w:val="24"/>
        </w:rPr>
        <w:t>。如有变化，见澄清修改文件。</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除因供应商家数不满足要求未进行磋商的情形外，供应商所递交的响应文件不予退还。</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Theme="minorEastAsia" w:hAnsiTheme="minorEastAsia"/>
          <w:sz w:val="24"/>
        </w:rPr>
        <w:t>逾期送达、</w:t>
      </w:r>
      <w:r>
        <w:rPr>
          <w:rFonts w:hint="eastAsia" w:ascii="宋体" w:hAnsi="宋体" w:cs="黑体"/>
          <w:kern w:val="0"/>
          <w:sz w:val="24"/>
        </w:rPr>
        <w:t>未送达指定地点</w:t>
      </w:r>
      <w:r>
        <w:rPr>
          <w:rFonts w:hint="eastAsia" w:asciiTheme="minorEastAsia" w:hAnsiTheme="minorEastAsia"/>
          <w:sz w:val="24"/>
        </w:rPr>
        <w:t>的响应文件</w:t>
      </w:r>
      <w:r>
        <w:rPr>
          <w:rFonts w:hint="eastAsia" w:ascii="宋体" w:hAnsi="宋体" w:cs="黑体"/>
          <w:kern w:val="0"/>
          <w:sz w:val="24"/>
        </w:rPr>
        <w:t>，采购人不予受理。</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bookmarkStart w:id="51" w:name="_Toc195921822"/>
      <w:r>
        <w:rPr>
          <w:rFonts w:hint="eastAsia" w:ascii="宋体" w:hAnsi="宋体" w:cs="黑体"/>
          <w:kern w:val="0"/>
          <w:sz w:val="24"/>
        </w:rPr>
        <w:t>响应文件的修改与撤回</w:t>
      </w:r>
      <w:bookmarkEnd w:id="51"/>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在竞争性磋商公告规定的首次响应文件递交截止时间前，供应商可以修改或撤回已递交的首次响应文件，但应以书面形式通知采购人。</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修改的内容为首次响应文件的组成部分。修改的首次响应文件应按照本章第</w:t>
      </w:r>
      <w:r>
        <w:rPr>
          <w:rFonts w:ascii="宋体" w:hAnsi="宋体" w:cs="黑体"/>
          <w:kern w:val="0"/>
          <w:sz w:val="24"/>
        </w:rPr>
        <w:t>3</w:t>
      </w:r>
      <w:r>
        <w:rPr>
          <w:rFonts w:hint="eastAsia" w:ascii="宋体" w:hAnsi="宋体" w:cs="黑体"/>
          <w:kern w:val="0"/>
          <w:sz w:val="24"/>
        </w:rPr>
        <w:t>条、第</w:t>
      </w:r>
      <w:r>
        <w:rPr>
          <w:rFonts w:ascii="宋体" w:hAnsi="宋体" w:cs="黑体"/>
          <w:kern w:val="0"/>
          <w:sz w:val="24"/>
        </w:rPr>
        <w:t>4</w:t>
      </w:r>
      <w:r>
        <w:rPr>
          <w:rFonts w:hint="eastAsia" w:ascii="宋体" w:hAnsi="宋体" w:cs="黑体"/>
          <w:kern w:val="0"/>
          <w:sz w:val="24"/>
        </w:rPr>
        <w:t>条规定进行编制、标记和递交，并标明“修改”字样。</w:t>
      </w:r>
    </w:p>
    <w:p>
      <w:pPr>
        <w:numPr>
          <w:ilvl w:val="0"/>
          <w:numId w:val="5"/>
        </w:numPr>
        <w:autoSpaceDE w:val="0"/>
        <w:autoSpaceDN w:val="0"/>
        <w:adjustRightInd w:val="0"/>
        <w:spacing w:after="156" w:afterLines="50"/>
        <w:outlineLvl w:val="2"/>
        <w:rPr>
          <w:rFonts w:ascii="黑体" w:hAnsi="宋体" w:eastAsia="黑体" w:cs="黑体"/>
          <w:kern w:val="0"/>
          <w:sz w:val="24"/>
        </w:rPr>
      </w:pPr>
      <w:r>
        <w:rPr>
          <w:rFonts w:hint="eastAsia" w:ascii="黑体" w:hAnsi="宋体" w:eastAsia="黑体" w:cs="黑体"/>
          <w:kern w:val="0"/>
          <w:sz w:val="24"/>
        </w:rPr>
        <w:t>评审与磋商</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磋商小组</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bookmarkStart w:id="52" w:name="_Ref527102573"/>
      <w:r>
        <w:rPr>
          <w:rFonts w:hint="eastAsia" w:ascii="宋体" w:hAnsi="宋体" w:cs="黑体"/>
          <w:kern w:val="0"/>
          <w:sz w:val="24"/>
        </w:rPr>
        <w:t>竞争性磋商小组由采购人代表和评审专家组成，采购人代表和评审专家人数见供应商须知前附表。</w:t>
      </w:r>
      <w:bookmarkEnd w:id="52"/>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磋商小组成员有下列情形之一的，应当回避：</w:t>
      </w:r>
    </w:p>
    <w:p>
      <w:pPr>
        <w:pStyle w:val="39"/>
        <w:numPr>
          <w:ilvl w:val="0"/>
          <w:numId w:val="10"/>
        </w:numPr>
        <w:snapToGrid w:val="0"/>
        <w:spacing w:after="156" w:afterLines="50"/>
        <w:ind w:left="1985" w:hanging="851"/>
        <w:rPr>
          <w:rFonts w:hAnsi="宋体" w:cs="宋体"/>
          <w:sz w:val="24"/>
          <w:szCs w:val="24"/>
        </w:rPr>
      </w:pPr>
      <w:r>
        <w:rPr>
          <w:rFonts w:hAnsi="宋体" w:cs="宋体"/>
          <w:sz w:val="24"/>
          <w:szCs w:val="24"/>
        </w:rPr>
        <w:t>参加采购活动前3年内与供应商存在劳动关系；</w:t>
      </w:r>
    </w:p>
    <w:p>
      <w:pPr>
        <w:pStyle w:val="39"/>
        <w:numPr>
          <w:ilvl w:val="0"/>
          <w:numId w:val="10"/>
        </w:numPr>
        <w:snapToGrid w:val="0"/>
        <w:spacing w:after="156" w:afterLines="50"/>
        <w:ind w:left="1985" w:hanging="851"/>
        <w:rPr>
          <w:rFonts w:hAnsi="宋体" w:cs="宋体"/>
          <w:sz w:val="24"/>
          <w:szCs w:val="24"/>
        </w:rPr>
      </w:pPr>
      <w:r>
        <w:rPr>
          <w:rFonts w:hAnsi="宋体" w:cs="宋体"/>
          <w:sz w:val="24"/>
          <w:szCs w:val="24"/>
        </w:rPr>
        <w:t>参加采购活动前3年内担任供应商的董事、监事；</w:t>
      </w:r>
    </w:p>
    <w:p>
      <w:pPr>
        <w:pStyle w:val="39"/>
        <w:numPr>
          <w:ilvl w:val="0"/>
          <w:numId w:val="10"/>
        </w:numPr>
        <w:snapToGrid w:val="0"/>
        <w:spacing w:after="156" w:afterLines="50"/>
        <w:ind w:left="1985" w:hanging="851"/>
        <w:rPr>
          <w:rFonts w:hAnsi="宋体" w:cs="宋体"/>
          <w:sz w:val="24"/>
          <w:szCs w:val="24"/>
        </w:rPr>
      </w:pPr>
      <w:r>
        <w:rPr>
          <w:rFonts w:hAnsi="宋体" w:cs="宋体"/>
          <w:sz w:val="24"/>
          <w:szCs w:val="24"/>
        </w:rPr>
        <w:t>参加采购活动前3年内是供应商的控股股东或者实际控制人；</w:t>
      </w:r>
    </w:p>
    <w:p>
      <w:pPr>
        <w:pStyle w:val="39"/>
        <w:numPr>
          <w:ilvl w:val="0"/>
          <w:numId w:val="10"/>
        </w:numPr>
        <w:snapToGrid w:val="0"/>
        <w:spacing w:after="156" w:afterLines="50"/>
        <w:ind w:left="1985" w:hanging="851"/>
        <w:rPr>
          <w:rFonts w:hAnsi="宋体" w:cs="宋体"/>
          <w:sz w:val="24"/>
          <w:szCs w:val="24"/>
        </w:rPr>
      </w:pPr>
      <w:r>
        <w:rPr>
          <w:rFonts w:hAnsi="宋体" w:cs="宋体"/>
          <w:sz w:val="24"/>
          <w:szCs w:val="24"/>
        </w:rPr>
        <w:t>与供应商的法定代表人或者负责人有夫妻、直系血亲、三代以内旁系血亲或者近姻亲关系；</w:t>
      </w:r>
    </w:p>
    <w:p>
      <w:pPr>
        <w:pStyle w:val="39"/>
        <w:numPr>
          <w:ilvl w:val="0"/>
          <w:numId w:val="10"/>
        </w:numPr>
        <w:snapToGrid w:val="0"/>
        <w:spacing w:after="156" w:afterLines="50"/>
        <w:ind w:left="1985" w:hanging="851"/>
        <w:rPr>
          <w:rFonts w:hAnsi="宋体" w:cs="宋体"/>
          <w:sz w:val="24"/>
          <w:szCs w:val="24"/>
        </w:rPr>
      </w:pPr>
      <w:r>
        <w:rPr>
          <w:rFonts w:hAnsi="宋体" w:cs="宋体"/>
          <w:sz w:val="24"/>
          <w:szCs w:val="24"/>
        </w:rPr>
        <w:t>与供应商有其他可能影响政府采购活动公平、公正进行的关系。</w:t>
      </w:r>
    </w:p>
    <w:p>
      <w:pPr>
        <w:numPr>
          <w:ilvl w:val="2"/>
          <w:numId w:val="5"/>
        </w:numPr>
        <w:tabs>
          <w:tab w:val="left" w:pos="1260"/>
          <w:tab w:val="left" w:pos="1418"/>
          <w:tab w:val="left" w:pos="1800"/>
        </w:tabs>
        <w:autoSpaceDE w:val="0"/>
        <w:autoSpaceDN w:val="0"/>
        <w:adjustRightInd w:val="0"/>
        <w:snapToGrid w:val="0"/>
        <w:spacing w:before="120" w:after="156" w:afterLines="50"/>
        <w:rPr>
          <w:rFonts w:ascii="宋体" w:hAnsi="宋体" w:cs="黑体"/>
          <w:kern w:val="0"/>
          <w:sz w:val="24"/>
        </w:rPr>
      </w:pPr>
      <w:r>
        <w:rPr>
          <w:rFonts w:hint="eastAsia" w:ascii="宋体" w:hAnsi="宋体" w:cs="黑体"/>
          <w:kern w:val="0"/>
          <w:sz w:val="24"/>
        </w:rPr>
        <w:t>磋商小组</w:t>
      </w:r>
      <w:r>
        <w:rPr>
          <w:rFonts w:hint="eastAsia" w:asciiTheme="minorEastAsia" w:hAnsiTheme="minorEastAsia"/>
          <w:sz w:val="24"/>
        </w:rPr>
        <w:t>负责具体评审事务，并独立履行下列职责</w:t>
      </w:r>
      <w:r>
        <w:rPr>
          <w:rFonts w:hint="eastAsia" w:ascii="宋体" w:hAnsi="宋体" w:cs="黑体"/>
          <w:kern w:val="0"/>
          <w:sz w:val="24"/>
        </w:rPr>
        <w:t>：</w:t>
      </w:r>
    </w:p>
    <w:p>
      <w:pPr>
        <w:pStyle w:val="39"/>
        <w:numPr>
          <w:ilvl w:val="0"/>
          <w:numId w:val="11"/>
        </w:numPr>
        <w:snapToGrid w:val="0"/>
        <w:spacing w:after="156" w:afterLines="50"/>
        <w:rPr>
          <w:rFonts w:hAnsi="宋体" w:cs="宋体"/>
          <w:sz w:val="24"/>
          <w:szCs w:val="24"/>
        </w:rPr>
      </w:pPr>
      <w:bookmarkStart w:id="53" w:name="_Toc195921828"/>
      <w:r>
        <w:rPr>
          <w:rFonts w:hint="eastAsia" w:hAnsi="宋体" w:cs="宋体"/>
          <w:sz w:val="24"/>
          <w:szCs w:val="24"/>
        </w:rPr>
        <w:t>确认磋商文件；</w:t>
      </w:r>
    </w:p>
    <w:p>
      <w:pPr>
        <w:pStyle w:val="39"/>
        <w:numPr>
          <w:ilvl w:val="0"/>
          <w:numId w:val="11"/>
        </w:numPr>
        <w:snapToGrid w:val="0"/>
        <w:spacing w:after="156" w:afterLines="50"/>
        <w:ind w:left="1985" w:hanging="851"/>
        <w:rPr>
          <w:rFonts w:hAnsi="宋体" w:cs="宋体"/>
          <w:sz w:val="24"/>
          <w:szCs w:val="24"/>
        </w:rPr>
      </w:pPr>
      <w:r>
        <w:rPr>
          <w:rFonts w:hint="eastAsia" w:hAnsi="宋体" w:cs="宋体"/>
          <w:sz w:val="24"/>
          <w:szCs w:val="24"/>
        </w:rPr>
        <w:t>审查供应商的响应文件并作出评价；</w:t>
      </w:r>
    </w:p>
    <w:p>
      <w:pPr>
        <w:pStyle w:val="39"/>
        <w:numPr>
          <w:ilvl w:val="0"/>
          <w:numId w:val="11"/>
        </w:numPr>
        <w:snapToGrid w:val="0"/>
        <w:spacing w:after="156" w:afterLines="50"/>
        <w:ind w:left="1985" w:hanging="851"/>
        <w:rPr>
          <w:rFonts w:hAnsi="宋体" w:cs="宋体"/>
          <w:sz w:val="24"/>
          <w:szCs w:val="24"/>
        </w:rPr>
      </w:pPr>
      <w:r>
        <w:rPr>
          <w:rFonts w:hint="eastAsia" w:hAnsi="宋体" w:cs="宋体"/>
          <w:sz w:val="24"/>
          <w:szCs w:val="24"/>
        </w:rPr>
        <w:t>要求供应商解释或者澄清其响应文件；</w:t>
      </w:r>
    </w:p>
    <w:p>
      <w:pPr>
        <w:pStyle w:val="39"/>
        <w:numPr>
          <w:ilvl w:val="0"/>
          <w:numId w:val="11"/>
        </w:numPr>
        <w:snapToGrid w:val="0"/>
        <w:spacing w:after="156" w:afterLines="50"/>
        <w:ind w:left="1985" w:hanging="851"/>
        <w:rPr>
          <w:rFonts w:hAnsi="宋体" w:cs="宋体"/>
          <w:sz w:val="24"/>
          <w:szCs w:val="24"/>
        </w:rPr>
      </w:pPr>
      <w:r>
        <w:rPr>
          <w:rFonts w:hint="eastAsia" w:hAnsi="宋体" w:cs="宋体"/>
          <w:sz w:val="24"/>
          <w:szCs w:val="24"/>
        </w:rPr>
        <w:t>编写评审报告；</w:t>
      </w:r>
    </w:p>
    <w:p>
      <w:pPr>
        <w:pStyle w:val="39"/>
        <w:numPr>
          <w:ilvl w:val="0"/>
          <w:numId w:val="11"/>
        </w:numPr>
        <w:snapToGrid w:val="0"/>
        <w:spacing w:after="156" w:afterLines="50"/>
        <w:ind w:left="1985" w:hanging="851"/>
        <w:rPr>
          <w:rFonts w:hAnsi="宋体" w:cs="宋体"/>
          <w:sz w:val="24"/>
          <w:szCs w:val="24"/>
        </w:rPr>
      </w:pPr>
      <w:r>
        <w:rPr>
          <w:rFonts w:hint="eastAsia" w:hAnsi="宋体" w:cs="宋体"/>
          <w:sz w:val="24"/>
          <w:szCs w:val="24"/>
        </w:rPr>
        <w:t>告知采购人、采购代理机构在评审过程中发现的供应商的违法违规行为。</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磋商小组所有成员集中与单一供应商分别进行磋商，并给予所有参加磋商的供应商平等的磋商机会。</w:t>
      </w:r>
    </w:p>
    <w:p>
      <w:pPr>
        <w:numPr>
          <w:ilvl w:val="1"/>
          <w:numId w:val="5"/>
        </w:numPr>
        <w:autoSpaceDE w:val="0"/>
        <w:autoSpaceDN w:val="0"/>
        <w:adjustRightInd w:val="0"/>
        <w:snapToGrid w:val="0"/>
        <w:spacing w:after="156" w:afterLines="50"/>
        <w:ind w:left="1133" w:hanging="1132" w:hangingChars="472"/>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磋商结束后，磋商小组可以要求所有继续参加磋商的供应商在规定时间内提交最后报价函，提交最后报价函的供应商不得少于3家。</w:t>
      </w:r>
    </w:p>
    <w:p>
      <w:pPr>
        <w:numPr>
          <w:ilvl w:val="1"/>
          <w:numId w:val="5"/>
        </w:numPr>
        <w:autoSpaceDE w:val="0"/>
        <w:autoSpaceDN w:val="0"/>
        <w:adjustRightInd w:val="0"/>
        <w:snapToGrid w:val="0"/>
        <w:spacing w:after="156" w:afterLines="50"/>
        <w:ind w:left="1133" w:hanging="1132" w:hangingChars="472"/>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供应商应当按照磋商文件的变动情况和磋商小组的要求重新提交最后报价函，并由其法定代表人或授权代表签字或者加盖公章。由授权代表签字的，应当附法定代表人授权书。</w:t>
      </w:r>
    </w:p>
    <w:p>
      <w:pPr>
        <w:autoSpaceDE w:val="0"/>
        <w:autoSpaceDN w:val="0"/>
        <w:adjustRightInd w:val="0"/>
        <w:snapToGrid w:val="0"/>
        <w:spacing w:after="156" w:afterLines="50"/>
        <w:ind w:left="1134" w:leftChars="540"/>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最后报价函是供应商响应文件的有效组成部分。</w:t>
      </w:r>
    </w:p>
    <w:p>
      <w:pPr>
        <w:numPr>
          <w:ilvl w:val="1"/>
          <w:numId w:val="5"/>
        </w:numPr>
        <w:autoSpaceDE w:val="0"/>
        <w:autoSpaceDN w:val="0"/>
        <w:adjustRightInd w:val="0"/>
        <w:snapToGrid w:val="0"/>
        <w:spacing w:after="156" w:afterLines="50"/>
        <w:ind w:left="1133" w:hanging="1132" w:hangingChars="472"/>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若竞争性磋商最后报价函与供应商首次递交的报价函及报价函附录的内容有差异，以竞争性磋商最后报价函内容为准。</w:t>
      </w:r>
    </w:p>
    <w:p>
      <w:pPr>
        <w:numPr>
          <w:ilvl w:val="1"/>
          <w:numId w:val="5"/>
        </w:numPr>
        <w:autoSpaceDE w:val="0"/>
        <w:autoSpaceDN w:val="0"/>
        <w:adjustRightInd w:val="0"/>
        <w:snapToGrid w:val="0"/>
        <w:spacing w:after="156" w:afterLines="50"/>
        <w:ind w:left="1133" w:hanging="1132" w:hangingChars="472"/>
        <w:rPr>
          <w:rFonts w:asciiTheme="minorEastAsia" w:hAnsiTheme="minorEastAsia"/>
          <w:sz w:val="24"/>
        </w:rPr>
      </w:pPr>
      <w:r>
        <w:rPr>
          <w:rFonts w:hint="eastAsia" w:cs="TimesNewRomanPSMT" w:asciiTheme="minorEastAsia" w:hAnsiTheme="minorEastAsia" w:eastAsiaTheme="minorEastAsia"/>
          <w:kern w:val="0"/>
          <w:sz w:val="24"/>
        </w:rPr>
        <w:t>若成交供应商的竞争性磋商最后报价函的报价与首次递交的报价函的报价有差异，则首次响应文件中所列明的各项单价和合价，应在符合适用法律法规和相关政策的基础上按最后报价与首次报价的变化幅度进行调整，收到成交通知书后的3日内提交给采购人；对采购人提出的审查意见在合同签订前修改完成。</w:t>
      </w:r>
    </w:p>
    <w:p>
      <w:pPr>
        <w:numPr>
          <w:ilvl w:val="1"/>
          <w:numId w:val="5"/>
        </w:numPr>
        <w:autoSpaceDE w:val="0"/>
        <w:autoSpaceDN w:val="0"/>
        <w:adjustRightInd w:val="0"/>
        <w:snapToGrid w:val="0"/>
        <w:spacing w:after="156" w:afterLines="50"/>
        <w:ind w:left="1133" w:hanging="1132" w:hangingChars="472"/>
        <w:rPr>
          <w:rFonts w:asciiTheme="minorEastAsia" w:hAnsiTheme="minorEastAsia"/>
          <w:sz w:val="24"/>
        </w:rPr>
      </w:pPr>
      <w:r>
        <w:rPr>
          <w:rFonts w:hint="eastAsia" w:cs="TimesNewRomanPSMT" w:asciiTheme="minorEastAsia" w:hAnsiTheme="minorEastAsia" w:eastAsiaTheme="minorEastAsia"/>
          <w:kern w:val="0"/>
          <w:sz w:val="24"/>
        </w:rPr>
        <w:t>磋商小组</w:t>
      </w:r>
      <w:r>
        <w:rPr>
          <w:rFonts w:hint="eastAsia" w:asciiTheme="minorEastAsia" w:hAnsiTheme="minorEastAsia"/>
          <w:sz w:val="24"/>
        </w:rPr>
        <w:t>按照第三章“评审办法和标准”规定的评标方法和标准，对参与磋商最后报价的响应文件进行商务和技术评估，综合比较与评价。“评审办法”没有规定的方法、评审因素和标准，不作为评审依据。</w:t>
      </w:r>
    </w:p>
    <w:bookmarkEnd w:id="53"/>
    <w:p>
      <w:pPr>
        <w:numPr>
          <w:ilvl w:val="0"/>
          <w:numId w:val="5"/>
        </w:numPr>
        <w:autoSpaceDE w:val="0"/>
        <w:autoSpaceDN w:val="0"/>
        <w:adjustRightInd w:val="0"/>
        <w:spacing w:after="156" w:afterLines="50"/>
        <w:outlineLvl w:val="2"/>
        <w:rPr>
          <w:rFonts w:ascii="黑体" w:hAnsi="宋体" w:eastAsia="黑体" w:cs="黑体"/>
          <w:kern w:val="0"/>
          <w:sz w:val="24"/>
        </w:rPr>
      </w:pPr>
      <w:bookmarkStart w:id="54" w:name="_Toc195921830"/>
      <w:r>
        <w:rPr>
          <w:rFonts w:hint="eastAsia" w:ascii="黑体" w:hAnsi="宋体" w:eastAsia="黑体" w:cs="黑体"/>
          <w:kern w:val="0"/>
          <w:sz w:val="24"/>
        </w:rPr>
        <w:t>合同授予</w:t>
      </w:r>
      <w:bookmarkEnd w:id="54"/>
    </w:p>
    <w:p>
      <w:pPr>
        <w:numPr>
          <w:ilvl w:val="1"/>
          <w:numId w:val="5"/>
        </w:numPr>
        <w:autoSpaceDE w:val="0"/>
        <w:autoSpaceDN w:val="0"/>
        <w:adjustRightInd w:val="0"/>
        <w:snapToGrid w:val="0"/>
        <w:spacing w:after="156" w:afterLines="50"/>
        <w:ind w:left="1680" w:hanging="1680" w:hangingChars="700"/>
        <w:rPr>
          <w:rFonts w:ascii="宋体" w:hAnsi="宋体" w:cs="黑体"/>
          <w:kern w:val="0"/>
          <w:sz w:val="24"/>
        </w:rPr>
      </w:pPr>
      <w:bookmarkStart w:id="55" w:name="_Ref526866822"/>
      <w:bookmarkStart w:id="56" w:name="_Toc195921831"/>
      <w:bookmarkStart w:id="57" w:name="_Ref527102841"/>
      <w:r>
        <w:rPr>
          <w:rFonts w:hint="eastAsia" w:ascii="宋体" w:hAnsi="宋体" w:cs="黑体"/>
          <w:kern w:val="0"/>
          <w:sz w:val="24"/>
        </w:rPr>
        <w:t>确定成交供应商方式</w:t>
      </w:r>
      <w:bookmarkEnd w:id="55"/>
      <w:bookmarkEnd w:id="56"/>
      <w:bookmarkEnd w:id="57"/>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Theme="minorEastAsia" w:hAnsiTheme="minorEastAsia"/>
          <w:sz w:val="24"/>
        </w:rPr>
        <w:t>采购人应当</w:t>
      </w:r>
      <w:r>
        <w:rPr>
          <w:rFonts w:hint="eastAsia" w:cs="宋体" w:asciiTheme="minorEastAsia" w:hAnsiTheme="minorEastAsia" w:eastAsiaTheme="minorEastAsia"/>
          <w:sz w:val="24"/>
        </w:rPr>
        <w:t>从评审报告提出的成交候选供应商中，按照得分排序由高到低的原则确定成交供应商</w:t>
      </w:r>
      <w:r>
        <w:rPr>
          <w:rFonts w:hint="eastAsia" w:asciiTheme="minorEastAsia" w:hAnsiTheme="minorEastAsia"/>
          <w:sz w:val="24"/>
        </w:rPr>
        <w:t>，也可以书面授权磋商小组直接确定成交供应商。具体方式见供应商须知前附表。</w:t>
      </w:r>
    </w:p>
    <w:p>
      <w:pPr>
        <w:numPr>
          <w:ilvl w:val="1"/>
          <w:numId w:val="5"/>
        </w:numPr>
        <w:autoSpaceDE w:val="0"/>
        <w:autoSpaceDN w:val="0"/>
        <w:adjustRightInd w:val="0"/>
        <w:snapToGrid w:val="0"/>
        <w:spacing w:after="156" w:afterLines="50"/>
        <w:ind w:left="1680" w:hanging="1680" w:hangingChars="700"/>
        <w:rPr>
          <w:rFonts w:ascii="宋体" w:hAnsi="宋体" w:cs="黑体"/>
          <w:kern w:val="0"/>
          <w:sz w:val="24"/>
        </w:rPr>
      </w:pPr>
      <w:r>
        <w:rPr>
          <w:rFonts w:hint="eastAsia" w:ascii="宋体" w:hAnsi="宋体" w:cs="黑体"/>
          <w:kern w:val="0"/>
          <w:sz w:val="24"/>
        </w:rPr>
        <w:t>成交公告</w:t>
      </w:r>
    </w:p>
    <w:p>
      <w:pPr>
        <w:numPr>
          <w:ilvl w:val="2"/>
          <w:numId w:val="5"/>
        </w:numPr>
        <w:tabs>
          <w:tab w:val="left" w:pos="1260"/>
        </w:tabs>
        <w:autoSpaceDE w:val="0"/>
        <w:autoSpaceDN w:val="0"/>
        <w:adjustRightInd w:val="0"/>
        <w:snapToGrid w:val="0"/>
        <w:spacing w:after="156" w:afterLines="50"/>
        <w:rPr>
          <w:rFonts w:ascii="宋体" w:hAnsi="宋体"/>
          <w:sz w:val="24"/>
        </w:rPr>
      </w:pPr>
      <w:r>
        <w:rPr>
          <w:rFonts w:hint="eastAsia" w:asciiTheme="minorEastAsia" w:hAnsiTheme="minorEastAsia"/>
          <w:sz w:val="24"/>
        </w:rPr>
        <w:t>采购人或者采购代理机构应当自成交供应商确定之日起 2 个工作日内，在省级以上财政部门指定的媒体上公告成交结果。</w:t>
      </w:r>
    </w:p>
    <w:p>
      <w:pPr>
        <w:tabs>
          <w:tab w:val="left" w:pos="1260"/>
        </w:tabs>
        <w:autoSpaceDE w:val="0"/>
        <w:autoSpaceDN w:val="0"/>
        <w:adjustRightInd w:val="0"/>
        <w:snapToGrid w:val="0"/>
        <w:spacing w:after="156" w:afterLines="50"/>
        <w:ind w:left="1134"/>
        <w:rPr>
          <w:rFonts w:asciiTheme="minorEastAsia" w:hAnsiTheme="minorEastAsia"/>
          <w:sz w:val="24"/>
        </w:rPr>
      </w:pPr>
      <w:r>
        <w:rPr>
          <w:rFonts w:hint="eastAsia" w:asciiTheme="minorEastAsia" w:hAnsiTheme="minorEastAsia"/>
          <w:sz w:val="24"/>
        </w:rPr>
        <w:t>成交公告期限为 1 个工作日。</w:t>
      </w:r>
    </w:p>
    <w:p>
      <w:pPr>
        <w:numPr>
          <w:ilvl w:val="2"/>
          <w:numId w:val="5"/>
        </w:numPr>
        <w:tabs>
          <w:tab w:val="left" w:pos="1260"/>
        </w:tabs>
        <w:autoSpaceDE w:val="0"/>
        <w:autoSpaceDN w:val="0"/>
        <w:adjustRightInd w:val="0"/>
        <w:snapToGrid w:val="0"/>
        <w:spacing w:after="156" w:afterLines="50"/>
        <w:rPr>
          <w:rFonts w:ascii="宋体" w:hAnsi="宋体"/>
          <w:sz w:val="24"/>
        </w:rPr>
      </w:pPr>
      <w:r>
        <w:rPr>
          <w:rFonts w:ascii="宋体" w:hAnsi="宋体" w:cs="黑体"/>
          <w:kern w:val="0"/>
          <w:sz w:val="24"/>
        </w:rPr>
        <w:t>供应商</w:t>
      </w:r>
      <w:r>
        <w:rPr>
          <w:rFonts w:hint="eastAsia" w:ascii="宋体" w:hAnsi="宋体" w:cs="黑体"/>
          <w:kern w:val="0"/>
          <w:sz w:val="24"/>
        </w:rPr>
        <w:t>可以在成交公告期限届满之日</w:t>
      </w:r>
      <w:r>
        <w:rPr>
          <w:rFonts w:hint="eastAsia" w:ascii="宋体" w:hAnsi="宋体"/>
          <w:sz w:val="24"/>
        </w:rPr>
        <w:t>起七个工作日内，按本须知</w:t>
      </w:r>
      <w:r>
        <w:fldChar w:fldCharType="begin"/>
      </w:r>
      <w:r>
        <w:instrText xml:space="preserve"> REF _Ref527101721 \r \h  \* MERGEFORMAT </w:instrText>
      </w:r>
      <w:r>
        <w:fldChar w:fldCharType="separate"/>
      </w:r>
      <w:r>
        <w:rPr>
          <w:rFonts w:ascii="宋体" w:hAnsi="宋体"/>
          <w:sz w:val="24"/>
        </w:rPr>
        <w:t>2.3</w:t>
      </w:r>
      <w:r>
        <w:rPr>
          <w:rFonts w:ascii="宋体" w:hAnsi="宋体"/>
          <w:sz w:val="24"/>
        </w:rPr>
        <w:fldChar w:fldCharType="end"/>
      </w:r>
      <w:r>
        <w:rPr>
          <w:rFonts w:hint="eastAsia" w:ascii="宋体" w:hAnsi="宋体"/>
          <w:sz w:val="24"/>
        </w:rPr>
        <w:t>款接收质疑函的方式以书面形式一次性提出对成交结果的质疑。</w:t>
      </w:r>
    </w:p>
    <w:p>
      <w:pPr>
        <w:numPr>
          <w:ilvl w:val="1"/>
          <w:numId w:val="5"/>
        </w:numPr>
        <w:autoSpaceDE w:val="0"/>
        <w:autoSpaceDN w:val="0"/>
        <w:adjustRightInd w:val="0"/>
        <w:snapToGrid w:val="0"/>
        <w:spacing w:after="156" w:afterLines="50"/>
        <w:ind w:left="1680" w:hanging="1680" w:hangingChars="700"/>
        <w:rPr>
          <w:rFonts w:ascii="宋体" w:hAnsi="宋体" w:cs="黑体"/>
          <w:kern w:val="0"/>
          <w:sz w:val="24"/>
        </w:rPr>
      </w:pPr>
      <w:bookmarkStart w:id="58" w:name="_Toc195921832"/>
      <w:r>
        <w:rPr>
          <w:rFonts w:hint="eastAsia" w:ascii="宋体" w:hAnsi="宋体" w:cs="黑体"/>
          <w:kern w:val="0"/>
          <w:sz w:val="24"/>
        </w:rPr>
        <w:t>成交通知</w:t>
      </w:r>
      <w:bookmarkEnd w:id="58"/>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宋体"/>
          <w:kern w:val="0"/>
          <w:sz w:val="24"/>
        </w:rPr>
        <w:t>在公告成交结果的同时</w:t>
      </w:r>
      <w:r>
        <w:rPr>
          <w:rFonts w:hint="eastAsia" w:ascii="宋体" w:hAnsi="宋体" w:cs="黑体"/>
          <w:kern w:val="0"/>
          <w:sz w:val="24"/>
        </w:rPr>
        <w:t>，采购人以书面形式向成交供应商发出成交通知书，同时将成交结果通知其他参加磋商的供应商。</w:t>
      </w:r>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Theme="minorEastAsia" w:hAnsiTheme="minorEastAsia"/>
          <w:sz w:val="24"/>
        </w:rPr>
        <w:t>成交通知书发出后，采购人不得违法改变成交结果，成交供应商无正当理由不得放弃。</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履约保证金</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bookmarkStart w:id="59" w:name="_Ref421009348"/>
      <w:r>
        <w:rPr>
          <w:rFonts w:hint="eastAsia" w:ascii="宋体" w:hAnsi="宋体" w:cs="黑体"/>
          <w:kern w:val="0"/>
          <w:sz w:val="24"/>
        </w:rPr>
        <w:t>在签订合同前，成交供应商应按供应商须知前附表规定的金额、担保形式和磋商文件第四章“合同条款及格式”规定的履约保证金格式向采购人提交履约保证金。</w:t>
      </w:r>
      <w:bookmarkEnd w:id="59"/>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成交供应商不能按本章第</w:t>
      </w:r>
      <w:r>
        <w:fldChar w:fldCharType="begin"/>
      </w:r>
      <w:r>
        <w:instrText xml:space="preserve"> REF _Ref421009348 \r \h  \* MERGEFORMAT </w:instrText>
      </w:r>
      <w:r>
        <w:fldChar w:fldCharType="separate"/>
      </w:r>
      <w:r>
        <w:rPr>
          <w:rFonts w:ascii="宋体" w:hAnsi="宋体" w:cs="黑体"/>
          <w:kern w:val="0"/>
          <w:sz w:val="24"/>
        </w:rPr>
        <w:t>6.4.1</w:t>
      </w:r>
      <w:r>
        <w:rPr>
          <w:rFonts w:ascii="宋体" w:hAnsi="宋体" w:cs="黑体"/>
          <w:kern w:val="0"/>
          <w:sz w:val="24"/>
        </w:rPr>
        <w:fldChar w:fldCharType="end"/>
      </w:r>
      <w:r>
        <w:rPr>
          <w:rFonts w:hint="eastAsia" w:ascii="宋体" w:hAnsi="宋体" w:cs="黑体"/>
          <w:kern w:val="0"/>
          <w:sz w:val="24"/>
        </w:rPr>
        <w:t>项要求提交履约保证金的，视为放弃成交，其磋商保证金不予退还，给采购人造成的损失超过磋商保证金数额的，成交供应商还应当对超过部分予以赔偿。</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bookmarkStart w:id="60" w:name="_Toc195921834"/>
      <w:r>
        <w:rPr>
          <w:rFonts w:hint="eastAsia" w:ascii="宋体" w:hAnsi="宋体" w:cs="黑体"/>
          <w:kern w:val="0"/>
          <w:sz w:val="24"/>
        </w:rPr>
        <w:t>签订合同</w:t>
      </w:r>
      <w:bookmarkEnd w:id="60"/>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Theme="minorEastAsia" w:hAnsiTheme="minorEastAsia"/>
          <w:sz w:val="24"/>
        </w:rPr>
        <w:t>采购人应当自成交通知书发出之日起30日内，按照磋商文件和成交供应商响应文件的规定，与成交供应商签订书面合同。所签订的合同不得对磋商文件确定的事项和成交供应商响应文件作实质性修改。</w:t>
      </w:r>
    </w:p>
    <w:p>
      <w:pPr>
        <w:tabs>
          <w:tab w:val="left" w:pos="1260"/>
        </w:tabs>
        <w:autoSpaceDE w:val="0"/>
        <w:autoSpaceDN w:val="0"/>
        <w:adjustRightInd w:val="0"/>
        <w:snapToGrid w:val="0"/>
        <w:spacing w:after="156" w:afterLines="50"/>
        <w:ind w:left="1134"/>
        <w:rPr>
          <w:rFonts w:asciiTheme="minorEastAsia" w:hAnsiTheme="minorEastAsia"/>
          <w:sz w:val="24"/>
        </w:rPr>
      </w:pPr>
      <w:r>
        <w:rPr>
          <w:rFonts w:hint="eastAsia" w:asciiTheme="minorEastAsia" w:hAnsiTheme="minorEastAsia"/>
          <w:sz w:val="24"/>
        </w:rPr>
        <w:t>采购人不得向成交供应商提出任何不合理的要求作为签订合同的条件。</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成交供应商无正当理由拒签合同的，采购人取消其成交资格，其磋商保证金不予退还；给采购人造成的损失超过磋商保证金数额的，成交供应商还应当对超过部分予以赔偿。</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发出成交通知书后，采购人无正当理由拒签合同的，采购人向成交供应商退还磋商保证金；给成交供应商造成损失的，还应当赔偿损失。</w:t>
      </w:r>
    </w:p>
    <w:p>
      <w:pPr>
        <w:numPr>
          <w:ilvl w:val="2"/>
          <w:numId w:val="5"/>
        </w:numPr>
        <w:tabs>
          <w:tab w:val="left" w:pos="1260"/>
        </w:tabs>
        <w:autoSpaceDE w:val="0"/>
        <w:autoSpaceDN w:val="0"/>
        <w:adjustRightInd w:val="0"/>
        <w:snapToGrid w:val="0"/>
        <w:spacing w:after="156" w:afterLines="50"/>
        <w:rPr>
          <w:rFonts w:ascii="宋体" w:hAnsi="宋体" w:cs="黑体"/>
          <w:kern w:val="0"/>
          <w:sz w:val="24"/>
        </w:rPr>
      </w:pPr>
      <w:r>
        <w:rPr>
          <w:rFonts w:hint="eastAsia" w:ascii="宋体" w:hAnsi="宋体" w:cs="黑体"/>
          <w:kern w:val="0"/>
          <w:sz w:val="24"/>
        </w:rPr>
        <w:t>成交供应商拒绝签订政府采购合同的，采购人可以按照第</w:t>
      </w:r>
      <w:r>
        <w:fldChar w:fldCharType="begin"/>
      </w:r>
      <w:r>
        <w:instrText xml:space="preserve"> REF _Ref526866822 \r \h  \* MERGEFORMAT </w:instrText>
      </w:r>
      <w:r>
        <w:fldChar w:fldCharType="separate"/>
      </w:r>
      <w:r>
        <w:rPr>
          <w:rFonts w:ascii="宋体" w:hAnsi="宋体" w:cs="黑体"/>
          <w:kern w:val="0"/>
          <w:sz w:val="24"/>
        </w:rPr>
        <w:t>6.1</w:t>
      </w:r>
      <w:r>
        <w:rPr>
          <w:rFonts w:ascii="宋体" w:hAnsi="宋体" w:cs="黑体"/>
          <w:kern w:val="0"/>
          <w:sz w:val="24"/>
        </w:rPr>
        <w:fldChar w:fldCharType="end"/>
      </w:r>
      <w:r>
        <w:rPr>
          <w:rFonts w:ascii="宋体" w:hAnsi="宋体" w:cs="黑体"/>
          <w:kern w:val="0"/>
          <w:sz w:val="24"/>
        </w:rPr>
        <w:t>款</w:t>
      </w:r>
      <w:r>
        <w:rPr>
          <w:rFonts w:hint="eastAsia" w:ascii="宋体" w:hAnsi="宋体" w:cs="黑体"/>
          <w:kern w:val="0"/>
          <w:sz w:val="24"/>
        </w:rPr>
        <w:t>原则确定其他供应商作为成交供应商并签订政府采购合同，也可以重新开展采购活动。拒绝签订政府采购合同的成交供应商不得参加对该项目重新开展的采购活动。</w:t>
      </w:r>
    </w:p>
    <w:p>
      <w:pPr>
        <w:numPr>
          <w:ilvl w:val="0"/>
          <w:numId w:val="5"/>
        </w:numPr>
        <w:autoSpaceDE w:val="0"/>
        <w:autoSpaceDN w:val="0"/>
        <w:adjustRightInd w:val="0"/>
        <w:spacing w:after="156" w:afterLines="50"/>
        <w:outlineLvl w:val="2"/>
        <w:rPr>
          <w:rFonts w:ascii="黑体" w:hAnsi="宋体" w:eastAsia="黑体" w:cs="黑体"/>
          <w:kern w:val="0"/>
          <w:sz w:val="24"/>
        </w:rPr>
      </w:pPr>
      <w:bookmarkStart w:id="61" w:name="_Toc195921838"/>
      <w:r>
        <w:rPr>
          <w:rFonts w:hint="eastAsia" w:ascii="黑体" w:hAnsi="宋体" w:eastAsia="黑体" w:cs="黑体"/>
          <w:kern w:val="0"/>
          <w:sz w:val="24"/>
        </w:rPr>
        <w:t>重新开展采购活动</w:t>
      </w:r>
    </w:p>
    <w:p>
      <w:pPr>
        <w:tabs>
          <w:tab w:val="left" w:pos="1260"/>
        </w:tabs>
        <w:autoSpaceDE w:val="0"/>
        <w:autoSpaceDN w:val="0"/>
        <w:adjustRightInd w:val="0"/>
        <w:snapToGrid w:val="0"/>
        <w:spacing w:after="156" w:afterLines="50"/>
        <w:ind w:left="1134" w:leftChars="540"/>
        <w:rPr>
          <w:rFonts w:ascii="宋体" w:hAnsi="宋体" w:cs="黑体"/>
          <w:kern w:val="0"/>
          <w:sz w:val="24"/>
        </w:rPr>
      </w:pPr>
      <w:r>
        <w:rPr>
          <w:rFonts w:hint="eastAsia" w:ascii="宋体" w:hAnsi="宋体" w:cs="黑体"/>
          <w:kern w:val="0"/>
          <w:sz w:val="24"/>
        </w:rPr>
        <w:t>出现下列情形之一的，采购人或者采购代理机构应当终止竞争性磋商采购活动，通过发布公告邀请供应商参加磋商的，将在磋商公告发布媒体上发布（通过邀请方式的，将通知每位接受邀请的供应商）项目终止公告并说明原因，重新开展采购活动：</w:t>
      </w:r>
    </w:p>
    <w:p>
      <w:pPr>
        <w:tabs>
          <w:tab w:val="left" w:pos="1260"/>
        </w:tabs>
        <w:autoSpaceDE w:val="0"/>
        <w:autoSpaceDN w:val="0"/>
        <w:adjustRightInd w:val="0"/>
        <w:snapToGrid w:val="0"/>
        <w:spacing w:after="156" w:afterLines="50"/>
        <w:ind w:left="1983" w:leftChars="540" w:hanging="849" w:hangingChars="354"/>
        <w:rPr>
          <w:rFonts w:ascii="宋体" w:hAnsi="宋体" w:cs="黑体"/>
          <w:kern w:val="0"/>
          <w:sz w:val="24"/>
        </w:rPr>
      </w:pPr>
      <w:r>
        <w:rPr>
          <w:rFonts w:hint="eastAsia" w:ascii="宋体" w:hAnsi="宋体" w:cs="黑体"/>
          <w:kern w:val="0"/>
          <w:sz w:val="24"/>
        </w:rPr>
        <w:t>（1）</w:t>
      </w:r>
      <w:r>
        <w:rPr>
          <w:rFonts w:hint="eastAsia" w:ascii="宋体" w:hAnsi="宋体" w:cs="黑体"/>
          <w:kern w:val="0"/>
          <w:sz w:val="24"/>
        </w:rPr>
        <w:tab/>
      </w:r>
      <w:r>
        <w:rPr>
          <w:rFonts w:hint="eastAsia" w:ascii="宋体" w:hAnsi="宋体" w:cs="黑体"/>
          <w:kern w:val="0"/>
          <w:sz w:val="24"/>
        </w:rPr>
        <w:t>因情况变化，不再符合规定的竞争性磋商采购方式适用情形的；</w:t>
      </w:r>
    </w:p>
    <w:p>
      <w:pPr>
        <w:tabs>
          <w:tab w:val="left" w:pos="1260"/>
        </w:tabs>
        <w:autoSpaceDE w:val="0"/>
        <w:autoSpaceDN w:val="0"/>
        <w:adjustRightInd w:val="0"/>
        <w:snapToGrid w:val="0"/>
        <w:spacing w:after="156" w:afterLines="50"/>
        <w:ind w:left="1983" w:leftChars="540" w:hanging="849" w:hangingChars="354"/>
        <w:rPr>
          <w:rFonts w:ascii="宋体" w:hAnsi="宋体" w:cs="黑体"/>
          <w:kern w:val="0"/>
          <w:sz w:val="24"/>
        </w:rPr>
      </w:pPr>
      <w:r>
        <w:rPr>
          <w:rFonts w:hint="eastAsia" w:ascii="宋体" w:hAnsi="宋体" w:cs="黑体"/>
          <w:kern w:val="0"/>
          <w:sz w:val="24"/>
        </w:rPr>
        <w:t>（2）</w:t>
      </w:r>
      <w:r>
        <w:rPr>
          <w:rFonts w:hint="eastAsia" w:ascii="宋体" w:hAnsi="宋体" w:cs="黑体"/>
          <w:kern w:val="0"/>
          <w:sz w:val="24"/>
        </w:rPr>
        <w:tab/>
      </w:r>
      <w:r>
        <w:rPr>
          <w:rFonts w:hint="eastAsia" w:ascii="宋体" w:hAnsi="宋体" w:cs="黑体"/>
          <w:kern w:val="0"/>
          <w:sz w:val="24"/>
        </w:rPr>
        <w:t>出现影响采购公正的违法、违规行为的；</w:t>
      </w:r>
    </w:p>
    <w:p>
      <w:pPr>
        <w:tabs>
          <w:tab w:val="left" w:pos="2127"/>
        </w:tabs>
        <w:autoSpaceDE w:val="0"/>
        <w:autoSpaceDN w:val="0"/>
        <w:adjustRightInd w:val="0"/>
        <w:snapToGrid w:val="0"/>
        <w:spacing w:after="156" w:afterLines="50"/>
        <w:ind w:left="1983" w:leftChars="540" w:hanging="849" w:hangingChars="354"/>
        <w:rPr>
          <w:rFonts w:ascii="宋体" w:hAnsi="宋体" w:cs="黑体"/>
          <w:kern w:val="0"/>
          <w:sz w:val="24"/>
        </w:rPr>
      </w:pPr>
      <w:r>
        <w:rPr>
          <w:rFonts w:hint="eastAsia" w:ascii="宋体" w:hAnsi="宋体" w:cs="黑体"/>
          <w:kern w:val="0"/>
          <w:sz w:val="24"/>
        </w:rPr>
        <w:t>（3）</w:t>
      </w:r>
      <w:r>
        <w:rPr>
          <w:rFonts w:hint="eastAsia" w:ascii="宋体" w:hAnsi="宋体" w:cs="黑体"/>
          <w:kern w:val="0"/>
          <w:sz w:val="24"/>
        </w:rPr>
        <w:tab/>
      </w:r>
      <w:r>
        <w:rPr>
          <w:rFonts w:hint="eastAsia" w:ascii="宋体" w:hAnsi="宋体" w:cs="黑体"/>
          <w:kern w:val="0"/>
          <w:sz w:val="24"/>
        </w:rPr>
        <w:t>在采购过程中符合要求的供应商或者报价未超过采购预算或最高限价的供应商不足3家的，但市场竞争不充分的科研项目以及需要扶持的科技成果转化项目</w:t>
      </w:r>
      <w:r>
        <w:rPr>
          <w:rFonts w:hint="eastAsia" w:cs="宋体" w:asciiTheme="minorEastAsia" w:hAnsiTheme="minorEastAsia" w:eastAsiaTheme="minorEastAsia"/>
          <w:sz w:val="24"/>
        </w:rPr>
        <w:t>提交最后报价的供应商可以为2家</w:t>
      </w:r>
      <w:r>
        <w:rPr>
          <w:rFonts w:hint="eastAsia" w:ascii="宋体" w:hAnsi="宋体" w:cs="黑体"/>
          <w:kern w:val="0"/>
          <w:sz w:val="24"/>
        </w:rPr>
        <w:t>。</w:t>
      </w:r>
    </w:p>
    <w:p>
      <w:pPr>
        <w:numPr>
          <w:ilvl w:val="0"/>
          <w:numId w:val="5"/>
        </w:numPr>
        <w:autoSpaceDE w:val="0"/>
        <w:autoSpaceDN w:val="0"/>
        <w:adjustRightInd w:val="0"/>
        <w:spacing w:after="156" w:afterLines="50"/>
        <w:outlineLvl w:val="2"/>
        <w:rPr>
          <w:rFonts w:ascii="黑体" w:hAnsi="宋体" w:eastAsia="黑体" w:cs="黑体"/>
          <w:kern w:val="0"/>
          <w:sz w:val="24"/>
        </w:rPr>
      </w:pPr>
      <w:r>
        <w:rPr>
          <w:rFonts w:hint="eastAsia" w:ascii="黑体" w:hAnsi="宋体" w:eastAsia="黑体" w:cs="黑体"/>
          <w:kern w:val="0"/>
          <w:sz w:val="24"/>
        </w:rPr>
        <w:t>纪律和监督</w:t>
      </w:r>
      <w:bookmarkEnd w:id="61"/>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bookmarkStart w:id="62" w:name="_Toc195921839"/>
      <w:r>
        <w:rPr>
          <w:rFonts w:hint="eastAsia" w:ascii="宋体" w:hAnsi="宋体" w:cs="黑体"/>
          <w:kern w:val="0"/>
          <w:sz w:val="24"/>
        </w:rPr>
        <w:t>对采购人的要求</w:t>
      </w:r>
      <w:bookmarkEnd w:id="62"/>
    </w:p>
    <w:p>
      <w:pPr>
        <w:tabs>
          <w:tab w:val="left" w:pos="1260"/>
        </w:tabs>
        <w:autoSpaceDE w:val="0"/>
        <w:autoSpaceDN w:val="0"/>
        <w:adjustRightInd w:val="0"/>
        <w:snapToGrid w:val="0"/>
        <w:spacing w:after="156" w:afterLines="50"/>
        <w:ind w:left="1134"/>
        <w:rPr>
          <w:rFonts w:ascii="宋体" w:hAnsi="宋体" w:cs="黑体"/>
          <w:kern w:val="0"/>
          <w:sz w:val="24"/>
        </w:rPr>
      </w:pPr>
      <w:r>
        <w:rPr>
          <w:rFonts w:hAnsi="宋体" w:cs="宋体"/>
          <w:sz w:val="24"/>
        </w:rPr>
        <w:t>采购人在政府采购活动中应当维护国家利益和社会公共利益，公正廉洁，诚实守信，执行政府采购政策</w:t>
      </w:r>
      <w:r>
        <w:rPr>
          <w:rFonts w:hint="eastAsia" w:hAnsi="宋体" w:cs="宋体"/>
          <w:sz w:val="24"/>
        </w:rPr>
        <w:t>。</w:t>
      </w:r>
      <w:r>
        <w:rPr>
          <w:rFonts w:hAnsi="宋体" w:cs="宋体"/>
          <w:sz w:val="24"/>
        </w:rPr>
        <w:t>采购人不得向供应商索要或者接受其给予的赠品、回扣或者与采购无关的其他商品、服务</w:t>
      </w:r>
      <w:r>
        <w:rPr>
          <w:rFonts w:hint="eastAsia" w:ascii="宋体" w:hAnsi="宋体" w:cs="黑体"/>
          <w:kern w:val="0"/>
          <w:sz w:val="24"/>
        </w:rPr>
        <w:t>。</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bookmarkStart w:id="63" w:name="_Toc195921840"/>
      <w:r>
        <w:rPr>
          <w:rFonts w:hint="eastAsia" w:ascii="宋体" w:hAnsi="宋体" w:cs="黑体"/>
          <w:kern w:val="0"/>
          <w:sz w:val="24"/>
        </w:rPr>
        <w:t>对采购代理机构的要求</w:t>
      </w:r>
    </w:p>
    <w:p>
      <w:pPr>
        <w:tabs>
          <w:tab w:val="left" w:pos="1260"/>
        </w:tabs>
        <w:autoSpaceDE w:val="0"/>
        <w:autoSpaceDN w:val="0"/>
        <w:adjustRightInd w:val="0"/>
        <w:snapToGrid w:val="0"/>
        <w:spacing w:after="156" w:afterLines="50"/>
        <w:ind w:left="1134"/>
        <w:rPr>
          <w:rFonts w:hAnsi="宋体" w:cs="宋体"/>
          <w:sz w:val="24"/>
        </w:rPr>
      </w:pPr>
      <w:r>
        <w:rPr>
          <w:rFonts w:hAnsi="宋体" w:cs="宋体"/>
          <w:sz w:val="24"/>
        </w:rPr>
        <w:t>采购代理机构不得与采购人、供应商恶意串通操纵政府采购活动。</w:t>
      </w:r>
    </w:p>
    <w:p>
      <w:pPr>
        <w:tabs>
          <w:tab w:val="left" w:pos="1260"/>
        </w:tabs>
        <w:autoSpaceDE w:val="0"/>
        <w:autoSpaceDN w:val="0"/>
        <w:adjustRightInd w:val="0"/>
        <w:snapToGrid w:val="0"/>
        <w:spacing w:after="156" w:afterLines="50"/>
        <w:ind w:left="1134"/>
        <w:rPr>
          <w:rFonts w:hAnsi="宋体" w:cs="宋体"/>
          <w:sz w:val="24"/>
        </w:rPr>
      </w:pPr>
      <w:r>
        <w:rPr>
          <w:rFonts w:hAnsi="宋体" w:cs="宋体"/>
          <w:sz w:val="24"/>
        </w:rPr>
        <w:t>采购代理机构工作人员不得接受采购人或者供应商组织的宴请、旅游、娱乐，不得收受礼品、现金、有价证券等，不得向采购人或者供应商报销应当由个人承担的费用。</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r>
        <w:rPr>
          <w:rFonts w:hint="eastAsia" w:ascii="宋体" w:hAnsi="宋体" w:cs="黑体"/>
          <w:kern w:val="0"/>
          <w:sz w:val="24"/>
        </w:rPr>
        <w:t>对供应商的纪律要求</w:t>
      </w:r>
      <w:bookmarkEnd w:id="63"/>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供应商不得相互串通或者与采购人串通，不得向采购人或者磋商小组成员行贿谋取成交，不得以他人名义或者以其他方式弄虚作假骗取成交；供应商不得以任何方式干扰、影响磋商工作。</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bookmarkStart w:id="64" w:name="_Toc195921841"/>
      <w:r>
        <w:rPr>
          <w:rFonts w:hint="eastAsia" w:ascii="宋体" w:hAnsi="宋体" w:cs="黑体"/>
          <w:kern w:val="0"/>
          <w:sz w:val="24"/>
        </w:rPr>
        <w:t>磋商小组及其成员不得有下列行为</w:t>
      </w:r>
      <w:bookmarkEnd w:id="64"/>
    </w:p>
    <w:p>
      <w:pPr>
        <w:pStyle w:val="425"/>
        <w:numPr>
          <w:ilvl w:val="0"/>
          <w:numId w:val="12"/>
        </w:numPr>
        <w:snapToGrid w:val="0"/>
        <w:spacing w:after="156" w:afterLines="50"/>
        <w:ind w:left="1985" w:hanging="853" w:firstLineChars="0"/>
        <w:rPr>
          <w:rFonts w:asciiTheme="minorEastAsia" w:hAnsiTheme="minorEastAsia"/>
          <w:sz w:val="24"/>
        </w:rPr>
      </w:pPr>
      <w:r>
        <w:rPr>
          <w:rFonts w:hint="eastAsia" w:asciiTheme="minorEastAsia" w:hAnsiTheme="minorEastAsia"/>
          <w:sz w:val="24"/>
        </w:rPr>
        <w:t>确定参与磋商至磋商结束前私自接触供应商；</w:t>
      </w:r>
    </w:p>
    <w:p>
      <w:pPr>
        <w:pStyle w:val="425"/>
        <w:numPr>
          <w:ilvl w:val="0"/>
          <w:numId w:val="12"/>
        </w:numPr>
        <w:snapToGrid w:val="0"/>
        <w:spacing w:after="156" w:afterLines="50"/>
        <w:ind w:left="1985" w:hanging="853" w:firstLineChars="0"/>
        <w:rPr>
          <w:rFonts w:asciiTheme="minorEastAsia" w:hAnsiTheme="minorEastAsia"/>
          <w:sz w:val="24"/>
        </w:rPr>
      </w:pPr>
      <w:r>
        <w:rPr>
          <w:rFonts w:hint="eastAsia" w:asciiTheme="minorEastAsia" w:hAnsiTheme="minorEastAsia"/>
          <w:sz w:val="24"/>
        </w:rPr>
        <w:t>接受供应商提出的与响应文件不一致的澄清或者说明，磋商小组要求供应商作出必要的澄清、说明或者补正的情形除外；</w:t>
      </w:r>
    </w:p>
    <w:p>
      <w:pPr>
        <w:pStyle w:val="425"/>
        <w:numPr>
          <w:ilvl w:val="0"/>
          <w:numId w:val="12"/>
        </w:numPr>
        <w:snapToGrid w:val="0"/>
        <w:spacing w:after="156" w:afterLines="50"/>
        <w:ind w:left="1985" w:hanging="853" w:firstLineChars="0"/>
        <w:rPr>
          <w:rFonts w:asciiTheme="minorEastAsia" w:hAnsiTheme="minorEastAsia"/>
          <w:sz w:val="24"/>
        </w:rPr>
      </w:pPr>
      <w:r>
        <w:rPr>
          <w:rFonts w:hint="eastAsia" w:asciiTheme="minorEastAsia" w:hAnsiTheme="minorEastAsia"/>
          <w:sz w:val="24"/>
        </w:rPr>
        <w:t>违反评审纪律发表倾向性意见或者征询采购人的倾向性意见；</w:t>
      </w:r>
    </w:p>
    <w:p>
      <w:pPr>
        <w:pStyle w:val="425"/>
        <w:numPr>
          <w:ilvl w:val="0"/>
          <w:numId w:val="12"/>
        </w:numPr>
        <w:snapToGrid w:val="0"/>
        <w:spacing w:after="156" w:afterLines="50"/>
        <w:ind w:left="1985" w:hanging="853" w:firstLineChars="0"/>
        <w:rPr>
          <w:rFonts w:asciiTheme="minorEastAsia" w:hAnsiTheme="minorEastAsia"/>
          <w:sz w:val="24"/>
        </w:rPr>
      </w:pPr>
      <w:r>
        <w:rPr>
          <w:rFonts w:hint="eastAsia" w:asciiTheme="minorEastAsia" w:hAnsiTheme="minorEastAsia"/>
          <w:sz w:val="24"/>
        </w:rPr>
        <w:t>在评审与磋商过程中擅离职守，影响评审程序正常进行的；</w:t>
      </w:r>
    </w:p>
    <w:p>
      <w:pPr>
        <w:pStyle w:val="425"/>
        <w:numPr>
          <w:ilvl w:val="0"/>
          <w:numId w:val="12"/>
        </w:numPr>
        <w:snapToGrid w:val="0"/>
        <w:spacing w:after="156" w:afterLines="50"/>
        <w:ind w:left="1985" w:hanging="853" w:firstLineChars="0"/>
        <w:rPr>
          <w:rFonts w:asciiTheme="minorEastAsia" w:hAnsiTheme="minorEastAsia"/>
          <w:sz w:val="24"/>
        </w:rPr>
      </w:pPr>
      <w:r>
        <w:rPr>
          <w:rFonts w:hint="eastAsia" w:asciiTheme="minorEastAsia" w:hAnsiTheme="minorEastAsia"/>
          <w:sz w:val="24"/>
        </w:rPr>
        <w:t>记录、复制或者带走任何评审资料；</w:t>
      </w:r>
    </w:p>
    <w:p>
      <w:pPr>
        <w:pStyle w:val="425"/>
        <w:numPr>
          <w:ilvl w:val="0"/>
          <w:numId w:val="12"/>
        </w:numPr>
        <w:snapToGrid w:val="0"/>
        <w:spacing w:after="156" w:afterLines="50"/>
        <w:ind w:left="1985" w:hanging="853" w:firstLineChars="0"/>
        <w:rPr>
          <w:rFonts w:asciiTheme="minorEastAsia" w:hAnsiTheme="minorEastAsia"/>
          <w:sz w:val="24"/>
        </w:rPr>
      </w:pPr>
      <w:r>
        <w:rPr>
          <w:rFonts w:hint="eastAsia" w:asciiTheme="minorEastAsia" w:hAnsiTheme="minorEastAsia"/>
          <w:sz w:val="24"/>
        </w:rPr>
        <w:t>其他不遵守评审纪律的行为。</w:t>
      </w:r>
    </w:p>
    <w:p>
      <w:pPr>
        <w:numPr>
          <w:ilvl w:val="1"/>
          <w:numId w:val="5"/>
        </w:numPr>
        <w:autoSpaceDE w:val="0"/>
        <w:autoSpaceDN w:val="0"/>
        <w:adjustRightInd w:val="0"/>
        <w:snapToGrid w:val="0"/>
        <w:spacing w:after="156" w:afterLines="50"/>
        <w:ind w:left="1133" w:hanging="1132" w:hangingChars="472"/>
        <w:rPr>
          <w:rFonts w:ascii="宋体" w:hAnsi="宋体" w:cs="黑体"/>
          <w:kern w:val="0"/>
          <w:sz w:val="24"/>
        </w:rPr>
      </w:pPr>
      <w:bookmarkStart w:id="65" w:name="_Toc195921842"/>
      <w:r>
        <w:rPr>
          <w:rFonts w:hint="eastAsia" w:ascii="宋体" w:hAnsi="宋体" w:cs="黑体"/>
          <w:kern w:val="0"/>
          <w:sz w:val="24"/>
        </w:rPr>
        <w:t>对与评审活动有关的工作人员的纪律要求</w:t>
      </w:r>
      <w:bookmarkEnd w:id="65"/>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与</w:t>
      </w:r>
      <w:r>
        <w:rPr>
          <w:rFonts w:hint="eastAsia" w:asciiTheme="minorEastAsia" w:hAnsiTheme="minorEastAsia"/>
          <w:sz w:val="24"/>
        </w:rPr>
        <w:t>评审与磋商</w:t>
      </w:r>
      <w:r>
        <w:rPr>
          <w:rFonts w:hint="eastAsia" w:ascii="宋体" w:hAnsi="宋体" w:cs="黑体"/>
          <w:kern w:val="0"/>
          <w:sz w:val="24"/>
        </w:rPr>
        <w:t>活动有关的工作人员不得收受他人的财物或者其他好处，不得向他人透漏对响应文件的</w:t>
      </w:r>
      <w:r>
        <w:rPr>
          <w:rFonts w:hint="eastAsia" w:asciiTheme="minorEastAsia" w:hAnsiTheme="minorEastAsia"/>
          <w:sz w:val="24"/>
        </w:rPr>
        <w:t>评审与磋商</w:t>
      </w:r>
      <w:r>
        <w:rPr>
          <w:rFonts w:hint="eastAsia" w:ascii="宋体" w:hAnsi="宋体" w:cs="黑体"/>
          <w:kern w:val="0"/>
          <w:sz w:val="24"/>
        </w:rPr>
        <w:t>、成交候选人的推荐情况以及</w:t>
      </w:r>
      <w:r>
        <w:rPr>
          <w:rFonts w:hint="eastAsia" w:asciiTheme="minorEastAsia" w:hAnsiTheme="minorEastAsia"/>
          <w:sz w:val="24"/>
        </w:rPr>
        <w:t>评审与磋商</w:t>
      </w:r>
      <w:r>
        <w:rPr>
          <w:rFonts w:hint="eastAsia" w:ascii="宋体" w:hAnsi="宋体" w:cs="黑体"/>
          <w:kern w:val="0"/>
          <w:sz w:val="24"/>
        </w:rPr>
        <w:t>有关的其他情况。在评审活动中，参与</w:t>
      </w:r>
      <w:r>
        <w:rPr>
          <w:rFonts w:hint="eastAsia" w:asciiTheme="minorEastAsia" w:hAnsiTheme="minorEastAsia"/>
          <w:sz w:val="24"/>
        </w:rPr>
        <w:t>评审与磋商</w:t>
      </w:r>
      <w:r>
        <w:rPr>
          <w:rFonts w:hint="eastAsia" w:ascii="宋体" w:hAnsi="宋体" w:cs="黑体"/>
          <w:kern w:val="0"/>
          <w:sz w:val="24"/>
        </w:rPr>
        <w:t>活动有关的工作人员不得擅离职守，影响</w:t>
      </w:r>
      <w:r>
        <w:rPr>
          <w:rFonts w:hint="eastAsia" w:asciiTheme="minorEastAsia" w:hAnsiTheme="minorEastAsia"/>
          <w:sz w:val="24"/>
        </w:rPr>
        <w:t>评审与磋商</w:t>
      </w:r>
      <w:r>
        <w:rPr>
          <w:rFonts w:hint="eastAsia" w:ascii="宋体" w:hAnsi="宋体" w:cs="黑体"/>
          <w:kern w:val="0"/>
          <w:sz w:val="24"/>
        </w:rPr>
        <w:t>程序正常进行。</w:t>
      </w:r>
    </w:p>
    <w:p>
      <w:pPr>
        <w:numPr>
          <w:ilvl w:val="1"/>
          <w:numId w:val="5"/>
        </w:numPr>
        <w:autoSpaceDE w:val="0"/>
        <w:autoSpaceDN w:val="0"/>
        <w:adjustRightInd w:val="0"/>
        <w:snapToGrid w:val="0"/>
        <w:spacing w:after="156" w:afterLines="50"/>
        <w:ind w:left="1920" w:hanging="1920" w:hangingChars="800"/>
        <w:rPr>
          <w:rFonts w:ascii="宋体" w:hAnsi="宋体" w:cs="黑体"/>
          <w:kern w:val="0"/>
          <w:sz w:val="24"/>
        </w:rPr>
      </w:pPr>
      <w:bookmarkStart w:id="66" w:name="_Toc195921843"/>
      <w:r>
        <w:rPr>
          <w:rFonts w:hint="eastAsia" w:ascii="宋体" w:hAnsi="宋体" w:cs="黑体"/>
          <w:kern w:val="0"/>
          <w:sz w:val="24"/>
        </w:rPr>
        <w:t>投诉</w:t>
      </w:r>
      <w:bookmarkEnd w:id="66"/>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质疑供应商对采购人、采购代理机构的答复不满意或者采购人、采购代理机构未在规定的时间内作出答复的，可以在答复期满后十五个工作日内向同级政府采购监督管理部门投诉。</w:t>
      </w:r>
    </w:p>
    <w:p>
      <w:pPr>
        <w:numPr>
          <w:ilvl w:val="0"/>
          <w:numId w:val="5"/>
        </w:numPr>
        <w:autoSpaceDE w:val="0"/>
        <w:autoSpaceDN w:val="0"/>
        <w:adjustRightInd w:val="0"/>
        <w:spacing w:after="156" w:afterLines="50"/>
        <w:outlineLvl w:val="2"/>
        <w:rPr>
          <w:rFonts w:ascii="黑体" w:hAnsi="宋体" w:eastAsia="黑体" w:cs="黑体"/>
          <w:kern w:val="0"/>
          <w:sz w:val="24"/>
        </w:rPr>
      </w:pPr>
      <w:bookmarkStart w:id="67" w:name="_Ref527103019"/>
      <w:bookmarkStart w:id="68" w:name="_Toc195921844"/>
      <w:r>
        <w:rPr>
          <w:rFonts w:hint="eastAsia" w:ascii="黑体" w:hAnsi="宋体" w:eastAsia="黑体" w:cs="黑体"/>
          <w:kern w:val="0"/>
          <w:sz w:val="24"/>
        </w:rPr>
        <w:t>其他</w:t>
      </w:r>
      <w:bookmarkEnd w:id="67"/>
      <w:bookmarkEnd w:id="68"/>
    </w:p>
    <w:p>
      <w:pPr>
        <w:tabs>
          <w:tab w:val="left" w:pos="1260"/>
        </w:tabs>
        <w:autoSpaceDE w:val="0"/>
        <w:autoSpaceDN w:val="0"/>
        <w:adjustRightInd w:val="0"/>
        <w:snapToGrid w:val="0"/>
        <w:spacing w:after="156" w:afterLines="50"/>
        <w:ind w:left="1134"/>
        <w:rPr>
          <w:rFonts w:ascii="宋体" w:hAnsi="宋体" w:cs="黑体"/>
          <w:kern w:val="0"/>
          <w:sz w:val="24"/>
        </w:rPr>
      </w:pPr>
      <w:r>
        <w:rPr>
          <w:rFonts w:hint="eastAsia" w:ascii="宋体" w:hAnsi="宋体" w:cs="黑体"/>
          <w:kern w:val="0"/>
          <w:sz w:val="24"/>
        </w:rPr>
        <w:t>需要补充的其他内容见供应商须知前附表。</w:t>
      </w:r>
    </w:p>
    <w:p>
      <w:pPr>
        <w:autoSpaceDE w:val="0"/>
        <w:autoSpaceDN w:val="0"/>
        <w:adjustRightInd w:val="0"/>
        <w:snapToGrid w:val="0"/>
        <w:spacing w:after="156" w:afterLines="50"/>
        <w:jc w:val="center"/>
        <w:outlineLvl w:val="0"/>
        <w:rPr>
          <w:rFonts w:ascii="宋体" w:hAnsi="宋体" w:cs="黑体"/>
          <w:b/>
          <w:kern w:val="0"/>
          <w:sz w:val="44"/>
          <w:szCs w:val="44"/>
        </w:rPr>
      </w:pPr>
      <w:r>
        <w:br w:type="page"/>
      </w:r>
      <w:bookmarkStart w:id="69" w:name="_Toc26641"/>
      <w:bookmarkStart w:id="70" w:name="_Toc6914"/>
      <w:bookmarkStart w:id="71" w:name="_Toc195921851"/>
      <w:r>
        <w:rPr>
          <w:rFonts w:hint="eastAsia" w:ascii="宋体" w:hAnsi="宋体" w:cs="黑体"/>
          <w:kern w:val="0"/>
          <w:sz w:val="32"/>
          <w:szCs w:val="32"/>
        </w:rPr>
        <w:t>第三章评标办法和标准</w:t>
      </w:r>
      <w:bookmarkEnd w:id="69"/>
    </w:p>
    <w:bookmarkEnd w:id="70"/>
    <w:bookmarkEnd w:id="71"/>
    <w:p>
      <w:pPr>
        <w:rPr>
          <w:kern w:val="0"/>
        </w:rPr>
      </w:pPr>
      <w:bookmarkStart w:id="72" w:name="_Toc7684"/>
    </w:p>
    <w:p>
      <w:pPr>
        <w:numPr>
          <w:ilvl w:val="0"/>
          <w:numId w:val="13"/>
        </w:numPr>
        <w:tabs>
          <w:tab w:val="left" w:pos="993"/>
        </w:tabs>
        <w:autoSpaceDE w:val="0"/>
        <w:autoSpaceDN w:val="0"/>
        <w:adjustRightInd w:val="0"/>
        <w:snapToGrid w:val="0"/>
        <w:spacing w:after="156" w:afterLines="50"/>
        <w:ind w:left="993" w:hanging="993"/>
        <w:jc w:val="left"/>
        <w:outlineLvl w:val="1"/>
        <w:rPr>
          <w:rFonts w:ascii="黑体" w:hAnsi="TimesNewRomanPSMT" w:eastAsia="黑体" w:cs="TimesNewRomanPSMT"/>
          <w:kern w:val="0"/>
          <w:sz w:val="24"/>
        </w:rPr>
      </w:pPr>
      <w:bookmarkStart w:id="73" w:name="_Toc30811"/>
      <w:bookmarkStart w:id="74" w:name="_Toc14242"/>
      <w:r>
        <w:rPr>
          <w:rFonts w:hint="eastAsia" w:ascii="黑体" w:hAnsi="TimesNewRomanPSMT" w:eastAsia="黑体" w:cs="TimesNewRomanPSMT"/>
          <w:kern w:val="0"/>
          <w:sz w:val="24"/>
        </w:rPr>
        <w:t>评标方法</w:t>
      </w:r>
      <w:bookmarkEnd w:id="73"/>
      <w:bookmarkEnd w:id="74"/>
    </w:p>
    <w:p>
      <w:pPr>
        <w:numPr>
          <w:ilvl w:val="255"/>
          <w:numId w:val="0"/>
        </w:numPr>
        <w:tabs>
          <w:tab w:val="left" w:pos="993"/>
        </w:tabs>
        <w:autoSpaceDE w:val="0"/>
        <w:autoSpaceDN w:val="0"/>
        <w:adjustRightInd w:val="0"/>
        <w:snapToGrid w:val="0"/>
        <w:spacing w:after="156" w:afterLines="50" w:line="360" w:lineRule="auto"/>
        <w:ind w:left="1056" w:leftChars="503" w:firstLine="480" w:firstLineChars="200"/>
        <w:jc w:val="left"/>
        <w:rPr>
          <w:rFonts w:ascii="黑体" w:hAnsi="TimesNewRomanPSMT" w:eastAsia="黑体" w:cs="TimesNewRomanPSMT"/>
          <w:kern w:val="0"/>
          <w:sz w:val="24"/>
        </w:rPr>
      </w:pPr>
      <w:r>
        <w:rPr>
          <w:rFonts w:hint="eastAsia" w:ascii="宋体" w:hAnsi="宋体" w:cs="TimesNewRomanPSMT"/>
          <w:kern w:val="0"/>
          <w:sz w:val="24"/>
        </w:rPr>
        <w:t>本次评审采用综合评分法。磋商小组对满足磋商文件实质性要求的响应文件，按照本章第2条规定的评审标准进行打分，并按得分由高到低顺序推荐成交候选人，或根据采购人授权直接确定成交供应商。综合评分相等时，以报价得分由高到低顺序排列；报价也相等的，按技术指标优劣顺序排列。</w:t>
      </w:r>
    </w:p>
    <w:p>
      <w:pPr>
        <w:numPr>
          <w:ilvl w:val="0"/>
          <w:numId w:val="13"/>
        </w:numPr>
        <w:tabs>
          <w:tab w:val="left" w:pos="993"/>
        </w:tabs>
        <w:autoSpaceDE w:val="0"/>
        <w:autoSpaceDN w:val="0"/>
        <w:adjustRightInd w:val="0"/>
        <w:snapToGrid w:val="0"/>
        <w:spacing w:after="156" w:afterLines="50"/>
        <w:ind w:left="993" w:hanging="993"/>
        <w:jc w:val="left"/>
        <w:outlineLvl w:val="1"/>
        <w:rPr>
          <w:rFonts w:ascii="黑体" w:hAnsi="TimesNewRomanPSMT" w:eastAsia="黑体" w:cs="TimesNewRomanPSMT"/>
          <w:kern w:val="0"/>
          <w:sz w:val="24"/>
        </w:rPr>
      </w:pPr>
      <w:bookmarkStart w:id="75" w:name="_Toc17557"/>
      <w:bookmarkStart w:id="76" w:name="_Toc25444"/>
      <w:r>
        <w:rPr>
          <w:rFonts w:hint="eastAsia" w:ascii="黑体" w:hAnsi="TimesNewRomanPSMT" w:eastAsia="黑体" w:cs="TimesNewRomanPSMT"/>
          <w:kern w:val="0"/>
          <w:sz w:val="24"/>
        </w:rPr>
        <w:t>评审标准</w:t>
      </w:r>
      <w:bookmarkEnd w:id="75"/>
      <w:bookmarkEnd w:id="76"/>
    </w:p>
    <w:p>
      <w:pPr>
        <w:numPr>
          <w:ilvl w:val="1"/>
          <w:numId w:val="13"/>
        </w:numPr>
        <w:tabs>
          <w:tab w:val="left" w:pos="993"/>
        </w:tabs>
        <w:autoSpaceDE w:val="0"/>
        <w:autoSpaceDN w:val="0"/>
        <w:adjustRightInd w:val="0"/>
        <w:snapToGrid w:val="0"/>
        <w:spacing w:after="156" w:afterLines="50"/>
        <w:jc w:val="left"/>
        <w:rPr>
          <w:rFonts w:ascii="宋体" w:hAnsi="宋体" w:cs="TimesNewRomanPSMT"/>
          <w:kern w:val="0"/>
          <w:sz w:val="24"/>
        </w:rPr>
      </w:pPr>
      <w:r>
        <w:rPr>
          <w:rFonts w:hint="eastAsia" w:ascii="宋体" w:hAnsi="宋体" w:cs="TimesNewRomanPSMT"/>
          <w:kern w:val="0"/>
          <w:sz w:val="24"/>
        </w:rPr>
        <w:t>资格审查和符合性评审标准：见附表一和附表二。</w:t>
      </w:r>
    </w:p>
    <w:p>
      <w:pPr>
        <w:numPr>
          <w:ilvl w:val="1"/>
          <w:numId w:val="13"/>
        </w:numPr>
        <w:tabs>
          <w:tab w:val="left" w:pos="993"/>
        </w:tabs>
        <w:autoSpaceDE w:val="0"/>
        <w:autoSpaceDN w:val="0"/>
        <w:adjustRightInd w:val="0"/>
        <w:snapToGrid w:val="0"/>
        <w:spacing w:after="156" w:afterLines="50"/>
        <w:jc w:val="left"/>
        <w:rPr>
          <w:rFonts w:ascii="宋体" w:hAnsi="宋体" w:cs="TimesNewRomanPSMT"/>
          <w:kern w:val="0"/>
          <w:sz w:val="24"/>
        </w:rPr>
      </w:pPr>
      <w:r>
        <w:rPr>
          <w:rFonts w:hint="eastAsia" w:ascii="宋体" w:hAnsi="宋体" w:cs="TimesNewRomanPSMT"/>
          <w:kern w:val="0"/>
          <w:sz w:val="24"/>
        </w:rPr>
        <w:t>分值构成</w:t>
      </w:r>
    </w:p>
    <w:p>
      <w:pPr>
        <w:tabs>
          <w:tab w:val="left" w:pos="993"/>
        </w:tabs>
        <w:autoSpaceDE w:val="0"/>
        <w:autoSpaceDN w:val="0"/>
        <w:adjustRightInd w:val="0"/>
        <w:snapToGrid w:val="0"/>
        <w:spacing w:after="156" w:afterLines="50"/>
        <w:ind w:left="2264" w:leftChars="514" w:hanging="1185" w:hangingChars="494"/>
        <w:jc w:val="left"/>
        <w:rPr>
          <w:rFonts w:ascii="宋体" w:hAnsi="宋体" w:cs="TimesNewRomanPSMT"/>
          <w:kern w:val="0"/>
          <w:sz w:val="24"/>
        </w:rPr>
      </w:pPr>
      <w:r>
        <w:rPr>
          <w:rFonts w:hint="eastAsia" w:ascii="宋体" w:hAnsi="宋体" w:cs="TimesNewRomanPSMT"/>
          <w:kern w:val="0"/>
          <w:sz w:val="24"/>
        </w:rPr>
        <w:t>分值构成：总分100分，其中</w:t>
      </w:r>
    </w:p>
    <w:p>
      <w:pPr>
        <w:tabs>
          <w:tab w:val="left" w:pos="993"/>
        </w:tabs>
        <w:autoSpaceDE w:val="0"/>
        <w:autoSpaceDN w:val="0"/>
        <w:adjustRightInd w:val="0"/>
        <w:snapToGrid w:val="0"/>
        <w:spacing w:after="156" w:afterLines="50"/>
        <w:ind w:left="2409" w:leftChars="1147" w:firstLine="2" w:firstLineChars="1"/>
        <w:jc w:val="left"/>
        <w:rPr>
          <w:rFonts w:ascii="宋体" w:hAnsi="宋体" w:cs="TimesNewRomanPSMT"/>
          <w:kern w:val="0"/>
          <w:sz w:val="24"/>
        </w:rPr>
      </w:pPr>
      <w:r>
        <w:rPr>
          <w:rFonts w:hint="eastAsia" w:ascii="宋体" w:hAnsi="宋体" w:cs="TimesNewRomanPSMT"/>
          <w:kern w:val="0"/>
          <w:sz w:val="24"/>
        </w:rPr>
        <w:t>商务部分：60分</w:t>
      </w:r>
    </w:p>
    <w:p>
      <w:pPr>
        <w:tabs>
          <w:tab w:val="left" w:pos="993"/>
        </w:tabs>
        <w:autoSpaceDE w:val="0"/>
        <w:autoSpaceDN w:val="0"/>
        <w:adjustRightInd w:val="0"/>
        <w:snapToGrid w:val="0"/>
        <w:spacing w:after="156" w:afterLines="50"/>
        <w:ind w:left="2409" w:leftChars="1147" w:firstLine="2" w:firstLineChars="1"/>
        <w:jc w:val="left"/>
        <w:rPr>
          <w:rFonts w:ascii="宋体" w:hAnsi="宋体" w:cs="TimesNewRomanPSMT"/>
          <w:kern w:val="0"/>
          <w:sz w:val="24"/>
        </w:rPr>
      </w:pPr>
      <w:r>
        <w:rPr>
          <w:rFonts w:hint="eastAsia" w:ascii="宋体" w:hAnsi="宋体" w:cs="TimesNewRomanPSMT"/>
          <w:kern w:val="0"/>
          <w:sz w:val="24"/>
        </w:rPr>
        <w:t>技术部分：30分</w:t>
      </w:r>
    </w:p>
    <w:p>
      <w:pPr>
        <w:tabs>
          <w:tab w:val="left" w:pos="993"/>
        </w:tabs>
        <w:autoSpaceDE w:val="0"/>
        <w:autoSpaceDN w:val="0"/>
        <w:adjustRightInd w:val="0"/>
        <w:snapToGrid w:val="0"/>
        <w:spacing w:after="156" w:afterLines="50"/>
        <w:ind w:left="2409" w:leftChars="1147" w:firstLine="2" w:firstLineChars="1"/>
        <w:jc w:val="left"/>
        <w:rPr>
          <w:rFonts w:ascii="宋体" w:hAnsi="宋体" w:cs="TimesNewRomanPSMT"/>
          <w:kern w:val="0"/>
          <w:sz w:val="24"/>
        </w:rPr>
      </w:pPr>
      <w:r>
        <w:rPr>
          <w:rFonts w:hint="eastAsia" w:ascii="宋体" w:hAnsi="宋体" w:cs="TimesNewRomanPSMT"/>
          <w:kern w:val="0"/>
          <w:sz w:val="24"/>
        </w:rPr>
        <w:t>报价部分：10分</w:t>
      </w:r>
    </w:p>
    <w:p>
      <w:pPr>
        <w:numPr>
          <w:ilvl w:val="1"/>
          <w:numId w:val="13"/>
        </w:numPr>
        <w:tabs>
          <w:tab w:val="left" w:pos="993"/>
        </w:tabs>
        <w:autoSpaceDE w:val="0"/>
        <w:autoSpaceDN w:val="0"/>
        <w:adjustRightInd w:val="0"/>
        <w:snapToGrid w:val="0"/>
        <w:spacing w:after="156" w:afterLines="50"/>
        <w:jc w:val="left"/>
        <w:rPr>
          <w:rFonts w:ascii="宋体" w:hAnsi="宋体" w:cs="TimesNewRomanPSMT"/>
          <w:kern w:val="0"/>
          <w:sz w:val="24"/>
        </w:rPr>
      </w:pPr>
      <w:bookmarkStart w:id="77" w:name="_Ref426362114"/>
      <w:r>
        <w:rPr>
          <w:rFonts w:hint="eastAsia" w:ascii="宋体" w:hAnsi="宋体" w:cs="TimesNewRomanPSMT"/>
          <w:kern w:val="0"/>
          <w:sz w:val="24"/>
        </w:rPr>
        <w:t>商务和技术评审标准</w:t>
      </w:r>
      <w:bookmarkEnd w:id="77"/>
    </w:p>
    <w:p>
      <w:pPr>
        <w:numPr>
          <w:ilvl w:val="2"/>
          <w:numId w:val="13"/>
        </w:numPr>
        <w:tabs>
          <w:tab w:val="left" w:pos="993"/>
        </w:tabs>
        <w:autoSpaceDE w:val="0"/>
        <w:autoSpaceDN w:val="0"/>
        <w:adjustRightInd w:val="0"/>
        <w:snapToGrid w:val="0"/>
        <w:spacing w:after="156" w:afterLines="50"/>
        <w:ind w:left="993" w:hanging="993"/>
        <w:jc w:val="left"/>
        <w:rPr>
          <w:rFonts w:ascii="宋体" w:hAnsi="宋体" w:cs="TimesNewRomanPSMT"/>
          <w:kern w:val="0"/>
          <w:sz w:val="24"/>
        </w:rPr>
      </w:pPr>
      <w:bookmarkStart w:id="78" w:name="_Ref426362140"/>
      <w:r>
        <w:rPr>
          <w:rFonts w:hint="eastAsia" w:ascii="宋体" w:hAnsi="宋体" w:cs="TimesNewRomanPSMT"/>
          <w:kern w:val="0"/>
          <w:sz w:val="24"/>
        </w:rPr>
        <w:t>商务部分评分标准：见附表</w:t>
      </w:r>
      <w:bookmarkEnd w:id="78"/>
      <w:r>
        <w:rPr>
          <w:rFonts w:hint="eastAsia" w:ascii="宋体" w:hAnsi="宋体" w:cs="TimesNewRomanPSMT"/>
          <w:kern w:val="0"/>
          <w:sz w:val="24"/>
        </w:rPr>
        <w:t>三</w:t>
      </w:r>
    </w:p>
    <w:p>
      <w:pPr>
        <w:numPr>
          <w:ilvl w:val="2"/>
          <w:numId w:val="13"/>
        </w:numPr>
        <w:tabs>
          <w:tab w:val="left" w:pos="993"/>
        </w:tabs>
        <w:autoSpaceDE w:val="0"/>
        <w:autoSpaceDN w:val="0"/>
        <w:adjustRightInd w:val="0"/>
        <w:snapToGrid w:val="0"/>
        <w:spacing w:after="156" w:afterLines="50"/>
        <w:ind w:left="993" w:hanging="993"/>
        <w:jc w:val="left"/>
        <w:rPr>
          <w:rFonts w:ascii="宋体" w:hAnsi="宋体" w:cs="TimesNewRomanPSMT"/>
          <w:kern w:val="0"/>
          <w:sz w:val="24"/>
        </w:rPr>
      </w:pPr>
      <w:bookmarkStart w:id="79" w:name="_Ref426362158"/>
      <w:r>
        <w:rPr>
          <w:rFonts w:hint="eastAsia" w:ascii="宋体" w:hAnsi="宋体" w:cs="TimesNewRomanPSMT"/>
          <w:kern w:val="0"/>
          <w:sz w:val="24"/>
        </w:rPr>
        <w:t>技术部分评分标准：见附表</w:t>
      </w:r>
      <w:bookmarkEnd w:id="79"/>
      <w:r>
        <w:rPr>
          <w:rFonts w:hint="eastAsia" w:ascii="宋体" w:hAnsi="宋体" w:cs="TimesNewRomanPSMT"/>
          <w:kern w:val="0"/>
          <w:sz w:val="24"/>
        </w:rPr>
        <w:t>四</w:t>
      </w:r>
    </w:p>
    <w:p>
      <w:pPr>
        <w:numPr>
          <w:ilvl w:val="2"/>
          <w:numId w:val="13"/>
        </w:numPr>
        <w:tabs>
          <w:tab w:val="left" w:pos="993"/>
        </w:tabs>
        <w:autoSpaceDE w:val="0"/>
        <w:autoSpaceDN w:val="0"/>
        <w:adjustRightInd w:val="0"/>
        <w:snapToGrid w:val="0"/>
        <w:spacing w:after="156" w:afterLines="50"/>
        <w:ind w:left="993" w:hanging="993"/>
        <w:jc w:val="left"/>
        <w:rPr>
          <w:rFonts w:ascii="宋体" w:hAnsi="宋体" w:cs="TimesNewRomanPSMT"/>
          <w:kern w:val="0"/>
          <w:sz w:val="24"/>
        </w:rPr>
      </w:pPr>
      <w:bookmarkStart w:id="80" w:name="_Ref426362176"/>
      <w:r>
        <w:rPr>
          <w:rFonts w:hint="eastAsia" w:ascii="宋体" w:hAnsi="宋体" w:cs="TimesNewRomanPSMT"/>
          <w:kern w:val="0"/>
          <w:sz w:val="24"/>
        </w:rPr>
        <w:t>报价评分标准：</w:t>
      </w:r>
      <w:bookmarkEnd w:id="80"/>
    </w:p>
    <w:p>
      <w:pPr>
        <w:tabs>
          <w:tab w:val="left" w:pos="993"/>
        </w:tabs>
        <w:autoSpaceDE w:val="0"/>
        <w:autoSpaceDN w:val="0"/>
        <w:adjustRightInd w:val="0"/>
        <w:snapToGrid w:val="0"/>
        <w:spacing w:after="156" w:afterLines="50"/>
        <w:ind w:left="1696" w:leftChars="513" w:hanging="619" w:hangingChars="258"/>
        <w:jc w:val="left"/>
        <w:rPr>
          <w:rFonts w:ascii="宋体" w:hAnsi="宋体" w:cs="TimesNewRomanPSMT"/>
          <w:kern w:val="0"/>
          <w:sz w:val="24"/>
        </w:rPr>
      </w:pPr>
      <w:r>
        <w:rPr>
          <w:rFonts w:hint="eastAsia" w:ascii="宋体" w:hAnsi="宋体" w:cs="TimesNewRomanPSMT"/>
          <w:kern w:val="0"/>
          <w:sz w:val="24"/>
        </w:rPr>
        <w:t>（1）根据《政府采购促进中小企业发展暂行办法》（财库〔2011〕181号）调整供应商参与评审的价格。（非专门面向中小企业的项目）</w:t>
      </w:r>
    </w:p>
    <w:p>
      <w:pPr>
        <w:tabs>
          <w:tab w:val="left" w:pos="993"/>
        </w:tabs>
        <w:autoSpaceDE w:val="0"/>
        <w:autoSpaceDN w:val="0"/>
        <w:adjustRightInd w:val="0"/>
        <w:snapToGrid w:val="0"/>
        <w:spacing w:after="156" w:afterLines="50"/>
        <w:ind w:left="1699" w:leftChars="809"/>
        <w:jc w:val="left"/>
        <w:rPr>
          <w:rFonts w:ascii="宋体" w:hAnsi="宋体" w:cs="TimesNewRomanPSMT"/>
          <w:kern w:val="0"/>
          <w:sz w:val="24"/>
        </w:rPr>
      </w:pPr>
      <w:r>
        <w:rPr>
          <w:rFonts w:hint="eastAsia" w:ascii="宋体" w:hAnsi="宋体" w:cs="TimesNewRomanPSMT"/>
          <w:kern w:val="0"/>
          <w:sz w:val="24"/>
        </w:rPr>
        <w:t>对小型和微型企业产品的价格给予</w:t>
      </w:r>
      <w:r>
        <w:rPr>
          <w:rFonts w:hint="eastAsia" w:ascii="宋体" w:hAnsi="宋体" w:cs="TimesNewRomanPSMT"/>
          <w:kern w:val="0"/>
          <w:sz w:val="24"/>
          <w:u w:val="single"/>
        </w:rPr>
        <w:t xml:space="preserve"> 6 </w:t>
      </w:r>
      <w:r>
        <w:rPr>
          <w:rFonts w:hint="eastAsia" w:ascii="宋体" w:hAnsi="宋体" w:cs="TimesNewRomanPSMT"/>
          <w:kern w:val="0"/>
          <w:sz w:val="24"/>
        </w:rPr>
        <w:t>%（6%至10%）的扣除。或</w:t>
      </w:r>
    </w:p>
    <w:p>
      <w:pPr>
        <w:tabs>
          <w:tab w:val="left" w:pos="993"/>
        </w:tabs>
        <w:autoSpaceDE w:val="0"/>
        <w:autoSpaceDN w:val="0"/>
        <w:adjustRightInd w:val="0"/>
        <w:snapToGrid w:val="0"/>
        <w:spacing w:after="156" w:afterLines="50"/>
        <w:ind w:left="1699" w:leftChars="809"/>
        <w:jc w:val="left"/>
        <w:rPr>
          <w:rFonts w:ascii="宋体" w:hAnsi="宋体" w:cs="TimesNewRomanPSMT"/>
          <w:kern w:val="0"/>
          <w:sz w:val="24"/>
        </w:rPr>
      </w:pPr>
      <w:r>
        <w:rPr>
          <w:rFonts w:hint="eastAsia" w:ascii="宋体" w:hAnsi="宋体" w:cs="TimesNewRomanPSMT"/>
          <w:kern w:val="0"/>
          <w:sz w:val="24"/>
        </w:rPr>
        <w:t>小型、微型企业的协议合同金额占到联合体协议合同总金额30%以上的，可给予联合体 2 %（2%至3%）的价格扣除。</w:t>
      </w:r>
    </w:p>
    <w:p>
      <w:pPr>
        <w:tabs>
          <w:tab w:val="left" w:pos="993"/>
        </w:tabs>
        <w:autoSpaceDE w:val="0"/>
        <w:autoSpaceDN w:val="0"/>
        <w:adjustRightInd w:val="0"/>
        <w:snapToGrid w:val="0"/>
        <w:spacing w:after="156" w:afterLines="50"/>
        <w:ind w:left="1699" w:leftChars="809"/>
        <w:jc w:val="left"/>
        <w:rPr>
          <w:rFonts w:ascii="宋体" w:hAnsi="宋体" w:cs="TimesNewRomanPSMT"/>
          <w:kern w:val="0"/>
          <w:sz w:val="24"/>
        </w:rPr>
      </w:pPr>
      <w:r>
        <w:rPr>
          <w:rFonts w:hint="eastAsia" w:ascii="宋体" w:hAnsi="宋体" w:cs="TimesNewRomanPSMT"/>
          <w:kern w:val="0"/>
          <w:sz w:val="24"/>
        </w:rPr>
        <w:t>注监狱企业、残疾人福利性单位视同小微企业；残疾人福利性单位属于小型、微型企业的，不重复享受政策。</w:t>
      </w:r>
    </w:p>
    <w:p>
      <w:pPr>
        <w:tabs>
          <w:tab w:val="left" w:pos="993"/>
        </w:tabs>
        <w:autoSpaceDE w:val="0"/>
        <w:autoSpaceDN w:val="0"/>
        <w:adjustRightInd w:val="0"/>
        <w:snapToGrid w:val="0"/>
        <w:spacing w:after="156" w:afterLines="50"/>
        <w:ind w:left="2041" w:leftChars="515" w:hanging="960" w:hangingChars="400"/>
        <w:jc w:val="left"/>
        <w:rPr>
          <w:rFonts w:ascii="宋体" w:hAnsi="宋体" w:cs="TimesNewRomanPSMT"/>
          <w:kern w:val="0"/>
          <w:sz w:val="24"/>
        </w:rPr>
      </w:pPr>
      <w:r>
        <w:rPr>
          <w:rFonts w:hint="eastAsia" w:ascii="宋体" w:hAnsi="宋体" w:cs="TimesNewRomanPSMT"/>
          <w:kern w:val="0"/>
          <w:sz w:val="24"/>
        </w:rPr>
        <w:t>（2）评审基准价</w:t>
      </w:r>
    </w:p>
    <w:p>
      <w:pPr>
        <w:tabs>
          <w:tab w:val="left" w:pos="993"/>
        </w:tabs>
        <w:autoSpaceDE w:val="0"/>
        <w:autoSpaceDN w:val="0"/>
        <w:adjustRightInd w:val="0"/>
        <w:snapToGrid w:val="0"/>
        <w:spacing w:after="156" w:afterLines="50"/>
        <w:ind w:left="1699" w:leftChars="809"/>
        <w:jc w:val="left"/>
        <w:rPr>
          <w:rFonts w:ascii="宋体" w:hAnsi="宋体" w:cs="TimesNewRomanPSMT"/>
          <w:kern w:val="0"/>
          <w:sz w:val="24"/>
        </w:rPr>
      </w:pPr>
      <w:r>
        <w:rPr>
          <w:rFonts w:hint="eastAsia" w:ascii="宋体" w:hAnsi="宋体" w:cs="TimesNewRomanPSMT"/>
          <w:kern w:val="0"/>
          <w:sz w:val="24"/>
        </w:rPr>
        <w:t>有效响应文件中的并按</w:t>
      </w:r>
      <w:r>
        <w:fldChar w:fldCharType="begin"/>
      </w:r>
      <w:r>
        <w:instrText xml:space="preserve"> REF _Ref426362176 \r \h  \* MERGEFORMAT </w:instrText>
      </w:r>
      <w:r>
        <w:fldChar w:fldCharType="separate"/>
      </w:r>
      <w:r>
        <w:rPr>
          <w:rFonts w:ascii="宋体" w:hAnsi="宋体" w:cs="TimesNewRomanPSMT"/>
          <w:kern w:val="0"/>
          <w:sz w:val="24"/>
        </w:rPr>
        <w:t>2.3.3</w:t>
      </w:r>
      <w:r>
        <w:rPr>
          <w:rFonts w:ascii="宋体" w:hAnsi="宋体" w:cs="TimesNewRomanPSMT"/>
          <w:kern w:val="0"/>
          <w:sz w:val="24"/>
        </w:rPr>
        <w:fldChar w:fldCharType="end"/>
      </w:r>
      <w:r>
        <w:rPr>
          <w:rFonts w:hint="eastAsia" w:ascii="宋体" w:hAnsi="宋体" w:cs="TimesNewRomanPSMT"/>
          <w:kern w:val="0"/>
          <w:sz w:val="24"/>
        </w:rPr>
        <w:t>项（1）和（2）进行调整的最低报价为评审基准价。</w:t>
      </w:r>
    </w:p>
    <w:p>
      <w:pPr>
        <w:tabs>
          <w:tab w:val="left" w:pos="993"/>
        </w:tabs>
        <w:autoSpaceDE w:val="0"/>
        <w:autoSpaceDN w:val="0"/>
        <w:adjustRightInd w:val="0"/>
        <w:snapToGrid w:val="0"/>
        <w:spacing w:after="156" w:afterLines="50"/>
        <w:ind w:left="2041" w:leftChars="515" w:hanging="960" w:hangingChars="400"/>
        <w:jc w:val="left"/>
        <w:rPr>
          <w:rFonts w:ascii="宋体" w:hAnsi="宋体" w:cs="TimesNewRomanPSMT"/>
          <w:kern w:val="0"/>
          <w:sz w:val="24"/>
        </w:rPr>
      </w:pPr>
      <w:r>
        <w:rPr>
          <w:rFonts w:hint="eastAsia" w:ascii="宋体" w:hAnsi="宋体" w:cs="TimesNewRomanPSMT"/>
          <w:kern w:val="0"/>
          <w:sz w:val="24"/>
        </w:rPr>
        <w:t>（3）供应商报价（按</w:t>
      </w:r>
      <w:r>
        <w:fldChar w:fldCharType="begin"/>
      </w:r>
      <w:r>
        <w:instrText xml:space="preserve"> REF _Ref426362176 \r \h  \* MERGEFORMAT </w:instrText>
      </w:r>
      <w:r>
        <w:fldChar w:fldCharType="separate"/>
      </w:r>
      <w:r>
        <w:rPr>
          <w:rFonts w:ascii="宋体" w:hAnsi="宋体" w:cs="TimesNewRomanPSMT"/>
          <w:kern w:val="0"/>
          <w:sz w:val="24"/>
        </w:rPr>
        <w:t>2.3.3</w:t>
      </w:r>
      <w:r>
        <w:rPr>
          <w:rFonts w:ascii="宋体" w:hAnsi="宋体" w:cs="TimesNewRomanPSMT"/>
          <w:kern w:val="0"/>
          <w:sz w:val="24"/>
        </w:rPr>
        <w:fldChar w:fldCharType="end"/>
      </w:r>
      <w:r>
        <w:rPr>
          <w:rFonts w:hint="eastAsia" w:ascii="宋体" w:hAnsi="宋体" w:cs="TimesNewRomanPSMT"/>
          <w:kern w:val="0"/>
          <w:sz w:val="24"/>
        </w:rPr>
        <w:t>项（1）和（2）进行调整后价格）得分：</w:t>
      </w:r>
    </w:p>
    <w:p>
      <w:pPr>
        <w:tabs>
          <w:tab w:val="left" w:pos="993"/>
        </w:tabs>
        <w:autoSpaceDE w:val="0"/>
        <w:autoSpaceDN w:val="0"/>
        <w:adjustRightInd w:val="0"/>
        <w:snapToGrid w:val="0"/>
        <w:spacing w:after="156" w:afterLines="50"/>
        <w:ind w:left="2039" w:leftChars="810" w:hanging="338" w:hangingChars="141"/>
        <w:jc w:val="left"/>
        <w:rPr>
          <w:rFonts w:ascii="宋体" w:hAnsi="宋体" w:cs="TimesNewRomanPSMT"/>
          <w:kern w:val="0"/>
          <w:sz w:val="24"/>
        </w:rPr>
      </w:pPr>
      <w:r>
        <w:rPr>
          <w:rFonts w:hint="eastAsia" w:ascii="宋体" w:hAnsi="宋体" w:cs="TimesNewRomanPSMT"/>
          <w:kern w:val="0"/>
          <w:sz w:val="24"/>
        </w:rPr>
        <w:t>报价得分=(评审基准价／最后报价)×10</w:t>
      </w:r>
    </w:p>
    <w:p>
      <w:pPr>
        <w:numPr>
          <w:ilvl w:val="0"/>
          <w:numId w:val="13"/>
        </w:numPr>
        <w:tabs>
          <w:tab w:val="left" w:pos="1134"/>
        </w:tabs>
        <w:autoSpaceDE w:val="0"/>
        <w:autoSpaceDN w:val="0"/>
        <w:adjustRightInd w:val="0"/>
        <w:snapToGrid w:val="0"/>
        <w:spacing w:after="156" w:afterLines="50"/>
        <w:ind w:left="1134" w:hanging="1134"/>
        <w:jc w:val="left"/>
        <w:outlineLvl w:val="1"/>
        <w:rPr>
          <w:rFonts w:ascii="黑体" w:hAnsi="TimesNewRomanPSMT" w:eastAsia="黑体" w:cs="TimesNewRomanPSMT"/>
          <w:kern w:val="0"/>
          <w:sz w:val="24"/>
        </w:rPr>
      </w:pPr>
      <w:bookmarkStart w:id="81" w:name="_Toc4075"/>
      <w:bookmarkStart w:id="82" w:name="_Toc29253"/>
      <w:r>
        <w:rPr>
          <w:rFonts w:hint="eastAsia" w:ascii="黑体" w:hAnsi="TimesNewRomanPSMT" w:eastAsia="黑体" w:cs="TimesNewRomanPSMT"/>
          <w:kern w:val="0"/>
          <w:sz w:val="24"/>
        </w:rPr>
        <w:t>评审程序</w:t>
      </w:r>
      <w:bookmarkEnd w:id="81"/>
      <w:bookmarkEnd w:id="82"/>
    </w:p>
    <w:p>
      <w:pPr>
        <w:numPr>
          <w:ilvl w:val="1"/>
          <w:numId w:val="13"/>
        </w:numPr>
        <w:tabs>
          <w:tab w:val="left" w:pos="1134"/>
        </w:tabs>
        <w:autoSpaceDE w:val="0"/>
        <w:autoSpaceDN w:val="0"/>
        <w:adjustRightInd w:val="0"/>
        <w:snapToGrid w:val="0"/>
        <w:spacing w:after="156" w:afterLines="50"/>
        <w:jc w:val="left"/>
        <w:outlineLvl w:val="1"/>
        <w:rPr>
          <w:rFonts w:ascii="黑体" w:hAnsi="TimesNewRomanPSMT" w:eastAsia="黑体" w:cs="TimesNewRomanPSMT"/>
          <w:kern w:val="0"/>
          <w:sz w:val="24"/>
        </w:rPr>
      </w:pPr>
      <w:bookmarkStart w:id="83" w:name="_Toc15710"/>
      <w:bookmarkStart w:id="84" w:name="_Toc13451"/>
      <w:r>
        <w:rPr>
          <w:rFonts w:hint="eastAsia" w:ascii="黑体" w:hAnsi="TimesNewRomanPSMT" w:eastAsia="黑体" w:cs="TimesNewRomanPSMT"/>
          <w:kern w:val="0"/>
          <w:sz w:val="24"/>
        </w:rPr>
        <w:t>资格审查及符合性审查</w:t>
      </w:r>
      <w:bookmarkEnd w:id="83"/>
      <w:bookmarkEnd w:id="84"/>
    </w:p>
    <w:p>
      <w:pPr>
        <w:numPr>
          <w:ilvl w:val="2"/>
          <w:numId w:val="13"/>
        </w:numPr>
        <w:tabs>
          <w:tab w:val="left" w:pos="1134"/>
          <w:tab w:val="left" w:pos="1560"/>
        </w:tabs>
        <w:autoSpaceDE w:val="0"/>
        <w:autoSpaceDN w:val="0"/>
        <w:adjustRightInd w:val="0"/>
        <w:snapToGrid w:val="0"/>
        <w:spacing w:after="156" w:afterLines="50"/>
        <w:ind w:left="1134" w:hanging="1134"/>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磋商小组按附表一所列审查标准，对供应商资格进行审查，以确定供应商是否具备磋商资格。</w:t>
      </w:r>
    </w:p>
    <w:p>
      <w:pPr>
        <w:numPr>
          <w:ilvl w:val="2"/>
          <w:numId w:val="13"/>
        </w:numPr>
        <w:tabs>
          <w:tab w:val="left" w:pos="1134"/>
          <w:tab w:val="left" w:pos="1560"/>
        </w:tabs>
        <w:autoSpaceDE w:val="0"/>
        <w:autoSpaceDN w:val="0"/>
        <w:adjustRightInd w:val="0"/>
        <w:snapToGrid w:val="0"/>
        <w:spacing w:after="156" w:afterLines="50"/>
        <w:ind w:left="1134" w:hanging="1134"/>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磋商小组对符合资格要求的供应商按附表二进行符合性审查，以确定其是否满足磋商文件的实质性要求（见本章内的符合性审查表）。</w:t>
      </w:r>
    </w:p>
    <w:p>
      <w:pPr>
        <w:numPr>
          <w:ilvl w:val="2"/>
          <w:numId w:val="13"/>
        </w:numPr>
        <w:tabs>
          <w:tab w:val="left" w:pos="1134"/>
          <w:tab w:val="left" w:pos="1560"/>
        </w:tabs>
        <w:autoSpaceDE w:val="0"/>
        <w:autoSpaceDN w:val="0"/>
        <w:adjustRightInd w:val="0"/>
        <w:snapToGrid w:val="0"/>
        <w:spacing w:after="156" w:afterLines="50"/>
        <w:ind w:left="1134" w:hanging="1134"/>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磋商小组在资格审查和符合性审查时，可以要求供应商对响应文件中含义不明确、同类问题表述不一致或者有明显文字和计算错误的内容作出必要的澄清、说明或更正。供应商的澄清、说明或更正不得超出响应文件的范围或者改变响应文件的实质性内容。</w:t>
      </w:r>
    </w:p>
    <w:p>
      <w:pPr>
        <w:tabs>
          <w:tab w:val="left" w:pos="993"/>
          <w:tab w:val="left" w:pos="1418"/>
        </w:tabs>
        <w:autoSpaceDE w:val="0"/>
        <w:autoSpaceDN w:val="0"/>
        <w:adjustRightInd w:val="0"/>
        <w:snapToGrid w:val="0"/>
        <w:spacing w:before="120" w:after="156" w:afterLines="50"/>
        <w:ind w:left="1132" w:leftChars="539"/>
        <w:jc w:val="left"/>
        <w:rPr>
          <w:rFonts w:ascii="宋体" w:hAnsi="宋体" w:cs="TimesNewRomanPSMT"/>
          <w:kern w:val="0"/>
          <w:sz w:val="24"/>
        </w:rPr>
      </w:pPr>
      <w:r>
        <w:rPr>
          <w:rFonts w:hint="eastAsia" w:ascii="宋体" w:hAnsi="宋体" w:cs="TimesNewRomanPSMT"/>
          <w:kern w:val="0"/>
          <w:sz w:val="24"/>
        </w:rPr>
        <w:t>磋商小组不接受供应商主动提出的澄清、说明或补正。</w:t>
      </w:r>
    </w:p>
    <w:p>
      <w:pPr>
        <w:tabs>
          <w:tab w:val="left" w:pos="993"/>
          <w:tab w:val="left" w:pos="1418"/>
        </w:tabs>
        <w:autoSpaceDE w:val="0"/>
        <w:autoSpaceDN w:val="0"/>
        <w:adjustRightInd w:val="0"/>
        <w:snapToGrid w:val="0"/>
        <w:spacing w:before="120" w:after="156" w:afterLines="50"/>
        <w:ind w:left="1132" w:leftChars="539"/>
        <w:jc w:val="left"/>
        <w:rPr>
          <w:rFonts w:ascii="宋体" w:hAnsi="宋体" w:cs="TimesNewRomanPSMT"/>
          <w:kern w:val="0"/>
          <w:sz w:val="24"/>
        </w:rPr>
      </w:pPr>
      <w:r>
        <w:rPr>
          <w:rFonts w:hint="eastAsia" w:ascii="宋体" w:hAnsi="宋体" w:cs="TimesNewRomanPSMT"/>
          <w:kern w:val="0"/>
          <w:sz w:val="24"/>
        </w:rPr>
        <w:t>供应商的书面澄清、说明和补正属于响应文件的组成部分。</w:t>
      </w:r>
    </w:p>
    <w:p>
      <w:pPr>
        <w:tabs>
          <w:tab w:val="left" w:pos="993"/>
          <w:tab w:val="left" w:pos="1418"/>
        </w:tabs>
        <w:autoSpaceDE w:val="0"/>
        <w:autoSpaceDN w:val="0"/>
        <w:adjustRightInd w:val="0"/>
        <w:snapToGrid w:val="0"/>
        <w:spacing w:before="120" w:after="156" w:afterLines="50"/>
        <w:ind w:left="1132" w:leftChars="539"/>
        <w:jc w:val="left"/>
        <w:rPr>
          <w:rFonts w:ascii="宋体" w:hAnsi="宋体" w:cs="TimesNewRomanPSMT"/>
          <w:kern w:val="0"/>
          <w:sz w:val="24"/>
        </w:rPr>
      </w:pPr>
      <w:r>
        <w:rPr>
          <w:rFonts w:hint="eastAsia" w:ascii="宋体" w:hAnsi="宋体" w:cs="TimesNewRomanPSMT"/>
          <w:kern w:val="0"/>
          <w:sz w:val="24"/>
        </w:rPr>
        <w:t>磋商小组对供应商提交的澄清、说明或补正有疑问的，可以要求供应商进一步澄清、说明或补正，直至满足评审小组的要求。</w:t>
      </w:r>
    </w:p>
    <w:p>
      <w:pPr>
        <w:numPr>
          <w:ilvl w:val="2"/>
          <w:numId w:val="13"/>
        </w:numPr>
        <w:tabs>
          <w:tab w:val="left" w:pos="1134"/>
          <w:tab w:val="left" w:pos="1560"/>
        </w:tabs>
        <w:autoSpaceDE w:val="0"/>
        <w:autoSpaceDN w:val="0"/>
        <w:adjustRightInd w:val="0"/>
        <w:snapToGrid w:val="0"/>
        <w:spacing w:after="156" w:afterLines="50"/>
        <w:ind w:left="1134" w:hanging="1134"/>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不具备磋商文件要求的资格或未通过符合性审查的供应商，不参与磋商，由磋商小组告知该供应商。</w:t>
      </w:r>
    </w:p>
    <w:p>
      <w:pPr>
        <w:numPr>
          <w:ilvl w:val="2"/>
          <w:numId w:val="13"/>
        </w:numPr>
        <w:tabs>
          <w:tab w:val="left" w:pos="1134"/>
          <w:tab w:val="left" w:pos="1560"/>
        </w:tabs>
        <w:autoSpaceDE w:val="0"/>
        <w:autoSpaceDN w:val="0"/>
        <w:adjustRightInd w:val="0"/>
        <w:snapToGrid w:val="0"/>
        <w:spacing w:after="156" w:afterLines="50"/>
        <w:ind w:left="1134" w:hanging="1134"/>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通过资格审查和符合性审查的合格供应商不足3家的，不再进行评审和磋商。</w:t>
      </w:r>
    </w:p>
    <w:p>
      <w:pPr>
        <w:numPr>
          <w:ilvl w:val="1"/>
          <w:numId w:val="13"/>
        </w:numPr>
        <w:tabs>
          <w:tab w:val="left" w:pos="1134"/>
        </w:tabs>
        <w:autoSpaceDE w:val="0"/>
        <w:autoSpaceDN w:val="0"/>
        <w:adjustRightInd w:val="0"/>
        <w:snapToGrid w:val="0"/>
        <w:spacing w:after="156" w:afterLines="50"/>
        <w:jc w:val="left"/>
        <w:outlineLvl w:val="1"/>
        <w:rPr>
          <w:rFonts w:ascii="黑体" w:hAnsi="TimesNewRomanPSMT" w:eastAsia="黑体" w:cs="TimesNewRomanPSMT"/>
          <w:kern w:val="0"/>
          <w:sz w:val="24"/>
        </w:rPr>
      </w:pPr>
      <w:bookmarkStart w:id="85" w:name="_Toc5281"/>
      <w:bookmarkStart w:id="86" w:name="_Toc17510"/>
      <w:r>
        <w:rPr>
          <w:rFonts w:hint="eastAsia" w:ascii="黑体" w:hAnsi="TimesNewRomanPSMT" w:eastAsia="黑体" w:cs="TimesNewRomanPSMT"/>
          <w:kern w:val="0"/>
          <w:sz w:val="24"/>
        </w:rPr>
        <w:t>磋商</w:t>
      </w:r>
      <w:bookmarkEnd w:id="85"/>
      <w:bookmarkEnd w:id="86"/>
    </w:p>
    <w:p>
      <w:pPr>
        <w:numPr>
          <w:ilvl w:val="2"/>
          <w:numId w:val="13"/>
        </w:numPr>
        <w:tabs>
          <w:tab w:val="left" w:pos="1134"/>
          <w:tab w:val="left" w:pos="1560"/>
        </w:tabs>
        <w:autoSpaceDE w:val="0"/>
        <w:autoSpaceDN w:val="0"/>
        <w:adjustRightInd w:val="0"/>
        <w:snapToGrid w:val="0"/>
        <w:spacing w:after="156" w:afterLines="50"/>
        <w:ind w:left="1134" w:hanging="1134"/>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按“供应商须知”第5条规定，由磋商小组与供应商进行磋商。</w:t>
      </w:r>
    </w:p>
    <w:p>
      <w:pPr>
        <w:numPr>
          <w:ilvl w:val="2"/>
          <w:numId w:val="13"/>
        </w:numPr>
        <w:tabs>
          <w:tab w:val="left" w:pos="1134"/>
          <w:tab w:val="left" w:pos="1560"/>
        </w:tabs>
        <w:autoSpaceDE w:val="0"/>
        <w:autoSpaceDN w:val="0"/>
        <w:adjustRightInd w:val="0"/>
        <w:snapToGrid w:val="0"/>
        <w:spacing w:after="156" w:afterLines="50"/>
        <w:ind w:left="1134" w:hanging="1134"/>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磋商过程中，磋商小组可以根据与供应商的磋商情况，在不违反相关法律法规、强制性标准、规范情况下，并经采购人代表同意后，对磋商文件的技术标准、拟签订合同的部分条款进行变动。变动内容是磋商文件的有效组成部分，磋商小组以书面形式通知所有参加磋商的供应商。</w:t>
      </w:r>
    </w:p>
    <w:p>
      <w:pPr>
        <w:numPr>
          <w:ilvl w:val="2"/>
          <w:numId w:val="13"/>
        </w:numPr>
        <w:tabs>
          <w:tab w:val="left" w:pos="1134"/>
          <w:tab w:val="left" w:pos="1560"/>
        </w:tabs>
        <w:autoSpaceDE w:val="0"/>
        <w:autoSpaceDN w:val="0"/>
        <w:adjustRightInd w:val="0"/>
        <w:snapToGrid w:val="0"/>
        <w:spacing w:after="156" w:afterLines="50"/>
        <w:ind w:left="1134" w:hanging="1134"/>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磋商结束后，磋商小组可以要求所有继续参加磋商的供应商在规定时间内提交最后报价函，提交最后报价函的供应商不得少于3家</w:t>
      </w:r>
      <w:r>
        <w:rPr>
          <w:rFonts w:hint="eastAsia" w:ascii="宋体" w:hAnsi="宋体" w:cs="黑体"/>
          <w:kern w:val="0"/>
          <w:sz w:val="24"/>
        </w:rPr>
        <w:t>，但市场竞争不充分的科研项目以及需要扶持的科技成果转化项目除外</w:t>
      </w:r>
      <w:r>
        <w:rPr>
          <w:rFonts w:hint="eastAsia" w:cs="TimesNewRomanPSMT" w:asciiTheme="minorEastAsia" w:hAnsiTheme="minorEastAsia" w:eastAsiaTheme="minorEastAsia"/>
          <w:kern w:val="0"/>
          <w:sz w:val="24"/>
        </w:rPr>
        <w:t>。</w:t>
      </w:r>
    </w:p>
    <w:p>
      <w:pPr>
        <w:numPr>
          <w:ilvl w:val="1"/>
          <w:numId w:val="13"/>
        </w:numPr>
        <w:tabs>
          <w:tab w:val="left" w:pos="1134"/>
        </w:tabs>
        <w:autoSpaceDE w:val="0"/>
        <w:autoSpaceDN w:val="0"/>
        <w:adjustRightInd w:val="0"/>
        <w:snapToGrid w:val="0"/>
        <w:spacing w:after="156" w:afterLines="50"/>
        <w:jc w:val="left"/>
        <w:outlineLvl w:val="1"/>
        <w:rPr>
          <w:rFonts w:ascii="黑体" w:hAnsi="TimesNewRomanPSMT" w:eastAsia="黑体" w:cs="TimesNewRomanPSMT"/>
          <w:kern w:val="0"/>
          <w:sz w:val="24"/>
        </w:rPr>
      </w:pPr>
      <w:bookmarkStart w:id="87" w:name="_Toc17907"/>
      <w:bookmarkStart w:id="88" w:name="_Toc9919"/>
      <w:r>
        <w:rPr>
          <w:rFonts w:hint="eastAsia" w:ascii="黑体" w:hAnsi="TimesNewRomanPSMT" w:eastAsia="黑体" w:cs="TimesNewRomanPSMT"/>
          <w:kern w:val="0"/>
          <w:sz w:val="24"/>
        </w:rPr>
        <w:t>评审</w:t>
      </w:r>
      <w:bookmarkEnd w:id="87"/>
      <w:bookmarkEnd w:id="88"/>
    </w:p>
    <w:p>
      <w:pPr>
        <w:numPr>
          <w:ilvl w:val="2"/>
          <w:numId w:val="13"/>
        </w:numPr>
        <w:tabs>
          <w:tab w:val="left" w:pos="1134"/>
          <w:tab w:val="left" w:pos="1560"/>
        </w:tabs>
        <w:autoSpaceDE w:val="0"/>
        <w:autoSpaceDN w:val="0"/>
        <w:adjustRightInd w:val="0"/>
        <w:snapToGrid w:val="0"/>
        <w:spacing w:after="156" w:afterLines="50"/>
        <w:ind w:left="1134" w:hanging="1134"/>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比较与评价</w:t>
      </w:r>
    </w:p>
    <w:p>
      <w:pPr>
        <w:tabs>
          <w:tab w:val="left" w:pos="1077"/>
          <w:tab w:val="left" w:pos="1134"/>
        </w:tabs>
        <w:autoSpaceDE w:val="0"/>
        <w:autoSpaceDN w:val="0"/>
        <w:adjustRightInd w:val="0"/>
        <w:snapToGrid w:val="0"/>
        <w:spacing w:after="156" w:afterLines="50"/>
        <w:ind w:left="1134" w:leftChars="540"/>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磋商小组按本章第2.3款[</w:t>
      </w:r>
      <w:r>
        <w:rPr>
          <w:rFonts w:hint="eastAsia" w:ascii="宋体" w:hAnsi="宋体" w:cs="TimesNewRomanPSMT"/>
          <w:kern w:val="0"/>
          <w:sz w:val="24"/>
        </w:rPr>
        <w:t>商务和技术评审标准</w:t>
      </w:r>
      <w:r>
        <w:rPr>
          <w:rFonts w:hint="eastAsia" w:cs="TimesNewRomanPSMT" w:asciiTheme="minorEastAsia" w:hAnsiTheme="minorEastAsia" w:eastAsiaTheme="minorEastAsia"/>
          <w:kern w:val="0"/>
          <w:sz w:val="24"/>
        </w:rPr>
        <w:t>]对供应商提交的响应文件（包括最后报价函）进行商务和技术评估，综合比较与评价。</w:t>
      </w:r>
    </w:p>
    <w:p>
      <w:pPr>
        <w:tabs>
          <w:tab w:val="left" w:pos="1077"/>
          <w:tab w:val="left" w:pos="1134"/>
        </w:tabs>
        <w:autoSpaceDE w:val="0"/>
        <w:autoSpaceDN w:val="0"/>
        <w:adjustRightInd w:val="0"/>
        <w:snapToGrid w:val="0"/>
        <w:spacing w:after="156" w:afterLines="50"/>
        <w:ind w:left="1134" w:leftChars="540"/>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磋商小组认为供应商的报价明显低于其他参与最后报价的供应商的报价或明显低于采购预算时，有可能影响产品质量或者不能诚信履约的，应当要求其在合理的时间内提供书面说明，必提交相关证明材料；供应商不能证明其报价合理性的，磋商小组应当将其作为无效处理。</w:t>
      </w:r>
    </w:p>
    <w:p>
      <w:pPr>
        <w:numPr>
          <w:ilvl w:val="2"/>
          <w:numId w:val="13"/>
        </w:numPr>
        <w:tabs>
          <w:tab w:val="left" w:pos="1134"/>
          <w:tab w:val="left" w:pos="1560"/>
        </w:tabs>
        <w:autoSpaceDE w:val="0"/>
        <w:autoSpaceDN w:val="0"/>
        <w:adjustRightInd w:val="0"/>
        <w:snapToGrid w:val="0"/>
        <w:spacing w:after="156" w:afterLines="50"/>
        <w:ind w:left="1134" w:hanging="1134"/>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磋商小组按本章第2.3款规定的量化因素和分值进行打分，并计算出综合评估得分。</w:t>
      </w:r>
    </w:p>
    <w:p>
      <w:pPr>
        <w:tabs>
          <w:tab w:val="left" w:pos="1077"/>
          <w:tab w:val="left" w:pos="1134"/>
        </w:tabs>
        <w:autoSpaceDE w:val="0"/>
        <w:autoSpaceDN w:val="0"/>
        <w:adjustRightInd w:val="0"/>
        <w:snapToGrid w:val="0"/>
        <w:spacing w:after="156" w:afterLines="50"/>
        <w:ind w:left="1134" w:leftChars="540"/>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（1）按本章第2.3.1项规定的评审因素和分值对商务部分计算出得分A；</w:t>
      </w:r>
    </w:p>
    <w:p>
      <w:pPr>
        <w:tabs>
          <w:tab w:val="left" w:pos="1077"/>
          <w:tab w:val="left" w:pos="1134"/>
        </w:tabs>
        <w:autoSpaceDE w:val="0"/>
        <w:autoSpaceDN w:val="0"/>
        <w:adjustRightInd w:val="0"/>
        <w:snapToGrid w:val="0"/>
        <w:spacing w:after="156" w:afterLines="50"/>
        <w:ind w:left="1134" w:leftChars="540"/>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（2）按本章第2.3.2项规定的评审因素和分值对技术部分计算出得分B；</w:t>
      </w:r>
    </w:p>
    <w:p>
      <w:pPr>
        <w:tabs>
          <w:tab w:val="left" w:pos="1077"/>
          <w:tab w:val="left" w:pos="1134"/>
        </w:tabs>
        <w:autoSpaceDE w:val="0"/>
        <w:autoSpaceDN w:val="0"/>
        <w:adjustRightInd w:val="0"/>
        <w:snapToGrid w:val="0"/>
        <w:spacing w:after="156" w:afterLines="50"/>
        <w:ind w:left="1134" w:leftChars="540"/>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（3）按本章第2.3.3项规定的评审因素和分值对报价部分计算出得分C。</w:t>
      </w:r>
    </w:p>
    <w:p>
      <w:pPr>
        <w:numPr>
          <w:ilvl w:val="2"/>
          <w:numId w:val="13"/>
        </w:numPr>
        <w:tabs>
          <w:tab w:val="left" w:pos="1134"/>
          <w:tab w:val="left" w:pos="1560"/>
        </w:tabs>
        <w:autoSpaceDE w:val="0"/>
        <w:autoSpaceDN w:val="0"/>
        <w:adjustRightInd w:val="0"/>
        <w:snapToGrid w:val="0"/>
        <w:spacing w:after="156" w:afterLines="50"/>
        <w:ind w:left="1134" w:hanging="1134"/>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评分分值计算保留小数点后两位，小数点后第三位“四舍五入”。</w:t>
      </w:r>
    </w:p>
    <w:p>
      <w:pPr>
        <w:numPr>
          <w:ilvl w:val="2"/>
          <w:numId w:val="13"/>
        </w:numPr>
        <w:tabs>
          <w:tab w:val="left" w:pos="1134"/>
          <w:tab w:val="left" w:pos="1560"/>
        </w:tabs>
        <w:autoSpaceDE w:val="0"/>
        <w:autoSpaceDN w:val="0"/>
        <w:adjustRightInd w:val="0"/>
        <w:snapToGrid w:val="0"/>
        <w:spacing w:after="156" w:afterLines="50"/>
        <w:ind w:left="1134" w:hanging="1134"/>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供应商得分=A＋B＋C</w:t>
      </w:r>
    </w:p>
    <w:p>
      <w:pPr>
        <w:tabs>
          <w:tab w:val="left" w:pos="1077"/>
          <w:tab w:val="left" w:pos="1134"/>
        </w:tabs>
        <w:autoSpaceDE w:val="0"/>
        <w:autoSpaceDN w:val="0"/>
        <w:adjustRightInd w:val="0"/>
        <w:snapToGrid w:val="0"/>
        <w:spacing w:after="156" w:afterLines="50"/>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4.3</w:t>
      </w:r>
      <w:r>
        <w:rPr>
          <w:rFonts w:hint="eastAsia" w:cs="TimesNewRomanPSMT" w:asciiTheme="minorEastAsia" w:hAnsiTheme="minorEastAsia" w:eastAsiaTheme="minorEastAsia"/>
          <w:kern w:val="0"/>
          <w:sz w:val="24"/>
        </w:rPr>
        <w:tab/>
      </w:r>
      <w:r>
        <w:rPr>
          <w:rFonts w:hint="eastAsia" w:cs="TimesNewRomanPSMT" w:asciiTheme="minorEastAsia" w:hAnsiTheme="minorEastAsia" w:eastAsiaTheme="minorEastAsia"/>
          <w:kern w:val="0"/>
          <w:sz w:val="24"/>
        </w:rPr>
        <w:t>评审结果</w:t>
      </w:r>
    </w:p>
    <w:p>
      <w:pPr>
        <w:numPr>
          <w:ilvl w:val="2"/>
          <w:numId w:val="13"/>
        </w:numPr>
        <w:tabs>
          <w:tab w:val="left" w:pos="1134"/>
          <w:tab w:val="left" w:pos="1560"/>
        </w:tabs>
        <w:autoSpaceDE w:val="0"/>
        <w:autoSpaceDN w:val="0"/>
        <w:adjustRightInd w:val="0"/>
        <w:snapToGrid w:val="0"/>
        <w:spacing w:after="156" w:afterLines="50"/>
        <w:ind w:left="1134" w:hanging="1134"/>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除第二章“供应商须知”前附表授权直接确定成交供应商外，磋商小组按照得分由高到低的顺序推荐3名成交候选人。</w:t>
      </w:r>
    </w:p>
    <w:p>
      <w:pPr>
        <w:widowControl/>
        <w:numPr>
          <w:ilvl w:val="2"/>
          <w:numId w:val="13"/>
        </w:numPr>
        <w:tabs>
          <w:tab w:val="left" w:pos="1134"/>
          <w:tab w:val="left" w:pos="1560"/>
        </w:tabs>
        <w:autoSpaceDE w:val="0"/>
        <w:autoSpaceDN w:val="0"/>
        <w:adjustRightInd w:val="0"/>
        <w:snapToGrid w:val="0"/>
        <w:spacing w:after="156" w:afterLines="50"/>
        <w:ind w:left="1134" w:hanging="1134"/>
        <w:jc w:val="left"/>
        <w:rPr>
          <w:rFonts w:cs="TimesNewRomanPSMT" w:asciiTheme="minorEastAsia" w:hAnsiTheme="minorEastAsia" w:eastAsiaTheme="minorEastAsia"/>
          <w:kern w:val="0"/>
          <w:sz w:val="24"/>
        </w:rPr>
      </w:pPr>
      <w:r>
        <w:rPr>
          <w:rFonts w:hint="eastAsia" w:cs="TimesNewRomanPSMT" w:asciiTheme="minorEastAsia" w:hAnsiTheme="minorEastAsia" w:eastAsiaTheme="minorEastAsia"/>
          <w:kern w:val="0"/>
          <w:sz w:val="24"/>
        </w:rPr>
        <w:t>磋商小组完成评审后，应当向采购人提交书面评审报告。</w:t>
      </w:r>
    </w:p>
    <w:p/>
    <w:p>
      <w:pPr>
        <w:tabs>
          <w:tab w:val="left" w:pos="-94"/>
          <w:tab w:val="left" w:pos="428"/>
        </w:tabs>
        <w:adjustRightInd w:val="0"/>
        <w:spacing w:line="360" w:lineRule="auto"/>
        <w:ind w:left="23" w:leftChars="11"/>
        <w:jc w:val="center"/>
        <w:textAlignment w:val="baseline"/>
        <w:outlineLvl w:val="1"/>
        <w:rPr>
          <w:b/>
          <w:sz w:val="28"/>
          <w:szCs w:val="28"/>
        </w:rPr>
      </w:pPr>
      <w:bookmarkStart w:id="89" w:name="_Toc18471"/>
      <w:bookmarkStart w:id="90" w:name="_Toc19167"/>
      <w:r>
        <w:rPr>
          <w:b/>
          <w:sz w:val="28"/>
          <w:szCs w:val="28"/>
        </w:rPr>
        <w:t>附表一资格审查表</w:t>
      </w:r>
      <w:bookmarkEnd w:id="89"/>
      <w:bookmarkEnd w:id="90"/>
    </w:p>
    <w:tbl>
      <w:tblPr>
        <w:tblStyle w:val="73"/>
        <w:tblW w:w="916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2"/>
        <w:gridCol w:w="2991"/>
        <w:gridCol w:w="4020"/>
        <w:gridCol w:w="14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b/>
                <w:szCs w:val="21"/>
              </w:rPr>
            </w:pPr>
            <w:r>
              <w:rPr>
                <w:rFonts w:asciiTheme="minorEastAsia" w:hAnsiTheme="minorEastAsia" w:eastAsiaTheme="minorEastAsia"/>
                <w:b/>
                <w:szCs w:val="21"/>
              </w:rPr>
              <w:t>序号</w:t>
            </w:r>
          </w:p>
        </w:tc>
        <w:tc>
          <w:tcPr>
            <w:tcW w:w="2991" w:type="dxa"/>
            <w:vAlign w:val="center"/>
          </w:tcPr>
          <w:p>
            <w:pPr>
              <w:snapToGrid w:val="0"/>
              <w:jc w:val="center"/>
              <w:rPr>
                <w:rFonts w:asciiTheme="minorEastAsia" w:hAnsiTheme="minorEastAsia" w:eastAsiaTheme="minorEastAsia"/>
                <w:b/>
                <w:szCs w:val="21"/>
              </w:rPr>
            </w:pPr>
            <w:r>
              <w:rPr>
                <w:rFonts w:asciiTheme="minorEastAsia" w:hAnsiTheme="minorEastAsia" w:eastAsiaTheme="minorEastAsia"/>
                <w:b/>
                <w:szCs w:val="21"/>
              </w:rPr>
              <w:t>评审内容</w:t>
            </w:r>
          </w:p>
        </w:tc>
        <w:tc>
          <w:tcPr>
            <w:tcW w:w="4020" w:type="dxa"/>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评审合格标准</w:t>
            </w:r>
          </w:p>
        </w:tc>
        <w:tc>
          <w:tcPr>
            <w:tcW w:w="1499" w:type="dxa"/>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b/>
                <w:szCs w:val="21"/>
              </w:rPr>
              <w:t>是否符合要求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b/>
                <w:szCs w:val="21"/>
              </w:rPr>
            </w:pPr>
            <w:r>
              <w:rPr>
                <w:rFonts w:hint="eastAsia" w:asciiTheme="minorEastAsia" w:hAnsiTheme="minorEastAsia" w:eastAsiaTheme="minorEastAsia"/>
                <w:szCs w:val="21"/>
              </w:rPr>
              <w:t>1</w:t>
            </w:r>
          </w:p>
        </w:tc>
        <w:tc>
          <w:tcPr>
            <w:tcW w:w="2991" w:type="dxa"/>
            <w:vAlign w:val="center"/>
          </w:tcPr>
          <w:p>
            <w:pPr>
              <w:snapToGrid w:val="0"/>
              <w:jc w:val="left"/>
              <w:rPr>
                <w:rFonts w:asciiTheme="minorEastAsia" w:hAnsiTheme="minorEastAsia" w:eastAsiaTheme="minorEastAsia"/>
                <w:b/>
                <w:szCs w:val="21"/>
              </w:rPr>
            </w:pPr>
            <w:r>
              <w:rPr>
                <w:rFonts w:hint="eastAsia" w:asciiTheme="minorEastAsia" w:hAnsiTheme="minorEastAsia" w:eastAsiaTheme="minorEastAsia"/>
                <w:szCs w:val="21"/>
              </w:rPr>
              <w:t>供应商名称</w:t>
            </w:r>
          </w:p>
        </w:tc>
        <w:tc>
          <w:tcPr>
            <w:tcW w:w="4020" w:type="dxa"/>
            <w:vAlign w:val="center"/>
          </w:tcPr>
          <w:p>
            <w:pPr>
              <w:snapToGrid w:val="0"/>
              <w:jc w:val="left"/>
              <w:rPr>
                <w:rFonts w:hint="eastAsia" w:asciiTheme="minorEastAsia" w:hAnsiTheme="minorEastAsia" w:eastAsiaTheme="minorEastAsia"/>
                <w:b/>
                <w:szCs w:val="21"/>
                <w:lang w:eastAsia="zh-CN"/>
              </w:rPr>
            </w:pPr>
            <w:r>
              <w:rPr>
                <w:rFonts w:hint="eastAsia" w:asciiTheme="minorEastAsia" w:hAnsiTheme="minorEastAsia" w:eastAsiaTheme="minorEastAsia"/>
                <w:szCs w:val="21"/>
              </w:rPr>
              <w:t>与磋商报名、营业执照一致（符合法定工商变更程序除外）</w:t>
            </w:r>
            <w:r>
              <w:rPr>
                <w:rFonts w:hint="eastAsia" w:asciiTheme="minorEastAsia" w:hAnsiTheme="minorEastAsia" w:eastAsiaTheme="minorEastAsia"/>
                <w:szCs w:val="21"/>
                <w:lang w:eastAsia="zh-CN"/>
              </w:rPr>
              <w:t>。</w:t>
            </w:r>
          </w:p>
        </w:tc>
        <w:tc>
          <w:tcPr>
            <w:tcW w:w="1499" w:type="dxa"/>
            <w:vAlign w:val="center"/>
          </w:tcPr>
          <w:p>
            <w:pPr>
              <w:snapToGrid w:val="0"/>
              <w:jc w:val="center"/>
              <w:rPr>
                <w:rFonts w:asciiTheme="minorEastAsia" w:hAnsiTheme="minorEastAsia" w:eastAsiaTheme="minorEastAsia"/>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具有独立承担民事责任的能力</w:t>
            </w:r>
          </w:p>
        </w:tc>
        <w:tc>
          <w:tcPr>
            <w:tcW w:w="4020" w:type="dxa"/>
          </w:tcPr>
          <w:p>
            <w:pPr>
              <w:snapToGrid w:val="0"/>
              <w:jc w:val="left"/>
              <w:rPr>
                <w:rFonts w:hint="eastAsia" w:asciiTheme="minorEastAsia" w:hAnsiTheme="minorEastAsia" w:eastAsiaTheme="minorEastAsia"/>
                <w:szCs w:val="21"/>
                <w:lang w:eastAsia="zh-CN"/>
              </w:rPr>
            </w:pPr>
            <w:r>
              <w:rPr>
                <w:rFonts w:asciiTheme="minorEastAsia" w:hAnsiTheme="minorEastAsia" w:eastAsiaTheme="minorEastAsia"/>
                <w:szCs w:val="21"/>
              </w:rPr>
              <w:t>提供了</w:t>
            </w:r>
            <w:r>
              <w:rPr>
                <w:rFonts w:hint="eastAsia" w:asciiTheme="minorEastAsia" w:hAnsiTheme="minorEastAsia" w:eastAsiaTheme="minorEastAsia"/>
                <w:szCs w:val="21"/>
              </w:rPr>
              <w:t>有效的</w:t>
            </w:r>
            <w:r>
              <w:rPr>
                <w:rFonts w:cs="宋体" w:asciiTheme="minorEastAsia" w:hAnsiTheme="minorEastAsia" w:eastAsiaTheme="minorEastAsia"/>
                <w:szCs w:val="21"/>
              </w:rPr>
              <w:t>法人或者其他组织的营业执照等证明文件，自然人的身份证明</w:t>
            </w:r>
            <w:r>
              <w:rPr>
                <w:rFonts w:hint="eastAsia" w:cs="宋体" w:asciiTheme="minorEastAsia" w:hAnsiTheme="minorEastAsia" w:eastAsiaTheme="minorEastAsia"/>
                <w:szCs w:val="21"/>
                <w:lang w:eastAsia="zh-CN"/>
              </w:rPr>
              <w:t>。</w:t>
            </w:r>
          </w:p>
        </w:tc>
        <w:tc>
          <w:tcPr>
            <w:tcW w:w="1499" w:type="dxa"/>
            <w:vAlign w:val="center"/>
          </w:tcPr>
          <w:p>
            <w:pPr>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具有健全的财务会计制度</w:t>
            </w:r>
          </w:p>
        </w:tc>
        <w:tc>
          <w:tcPr>
            <w:tcW w:w="4020" w:type="dxa"/>
          </w:tcPr>
          <w:p>
            <w:pPr>
              <w:snapToGrid w:val="0"/>
              <w:jc w:val="left"/>
              <w:rPr>
                <w:rFonts w:hint="eastAsia" w:asciiTheme="minorEastAsia" w:hAnsiTheme="minorEastAsia" w:eastAsiaTheme="minorEastAsia"/>
                <w:szCs w:val="21"/>
                <w:lang w:eastAsia="zh-CN"/>
              </w:rPr>
            </w:pPr>
            <w:r>
              <w:rPr>
                <w:rFonts w:asciiTheme="minorEastAsia" w:hAnsiTheme="minorEastAsia" w:eastAsiaTheme="minorEastAsia"/>
                <w:szCs w:val="21"/>
              </w:rPr>
              <w:t>提供了</w:t>
            </w:r>
            <w:r>
              <w:rPr>
                <w:rFonts w:hint="eastAsia" w:asciiTheme="minorEastAsia" w:hAnsiTheme="minorEastAsia" w:eastAsiaTheme="minorEastAsia"/>
                <w:szCs w:val="21"/>
              </w:rPr>
              <w:t>2018年或2019年</w:t>
            </w:r>
            <w:r>
              <w:rPr>
                <w:rFonts w:asciiTheme="minorEastAsia" w:hAnsiTheme="minorEastAsia" w:eastAsiaTheme="minorEastAsia"/>
                <w:szCs w:val="21"/>
              </w:rPr>
              <w:t>经审计的财务</w:t>
            </w:r>
            <w:r>
              <w:rPr>
                <w:rFonts w:hint="eastAsia" w:asciiTheme="minorEastAsia" w:hAnsiTheme="minorEastAsia" w:eastAsiaTheme="minorEastAsia"/>
                <w:szCs w:val="21"/>
              </w:rPr>
              <w:t>审计</w:t>
            </w:r>
            <w:r>
              <w:rPr>
                <w:rFonts w:asciiTheme="minorEastAsia" w:hAnsiTheme="minorEastAsia" w:eastAsiaTheme="minorEastAsia"/>
                <w:szCs w:val="21"/>
              </w:rPr>
              <w:t>报</w:t>
            </w:r>
            <w:r>
              <w:rPr>
                <w:rFonts w:hint="eastAsia" w:asciiTheme="minorEastAsia" w:hAnsiTheme="minorEastAsia" w:eastAsiaTheme="minorEastAsia"/>
                <w:szCs w:val="21"/>
              </w:rPr>
              <w:t>告</w:t>
            </w:r>
            <w:r>
              <w:rPr>
                <w:rFonts w:hint="eastAsia" w:asciiTheme="minorEastAsia" w:hAnsiTheme="minorEastAsia" w:eastAsiaTheme="minorEastAsia"/>
                <w:iCs/>
                <w:szCs w:val="21"/>
              </w:rPr>
              <w:t>或本年度基本开户银行出具的资信证明</w:t>
            </w:r>
            <w:r>
              <w:rPr>
                <w:rFonts w:hint="eastAsia" w:asciiTheme="minorEastAsia" w:hAnsiTheme="minorEastAsia" w:eastAsiaTheme="minorEastAsia"/>
                <w:iCs/>
                <w:szCs w:val="21"/>
                <w:lang w:eastAsia="zh-CN"/>
              </w:rPr>
              <w:t>。</w:t>
            </w:r>
          </w:p>
        </w:tc>
        <w:tc>
          <w:tcPr>
            <w:tcW w:w="1499" w:type="dxa"/>
            <w:vAlign w:val="center"/>
          </w:tcPr>
          <w:p>
            <w:pPr>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具有履行合同所必需的设备和专业技术能力</w:t>
            </w:r>
          </w:p>
        </w:tc>
        <w:tc>
          <w:tcPr>
            <w:tcW w:w="4020" w:type="dxa"/>
          </w:tcPr>
          <w:p>
            <w:pPr>
              <w:snapToGrid w:val="0"/>
              <w:jc w:val="left"/>
              <w:rPr>
                <w:rFonts w:hint="eastAsia" w:asciiTheme="minorEastAsia" w:hAnsiTheme="minorEastAsia" w:eastAsiaTheme="minorEastAsia"/>
                <w:szCs w:val="21"/>
                <w:lang w:eastAsia="zh-CN"/>
              </w:rPr>
            </w:pPr>
            <w:r>
              <w:rPr>
                <w:rFonts w:asciiTheme="minorEastAsia" w:hAnsiTheme="minorEastAsia" w:eastAsiaTheme="minorEastAsia"/>
                <w:szCs w:val="21"/>
              </w:rPr>
              <w:t>提供了可充分满足履行合同所需设备和专业技术能力的证明材料</w:t>
            </w:r>
            <w:r>
              <w:rPr>
                <w:rFonts w:hint="eastAsia" w:asciiTheme="minorEastAsia" w:hAnsiTheme="minorEastAsia" w:eastAsiaTheme="minorEastAsia"/>
                <w:szCs w:val="21"/>
              </w:rPr>
              <w:t>或承诺</w:t>
            </w:r>
            <w:r>
              <w:rPr>
                <w:rFonts w:hint="eastAsia" w:asciiTheme="minorEastAsia" w:hAnsiTheme="minorEastAsia" w:eastAsiaTheme="minorEastAsia"/>
                <w:szCs w:val="21"/>
                <w:lang w:eastAsia="zh-CN"/>
              </w:rPr>
              <w:t>。</w:t>
            </w:r>
          </w:p>
        </w:tc>
        <w:tc>
          <w:tcPr>
            <w:tcW w:w="1499" w:type="dxa"/>
            <w:vAlign w:val="center"/>
          </w:tcPr>
          <w:p>
            <w:pPr>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5</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有依法缴纳税收和社会保障资金的良好记录</w:t>
            </w:r>
          </w:p>
        </w:tc>
        <w:tc>
          <w:tcPr>
            <w:tcW w:w="4020" w:type="dxa"/>
          </w:tcPr>
          <w:p>
            <w:pPr>
              <w:snapToGrid w:val="0"/>
              <w:jc w:val="left"/>
              <w:rPr>
                <w:rFonts w:ascii="宋体" w:hAnsi="宋体"/>
                <w:szCs w:val="21"/>
              </w:rPr>
            </w:pPr>
            <w:r>
              <w:rPr>
                <w:rFonts w:hint="eastAsia" w:ascii="宋体" w:hAnsi="宋体"/>
                <w:szCs w:val="21"/>
              </w:rPr>
              <w:t>1.提供2019年至投标截止日任意1个月的纳税凭证（银行出具的纳税凭证或税务机关出具的证明的复印件，并加盖本单位公章）或免税证明（复印件加盖公章）。</w:t>
            </w:r>
          </w:p>
          <w:p>
            <w:pPr>
              <w:snapToGrid w:val="0"/>
              <w:jc w:val="left"/>
              <w:rPr>
                <w:rFonts w:asciiTheme="minorEastAsia" w:hAnsiTheme="minorEastAsia"/>
                <w:szCs w:val="21"/>
              </w:rPr>
            </w:pPr>
            <w:r>
              <w:rPr>
                <w:rFonts w:hint="eastAsia" w:ascii="宋体" w:hAnsi="宋体"/>
                <w:szCs w:val="21"/>
              </w:rPr>
              <w:t>2. 提供2019年至投标截止日任意1个月的社会保障资金缴纳记录（专用收据或社会保险缴纳清单）或免缴纳证明（复印件加盖公章）</w:t>
            </w:r>
            <w:r>
              <w:rPr>
                <w:rFonts w:hint="eastAsia" w:ascii="宋体" w:hAnsi="宋体"/>
                <w:szCs w:val="21"/>
                <w:lang w:eastAsia="zh-CN"/>
              </w:rPr>
              <w:t>。</w:t>
            </w:r>
          </w:p>
        </w:tc>
        <w:tc>
          <w:tcPr>
            <w:tcW w:w="1499" w:type="dxa"/>
            <w:vAlign w:val="center"/>
          </w:tcPr>
          <w:p>
            <w:pPr>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6</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参加政府采购活动前三年内，在经营活动中没有重大违法记录</w:t>
            </w:r>
          </w:p>
        </w:tc>
        <w:tc>
          <w:tcPr>
            <w:tcW w:w="4020" w:type="dxa"/>
          </w:tcPr>
          <w:p>
            <w:pPr>
              <w:snapToGrid w:val="0"/>
              <w:jc w:val="left"/>
              <w:rPr>
                <w:rFonts w:hint="eastAsia" w:asciiTheme="minorEastAsia" w:hAnsiTheme="minorEastAsia" w:eastAsiaTheme="minorEastAsia"/>
                <w:szCs w:val="21"/>
                <w:lang w:eastAsia="zh-CN"/>
              </w:rPr>
            </w:pPr>
            <w:r>
              <w:rPr>
                <w:rFonts w:hint="eastAsia" w:asciiTheme="minorEastAsia" w:hAnsiTheme="minorEastAsia" w:eastAsiaTheme="minorEastAsia"/>
                <w:szCs w:val="21"/>
              </w:rPr>
              <w:t>提供了有效的参加政府采购活动前3年内在经营活动中没有重大违法记录的书面声明</w:t>
            </w:r>
            <w:r>
              <w:rPr>
                <w:rFonts w:hint="eastAsia" w:asciiTheme="minorEastAsia" w:hAnsiTheme="minorEastAsia" w:eastAsiaTheme="minorEastAsia"/>
                <w:szCs w:val="21"/>
                <w:lang w:eastAsia="zh-CN"/>
              </w:rPr>
              <w:t>。</w:t>
            </w:r>
          </w:p>
        </w:tc>
        <w:tc>
          <w:tcPr>
            <w:tcW w:w="1499" w:type="dxa"/>
            <w:vAlign w:val="center"/>
          </w:tcPr>
          <w:p>
            <w:pPr>
              <w:snapToGrid w:val="0"/>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7</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法律、行政法规规定的其他条件</w:t>
            </w:r>
          </w:p>
        </w:tc>
        <w:tc>
          <w:tcPr>
            <w:tcW w:w="4020" w:type="dxa"/>
          </w:tcPr>
          <w:p>
            <w:pPr>
              <w:snapToGrid w:val="0"/>
              <w:jc w:val="left"/>
              <w:rPr>
                <w:rFonts w:hint="eastAsia" w:asciiTheme="minorEastAsia" w:hAnsiTheme="minorEastAsia" w:eastAsiaTheme="minorEastAsia"/>
                <w:szCs w:val="21"/>
                <w:lang w:eastAsia="zh-CN"/>
              </w:rPr>
            </w:pPr>
            <w:r>
              <w:rPr>
                <w:rFonts w:asciiTheme="minorEastAsia" w:hAnsiTheme="minorEastAsia" w:eastAsiaTheme="minorEastAsia"/>
                <w:szCs w:val="21"/>
              </w:rPr>
              <w:t>不存在违反法律、法规的情况</w:t>
            </w:r>
            <w:r>
              <w:rPr>
                <w:rFonts w:hint="eastAsia" w:asciiTheme="minorEastAsia" w:hAnsiTheme="minorEastAsia" w:eastAsiaTheme="minorEastAsia"/>
                <w:szCs w:val="21"/>
                <w:lang w:eastAsia="zh-CN"/>
              </w:rPr>
              <w:t>。</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8</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“信用中国”网站和中国政府采购网（www.ccgp.gov.cn）查询记录</w:t>
            </w:r>
          </w:p>
        </w:tc>
        <w:tc>
          <w:tcPr>
            <w:tcW w:w="4020" w:type="dxa"/>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未被“信用中国”网站（</w:t>
            </w:r>
            <w:r>
              <w:fldChar w:fldCharType="begin"/>
            </w:r>
            <w:r>
              <w:instrText xml:space="preserve"> HYPERLINK "http://www.creditchina.gov.cn）中列入失信被执行人和/" </w:instrText>
            </w:r>
            <w:r>
              <w:fldChar w:fldCharType="separate"/>
            </w:r>
            <w:r>
              <w:rPr>
                <w:rFonts w:hint="eastAsia" w:asciiTheme="minorEastAsia" w:hAnsiTheme="minorEastAsia" w:eastAsiaTheme="minorEastAsia"/>
                <w:szCs w:val="21"/>
              </w:rPr>
              <w:t>www.creditchina.gov.cn）中列入失信被执行人和</w:t>
            </w:r>
            <w:r>
              <w:rPr>
                <w:rFonts w:hint="eastAsia" w:asciiTheme="minorEastAsia" w:hAnsiTheme="minorEastAsia" w:eastAsiaTheme="minorEastAsia"/>
                <w:szCs w:val="21"/>
              </w:rPr>
              <w:fldChar w:fldCharType="end"/>
            </w:r>
            <w:r>
              <w:rPr>
                <w:rFonts w:hint="eastAsia" w:asciiTheme="minorEastAsia" w:hAnsiTheme="minorEastAsia" w:eastAsiaTheme="minorEastAsia"/>
                <w:szCs w:val="21"/>
              </w:rPr>
              <w:t>重大税收违法案件当事人名单的供应商、未被中国政府采购网（www.ccgp.gov.cn）列入政府采购严重违法失信行为记录名单中被财政部门禁止参加政府采购活动的供应商（处罚决定规定的时间和地域范围内）（响应文件递交截止后由磋商小组查询）</w:t>
            </w:r>
            <w:r>
              <w:rPr>
                <w:rFonts w:hint="eastAsia" w:asciiTheme="minorEastAsia" w:hAnsiTheme="minorEastAsia" w:eastAsiaTheme="minorEastAsia"/>
                <w:szCs w:val="21"/>
                <w:lang w:eastAsia="zh-CN"/>
              </w:rPr>
              <w:t>。</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9</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单位负责人为同一人或者存在控股、管理关系的不同单位，不得同时参加本项目的磋商。</w:t>
            </w:r>
          </w:p>
        </w:tc>
        <w:tc>
          <w:tcPr>
            <w:tcW w:w="4020" w:type="dxa"/>
          </w:tcPr>
          <w:p>
            <w:pPr>
              <w:snapToGrid w:val="0"/>
              <w:jc w:val="left"/>
              <w:rPr>
                <w:rFonts w:asciiTheme="minorEastAsia" w:hAnsiTheme="minorEastAsia" w:eastAsiaTheme="minorEastAsia"/>
                <w:szCs w:val="21"/>
              </w:rPr>
            </w:pPr>
            <w:r>
              <w:rPr>
                <w:rFonts w:asciiTheme="minorEastAsia" w:hAnsiTheme="minorEastAsia" w:eastAsiaTheme="minorEastAsia"/>
                <w:szCs w:val="21"/>
              </w:rPr>
              <w:t>提供了法人代表、控股股东、控股企业及管理、被管理单位情况声明且各供应商之间不存在</w:t>
            </w:r>
            <w:r>
              <w:rPr>
                <w:rFonts w:hint="eastAsia" w:asciiTheme="minorEastAsia" w:hAnsiTheme="minorEastAsia" w:eastAsiaTheme="minorEastAsia"/>
                <w:szCs w:val="21"/>
              </w:rPr>
              <w:t>单位负责人为同一人或者存在控股、管理关系情形。</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r>
              <w:rPr>
                <w:rFonts w:hint="eastAsia" w:asciiTheme="minorEastAsia" w:hAnsiTheme="minorEastAsia" w:eastAsiaTheme="minorEastAsia"/>
                <w:szCs w:val="21"/>
              </w:rPr>
              <w:t>10</w:t>
            </w:r>
          </w:p>
        </w:tc>
        <w:tc>
          <w:tcPr>
            <w:tcW w:w="2991" w:type="dxa"/>
            <w:vAlign w:val="center"/>
          </w:tcPr>
          <w:p>
            <w:pPr>
              <w:snapToGrid w:val="0"/>
              <w:jc w:val="left"/>
              <w:rPr>
                <w:rFonts w:asciiTheme="minorEastAsia" w:hAnsiTheme="minorEastAsia" w:eastAsiaTheme="minorEastAsia"/>
                <w:szCs w:val="21"/>
              </w:rPr>
            </w:pPr>
            <w:r>
              <w:rPr>
                <w:rFonts w:hint="eastAsia" w:asciiTheme="minorEastAsia" w:hAnsiTheme="minorEastAsia" w:eastAsiaTheme="minorEastAsia"/>
                <w:szCs w:val="21"/>
              </w:rPr>
              <w:t>为采购项目提供整体设计、规范编制或者项目管理、监理、检测等服务的供应商，不得再参加本项目磋商。</w:t>
            </w:r>
          </w:p>
        </w:tc>
        <w:tc>
          <w:tcPr>
            <w:tcW w:w="4020" w:type="dxa"/>
          </w:tcPr>
          <w:p>
            <w:pPr>
              <w:snapToGrid w:val="0"/>
              <w:jc w:val="left"/>
              <w:rPr>
                <w:rFonts w:hint="eastAsia" w:asciiTheme="minorEastAsia" w:hAnsiTheme="minorEastAsia" w:eastAsiaTheme="minorEastAsia"/>
                <w:szCs w:val="21"/>
                <w:lang w:eastAsia="zh-CN"/>
              </w:rPr>
            </w:pPr>
            <w:r>
              <w:rPr>
                <w:rFonts w:asciiTheme="minorEastAsia" w:hAnsiTheme="minorEastAsia" w:eastAsiaTheme="minorEastAsia"/>
                <w:szCs w:val="21"/>
              </w:rPr>
              <w:t>提供了</w:t>
            </w:r>
            <w:r>
              <w:rPr>
                <w:rFonts w:hint="eastAsia" w:asciiTheme="minorEastAsia" w:hAnsiTheme="minorEastAsia" w:eastAsiaTheme="minorEastAsia"/>
                <w:szCs w:val="21"/>
              </w:rPr>
              <w:t>供应商未为采购项目提供整体设计、规范编制或者项目管理、监理、检测等服务的声明</w:t>
            </w:r>
            <w:r>
              <w:rPr>
                <w:rFonts w:hint="eastAsia" w:asciiTheme="minorEastAsia" w:hAnsiTheme="minorEastAsia" w:eastAsiaTheme="minorEastAsia"/>
                <w:szCs w:val="21"/>
                <w:lang w:eastAsia="zh-CN"/>
              </w:rPr>
              <w:t>。</w:t>
            </w:r>
          </w:p>
        </w:tc>
        <w:tc>
          <w:tcPr>
            <w:tcW w:w="1499" w:type="dxa"/>
            <w:vAlign w:val="center"/>
          </w:tcPr>
          <w:p>
            <w:pPr>
              <w:snapToGrid w:val="0"/>
              <w:ind w:left="425"/>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52" w:type="dxa"/>
            <w:vAlign w:val="center"/>
          </w:tcPr>
          <w:p>
            <w:pPr>
              <w:snapToGrid w:val="0"/>
              <w:jc w:val="center"/>
              <w:rPr>
                <w:rFonts w:asciiTheme="minorEastAsia" w:hAnsiTheme="minorEastAsia" w:eastAsiaTheme="minorEastAsia"/>
                <w:szCs w:val="21"/>
              </w:rPr>
            </w:pPr>
          </w:p>
        </w:tc>
        <w:tc>
          <w:tcPr>
            <w:tcW w:w="2991" w:type="dxa"/>
            <w:vAlign w:val="center"/>
          </w:tcPr>
          <w:p>
            <w:pPr>
              <w:snapToGrid w:val="0"/>
              <w:ind w:left="425"/>
              <w:jc w:val="center"/>
              <w:rPr>
                <w:rFonts w:asciiTheme="minorEastAsia" w:hAnsiTheme="minorEastAsia" w:eastAsiaTheme="minorEastAsia"/>
                <w:szCs w:val="21"/>
              </w:rPr>
            </w:pPr>
            <w:r>
              <w:rPr>
                <w:rFonts w:hint="eastAsia" w:asciiTheme="minorEastAsia" w:hAnsiTheme="minorEastAsia" w:eastAsiaTheme="minorEastAsia"/>
                <w:szCs w:val="21"/>
              </w:rPr>
              <w:t>结论</w:t>
            </w:r>
          </w:p>
        </w:tc>
        <w:tc>
          <w:tcPr>
            <w:tcW w:w="4020" w:type="dxa"/>
          </w:tcPr>
          <w:p>
            <w:pPr>
              <w:snapToGrid w:val="0"/>
              <w:jc w:val="center"/>
              <w:rPr>
                <w:rFonts w:asciiTheme="minorEastAsia" w:hAnsiTheme="minorEastAsia" w:eastAsiaTheme="minorEastAsia"/>
                <w:szCs w:val="21"/>
              </w:rPr>
            </w:pPr>
          </w:p>
        </w:tc>
        <w:tc>
          <w:tcPr>
            <w:tcW w:w="1499" w:type="dxa"/>
            <w:vAlign w:val="center"/>
          </w:tcPr>
          <w:p>
            <w:pPr>
              <w:snapToGrid w:val="0"/>
              <w:ind w:left="425"/>
              <w:jc w:val="center"/>
              <w:rPr>
                <w:rFonts w:asciiTheme="minorEastAsia" w:hAnsiTheme="minorEastAsia" w:eastAsiaTheme="minorEastAsia"/>
                <w:szCs w:val="21"/>
              </w:rPr>
            </w:pPr>
          </w:p>
        </w:tc>
      </w:tr>
    </w:tbl>
    <w:p>
      <w:pPr>
        <w:spacing w:line="0" w:lineRule="atLeast"/>
        <w:ind w:left="425"/>
        <w:rPr>
          <w:szCs w:val="21"/>
        </w:rPr>
      </w:pPr>
      <w:r>
        <w:rPr>
          <w:rFonts w:hint="eastAsia" w:ascii="宋体" w:hAnsi="宋体"/>
          <w:szCs w:val="21"/>
        </w:rPr>
        <w:t>注</w:t>
      </w:r>
      <w:r>
        <w:rPr>
          <w:rFonts w:hint="eastAsia"/>
          <w:szCs w:val="21"/>
        </w:rPr>
        <w:t>：符合要求用“√”表示，不符合用“×”表示。有一项不符合要求，结论为不合格。</w:t>
      </w:r>
    </w:p>
    <w:p>
      <w:pPr>
        <w:tabs>
          <w:tab w:val="left" w:pos="-94"/>
          <w:tab w:val="left" w:pos="428"/>
        </w:tabs>
        <w:adjustRightInd w:val="0"/>
        <w:spacing w:line="360" w:lineRule="auto"/>
        <w:ind w:left="23" w:leftChars="11"/>
        <w:jc w:val="center"/>
        <w:textAlignment w:val="baseline"/>
        <w:outlineLvl w:val="1"/>
        <w:rPr>
          <w:b/>
          <w:sz w:val="28"/>
          <w:szCs w:val="28"/>
        </w:rPr>
      </w:pPr>
      <w:bookmarkStart w:id="91" w:name="_Toc30435"/>
      <w:bookmarkStart w:id="92" w:name="_Toc20487"/>
      <w:r>
        <w:rPr>
          <w:rFonts w:hint="eastAsia"/>
          <w:b/>
          <w:sz w:val="28"/>
          <w:szCs w:val="28"/>
        </w:rPr>
        <w:t xml:space="preserve">附表二 </w:t>
      </w:r>
      <w:r>
        <w:rPr>
          <w:b/>
          <w:sz w:val="28"/>
          <w:szCs w:val="28"/>
        </w:rPr>
        <w:t>符合性审查表</w:t>
      </w:r>
      <w:bookmarkEnd w:id="91"/>
      <w:bookmarkEnd w:id="92"/>
    </w:p>
    <w:tbl>
      <w:tblPr>
        <w:tblStyle w:val="73"/>
        <w:tblW w:w="90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17"/>
        <w:gridCol w:w="1674"/>
        <w:gridCol w:w="5245"/>
        <w:gridCol w:w="127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序号</w:t>
            </w:r>
          </w:p>
        </w:tc>
        <w:tc>
          <w:tcPr>
            <w:tcW w:w="1674" w:type="dxa"/>
            <w:vAlign w:val="center"/>
          </w:tcPr>
          <w:p>
            <w:pPr>
              <w:tabs>
                <w:tab w:val="left" w:pos="1260"/>
                <w:tab w:val="left" w:pos="1620"/>
              </w:tabs>
              <w:adjustRightInd w:val="0"/>
              <w:snapToGrid w:val="0"/>
              <w:jc w:val="center"/>
              <w:textAlignment w:val="baseline"/>
              <w:rPr>
                <w:rFonts w:ascii="宋体" w:hAnsi="宋体"/>
                <w:b/>
                <w:caps/>
                <w:sz w:val="24"/>
              </w:rPr>
            </w:pPr>
            <w:r>
              <w:rPr>
                <w:rFonts w:hint="eastAsia" w:ascii="宋体" w:hAnsi="宋体"/>
                <w:b/>
                <w:caps/>
                <w:sz w:val="24"/>
              </w:rPr>
              <w:t>评审项目</w:t>
            </w:r>
          </w:p>
        </w:tc>
        <w:tc>
          <w:tcPr>
            <w:tcW w:w="5245" w:type="dxa"/>
            <w:vAlign w:val="center"/>
          </w:tcPr>
          <w:p>
            <w:pPr>
              <w:tabs>
                <w:tab w:val="left" w:pos="1260"/>
                <w:tab w:val="left" w:pos="1620"/>
              </w:tabs>
              <w:adjustRightInd w:val="0"/>
              <w:snapToGrid w:val="0"/>
              <w:jc w:val="center"/>
              <w:textAlignment w:val="baseline"/>
              <w:rPr>
                <w:rFonts w:ascii="宋体" w:hAnsi="宋体"/>
                <w:b/>
                <w:caps/>
                <w:sz w:val="24"/>
              </w:rPr>
            </w:pPr>
            <w:r>
              <w:rPr>
                <w:rFonts w:hint="eastAsia" w:ascii="宋体" w:hAnsi="宋体"/>
                <w:b/>
                <w:caps/>
                <w:sz w:val="24"/>
              </w:rPr>
              <w:t>评审标准</w:t>
            </w:r>
          </w:p>
        </w:tc>
        <w:tc>
          <w:tcPr>
            <w:tcW w:w="1275" w:type="dxa"/>
            <w:vAlign w:val="center"/>
          </w:tcPr>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评审结论</w:t>
            </w:r>
          </w:p>
          <w:p>
            <w:pPr>
              <w:tabs>
                <w:tab w:val="left" w:pos="1260"/>
                <w:tab w:val="left" w:pos="1620"/>
              </w:tabs>
              <w:adjustRightInd w:val="0"/>
              <w:snapToGrid w:val="0"/>
              <w:jc w:val="center"/>
              <w:textAlignment w:val="baseline"/>
              <w:rPr>
                <w:rFonts w:ascii="宋体" w:hAnsi="宋体"/>
                <w:b/>
                <w:caps/>
                <w:sz w:val="24"/>
              </w:rPr>
            </w:pPr>
            <w:r>
              <w:rPr>
                <w:rFonts w:ascii="宋体" w:hAnsi="宋体"/>
                <w:b/>
                <w:caps/>
                <w:sz w:val="24"/>
              </w:rPr>
              <w:t>（</w:t>
            </w:r>
            <w:r>
              <w:rPr>
                <w:rFonts w:hint="eastAsia"/>
                <w:b/>
                <w:szCs w:val="21"/>
              </w:rPr>
              <w:t>√</w:t>
            </w:r>
            <w:r>
              <w:rPr>
                <w:rFonts w:ascii="宋体" w:hAnsi="宋体"/>
                <w:b/>
                <w:caps/>
                <w:sz w:val="24"/>
              </w:rPr>
              <w:t>/</w:t>
            </w:r>
            <w:r>
              <w:rPr>
                <w:rFonts w:hint="eastAsia" w:ascii="宋体" w:hAnsi="宋体"/>
                <w:sz w:val="24"/>
              </w:rPr>
              <w:t>×</w:t>
            </w:r>
            <w:r>
              <w:rPr>
                <w:rFonts w:ascii="宋体" w:hAnsi="宋体"/>
                <w:b/>
                <w:caps/>
                <w:sz w:val="24"/>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磋商保证金</w:t>
            </w:r>
          </w:p>
        </w:tc>
        <w:tc>
          <w:tcPr>
            <w:tcW w:w="5245"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按照磋商文件的规定提交磋商保证金；</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响应文件签署盖章</w:t>
            </w:r>
          </w:p>
        </w:tc>
        <w:tc>
          <w:tcPr>
            <w:tcW w:w="5245"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按磋商文件格式要求加盖了供应商公章和（/或）有法定代表人或其授权代表签字或加盖人名章。</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报价</w:t>
            </w:r>
          </w:p>
        </w:tc>
        <w:tc>
          <w:tcPr>
            <w:tcW w:w="5245"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供应商报价是固定价且未超过预算金额（磋商文件有最高限价的，报价未超过最高限价）；</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附加条件</w:t>
            </w:r>
          </w:p>
        </w:tc>
        <w:tc>
          <w:tcPr>
            <w:tcW w:w="5245"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响应文件不含有采购人不能接受的附加条件；</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公平竞争</w:t>
            </w:r>
          </w:p>
        </w:tc>
        <w:tc>
          <w:tcPr>
            <w:tcW w:w="5245"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遵循公平竞争的原则，没有弄虚作假、恶意串通或妨碍其他供应商的竞争行为，损害采购人或者其他供应商的合法权益；</w:t>
            </w:r>
          </w:p>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弄虚作假、相互串通的情形见附注</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4"/>
              </w:numPr>
              <w:tabs>
                <w:tab w:val="left" w:pos="1260"/>
                <w:tab w:val="left" w:pos="1620"/>
              </w:tabs>
              <w:adjustRightInd w:val="0"/>
              <w:snapToGrid w:val="0"/>
              <w:textAlignment w:val="baseline"/>
              <w:rPr>
                <w:rFonts w:ascii="宋体" w:hAnsi="宋体"/>
                <w:sz w:val="24"/>
              </w:rPr>
            </w:pPr>
          </w:p>
        </w:tc>
        <w:tc>
          <w:tcPr>
            <w:tcW w:w="1674"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其他无效情形</w:t>
            </w:r>
          </w:p>
        </w:tc>
        <w:tc>
          <w:tcPr>
            <w:tcW w:w="5245"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无法律、法规和磋商文件规定的其他无效情形；</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响应文件有效期</w:t>
            </w:r>
          </w:p>
        </w:tc>
        <w:tc>
          <w:tcPr>
            <w:tcW w:w="5245"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有效期满足磋商文件要求的；</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备选方案</w:t>
            </w:r>
          </w:p>
        </w:tc>
        <w:tc>
          <w:tcPr>
            <w:tcW w:w="5245"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供应商不得提交两份或者多份内容不同的响应文件，或者在同一份响应文件中对同一磋商项目有两个或者多个报价；</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817" w:type="dxa"/>
            <w:vAlign w:val="center"/>
          </w:tcPr>
          <w:p>
            <w:pPr>
              <w:numPr>
                <w:ilvl w:val="0"/>
                <w:numId w:val="15"/>
              </w:numPr>
              <w:tabs>
                <w:tab w:val="left" w:pos="1260"/>
                <w:tab w:val="left" w:pos="1620"/>
              </w:tabs>
              <w:adjustRightInd w:val="0"/>
              <w:snapToGrid w:val="0"/>
              <w:textAlignment w:val="baseline"/>
              <w:rPr>
                <w:rFonts w:ascii="宋体" w:hAnsi="宋体"/>
                <w:sz w:val="24"/>
              </w:rPr>
            </w:pPr>
          </w:p>
        </w:tc>
        <w:tc>
          <w:tcPr>
            <w:tcW w:w="1674"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服务期和服务地点</w:t>
            </w:r>
          </w:p>
        </w:tc>
        <w:tc>
          <w:tcPr>
            <w:tcW w:w="5245" w:type="dxa"/>
            <w:vAlign w:val="center"/>
          </w:tcPr>
          <w:p>
            <w:pPr>
              <w:snapToGrid w:val="0"/>
              <w:jc w:val="left"/>
              <w:rPr>
                <w:rFonts w:asciiTheme="minorEastAsia" w:hAnsiTheme="minorEastAsia" w:eastAsiaTheme="minorEastAsia"/>
                <w:iCs/>
                <w:szCs w:val="21"/>
              </w:rPr>
            </w:pPr>
            <w:r>
              <w:rPr>
                <w:rFonts w:hint="eastAsia" w:asciiTheme="minorEastAsia" w:hAnsiTheme="minorEastAsia" w:eastAsiaTheme="minorEastAsia"/>
                <w:iCs/>
                <w:szCs w:val="21"/>
              </w:rPr>
              <w:t>满足磋商文件要求；</w:t>
            </w:r>
          </w:p>
        </w:tc>
        <w:tc>
          <w:tcPr>
            <w:tcW w:w="1275" w:type="dxa"/>
            <w:vAlign w:val="center"/>
          </w:tcPr>
          <w:p>
            <w:pPr>
              <w:tabs>
                <w:tab w:val="left" w:pos="1260"/>
                <w:tab w:val="left" w:pos="1620"/>
              </w:tabs>
              <w:adjustRightInd w:val="0"/>
              <w:snapToGrid w:val="0"/>
              <w:textAlignment w:val="baseline"/>
              <w:rPr>
                <w:rFonts w:ascii="宋体" w:hAnsi="宋体"/>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491" w:type="dxa"/>
            <w:gridSpan w:val="2"/>
            <w:vAlign w:val="center"/>
          </w:tcPr>
          <w:p>
            <w:pPr>
              <w:tabs>
                <w:tab w:val="left" w:pos="1260"/>
                <w:tab w:val="left" w:pos="1620"/>
              </w:tabs>
              <w:adjustRightInd w:val="0"/>
              <w:snapToGrid w:val="0"/>
              <w:textAlignment w:val="baseline"/>
              <w:rPr>
                <w:rFonts w:ascii="宋体" w:hAnsi="宋体"/>
                <w:sz w:val="24"/>
              </w:rPr>
            </w:pPr>
            <w:r>
              <w:rPr>
                <w:rFonts w:ascii="宋体" w:hAnsi="宋体"/>
                <w:b/>
                <w:sz w:val="24"/>
              </w:rPr>
              <w:t>结论（</w:t>
            </w:r>
            <w:r>
              <w:rPr>
                <w:rFonts w:hint="eastAsia" w:ascii="宋体" w:hAnsi="宋体"/>
                <w:b/>
                <w:sz w:val="24"/>
              </w:rPr>
              <w:t>合格</w:t>
            </w:r>
            <w:r>
              <w:rPr>
                <w:rFonts w:ascii="宋体" w:hAnsi="宋体"/>
                <w:b/>
                <w:sz w:val="24"/>
              </w:rPr>
              <w:t>或</w:t>
            </w:r>
            <w:r>
              <w:rPr>
                <w:rFonts w:hint="eastAsia" w:ascii="宋体" w:hAnsi="宋体"/>
                <w:b/>
                <w:sz w:val="24"/>
              </w:rPr>
              <w:t>不合格</w:t>
            </w:r>
            <w:r>
              <w:rPr>
                <w:rFonts w:ascii="宋体" w:hAnsi="宋体"/>
                <w:b/>
                <w:sz w:val="24"/>
              </w:rPr>
              <w:t>）</w:t>
            </w:r>
          </w:p>
        </w:tc>
        <w:tc>
          <w:tcPr>
            <w:tcW w:w="5245" w:type="dxa"/>
            <w:vAlign w:val="center"/>
          </w:tcPr>
          <w:p>
            <w:pPr>
              <w:tabs>
                <w:tab w:val="left" w:pos="1260"/>
                <w:tab w:val="left" w:pos="1620"/>
              </w:tabs>
              <w:adjustRightInd w:val="0"/>
              <w:snapToGrid w:val="0"/>
              <w:textAlignment w:val="baseline"/>
              <w:rPr>
                <w:rFonts w:ascii="宋体" w:hAnsi="宋体"/>
                <w:sz w:val="24"/>
              </w:rPr>
            </w:pPr>
          </w:p>
        </w:tc>
        <w:tc>
          <w:tcPr>
            <w:tcW w:w="1275" w:type="dxa"/>
            <w:vAlign w:val="center"/>
          </w:tcPr>
          <w:p>
            <w:pPr>
              <w:tabs>
                <w:tab w:val="left" w:pos="1260"/>
                <w:tab w:val="left" w:pos="1620"/>
              </w:tabs>
              <w:adjustRightInd w:val="0"/>
              <w:snapToGrid w:val="0"/>
              <w:textAlignment w:val="baseline"/>
              <w:rPr>
                <w:rFonts w:ascii="宋体" w:hAnsi="宋体"/>
                <w:sz w:val="24"/>
              </w:rPr>
            </w:pPr>
          </w:p>
        </w:tc>
      </w:tr>
    </w:tbl>
    <w:p>
      <w:pPr>
        <w:tabs>
          <w:tab w:val="left" w:pos="1260"/>
          <w:tab w:val="left" w:pos="1620"/>
        </w:tabs>
        <w:adjustRightInd w:val="0"/>
        <w:spacing w:line="360" w:lineRule="auto"/>
        <w:jc w:val="left"/>
        <w:textAlignment w:val="baseline"/>
        <w:rPr>
          <w:b/>
          <w:szCs w:val="21"/>
        </w:rPr>
      </w:pPr>
      <w:r>
        <w:rPr>
          <w:rFonts w:hint="eastAsia"/>
          <w:b/>
          <w:szCs w:val="21"/>
        </w:rPr>
        <w:t>注：1、符合磋商文件要求用“√”表示，不符合用“×”表示。有一项不符合要求，结论为不合格。</w:t>
      </w:r>
    </w:p>
    <w:p>
      <w:pPr>
        <w:tabs>
          <w:tab w:val="left" w:pos="1260"/>
          <w:tab w:val="left" w:pos="1620"/>
        </w:tabs>
        <w:adjustRightInd w:val="0"/>
        <w:spacing w:line="360" w:lineRule="auto"/>
        <w:jc w:val="left"/>
        <w:textAlignment w:val="baseline"/>
        <w:rPr>
          <w:b/>
          <w:szCs w:val="21"/>
        </w:rPr>
      </w:pPr>
      <w:r>
        <w:rPr>
          <w:rFonts w:hint="eastAsia"/>
          <w:b/>
          <w:szCs w:val="21"/>
        </w:rPr>
        <w:t>2、有下列情形之一的，视为供应商相互串通：</w:t>
      </w:r>
    </w:p>
    <w:p>
      <w:pPr>
        <w:tabs>
          <w:tab w:val="left" w:pos="1260"/>
          <w:tab w:val="left" w:pos="1620"/>
        </w:tabs>
        <w:adjustRightInd w:val="0"/>
        <w:spacing w:line="360" w:lineRule="auto"/>
        <w:jc w:val="left"/>
        <w:textAlignment w:val="baseline"/>
        <w:rPr>
          <w:b/>
          <w:szCs w:val="21"/>
        </w:rPr>
      </w:pPr>
      <w:r>
        <w:rPr>
          <w:rFonts w:hint="eastAsia"/>
          <w:b/>
          <w:szCs w:val="21"/>
        </w:rPr>
        <w:t>（1）不同供应商的响应文件由同一单位或者个人编制；</w:t>
      </w:r>
    </w:p>
    <w:p>
      <w:pPr>
        <w:tabs>
          <w:tab w:val="left" w:pos="1260"/>
          <w:tab w:val="left" w:pos="1620"/>
        </w:tabs>
        <w:adjustRightInd w:val="0"/>
        <w:spacing w:line="360" w:lineRule="auto"/>
        <w:jc w:val="left"/>
        <w:textAlignment w:val="baseline"/>
        <w:rPr>
          <w:b/>
          <w:szCs w:val="21"/>
        </w:rPr>
      </w:pPr>
      <w:r>
        <w:rPr>
          <w:rFonts w:hint="eastAsia"/>
          <w:b/>
          <w:szCs w:val="21"/>
        </w:rPr>
        <w:t>（2）不同供应商委托同一单位或者个人办理参与磋商事宜；</w:t>
      </w:r>
    </w:p>
    <w:p>
      <w:pPr>
        <w:tabs>
          <w:tab w:val="left" w:pos="1260"/>
          <w:tab w:val="left" w:pos="1620"/>
        </w:tabs>
        <w:adjustRightInd w:val="0"/>
        <w:spacing w:line="360" w:lineRule="auto"/>
        <w:jc w:val="left"/>
        <w:textAlignment w:val="baseline"/>
        <w:rPr>
          <w:b/>
          <w:szCs w:val="21"/>
        </w:rPr>
      </w:pPr>
      <w:r>
        <w:rPr>
          <w:rFonts w:hint="eastAsia"/>
          <w:b/>
          <w:szCs w:val="21"/>
        </w:rPr>
        <w:t>（3）不同供应商的响应文件载明的项目管理成员或者联系人员为同一人；</w:t>
      </w:r>
    </w:p>
    <w:p>
      <w:pPr>
        <w:tabs>
          <w:tab w:val="left" w:pos="1260"/>
          <w:tab w:val="left" w:pos="1620"/>
        </w:tabs>
        <w:adjustRightInd w:val="0"/>
        <w:spacing w:line="360" w:lineRule="auto"/>
        <w:jc w:val="left"/>
        <w:textAlignment w:val="baseline"/>
        <w:rPr>
          <w:b/>
          <w:szCs w:val="21"/>
        </w:rPr>
      </w:pPr>
      <w:r>
        <w:rPr>
          <w:rFonts w:hint="eastAsia"/>
          <w:b/>
          <w:szCs w:val="21"/>
        </w:rPr>
        <w:t>（4）不同供应商的响应文件异常一致或者报价呈规律性差异；</w:t>
      </w:r>
    </w:p>
    <w:p>
      <w:pPr>
        <w:tabs>
          <w:tab w:val="left" w:pos="1260"/>
          <w:tab w:val="left" w:pos="1620"/>
        </w:tabs>
        <w:adjustRightInd w:val="0"/>
        <w:spacing w:line="360" w:lineRule="auto"/>
        <w:jc w:val="left"/>
        <w:textAlignment w:val="baseline"/>
        <w:rPr>
          <w:b/>
          <w:szCs w:val="21"/>
        </w:rPr>
      </w:pPr>
      <w:r>
        <w:rPr>
          <w:rFonts w:hint="eastAsia"/>
          <w:b/>
          <w:szCs w:val="21"/>
        </w:rPr>
        <w:t>（5）不同供应商的响应文件相互混装；</w:t>
      </w:r>
    </w:p>
    <w:p>
      <w:pPr>
        <w:tabs>
          <w:tab w:val="left" w:pos="1260"/>
          <w:tab w:val="left" w:pos="1620"/>
        </w:tabs>
        <w:adjustRightInd w:val="0"/>
        <w:spacing w:line="360" w:lineRule="auto"/>
        <w:jc w:val="left"/>
        <w:textAlignment w:val="baseline"/>
        <w:rPr>
          <w:b/>
          <w:szCs w:val="21"/>
        </w:rPr>
      </w:pPr>
      <w:r>
        <w:rPr>
          <w:rFonts w:hint="eastAsia"/>
          <w:b/>
          <w:szCs w:val="21"/>
        </w:rPr>
        <w:t>（6）不同供应商的磋商保证金从同一单位或者个人的账户转出。</w:t>
      </w:r>
    </w:p>
    <w:p>
      <w:pPr>
        <w:tabs>
          <w:tab w:val="left" w:pos="1260"/>
          <w:tab w:val="left" w:pos="1620"/>
        </w:tabs>
        <w:adjustRightInd w:val="0"/>
        <w:spacing w:line="360" w:lineRule="auto"/>
        <w:jc w:val="left"/>
        <w:textAlignment w:val="baseline"/>
        <w:rPr>
          <w:b/>
          <w:szCs w:val="21"/>
        </w:rPr>
      </w:pPr>
      <w:r>
        <w:rPr>
          <w:rFonts w:hint="eastAsia"/>
          <w:b/>
          <w:szCs w:val="21"/>
        </w:rPr>
        <w:t>3、有下列情形之一的，属于提供虚假材料谋取成交的行为：</w:t>
      </w:r>
    </w:p>
    <w:p>
      <w:pPr>
        <w:tabs>
          <w:tab w:val="left" w:pos="1260"/>
          <w:tab w:val="left" w:pos="1620"/>
        </w:tabs>
        <w:adjustRightInd w:val="0"/>
        <w:spacing w:line="360" w:lineRule="auto"/>
        <w:jc w:val="left"/>
        <w:textAlignment w:val="baseline"/>
        <w:rPr>
          <w:b/>
          <w:szCs w:val="21"/>
        </w:rPr>
      </w:pPr>
      <w:r>
        <w:rPr>
          <w:rFonts w:hint="eastAsia"/>
          <w:b/>
          <w:szCs w:val="21"/>
        </w:rPr>
        <w:t>（1）使用伪造、变造的许可证件；</w:t>
      </w:r>
    </w:p>
    <w:p>
      <w:pPr>
        <w:tabs>
          <w:tab w:val="left" w:pos="1260"/>
          <w:tab w:val="left" w:pos="1620"/>
        </w:tabs>
        <w:adjustRightInd w:val="0"/>
        <w:spacing w:line="360" w:lineRule="auto"/>
        <w:jc w:val="left"/>
        <w:textAlignment w:val="baseline"/>
        <w:rPr>
          <w:b/>
          <w:szCs w:val="21"/>
        </w:rPr>
      </w:pPr>
      <w:r>
        <w:rPr>
          <w:rFonts w:hint="eastAsia"/>
          <w:b/>
          <w:szCs w:val="21"/>
        </w:rPr>
        <w:t>（2）提供虚假的财务状况或者业绩；</w:t>
      </w:r>
    </w:p>
    <w:p>
      <w:pPr>
        <w:tabs>
          <w:tab w:val="left" w:pos="1260"/>
          <w:tab w:val="left" w:pos="1620"/>
        </w:tabs>
        <w:adjustRightInd w:val="0"/>
        <w:spacing w:line="360" w:lineRule="auto"/>
        <w:jc w:val="left"/>
        <w:textAlignment w:val="baseline"/>
        <w:rPr>
          <w:b/>
          <w:szCs w:val="21"/>
        </w:rPr>
      </w:pPr>
      <w:r>
        <w:rPr>
          <w:rFonts w:hint="eastAsia"/>
          <w:b/>
          <w:szCs w:val="21"/>
        </w:rPr>
        <w:t>（3）提供虚假的项目负责人或者主要技术人员简历、劳动关系证明；</w:t>
      </w:r>
    </w:p>
    <w:p>
      <w:pPr>
        <w:tabs>
          <w:tab w:val="left" w:pos="1260"/>
          <w:tab w:val="left" w:pos="1620"/>
        </w:tabs>
        <w:adjustRightInd w:val="0"/>
        <w:spacing w:line="360" w:lineRule="auto"/>
        <w:jc w:val="left"/>
        <w:textAlignment w:val="baseline"/>
        <w:rPr>
          <w:b/>
          <w:szCs w:val="21"/>
        </w:rPr>
      </w:pPr>
      <w:r>
        <w:rPr>
          <w:rFonts w:hint="eastAsia"/>
          <w:b/>
          <w:szCs w:val="21"/>
        </w:rPr>
        <w:t>（4）提供虚假的信用状况；</w:t>
      </w:r>
    </w:p>
    <w:p>
      <w:pPr>
        <w:tabs>
          <w:tab w:val="left" w:pos="1260"/>
          <w:tab w:val="left" w:pos="1620"/>
        </w:tabs>
        <w:adjustRightInd w:val="0"/>
        <w:spacing w:line="360" w:lineRule="auto"/>
        <w:jc w:val="left"/>
        <w:textAlignment w:val="baseline"/>
        <w:rPr>
          <w:b/>
          <w:szCs w:val="21"/>
        </w:rPr>
      </w:pPr>
      <w:r>
        <w:rPr>
          <w:rFonts w:hint="eastAsia"/>
          <w:b/>
          <w:szCs w:val="21"/>
        </w:rPr>
        <w:t>（5）其他弄虚作假的行为。</w:t>
      </w:r>
    </w:p>
    <w:p>
      <w:pPr>
        <w:tabs>
          <w:tab w:val="left" w:pos="-94"/>
          <w:tab w:val="left" w:pos="428"/>
        </w:tabs>
        <w:adjustRightInd w:val="0"/>
        <w:spacing w:line="360" w:lineRule="auto"/>
        <w:ind w:left="23" w:leftChars="11"/>
        <w:jc w:val="center"/>
        <w:textAlignment w:val="baseline"/>
        <w:outlineLvl w:val="1"/>
        <w:rPr>
          <w:b/>
          <w:sz w:val="28"/>
          <w:szCs w:val="28"/>
        </w:rPr>
      </w:pPr>
      <w:bookmarkStart w:id="93" w:name="_Toc29229"/>
      <w:bookmarkStart w:id="94" w:name="_Toc25550"/>
      <w:bookmarkStart w:id="95" w:name="_Toc414446034"/>
      <w:bookmarkStart w:id="96" w:name="_Toc410631198"/>
      <w:r>
        <w:rPr>
          <w:b/>
          <w:sz w:val="28"/>
          <w:szCs w:val="28"/>
        </w:rPr>
        <w:t>附表</w:t>
      </w:r>
      <w:r>
        <w:rPr>
          <w:rFonts w:hint="eastAsia"/>
          <w:b/>
          <w:sz w:val="28"/>
          <w:szCs w:val="28"/>
        </w:rPr>
        <w:t xml:space="preserve">三 </w:t>
      </w:r>
      <w:r>
        <w:rPr>
          <w:b/>
          <w:sz w:val="28"/>
          <w:szCs w:val="28"/>
        </w:rPr>
        <w:t>商务评审因素及分值分配表</w:t>
      </w:r>
      <w:bookmarkEnd w:id="93"/>
      <w:bookmarkEnd w:id="94"/>
      <w:bookmarkEnd w:id="95"/>
      <w:bookmarkEnd w:id="96"/>
    </w:p>
    <w:p>
      <w:pPr>
        <w:tabs>
          <w:tab w:val="left" w:pos="-94"/>
          <w:tab w:val="left" w:pos="1620"/>
        </w:tabs>
        <w:adjustRightInd w:val="0"/>
        <w:spacing w:line="360" w:lineRule="auto"/>
        <w:ind w:left="23" w:leftChars="11"/>
        <w:jc w:val="center"/>
        <w:textAlignment w:val="baseline"/>
        <w:rPr>
          <w:rFonts w:ascii="宋体" w:hAnsi="宋体"/>
          <w:b/>
          <w:szCs w:val="21"/>
        </w:rPr>
      </w:pPr>
      <w:r>
        <w:rPr>
          <w:rFonts w:hint="eastAsia" w:ascii="宋体" w:hAnsi="宋体"/>
          <w:b/>
          <w:szCs w:val="21"/>
        </w:rPr>
        <w:t>（满分60分）</w:t>
      </w:r>
    </w:p>
    <w:p>
      <w:pPr>
        <w:tabs>
          <w:tab w:val="left" w:pos="-94"/>
          <w:tab w:val="left" w:pos="1620"/>
        </w:tabs>
        <w:adjustRightInd w:val="0"/>
        <w:spacing w:line="360" w:lineRule="auto"/>
        <w:ind w:left="23" w:leftChars="11"/>
        <w:jc w:val="center"/>
        <w:textAlignment w:val="baseline"/>
        <w:rPr>
          <w:b/>
          <w:szCs w:val="21"/>
        </w:rPr>
      </w:pPr>
    </w:p>
    <w:tbl>
      <w:tblPr>
        <w:tblStyle w:val="73"/>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11"/>
        <w:gridCol w:w="1488"/>
        <w:gridCol w:w="993"/>
        <w:gridCol w:w="4961"/>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1" w:type="dxa"/>
            <w:vAlign w:val="center"/>
          </w:tcPr>
          <w:p>
            <w:pPr>
              <w:spacing w:line="360" w:lineRule="auto"/>
            </w:pPr>
            <w:r>
              <w:t>序号</w:t>
            </w:r>
          </w:p>
        </w:tc>
        <w:tc>
          <w:tcPr>
            <w:tcW w:w="1488" w:type="dxa"/>
            <w:vAlign w:val="center"/>
          </w:tcPr>
          <w:p>
            <w:pPr>
              <w:spacing w:line="360" w:lineRule="auto"/>
              <w:jc w:val="center"/>
            </w:pPr>
            <w:r>
              <w:t>评审内容</w:t>
            </w:r>
          </w:p>
        </w:tc>
        <w:tc>
          <w:tcPr>
            <w:tcW w:w="993" w:type="dxa"/>
            <w:vAlign w:val="center"/>
          </w:tcPr>
          <w:p>
            <w:pPr>
              <w:spacing w:line="360" w:lineRule="auto"/>
              <w:jc w:val="center"/>
            </w:pPr>
            <w:r>
              <w:rPr>
                <w:rFonts w:hint="eastAsia"/>
              </w:rPr>
              <w:t>标准分</w:t>
            </w:r>
          </w:p>
        </w:tc>
        <w:tc>
          <w:tcPr>
            <w:tcW w:w="4961" w:type="dxa"/>
            <w:vAlign w:val="center"/>
          </w:tcPr>
          <w:p>
            <w:pPr>
              <w:spacing w:line="360" w:lineRule="auto"/>
              <w:jc w:val="center"/>
            </w:pPr>
            <w:r>
              <w:t>评  审  标  准</w:t>
            </w:r>
          </w:p>
        </w:tc>
        <w:tc>
          <w:tcPr>
            <w:tcW w:w="992" w:type="dxa"/>
            <w:vAlign w:val="center"/>
          </w:tcPr>
          <w:p>
            <w:pPr>
              <w:spacing w:line="360" w:lineRule="auto"/>
              <w:jc w:val="center"/>
            </w:pPr>
            <w: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1" w:type="dxa"/>
            <w:vAlign w:val="center"/>
          </w:tcPr>
          <w:p>
            <w:pPr>
              <w:spacing w:line="360" w:lineRule="auto"/>
            </w:pPr>
            <w:r>
              <w:rPr>
                <w:rFonts w:hint="eastAsia"/>
              </w:rPr>
              <w:t>1</w:t>
            </w:r>
          </w:p>
        </w:tc>
        <w:tc>
          <w:tcPr>
            <w:tcW w:w="1488" w:type="dxa"/>
            <w:vAlign w:val="center"/>
          </w:tcPr>
          <w:p>
            <w:pPr>
              <w:spacing w:line="360" w:lineRule="auto"/>
              <w:jc w:val="center"/>
            </w:pPr>
            <w:r>
              <w:rPr>
                <w:rFonts w:hint="eastAsia"/>
              </w:rPr>
              <w:t>拟投入本项目专业人员</w:t>
            </w:r>
          </w:p>
        </w:tc>
        <w:tc>
          <w:tcPr>
            <w:tcW w:w="993" w:type="dxa"/>
            <w:vAlign w:val="center"/>
          </w:tcPr>
          <w:p>
            <w:pPr>
              <w:spacing w:line="360" w:lineRule="auto"/>
              <w:jc w:val="center"/>
            </w:pPr>
            <w:r>
              <w:rPr>
                <w:rFonts w:hint="eastAsia"/>
              </w:rPr>
              <w:t>25</w:t>
            </w:r>
          </w:p>
        </w:tc>
        <w:tc>
          <w:tcPr>
            <w:tcW w:w="4961" w:type="dxa"/>
            <w:vAlign w:val="center"/>
          </w:tcPr>
          <w:p>
            <w:pPr>
              <w:widowControl/>
              <w:jc w:val="left"/>
              <w:rPr>
                <w:rFonts w:ascii="宋体" w:hAnsi="宋体" w:cs="宋体"/>
                <w:kern w:val="0"/>
                <w:szCs w:val="21"/>
              </w:rPr>
            </w:pPr>
            <w:r>
              <w:rPr>
                <w:rFonts w:hint="eastAsia" w:ascii="宋体" w:hAnsi="宋体" w:cs="宋体"/>
                <w:kern w:val="0"/>
                <w:szCs w:val="21"/>
              </w:rPr>
              <w:t>1、项目负责人</w:t>
            </w:r>
          </w:p>
          <w:p>
            <w:pPr>
              <w:widowControl/>
              <w:jc w:val="left"/>
              <w:rPr>
                <w:rFonts w:ascii="宋体" w:hAnsi="宋体" w:cs="宋体"/>
                <w:kern w:val="0"/>
                <w:szCs w:val="21"/>
              </w:rPr>
            </w:pPr>
            <w:r>
              <w:rPr>
                <w:rFonts w:hint="eastAsia" w:ascii="宋体" w:hAnsi="宋体" w:cs="宋体"/>
                <w:kern w:val="0"/>
                <w:szCs w:val="21"/>
              </w:rPr>
              <w:t>①具有海洋行业相关专业教授或研究员或正高职称得4分，高级工程师职称得2分，中级职称的得1分。本项最高得4分。</w:t>
            </w:r>
          </w:p>
          <w:p>
            <w:pPr>
              <w:widowControl/>
              <w:jc w:val="left"/>
              <w:rPr>
                <w:rFonts w:ascii="宋体" w:hAnsi="宋体" w:cs="宋体"/>
                <w:kern w:val="0"/>
                <w:szCs w:val="21"/>
              </w:rPr>
            </w:pPr>
            <w:r>
              <w:rPr>
                <w:rFonts w:hint="eastAsia" w:ascii="宋体" w:hAnsi="宋体" w:cs="宋体"/>
                <w:kern w:val="0"/>
                <w:szCs w:val="21"/>
              </w:rPr>
              <w:t>②具有海洋行业相关专业博士学位得3 分，硕士学位得1.5分，本科得0.5分。本项最高得3分。</w:t>
            </w:r>
          </w:p>
          <w:p>
            <w:pPr>
              <w:widowControl/>
              <w:jc w:val="left"/>
              <w:rPr>
                <w:rFonts w:ascii="宋体" w:hAnsi="宋体" w:cs="宋体"/>
                <w:kern w:val="0"/>
                <w:szCs w:val="21"/>
              </w:rPr>
            </w:pPr>
            <w:r>
              <w:rPr>
                <w:rFonts w:hint="eastAsia" w:ascii="宋体" w:hAnsi="宋体" w:cs="宋体"/>
                <w:kern w:val="0"/>
                <w:szCs w:val="21"/>
              </w:rPr>
              <w:t>③具备咨询师工程师（投资）资格的得3分。本项最高得3分。</w:t>
            </w:r>
          </w:p>
          <w:p>
            <w:pPr>
              <w:widowControl/>
              <w:jc w:val="left"/>
              <w:rPr>
                <w:rFonts w:ascii="宋体" w:hAnsi="宋体" w:cs="宋体"/>
                <w:kern w:val="0"/>
                <w:szCs w:val="21"/>
              </w:rPr>
            </w:pPr>
            <w:r>
              <w:rPr>
                <w:rFonts w:hint="eastAsia" w:ascii="宋体" w:hAnsi="宋体" w:cs="宋体"/>
                <w:kern w:val="0"/>
                <w:szCs w:val="21"/>
              </w:rPr>
              <w:t>满分10分</w:t>
            </w:r>
          </w:p>
          <w:p>
            <w:pPr>
              <w:widowControl/>
              <w:jc w:val="left"/>
              <w:rPr>
                <w:rFonts w:ascii="宋体" w:hAnsi="宋体" w:cs="宋体"/>
                <w:kern w:val="0"/>
                <w:szCs w:val="21"/>
              </w:rPr>
            </w:pPr>
            <w:r>
              <w:rPr>
                <w:rFonts w:hint="eastAsia" w:ascii="宋体" w:hAnsi="宋体" w:cs="宋体"/>
                <w:kern w:val="0"/>
                <w:szCs w:val="21"/>
              </w:rPr>
              <w:t>证明材料：提供相应职称证书、学位证书、咨询工程师（投资）登记证书复印件和个人在本单位缴纳2019年11月至2020年3月份的社保证明材料复印件加盖公章。</w:t>
            </w:r>
          </w:p>
          <w:p>
            <w:pPr>
              <w:widowControl/>
              <w:jc w:val="left"/>
              <w:rPr>
                <w:rFonts w:ascii="宋体" w:hAnsi="宋体" w:cs="宋体"/>
                <w:kern w:val="0"/>
                <w:szCs w:val="21"/>
              </w:rPr>
            </w:pPr>
            <w:r>
              <w:rPr>
                <w:rFonts w:hint="eastAsia" w:ascii="宋体" w:hAnsi="宋体" w:cs="宋体"/>
                <w:kern w:val="0"/>
                <w:szCs w:val="21"/>
              </w:rPr>
              <w:t>2、除项目负责人外，其他专业人员配备：</w:t>
            </w:r>
          </w:p>
          <w:p>
            <w:pPr>
              <w:widowControl/>
              <w:jc w:val="left"/>
              <w:rPr>
                <w:rFonts w:ascii="宋体" w:hAnsi="宋体" w:cs="宋体"/>
                <w:kern w:val="0"/>
                <w:szCs w:val="21"/>
              </w:rPr>
            </w:pPr>
            <w:r>
              <w:rPr>
                <w:rFonts w:hint="eastAsia" w:ascii="宋体" w:hAnsi="宋体" w:cs="宋体"/>
                <w:kern w:val="0"/>
                <w:szCs w:val="21"/>
              </w:rPr>
              <w:t>①具备海洋环境或海洋工程相关专业高级职称，每人1分，最高6分；中级职称的，每人0.5分，最高1分；本项最高7分。</w:t>
            </w:r>
          </w:p>
          <w:p>
            <w:pPr>
              <w:widowControl/>
              <w:jc w:val="left"/>
              <w:rPr>
                <w:rFonts w:ascii="宋体" w:hAnsi="宋体" w:cs="宋体"/>
                <w:kern w:val="0"/>
                <w:szCs w:val="21"/>
              </w:rPr>
            </w:pPr>
            <w:r>
              <w:rPr>
                <w:rFonts w:hint="eastAsia" w:ascii="宋体" w:hAnsi="宋体" w:cs="宋体"/>
                <w:kern w:val="0"/>
                <w:szCs w:val="21"/>
              </w:rPr>
              <w:t>以上人员同时具备咨询师工程师（投资）资格每人加2分，最多加8分。</w:t>
            </w:r>
          </w:p>
          <w:p>
            <w:pPr>
              <w:widowControl/>
              <w:jc w:val="left"/>
              <w:rPr>
                <w:rFonts w:ascii="宋体" w:hAnsi="宋体" w:cs="宋体"/>
                <w:kern w:val="0"/>
                <w:szCs w:val="21"/>
              </w:rPr>
            </w:pPr>
            <w:r>
              <w:rPr>
                <w:rFonts w:hint="eastAsia" w:ascii="宋体" w:hAnsi="宋体" w:cs="宋体"/>
                <w:kern w:val="0"/>
                <w:szCs w:val="21"/>
              </w:rPr>
              <w:t>满分15分</w:t>
            </w:r>
          </w:p>
          <w:p>
            <w:pPr>
              <w:widowControl/>
              <w:jc w:val="left"/>
            </w:pPr>
            <w:r>
              <w:rPr>
                <w:rFonts w:hint="eastAsia" w:ascii="宋体" w:hAnsi="宋体" w:cs="宋体"/>
                <w:kern w:val="0"/>
                <w:szCs w:val="21"/>
              </w:rPr>
              <w:t>证明材料：提供相应职称证书、咨询工程师（投资）登记证书复印件和个人在本单位缴纳2019年11月至2020年3月份社保证明材料复印件加盖公章。</w:t>
            </w:r>
          </w:p>
        </w:tc>
        <w:tc>
          <w:tcPr>
            <w:tcW w:w="992" w:type="dxa"/>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1" w:type="dxa"/>
            <w:vAlign w:val="center"/>
          </w:tcPr>
          <w:p>
            <w:pPr>
              <w:spacing w:line="360" w:lineRule="auto"/>
            </w:pPr>
            <w:r>
              <w:rPr>
                <w:rFonts w:hint="eastAsia"/>
              </w:rPr>
              <w:t>2</w:t>
            </w:r>
          </w:p>
        </w:tc>
        <w:tc>
          <w:tcPr>
            <w:tcW w:w="1488" w:type="dxa"/>
            <w:vAlign w:val="center"/>
          </w:tcPr>
          <w:p>
            <w:pPr>
              <w:spacing w:line="360" w:lineRule="auto"/>
            </w:pPr>
            <w:r>
              <w:rPr>
                <w:rFonts w:hint="eastAsia"/>
              </w:rPr>
              <w:t>类似业绩</w:t>
            </w:r>
          </w:p>
        </w:tc>
        <w:tc>
          <w:tcPr>
            <w:tcW w:w="993" w:type="dxa"/>
            <w:vAlign w:val="center"/>
          </w:tcPr>
          <w:p>
            <w:pPr>
              <w:spacing w:line="360" w:lineRule="auto"/>
              <w:jc w:val="center"/>
            </w:pPr>
            <w:r>
              <w:rPr>
                <w:rFonts w:hint="eastAsia"/>
              </w:rPr>
              <w:t>30</w:t>
            </w:r>
          </w:p>
        </w:tc>
        <w:tc>
          <w:tcPr>
            <w:tcW w:w="4961" w:type="dxa"/>
            <w:vAlign w:val="center"/>
          </w:tcPr>
          <w:p>
            <w:pPr>
              <w:widowControl/>
              <w:jc w:val="left"/>
              <w:rPr>
                <w:rFonts w:ascii="宋体" w:hAnsi="宋体" w:cs="宋体"/>
                <w:kern w:val="0"/>
                <w:szCs w:val="21"/>
              </w:rPr>
            </w:pPr>
            <w:r>
              <w:rPr>
                <w:rFonts w:hint="eastAsia" w:ascii="宋体" w:hAnsi="宋体" w:cs="宋体"/>
                <w:kern w:val="0"/>
                <w:szCs w:val="21"/>
              </w:rPr>
              <w:t>1、供应商近5年承担过海域环境承载力监测预警评估、海域生态红线校核优化、近岸海域海洋生态环境风险评估及对策研究及类似项目，每具有1项得5分，本项最高得15分。</w:t>
            </w:r>
          </w:p>
          <w:p>
            <w:pPr>
              <w:widowControl/>
              <w:jc w:val="left"/>
              <w:rPr>
                <w:rFonts w:ascii="宋体" w:hAnsi="宋体" w:cs="宋体"/>
                <w:kern w:val="0"/>
                <w:szCs w:val="21"/>
              </w:rPr>
            </w:pPr>
            <w:r>
              <w:rPr>
                <w:rFonts w:hint="eastAsia" w:ascii="宋体" w:hAnsi="宋体" w:cs="宋体"/>
                <w:kern w:val="0"/>
                <w:szCs w:val="21"/>
              </w:rPr>
              <w:t>2、供应商近5年承担过围填海、旅游娱乐用海、养殖用海基准价格研究、海域定级研究和水产养殖尾水排放要求制定的相关类似项目的，每具有1项得3分，本项最高得15分。</w:t>
            </w:r>
          </w:p>
          <w:p>
            <w:pPr>
              <w:widowControl/>
              <w:jc w:val="left"/>
            </w:pPr>
            <w:r>
              <w:rPr>
                <w:rFonts w:hint="eastAsia" w:ascii="宋体" w:hAnsi="宋体" w:cs="宋体"/>
                <w:kern w:val="0"/>
                <w:szCs w:val="21"/>
              </w:rPr>
              <w:t>证明材料：提供合同协议书复印件（提供项目名称、金额及时间等关键页）或项目结题材料或论文等相关证明材料复印件并加盖公章。</w:t>
            </w:r>
          </w:p>
        </w:tc>
        <w:tc>
          <w:tcPr>
            <w:tcW w:w="992" w:type="dxa"/>
            <w:vAlign w:val="center"/>
          </w:tcPr>
          <w:p>
            <w:pPr>
              <w:spacing w:line="360" w:lineRule="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11" w:type="dxa"/>
            <w:vAlign w:val="center"/>
          </w:tcPr>
          <w:p>
            <w:pPr>
              <w:spacing w:line="360" w:lineRule="auto"/>
            </w:pPr>
            <w:r>
              <w:rPr>
                <w:rFonts w:hint="eastAsia"/>
              </w:rPr>
              <w:t>3</w:t>
            </w:r>
          </w:p>
        </w:tc>
        <w:tc>
          <w:tcPr>
            <w:tcW w:w="1488" w:type="dxa"/>
            <w:vAlign w:val="center"/>
          </w:tcPr>
          <w:p>
            <w:pPr>
              <w:spacing w:line="360" w:lineRule="auto"/>
            </w:pPr>
            <w:r>
              <w:rPr>
                <w:rFonts w:hint="eastAsia"/>
              </w:rPr>
              <w:t>单位资</w:t>
            </w:r>
            <w:bookmarkStart w:id="188" w:name="_GoBack"/>
            <w:r>
              <w:rPr>
                <w:rFonts w:hint="eastAsia"/>
              </w:rPr>
              <w:t>信</w:t>
            </w:r>
            <w:bookmarkEnd w:id="188"/>
          </w:p>
        </w:tc>
        <w:tc>
          <w:tcPr>
            <w:tcW w:w="993" w:type="dxa"/>
            <w:vAlign w:val="center"/>
          </w:tcPr>
          <w:p>
            <w:pPr>
              <w:spacing w:line="360" w:lineRule="auto"/>
              <w:jc w:val="center"/>
            </w:pPr>
            <w:r>
              <w:rPr>
                <w:rFonts w:hint="eastAsia"/>
              </w:rPr>
              <w:t>5</w:t>
            </w:r>
          </w:p>
        </w:tc>
        <w:tc>
          <w:tcPr>
            <w:tcW w:w="4961" w:type="dxa"/>
            <w:vAlign w:val="center"/>
          </w:tcPr>
          <w:p>
            <w:pPr>
              <w:widowControl/>
              <w:jc w:val="left"/>
              <w:rPr>
                <w:rFonts w:ascii="宋体" w:hAnsi="宋体" w:cs="宋体"/>
                <w:kern w:val="0"/>
                <w:sz w:val="22"/>
                <w:szCs w:val="22"/>
              </w:rPr>
            </w:pPr>
            <w:r>
              <w:rPr>
                <w:rFonts w:hint="eastAsia" w:ascii="宋体" w:hAnsi="宋体" w:cs="宋体"/>
                <w:kern w:val="0"/>
                <w:sz w:val="22"/>
                <w:szCs w:val="22"/>
              </w:rPr>
              <w:t>供应商具有有效的乙级及以上工程咨询单位资信证书的得5分；</w:t>
            </w:r>
          </w:p>
          <w:p>
            <w:pPr>
              <w:widowControl/>
              <w:jc w:val="left"/>
            </w:pPr>
            <w:r>
              <w:rPr>
                <w:rFonts w:hint="eastAsia" w:ascii="宋体" w:hAnsi="宋体" w:cs="宋体"/>
                <w:kern w:val="0"/>
                <w:sz w:val="22"/>
                <w:szCs w:val="22"/>
              </w:rPr>
              <w:t>证明材料：提供资信证书复印件加盖公章。不提供不得分。</w:t>
            </w:r>
          </w:p>
        </w:tc>
        <w:tc>
          <w:tcPr>
            <w:tcW w:w="992" w:type="dxa"/>
            <w:vAlign w:val="center"/>
          </w:tcPr>
          <w:p>
            <w:pPr>
              <w:spacing w:line="360" w:lineRule="auto"/>
            </w:pPr>
          </w:p>
        </w:tc>
      </w:tr>
    </w:tbl>
    <w:p>
      <w:pPr>
        <w:tabs>
          <w:tab w:val="left" w:pos="-94"/>
          <w:tab w:val="left" w:pos="428"/>
        </w:tabs>
        <w:adjustRightInd w:val="0"/>
        <w:spacing w:line="360" w:lineRule="auto"/>
        <w:ind w:left="23" w:leftChars="11"/>
        <w:jc w:val="center"/>
        <w:textAlignment w:val="baseline"/>
        <w:outlineLvl w:val="1"/>
        <w:rPr>
          <w:b/>
          <w:sz w:val="28"/>
          <w:szCs w:val="28"/>
        </w:rPr>
      </w:pPr>
      <w:bookmarkStart w:id="97" w:name="_Toc13114"/>
      <w:r>
        <w:rPr>
          <w:rFonts w:hint="eastAsia"/>
          <w:b/>
          <w:sz w:val="28"/>
          <w:szCs w:val="28"/>
        </w:rPr>
        <w:t xml:space="preserve">附件四 </w:t>
      </w:r>
      <w:r>
        <w:rPr>
          <w:b/>
          <w:sz w:val="28"/>
          <w:szCs w:val="28"/>
        </w:rPr>
        <w:t>技术评审因素及分值分配</w:t>
      </w:r>
      <w:bookmarkEnd w:id="97"/>
    </w:p>
    <w:p>
      <w:pPr>
        <w:tabs>
          <w:tab w:val="left" w:pos="-94"/>
          <w:tab w:val="left" w:pos="1620"/>
        </w:tabs>
        <w:adjustRightInd w:val="0"/>
        <w:spacing w:line="360" w:lineRule="auto"/>
        <w:ind w:left="23" w:leftChars="11"/>
        <w:jc w:val="center"/>
        <w:textAlignment w:val="baseline"/>
        <w:rPr>
          <w:rFonts w:ascii="宋体" w:hAnsi="宋体"/>
          <w:b/>
          <w:szCs w:val="21"/>
        </w:rPr>
      </w:pPr>
      <w:r>
        <w:rPr>
          <w:rFonts w:hint="eastAsia" w:ascii="宋体" w:hAnsi="宋体"/>
          <w:b/>
          <w:szCs w:val="21"/>
        </w:rPr>
        <w:t>（满分30分）</w:t>
      </w:r>
    </w:p>
    <w:tbl>
      <w:tblPr>
        <w:tblStyle w:val="73"/>
        <w:tblW w:w="8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4"/>
        <w:gridCol w:w="1633"/>
        <w:gridCol w:w="1242"/>
        <w:gridCol w:w="4668"/>
        <w:gridCol w:w="8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blHeader/>
          <w:jc w:val="center"/>
        </w:trPr>
        <w:tc>
          <w:tcPr>
            <w:tcW w:w="504" w:type="dxa"/>
            <w:vAlign w:val="center"/>
          </w:tcPr>
          <w:p>
            <w:pPr>
              <w:spacing w:line="360" w:lineRule="auto"/>
              <w:jc w:val="center"/>
            </w:pPr>
            <w:r>
              <w:rPr>
                <w:rFonts w:hint="eastAsia"/>
              </w:rPr>
              <w:t>序号</w:t>
            </w:r>
          </w:p>
        </w:tc>
        <w:tc>
          <w:tcPr>
            <w:tcW w:w="1633" w:type="dxa"/>
            <w:vAlign w:val="center"/>
          </w:tcPr>
          <w:p>
            <w:pPr>
              <w:spacing w:line="360" w:lineRule="auto"/>
              <w:jc w:val="center"/>
            </w:pPr>
            <w:r>
              <w:rPr>
                <w:rFonts w:hint="eastAsia"/>
              </w:rPr>
              <w:t>项目</w:t>
            </w:r>
          </w:p>
        </w:tc>
        <w:tc>
          <w:tcPr>
            <w:tcW w:w="1242" w:type="dxa"/>
            <w:vAlign w:val="center"/>
          </w:tcPr>
          <w:p>
            <w:pPr>
              <w:spacing w:line="360" w:lineRule="auto"/>
              <w:jc w:val="center"/>
            </w:pPr>
            <w:r>
              <w:rPr>
                <w:rFonts w:hint="eastAsia"/>
              </w:rPr>
              <w:t>分值</w:t>
            </w:r>
          </w:p>
        </w:tc>
        <w:tc>
          <w:tcPr>
            <w:tcW w:w="4668" w:type="dxa"/>
            <w:vAlign w:val="center"/>
          </w:tcPr>
          <w:p>
            <w:pPr>
              <w:spacing w:line="360" w:lineRule="auto"/>
              <w:jc w:val="center"/>
            </w:pPr>
            <w:r>
              <w:rPr>
                <w:rFonts w:hint="eastAsia"/>
              </w:rPr>
              <w:t>评分标准</w:t>
            </w:r>
          </w:p>
        </w:tc>
        <w:tc>
          <w:tcPr>
            <w:tcW w:w="869" w:type="dxa"/>
            <w:vAlign w:val="center"/>
          </w:tcPr>
          <w:p>
            <w:pPr>
              <w:spacing w:line="360" w:lineRule="auto"/>
              <w:jc w:val="center"/>
            </w:pPr>
            <w:r>
              <w:rPr>
                <w:rFonts w:hint="eastAsia"/>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blHeader/>
          <w:jc w:val="center"/>
        </w:trPr>
        <w:tc>
          <w:tcPr>
            <w:tcW w:w="504" w:type="dxa"/>
            <w:vMerge w:val="restart"/>
            <w:vAlign w:val="center"/>
          </w:tcPr>
          <w:p>
            <w:pPr>
              <w:spacing w:line="360" w:lineRule="auto"/>
            </w:pPr>
            <w:r>
              <w:rPr>
                <w:rFonts w:hint="eastAsia"/>
              </w:rPr>
              <w:t>1</w:t>
            </w:r>
          </w:p>
          <w:p>
            <w:pPr>
              <w:spacing w:line="360" w:lineRule="auto"/>
            </w:pPr>
          </w:p>
        </w:tc>
        <w:tc>
          <w:tcPr>
            <w:tcW w:w="1633" w:type="dxa"/>
            <w:vMerge w:val="restart"/>
            <w:vAlign w:val="center"/>
          </w:tcPr>
          <w:p>
            <w:pPr>
              <w:spacing w:line="360" w:lineRule="auto"/>
              <w:jc w:val="center"/>
            </w:pPr>
            <w:r>
              <w:rPr>
                <w:rFonts w:hint="eastAsia" w:ascii="宋体" w:hAnsi="宋体" w:cs="宋体"/>
                <w:kern w:val="0"/>
                <w:sz w:val="24"/>
              </w:rPr>
              <w:t>技术方案</w:t>
            </w:r>
          </w:p>
        </w:tc>
        <w:tc>
          <w:tcPr>
            <w:tcW w:w="1242" w:type="dxa"/>
            <w:vAlign w:val="center"/>
          </w:tcPr>
          <w:p>
            <w:pPr>
              <w:widowControl/>
              <w:jc w:val="center"/>
              <w:rPr>
                <w:rFonts w:ascii="宋体" w:hAnsi="宋体" w:cs="宋体"/>
                <w:kern w:val="0"/>
                <w:sz w:val="24"/>
              </w:rPr>
            </w:pPr>
            <w:r>
              <w:rPr>
                <w:rFonts w:hint="eastAsia" w:ascii="宋体" w:hAnsi="宋体" w:cs="宋体"/>
                <w:kern w:val="0"/>
                <w:sz w:val="24"/>
              </w:rPr>
              <w:t>10</w:t>
            </w:r>
          </w:p>
        </w:tc>
        <w:tc>
          <w:tcPr>
            <w:tcW w:w="4668"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根据项目工作内容、用海方式、工作范围等用户需求做出深入分析：</w:t>
            </w:r>
          </w:p>
          <w:p>
            <w:pPr>
              <w:widowControl/>
              <w:spacing w:line="360" w:lineRule="auto"/>
              <w:jc w:val="left"/>
              <w:rPr>
                <w:rFonts w:ascii="宋体" w:hAnsi="宋体" w:cs="宋体"/>
                <w:kern w:val="0"/>
                <w:szCs w:val="21"/>
              </w:rPr>
            </w:pPr>
            <w:r>
              <w:rPr>
                <w:rFonts w:hint="eastAsia" w:ascii="宋体" w:hAnsi="宋体" w:cs="宋体"/>
                <w:kern w:val="0"/>
                <w:szCs w:val="21"/>
              </w:rPr>
              <w:t>（1）思路清晰，实施步骤明晰，措施完善可行，对实施过程有规范的管理（6-10】分；</w:t>
            </w:r>
          </w:p>
          <w:p>
            <w:pPr>
              <w:widowControl/>
              <w:spacing w:line="360" w:lineRule="auto"/>
              <w:jc w:val="left"/>
              <w:rPr>
                <w:rFonts w:ascii="宋体" w:hAnsi="宋体" w:cs="宋体"/>
                <w:kern w:val="0"/>
                <w:szCs w:val="21"/>
              </w:rPr>
            </w:pPr>
            <w:r>
              <w:rPr>
                <w:rFonts w:hint="eastAsia" w:ascii="宋体" w:hAnsi="宋体" w:cs="宋体"/>
                <w:kern w:val="0"/>
                <w:szCs w:val="21"/>
              </w:rPr>
              <w:t>（2）分析思路及实施步骤不够清晰，措施可行性、实施过程管理的规范性较好得（3-6】分；</w:t>
            </w:r>
          </w:p>
          <w:p>
            <w:pPr>
              <w:widowControl/>
              <w:spacing w:line="360" w:lineRule="auto"/>
              <w:jc w:val="left"/>
              <w:rPr>
                <w:rFonts w:ascii="宋体" w:hAnsi="宋体" w:cs="宋体"/>
                <w:kern w:val="0"/>
                <w:sz w:val="24"/>
              </w:rPr>
            </w:pPr>
            <w:r>
              <w:rPr>
                <w:rFonts w:hint="eastAsia" w:ascii="宋体" w:hAnsi="宋体" w:cs="宋体"/>
                <w:kern w:val="0"/>
                <w:szCs w:val="21"/>
              </w:rPr>
              <w:t>（3）思路及实施步骤较差，措施的完善性及对实施过程的规范管理较差得（0-3】分。</w:t>
            </w:r>
          </w:p>
        </w:tc>
        <w:tc>
          <w:tcPr>
            <w:tcW w:w="86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6" w:hRule="atLeast"/>
          <w:tblHeader/>
          <w:jc w:val="center"/>
        </w:trPr>
        <w:tc>
          <w:tcPr>
            <w:tcW w:w="504" w:type="dxa"/>
            <w:vMerge w:val="continue"/>
            <w:vAlign w:val="center"/>
          </w:tcPr>
          <w:p>
            <w:pPr>
              <w:spacing w:line="360" w:lineRule="auto"/>
            </w:pPr>
          </w:p>
        </w:tc>
        <w:tc>
          <w:tcPr>
            <w:tcW w:w="1633" w:type="dxa"/>
            <w:vMerge w:val="continue"/>
            <w:vAlign w:val="center"/>
          </w:tcPr>
          <w:p>
            <w:pPr>
              <w:spacing w:line="360" w:lineRule="auto"/>
            </w:pPr>
          </w:p>
        </w:tc>
        <w:tc>
          <w:tcPr>
            <w:tcW w:w="1242" w:type="dxa"/>
            <w:vAlign w:val="center"/>
          </w:tcPr>
          <w:p>
            <w:pPr>
              <w:widowControl/>
              <w:jc w:val="center"/>
              <w:rPr>
                <w:rFonts w:ascii="宋体" w:hAnsi="宋体" w:cs="宋体"/>
                <w:kern w:val="0"/>
                <w:sz w:val="24"/>
              </w:rPr>
            </w:pPr>
            <w:r>
              <w:rPr>
                <w:rFonts w:hint="eastAsia" w:ascii="宋体" w:hAnsi="宋体" w:cs="宋体"/>
                <w:kern w:val="0"/>
                <w:sz w:val="24"/>
              </w:rPr>
              <w:t>8</w:t>
            </w:r>
          </w:p>
        </w:tc>
        <w:tc>
          <w:tcPr>
            <w:tcW w:w="4668"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为了确保项目的顺利完成，供应商应针对项目提出关键技术问题所在，并具有专题研究方法：</w:t>
            </w:r>
          </w:p>
          <w:p>
            <w:pPr>
              <w:widowControl/>
              <w:spacing w:line="360" w:lineRule="auto"/>
              <w:jc w:val="left"/>
              <w:rPr>
                <w:rFonts w:ascii="宋体" w:hAnsi="宋体" w:cs="宋体"/>
                <w:kern w:val="0"/>
                <w:szCs w:val="21"/>
              </w:rPr>
            </w:pPr>
            <w:r>
              <w:rPr>
                <w:rFonts w:hint="eastAsia" w:ascii="宋体" w:hAnsi="宋体" w:cs="宋体"/>
                <w:kern w:val="0"/>
                <w:szCs w:val="21"/>
              </w:rPr>
              <w:t>关键问题、研究方法科学、合理的得（5-8】分；</w:t>
            </w:r>
          </w:p>
          <w:p>
            <w:pPr>
              <w:widowControl/>
              <w:spacing w:line="360" w:lineRule="auto"/>
              <w:jc w:val="left"/>
              <w:rPr>
                <w:rFonts w:ascii="宋体" w:hAnsi="宋体" w:cs="宋体"/>
                <w:kern w:val="0"/>
                <w:szCs w:val="21"/>
              </w:rPr>
            </w:pPr>
            <w:r>
              <w:rPr>
                <w:rFonts w:hint="eastAsia" w:ascii="宋体" w:hAnsi="宋体" w:cs="宋体"/>
                <w:kern w:val="0"/>
                <w:szCs w:val="21"/>
              </w:rPr>
              <w:t>关键问题、研究方法较科学、合理的得（3-5】分；</w:t>
            </w:r>
          </w:p>
          <w:p>
            <w:pPr>
              <w:widowControl/>
              <w:spacing w:line="360" w:lineRule="auto"/>
              <w:jc w:val="left"/>
              <w:rPr>
                <w:rFonts w:ascii="宋体" w:hAnsi="宋体" w:cs="宋体"/>
                <w:kern w:val="0"/>
                <w:sz w:val="24"/>
              </w:rPr>
            </w:pPr>
            <w:r>
              <w:rPr>
                <w:rFonts w:hint="eastAsia" w:ascii="宋体" w:hAnsi="宋体" w:cs="宋体"/>
                <w:kern w:val="0"/>
                <w:szCs w:val="21"/>
              </w:rPr>
              <w:t>关键问题、研究方法差的得（0-2】分。</w:t>
            </w:r>
          </w:p>
        </w:tc>
        <w:tc>
          <w:tcPr>
            <w:tcW w:w="869" w:type="dxa"/>
            <w:vAlign w:val="center"/>
          </w:tcPr>
          <w:p>
            <w:pPr>
              <w:spacing w:line="360" w:lineRule="auto"/>
              <w:jc w:val="center"/>
              <w:rPr>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5" w:hRule="atLeast"/>
          <w:tblHeader/>
          <w:jc w:val="center"/>
        </w:trPr>
        <w:tc>
          <w:tcPr>
            <w:tcW w:w="504" w:type="dxa"/>
            <w:vMerge w:val="continue"/>
            <w:vAlign w:val="center"/>
          </w:tcPr>
          <w:p>
            <w:pPr>
              <w:spacing w:line="360" w:lineRule="auto"/>
            </w:pPr>
          </w:p>
        </w:tc>
        <w:tc>
          <w:tcPr>
            <w:tcW w:w="1633" w:type="dxa"/>
            <w:vMerge w:val="continue"/>
            <w:vAlign w:val="center"/>
          </w:tcPr>
          <w:p>
            <w:pPr>
              <w:spacing w:line="360" w:lineRule="auto"/>
            </w:pPr>
          </w:p>
        </w:tc>
        <w:tc>
          <w:tcPr>
            <w:tcW w:w="1242" w:type="dxa"/>
            <w:vAlign w:val="center"/>
          </w:tcPr>
          <w:p>
            <w:pPr>
              <w:widowControl/>
              <w:jc w:val="center"/>
              <w:rPr>
                <w:rFonts w:ascii="宋体" w:hAnsi="宋体" w:cs="宋体"/>
                <w:kern w:val="0"/>
                <w:sz w:val="24"/>
              </w:rPr>
            </w:pPr>
            <w:r>
              <w:rPr>
                <w:rFonts w:hint="eastAsia" w:ascii="宋体" w:hAnsi="宋体" w:cs="宋体"/>
                <w:kern w:val="0"/>
                <w:sz w:val="24"/>
              </w:rPr>
              <w:t>4</w:t>
            </w:r>
          </w:p>
        </w:tc>
        <w:tc>
          <w:tcPr>
            <w:tcW w:w="4668"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主要根据供应商具体的进度、计划安排时间、保证进度的承诺等方面考虑。</w:t>
            </w:r>
          </w:p>
          <w:p>
            <w:pPr>
              <w:widowControl/>
              <w:spacing w:line="360" w:lineRule="auto"/>
              <w:jc w:val="left"/>
              <w:rPr>
                <w:rFonts w:ascii="宋体" w:hAnsi="宋体" w:cs="宋体"/>
                <w:kern w:val="0"/>
                <w:szCs w:val="21"/>
              </w:rPr>
            </w:pPr>
            <w:r>
              <w:rPr>
                <w:rFonts w:hint="eastAsia" w:ascii="宋体" w:hAnsi="宋体" w:cs="宋体"/>
                <w:kern w:val="0"/>
                <w:szCs w:val="21"/>
              </w:rPr>
              <w:t>总体进度计划和各阶段进度计划安排合理可行，保障措施可靠得（3-4】分；</w:t>
            </w:r>
          </w:p>
          <w:p>
            <w:pPr>
              <w:widowControl/>
              <w:spacing w:line="360" w:lineRule="auto"/>
              <w:jc w:val="left"/>
              <w:rPr>
                <w:rFonts w:ascii="宋体" w:hAnsi="宋体" w:cs="宋体"/>
                <w:kern w:val="0"/>
                <w:szCs w:val="21"/>
              </w:rPr>
            </w:pPr>
            <w:r>
              <w:rPr>
                <w:rFonts w:hint="eastAsia" w:ascii="宋体" w:hAnsi="宋体" w:cs="宋体"/>
                <w:kern w:val="0"/>
                <w:szCs w:val="21"/>
              </w:rPr>
              <w:t>总体进度计划和各阶段进度计划可行性、保障措施完善性不够具体得（2-3】分；</w:t>
            </w:r>
          </w:p>
          <w:p>
            <w:pPr>
              <w:widowControl/>
              <w:spacing w:line="360" w:lineRule="auto"/>
              <w:jc w:val="left"/>
            </w:pPr>
            <w:r>
              <w:rPr>
                <w:rFonts w:hint="eastAsia" w:ascii="宋体" w:hAnsi="宋体" w:cs="宋体"/>
                <w:kern w:val="0"/>
                <w:szCs w:val="21"/>
              </w:rPr>
              <w:t>措施安排笼统得（0～2】分。</w:t>
            </w:r>
          </w:p>
        </w:tc>
        <w:tc>
          <w:tcPr>
            <w:tcW w:w="86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blHeader/>
          <w:jc w:val="center"/>
        </w:trPr>
        <w:tc>
          <w:tcPr>
            <w:tcW w:w="504" w:type="dxa"/>
            <w:vMerge w:val="continue"/>
            <w:vAlign w:val="center"/>
          </w:tcPr>
          <w:p>
            <w:pPr>
              <w:spacing w:line="360" w:lineRule="auto"/>
            </w:pPr>
          </w:p>
        </w:tc>
        <w:tc>
          <w:tcPr>
            <w:tcW w:w="1633" w:type="dxa"/>
            <w:vMerge w:val="continue"/>
            <w:vAlign w:val="center"/>
          </w:tcPr>
          <w:p>
            <w:pPr>
              <w:spacing w:line="360" w:lineRule="auto"/>
            </w:pPr>
          </w:p>
        </w:tc>
        <w:tc>
          <w:tcPr>
            <w:tcW w:w="1242" w:type="dxa"/>
            <w:vAlign w:val="center"/>
          </w:tcPr>
          <w:p>
            <w:pPr>
              <w:widowControl/>
              <w:jc w:val="center"/>
              <w:rPr>
                <w:rFonts w:ascii="宋体" w:hAnsi="宋体" w:cs="宋体"/>
                <w:kern w:val="0"/>
                <w:sz w:val="24"/>
              </w:rPr>
            </w:pPr>
            <w:r>
              <w:rPr>
                <w:rFonts w:hint="eastAsia" w:ascii="宋体" w:hAnsi="宋体" w:cs="宋体"/>
                <w:kern w:val="0"/>
                <w:sz w:val="24"/>
              </w:rPr>
              <w:t>4</w:t>
            </w:r>
          </w:p>
        </w:tc>
        <w:tc>
          <w:tcPr>
            <w:tcW w:w="4668"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服务质量保证措施、保密措施：</w:t>
            </w:r>
          </w:p>
          <w:p>
            <w:pPr>
              <w:widowControl/>
              <w:spacing w:line="360" w:lineRule="auto"/>
              <w:jc w:val="left"/>
              <w:rPr>
                <w:rFonts w:ascii="宋体" w:hAnsi="宋体" w:cs="宋体"/>
                <w:kern w:val="0"/>
                <w:szCs w:val="21"/>
              </w:rPr>
            </w:pPr>
            <w:r>
              <w:rPr>
                <w:rFonts w:hint="eastAsia" w:ascii="宋体" w:hAnsi="宋体" w:cs="宋体"/>
                <w:kern w:val="0"/>
                <w:szCs w:val="21"/>
              </w:rPr>
              <w:t>质量目标明确，项目整体及分项工作有完整的质量保证体系，在工作时效性及违约承诺方面可行完善得（3-4】分；</w:t>
            </w:r>
          </w:p>
          <w:p>
            <w:pPr>
              <w:widowControl/>
              <w:spacing w:line="360" w:lineRule="auto"/>
              <w:jc w:val="left"/>
              <w:rPr>
                <w:rFonts w:ascii="宋体" w:hAnsi="宋体" w:cs="宋体"/>
                <w:kern w:val="0"/>
                <w:szCs w:val="21"/>
              </w:rPr>
            </w:pPr>
            <w:r>
              <w:rPr>
                <w:rFonts w:hint="eastAsia" w:ascii="宋体" w:hAnsi="宋体" w:cs="宋体"/>
                <w:kern w:val="0"/>
                <w:szCs w:val="21"/>
              </w:rPr>
              <w:t>质量保证体系及工作的时效性不具体，违约承诺可行性一般得（2-3】分；</w:t>
            </w:r>
          </w:p>
          <w:p>
            <w:pPr>
              <w:widowControl/>
              <w:spacing w:line="360" w:lineRule="auto"/>
              <w:jc w:val="left"/>
              <w:rPr>
                <w:rFonts w:ascii="宋体" w:hAnsi="宋体" w:cs="宋体"/>
                <w:kern w:val="0"/>
                <w:szCs w:val="21"/>
              </w:rPr>
            </w:pPr>
            <w:r>
              <w:rPr>
                <w:rFonts w:hint="eastAsia" w:ascii="宋体" w:hAnsi="宋体" w:cs="宋体"/>
                <w:kern w:val="0"/>
                <w:szCs w:val="21"/>
              </w:rPr>
              <w:t>质量保证体系及工作的时效性较差，违约承诺较差得（0～2】。</w:t>
            </w:r>
          </w:p>
        </w:tc>
        <w:tc>
          <w:tcPr>
            <w:tcW w:w="869" w:type="dxa"/>
            <w:vAlign w:val="center"/>
          </w:tcPr>
          <w:p>
            <w:pPr>
              <w:spacing w:line="360" w:lineRule="auto"/>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1" w:hRule="atLeast"/>
          <w:tblHeader/>
          <w:jc w:val="center"/>
        </w:trPr>
        <w:tc>
          <w:tcPr>
            <w:tcW w:w="504" w:type="dxa"/>
            <w:vMerge w:val="continue"/>
            <w:vAlign w:val="center"/>
          </w:tcPr>
          <w:p>
            <w:pPr>
              <w:spacing w:line="360" w:lineRule="auto"/>
            </w:pPr>
          </w:p>
        </w:tc>
        <w:tc>
          <w:tcPr>
            <w:tcW w:w="1633" w:type="dxa"/>
            <w:vMerge w:val="continue"/>
            <w:vAlign w:val="center"/>
          </w:tcPr>
          <w:p>
            <w:pPr>
              <w:spacing w:line="360" w:lineRule="auto"/>
            </w:pPr>
          </w:p>
        </w:tc>
        <w:tc>
          <w:tcPr>
            <w:tcW w:w="1242" w:type="dxa"/>
            <w:vAlign w:val="center"/>
          </w:tcPr>
          <w:p>
            <w:pPr>
              <w:widowControl/>
              <w:jc w:val="center"/>
              <w:rPr>
                <w:rFonts w:ascii="宋体" w:hAnsi="宋体" w:cs="宋体"/>
                <w:kern w:val="0"/>
                <w:sz w:val="24"/>
              </w:rPr>
            </w:pPr>
            <w:r>
              <w:rPr>
                <w:rFonts w:hint="eastAsia" w:ascii="宋体" w:hAnsi="宋体" w:cs="宋体"/>
                <w:kern w:val="0"/>
                <w:sz w:val="24"/>
              </w:rPr>
              <w:t>4</w:t>
            </w:r>
          </w:p>
        </w:tc>
        <w:tc>
          <w:tcPr>
            <w:tcW w:w="4668" w:type="dxa"/>
            <w:vAlign w:val="center"/>
          </w:tcPr>
          <w:p>
            <w:pPr>
              <w:widowControl/>
              <w:spacing w:line="360" w:lineRule="auto"/>
              <w:jc w:val="left"/>
              <w:rPr>
                <w:rFonts w:ascii="宋体" w:hAnsi="宋体" w:cs="宋体"/>
                <w:kern w:val="0"/>
                <w:szCs w:val="21"/>
              </w:rPr>
            </w:pPr>
            <w:r>
              <w:rPr>
                <w:rFonts w:hint="eastAsia" w:ascii="宋体" w:hAnsi="宋体" w:cs="宋体"/>
                <w:kern w:val="0"/>
                <w:szCs w:val="21"/>
              </w:rPr>
              <w:t>服务承诺、服务标准详细周全合理。得（3-4】分；</w:t>
            </w:r>
          </w:p>
          <w:p>
            <w:pPr>
              <w:widowControl/>
              <w:spacing w:line="360" w:lineRule="auto"/>
              <w:jc w:val="left"/>
              <w:rPr>
                <w:rFonts w:ascii="宋体" w:hAnsi="宋体" w:cs="宋体"/>
                <w:kern w:val="0"/>
                <w:szCs w:val="21"/>
              </w:rPr>
            </w:pPr>
            <w:r>
              <w:rPr>
                <w:rFonts w:hint="eastAsia" w:ascii="宋体" w:hAnsi="宋体" w:cs="宋体"/>
                <w:kern w:val="0"/>
                <w:szCs w:val="21"/>
              </w:rPr>
              <w:t>服务承诺、服务标准不够明确。得（2-3】分；</w:t>
            </w:r>
          </w:p>
          <w:p>
            <w:pPr>
              <w:widowControl/>
              <w:spacing w:line="360" w:lineRule="auto"/>
              <w:jc w:val="left"/>
              <w:rPr>
                <w:rFonts w:ascii="宋体" w:hAnsi="宋体" w:cs="宋体"/>
                <w:kern w:val="0"/>
                <w:szCs w:val="21"/>
              </w:rPr>
            </w:pPr>
            <w:r>
              <w:rPr>
                <w:rFonts w:hint="eastAsia" w:ascii="宋体" w:hAnsi="宋体" w:cs="宋体"/>
                <w:kern w:val="0"/>
                <w:szCs w:val="21"/>
              </w:rPr>
              <w:t>服务承诺、服务标准较差。得（0-2】分。</w:t>
            </w:r>
          </w:p>
        </w:tc>
        <w:tc>
          <w:tcPr>
            <w:tcW w:w="869" w:type="dxa"/>
            <w:vAlign w:val="center"/>
          </w:tcPr>
          <w:p>
            <w:pPr>
              <w:spacing w:line="360" w:lineRule="auto"/>
              <w:jc w:val="center"/>
            </w:pPr>
          </w:p>
        </w:tc>
      </w:tr>
    </w:tbl>
    <w:p/>
    <w:p>
      <w:pPr>
        <w:rPr>
          <w:rFonts w:hAnsi="宋体" w:cs="黑体"/>
          <w:kern w:val="0"/>
          <w:sz w:val="24"/>
        </w:rPr>
      </w:pPr>
    </w:p>
    <w:p>
      <w:pPr>
        <w:rPr>
          <w:rFonts w:hAnsi="宋体" w:cs="黑体"/>
          <w:kern w:val="0"/>
          <w:sz w:val="24"/>
        </w:rPr>
      </w:pPr>
      <w:r>
        <w:rPr>
          <w:rFonts w:hint="eastAsia" w:hAnsi="宋体" w:cs="黑体"/>
          <w:kern w:val="0"/>
          <w:sz w:val="24"/>
        </w:rPr>
        <w:br w:type="page"/>
      </w:r>
    </w:p>
    <w:p>
      <w:pPr>
        <w:pStyle w:val="39"/>
        <w:snapToGrid w:val="0"/>
        <w:spacing w:after="156" w:afterLines="50"/>
        <w:jc w:val="center"/>
        <w:outlineLvl w:val="0"/>
        <w:rPr>
          <w:rFonts w:hAnsi="宋体" w:cs="黑体"/>
          <w:kern w:val="0"/>
          <w:sz w:val="24"/>
          <w:szCs w:val="24"/>
        </w:rPr>
      </w:pPr>
      <w:bookmarkStart w:id="98" w:name="_Toc1160"/>
      <w:r>
        <w:rPr>
          <w:rFonts w:hint="eastAsia" w:hAnsi="宋体" w:cs="黑体"/>
          <w:kern w:val="0"/>
          <w:sz w:val="24"/>
          <w:szCs w:val="24"/>
        </w:rPr>
        <w:t>第四章  合同条款</w:t>
      </w:r>
      <w:bookmarkEnd w:id="72"/>
      <w:bookmarkEnd w:id="98"/>
    </w:p>
    <w:p>
      <w:pPr>
        <w:spacing w:line="360" w:lineRule="auto"/>
        <w:jc w:val="center"/>
        <w:rPr>
          <w:bCs/>
          <w:sz w:val="32"/>
          <w:szCs w:val="32"/>
        </w:rPr>
      </w:pPr>
      <w:bookmarkStart w:id="99" w:name="_Toc7929"/>
      <w:r>
        <w:rPr>
          <w:rFonts w:hint="eastAsia"/>
          <w:bCs/>
          <w:sz w:val="32"/>
          <w:szCs w:val="32"/>
        </w:rPr>
        <w:t>海南省海域使用金地方标准制定、海域基准价格制定和评估技术规范编制</w:t>
      </w:r>
    </w:p>
    <w:p>
      <w:pPr>
        <w:spacing w:line="360" w:lineRule="auto"/>
        <w:jc w:val="center"/>
        <w:rPr>
          <w:b/>
          <w:bCs/>
          <w:sz w:val="44"/>
          <w:szCs w:val="44"/>
        </w:rPr>
      </w:pPr>
      <w:r>
        <w:rPr>
          <w:rFonts w:hint="eastAsia"/>
          <w:b/>
          <w:bCs/>
          <w:sz w:val="44"/>
          <w:szCs w:val="44"/>
        </w:rPr>
        <w:t>技术服务合同</w:t>
      </w:r>
    </w:p>
    <w:p>
      <w:pPr>
        <w:spacing w:line="360" w:lineRule="auto"/>
        <w:jc w:val="center"/>
        <w:rPr>
          <w:b/>
          <w:sz w:val="24"/>
        </w:rPr>
      </w:pPr>
    </w:p>
    <w:p>
      <w:pPr>
        <w:spacing w:line="360" w:lineRule="auto"/>
        <w:rPr>
          <w:sz w:val="24"/>
        </w:rPr>
      </w:pPr>
      <w:r>
        <w:rPr>
          <w:rFonts w:hint="eastAsia"/>
          <w:sz w:val="24"/>
        </w:rPr>
        <w:t>甲方</w:t>
      </w:r>
      <w:r>
        <w:rPr>
          <w:sz w:val="24"/>
        </w:rPr>
        <w:t>：</w:t>
      </w:r>
    </w:p>
    <w:p>
      <w:pPr>
        <w:spacing w:line="360" w:lineRule="auto"/>
        <w:rPr>
          <w:sz w:val="24"/>
        </w:rPr>
      </w:pPr>
      <w:r>
        <w:rPr>
          <w:rFonts w:hint="eastAsia"/>
          <w:sz w:val="24"/>
        </w:rPr>
        <w:t>乙方</w:t>
      </w:r>
      <w:r>
        <w:rPr>
          <w:sz w:val="24"/>
        </w:rPr>
        <w:t>：</w:t>
      </w:r>
    </w:p>
    <w:p>
      <w:pPr>
        <w:spacing w:line="360" w:lineRule="auto"/>
        <w:ind w:firstLine="480" w:firstLineChars="200"/>
        <w:rPr>
          <w:sz w:val="24"/>
        </w:rPr>
      </w:pPr>
      <w:r>
        <w:rPr>
          <w:rFonts w:hint="eastAsia"/>
          <w:sz w:val="24"/>
        </w:rPr>
        <w:t>甲乙双方根据海南省海域使用金地方标准制定、海域基准价格制定和评估技术规范编制项目（项目编号：GXTC-CZ-D1-2052014）采购结果及采购文件的要求，经协商一致，就乙方承担甲方的本项目一事达成如下技术服务合同：</w:t>
      </w:r>
    </w:p>
    <w:p>
      <w:pPr>
        <w:pStyle w:val="447"/>
        <w:ind w:firstLineChars="83"/>
        <w:rPr>
          <w:b/>
        </w:rPr>
      </w:pPr>
      <w:r>
        <w:rPr>
          <w:rFonts w:hint="eastAsia"/>
          <w:b/>
        </w:rPr>
        <w:t>一、合同组成说明</w:t>
      </w:r>
    </w:p>
    <w:p>
      <w:pPr>
        <w:spacing w:line="360" w:lineRule="auto"/>
        <w:ind w:firstLine="480" w:firstLineChars="200"/>
        <w:rPr>
          <w:rFonts w:ascii="宋体" w:hAnsi="宋体" w:cs="仿宋_GB2312"/>
          <w:sz w:val="24"/>
        </w:rPr>
      </w:pPr>
      <w:r>
        <w:rPr>
          <w:rFonts w:hint="eastAsia"/>
          <w:sz w:val="24"/>
        </w:rPr>
        <w:t>本政府采购合同所附下列文件是构成本政府采购合同不可分割的部分，</w:t>
      </w:r>
      <w:r>
        <w:rPr>
          <w:rFonts w:hint="eastAsia" w:ascii="宋体" w:hAnsi="宋体" w:cs="仿宋_GB2312"/>
          <w:sz w:val="24"/>
        </w:rPr>
        <w:t>效力先后顺序为：</w:t>
      </w:r>
    </w:p>
    <w:p>
      <w:pPr>
        <w:spacing w:line="360" w:lineRule="auto"/>
        <w:ind w:firstLine="480" w:firstLineChars="200"/>
        <w:rPr>
          <w:sz w:val="24"/>
        </w:rPr>
      </w:pPr>
      <w:r>
        <w:rPr>
          <w:rFonts w:hint="eastAsia"/>
          <w:sz w:val="24"/>
        </w:rPr>
        <w:t>1. 本合同及附件；</w:t>
      </w:r>
    </w:p>
    <w:p>
      <w:pPr>
        <w:spacing w:line="360" w:lineRule="auto"/>
        <w:ind w:firstLine="480" w:firstLineChars="200"/>
        <w:rPr>
          <w:sz w:val="24"/>
        </w:rPr>
      </w:pPr>
      <w:r>
        <w:rPr>
          <w:rFonts w:hint="eastAsia"/>
          <w:sz w:val="24"/>
        </w:rPr>
        <w:t>2、成交通知书；</w:t>
      </w:r>
    </w:p>
    <w:p>
      <w:pPr>
        <w:spacing w:line="360" w:lineRule="auto"/>
        <w:ind w:firstLine="480" w:firstLineChars="200"/>
        <w:rPr>
          <w:sz w:val="24"/>
        </w:rPr>
      </w:pPr>
      <w:r>
        <w:rPr>
          <w:rFonts w:hint="eastAsia"/>
          <w:sz w:val="24"/>
        </w:rPr>
        <w:t>3、竞争性磋商文件</w:t>
      </w:r>
    </w:p>
    <w:p>
      <w:pPr>
        <w:spacing w:line="360" w:lineRule="auto"/>
        <w:ind w:firstLine="480" w:firstLineChars="200"/>
        <w:rPr>
          <w:sz w:val="24"/>
        </w:rPr>
      </w:pPr>
      <w:r>
        <w:rPr>
          <w:rFonts w:hint="eastAsia"/>
          <w:sz w:val="24"/>
        </w:rPr>
        <w:t>4、响应文件；</w:t>
      </w:r>
    </w:p>
    <w:p>
      <w:pPr>
        <w:spacing w:line="360" w:lineRule="auto"/>
        <w:ind w:firstLine="480" w:firstLineChars="200"/>
        <w:rPr>
          <w:sz w:val="24"/>
        </w:rPr>
      </w:pPr>
      <w:r>
        <w:rPr>
          <w:rFonts w:hint="eastAsia"/>
          <w:sz w:val="24"/>
        </w:rPr>
        <w:t>5、 政府采购合同的其它附件；</w:t>
      </w:r>
    </w:p>
    <w:p>
      <w:pPr>
        <w:pStyle w:val="447"/>
        <w:ind w:firstLine="0" w:firstLineChars="0"/>
        <w:rPr>
          <w:b/>
        </w:rPr>
      </w:pPr>
      <w:r>
        <w:rPr>
          <w:rFonts w:hint="eastAsia"/>
          <w:b/>
        </w:rPr>
        <w:t>二、</w:t>
      </w:r>
      <w:r>
        <w:rPr>
          <w:b/>
        </w:rPr>
        <w:t>合同内容</w:t>
      </w:r>
    </w:p>
    <w:p>
      <w:pPr>
        <w:spacing w:line="360" w:lineRule="auto"/>
        <w:ind w:firstLine="480" w:firstLineChars="200"/>
        <w:rPr>
          <w:sz w:val="24"/>
        </w:rPr>
      </w:pPr>
      <w:r>
        <w:rPr>
          <w:rFonts w:hint="eastAsia"/>
          <w:sz w:val="24"/>
        </w:rPr>
        <w:t>服务及其</w:t>
      </w:r>
      <w:r>
        <w:rPr>
          <w:sz w:val="24"/>
        </w:rPr>
        <w:t>数量、金额等</w:t>
      </w:r>
    </w:p>
    <w:tbl>
      <w:tblPr>
        <w:tblStyle w:val="73"/>
        <w:tblW w:w="4998" w:type="pct"/>
        <w:tblInd w:w="0" w:type="dxa"/>
        <w:tblLayout w:type="autofit"/>
        <w:tblCellMar>
          <w:top w:w="0" w:type="dxa"/>
          <w:left w:w="108" w:type="dxa"/>
          <w:bottom w:w="0" w:type="dxa"/>
          <w:right w:w="108" w:type="dxa"/>
        </w:tblCellMar>
      </w:tblPr>
      <w:tblGrid>
        <w:gridCol w:w="770"/>
        <w:gridCol w:w="3572"/>
        <w:gridCol w:w="720"/>
        <w:gridCol w:w="864"/>
        <w:gridCol w:w="1297"/>
        <w:gridCol w:w="1297"/>
        <w:gridCol w:w="1104"/>
      </w:tblGrid>
      <w:tr>
        <w:tblPrEx>
          <w:tblCellMar>
            <w:top w:w="0" w:type="dxa"/>
            <w:left w:w="108" w:type="dxa"/>
            <w:bottom w:w="0" w:type="dxa"/>
            <w:right w:w="108" w:type="dxa"/>
          </w:tblCellMar>
        </w:tblPrEx>
        <w:trPr>
          <w:trHeight w:val="660" w:hRule="atLeast"/>
          <w:tblHeader/>
        </w:trPr>
        <w:tc>
          <w:tcPr>
            <w:tcW w:w="400" w:type="pct"/>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序号</w:t>
            </w:r>
          </w:p>
        </w:tc>
        <w:tc>
          <w:tcPr>
            <w:tcW w:w="1856"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品名</w:t>
            </w:r>
          </w:p>
        </w:tc>
        <w:tc>
          <w:tcPr>
            <w:tcW w:w="37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单位</w:t>
            </w:r>
          </w:p>
        </w:tc>
        <w:tc>
          <w:tcPr>
            <w:tcW w:w="449"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数量</w:t>
            </w:r>
          </w:p>
        </w:tc>
        <w:tc>
          <w:tcPr>
            <w:tcW w:w="67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单价</w:t>
            </w:r>
          </w:p>
        </w:tc>
        <w:tc>
          <w:tcPr>
            <w:tcW w:w="674"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b/>
                <w:bCs/>
                <w:sz w:val="24"/>
              </w:rPr>
            </w:pPr>
            <w:r>
              <w:rPr>
                <w:rFonts w:hint="eastAsia" w:ascii="宋体" w:hAnsi="宋体" w:cs="宋体"/>
                <w:b/>
                <w:bCs/>
                <w:sz w:val="24"/>
              </w:rPr>
              <w:t>总价</w:t>
            </w:r>
          </w:p>
        </w:tc>
        <w:tc>
          <w:tcPr>
            <w:tcW w:w="571" w:type="pct"/>
            <w:tcBorders>
              <w:top w:val="single" w:color="auto" w:sz="4" w:space="0"/>
              <w:left w:val="nil"/>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b/>
                <w:bCs/>
                <w:sz w:val="24"/>
              </w:rPr>
              <w:t>备注</w:t>
            </w:r>
          </w:p>
        </w:tc>
      </w:tr>
      <w:tr>
        <w:tblPrEx>
          <w:tblCellMar>
            <w:top w:w="0" w:type="dxa"/>
            <w:left w:w="108" w:type="dxa"/>
            <w:bottom w:w="0" w:type="dxa"/>
            <w:right w:w="108" w:type="dxa"/>
          </w:tblCellMar>
        </w:tblPrEx>
        <w:trPr>
          <w:trHeight w:val="525" w:hRule="atLeast"/>
        </w:trPr>
        <w:tc>
          <w:tcPr>
            <w:tcW w:w="400" w:type="pct"/>
            <w:tcBorders>
              <w:top w:val="nil"/>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1856" w:type="pct"/>
            <w:tcBorders>
              <w:top w:val="single" w:color="auto" w:sz="4" w:space="0"/>
              <w:left w:val="nil"/>
              <w:bottom w:val="single" w:color="auto" w:sz="4" w:space="0"/>
              <w:right w:val="single" w:color="auto" w:sz="4" w:space="0"/>
            </w:tcBorders>
            <w:vAlign w:val="center"/>
          </w:tcPr>
          <w:p>
            <w:pPr>
              <w:spacing w:line="360" w:lineRule="auto"/>
              <w:jc w:val="center"/>
              <w:rPr>
                <w:rFonts w:ascii="宋体" w:hAnsi="宋体" w:cs="宋体"/>
                <w:sz w:val="24"/>
              </w:rPr>
            </w:pPr>
            <w:r>
              <w:rPr>
                <w:rFonts w:hint="eastAsia"/>
                <w:sz w:val="24"/>
              </w:rPr>
              <w:t>海南省海域使用金地方标准制定、海域基准价格制定和评估技术规范编制</w:t>
            </w:r>
          </w:p>
        </w:tc>
        <w:tc>
          <w:tcPr>
            <w:tcW w:w="374" w:type="pct"/>
            <w:tcBorders>
              <w:top w:val="nil"/>
              <w:left w:val="nil"/>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项</w:t>
            </w:r>
          </w:p>
        </w:tc>
        <w:tc>
          <w:tcPr>
            <w:tcW w:w="449" w:type="pct"/>
            <w:tcBorders>
              <w:top w:val="nil"/>
              <w:left w:val="nil"/>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1</w:t>
            </w:r>
          </w:p>
        </w:tc>
        <w:tc>
          <w:tcPr>
            <w:tcW w:w="674" w:type="pct"/>
            <w:tcBorders>
              <w:top w:val="nil"/>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674" w:type="pct"/>
            <w:tcBorders>
              <w:top w:val="nil"/>
              <w:left w:val="nil"/>
              <w:bottom w:val="single" w:color="auto" w:sz="4" w:space="0"/>
              <w:right w:val="single" w:color="auto" w:sz="4" w:space="0"/>
            </w:tcBorders>
            <w:vAlign w:val="center"/>
          </w:tcPr>
          <w:p>
            <w:pPr>
              <w:spacing w:line="360" w:lineRule="auto"/>
              <w:jc w:val="center"/>
              <w:rPr>
                <w:rFonts w:ascii="宋体" w:hAnsi="宋体" w:cs="宋体"/>
                <w:sz w:val="24"/>
              </w:rPr>
            </w:pPr>
          </w:p>
        </w:tc>
        <w:tc>
          <w:tcPr>
            <w:tcW w:w="571" w:type="pct"/>
            <w:tcBorders>
              <w:top w:val="nil"/>
              <w:left w:val="nil"/>
              <w:bottom w:val="single" w:color="auto" w:sz="4" w:space="0"/>
              <w:right w:val="single" w:color="auto" w:sz="4" w:space="0"/>
            </w:tcBorders>
            <w:vAlign w:val="center"/>
          </w:tcPr>
          <w:p>
            <w:pPr>
              <w:spacing w:line="360" w:lineRule="auto"/>
              <w:rPr>
                <w:rFonts w:ascii="宋体" w:hAnsi="宋体" w:cs="宋体"/>
                <w:sz w:val="24"/>
              </w:rPr>
            </w:pPr>
          </w:p>
        </w:tc>
      </w:tr>
      <w:tr>
        <w:tblPrEx>
          <w:tblCellMar>
            <w:top w:w="0" w:type="dxa"/>
            <w:left w:w="108" w:type="dxa"/>
            <w:bottom w:w="0" w:type="dxa"/>
            <w:right w:w="108" w:type="dxa"/>
          </w:tblCellMar>
        </w:tblPrEx>
        <w:trPr>
          <w:trHeight w:val="360" w:hRule="atLeast"/>
        </w:trPr>
        <w:tc>
          <w:tcPr>
            <w:tcW w:w="5000" w:type="pct"/>
            <w:gridSpan w:val="7"/>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sz w:val="24"/>
              </w:rPr>
            </w:pPr>
            <w:r>
              <w:rPr>
                <w:rFonts w:hint="eastAsia" w:ascii="宋体" w:hAnsi="宋体" w:cs="宋体"/>
                <w:sz w:val="24"/>
              </w:rPr>
              <w:t>总价万元</w:t>
            </w:r>
          </w:p>
        </w:tc>
      </w:tr>
      <w:tr>
        <w:tblPrEx>
          <w:tblCellMar>
            <w:top w:w="0" w:type="dxa"/>
            <w:left w:w="108" w:type="dxa"/>
            <w:bottom w:w="0" w:type="dxa"/>
            <w:right w:w="108" w:type="dxa"/>
          </w:tblCellMar>
        </w:tblPrEx>
        <w:trPr>
          <w:trHeight w:val="493" w:hRule="atLeast"/>
        </w:trPr>
        <w:tc>
          <w:tcPr>
            <w:tcW w:w="5000" w:type="pct"/>
            <w:gridSpan w:val="7"/>
            <w:tcBorders>
              <w:top w:val="single" w:color="auto" w:sz="4" w:space="0"/>
              <w:left w:val="single" w:color="auto" w:sz="4" w:space="0"/>
              <w:bottom w:val="single" w:color="auto" w:sz="4" w:space="0"/>
              <w:right w:val="single" w:color="000000" w:sz="4" w:space="0"/>
            </w:tcBorders>
            <w:vAlign w:val="center"/>
          </w:tcPr>
          <w:p>
            <w:pPr>
              <w:spacing w:line="360" w:lineRule="auto"/>
              <w:rPr>
                <w:rFonts w:ascii="宋体" w:hAnsi="宋体" w:cs="宋体"/>
                <w:sz w:val="24"/>
              </w:rPr>
            </w:pPr>
            <w:r>
              <w:rPr>
                <w:rFonts w:hint="eastAsia" w:ascii="宋体" w:hAnsi="宋体" w:cs="宋体"/>
                <w:sz w:val="24"/>
              </w:rPr>
              <w:t>合同金额：人民币￥：，大写：。</w:t>
            </w:r>
          </w:p>
        </w:tc>
      </w:tr>
      <w:tr>
        <w:tblPrEx>
          <w:tblCellMar>
            <w:top w:w="0" w:type="dxa"/>
            <w:left w:w="108" w:type="dxa"/>
            <w:bottom w:w="0" w:type="dxa"/>
            <w:right w:w="108" w:type="dxa"/>
          </w:tblCellMar>
        </w:tblPrEx>
        <w:trPr>
          <w:trHeight w:val="435" w:hRule="atLeast"/>
        </w:trPr>
        <w:tc>
          <w:tcPr>
            <w:tcW w:w="5000" w:type="pct"/>
            <w:gridSpan w:val="7"/>
            <w:tcBorders>
              <w:top w:val="single" w:color="auto" w:sz="4" w:space="0"/>
              <w:left w:val="single" w:color="auto" w:sz="4" w:space="0"/>
              <w:bottom w:val="single" w:color="auto" w:sz="4" w:space="0"/>
              <w:right w:val="single" w:color="000000" w:sz="4" w:space="0"/>
            </w:tcBorders>
            <w:vAlign w:val="center"/>
          </w:tcPr>
          <w:p>
            <w:pPr>
              <w:spacing w:line="360" w:lineRule="auto"/>
              <w:rPr>
                <w:rFonts w:ascii="宋体" w:hAnsi="宋体" w:cs="宋体"/>
                <w:sz w:val="24"/>
              </w:rPr>
            </w:pPr>
            <w:r>
              <w:rPr>
                <w:rFonts w:hint="eastAsia" w:ascii="宋体" w:hAnsi="宋体" w:cs="宋体"/>
                <w:sz w:val="24"/>
              </w:rPr>
              <w:t>项目工期：2021年12月25日前完成（2021年8月25日前完成成果批稿，9月25日前完成专家评审，12月25日前完成成果公布实施）。</w:t>
            </w:r>
          </w:p>
        </w:tc>
      </w:tr>
      <w:tr>
        <w:tblPrEx>
          <w:tblCellMar>
            <w:top w:w="0" w:type="dxa"/>
            <w:left w:w="108" w:type="dxa"/>
            <w:bottom w:w="0" w:type="dxa"/>
            <w:right w:w="108" w:type="dxa"/>
          </w:tblCellMar>
        </w:tblPrEx>
        <w:trPr>
          <w:trHeight w:val="477" w:hRule="atLeast"/>
        </w:trPr>
        <w:tc>
          <w:tcPr>
            <w:tcW w:w="400" w:type="pct"/>
            <w:tcBorders>
              <w:top w:val="nil"/>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甲方</w:t>
            </w:r>
          </w:p>
        </w:tc>
        <w:tc>
          <w:tcPr>
            <w:tcW w:w="4600" w:type="pct"/>
            <w:gridSpan w:val="6"/>
            <w:tcBorders>
              <w:top w:val="single" w:color="auto" w:sz="4" w:space="0"/>
              <w:left w:val="nil"/>
              <w:bottom w:val="single" w:color="auto" w:sz="4" w:space="0"/>
              <w:right w:val="single" w:color="000000" w:sz="4" w:space="0"/>
            </w:tcBorders>
            <w:vAlign w:val="center"/>
          </w:tcPr>
          <w:p>
            <w:pPr>
              <w:spacing w:line="360" w:lineRule="auto"/>
              <w:rPr>
                <w:rFonts w:ascii="宋体" w:hAnsi="宋体" w:cs="宋体"/>
                <w:sz w:val="24"/>
                <w:u w:val="single"/>
              </w:rPr>
            </w:pPr>
            <w:r>
              <w:rPr>
                <w:rFonts w:hint="eastAsia" w:ascii="宋体" w:hAnsi="宋体" w:cs="宋体"/>
                <w:sz w:val="24"/>
              </w:rPr>
              <w:t>联系人：    电话：</w:t>
            </w:r>
          </w:p>
        </w:tc>
      </w:tr>
      <w:tr>
        <w:tblPrEx>
          <w:tblCellMar>
            <w:top w:w="0" w:type="dxa"/>
            <w:left w:w="108" w:type="dxa"/>
            <w:bottom w:w="0" w:type="dxa"/>
            <w:right w:w="108" w:type="dxa"/>
          </w:tblCellMar>
        </w:tblPrEx>
        <w:trPr>
          <w:trHeight w:val="468" w:hRule="atLeast"/>
        </w:trPr>
        <w:tc>
          <w:tcPr>
            <w:tcW w:w="400" w:type="pct"/>
            <w:tcBorders>
              <w:top w:val="nil"/>
              <w:left w:val="single" w:color="auto" w:sz="4" w:space="0"/>
              <w:bottom w:val="single" w:color="auto" w:sz="4" w:space="0"/>
              <w:right w:val="single" w:color="auto" w:sz="4" w:space="0"/>
            </w:tcBorders>
            <w:vAlign w:val="center"/>
          </w:tcPr>
          <w:p>
            <w:pPr>
              <w:spacing w:line="360" w:lineRule="auto"/>
              <w:rPr>
                <w:rFonts w:ascii="宋体" w:hAnsi="宋体" w:cs="宋体"/>
                <w:sz w:val="24"/>
              </w:rPr>
            </w:pPr>
            <w:r>
              <w:rPr>
                <w:rFonts w:hint="eastAsia" w:ascii="宋体" w:hAnsi="宋体" w:cs="宋体"/>
                <w:sz w:val="24"/>
              </w:rPr>
              <w:t>乙方</w:t>
            </w:r>
          </w:p>
        </w:tc>
        <w:tc>
          <w:tcPr>
            <w:tcW w:w="4600" w:type="pct"/>
            <w:gridSpan w:val="6"/>
            <w:tcBorders>
              <w:top w:val="single" w:color="auto" w:sz="4" w:space="0"/>
              <w:left w:val="nil"/>
              <w:bottom w:val="single" w:color="auto" w:sz="4" w:space="0"/>
              <w:right w:val="single" w:color="000000" w:sz="4" w:space="0"/>
            </w:tcBorders>
            <w:vAlign w:val="center"/>
          </w:tcPr>
          <w:p>
            <w:pPr>
              <w:spacing w:line="360" w:lineRule="auto"/>
              <w:rPr>
                <w:rFonts w:ascii="宋体" w:hAnsi="宋体" w:cs="宋体"/>
                <w:sz w:val="24"/>
              </w:rPr>
            </w:pPr>
            <w:r>
              <w:rPr>
                <w:rFonts w:hint="eastAsia" w:ascii="宋体" w:hAnsi="宋体" w:cs="宋体"/>
                <w:sz w:val="24"/>
              </w:rPr>
              <w:t>联系人：    电话：</w:t>
            </w:r>
          </w:p>
        </w:tc>
      </w:tr>
    </w:tbl>
    <w:p>
      <w:pPr>
        <w:pStyle w:val="447"/>
        <w:ind w:firstLineChars="83"/>
        <w:rPr>
          <w:b/>
        </w:rPr>
      </w:pPr>
      <w:r>
        <w:rPr>
          <w:rFonts w:hint="eastAsia"/>
          <w:b/>
        </w:rPr>
        <w:t>三</w:t>
      </w:r>
      <w:r>
        <w:rPr>
          <w:b/>
        </w:rPr>
        <w:t>、</w:t>
      </w:r>
      <w:r>
        <w:rPr>
          <w:rFonts w:hint="eastAsia"/>
          <w:b/>
        </w:rPr>
        <w:t>甲方的</w:t>
      </w:r>
      <w:r>
        <w:rPr>
          <w:b/>
        </w:rPr>
        <w:t>权利和义务</w:t>
      </w:r>
    </w:p>
    <w:p>
      <w:pPr>
        <w:spacing w:line="360" w:lineRule="auto"/>
        <w:ind w:firstLine="480"/>
        <w:rPr>
          <w:sz w:val="24"/>
        </w:rPr>
      </w:pPr>
      <w:r>
        <w:rPr>
          <w:rFonts w:hint="eastAsia"/>
          <w:sz w:val="24"/>
        </w:rPr>
        <w:t>1.甲方有责任于本合同签署后向乙方提供：（1）编制所需的规范性文件（2）已有的价格影响因子方面的资料等，作为合同附件。以甲方能够提供的为限，甲方没有或无法提供的由双方协商解决。</w:t>
      </w:r>
    </w:p>
    <w:p>
      <w:pPr>
        <w:spacing w:line="360" w:lineRule="auto"/>
        <w:ind w:firstLine="480"/>
        <w:rPr>
          <w:sz w:val="24"/>
        </w:rPr>
      </w:pPr>
      <w:r>
        <w:rPr>
          <w:rFonts w:hint="eastAsia"/>
          <w:sz w:val="24"/>
        </w:rPr>
        <w:t>2.甲方有责任在编制过程中给予乙方积极配合与支持。</w:t>
      </w:r>
    </w:p>
    <w:p>
      <w:pPr>
        <w:spacing w:line="360" w:lineRule="auto"/>
        <w:ind w:firstLine="480"/>
        <w:rPr>
          <w:sz w:val="24"/>
        </w:rPr>
      </w:pPr>
      <w:r>
        <w:rPr>
          <w:rFonts w:hint="eastAsia"/>
          <w:sz w:val="24"/>
        </w:rPr>
        <w:t>3.甲方须按本合同规定的付款方式按时支付服务费用。</w:t>
      </w:r>
    </w:p>
    <w:p>
      <w:pPr>
        <w:spacing w:line="360" w:lineRule="auto"/>
        <w:ind w:firstLine="480"/>
        <w:rPr>
          <w:sz w:val="24"/>
        </w:rPr>
      </w:pPr>
      <w:r>
        <w:rPr>
          <w:rFonts w:hint="eastAsia"/>
          <w:sz w:val="24"/>
        </w:rPr>
        <w:t>4. 甲方有权监督乙方工作，并督导完成。</w:t>
      </w:r>
    </w:p>
    <w:p>
      <w:pPr>
        <w:pStyle w:val="447"/>
        <w:ind w:firstLineChars="83"/>
        <w:rPr>
          <w:b/>
        </w:rPr>
      </w:pPr>
      <w:r>
        <w:rPr>
          <w:rFonts w:hint="eastAsia"/>
          <w:b/>
        </w:rPr>
        <w:t>四</w:t>
      </w:r>
      <w:r>
        <w:rPr>
          <w:b/>
        </w:rPr>
        <w:t>、乙方</w:t>
      </w:r>
      <w:r>
        <w:rPr>
          <w:rFonts w:hint="eastAsia"/>
          <w:b/>
        </w:rPr>
        <w:t>的</w:t>
      </w:r>
      <w:r>
        <w:rPr>
          <w:b/>
        </w:rPr>
        <w:t>权利和义务</w:t>
      </w:r>
    </w:p>
    <w:p>
      <w:pPr>
        <w:tabs>
          <w:tab w:val="left" w:pos="780"/>
          <w:tab w:val="left" w:pos="900"/>
          <w:tab w:val="left" w:pos="1440"/>
        </w:tabs>
        <w:spacing w:line="360" w:lineRule="auto"/>
        <w:ind w:firstLine="480" w:firstLineChars="200"/>
        <w:rPr>
          <w:sz w:val="24"/>
        </w:rPr>
      </w:pPr>
      <w:r>
        <w:rPr>
          <w:rFonts w:hint="eastAsia"/>
          <w:sz w:val="24"/>
        </w:rPr>
        <w:t>1.乙方对本项目有关资料负有保密义务。</w:t>
      </w:r>
    </w:p>
    <w:p>
      <w:pPr>
        <w:tabs>
          <w:tab w:val="left" w:pos="780"/>
          <w:tab w:val="left" w:pos="900"/>
          <w:tab w:val="left" w:pos="1440"/>
        </w:tabs>
        <w:spacing w:line="360" w:lineRule="auto"/>
        <w:ind w:firstLine="480" w:firstLineChars="200"/>
        <w:rPr>
          <w:sz w:val="24"/>
        </w:rPr>
      </w:pPr>
      <w:r>
        <w:rPr>
          <w:rFonts w:hint="eastAsia"/>
          <w:sz w:val="24"/>
        </w:rPr>
        <w:t>2.乙方应负责按甲方要求进行工作，以便于甲方使用。</w:t>
      </w:r>
    </w:p>
    <w:p>
      <w:pPr>
        <w:tabs>
          <w:tab w:val="left" w:pos="780"/>
          <w:tab w:val="left" w:pos="900"/>
          <w:tab w:val="left" w:pos="1440"/>
        </w:tabs>
        <w:spacing w:line="360" w:lineRule="auto"/>
        <w:ind w:firstLine="480" w:firstLineChars="200"/>
        <w:rPr>
          <w:sz w:val="24"/>
        </w:rPr>
      </w:pPr>
      <w:r>
        <w:rPr>
          <w:rFonts w:hint="eastAsia"/>
          <w:sz w:val="24"/>
        </w:rPr>
        <w:t>3.除甲方事先书面同意外，乙方不得部分或全部转让其应履行的合同项下的义务。</w:t>
      </w:r>
    </w:p>
    <w:p>
      <w:pPr>
        <w:tabs>
          <w:tab w:val="left" w:pos="780"/>
          <w:tab w:val="left" w:pos="900"/>
          <w:tab w:val="left" w:pos="1440"/>
        </w:tabs>
        <w:spacing w:line="360" w:lineRule="auto"/>
        <w:ind w:firstLine="480" w:firstLineChars="200"/>
        <w:rPr>
          <w:sz w:val="24"/>
        </w:rPr>
      </w:pPr>
      <w:r>
        <w:rPr>
          <w:rFonts w:hint="eastAsia"/>
          <w:sz w:val="24"/>
        </w:rPr>
        <w:t>4.乙方应按本合同规定向甲方交付成果(出现有关交付文件顺延的情况除外)。乙方应对服务过程和成果的合法性、实用性和时效性负责。</w:t>
      </w:r>
    </w:p>
    <w:p>
      <w:pPr>
        <w:tabs>
          <w:tab w:val="left" w:pos="780"/>
          <w:tab w:val="left" w:pos="900"/>
          <w:tab w:val="left" w:pos="1440"/>
        </w:tabs>
        <w:spacing w:line="360" w:lineRule="auto"/>
        <w:ind w:firstLine="480" w:firstLineChars="200"/>
        <w:rPr>
          <w:sz w:val="24"/>
        </w:rPr>
      </w:pPr>
      <w:r>
        <w:rPr>
          <w:rFonts w:hint="eastAsia"/>
          <w:sz w:val="24"/>
        </w:rPr>
        <w:t>5.乙方应当采取相关保护措施保障工作人员及项目相关人员的安全，本项目期间发生安全事故的，由此产生的法律责任由乙方自行承担并负责赔偿。</w:t>
      </w:r>
    </w:p>
    <w:p>
      <w:pPr>
        <w:tabs>
          <w:tab w:val="left" w:pos="780"/>
          <w:tab w:val="left" w:pos="900"/>
          <w:tab w:val="left" w:pos="1440"/>
        </w:tabs>
        <w:spacing w:line="360" w:lineRule="auto"/>
        <w:ind w:firstLine="480" w:firstLineChars="200"/>
        <w:rPr>
          <w:sz w:val="24"/>
        </w:rPr>
      </w:pPr>
      <w:r>
        <w:rPr>
          <w:rFonts w:hint="eastAsia"/>
          <w:sz w:val="24"/>
        </w:rPr>
        <w:t>6.乙方接受并配合甲方相关的技术巡视、检查，不定期向甲方汇报工作进展情况。</w:t>
      </w:r>
    </w:p>
    <w:p>
      <w:pPr>
        <w:tabs>
          <w:tab w:val="left" w:pos="780"/>
          <w:tab w:val="left" w:pos="900"/>
          <w:tab w:val="left" w:pos="1440"/>
        </w:tabs>
        <w:spacing w:line="360" w:lineRule="auto"/>
        <w:ind w:firstLine="480" w:firstLineChars="200"/>
        <w:rPr>
          <w:sz w:val="24"/>
        </w:rPr>
      </w:pPr>
      <w:r>
        <w:rPr>
          <w:rFonts w:hint="eastAsia"/>
          <w:sz w:val="24"/>
        </w:rPr>
        <w:t>7、乙方按照甲方要求提供相应的正规税务发票。</w:t>
      </w:r>
    </w:p>
    <w:p>
      <w:pPr>
        <w:tabs>
          <w:tab w:val="left" w:pos="780"/>
          <w:tab w:val="left" w:pos="900"/>
          <w:tab w:val="left" w:pos="1440"/>
        </w:tabs>
        <w:spacing w:line="360" w:lineRule="auto"/>
        <w:ind w:firstLine="480" w:firstLineChars="200"/>
        <w:rPr>
          <w:sz w:val="24"/>
        </w:rPr>
      </w:pPr>
      <w:r>
        <w:rPr>
          <w:rFonts w:hint="eastAsia"/>
          <w:sz w:val="24"/>
        </w:rPr>
        <w:t>8.乙方应依据合同规定的工作内容和技术要求，组织具有相关工作经验及资质的工作人员提供项目服务，向甲方提供项目组人员及其分工负责事项。</w:t>
      </w:r>
    </w:p>
    <w:p>
      <w:pPr>
        <w:tabs>
          <w:tab w:val="left" w:pos="780"/>
          <w:tab w:val="left" w:pos="900"/>
          <w:tab w:val="left" w:pos="1440"/>
        </w:tabs>
        <w:spacing w:line="360" w:lineRule="auto"/>
        <w:ind w:firstLine="480" w:firstLineChars="200"/>
        <w:rPr>
          <w:sz w:val="24"/>
        </w:rPr>
      </w:pPr>
      <w:r>
        <w:rPr>
          <w:rFonts w:hint="eastAsia"/>
          <w:sz w:val="24"/>
        </w:rPr>
        <w:t>9. 乙方应按照甲方专家验收意见完善成果。</w:t>
      </w:r>
    </w:p>
    <w:p>
      <w:pPr>
        <w:pStyle w:val="2"/>
        <w:ind w:firstLine="420"/>
        <w:rPr>
          <w:sz w:val="24"/>
        </w:rPr>
      </w:pPr>
      <w:r>
        <w:rPr>
          <w:rFonts w:hint="eastAsia"/>
          <w:sz w:val="24"/>
        </w:rPr>
        <w:t>10</w:t>
      </w:r>
      <w:r>
        <w:rPr>
          <w:sz w:val="24"/>
        </w:rPr>
        <w:t xml:space="preserve">. </w:t>
      </w:r>
      <w:r>
        <w:rPr>
          <w:rFonts w:hint="eastAsia"/>
          <w:sz w:val="24"/>
          <w:szCs w:val="24"/>
        </w:rPr>
        <w:t>乙方无偿对项目技术服务中出现的遗漏负责修改或补充。</w:t>
      </w:r>
    </w:p>
    <w:p>
      <w:pPr>
        <w:pStyle w:val="447"/>
        <w:ind w:firstLine="0" w:firstLineChars="0"/>
        <w:rPr>
          <w:b/>
        </w:rPr>
      </w:pPr>
      <w:r>
        <w:rPr>
          <w:rFonts w:hint="eastAsia"/>
          <w:b/>
        </w:rPr>
        <w:t>五</w:t>
      </w:r>
      <w:r>
        <w:rPr>
          <w:b/>
        </w:rPr>
        <w:t>、</w:t>
      </w:r>
      <w:r>
        <w:rPr>
          <w:rFonts w:hint="eastAsia"/>
          <w:b/>
        </w:rPr>
        <w:t>交货</w:t>
      </w:r>
      <w:r>
        <w:rPr>
          <w:b/>
        </w:rPr>
        <w:t>地点</w:t>
      </w:r>
    </w:p>
    <w:p>
      <w:pPr>
        <w:spacing w:line="360" w:lineRule="auto"/>
        <w:ind w:firstLine="480"/>
        <w:rPr>
          <w:sz w:val="24"/>
        </w:rPr>
      </w:pPr>
      <w:r>
        <w:rPr>
          <w:rFonts w:hint="eastAsia"/>
          <w:sz w:val="24"/>
        </w:rPr>
        <w:t>甲方</w:t>
      </w:r>
      <w:r>
        <w:rPr>
          <w:sz w:val="24"/>
        </w:rPr>
        <w:t>指定地点</w:t>
      </w:r>
      <w:r>
        <w:rPr>
          <w:rFonts w:hint="eastAsia"/>
          <w:sz w:val="24"/>
        </w:rPr>
        <w:t>。</w:t>
      </w:r>
    </w:p>
    <w:p>
      <w:pPr>
        <w:pStyle w:val="447"/>
        <w:ind w:firstLineChars="83"/>
        <w:rPr>
          <w:b/>
        </w:rPr>
      </w:pPr>
      <w:r>
        <w:rPr>
          <w:rFonts w:hint="eastAsia"/>
          <w:b/>
        </w:rPr>
        <w:t>六</w:t>
      </w:r>
      <w:r>
        <w:rPr>
          <w:b/>
        </w:rPr>
        <w:t>、付款方式</w:t>
      </w:r>
    </w:p>
    <w:p>
      <w:pPr>
        <w:tabs>
          <w:tab w:val="left" w:pos="780"/>
          <w:tab w:val="left" w:pos="900"/>
          <w:tab w:val="left" w:pos="1440"/>
        </w:tabs>
        <w:spacing w:line="360" w:lineRule="auto"/>
        <w:ind w:firstLine="480" w:firstLineChars="200"/>
        <w:rPr>
          <w:rFonts w:ascii="宋体" w:hAnsi="宋体"/>
          <w:sz w:val="24"/>
          <w:szCs w:val="27"/>
        </w:rPr>
      </w:pPr>
      <w:r>
        <w:rPr>
          <w:rFonts w:ascii="宋体" w:hAnsi="宋体"/>
          <w:sz w:val="24"/>
          <w:szCs w:val="27"/>
        </w:rPr>
        <w:t xml:space="preserve">1．合同签订后乙方应向甲方开具等额有效的发票，甲方在财政拨款下达后 </w:t>
      </w:r>
      <w:r>
        <w:rPr>
          <w:rFonts w:hint="eastAsia" w:ascii="宋体" w:hAnsi="宋体"/>
          <w:sz w:val="24"/>
          <w:szCs w:val="27"/>
        </w:rPr>
        <w:t>30</w:t>
      </w:r>
      <w:r>
        <w:rPr>
          <w:rFonts w:ascii="宋体" w:hAnsi="宋体"/>
          <w:sz w:val="24"/>
          <w:szCs w:val="27"/>
        </w:rPr>
        <w:t>个工作日内向乙方支付40%合同款，即人民币 万元整，大写： 万元整。</w:t>
      </w:r>
    </w:p>
    <w:p>
      <w:pPr>
        <w:tabs>
          <w:tab w:val="left" w:pos="780"/>
          <w:tab w:val="left" w:pos="900"/>
          <w:tab w:val="left" w:pos="1440"/>
        </w:tabs>
        <w:spacing w:line="360" w:lineRule="auto"/>
        <w:ind w:firstLine="480" w:firstLineChars="200"/>
        <w:rPr>
          <w:rFonts w:ascii="宋体" w:hAnsi="宋体"/>
          <w:sz w:val="24"/>
          <w:szCs w:val="27"/>
        </w:rPr>
      </w:pPr>
      <w:r>
        <w:rPr>
          <w:rFonts w:ascii="宋体" w:hAnsi="宋体"/>
          <w:sz w:val="24"/>
          <w:szCs w:val="27"/>
        </w:rPr>
        <w:t xml:space="preserve">2. 2020年9月25日前， 乙方提交海南省海域使用金收费标准制定成果（送审稿）后乙方应向甲方开具等额有效的发票，甲方在财政拨款下达后 </w:t>
      </w:r>
      <w:r>
        <w:rPr>
          <w:rFonts w:hint="eastAsia" w:ascii="宋体" w:hAnsi="宋体"/>
          <w:sz w:val="24"/>
          <w:szCs w:val="27"/>
        </w:rPr>
        <w:t>30</w:t>
      </w:r>
      <w:r>
        <w:rPr>
          <w:rFonts w:ascii="宋体" w:hAnsi="宋体"/>
          <w:sz w:val="24"/>
          <w:szCs w:val="27"/>
        </w:rPr>
        <w:t>个工作日内向乙方支付26.7%合同款，即人民币￥ 万元整，大写： 万元整。</w:t>
      </w:r>
    </w:p>
    <w:p>
      <w:pPr>
        <w:tabs>
          <w:tab w:val="left" w:pos="780"/>
          <w:tab w:val="left" w:pos="900"/>
          <w:tab w:val="left" w:pos="1440"/>
        </w:tabs>
        <w:spacing w:line="360" w:lineRule="auto"/>
        <w:ind w:firstLine="480" w:firstLineChars="200"/>
        <w:rPr>
          <w:rFonts w:ascii="宋体" w:hAnsi="宋体"/>
          <w:sz w:val="24"/>
          <w:szCs w:val="27"/>
        </w:rPr>
      </w:pPr>
      <w:r>
        <w:rPr>
          <w:rFonts w:ascii="宋体" w:hAnsi="宋体"/>
          <w:sz w:val="24"/>
          <w:szCs w:val="27"/>
        </w:rPr>
        <w:t xml:space="preserve">3. 2021年9月25日前，乙方提交项目最终成果经政府主管部门验收后乙方应向甲方开具等额有效的发票，甲方在财政拨款下达后 </w:t>
      </w:r>
      <w:r>
        <w:rPr>
          <w:rFonts w:hint="eastAsia" w:ascii="宋体" w:hAnsi="宋体"/>
          <w:sz w:val="24"/>
          <w:szCs w:val="27"/>
        </w:rPr>
        <w:t>30</w:t>
      </w:r>
      <w:r>
        <w:rPr>
          <w:rFonts w:ascii="宋体" w:hAnsi="宋体"/>
          <w:sz w:val="24"/>
          <w:szCs w:val="27"/>
        </w:rPr>
        <w:t>个工作日内向乙方支付33.3%合同款，即人民币￥ 万元整，大写： 万元整。</w:t>
      </w:r>
    </w:p>
    <w:p>
      <w:pPr>
        <w:pStyle w:val="2"/>
        <w:rPr>
          <w:rFonts w:ascii="宋体" w:hAnsi="宋体"/>
          <w:sz w:val="24"/>
        </w:rPr>
      </w:pPr>
    </w:p>
    <w:p>
      <w:pPr>
        <w:spacing w:line="360" w:lineRule="auto"/>
        <w:ind w:firstLine="480" w:firstLineChars="200"/>
        <w:rPr>
          <w:sz w:val="24"/>
        </w:rPr>
      </w:pPr>
      <w:r>
        <w:rPr>
          <w:rFonts w:hint="eastAsia"/>
          <w:sz w:val="24"/>
        </w:rPr>
        <w:t>5．乙方</w:t>
      </w:r>
      <w:r>
        <w:rPr>
          <w:sz w:val="24"/>
        </w:rPr>
        <w:t>账户信息</w:t>
      </w:r>
      <w:r>
        <w:rPr>
          <w:rFonts w:hint="eastAsia"/>
          <w:sz w:val="24"/>
        </w:rPr>
        <w:t>。</w:t>
      </w:r>
    </w:p>
    <w:p>
      <w:pPr>
        <w:spacing w:line="360" w:lineRule="auto"/>
        <w:ind w:firstLine="480" w:firstLineChars="200"/>
        <w:rPr>
          <w:sz w:val="24"/>
        </w:rPr>
      </w:pPr>
      <w:r>
        <w:rPr>
          <w:rFonts w:hint="eastAsia"/>
          <w:sz w:val="24"/>
        </w:rPr>
        <w:t>帐户名称：</w:t>
      </w:r>
    </w:p>
    <w:p>
      <w:pPr>
        <w:spacing w:line="360" w:lineRule="auto"/>
        <w:ind w:firstLine="480" w:firstLineChars="200"/>
        <w:rPr>
          <w:sz w:val="24"/>
        </w:rPr>
      </w:pPr>
      <w:r>
        <w:rPr>
          <w:rFonts w:hint="eastAsia"/>
          <w:sz w:val="24"/>
        </w:rPr>
        <w:t>开户银行：</w:t>
      </w:r>
    </w:p>
    <w:p>
      <w:pPr>
        <w:spacing w:line="360" w:lineRule="auto"/>
        <w:ind w:firstLine="480" w:firstLineChars="200"/>
        <w:rPr>
          <w:sz w:val="24"/>
        </w:rPr>
      </w:pPr>
      <w:r>
        <w:rPr>
          <w:rFonts w:hint="eastAsia"/>
          <w:sz w:val="24"/>
        </w:rPr>
        <w:t>银行账号：</w:t>
      </w:r>
    </w:p>
    <w:p>
      <w:pPr>
        <w:spacing w:line="360" w:lineRule="auto"/>
        <w:ind w:firstLine="480" w:firstLineChars="200"/>
        <w:rPr>
          <w:sz w:val="24"/>
        </w:rPr>
      </w:pPr>
      <w:r>
        <w:rPr>
          <w:sz w:val="24"/>
        </w:rPr>
        <w:t>6.</w:t>
      </w:r>
      <w:r>
        <w:rPr>
          <w:rFonts w:hint="eastAsia"/>
          <w:sz w:val="24"/>
        </w:rPr>
        <w:t>如果遇到法定财务封账等不可抗拒力因素的影响，则相应的付款时间顺延，具体时间由甲乙双方进行协商。</w:t>
      </w:r>
    </w:p>
    <w:p>
      <w:pPr>
        <w:pStyle w:val="447"/>
        <w:ind w:firstLineChars="83"/>
        <w:rPr>
          <w:b/>
        </w:rPr>
      </w:pPr>
      <w:r>
        <w:rPr>
          <w:b/>
        </w:rPr>
        <w:t>七、</w:t>
      </w:r>
      <w:r>
        <w:rPr>
          <w:rFonts w:hint="eastAsia"/>
          <w:b/>
        </w:rPr>
        <w:t>成果和考核指标</w:t>
      </w:r>
    </w:p>
    <w:p>
      <w:pPr>
        <w:pStyle w:val="71"/>
        <w:spacing w:line="360" w:lineRule="auto"/>
        <w:ind w:firstLine="482"/>
        <w:rPr>
          <w:rFonts w:ascii="宋体" w:hAnsi="宋体" w:cs="宋体"/>
          <w:b/>
          <w:bCs/>
          <w:color w:val="auto"/>
          <w:kern w:val="0"/>
          <w:sz w:val="24"/>
        </w:rPr>
      </w:pPr>
      <w:r>
        <w:rPr>
          <w:rFonts w:hint="eastAsia" w:ascii="宋体" w:hAnsi="宋体" w:cs="宋体"/>
          <w:b/>
          <w:bCs/>
          <w:color w:val="auto"/>
          <w:kern w:val="0"/>
          <w:sz w:val="24"/>
        </w:rPr>
        <w:t>1、文字报告成果</w:t>
      </w:r>
    </w:p>
    <w:p>
      <w:pPr>
        <w:pStyle w:val="71"/>
        <w:spacing w:line="360" w:lineRule="auto"/>
        <w:ind w:firstLine="480"/>
        <w:rPr>
          <w:rFonts w:ascii="宋体" w:hAnsi="宋体" w:cs="宋体"/>
          <w:color w:val="auto"/>
          <w:kern w:val="0"/>
          <w:sz w:val="24"/>
        </w:rPr>
      </w:pPr>
      <w:r>
        <w:rPr>
          <w:rFonts w:hint="eastAsia" w:ascii="宋体" w:hAnsi="宋体" w:cs="宋体"/>
          <w:color w:val="auto"/>
          <w:kern w:val="0"/>
          <w:sz w:val="24"/>
        </w:rPr>
        <w:t>（1）《海域定级技术报告》 ；</w:t>
      </w:r>
    </w:p>
    <w:p>
      <w:pPr>
        <w:pStyle w:val="71"/>
        <w:spacing w:line="360" w:lineRule="auto"/>
        <w:ind w:firstLine="480"/>
        <w:rPr>
          <w:rFonts w:ascii="宋体" w:hAnsi="宋体" w:cs="宋体"/>
          <w:color w:val="auto"/>
          <w:kern w:val="0"/>
          <w:sz w:val="24"/>
        </w:rPr>
      </w:pPr>
      <w:r>
        <w:rPr>
          <w:rFonts w:hint="eastAsia" w:ascii="宋体" w:hAnsi="宋体" w:cs="宋体"/>
          <w:color w:val="auto"/>
          <w:kern w:val="0"/>
          <w:sz w:val="24"/>
        </w:rPr>
        <w:t>（2）《海南省海域使用金征收标准》；</w:t>
      </w:r>
    </w:p>
    <w:p>
      <w:pPr>
        <w:pStyle w:val="71"/>
        <w:spacing w:line="360" w:lineRule="auto"/>
        <w:ind w:firstLine="480"/>
        <w:rPr>
          <w:rFonts w:ascii="宋体" w:hAnsi="宋体" w:cs="宋体"/>
          <w:color w:val="auto"/>
          <w:kern w:val="0"/>
          <w:sz w:val="24"/>
        </w:rPr>
      </w:pPr>
      <w:r>
        <w:rPr>
          <w:rFonts w:hint="eastAsia" w:ascii="宋体" w:hAnsi="宋体" w:cs="宋体"/>
          <w:color w:val="auto"/>
          <w:kern w:val="0"/>
          <w:sz w:val="24"/>
        </w:rPr>
        <w:t xml:space="preserve">（3）《海南省海域各基准价格》； </w:t>
      </w:r>
    </w:p>
    <w:p>
      <w:pPr>
        <w:pStyle w:val="71"/>
        <w:spacing w:line="360" w:lineRule="auto"/>
        <w:ind w:firstLine="480"/>
        <w:rPr>
          <w:rFonts w:ascii="宋体" w:hAnsi="宋体" w:cs="宋体"/>
          <w:color w:val="auto"/>
          <w:kern w:val="0"/>
          <w:sz w:val="24"/>
        </w:rPr>
      </w:pPr>
      <w:r>
        <w:rPr>
          <w:rFonts w:hint="eastAsia" w:ascii="宋体" w:hAnsi="宋体" w:cs="宋体"/>
          <w:color w:val="auto"/>
          <w:kern w:val="0"/>
          <w:sz w:val="24"/>
        </w:rPr>
        <w:t xml:space="preserve"> (4)《海南省海域价格评估技术规范》 。</w:t>
      </w:r>
    </w:p>
    <w:p>
      <w:pPr>
        <w:pStyle w:val="71"/>
        <w:spacing w:line="360" w:lineRule="auto"/>
        <w:ind w:firstLine="482"/>
        <w:rPr>
          <w:rFonts w:ascii="宋体" w:hAnsi="宋体" w:cs="宋体"/>
          <w:b/>
          <w:bCs/>
          <w:color w:val="auto"/>
          <w:kern w:val="0"/>
          <w:sz w:val="24"/>
        </w:rPr>
      </w:pPr>
      <w:r>
        <w:rPr>
          <w:rFonts w:hint="eastAsia" w:ascii="宋体" w:hAnsi="宋体" w:cs="宋体"/>
          <w:b/>
          <w:bCs/>
          <w:color w:val="auto"/>
          <w:kern w:val="0"/>
          <w:sz w:val="24"/>
        </w:rPr>
        <w:t>2、图件成果</w:t>
      </w:r>
    </w:p>
    <w:p>
      <w:pPr>
        <w:pStyle w:val="71"/>
        <w:spacing w:line="360" w:lineRule="auto"/>
        <w:ind w:firstLine="480"/>
        <w:rPr>
          <w:rFonts w:ascii="宋体" w:hAnsi="宋体" w:cs="宋体"/>
          <w:color w:val="auto"/>
          <w:kern w:val="0"/>
          <w:sz w:val="24"/>
        </w:rPr>
      </w:pPr>
      <w:r>
        <w:rPr>
          <w:rFonts w:hint="eastAsia" w:ascii="宋体" w:hAnsi="宋体" w:cs="宋体"/>
          <w:color w:val="auto"/>
          <w:kern w:val="0"/>
          <w:sz w:val="24"/>
        </w:rPr>
        <w:t>图件成果包括：各用海方式定级单元分值图，各用海方式级别图和各类用海级别基准价格图。</w:t>
      </w:r>
    </w:p>
    <w:p>
      <w:pPr>
        <w:pStyle w:val="71"/>
        <w:numPr>
          <w:ilvl w:val="0"/>
          <w:numId w:val="16"/>
        </w:numPr>
        <w:spacing w:line="360" w:lineRule="auto"/>
        <w:ind w:firstLine="482"/>
        <w:rPr>
          <w:rFonts w:ascii="宋体" w:hAnsi="宋体" w:cs="宋体"/>
          <w:b/>
          <w:bCs/>
          <w:color w:val="auto"/>
          <w:kern w:val="0"/>
          <w:sz w:val="24"/>
        </w:rPr>
      </w:pPr>
      <w:r>
        <w:rPr>
          <w:rFonts w:hint="eastAsia" w:ascii="宋体" w:hAnsi="宋体" w:cs="宋体"/>
          <w:b/>
          <w:bCs/>
          <w:color w:val="auto"/>
          <w:kern w:val="0"/>
          <w:sz w:val="24"/>
        </w:rPr>
        <w:t>表格成果</w:t>
      </w:r>
    </w:p>
    <w:p>
      <w:pPr>
        <w:pStyle w:val="71"/>
        <w:spacing w:line="360" w:lineRule="auto"/>
        <w:ind w:firstLine="480"/>
        <w:rPr>
          <w:rFonts w:ascii="宋体" w:hAnsi="宋体" w:cs="宋体"/>
          <w:color w:val="auto"/>
          <w:kern w:val="0"/>
          <w:sz w:val="24"/>
        </w:rPr>
      </w:pPr>
      <w:r>
        <w:rPr>
          <w:rFonts w:hint="eastAsia" w:ascii="宋体" w:hAnsi="宋体" w:cs="宋体"/>
          <w:color w:val="auto"/>
          <w:kern w:val="0"/>
          <w:sz w:val="24"/>
        </w:rPr>
        <w:t>表格成果包括：各类用海级别基准价格表，海南省海域使用金收费标准表，各类用海基准价格因素修正系数表，各类用海基准价格修正因素指标条件说明表。</w:t>
      </w:r>
    </w:p>
    <w:p>
      <w:pPr>
        <w:pStyle w:val="71"/>
        <w:numPr>
          <w:ilvl w:val="0"/>
          <w:numId w:val="16"/>
        </w:numPr>
        <w:spacing w:line="360" w:lineRule="auto"/>
        <w:ind w:firstLine="482"/>
        <w:rPr>
          <w:rFonts w:ascii="宋体" w:hAnsi="宋体" w:cs="宋体"/>
          <w:b/>
          <w:bCs/>
          <w:color w:val="auto"/>
          <w:kern w:val="0"/>
          <w:sz w:val="24"/>
        </w:rPr>
      </w:pPr>
      <w:r>
        <w:rPr>
          <w:rFonts w:hint="eastAsia" w:ascii="宋体" w:hAnsi="宋体" w:cs="宋体"/>
          <w:b/>
          <w:bCs/>
          <w:color w:val="auto"/>
          <w:kern w:val="0"/>
          <w:sz w:val="24"/>
        </w:rPr>
        <w:t>电子成果</w:t>
      </w:r>
    </w:p>
    <w:p>
      <w:pPr>
        <w:pStyle w:val="67"/>
        <w:snapToGrid w:val="0"/>
        <w:spacing w:before="0" w:beforeAutospacing="0" w:after="0" w:afterAutospacing="0" w:line="360" w:lineRule="auto"/>
        <w:ind w:firstLine="480" w:firstLineChars="200"/>
        <w:jc w:val="both"/>
        <w:rPr>
          <w:rFonts w:ascii="宋体" w:hAnsi="宋体" w:eastAsia="宋体" w:cs="宋体"/>
        </w:rPr>
      </w:pPr>
      <w:r>
        <w:rPr>
          <w:rFonts w:hint="eastAsia" w:ascii="宋体" w:hAnsi="宋体" w:eastAsia="宋体" w:cs="宋体"/>
        </w:rPr>
        <w:t>所有文字成果、图件资料和表格资料的电子版。</w:t>
      </w:r>
    </w:p>
    <w:p>
      <w:pPr>
        <w:pStyle w:val="447"/>
        <w:ind w:firstLineChars="83"/>
        <w:rPr>
          <w:b/>
        </w:rPr>
      </w:pPr>
      <w:r>
        <w:rPr>
          <w:rFonts w:hint="eastAsia"/>
          <w:b/>
        </w:rPr>
        <w:t>八.验收标准</w:t>
      </w:r>
    </w:p>
    <w:p>
      <w:pPr>
        <w:spacing w:line="360" w:lineRule="auto"/>
        <w:ind w:firstLine="480" w:firstLineChars="200"/>
        <w:rPr>
          <w:rFonts w:ascii="宋体" w:hAnsi="宋体"/>
          <w:sz w:val="24"/>
        </w:rPr>
      </w:pPr>
      <w:r>
        <w:rPr>
          <w:rFonts w:hint="eastAsia" w:ascii="宋体" w:hAnsi="宋体"/>
          <w:sz w:val="24"/>
        </w:rPr>
        <w:t>甲方应该在收到乙方提供的项目成果后采用专家评审的方式验收。验收的标准是通过专家评审。乙方配合甲方及评审专家意见及时完善成果。</w:t>
      </w:r>
    </w:p>
    <w:p>
      <w:pPr>
        <w:pStyle w:val="447"/>
        <w:ind w:firstLineChars="83"/>
        <w:rPr>
          <w:b/>
        </w:rPr>
      </w:pPr>
      <w:r>
        <w:rPr>
          <w:rFonts w:hint="eastAsia"/>
          <w:b/>
        </w:rPr>
        <w:t>九、</w:t>
      </w:r>
      <w:r>
        <w:rPr>
          <w:b/>
        </w:rPr>
        <w:t>技术和资料的保密</w:t>
      </w:r>
    </w:p>
    <w:p>
      <w:pPr>
        <w:spacing w:line="360" w:lineRule="auto"/>
        <w:ind w:firstLine="480" w:firstLineChars="200"/>
        <w:rPr>
          <w:sz w:val="24"/>
        </w:rPr>
      </w:pPr>
      <w:r>
        <w:rPr>
          <w:rFonts w:hint="eastAsia"/>
          <w:sz w:val="24"/>
        </w:rPr>
        <w:t>1.乙方</w:t>
      </w:r>
      <w:r>
        <w:rPr>
          <w:sz w:val="24"/>
        </w:rPr>
        <w:t>在本协议内容中有义务为甲方严守</w:t>
      </w:r>
      <w:r>
        <w:rPr>
          <w:rFonts w:hint="eastAsia"/>
          <w:sz w:val="24"/>
        </w:rPr>
        <w:t>秘密</w:t>
      </w:r>
      <w:r>
        <w:rPr>
          <w:sz w:val="24"/>
        </w:rPr>
        <w:t>，不得将</w:t>
      </w:r>
      <w:r>
        <w:rPr>
          <w:rFonts w:hint="eastAsia"/>
          <w:sz w:val="24"/>
        </w:rPr>
        <w:t>该项目</w:t>
      </w:r>
      <w:r>
        <w:rPr>
          <w:sz w:val="24"/>
        </w:rPr>
        <w:t>的</w:t>
      </w:r>
      <w:r>
        <w:rPr>
          <w:rFonts w:hint="eastAsia"/>
          <w:sz w:val="24"/>
        </w:rPr>
        <w:t>资料、数据、成果等</w:t>
      </w:r>
      <w:r>
        <w:rPr>
          <w:sz w:val="24"/>
        </w:rPr>
        <w:t>转用</w:t>
      </w:r>
      <w:r>
        <w:rPr>
          <w:rFonts w:hint="eastAsia"/>
          <w:sz w:val="24"/>
        </w:rPr>
        <w:t>于</w:t>
      </w:r>
      <w:r>
        <w:rPr>
          <w:sz w:val="24"/>
        </w:rPr>
        <w:t>第三方。</w:t>
      </w:r>
    </w:p>
    <w:p>
      <w:pPr>
        <w:spacing w:line="360" w:lineRule="auto"/>
        <w:ind w:firstLine="480" w:firstLineChars="200"/>
        <w:rPr>
          <w:sz w:val="24"/>
        </w:rPr>
      </w:pPr>
      <w:r>
        <w:rPr>
          <w:sz w:val="24"/>
        </w:rPr>
        <w:t xml:space="preserve">2. </w:t>
      </w:r>
      <w:r>
        <w:rPr>
          <w:rFonts w:hint="eastAsia"/>
          <w:sz w:val="24"/>
        </w:rPr>
        <w:t>保密范围包括乙方所有参与本项目或知晓本项目数据及成果资料人员，保密期限：永久。</w:t>
      </w:r>
    </w:p>
    <w:p>
      <w:pPr>
        <w:pStyle w:val="447"/>
        <w:ind w:firstLine="198" w:firstLineChars="82"/>
        <w:jc w:val="left"/>
        <w:rPr>
          <w:b/>
        </w:rPr>
      </w:pPr>
      <w:r>
        <w:rPr>
          <w:rFonts w:hint="eastAsia"/>
          <w:b/>
        </w:rPr>
        <w:t>十</w:t>
      </w:r>
      <w:r>
        <w:rPr>
          <w:b/>
        </w:rPr>
        <w:t>、技术成果的归属和分享</w:t>
      </w:r>
    </w:p>
    <w:p>
      <w:pPr>
        <w:spacing w:line="360" w:lineRule="auto"/>
        <w:ind w:firstLine="480" w:firstLineChars="200"/>
        <w:rPr>
          <w:sz w:val="24"/>
        </w:rPr>
      </w:pPr>
      <w:r>
        <w:rPr>
          <w:sz w:val="24"/>
        </w:rPr>
        <w:t>1.</w:t>
      </w:r>
      <w:r>
        <w:rPr>
          <w:rFonts w:hint="eastAsia"/>
          <w:sz w:val="24"/>
        </w:rPr>
        <w:t>乙方依本合同书所收集资料和完成成果的使用权归</w:t>
      </w:r>
      <w:r>
        <w:rPr>
          <w:rFonts w:hint="eastAsia"/>
          <w:sz w:val="24"/>
          <w:u w:val="single"/>
        </w:rPr>
        <w:t>甲</w:t>
      </w:r>
      <w:r>
        <w:rPr>
          <w:rFonts w:hint="eastAsia"/>
          <w:sz w:val="24"/>
        </w:rPr>
        <w:t>方所有，未经甲方同意，乙方不得将甲方提供资料和项目成果提交给任何第三方使用。项目成果载体（出版书籍、发表文章、申请专利）由双方共同署名，具体形式双方可根据合作情况议定。</w:t>
      </w:r>
    </w:p>
    <w:p>
      <w:pPr>
        <w:spacing w:line="360" w:lineRule="auto"/>
        <w:ind w:firstLine="480" w:firstLineChars="200"/>
        <w:rPr>
          <w:sz w:val="24"/>
        </w:rPr>
      </w:pPr>
      <w:r>
        <w:rPr>
          <w:sz w:val="24"/>
        </w:rPr>
        <w:t>2.</w:t>
      </w:r>
      <w:r>
        <w:rPr>
          <w:rFonts w:hint="eastAsia"/>
          <w:sz w:val="24"/>
        </w:rPr>
        <w:t>在合同范围外，甲方利用乙方提交的技术服务成果所完成的新的技术成果，归</w:t>
      </w:r>
      <w:r>
        <w:rPr>
          <w:rFonts w:hint="eastAsia"/>
          <w:sz w:val="24"/>
          <w:u w:val="single"/>
        </w:rPr>
        <w:t>甲</w:t>
      </w:r>
      <w:r>
        <w:rPr>
          <w:rFonts w:hint="eastAsia"/>
          <w:sz w:val="24"/>
        </w:rPr>
        <w:t>方所有；乙方利用甲方提交的技术资料和工作条件所完成的新的技术成果，归</w:t>
      </w:r>
      <w:r>
        <w:rPr>
          <w:rFonts w:hint="eastAsia"/>
          <w:sz w:val="24"/>
          <w:u w:val="single"/>
        </w:rPr>
        <w:t>双</w:t>
      </w:r>
      <w:r>
        <w:rPr>
          <w:rFonts w:hint="eastAsia"/>
          <w:sz w:val="24"/>
        </w:rPr>
        <w:t>方所有（成果使用另立协议）</w:t>
      </w:r>
      <w:r>
        <w:rPr>
          <w:sz w:val="24"/>
        </w:rPr>
        <w:t>。</w:t>
      </w:r>
    </w:p>
    <w:p>
      <w:pPr>
        <w:spacing w:line="360" w:lineRule="auto"/>
        <w:ind w:firstLine="480" w:firstLineChars="200"/>
        <w:rPr>
          <w:sz w:val="24"/>
        </w:rPr>
      </w:pPr>
      <w:r>
        <w:rPr>
          <w:rFonts w:hint="eastAsia"/>
          <w:sz w:val="24"/>
        </w:rPr>
        <w:t>3.</w:t>
      </w:r>
      <w:r>
        <w:rPr>
          <w:sz w:val="24"/>
        </w:rPr>
        <w:t>.</w:t>
      </w:r>
      <w:r>
        <w:rPr>
          <w:rFonts w:hint="eastAsia"/>
          <w:sz w:val="24"/>
        </w:rPr>
        <w:t>乙方应当确保所提供的技术服务及工作成果（包括但不限于数据资料、计算公式、测试方法、软件、报表等）不得侵犯第三方的知识产权和其他合法权益。</w:t>
      </w:r>
    </w:p>
    <w:p>
      <w:pPr>
        <w:pStyle w:val="447"/>
        <w:ind w:firstLine="198" w:firstLineChars="82"/>
        <w:jc w:val="left"/>
        <w:rPr>
          <w:b/>
        </w:rPr>
      </w:pPr>
      <w:r>
        <w:rPr>
          <w:rFonts w:hint="eastAsia"/>
          <w:b/>
        </w:rPr>
        <w:t>十</w:t>
      </w:r>
      <w:r>
        <w:rPr>
          <w:b/>
        </w:rPr>
        <w:t>、</w:t>
      </w:r>
      <w:r>
        <w:rPr>
          <w:rFonts w:hint="eastAsia"/>
          <w:b/>
        </w:rPr>
        <w:t>违约</w:t>
      </w:r>
      <w:r>
        <w:rPr>
          <w:b/>
        </w:rPr>
        <w:t>责任</w:t>
      </w:r>
    </w:p>
    <w:p>
      <w:pPr>
        <w:spacing w:line="360" w:lineRule="auto"/>
        <w:ind w:firstLine="480" w:firstLineChars="200"/>
        <w:rPr>
          <w:sz w:val="24"/>
        </w:rPr>
      </w:pPr>
      <w:r>
        <w:rPr>
          <w:rFonts w:hint="eastAsia" w:ascii="宋体"/>
          <w:sz w:val="24"/>
        </w:rPr>
        <w:t>1.合同的解除和终止</w:t>
      </w:r>
    </w:p>
    <w:p>
      <w:pPr>
        <w:pStyle w:val="448"/>
        <w:spacing w:line="360" w:lineRule="auto"/>
        <w:ind w:left="420" w:firstLine="0" w:firstLineChars="0"/>
        <w:rPr>
          <w:rFonts w:ascii="宋体" w:hAnsi="宋体"/>
          <w:sz w:val="24"/>
        </w:rPr>
      </w:pPr>
      <w:r>
        <w:rPr>
          <w:rFonts w:hint="eastAsia" w:ascii="宋体" w:hAnsi="宋体"/>
          <w:sz w:val="24"/>
        </w:rPr>
        <w:t>如果一方（过错方）：</w:t>
      </w:r>
    </w:p>
    <w:p>
      <w:pPr>
        <w:pStyle w:val="448"/>
        <w:spacing w:line="360" w:lineRule="auto"/>
        <w:ind w:left="420" w:firstLine="0" w:firstLineChars="0"/>
        <w:rPr>
          <w:rFonts w:ascii="宋体" w:hAnsi="宋体"/>
          <w:sz w:val="24"/>
        </w:rPr>
      </w:pPr>
      <w:r>
        <w:rPr>
          <w:rFonts w:hint="eastAsia" w:ascii="宋体" w:hAnsi="宋体"/>
          <w:sz w:val="24"/>
        </w:rPr>
        <w:t>（1）以明示或暗示行为拒绝或威胁拒绝履行本合同条款。</w:t>
      </w:r>
    </w:p>
    <w:p>
      <w:pPr>
        <w:pStyle w:val="448"/>
        <w:spacing w:line="360" w:lineRule="auto"/>
        <w:ind w:left="420" w:firstLine="0" w:firstLineChars="0"/>
        <w:rPr>
          <w:rFonts w:ascii="宋体" w:hAnsi="宋体"/>
          <w:sz w:val="24"/>
        </w:rPr>
      </w:pPr>
      <w:r>
        <w:rPr>
          <w:rFonts w:hint="eastAsia" w:ascii="宋体" w:hAnsi="宋体"/>
          <w:sz w:val="24"/>
        </w:rPr>
        <w:t>（2）未履行合同约定的义务（但其过错可以弥补），并在接到另一方要求履行合同的书面通知后14天，仍未纠正违约行为的。</w:t>
      </w:r>
    </w:p>
    <w:p>
      <w:pPr>
        <w:pStyle w:val="448"/>
        <w:spacing w:line="360" w:lineRule="auto"/>
        <w:ind w:left="420" w:firstLine="0" w:firstLineChars="0"/>
        <w:rPr>
          <w:rFonts w:ascii="宋体" w:hAnsi="宋体"/>
          <w:sz w:val="24"/>
        </w:rPr>
      </w:pPr>
      <w:r>
        <w:rPr>
          <w:rFonts w:hint="eastAsia" w:ascii="宋体" w:hAnsi="宋体"/>
          <w:sz w:val="24"/>
        </w:rPr>
        <w:t>（3）召开债权人会议、通过公司停业的决定或遭到停业起诉。</w:t>
      </w:r>
    </w:p>
    <w:p>
      <w:pPr>
        <w:pStyle w:val="448"/>
        <w:spacing w:line="360" w:lineRule="auto"/>
        <w:ind w:left="420" w:firstLine="0" w:firstLineChars="0"/>
        <w:rPr>
          <w:rFonts w:ascii="宋体" w:hAnsi="宋体"/>
          <w:sz w:val="24"/>
        </w:rPr>
      </w:pPr>
      <w:r>
        <w:rPr>
          <w:rFonts w:hint="eastAsia" w:ascii="宋体" w:hAnsi="宋体"/>
          <w:sz w:val="24"/>
        </w:rPr>
        <w:t>（4）接管人或司法机关委派接管人接管全部或部分财产。</w:t>
      </w:r>
    </w:p>
    <w:p>
      <w:pPr>
        <w:pStyle w:val="448"/>
        <w:spacing w:line="360" w:lineRule="auto"/>
        <w:ind w:firstLine="480"/>
        <w:rPr>
          <w:rFonts w:ascii="宋体" w:hAnsi="宋体"/>
          <w:sz w:val="24"/>
        </w:rPr>
      </w:pPr>
      <w:r>
        <w:rPr>
          <w:rFonts w:hint="eastAsia" w:ascii="宋体" w:hAnsi="宋体"/>
          <w:sz w:val="24"/>
        </w:rPr>
        <w:t>上述任何情况发生，另一方（无过错方）应立即书面通知对方解除本合同，通知立即生效。无过错方的其他权利依然有效，且无需负责过错方可能因此遭受的损失。</w:t>
      </w:r>
    </w:p>
    <w:p>
      <w:pPr>
        <w:pStyle w:val="448"/>
        <w:spacing w:line="360" w:lineRule="auto"/>
        <w:ind w:firstLine="480"/>
        <w:rPr>
          <w:rFonts w:ascii="宋体" w:hAnsi="宋体"/>
          <w:sz w:val="24"/>
        </w:rPr>
      </w:pPr>
      <w:r>
        <w:rPr>
          <w:rFonts w:hint="eastAsia" w:ascii="宋体" w:hAnsi="宋体"/>
          <w:sz w:val="24"/>
        </w:rPr>
        <w:t>2.合同解除的后果</w:t>
      </w:r>
    </w:p>
    <w:p>
      <w:pPr>
        <w:pStyle w:val="448"/>
        <w:spacing w:line="360" w:lineRule="auto"/>
        <w:ind w:firstLine="480"/>
        <w:rPr>
          <w:rFonts w:ascii="宋体" w:hAnsi="宋体"/>
          <w:sz w:val="24"/>
        </w:rPr>
      </w:pPr>
      <w:r>
        <w:rPr>
          <w:rFonts w:hint="eastAsia" w:ascii="宋体" w:hAnsi="宋体"/>
          <w:sz w:val="24"/>
        </w:rPr>
        <w:t>因上述原因解除本合同，且过错方为甲方，甲方应当在合同终止之日起的一个月内向乙方支付：</w:t>
      </w:r>
    </w:p>
    <w:p>
      <w:pPr>
        <w:pStyle w:val="448"/>
        <w:spacing w:line="360" w:lineRule="auto"/>
        <w:ind w:left="420" w:firstLine="0" w:firstLineChars="0"/>
        <w:rPr>
          <w:rFonts w:ascii="宋体" w:hAnsi="宋体"/>
          <w:sz w:val="24"/>
        </w:rPr>
      </w:pPr>
      <w:r>
        <w:rPr>
          <w:rFonts w:hint="eastAsia" w:ascii="宋体" w:hAnsi="宋体"/>
          <w:sz w:val="24"/>
        </w:rPr>
        <w:t>（1）所有到期和欠付的费用；</w:t>
      </w:r>
    </w:p>
    <w:p>
      <w:pPr>
        <w:pStyle w:val="448"/>
        <w:spacing w:line="360" w:lineRule="auto"/>
        <w:ind w:left="420" w:firstLine="0" w:firstLineChars="0"/>
        <w:rPr>
          <w:rFonts w:ascii="宋体" w:hAnsi="宋体"/>
          <w:sz w:val="24"/>
        </w:rPr>
      </w:pPr>
      <w:r>
        <w:rPr>
          <w:rFonts w:hint="eastAsia" w:ascii="宋体" w:hAnsi="宋体"/>
          <w:sz w:val="24"/>
        </w:rPr>
        <w:t>（2）已发生的外业调查费用。</w:t>
      </w:r>
    </w:p>
    <w:p>
      <w:pPr>
        <w:pStyle w:val="448"/>
        <w:spacing w:line="360" w:lineRule="auto"/>
        <w:ind w:firstLine="480"/>
        <w:rPr>
          <w:rFonts w:ascii="宋体" w:hAnsi="宋体"/>
          <w:sz w:val="24"/>
        </w:rPr>
      </w:pPr>
      <w:r>
        <w:rPr>
          <w:rFonts w:hint="eastAsia" w:ascii="宋体" w:hAnsi="宋体"/>
          <w:sz w:val="24"/>
        </w:rPr>
        <w:t>如果因乙方原因终止合同，乙方应当在合同终止之日起的一个月内向甲方支付甲方已经支付的所有合同费用并支付甲方合同总金额10%的违约金，违约金不足以弥补甲方因此造成的损失，乙方还应当继续补足。</w:t>
      </w:r>
    </w:p>
    <w:p>
      <w:pPr>
        <w:pStyle w:val="448"/>
        <w:spacing w:line="360" w:lineRule="auto"/>
        <w:ind w:firstLine="480"/>
        <w:rPr>
          <w:rFonts w:ascii="宋体" w:hAnsi="宋体"/>
          <w:sz w:val="24"/>
        </w:rPr>
      </w:pPr>
      <w:r>
        <w:rPr>
          <w:rFonts w:hint="eastAsia" w:ascii="宋体" w:hAnsi="宋体"/>
          <w:sz w:val="24"/>
        </w:rPr>
        <w:t>3、甲方逾期付款违约责任：</w:t>
      </w:r>
    </w:p>
    <w:p>
      <w:pPr>
        <w:pStyle w:val="448"/>
        <w:spacing w:line="360" w:lineRule="auto"/>
        <w:ind w:firstLine="480"/>
        <w:rPr>
          <w:rFonts w:ascii="宋体" w:hAnsi="宋体"/>
          <w:sz w:val="24"/>
        </w:rPr>
      </w:pPr>
      <w:r>
        <w:rPr>
          <w:rFonts w:hint="eastAsia" w:ascii="宋体" w:hAnsi="宋体"/>
          <w:sz w:val="24"/>
        </w:rPr>
        <w:t>甲方若未按照本合同约定时间支付乙方款项，则每逾期一日，应按照应付款项的1‰向乙方支付违约金。</w:t>
      </w:r>
    </w:p>
    <w:p>
      <w:pPr>
        <w:pStyle w:val="448"/>
        <w:spacing w:line="360" w:lineRule="auto"/>
        <w:ind w:firstLine="480"/>
        <w:rPr>
          <w:rFonts w:ascii="宋体" w:hAnsi="宋体"/>
          <w:sz w:val="24"/>
        </w:rPr>
      </w:pPr>
      <w:r>
        <w:rPr>
          <w:rFonts w:hint="eastAsia" w:ascii="宋体" w:hAnsi="宋体"/>
          <w:sz w:val="24"/>
        </w:rPr>
        <w:t>4、乙方逾期交货违约责任</w:t>
      </w:r>
    </w:p>
    <w:p>
      <w:pPr>
        <w:pStyle w:val="448"/>
        <w:spacing w:line="360" w:lineRule="auto"/>
        <w:ind w:firstLine="480"/>
        <w:rPr>
          <w:rFonts w:ascii="宋体" w:hAnsi="宋体"/>
          <w:sz w:val="24"/>
        </w:rPr>
      </w:pPr>
      <w:r>
        <w:rPr>
          <w:rFonts w:hint="eastAsia" w:ascii="宋体" w:hAnsi="宋体"/>
          <w:sz w:val="24"/>
        </w:rPr>
        <w:t>乙方若未按照本合同约定向甲方提交调查成果的，在每逾期一日，应按照合同总价的1‰向甲方支付违约金。逾期超过30天仍未交付的，甲方有权直接解除本合同，解除通知达到乙方时本合同自动解除，合同解除之日起的7日内乙方除应返还甲方已支付的费用并支付甲方合同总金额10%的违约金，违约金不足以弥补甲方因此造成的损失，乙方还应当继续补足。</w:t>
      </w:r>
    </w:p>
    <w:p>
      <w:pPr>
        <w:pStyle w:val="448"/>
        <w:spacing w:line="360" w:lineRule="auto"/>
        <w:ind w:firstLine="480"/>
        <w:rPr>
          <w:rFonts w:ascii="宋体" w:hAnsi="宋体"/>
          <w:sz w:val="24"/>
        </w:rPr>
      </w:pPr>
      <w:r>
        <w:rPr>
          <w:rFonts w:hint="eastAsia" w:ascii="宋体" w:hAnsi="宋体"/>
          <w:sz w:val="24"/>
        </w:rPr>
        <w:t>5、乙方交货不符合合同约定的违约责任</w:t>
      </w:r>
    </w:p>
    <w:p>
      <w:pPr>
        <w:pStyle w:val="448"/>
        <w:spacing w:line="360" w:lineRule="auto"/>
        <w:ind w:firstLine="480"/>
        <w:rPr>
          <w:rFonts w:ascii="宋体" w:hAnsi="宋体"/>
          <w:sz w:val="24"/>
        </w:rPr>
      </w:pPr>
      <w:r>
        <w:rPr>
          <w:rFonts w:hint="eastAsia" w:ascii="宋体" w:hAnsi="宋体"/>
          <w:sz w:val="24"/>
        </w:rPr>
        <w:t>乙方若交付的成果不符合本合同约定，甲方不予验收，乙方应立即根据甲方意见采取改进措施，并在合同约定的期限内交付合格成果。否则，甲方有权解除本合同，解除通知到达乙方时即生效，合同解除后7个工作日内，乙方应立即返还甲方已支付的款项，并支付甲方合同总金额10%的违约金。违约金不足以弥补甲方因此造成的损失，双方协商处理。</w:t>
      </w:r>
    </w:p>
    <w:p>
      <w:pPr>
        <w:pStyle w:val="448"/>
        <w:spacing w:line="360" w:lineRule="auto"/>
        <w:ind w:firstLine="480"/>
        <w:rPr>
          <w:rFonts w:ascii="宋体" w:hAnsi="宋体" w:cs="宋体"/>
          <w:kern w:val="0"/>
          <w:sz w:val="24"/>
          <w:szCs w:val="27"/>
        </w:rPr>
      </w:pPr>
      <w:r>
        <w:rPr>
          <w:rFonts w:hint="eastAsia" w:ascii="宋体" w:hAnsi="宋体" w:cs="宋体"/>
          <w:kern w:val="0"/>
          <w:sz w:val="24"/>
          <w:szCs w:val="27"/>
        </w:rPr>
        <w:t>6、因乙方未提供相应的税务发票（提供不合格的发票视为未提供）导致甲方未能按进度付款的，合同约定的期限不变，由此造成的损失由乙方自行承担。</w:t>
      </w:r>
    </w:p>
    <w:p>
      <w:pPr>
        <w:pStyle w:val="448"/>
        <w:spacing w:line="360" w:lineRule="auto"/>
        <w:ind w:firstLine="480"/>
        <w:rPr>
          <w:rFonts w:ascii="宋体" w:hAnsi="宋体" w:cs="宋体"/>
          <w:kern w:val="0"/>
          <w:sz w:val="24"/>
          <w:szCs w:val="27"/>
        </w:rPr>
      </w:pPr>
      <w:r>
        <w:rPr>
          <w:rFonts w:hint="eastAsia" w:ascii="宋体" w:hAnsi="宋体" w:cs="宋体"/>
          <w:kern w:val="0"/>
          <w:sz w:val="24"/>
          <w:szCs w:val="27"/>
        </w:rPr>
        <w:t>7、未经甲方书面认可，乙方擅自以任何形式将本合同的主要义务转委托任何第三方履行的，甲方有权解除合同，同时要求乙方赔偿损失并支付合同总金额 的违约金，由此造成甲方的一切经济损失均由乙方承担。</w:t>
      </w:r>
    </w:p>
    <w:p>
      <w:pPr>
        <w:pStyle w:val="448"/>
        <w:spacing w:line="360" w:lineRule="auto"/>
        <w:ind w:firstLine="480"/>
        <w:rPr>
          <w:rFonts w:ascii="宋体" w:hAnsi="宋体" w:cs="宋体"/>
          <w:kern w:val="0"/>
          <w:sz w:val="24"/>
          <w:szCs w:val="27"/>
        </w:rPr>
      </w:pPr>
      <w:r>
        <w:rPr>
          <w:rFonts w:hint="eastAsia" w:ascii="宋体" w:hAnsi="宋体" w:cs="宋体"/>
          <w:kern w:val="0"/>
          <w:sz w:val="24"/>
          <w:szCs w:val="27"/>
        </w:rPr>
        <w:t>8、如乙方向甲方提供的成果及资料不真实、涉及知识产权纠纷或者侵害第三人的合法权益的，或有违规、造假等行为的，引发的一切后果（包括但不限于诉讼费、律师费等）由乙方全部承担，甲方不承担任何责任，且甲方有权不支付或者追回服务费，同时甲方有权解除本合同并要求乙方承担 的违约责任，对甲方造成损失的乙方全部赔偿。</w:t>
      </w:r>
    </w:p>
    <w:p>
      <w:pPr>
        <w:pStyle w:val="448"/>
        <w:spacing w:line="360" w:lineRule="auto"/>
        <w:ind w:firstLine="480"/>
        <w:rPr>
          <w:rFonts w:ascii="宋体" w:hAnsi="宋体" w:cs="宋体"/>
          <w:kern w:val="0"/>
          <w:sz w:val="24"/>
          <w:szCs w:val="27"/>
        </w:rPr>
      </w:pPr>
      <w:r>
        <w:rPr>
          <w:rFonts w:hint="eastAsia" w:ascii="宋体" w:hAnsi="宋体" w:cs="宋体"/>
          <w:kern w:val="0"/>
          <w:sz w:val="24"/>
          <w:szCs w:val="27"/>
        </w:rPr>
        <w:t>9、如乙方不履行保密义务、未经甲方同意在提交成果及资料前后，擅自将成果及资料对外公开、向第三方转让或用于本合同以外的项目的，乙方构成违约，甲方有权解除本合同，并有权要求乙方承担 的违约责任，如给甲方造成损失的还应承担全部的损失，如涉及刑事案件的交由相关部门处理。</w:t>
      </w:r>
    </w:p>
    <w:p>
      <w:pPr>
        <w:pStyle w:val="448"/>
        <w:spacing w:line="360" w:lineRule="auto"/>
        <w:ind w:firstLine="480"/>
        <w:rPr>
          <w:rFonts w:ascii="宋体" w:hAnsi="宋体"/>
          <w:sz w:val="24"/>
        </w:rPr>
      </w:pPr>
    </w:p>
    <w:p>
      <w:pPr>
        <w:pStyle w:val="447"/>
        <w:ind w:firstLine="198" w:firstLineChars="82"/>
        <w:jc w:val="left"/>
        <w:rPr>
          <w:b/>
        </w:rPr>
      </w:pPr>
      <w:r>
        <w:rPr>
          <w:rFonts w:hint="eastAsia"/>
          <w:b/>
        </w:rPr>
        <w:t>十一</w:t>
      </w:r>
      <w:r>
        <w:rPr>
          <w:b/>
        </w:rPr>
        <w:t>、</w:t>
      </w:r>
      <w:r>
        <w:rPr>
          <w:rFonts w:hint="eastAsia"/>
          <w:b/>
        </w:rPr>
        <w:t>不可抗力</w:t>
      </w:r>
    </w:p>
    <w:p>
      <w:pPr>
        <w:spacing w:line="360" w:lineRule="auto"/>
        <w:ind w:firstLine="480" w:firstLineChars="200"/>
        <w:rPr>
          <w:sz w:val="24"/>
        </w:rPr>
      </w:pPr>
      <w:r>
        <w:rPr>
          <w:rFonts w:hint="eastAsia"/>
          <w:sz w:val="24"/>
        </w:rPr>
        <w:t>1. 如果甲方和乙方因不可抗力而导致政府采购合同实施延误或不能履行政府采购合同义务，不应该承担误期赔偿或不能履行政府采购合同义务的责任。因甲方或乙方先延误或不能履行政府采购合同而后遇不可抗力的情形除外。</w:t>
      </w:r>
    </w:p>
    <w:p>
      <w:pPr>
        <w:spacing w:line="360" w:lineRule="auto"/>
        <w:ind w:firstLine="480" w:firstLineChars="200"/>
        <w:rPr>
          <w:sz w:val="24"/>
        </w:rPr>
      </w:pPr>
      <w:r>
        <w:rPr>
          <w:rFonts w:hint="eastAsia"/>
          <w:sz w:val="24"/>
        </w:rPr>
        <w:t>2. 本条所述的“不可抗力”系指那些双方无法控制，不可预见的事件，但不包括双方的违约或疏忽。这些事件包括但不限于：战争、严重火灾、洪水、台风、地震以及其它双方商定的事件。</w:t>
      </w:r>
    </w:p>
    <w:p>
      <w:pPr>
        <w:spacing w:line="360" w:lineRule="auto"/>
        <w:ind w:firstLine="480" w:firstLineChars="200"/>
        <w:rPr>
          <w:sz w:val="24"/>
        </w:rPr>
      </w:pPr>
      <w:r>
        <w:rPr>
          <w:rFonts w:hint="eastAsia"/>
          <w:sz w:val="24"/>
        </w:rPr>
        <w:t>3. 在不可抗力事件发生后，当事方应尽快以书面形式将不可抗力的情况和原因通知对方。双方应尽实际可能继续履行政府采购合同义务，并积极寻求采取合理的方案履行不受不可抗力影响的其它事项。双方应通过友好协商在合理的时间内达成进一步履行合同的协议。</w:t>
      </w:r>
    </w:p>
    <w:p>
      <w:pPr>
        <w:pStyle w:val="447"/>
        <w:ind w:firstLineChars="83"/>
        <w:jc w:val="left"/>
        <w:rPr>
          <w:b/>
        </w:rPr>
      </w:pPr>
      <w:r>
        <w:rPr>
          <w:rFonts w:hint="eastAsia"/>
          <w:b/>
        </w:rPr>
        <w:t>十二、合同纠纷处理</w:t>
      </w:r>
    </w:p>
    <w:p>
      <w:pPr>
        <w:spacing w:line="360" w:lineRule="auto"/>
        <w:ind w:firstLine="480" w:firstLineChars="200"/>
        <w:rPr>
          <w:rFonts w:ascii="宋体"/>
          <w:sz w:val="24"/>
        </w:rPr>
      </w:pPr>
      <w:r>
        <w:rPr>
          <w:rFonts w:hint="eastAsia"/>
          <w:sz w:val="24"/>
        </w:rPr>
        <w:t>甲方和乙方应通过友好协商，解决在执行本合同过程中所发生的或与本合同有关的一切争端。</w:t>
      </w:r>
      <w:r>
        <w:rPr>
          <w:rFonts w:hint="eastAsia" w:ascii="宋体"/>
          <w:sz w:val="24"/>
        </w:rPr>
        <w:t>如无法协商处理，采取第2种方式处理，具体如下：</w:t>
      </w:r>
    </w:p>
    <w:p>
      <w:pPr>
        <w:spacing w:line="360" w:lineRule="auto"/>
        <w:ind w:firstLine="480" w:firstLineChars="200"/>
        <w:rPr>
          <w:sz w:val="24"/>
        </w:rPr>
      </w:pPr>
      <w:r>
        <w:rPr>
          <w:rFonts w:hint="eastAsia"/>
          <w:sz w:val="24"/>
        </w:rPr>
        <w:t>1. 申请仲裁。仲裁地点为甲方所在地。</w:t>
      </w:r>
    </w:p>
    <w:p>
      <w:pPr>
        <w:spacing w:line="360" w:lineRule="auto"/>
        <w:ind w:firstLine="480" w:firstLineChars="200"/>
        <w:rPr>
          <w:sz w:val="24"/>
        </w:rPr>
      </w:pPr>
      <w:r>
        <w:rPr>
          <w:rFonts w:hint="eastAsia"/>
          <w:sz w:val="24"/>
        </w:rPr>
        <w:t>2. 提起诉讼。诉讼地点为甲方所在地。</w:t>
      </w:r>
    </w:p>
    <w:p>
      <w:pPr>
        <w:pStyle w:val="447"/>
        <w:ind w:firstLineChars="83"/>
        <w:rPr>
          <w:b/>
        </w:rPr>
      </w:pPr>
      <w:r>
        <w:rPr>
          <w:rFonts w:hint="eastAsia"/>
          <w:b/>
        </w:rPr>
        <w:t>十三、政府采购法对政府采购合同变更终止的规定</w:t>
      </w:r>
    </w:p>
    <w:p>
      <w:pPr>
        <w:spacing w:line="360" w:lineRule="auto"/>
        <w:ind w:firstLine="480" w:firstLineChars="200"/>
        <w:rPr>
          <w:rFonts w:hAnsi="宋体" w:cs="宋体"/>
          <w:sz w:val="24"/>
        </w:rPr>
      </w:pPr>
      <w:r>
        <w:rPr>
          <w:rFonts w:hint="eastAsia" w:hAnsi="宋体" w:cs="宋体"/>
          <w:sz w:val="24"/>
        </w:rPr>
        <w:t>政府采购合同的双方当事人(指甲乙双方)不得擅自变更、中止或者终止政府采购合同。政府采购合同继续履行将损害国家利益和社会公共利益的，双方当事人应当变更、中止或者终止政府采购合同。有过错的一方应当承担赔偿责任，双方都有过错的，各自承担相应的责任。</w:t>
      </w:r>
    </w:p>
    <w:p>
      <w:pPr>
        <w:pStyle w:val="447"/>
        <w:ind w:firstLineChars="83"/>
        <w:jc w:val="left"/>
        <w:rPr>
          <w:b/>
        </w:rPr>
      </w:pPr>
      <w:r>
        <w:rPr>
          <w:rFonts w:hint="eastAsia"/>
          <w:b/>
        </w:rPr>
        <w:t>十四、适用法律</w:t>
      </w:r>
    </w:p>
    <w:p>
      <w:pPr>
        <w:spacing w:line="360" w:lineRule="auto"/>
        <w:ind w:firstLine="480" w:firstLineChars="200"/>
        <w:rPr>
          <w:rFonts w:ascii="宋体" w:hAnsi="宋体"/>
          <w:sz w:val="24"/>
        </w:rPr>
      </w:pPr>
      <w:r>
        <w:rPr>
          <w:rFonts w:hint="eastAsia" w:ascii="宋体" w:hAnsi="宋体"/>
          <w:sz w:val="24"/>
        </w:rPr>
        <w:t>本合同按照中华人民共和国的现行法律进行解释。</w:t>
      </w:r>
    </w:p>
    <w:p>
      <w:pPr>
        <w:pStyle w:val="447"/>
        <w:ind w:firstLine="198" w:firstLineChars="82"/>
        <w:jc w:val="left"/>
        <w:rPr>
          <w:b/>
        </w:rPr>
      </w:pPr>
      <w:r>
        <w:rPr>
          <w:rFonts w:hint="eastAsia"/>
          <w:b/>
        </w:rPr>
        <w:t>十五</w:t>
      </w:r>
      <w:r>
        <w:rPr>
          <w:b/>
        </w:rPr>
        <w:t>、合同生效</w:t>
      </w:r>
    </w:p>
    <w:p>
      <w:pPr>
        <w:spacing w:line="360" w:lineRule="auto"/>
        <w:ind w:firstLine="480" w:firstLineChars="200"/>
        <w:rPr>
          <w:rFonts w:ascii="宋体" w:hAnsi="宋体"/>
          <w:sz w:val="24"/>
        </w:rPr>
      </w:pPr>
      <w:r>
        <w:rPr>
          <w:rFonts w:hint="eastAsia" w:ascii="宋体" w:hAnsi="宋体"/>
          <w:sz w:val="24"/>
        </w:rPr>
        <w:t>本合同由</w:t>
      </w:r>
      <w:r>
        <w:rPr>
          <w:rFonts w:ascii="宋体" w:hAnsi="宋体"/>
          <w:sz w:val="24"/>
        </w:rPr>
        <w:t>甲方双方签字盖章后生效。</w:t>
      </w:r>
    </w:p>
    <w:p>
      <w:pPr>
        <w:pStyle w:val="447"/>
        <w:ind w:firstLine="198" w:firstLineChars="82"/>
        <w:jc w:val="left"/>
        <w:rPr>
          <w:b/>
        </w:rPr>
      </w:pPr>
      <w:r>
        <w:rPr>
          <w:rFonts w:hint="eastAsia"/>
          <w:b/>
        </w:rPr>
        <w:t>十六、合同鉴证</w:t>
      </w:r>
    </w:p>
    <w:p>
      <w:pPr>
        <w:spacing w:line="360" w:lineRule="auto"/>
        <w:ind w:firstLine="480" w:firstLineChars="200"/>
        <w:rPr>
          <w:rFonts w:ascii="宋体" w:hAnsi="宋体"/>
          <w:b/>
          <w:sz w:val="24"/>
        </w:rPr>
      </w:pPr>
      <w:r>
        <w:rPr>
          <w:rFonts w:hint="eastAsia" w:ascii="宋体" w:hAnsi="宋体"/>
          <w:sz w:val="24"/>
        </w:rPr>
        <w:t>集中采购机构应当在本合同上签章，以证明本合同条款与采购文件、投标文件的相关要求相符并且未对采购货物和技术参数进行实质性修改。</w:t>
      </w:r>
    </w:p>
    <w:p>
      <w:pPr>
        <w:pStyle w:val="447"/>
        <w:ind w:firstLineChars="83"/>
        <w:rPr>
          <w:b/>
        </w:rPr>
      </w:pPr>
      <w:r>
        <w:rPr>
          <w:rFonts w:hint="eastAsia"/>
          <w:b/>
        </w:rPr>
        <w:t>十七、</w:t>
      </w:r>
      <w:r>
        <w:rPr>
          <w:b/>
        </w:rPr>
        <w:t>合同</w:t>
      </w:r>
      <w:r>
        <w:rPr>
          <w:rFonts w:hint="eastAsia"/>
          <w:b/>
        </w:rPr>
        <w:t>份数</w:t>
      </w:r>
    </w:p>
    <w:p>
      <w:pPr>
        <w:spacing w:line="360" w:lineRule="auto"/>
        <w:ind w:firstLine="480"/>
        <w:rPr>
          <w:rFonts w:hAnsi="宋体" w:cs="宋体"/>
          <w:sz w:val="24"/>
        </w:rPr>
      </w:pPr>
      <w:r>
        <w:rPr>
          <w:rFonts w:hint="eastAsia" w:hAnsi="宋体" w:cs="宋体"/>
          <w:sz w:val="24"/>
        </w:rPr>
        <w:t>本</w:t>
      </w:r>
      <w:r>
        <w:rPr>
          <w:rFonts w:hAnsi="宋体" w:cs="宋体"/>
          <w:sz w:val="24"/>
        </w:rPr>
        <w:t>合同一式</w:t>
      </w:r>
      <w:r>
        <w:rPr>
          <w:rFonts w:hint="eastAsia" w:hAnsi="宋体" w:cs="宋体"/>
          <w:sz w:val="24"/>
        </w:rPr>
        <w:t>捌份，</w:t>
      </w:r>
      <w:r>
        <w:rPr>
          <w:rFonts w:hAnsi="宋体" w:cs="宋体"/>
          <w:sz w:val="24"/>
        </w:rPr>
        <w:t>甲方、乙方各</w:t>
      </w:r>
      <w:r>
        <w:rPr>
          <w:rFonts w:hint="eastAsia" w:hAnsi="宋体" w:cs="宋体"/>
          <w:sz w:val="24"/>
        </w:rPr>
        <w:t>肆</w:t>
      </w:r>
      <w:r>
        <w:rPr>
          <w:rFonts w:hAnsi="宋体" w:cs="宋体"/>
          <w:sz w:val="24"/>
        </w:rPr>
        <w:t>份</w:t>
      </w:r>
      <w:r>
        <w:rPr>
          <w:rFonts w:hint="eastAsia" w:hAnsi="宋体" w:cs="宋体"/>
          <w:sz w:val="24"/>
        </w:rPr>
        <w:t>。</w:t>
      </w:r>
    </w:p>
    <w:p>
      <w:pPr>
        <w:rPr>
          <w:rFonts w:hAnsi="宋体" w:cs="宋体"/>
          <w:sz w:val="24"/>
        </w:rPr>
      </w:pPr>
      <w:r>
        <w:rPr>
          <w:rFonts w:hAnsi="宋体" w:cs="宋体"/>
          <w:sz w:val="24"/>
        </w:rPr>
        <w:br w:type="page"/>
      </w:r>
      <w:r>
        <w:rPr>
          <w:rFonts w:hint="eastAsia" w:hAnsi="宋体" w:cs="宋体"/>
          <w:sz w:val="24"/>
        </w:rPr>
        <w:t>本页无正文。</w:t>
      </w:r>
    </w:p>
    <w:p>
      <w:pPr>
        <w:spacing w:line="360" w:lineRule="auto"/>
        <w:ind w:firstLine="480"/>
        <w:rPr>
          <w:rFonts w:hAnsi="宋体" w:cs="宋体"/>
          <w:sz w:val="24"/>
        </w:rPr>
      </w:pPr>
    </w:p>
    <w:p>
      <w:pPr>
        <w:spacing w:line="360" w:lineRule="auto"/>
        <w:ind w:firstLine="480"/>
        <w:rPr>
          <w:rFonts w:hAnsi="宋体" w:cs="宋体"/>
          <w:sz w:val="24"/>
        </w:rPr>
      </w:pPr>
      <w:r>
        <w:rPr>
          <w:rFonts w:hint="eastAsia" w:hAnsi="宋体" w:cs="宋体"/>
          <w:sz w:val="24"/>
        </w:rPr>
        <w:t>甲方</w:t>
      </w:r>
      <w:r>
        <w:rPr>
          <w:rFonts w:hAnsi="宋体" w:cs="宋体"/>
          <w:sz w:val="24"/>
        </w:rPr>
        <w:t>：</w:t>
      </w:r>
      <w:r>
        <w:rPr>
          <w:rFonts w:hAnsi="宋体" w:cs="宋体"/>
          <w:sz w:val="24"/>
          <w:u w:val="single"/>
        </w:rPr>
        <w:t>（</w:t>
      </w:r>
      <w:r>
        <w:rPr>
          <w:rFonts w:hint="eastAsia" w:hAnsi="宋体" w:cs="宋体"/>
          <w:sz w:val="24"/>
          <w:u w:val="single"/>
        </w:rPr>
        <w:t>公章</w:t>
      </w:r>
      <w:r>
        <w:rPr>
          <w:rFonts w:hAnsi="宋体" w:cs="宋体"/>
          <w:sz w:val="24"/>
          <w:u w:val="single"/>
        </w:rPr>
        <w:t>）</w:t>
      </w:r>
    </w:p>
    <w:p>
      <w:pPr>
        <w:spacing w:line="360" w:lineRule="auto"/>
        <w:ind w:firstLine="480"/>
        <w:rPr>
          <w:rFonts w:hAnsi="宋体" w:cs="宋体"/>
          <w:sz w:val="24"/>
        </w:rPr>
      </w:pPr>
      <w:r>
        <w:rPr>
          <w:rFonts w:hint="eastAsia"/>
          <w:sz w:val="24"/>
        </w:rPr>
        <w:t>地址</w:t>
      </w:r>
      <w:r>
        <w:rPr>
          <w:sz w:val="24"/>
        </w:rPr>
        <w:t>：</w:t>
      </w:r>
    </w:p>
    <w:p>
      <w:pPr>
        <w:spacing w:line="360" w:lineRule="auto"/>
        <w:ind w:firstLine="480"/>
        <w:rPr>
          <w:rFonts w:hAnsi="宋体" w:cs="宋体"/>
          <w:sz w:val="24"/>
        </w:rPr>
      </w:pPr>
      <w:r>
        <w:rPr>
          <w:rFonts w:hint="eastAsia"/>
          <w:sz w:val="24"/>
        </w:rPr>
        <w:t>法定</w:t>
      </w:r>
      <w:r>
        <w:rPr>
          <w:sz w:val="24"/>
        </w:rPr>
        <w:t>（</w:t>
      </w:r>
      <w:r>
        <w:rPr>
          <w:rFonts w:hint="eastAsia"/>
          <w:sz w:val="24"/>
        </w:rPr>
        <w:t>授权</w:t>
      </w:r>
      <w:r>
        <w:rPr>
          <w:sz w:val="24"/>
        </w:rPr>
        <w:t>）</w:t>
      </w:r>
      <w:r>
        <w:rPr>
          <w:rFonts w:hint="eastAsia"/>
          <w:sz w:val="24"/>
        </w:rPr>
        <w:t>代表人</w:t>
      </w:r>
      <w:r>
        <w:rPr>
          <w:sz w:val="24"/>
        </w:rPr>
        <w:t>：</w:t>
      </w:r>
    </w:p>
    <w:p>
      <w:pPr>
        <w:spacing w:line="360" w:lineRule="auto"/>
        <w:ind w:firstLine="1024" w:firstLineChars="427"/>
        <w:rPr>
          <w:rFonts w:hAnsi="宋体" w:cs="宋体"/>
          <w:sz w:val="24"/>
        </w:rPr>
      </w:pPr>
      <w:r>
        <w:rPr>
          <w:rFonts w:hint="eastAsia"/>
          <w:sz w:val="24"/>
        </w:rPr>
        <w:t>年   月   日</w:t>
      </w:r>
    </w:p>
    <w:p>
      <w:pPr>
        <w:spacing w:line="360" w:lineRule="auto"/>
        <w:ind w:firstLine="480"/>
        <w:rPr>
          <w:rFonts w:hAnsi="宋体" w:cs="宋体"/>
          <w:sz w:val="24"/>
        </w:rPr>
      </w:pPr>
    </w:p>
    <w:p>
      <w:pPr>
        <w:spacing w:line="360" w:lineRule="auto"/>
        <w:ind w:firstLine="480"/>
        <w:rPr>
          <w:rFonts w:hAnsi="宋体" w:cs="宋体"/>
          <w:sz w:val="24"/>
        </w:rPr>
      </w:pPr>
      <w:r>
        <w:rPr>
          <w:rFonts w:hint="eastAsia"/>
          <w:sz w:val="24"/>
        </w:rPr>
        <w:t>乙方</w:t>
      </w:r>
      <w:r>
        <w:rPr>
          <w:sz w:val="24"/>
        </w:rPr>
        <w:t>：</w:t>
      </w:r>
      <w:r>
        <w:rPr>
          <w:rFonts w:hAnsi="宋体" w:cs="宋体"/>
          <w:sz w:val="24"/>
          <w:u w:val="single"/>
        </w:rPr>
        <w:t>（</w:t>
      </w:r>
      <w:r>
        <w:rPr>
          <w:rFonts w:hint="eastAsia" w:hAnsi="宋体" w:cs="宋体"/>
          <w:sz w:val="24"/>
          <w:u w:val="single"/>
        </w:rPr>
        <w:t>公章</w:t>
      </w:r>
      <w:r>
        <w:rPr>
          <w:rFonts w:hAnsi="宋体" w:cs="宋体"/>
          <w:sz w:val="24"/>
          <w:u w:val="single"/>
        </w:rPr>
        <w:t>）</w:t>
      </w:r>
    </w:p>
    <w:p>
      <w:pPr>
        <w:spacing w:line="360" w:lineRule="auto"/>
        <w:ind w:firstLine="480"/>
        <w:rPr>
          <w:rFonts w:hAnsi="宋体" w:cs="宋体"/>
          <w:sz w:val="24"/>
        </w:rPr>
      </w:pPr>
      <w:r>
        <w:rPr>
          <w:rFonts w:hint="eastAsia"/>
          <w:sz w:val="24"/>
          <w:u w:val="single"/>
        </w:rPr>
        <w:t>地址</w:t>
      </w:r>
      <w:r>
        <w:rPr>
          <w:sz w:val="24"/>
          <w:u w:val="single"/>
        </w:rPr>
        <w:t>：</w:t>
      </w:r>
    </w:p>
    <w:p>
      <w:pPr>
        <w:spacing w:line="360" w:lineRule="auto"/>
        <w:ind w:firstLine="480"/>
        <w:rPr>
          <w:rFonts w:hAnsi="宋体" w:cs="宋体"/>
          <w:sz w:val="24"/>
        </w:rPr>
      </w:pPr>
      <w:r>
        <w:rPr>
          <w:rFonts w:hint="eastAsia"/>
          <w:sz w:val="24"/>
        </w:rPr>
        <w:t>法定</w:t>
      </w:r>
      <w:r>
        <w:rPr>
          <w:sz w:val="24"/>
        </w:rPr>
        <w:t>（</w:t>
      </w:r>
      <w:r>
        <w:rPr>
          <w:rFonts w:hint="eastAsia"/>
          <w:sz w:val="24"/>
        </w:rPr>
        <w:t>授权</w:t>
      </w:r>
      <w:r>
        <w:rPr>
          <w:sz w:val="24"/>
        </w:rPr>
        <w:t>）</w:t>
      </w:r>
      <w:r>
        <w:rPr>
          <w:rFonts w:hint="eastAsia"/>
          <w:sz w:val="24"/>
        </w:rPr>
        <w:t>代表人</w:t>
      </w:r>
      <w:r>
        <w:rPr>
          <w:sz w:val="24"/>
        </w:rPr>
        <w:t>：</w:t>
      </w:r>
    </w:p>
    <w:p>
      <w:pPr>
        <w:spacing w:line="360" w:lineRule="auto"/>
        <w:ind w:firstLine="1024" w:firstLineChars="427"/>
        <w:rPr>
          <w:rFonts w:hAnsi="宋体" w:cs="宋体"/>
          <w:sz w:val="24"/>
        </w:rPr>
      </w:pPr>
      <w:r>
        <w:rPr>
          <w:rFonts w:hint="eastAsia"/>
          <w:sz w:val="24"/>
        </w:rPr>
        <w:t>年   月   日</w:t>
      </w:r>
    </w:p>
    <w:p>
      <w:pPr>
        <w:rPr>
          <w:sz w:val="24"/>
        </w:rPr>
      </w:pPr>
    </w:p>
    <w:p>
      <w:pPr>
        <w:rPr>
          <w:sz w:val="24"/>
        </w:rPr>
      </w:pPr>
    </w:p>
    <w:p>
      <w:pPr>
        <w:spacing w:line="440" w:lineRule="exact"/>
        <w:rPr>
          <w:rFonts w:ascii="仿宋" w:hAnsi="仿宋" w:eastAsia="仿宋"/>
          <w:b/>
          <w:sz w:val="24"/>
        </w:rPr>
      </w:pPr>
      <w:r>
        <w:rPr>
          <w:rFonts w:hint="eastAsia" w:ascii="仿宋" w:hAnsi="仿宋" w:eastAsia="仿宋"/>
          <w:b/>
          <w:sz w:val="24"/>
        </w:rPr>
        <w:t>招标代理机构声明：本合同标的经国信国采（海口）招标有限责任公司依法定程序采购，</w:t>
      </w:r>
    </w:p>
    <w:p>
      <w:pPr>
        <w:spacing w:line="440" w:lineRule="exact"/>
        <w:rPr>
          <w:rFonts w:ascii="仿宋" w:hAnsi="仿宋" w:eastAsia="仿宋"/>
          <w:b/>
          <w:sz w:val="24"/>
        </w:rPr>
      </w:pPr>
      <w:r>
        <w:rPr>
          <w:rFonts w:hint="eastAsia" w:ascii="仿宋" w:hAnsi="仿宋" w:eastAsia="仿宋"/>
          <w:b/>
          <w:sz w:val="24"/>
        </w:rPr>
        <w:t>合同主要条款内容与招投标文件的内容一致。</w:t>
      </w:r>
    </w:p>
    <w:p>
      <w:pPr>
        <w:spacing w:line="440" w:lineRule="exact"/>
        <w:rPr>
          <w:rFonts w:ascii="仿宋" w:hAnsi="仿宋" w:eastAsia="仿宋"/>
          <w:b/>
          <w:sz w:val="24"/>
        </w:rPr>
      </w:pPr>
      <w:r>
        <w:rPr>
          <w:rFonts w:hint="eastAsia" w:ascii="仿宋" w:hAnsi="仿宋" w:eastAsia="仿宋"/>
          <w:b/>
          <w:sz w:val="24"/>
        </w:rPr>
        <w:t>招标代理机构：国信国采（海口）招标有限责任公司（盖章）</w:t>
      </w:r>
    </w:p>
    <w:p>
      <w:pPr>
        <w:spacing w:line="440" w:lineRule="exact"/>
        <w:rPr>
          <w:rFonts w:ascii="仿宋" w:hAnsi="仿宋" w:eastAsia="仿宋"/>
          <w:b/>
          <w:sz w:val="24"/>
        </w:rPr>
      </w:pPr>
      <w:r>
        <w:rPr>
          <w:rFonts w:hint="eastAsia" w:ascii="仿宋" w:hAnsi="仿宋" w:eastAsia="仿宋"/>
          <w:b/>
          <w:sz w:val="24"/>
        </w:rPr>
        <w:t>经办人：</w:t>
      </w:r>
    </w:p>
    <w:p>
      <w:pPr>
        <w:widowControl/>
        <w:jc w:val="left"/>
      </w:pPr>
    </w:p>
    <w:p>
      <w:pPr>
        <w:spacing w:line="440" w:lineRule="exact"/>
        <w:ind w:left="4305" w:leftChars="2050"/>
        <w:rPr>
          <w:rFonts w:ascii="仿宋" w:hAnsi="仿宋" w:eastAsia="仿宋"/>
          <w:b/>
          <w:sz w:val="24"/>
        </w:rPr>
      </w:pPr>
    </w:p>
    <w:p>
      <w:pPr>
        <w:spacing w:line="440" w:lineRule="exact"/>
        <w:ind w:left="4305" w:leftChars="2050"/>
        <w:rPr>
          <w:rFonts w:ascii="仿宋" w:hAnsi="仿宋" w:eastAsia="仿宋"/>
          <w:b/>
          <w:sz w:val="24"/>
        </w:rPr>
      </w:pPr>
      <w:r>
        <w:rPr>
          <w:rFonts w:hint="eastAsia" w:ascii="仿宋" w:hAnsi="仿宋" w:eastAsia="仿宋"/>
          <w:b/>
          <w:sz w:val="24"/>
        </w:rPr>
        <w:t>签订日期：</w:t>
      </w:r>
      <w:r>
        <w:rPr>
          <w:rFonts w:hint="eastAsia" w:ascii="仿宋" w:hAnsi="仿宋" w:eastAsia="仿宋"/>
          <w:b/>
          <w:sz w:val="24"/>
          <w:u w:val="single"/>
        </w:rPr>
        <w:t xml:space="preserve">      </w:t>
      </w:r>
      <w:r>
        <w:rPr>
          <w:rFonts w:hint="eastAsia" w:ascii="仿宋" w:hAnsi="仿宋" w:eastAsia="仿宋"/>
          <w:b/>
          <w:sz w:val="24"/>
        </w:rPr>
        <w:t>年</w:t>
      </w:r>
      <w:r>
        <w:rPr>
          <w:rFonts w:hint="eastAsia" w:ascii="仿宋" w:hAnsi="仿宋" w:eastAsia="仿宋"/>
          <w:b/>
          <w:sz w:val="24"/>
          <w:u w:val="single"/>
        </w:rPr>
        <w:t xml:space="preserve">    </w:t>
      </w:r>
      <w:r>
        <w:rPr>
          <w:rFonts w:hint="eastAsia" w:ascii="仿宋" w:hAnsi="仿宋" w:eastAsia="仿宋"/>
          <w:b/>
          <w:sz w:val="24"/>
        </w:rPr>
        <w:t>月</w:t>
      </w:r>
      <w:r>
        <w:rPr>
          <w:rFonts w:hint="eastAsia" w:ascii="仿宋" w:hAnsi="仿宋" w:eastAsia="仿宋"/>
          <w:b/>
          <w:sz w:val="24"/>
          <w:u w:val="single"/>
        </w:rPr>
        <w:t xml:space="preserve">     </w:t>
      </w:r>
      <w:r>
        <w:rPr>
          <w:rFonts w:hint="eastAsia" w:ascii="仿宋" w:hAnsi="仿宋" w:eastAsia="仿宋"/>
          <w:b/>
          <w:sz w:val="24"/>
        </w:rPr>
        <w:t>日</w:t>
      </w:r>
    </w:p>
    <w:p>
      <w:pPr>
        <w:rPr>
          <w:sz w:val="24"/>
        </w:rPr>
      </w:pPr>
      <w:r>
        <w:rPr>
          <w:rFonts w:hint="eastAsia"/>
          <w:sz w:val="24"/>
        </w:rPr>
        <w:br w:type="page"/>
      </w:r>
    </w:p>
    <w:p>
      <w:pPr>
        <w:snapToGrid w:val="0"/>
        <w:spacing w:after="156" w:afterLines="50"/>
        <w:jc w:val="center"/>
        <w:outlineLvl w:val="0"/>
        <w:rPr>
          <w:sz w:val="36"/>
          <w:szCs w:val="36"/>
        </w:rPr>
      </w:pPr>
      <w:bookmarkStart w:id="100" w:name="_Toc2995"/>
      <w:r>
        <w:rPr>
          <w:rFonts w:hint="eastAsia"/>
          <w:sz w:val="36"/>
          <w:szCs w:val="36"/>
        </w:rPr>
        <w:t>第五章采购需求</w:t>
      </w:r>
      <w:bookmarkEnd w:id="99"/>
      <w:bookmarkEnd w:id="100"/>
    </w:p>
    <w:p>
      <w:pPr>
        <w:snapToGrid w:val="0"/>
        <w:spacing w:before="156" w:beforeLines="50" w:after="156" w:afterLines="50" w:line="400" w:lineRule="atLeast"/>
        <w:rPr>
          <w:rFonts w:asciiTheme="minorEastAsia" w:hAnsiTheme="minorEastAsia" w:eastAsiaTheme="minorEastAsia"/>
          <w:b/>
          <w:sz w:val="24"/>
        </w:rPr>
      </w:pPr>
      <w:r>
        <w:rPr>
          <w:rFonts w:hint="eastAsia" w:asciiTheme="minorEastAsia" w:hAnsiTheme="minorEastAsia" w:eastAsiaTheme="minorEastAsia"/>
          <w:b/>
          <w:sz w:val="24"/>
        </w:rPr>
        <w:t>一、</w:t>
      </w:r>
      <w:r>
        <w:rPr>
          <w:rFonts w:asciiTheme="minorEastAsia" w:hAnsiTheme="minorEastAsia" w:eastAsiaTheme="minorEastAsia"/>
          <w:b/>
          <w:sz w:val="24"/>
        </w:rPr>
        <w:t>采购标的需实现的目标</w:t>
      </w:r>
    </w:p>
    <w:p>
      <w:pPr>
        <w:snapToGrid w:val="0"/>
        <w:spacing w:before="156" w:beforeLines="50" w:after="156" w:afterLines="50" w:line="400" w:lineRule="atLeast"/>
        <w:ind w:firstLine="480" w:firstLineChars="200"/>
        <w:rPr>
          <w:rFonts w:asciiTheme="minorEastAsia" w:hAnsiTheme="minorEastAsia" w:eastAsiaTheme="minorEastAsia"/>
          <w:sz w:val="24"/>
        </w:rPr>
      </w:pPr>
      <w:r>
        <w:rPr>
          <w:rFonts w:asciiTheme="minorEastAsia" w:hAnsiTheme="minorEastAsia" w:eastAsiaTheme="minorEastAsia"/>
          <w:sz w:val="24"/>
        </w:rPr>
        <w:t>根据以下文件：</w:t>
      </w:r>
      <w:r>
        <w:rPr>
          <w:rFonts w:hint="eastAsia" w:asciiTheme="minorEastAsia" w:hAnsiTheme="minorEastAsia" w:eastAsiaTheme="minorEastAsia"/>
          <w:sz w:val="24"/>
        </w:rPr>
        <w:t>（1）关于印发《调整海域无居民海岛使用金征收标准》的通知（财综〔2018〕15号）；（2）《关于全民所有自然资源资产有偿使用制度改革的指导意见》（国发[2016]82号）；（3）《中共中央办公厅国务院办公厅关于印发&lt;国家生态文明试验区（海南）实施方案&gt;的通知》（厅字[2019]29号）的精神和要求。组织实施海南省海域使用金地方标准、海域基准价格和海域评估技术规范的制定工作，为海南省海域使用审批方式和市场方式出让海域提供依据。</w:t>
      </w:r>
    </w:p>
    <w:p>
      <w:pPr>
        <w:snapToGrid w:val="0"/>
        <w:spacing w:before="156" w:beforeLines="50" w:after="156" w:afterLines="50" w:line="400" w:lineRule="atLeast"/>
        <w:rPr>
          <w:rFonts w:asciiTheme="minorEastAsia" w:hAnsiTheme="minorEastAsia" w:eastAsiaTheme="minorEastAsia"/>
          <w:b/>
          <w:sz w:val="24"/>
        </w:rPr>
      </w:pPr>
      <w:r>
        <w:rPr>
          <w:rFonts w:hint="eastAsia" w:asciiTheme="minorEastAsia" w:hAnsiTheme="minorEastAsia" w:eastAsiaTheme="minorEastAsia"/>
          <w:b/>
          <w:sz w:val="24"/>
        </w:rPr>
        <w:t>二、</w:t>
      </w:r>
      <w:r>
        <w:rPr>
          <w:rFonts w:asciiTheme="minorEastAsia" w:hAnsiTheme="minorEastAsia" w:eastAsiaTheme="minorEastAsia"/>
          <w:b/>
          <w:sz w:val="24"/>
        </w:rPr>
        <w:t>执行的相关标准、规范</w:t>
      </w:r>
    </w:p>
    <w:p>
      <w:pPr>
        <w:pStyle w:val="67"/>
        <w:snapToGrid w:val="0"/>
        <w:spacing w:after="210" w:afterAutospacing="0"/>
        <w:ind w:firstLine="480" w:firstLineChars="200"/>
        <w:jc w:val="both"/>
        <w:rPr>
          <w:rFonts w:asciiTheme="minorEastAsia" w:hAnsiTheme="minorEastAsia" w:eastAsiaTheme="minorEastAsia"/>
        </w:rPr>
      </w:pPr>
      <w:r>
        <w:rPr>
          <w:rFonts w:hint="eastAsia" w:asciiTheme="minorEastAsia" w:hAnsiTheme="minorEastAsia" w:eastAsiaTheme="minorEastAsia"/>
        </w:rPr>
        <w:t>（1）自然资源部办公厅印发的《海域定级技术指引（试行）》（2018年）；</w:t>
      </w:r>
    </w:p>
    <w:p>
      <w:pPr>
        <w:pStyle w:val="67"/>
        <w:snapToGrid w:val="0"/>
        <w:spacing w:after="210" w:afterAutospacing="0"/>
        <w:ind w:firstLine="480" w:firstLineChars="200"/>
        <w:jc w:val="both"/>
        <w:rPr>
          <w:rFonts w:asciiTheme="minorEastAsia" w:hAnsiTheme="minorEastAsia" w:eastAsiaTheme="minorEastAsia"/>
        </w:rPr>
      </w:pPr>
      <w:r>
        <w:rPr>
          <w:rFonts w:hint="eastAsia" w:asciiTheme="minorEastAsia" w:hAnsiTheme="minorEastAsia" w:eastAsiaTheme="minorEastAsia"/>
        </w:rPr>
        <w:t>（2）</w:t>
      </w:r>
      <w:r>
        <w:rPr>
          <w:rFonts w:asciiTheme="minorEastAsia" w:hAnsiTheme="minorEastAsia" w:eastAsiaTheme="minorEastAsia"/>
        </w:rPr>
        <w:t>财政部 国家海洋局印发《关于调整海域、无居民海岛使用金征收标准的通知》</w:t>
      </w:r>
      <w:r>
        <w:rPr>
          <w:rFonts w:hint="eastAsia" w:asciiTheme="minorEastAsia" w:hAnsiTheme="minorEastAsia" w:eastAsiaTheme="minorEastAsia"/>
        </w:rPr>
        <w:t>（财综〔2018〕15号）</w:t>
      </w:r>
      <w:r>
        <w:rPr>
          <w:rFonts w:asciiTheme="minorEastAsia" w:hAnsiTheme="minorEastAsia" w:eastAsiaTheme="minorEastAsia"/>
        </w:rPr>
        <w:t>文件的海域使用金征收标准；</w:t>
      </w:r>
    </w:p>
    <w:p>
      <w:pPr>
        <w:snapToGrid w:val="0"/>
        <w:ind w:firstLine="480" w:firstLineChars="200"/>
        <w:rPr>
          <w:rFonts w:asciiTheme="minorEastAsia" w:hAnsiTheme="minorEastAsia" w:eastAsiaTheme="minorEastAsia"/>
          <w:sz w:val="24"/>
        </w:rPr>
      </w:pPr>
      <w:r>
        <w:rPr>
          <w:rFonts w:asciiTheme="minorEastAsia" w:hAnsiTheme="minorEastAsia" w:eastAsiaTheme="minorEastAsia"/>
          <w:sz w:val="24"/>
        </w:rPr>
        <w:t>（3）</w:t>
      </w:r>
      <w:r>
        <w:rPr>
          <w:rFonts w:hint="eastAsia" w:asciiTheme="minorEastAsia" w:hAnsiTheme="minorEastAsia" w:eastAsiaTheme="minorEastAsia"/>
          <w:sz w:val="24"/>
        </w:rPr>
        <w:t>海南省农业填海造地养殖盐业用海海域使用金征收标准和管理规定（琼财综〔2007〕2087 号）。</w:t>
      </w:r>
    </w:p>
    <w:p>
      <w:pPr>
        <w:pStyle w:val="2"/>
        <w:ind w:firstLine="480" w:firstLineChars="200"/>
      </w:pPr>
      <w:r>
        <w:rPr>
          <w:rFonts w:cs="Arial Unicode MS" w:asciiTheme="minorEastAsia" w:hAnsiTheme="minorEastAsia" w:eastAsiaTheme="minorEastAsia"/>
          <w:b w:val="0"/>
          <w:bCs w:val="0"/>
          <w:kern w:val="0"/>
          <w:sz w:val="24"/>
          <w:szCs w:val="24"/>
        </w:rPr>
        <w:t>（</w:t>
      </w:r>
      <w:r>
        <w:rPr>
          <w:rFonts w:hint="eastAsia" w:cs="Arial Unicode MS" w:asciiTheme="minorEastAsia" w:hAnsiTheme="minorEastAsia" w:eastAsiaTheme="minorEastAsia"/>
          <w:b w:val="0"/>
          <w:bCs w:val="0"/>
          <w:kern w:val="0"/>
          <w:sz w:val="24"/>
          <w:szCs w:val="24"/>
        </w:rPr>
        <w:t>3</w:t>
      </w:r>
      <w:r>
        <w:rPr>
          <w:rFonts w:cs="Arial Unicode MS" w:asciiTheme="minorEastAsia" w:hAnsiTheme="minorEastAsia" w:eastAsiaTheme="minorEastAsia"/>
          <w:b w:val="0"/>
          <w:bCs w:val="0"/>
          <w:kern w:val="0"/>
          <w:sz w:val="24"/>
          <w:szCs w:val="24"/>
        </w:rPr>
        <w:t>）海南省自然资源和规划厅、海南省司法厅、海南省农业农村厅海南省生态环境厅印发《关于进一步做好全省水产养殖清退整改工作中渔民转产转业养殖用海审批和海域使用金征收工作的意见》（琼自然资函〔2020〕140号）。</w:t>
      </w:r>
    </w:p>
    <w:p>
      <w:pPr>
        <w:numPr>
          <w:ilvl w:val="0"/>
          <w:numId w:val="17"/>
        </w:numPr>
        <w:snapToGrid w:val="0"/>
        <w:spacing w:before="156" w:beforeLines="50" w:after="156" w:afterLines="50" w:line="400" w:lineRule="atLeast"/>
        <w:rPr>
          <w:rFonts w:asciiTheme="minorEastAsia" w:hAnsiTheme="minorEastAsia" w:eastAsiaTheme="minorEastAsia"/>
          <w:b/>
          <w:sz w:val="24"/>
        </w:rPr>
      </w:pPr>
      <w:r>
        <w:rPr>
          <w:rFonts w:hint="eastAsia" w:asciiTheme="minorEastAsia" w:hAnsiTheme="minorEastAsia" w:eastAsiaTheme="minorEastAsia"/>
          <w:b/>
          <w:sz w:val="24"/>
        </w:rPr>
        <w:t>工作内容</w:t>
      </w:r>
    </w:p>
    <w:p>
      <w:pPr>
        <w:snapToGrid w:val="0"/>
        <w:spacing w:before="156" w:beforeLines="50" w:after="156" w:afterLines="50" w:line="40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（1）依据自然资源部办公厅印发的《海域定级技术指引（试行）》要求，对15类用海方式进行定级；</w:t>
      </w:r>
    </w:p>
    <w:p>
      <w:pPr>
        <w:snapToGrid w:val="0"/>
        <w:spacing w:before="156" w:beforeLines="50" w:after="156" w:afterLines="50" w:line="40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2）对定级的15类用海方式，综合考虑海域级别综合分值、等别与级别之间分值差异的连贯性和管理需求，计算并确定每个级别的海域使用征收金标准调整系数；对未分等定级的10类用海效益区域差异不明显的用海方式，采用经济发展水平和资源稀缺性指标，依据德尔菲法或定级分值替代法计算并确定每个级别的海域使用征收金标准调整系数；养殖用海以海南省农业填海造地养殖盐业用海海域使用金征收标准和管理规定（琼财综[2007]2087号）为基础，确定调整系数，完成制定海南省海域使用金征收标准。</w:t>
      </w:r>
    </w:p>
    <w:p>
      <w:pPr>
        <w:snapToGrid w:val="0"/>
        <w:spacing w:before="156" w:beforeLines="50" w:after="156" w:afterLines="50" w:line="40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（3）测算评估海南省海域各类用海的海域基准价格，建立海南省海域各类用海基准价格修正体系和海南省宗海价格评估方法体系。</w:t>
      </w:r>
    </w:p>
    <w:p>
      <w:pPr>
        <w:pStyle w:val="425"/>
        <w:snapToGrid w:val="0"/>
        <w:spacing w:before="156" w:beforeLines="50" w:after="156" w:afterLines="50" w:line="400" w:lineRule="atLeast"/>
        <w:ind w:left="420" w:firstLine="0" w:firstLineChars="0"/>
        <w:rPr>
          <w:rFonts w:asciiTheme="minorEastAsia" w:hAnsiTheme="minorEastAsia" w:eastAsiaTheme="minorEastAsia"/>
          <w:sz w:val="24"/>
        </w:rPr>
      </w:pPr>
      <w:r>
        <w:rPr>
          <w:rFonts w:hint="eastAsia" w:asciiTheme="minorEastAsia" w:hAnsiTheme="minorEastAsia" w:eastAsiaTheme="minorEastAsia"/>
          <w:sz w:val="24"/>
        </w:rPr>
        <w:t>（4）完成编制《海南省海域价格评估技术规范》。</w:t>
      </w:r>
    </w:p>
    <w:p>
      <w:pPr>
        <w:snapToGrid w:val="0"/>
        <w:spacing w:line="400" w:lineRule="atLeast"/>
        <w:rPr>
          <w:rFonts w:asciiTheme="minorEastAsia" w:hAnsiTheme="minorEastAsia" w:eastAsiaTheme="minorEastAsia"/>
          <w:sz w:val="24"/>
        </w:rPr>
      </w:pPr>
      <w:r>
        <w:rPr>
          <w:rFonts w:hint="eastAsia" w:asciiTheme="minorEastAsia" w:hAnsiTheme="minorEastAsia" w:eastAsiaTheme="minorEastAsia"/>
          <w:b/>
          <w:sz w:val="24"/>
        </w:rPr>
        <w:t>四、项目工作时间及进度计划</w:t>
      </w:r>
      <w:r>
        <w:rPr>
          <w:rFonts w:hint="eastAsia" w:asciiTheme="minorEastAsia" w:hAnsiTheme="minorEastAsia" w:eastAsiaTheme="minorEastAsia"/>
          <w:sz w:val="24"/>
        </w:rPr>
        <w:tab/>
      </w:r>
    </w:p>
    <w:p>
      <w:pPr>
        <w:snapToGrid w:val="0"/>
        <w:spacing w:before="156" w:beforeLines="50" w:after="156" w:afterLines="50" w:line="400" w:lineRule="atLeast"/>
        <w:ind w:firstLine="480" w:firstLineChars="200"/>
        <w:rPr>
          <w:rFonts w:asciiTheme="minorEastAsia" w:hAnsiTheme="minorEastAsia" w:eastAsiaTheme="minorEastAsia"/>
          <w:sz w:val="24"/>
        </w:rPr>
      </w:pPr>
      <w:r>
        <w:rPr>
          <w:rFonts w:hint="eastAsia" w:asciiTheme="minorEastAsia" w:hAnsiTheme="minorEastAsia" w:eastAsiaTheme="minorEastAsia"/>
          <w:sz w:val="24"/>
        </w:rPr>
        <w:t>项目分二年期，2020年12月25日前完成海南省海域使用金地方标准任务成果；2021年12月25日前完成海南省基准价格制定和海南省海域价格评估技术规范制定成果。</w:t>
      </w:r>
    </w:p>
    <w:p>
      <w:pPr>
        <w:snapToGrid w:val="0"/>
        <w:spacing w:line="400" w:lineRule="atLeast"/>
        <w:rPr>
          <w:rFonts w:asciiTheme="minorEastAsia" w:hAnsiTheme="minorEastAsia" w:eastAsiaTheme="minorEastAsia"/>
          <w:sz w:val="24"/>
        </w:rPr>
      </w:pPr>
      <w:r>
        <w:rPr>
          <w:rFonts w:hint="eastAsia" w:asciiTheme="minorEastAsia" w:hAnsiTheme="minorEastAsia" w:eastAsiaTheme="minorEastAsia"/>
          <w:b/>
          <w:sz w:val="24"/>
        </w:rPr>
        <w:t>五、项目成果要求</w:t>
      </w:r>
      <w:r>
        <w:rPr>
          <w:rFonts w:asciiTheme="minorEastAsia" w:hAnsiTheme="minorEastAsia" w:eastAsiaTheme="minorEastAsia"/>
          <w:sz w:val="24"/>
        </w:rPr>
        <w:tab/>
      </w:r>
    </w:p>
    <w:p>
      <w:pPr>
        <w:pStyle w:val="71"/>
        <w:spacing w:line="400" w:lineRule="atLeast"/>
        <w:ind w:firstLine="48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项目成果包括：</w:t>
      </w:r>
      <w:bookmarkStart w:id="101" w:name="_Toc21097680"/>
    </w:p>
    <w:p>
      <w:pPr>
        <w:pStyle w:val="71"/>
        <w:spacing w:line="400" w:lineRule="atLeast"/>
        <w:ind w:firstLine="482"/>
        <w:rPr>
          <w:rFonts w:asciiTheme="minorEastAsia" w:hAnsiTheme="minorEastAsia" w:eastAsiaTheme="minorEastAsia"/>
          <w:b/>
          <w:bCs/>
          <w:color w:val="auto"/>
          <w:kern w:val="0"/>
          <w:sz w:val="24"/>
        </w:rPr>
      </w:pPr>
      <w:r>
        <w:rPr>
          <w:rFonts w:hint="eastAsia" w:asciiTheme="minorEastAsia" w:hAnsiTheme="minorEastAsia" w:eastAsiaTheme="minorEastAsia"/>
          <w:b/>
          <w:bCs/>
          <w:color w:val="auto"/>
          <w:kern w:val="0"/>
          <w:sz w:val="24"/>
        </w:rPr>
        <w:t>1、文字报告成果</w:t>
      </w:r>
      <w:bookmarkEnd w:id="101"/>
    </w:p>
    <w:p>
      <w:pPr>
        <w:pStyle w:val="71"/>
        <w:spacing w:line="400" w:lineRule="atLeast"/>
        <w:ind w:firstLine="48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（1）《海域定级技术报告》 ；</w:t>
      </w:r>
    </w:p>
    <w:p>
      <w:pPr>
        <w:pStyle w:val="71"/>
        <w:spacing w:line="400" w:lineRule="atLeast"/>
        <w:ind w:firstLine="48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（2）《海南省海域使用金征收标准》；</w:t>
      </w:r>
    </w:p>
    <w:p>
      <w:pPr>
        <w:pStyle w:val="71"/>
        <w:spacing w:line="400" w:lineRule="atLeast"/>
        <w:ind w:firstLine="48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 xml:space="preserve">（3）《海南省海域各基准价格》； </w:t>
      </w:r>
    </w:p>
    <w:p>
      <w:pPr>
        <w:pStyle w:val="71"/>
        <w:spacing w:line="400" w:lineRule="atLeast"/>
        <w:ind w:firstLine="48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 xml:space="preserve"> (4)《海南省海域价格评估技术规范》</w:t>
      </w:r>
      <w:bookmarkStart w:id="102" w:name="_Toc21097681"/>
      <w:r>
        <w:rPr>
          <w:rFonts w:hint="eastAsia" w:asciiTheme="minorEastAsia" w:hAnsiTheme="minorEastAsia" w:eastAsiaTheme="minorEastAsia"/>
          <w:color w:val="auto"/>
          <w:kern w:val="0"/>
          <w:sz w:val="24"/>
        </w:rPr>
        <w:t xml:space="preserve"> 。</w:t>
      </w:r>
    </w:p>
    <w:p>
      <w:pPr>
        <w:pStyle w:val="71"/>
        <w:spacing w:line="400" w:lineRule="atLeast"/>
        <w:ind w:firstLine="482"/>
        <w:rPr>
          <w:rFonts w:asciiTheme="minorEastAsia" w:hAnsiTheme="minorEastAsia" w:eastAsiaTheme="minorEastAsia"/>
          <w:b/>
          <w:bCs/>
          <w:color w:val="auto"/>
          <w:kern w:val="0"/>
          <w:sz w:val="24"/>
        </w:rPr>
      </w:pPr>
      <w:r>
        <w:rPr>
          <w:rFonts w:hint="eastAsia" w:asciiTheme="minorEastAsia" w:hAnsiTheme="minorEastAsia" w:eastAsiaTheme="minorEastAsia"/>
          <w:b/>
          <w:bCs/>
          <w:color w:val="auto"/>
          <w:kern w:val="0"/>
          <w:sz w:val="24"/>
        </w:rPr>
        <w:t>2、图件成果</w:t>
      </w:r>
      <w:bookmarkEnd w:id="102"/>
    </w:p>
    <w:p>
      <w:pPr>
        <w:pStyle w:val="71"/>
        <w:spacing w:line="400" w:lineRule="atLeast"/>
        <w:ind w:firstLine="48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图件成果包括：各用海方式定级单元分值图，各用海方式级别图和各类用海级别基准价格图</w:t>
      </w:r>
      <w:bookmarkStart w:id="103" w:name="_Toc21097682"/>
      <w:r>
        <w:rPr>
          <w:rFonts w:hint="eastAsia" w:asciiTheme="minorEastAsia" w:hAnsiTheme="minorEastAsia" w:eastAsiaTheme="minorEastAsia"/>
          <w:color w:val="auto"/>
          <w:kern w:val="0"/>
          <w:sz w:val="24"/>
        </w:rPr>
        <w:t>。</w:t>
      </w:r>
    </w:p>
    <w:p>
      <w:pPr>
        <w:pStyle w:val="71"/>
        <w:numPr>
          <w:ilvl w:val="0"/>
          <w:numId w:val="16"/>
        </w:numPr>
        <w:spacing w:line="400" w:lineRule="atLeast"/>
        <w:ind w:firstLine="482"/>
        <w:rPr>
          <w:rFonts w:asciiTheme="minorEastAsia" w:hAnsiTheme="minorEastAsia" w:eastAsiaTheme="minorEastAsia"/>
          <w:b/>
          <w:bCs/>
          <w:color w:val="auto"/>
          <w:kern w:val="0"/>
          <w:sz w:val="24"/>
        </w:rPr>
      </w:pPr>
      <w:r>
        <w:rPr>
          <w:rFonts w:hint="eastAsia" w:asciiTheme="minorEastAsia" w:hAnsiTheme="minorEastAsia" w:eastAsiaTheme="minorEastAsia"/>
          <w:b/>
          <w:bCs/>
          <w:color w:val="auto"/>
          <w:kern w:val="0"/>
          <w:sz w:val="24"/>
        </w:rPr>
        <w:t>表格成果</w:t>
      </w:r>
      <w:bookmarkEnd w:id="103"/>
    </w:p>
    <w:p>
      <w:pPr>
        <w:pStyle w:val="71"/>
        <w:spacing w:line="400" w:lineRule="atLeast"/>
        <w:ind w:firstLine="480"/>
        <w:rPr>
          <w:rFonts w:asciiTheme="minorEastAsia" w:hAnsiTheme="minorEastAsia" w:eastAsiaTheme="minorEastAsia"/>
          <w:color w:val="auto"/>
          <w:kern w:val="0"/>
          <w:sz w:val="24"/>
        </w:rPr>
      </w:pPr>
      <w:r>
        <w:rPr>
          <w:rFonts w:hint="eastAsia" w:asciiTheme="minorEastAsia" w:hAnsiTheme="minorEastAsia" w:eastAsiaTheme="minorEastAsia"/>
          <w:color w:val="auto"/>
          <w:kern w:val="0"/>
          <w:sz w:val="24"/>
        </w:rPr>
        <w:t>表格成果包括：各类用海级别基准价格表，海南省海域使用金收费标准表，各类用海基准价格因素修正系数表，各类用海基准价格修正因素指标条件说明表</w:t>
      </w:r>
      <w:bookmarkStart w:id="104" w:name="_Toc21097683"/>
      <w:r>
        <w:rPr>
          <w:rFonts w:hint="eastAsia" w:asciiTheme="minorEastAsia" w:hAnsiTheme="minorEastAsia" w:eastAsiaTheme="minorEastAsia"/>
          <w:color w:val="auto"/>
          <w:kern w:val="0"/>
          <w:sz w:val="24"/>
        </w:rPr>
        <w:t>。</w:t>
      </w:r>
    </w:p>
    <w:p>
      <w:pPr>
        <w:pStyle w:val="71"/>
        <w:numPr>
          <w:ilvl w:val="0"/>
          <w:numId w:val="16"/>
        </w:numPr>
        <w:spacing w:line="360" w:lineRule="auto"/>
        <w:ind w:firstLine="482"/>
        <w:rPr>
          <w:rFonts w:asciiTheme="minorEastAsia" w:hAnsiTheme="minorEastAsia" w:eastAsiaTheme="minorEastAsia"/>
          <w:b/>
          <w:bCs/>
          <w:color w:val="auto"/>
          <w:kern w:val="0"/>
          <w:sz w:val="24"/>
        </w:rPr>
      </w:pPr>
      <w:r>
        <w:rPr>
          <w:rFonts w:hint="eastAsia" w:asciiTheme="minorEastAsia" w:hAnsiTheme="minorEastAsia" w:eastAsiaTheme="minorEastAsia"/>
          <w:b/>
          <w:bCs/>
          <w:color w:val="auto"/>
          <w:kern w:val="0"/>
          <w:sz w:val="24"/>
        </w:rPr>
        <w:t>电子成果</w:t>
      </w:r>
      <w:bookmarkEnd w:id="104"/>
    </w:p>
    <w:p>
      <w:pPr>
        <w:pStyle w:val="67"/>
        <w:snapToGrid w:val="0"/>
        <w:spacing w:before="0" w:beforeAutospacing="0" w:after="0" w:afterAutospacing="0"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所有文字成果、图件资料和表格资料的电子版。</w:t>
      </w:r>
    </w:p>
    <w:p>
      <w:pPr>
        <w:rPr>
          <w:rFonts w:ascii="宋体" w:hAnsi="宋体"/>
          <w:b/>
          <w:sz w:val="24"/>
        </w:rPr>
      </w:pPr>
      <w:r>
        <w:rPr>
          <w:rFonts w:hint="eastAsia" w:ascii="宋体" w:hAnsi="宋体"/>
          <w:b/>
          <w:sz w:val="24"/>
        </w:rPr>
        <w:t>六、验收标准和方式</w:t>
      </w:r>
    </w:p>
    <w:p>
      <w:pPr>
        <w:pStyle w:val="67"/>
        <w:snapToGrid w:val="0"/>
        <w:spacing w:before="0" w:beforeAutospacing="0" w:after="0" w:afterAutospacing="0" w:line="360" w:lineRule="auto"/>
        <w:ind w:firstLine="480" w:firstLineChars="200"/>
        <w:jc w:val="both"/>
        <w:rPr>
          <w:rFonts w:asciiTheme="minorEastAsia" w:hAnsiTheme="minorEastAsia" w:eastAsiaTheme="minorEastAsia"/>
        </w:rPr>
      </w:pPr>
      <w:r>
        <w:rPr>
          <w:rFonts w:hint="eastAsia" w:asciiTheme="minorEastAsia" w:hAnsiTheme="minorEastAsia" w:eastAsiaTheme="minorEastAsia"/>
        </w:rPr>
        <w:t>甲方应该在收到乙方提供的项目成果后采用专家评审的方式验收。验收的标准是通过专家评审。乙方配合甲方及评审专家意见及时完善成果。</w:t>
      </w:r>
    </w:p>
    <w:p>
      <w:pPr>
        <w:rPr>
          <w:rFonts w:ascii="宋体" w:hAnsi="宋体"/>
          <w:b/>
          <w:sz w:val="24"/>
        </w:rPr>
      </w:pPr>
      <w:r>
        <w:rPr>
          <w:rFonts w:hint="eastAsia" w:ascii="宋体" w:hAnsi="宋体"/>
          <w:b/>
          <w:sz w:val="24"/>
        </w:rPr>
        <w:t>七、其他内容</w:t>
      </w:r>
    </w:p>
    <w:p>
      <w:pPr>
        <w:ind w:firstLine="480" w:firstLineChars="200"/>
        <w:rPr>
          <w:rFonts w:ascii="宋体" w:hAnsi="宋体"/>
          <w:sz w:val="24"/>
        </w:rPr>
      </w:pPr>
      <w:r>
        <w:rPr>
          <w:rFonts w:hint="eastAsia" w:asciiTheme="minorEastAsia" w:hAnsiTheme="minorEastAsia" w:eastAsiaTheme="minorEastAsia"/>
          <w:sz w:val="24"/>
        </w:rPr>
        <w:t>（1）</w:t>
      </w:r>
      <w:r>
        <w:rPr>
          <w:rFonts w:asciiTheme="minorEastAsia" w:hAnsiTheme="minorEastAsia" w:eastAsiaTheme="minorEastAsia"/>
          <w:sz w:val="24"/>
        </w:rPr>
        <w:t>报价是供应商在可独立履行项目合同义务，通过准确核算，可满足预期实施效果、验收标准和符合自身合法利益的前提下所作出的综合性合理报价。</w:t>
      </w:r>
      <w:r>
        <w:rPr>
          <w:rFonts w:hint="eastAsia" w:asciiTheme="minorEastAsia" w:hAnsiTheme="minorEastAsia" w:eastAsiaTheme="minorEastAsia"/>
          <w:sz w:val="24"/>
        </w:rPr>
        <w:t>（2）项目成果将在海南省自然资源和规划厅和海南省财政外网上公布。（3）组织省外调研工作。</w:t>
      </w:r>
    </w:p>
    <w:p>
      <w:pPr>
        <w:widowControl/>
        <w:jc w:val="left"/>
        <w:rPr>
          <w:sz w:val="24"/>
        </w:rPr>
      </w:pPr>
      <w:r>
        <w:rPr>
          <w:sz w:val="24"/>
        </w:rPr>
        <w:br w:type="page"/>
      </w:r>
    </w:p>
    <w:p>
      <w:pPr>
        <w:widowControl/>
        <w:jc w:val="left"/>
      </w:pPr>
    </w:p>
    <w:p>
      <w:pPr>
        <w:snapToGrid w:val="0"/>
        <w:spacing w:after="156" w:afterLines="50"/>
      </w:pPr>
    </w:p>
    <w:p>
      <w:pPr>
        <w:snapToGrid w:val="0"/>
        <w:spacing w:after="156" w:afterLines="50"/>
      </w:pPr>
    </w:p>
    <w:p>
      <w:pPr>
        <w:snapToGrid w:val="0"/>
        <w:spacing w:after="156" w:afterLines="50"/>
        <w:jc w:val="center"/>
        <w:outlineLvl w:val="0"/>
        <w:rPr>
          <w:sz w:val="44"/>
          <w:szCs w:val="44"/>
        </w:rPr>
      </w:pPr>
      <w:bookmarkStart w:id="105" w:name="_Toc12953"/>
      <w:bookmarkStart w:id="106" w:name="_Toc7071"/>
      <w:r>
        <w:rPr>
          <w:rFonts w:hint="eastAsia"/>
          <w:sz w:val="44"/>
          <w:szCs w:val="44"/>
        </w:rPr>
        <w:t>第六章响应文件格式</w:t>
      </w:r>
      <w:bookmarkEnd w:id="105"/>
      <w:bookmarkEnd w:id="106"/>
    </w:p>
    <w:p>
      <w:pPr>
        <w:keepNext/>
        <w:keepLines/>
        <w:tabs>
          <w:tab w:val="left" w:pos="1440"/>
        </w:tabs>
        <w:ind w:left="431" w:hanging="431"/>
        <w:jc w:val="right"/>
        <w:rPr>
          <w:b/>
          <w:sz w:val="28"/>
        </w:rPr>
      </w:pPr>
      <w:bookmarkStart w:id="107" w:name="_Toc2198_WPSOffice_Level1"/>
      <w:bookmarkStart w:id="108" w:name="_Toc10313"/>
      <w:r>
        <w:rPr>
          <w:b/>
          <w:sz w:val="28"/>
        </w:rPr>
        <w:t>正本或副本</w:t>
      </w:r>
      <w:bookmarkEnd w:id="107"/>
      <w:bookmarkEnd w:id="108"/>
    </w:p>
    <w:p>
      <w:pPr>
        <w:pStyle w:val="29"/>
        <w:rPr>
          <w:b/>
          <w:sz w:val="28"/>
        </w:rPr>
      </w:pPr>
    </w:p>
    <w:p>
      <w:pPr>
        <w:tabs>
          <w:tab w:val="left" w:pos="3779"/>
        </w:tabs>
        <w:ind w:right="758"/>
        <w:jc w:val="center"/>
        <w:rPr>
          <w:b/>
          <w:sz w:val="28"/>
        </w:rPr>
      </w:pPr>
      <w:bookmarkStart w:id="109" w:name="_Toc12985_WPSOffice_Level2"/>
      <w:bookmarkStart w:id="110" w:name="_Toc32406_WPSOffice_Level2"/>
      <w:r>
        <w:rPr>
          <w:rFonts w:hint="eastAsia"/>
          <w:b/>
          <w:sz w:val="28"/>
        </w:rPr>
        <w:t>（</w:t>
      </w:r>
      <w:r>
        <w:rPr>
          <w:b/>
          <w:sz w:val="28"/>
        </w:rPr>
        <w:t>项目名称）</w:t>
      </w:r>
      <w:bookmarkEnd w:id="109"/>
      <w:bookmarkEnd w:id="110"/>
    </w:p>
    <w:p>
      <w:pPr>
        <w:pStyle w:val="29"/>
        <w:rPr>
          <w:b/>
          <w:sz w:val="30"/>
        </w:rPr>
      </w:pPr>
    </w:p>
    <w:p>
      <w:pPr>
        <w:pStyle w:val="29"/>
        <w:rPr>
          <w:b/>
          <w:sz w:val="30"/>
        </w:rPr>
      </w:pPr>
    </w:p>
    <w:p>
      <w:pPr>
        <w:pStyle w:val="29"/>
        <w:rPr>
          <w:b/>
          <w:sz w:val="30"/>
        </w:rPr>
      </w:pPr>
    </w:p>
    <w:p>
      <w:pPr>
        <w:pStyle w:val="29"/>
        <w:rPr>
          <w:b/>
          <w:sz w:val="30"/>
        </w:rPr>
      </w:pPr>
    </w:p>
    <w:p>
      <w:pPr>
        <w:pStyle w:val="29"/>
        <w:rPr>
          <w:b/>
          <w:sz w:val="30"/>
        </w:rPr>
      </w:pPr>
    </w:p>
    <w:p>
      <w:pPr>
        <w:pStyle w:val="29"/>
        <w:rPr>
          <w:b/>
          <w:sz w:val="30"/>
        </w:rPr>
      </w:pPr>
    </w:p>
    <w:p>
      <w:pPr>
        <w:pStyle w:val="29"/>
        <w:rPr>
          <w:b/>
          <w:sz w:val="30"/>
        </w:rPr>
      </w:pPr>
    </w:p>
    <w:p>
      <w:pPr>
        <w:pStyle w:val="29"/>
        <w:rPr>
          <w:b/>
          <w:sz w:val="30"/>
        </w:rPr>
      </w:pPr>
    </w:p>
    <w:p>
      <w:pPr>
        <w:ind w:left="480"/>
        <w:rPr>
          <w:b/>
          <w:sz w:val="28"/>
        </w:rPr>
      </w:pPr>
    </w:p>
    <w:p>
      <w:pPr>
        <w:rPr>
          <w:b/>
          <w:sz w:val="28"/>
          <w:u w:val="single"/>
        </w:rPr>
      </w:pPr>
      <w:bookmarkStart w:id="111" w:name="_Toc30387_WPSOffice_Level1"/>
      <w:r>
        <w:rPr>
          <w:b/>
          <w:sz w:val="28"/>
        </w:rPr>
        <w:t>供应商（</w:t>
      </w:r>
      <w:r>
        <w:rPr>
          <w:rFonts w:hint="eastAsia"/>
          <w:b/>
          <w:sz w:val="28"/>
        </w:rPr>
        <w:t>填写全称并</w:t>
      </w:r>
      <w:r>
        <w:rPr>
          <w:b/>
          <w:sz w:val="28"/>
        </w:rPr>
        <w:t>盖章）：</w:t>
      </w:r>
      <w:bookmarkEnd w:id="111"/>
    </w:p>
    <w:p>
      <w:pPr>
        <w:rPr>
          <w:b/>
          <w:sz w:val="28"/>
          <w:u w:val="single"/>
        </w:rPr>
      </w:pPr>
      <w:bookmarkStart w:id="112" w:name="_Toc16831_WPSOffice_Level1"/>
      <w:r>
        <w:rPr>
          <w:rFonts w:hint="eastAsia"/>
          <w:b/>
          <w:sz w:val="28"/>
        </w:rPr>
        <w:t>法定代表人或其委托理人（签名或签章）：</w:t>
      </w:r>
      <w:bookmarkEnd w:id="112"/>
    </w:p>
    <w:p>
      <w:pPr>
        <w:pStyle w:val="27"/>
        <w:rPr>
          <w:b/>
          <w:sz w:val="28"/>
          <w:u w:val="single"/>
        </w:rPr>
      </w:pPr>
      <w:bookmarkStart w:id="113" w:name="_Toc27106_WPSOffice_Level1"/>
      <w:r>
        <w:rPr>
          <w:b/>
          <w:sz w:val="28"/>
        </w:rPr>
        <w:t>地址：</w:t>
      </w:r>
      <w:bookmarkEnd w:id="113"/>
    </w:p>
    <w:p>
      <w:pPr>
        <w:jc w:val="left"/>
        <w:rPr>
          <w:rFonts w:eastAsia="Times New Roman"/>
          <w:sz w:val="28"/>
        </w:rPr>
      </w:pPr>
      <w:bookmarkStart w:id="114" w:name="_Toc14681_WPSOffice_Level1"/>
      <w:r>
        <w:rPr>
          <w:b/>
          <w:sz w:val="28"/>
        </w:rPr>
        <w:t>联系电话：</w:t>
      </w:r>
      <w:bookmarkEnd w:id="114"/>
      <w:bookmarkStart w:id="115" w:name="_Toc5022_WPSOffice_Level3"/>
      <w:bookmarkStart w:id="116" w:name="_Toc16549_WPSOffice_Level3"/>
    </w:p>
    <w:p>
      <w:pPr>
        <w:jc w:val="center"/>
      </w:pPr>
      <w:bookmarkStart w:id="117" w:name="_Toc2114_WPSOffice_Level1"/>
      <w:r>
        <w:rPr>
          <w:rFonts w:eastAsia="Times New Roman"/>
          <w:sz w:val="28"/>
        </w:rPr>
        <w:t>20</w:t>
      </w:r>
      <w:r>
        <w:rPr>
          <w:rFonts w:hint="eastAsia"/>
          <w:sz w:val="28"/>
        </w:rPr>
        <w:t>20</w:t>
      </w:r>
      <w:r>
        <w:rPr>
          <w:sz w:val="28"/>
        </w:rPr>
        <w:t>年</w:t>
      </w:r>
      <w:r>
        <w:rPr>
          <w:rFonts w:hint="eastAsia"/>
          <w:sz w:val="28"/>
        </w:rPr>
        <w:t xml:space="preserve"> </w:t>
      </w:r>
      <w:r>
        <w:rPr>
          <w:sz w:val="28"/>
        </w:rPr>
        <w:t>月</w:t>
      </w:r>
      <w:r>
        <w:rPr>
          <w:rFonts w:hint="eastAsia"/>
          <w:sz w:val="28"/>
        </w:rPr>
        <w:t xml:space="preserve"> </w:t>
      </w:r>
      <w:r>
        <w:rPr>
          <w:sz w:val="28"/>
        </w:rPr>
        <w:t>日</w:t>
      </w:r>
      <w:bookmarkEnd w:id="115"/>
      <w:bookmarkEnd w:id="116"/>
      <w:bookmarkEnd w:id="117"/>
    </w:p>
    <w:p>
      <w:pPr>
        <w:snapToGrid w:val="0"/>
        <w:spacing w:after="156" w:afterLines="50"/>
      </w:pPr>
    </w:p>
    <w:p>
      <w:pPr>
        <w:spacing w:line="360" w:lineRule="auto"/>
        <w:jc w:val="center"/>
        <w:outlineLvl w:val="1"/>
        <w:rPr>
          <w:b/>
          <w:sz w:val="30"/>
          <w:szCs w:val="30"/>
        </w:rPr>
      </w:pPr>
      <w:r>
        <w:br w:type="page"/>
      </w:r>
      <w:bookmarkStart w:id="118" w:name="_Toc298745650"/>
      <w:bookmarkStart w:id="119" w:name="_Toc298745568"/>
      <w:bookmarkStart w:id="120" w:name="_Toc298434671"/>
      <w:bookmarkStart w:id="121" w:name="_Toc414445763"/>
      <w:bookmarkStart w:id="122" w:name="_Toc327276295"/>
      <w:bookmarkStart w:id="123" w:name="_Toc332094984"/>
      <w:bookmarkStart w:id="124" w:name="_Toc298458725"/>
      <w:bookmarkStart w:id="125" w:name="_Toc23024"/>
      <w:bookmarkStart w:id="126" w:name="_Toc410631171"/>
      <w:bookmarkStart w:id="127" w:name="_Toc416103813"/>
      <w:bookmarkStart w:id="128" w:name="_Toc298434528"/>
      <w:bookmarkStart w:id="129" w:name="_Toc350418253"/>
      <w:bookmarkStart w:id="130" w:name="_Toc2190"/>
      <w:bookmarkStart w:id="131" w:name="_Toc28718"/>
      <w:bookmarkStart w:id="132" w:name="_Toc30594"/>
      <w:r>
        <w:rPr>
          <w:b/>
          <w:sz w:val="30"/>
          <w:szCs w:val="30"/>
        </w:rPr>
        <w:t>评</w:t>
      </w:r>
      <w:r>
        <w:rPr>
          <w:rFonts w:hint="eastAsia"/>
          <w:b/>
          <w:sz w:val="30"/>
          <w:szCs w:val="30"/>
        </w:rPr>
        <w:t>审</w:t>
      </w:r>
      <w:r>
        <w:rPr>
          <w:b/>
          <w:sz w:val="30"/>
          <w:szCs w:val="30"/>
        </w:rPr>
        <w:t>索引</w:t>
      </w:r>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tbl>
      <w:tblPr>
        <w:tblStyle w:val="73"/>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65"/>
        <w:gridCol w:w="1722"/>
        <w:gridCol w:w="4536"/>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序号</w:t>
            </w:r>
          </w:p>
        </w:tc>
        <w:tc>
          <w:tcPr>
            <w:tcW w:w="1722" w:type="dxa"/>
            <w:vAlign w:val="center"/>
          </w:tcPr>
          <w:p>
            <w:pPr>
              <w:snapToGrid w:val="0"/>
              <w:jc w:val="center"/>
              <w:rPr>
                <w:rFonts w:ascii="宋体"/>
                <w:szCs w:val="21"/>
              </w:rPr>
            </w:pPr>
            <w:r>
              <w:rPr>
                <w:rFonts w:hint="eastAsia" w:ascii="宋体"/>
                <w:szCs w:val="21"/>
              </w:rPr>
              <w:t>评审办法条款号</w:t>
            </w:r>
          </w:p>
        </w:tc>
        <w:tc>
          <w:tcPr>
            <w:tcW w:w="4536" w:type="dxa"/>
            <w:vAlign w:val="center"/>
          </w:tcPr>
          <w:p>
            <w:pPr>
              <w:snapToGrid w:val="0"/>
              <w:jc w:val="center"/>
              <w:rPr>
                <w:rFonts w:ascii="宋体"/>
                <w:szCs w:val="21"/>
              </w:rPr>
            </w:pPr>
            <w:r>
              <w:rPr>
                <w:rFonts w:hint="eastAsia" w:ascii="宋体"/>
                <w:szCs w:val="21"/>
              </w:rPr>
              <w:t>评标办法要求</w:t>
            </w:r>
          </w:p>
        </w:tc>
        <w:tc>
          <w:tcPr>
            <w:tcW w:w="1843" w:type="dxa"/>
            <w:vAlign w:val="center"/>
          </w:tcPr>
          <w:p>
            <w:pPr>
              <w:snapToGrid w:val="0"/>
              <w:jc w:val="center"/>
              <w:rPr>
                <w:rFonts w:ascii="宋体"/>
                <w:szCs w:val="21"/>
              </w:rPr>
            </w:pPr>
            <w:r>
              <w:rPr>
                <w:rFonts w:hint="eastAsia" w:ascii="宋体"/>
                <w:szCs w:val="21"/>
              </w:rPr>
              <w:t>响应文件对应内容的册及页码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一</w:t>
            </w:r>
          </w:p>
        </w:tc>
        <w:tc>
          <w:tcPr>
            <w:tcW w:w="1722" w:type="dxa"/>
            <w:vAlign w:val="center"/>
          </w:tcPr>
          <w:p>
            <w:pPr>
              <w:snapToGrid w:val="0"/>
              <w:jc w:val="center"/>
              <w:rPr>
                <w:rFonts w:ascii="宋体"/>
                <w:szCs w:val="21"/>
              </w:rPr>
            </w:pPr>
            <w:r>
              <w:rPr>
                <w:rFonts w:hint="eastAsia" w:ascii="宋体"/>
                <w:szCs w:val="21"/>
              </w:rPr>
              <w:t>资格审查</w:t>
            </w: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1</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2</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二</w:t>
            </w:r>
          </w:p>
        </w:tc>
        <w:tc>
          <w:tcPr>
            <w:tcW w:w="1722" w:type="dxa"/>
            <w:vAlign w:val="center"/>
          </w:tcPr>
          <w:p>
            <w:pPr>
              <w:snapToGrid w:val="0"/>
              <w:jc w:val="center"/>
              <w:rPr>
                <w:rFonts w:ascii="宋体"/>
                <w:szCs w:val="21"/>
              </w:rPr>
            </w:pPr>
            <w:r>
              <w:rPr>
                <w:rFonts w:hint="eastAsia" w:ascii="宋体"/>
                <w:szCs w:val="21"/>
              </w:rPr>
              <w:t>符合性审查</w:t>
            </w: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1</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2</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4" w:hRule="atLeast"/>
          <w:jc w:val="center"/>
        </w:trPr>
        <w:tc>
          <w:tcPr>
            <w:tcW w:w="765" w:type="dxa"/>
            <w:vAlign w:val="center"/>
          </w:tcPr>
          <w:p>
            <w:pPr>
              <w:snapToGrid w:val="0"/>
              <w:jc w:val="center"/>
              <w:rPr>
                <w:rFonts w:ascii="宋体"/>
                <w:szCs w:val="21"/>
              </w:rPr>
            </w:pPr>
            <w:r>
              <w:rPr>
                <w:rFonts w:hint="eastAsia" w:ascii="宋体"/>
                <w:szCs w:val="21"/>
              </w:rPr>
              <w:t>...</w:t>
            </w:r>
          </w:p>
        </w:tc>
        <w:tc>
          <w:tcPr>
            <w:tcW w:w="1722" w:type="dxa"/>
            <w:vAlign w:val="center"/>
          </w:tcPr>
          <w:p>
            <w:pPr>
              <w:snapToGrid w:val="0"/>
              <w:jc w:val="center"/>
              <w:rPr>
                <w:rFonts w:ascii="宋体"/>
                <w:szCs w:val="21"/>
              </w:rPr>
            </w:pPr>
          </w:p>
        </w:tc>
        <w:tc>
          <w:tcPr>
            <w:tcW w:w="4536" w:type="dxa"/>
            <w:vAlign w:val="center"/>
          </w:tcPr>
          <w:p>
            <w:pPr>
              <w:snapToGrid w:val="0"/>
              <w:jc w:val="center"/>
              <w:rPr>
                <w:rFonts w:ascii="宋体"/>
                <w:szCs w:val="21"/>
              </w:rPr>
            </w:pPr>
          </w:p>
        </w:tc>
        <w:tc>
          <w:tcPr>
            <w:tcW w:w="1843" w:type="dxa"/>
            <w:vAlign w:val="center"/>
          </w:tcPr>
          <w:p>
            <w:pPr>
              <w:snapToGrid w:val="0"/>
              <w:ind w:firstLine="480"/>
              <w:jc w:val="center"/>
              <w:rPr>
                <w:rFonts w:ascii="宋体"/>
                <w:szCs w:val="21"/>
              </w:rPr>
            </w:pPr>
          </w:p>
        </w:tc>
      </w:tr>
    </w:tbl>
    <w:p>
      <w:pPr>
        <w:spacing w:line="360" w:lineRule="auto"/>
        <w:ind w:firstLine="480"/>
        <w:jc w:val="left"/>
        <w:rPr>
          <w:rFonts w:ascii="宋体"/>
          <w:szCs w:val="21"/>
        </w:rPr>
      </w:pPr>
    </w:p>
    <w:p>
      <w:pPr>
        <w:rPr>
          <w:rFonts w:ascii="宋体"/>
          <w:szCs w:val="21"/>
        </w:rPr>
      </w:pPr>
      <w:r>
        <w:rPr>
          <w:rFonts w:hint="eastAsia" w:ascii="宋体"/>
          <w:szCs w:val="21"/>
        </w:rPr>
        <w:t>注：该评标索引表格放在响应文件目录后，正文的第一页。</w:t>
      </w:r>
    </w:p>
    <w:p>
      <w:pPr>
        <w:rPr>
          <w:rFonts w:ascii="宋体"/>
          <w:szCs w:val="21"/>
        </w:rPr>
      </w:pPr>
    </w:p>
    <w:p>
      <w:pPr>
        <w:widowControl/>
        <w:jc w:val="left"/>
        <w:rPr>
          <w:rFonts w:ascii="宋体"/>
          <w:szCs w:val="21"/>
        </w:rPr>
      </w:pPr>
      <w:r>
        <w:rPr>
          <w:rFonts w:ascii="宋体"/>
          <w:szCs w:val="21"/>
        </w:rPr>
        <w:br w:type="page"/>
      </w:r>
    </w:p>
    <w:p>
      <w:pPr>
        <w:pStyle w:val="425"/>
        <w:numPr>
          <w:ilvl w:val="0"/>
          <w:numId w:val="18"/>
        </w:numPr>
        <w:spacing w:line="360" w:lineRule="auto"/>
        <w:ind w:left="1276" w:hanging="1276" w:firstLineChars="0"/>
        <w:outlineLvl w:val="1"/>
        <w:rPr>
          <w:b/>
          <w:sz w:val="24"/>
        </w:rPr>
      </w:pPr>
      <w:bookmarkStart w:id="133" w:name="_A1_投标书"/>
      <w:bookmarkEnd w:id="133"/>
      <w:bookmarkStart w:id="134" w:name="_Toc23104"/>
      <w:bookmarkStart w:id="135" w:name="_Toc3351"/>
      <w:bookmarkStart w:id="136" w:name="_Toc176663528"/>
      <w:bookmarkStart w:id="137" w:name="_Toc181038076"/>
      <w:bookmarkStart w:id="138" w:name="_Toc192127127"/>
      <w:bookmarkStart w:id="139" w:name="_Toc162669084"/>
      <w:bookmarkStart w:id="140" w:name="_Toc128455956"/>
      <w:bookmarkStart w:id="141" w:name="_Toc179091096"/>
      <w:bookmarkStart w:id="142" w:name="_Toc192127128"/>
      <w:r>
        <w:rPr>
          <w:b/>
          <w:sz w:val="24"/>
        </w:rPr>
        <w:t>报价函及</w:t>
      </w:r>
      <w:r>
        <w:rPr>
          <w:b/>
          <w:sz w:val="24"/>
        </w:rPr>
        <w:t>报价函附录</w:t>
      </w:r>
      <w:bookmarkEnd w:id="134"/>
      <w:bookmarkEnd w:id="135"/>
    </w:p>
    <w:bookmarkEnd w:id="136"/>
    <w:bookmarkEnd w:id="137"/>
    <w:bookmarkEnd w:id="138"/>
    <w:bookmarkEnd w:id="139"/>
    <w:bookmarkEnd w:id="140"/>
    <w:bookmarkEnd w:id="141"/>
    <w:p>
      <w:pPr>
        <w:autoSpaceDE w:val="0"/>
        <w:autoSpaceDN w:val="0"/>
        <w:adjustRightInd w:val="0"/>
        <w:jc w:val="center"/>
        <w:rPr>
          <w:rFonts w:ascii="宋体" w:hAnsi="宋体" w:cs="黑体"/>
          <w:kern w:val="0"/>
          <w:sz w:val="24"/>
        </w:rPr>
      </w:pPr>
    </w:p>
    <w:p>
      <w:pPr>
        <w:autoSpaceDE w:val="0"/>
        <w:autoSpaceDN w:val="0"/>
        <w:adjustRightInd w:val="0"/>
        <w:jc w:val="center"/>
        <w:rPr>
          <w:rFonts w:ascii="宋体" w:hAnsi="宋体" w:cs="黑体"/>
          <w:kern w:val="0"/>
          <w:sz w:val="24"/>
        </w:rPr>
      </w:pPr>
      <w:r>
        <w:rPr>
          <w:rFonts w:hint="eastAsia" w:ascii="宋体" w:hAnsi="宋体" w:cs="黑体"/>
          <w:kern w:val="0"/>
          <w:sz w:val="24"/>
        </w:rPr>
        <w:t>报价函</w:t>
      </w:r>
    </w:p>
    <w:p>
      <w:pPr>
        <w:autoSpaceDE w:val="0"/>
        <w:autoSpaceDN w:val="0"/>
        <w:adjustRightInd w:val="0"/>
        <w:jc w:val="center"/>
        <w:rPr>
          <w:rFonts w:ascii="宋体" w:hAnsi="宋体" w:cs="黑体"/>
          <w:kern w:val="0"/>
          <w:sz w:val="24"/>
        </w:rPr>
      </w:pPr>
    </w:p>
    <w:p>
      <w:pPr>
        <w:autoSpaceDE w:val="0"/>
        <w:autoSpaceDN w:val="0"/>
        <w:adjustRightInd w:val="0"/>
        <w:jc w:val="center"/>
        <w:rPr>
          <w:rFonts w:ascii="宋体" w:hAnsi="宋体" w:cs="黑体"/>
          <w:kern w:val="0"/>
          <w:sz w:val="24"/>
        </w:rPr>
      </w:pPr>
    </w:p>
    <w:p>
      <w:pPr>
        <w:autoSpaceDE w:val="0"/>
        <w:autoSpaceDN w:val="0"/>
        <w:adjustRightInd w:val="0"/>
        <w:snapToGrid w:val="0"/>
        <w:spacing w:line="360" w:lineRule="auto"/>
        <w:jc w:val="left"/>
        <w:rPr>
          <w:rFonts w:ascii="宋体" w:hAnsi="宋体" w:cs="仿宋_GB2312"/>
          <w:kern w:val="0"/>
          <w:sz w:val="24"/>
        </w:rPr>
      </w:pPr>
      <w:r>
        <w:rPr>
          <w:rFonts w:hint="eastAsia" w:ascii="宋体" w:hAnsi="宋体" w:cs="仿宋_GB2312"/>
          <w:kern w:val="0"/>
          <w:sz w:val="24"/>
        </w:rPr>
        <w:t>（采购人名称）：</w:t>
      </w:r>
    </w:p>
    <w:p>
      <w:pPr>
        <w:autoSpaceDE w:val="0"/>
        <w:autoSpaceDN w:val="0"/>
        <w:adjustRightInd w:val="0"/>
        <w:snapToGrid w:val="0"/>
        <w:spacing w:line="360" w:lineRule="auto"/>
        <w:ind w:firstLine="480" w:firstLineChars="200"/>
        <w:jc w:val="left"/>
        <w:rPr>
          <w:rFonts w:ascii="宋体" w:hAnsi="宋体" w:cs="仿宋_GB2312"/>
          <w:kern w:val="0"/>
          <w:sz w:val="24"/>
        </w:rPr>
      </w:pPr>
      <w:r>
        <w:rPr>
          <w:rFonts w:hint="eastAsia" w:ascii="宋体" w:hAnsi="宋体" w:cs="TimesNewRomanPSMT"/>
          <w:kern w:val="0"/>
          <w:sz w:val="24"/>
        </w:rPr>
        <w:t>1.</w:t>
      </w:r>
      <w:r>
        <w:rPr>
          <w:rFonts w:hint="eastAsia" w:ascii="宋体" w:hAnsi="宋体" w:cs="仿宋_GB2312"/>
          <w:kern w:val="0"/>
          <w:sz w:val="24"/>
        </w:rPr>
        <w:t>我方已仔细研究了</w:t>
      </w:r>
      <w:r>
        <w:rPr>
          <w:rFonts w:hint="eastAsia" w:ascii="宋体" w:hAnsi="宋体" w:cs="仿宋_GB2312"/>
          <w:kern w:val="0"/>
          <w:sz w:val="24"/>
          <w:u w:val="single"/>
        </w:rPr>
        <w:t xml:space="preserve">  （项目名称）   </w:t>
      </w:r>
      <w:r>
        <w:rPr>
          <w:rFonts w:hint="eastAsia" w:ascii="宋体" w:hAnsi="宋体" w:cs="仿宋_GB2312"/>
          <w:kern w:val="0"/>
          <w:sz w:val="24"/>
        </w:rPr>
        <w:t>磋商文件（包括修改、澄清文件）的全部内容，且对磋商文件无任何异议，并愿意以“报价函附录”所填写的响应总价、服务期及服务地点）</w:t>
      </w:r>
      <w:r>
        <w:rPr>
          <w:rFonts w:hint="eastAsia" w:ascii="宋体" w:hAnsi="宋体" w:cs="TimesNewRomanPSMT"/>
          <w:kern w:val="0"/>
          <w:sz w:val="24"/>
        </w:rPr>
        <w:t>，向你方</w:t>
      </w:r>
      <w:r>
        <w:rPr>
          <w:rFonts w:hint="eastAsia" w:ascii="宋体" w:hAnsi="宋体"/>
          <w:sz w:val="24"/>
        </w:rPr>
        <w:t>提供磋商文件要求的服务</w:t>
      </w:r>
      <w:r>
        <w:rPr>
          <w:rFonts w:hint="eastAsia" w:ascii="宋体" w:hAnsi="宋体" w:cs="仿宋_GB2312"/>
          <w:kern w:val="0"/>
          <w:sz w:val="24"/>
        </w:rPr>
        <w:t>。</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2.我方承诺在响应文件有效期内不修改或撤销响应文件。否则，你方可不退还我方的磋商保证金。</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3.随同本报价函提交磋商保证金一份，金额见“</w:t>
      </w:r>
      <w:r>
        <w:rPr>
          <w:rFonts w:hint="eastAsia" w:ascii="宋体" w:hAnsi="宋体" w:cs="仿宋_GB2312"/>
          <w:kern w:val="0"/>
          <w:sz w:val="24"/>
        </w:rPr>
        <w:t>报价函附录”</w:t>
      </w:r>
      <w:r>
        <w:rPr>
          <w:rFonts w:hint="eastAsia" w:ascii="宋体" w:hAnsi="宋体" w:cs="TimesNewRomanPSMT"/>
          <w:kern w:val="0"/>
          <w:sz w:val="24"/>
        </w:rPr>
        <w:t>。</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4.本响应文件有效期为自递交响应文件截止之日起个</w:t>
      </w:r>
      <w:r>
        <w:rPr>
          <w:rFonts w:hint="eastAsia" w:ascii="宋体" w:hAnsi="宋体" w:cs="TimesNewRomanPSMT"/>
          <w:kern w:val="0"/>
          <w:sz w:val="24"/>
          <w:u w:val="single"/>
        </w:rPr>
        <w:t xml:space="preserve"> 90   </w:t>
      </w:r>
      <w:r>
        <w:rPr>
          <w:rFonts w:hint="eastAsia" w:ascii="宋体" w:hAnsi="宋体" w:cs="TimesNewRomanPSMT"/>
          <w:kern w:val="0"/>
          <w:sz w:val="24"/>
        </w:rPr>
        <w:t>日历日</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5.我方承诺所提交的响应文件及有关资料是完整的、真实的和准确的，否则，我方承担由此造成的任何损失及引起的任何后果。若我方已经收到成交通知书，我方将无条件的承认该成交通知书无效，对采购人不具有任何法律约束力。</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6．如我方成交：</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w:t>
      </w:r>
      <w:r>
        <w:rPr>
          <w:rFonts w:ascii="宋体" w:hAnsi="宋体" w:cs="TimesNewRomanPSMT"/>
          <w:kern w:val="0"/>
          <w:sz w:val="24"/>
        </w:rPr>
        <w:t>1</w:t>
      </w:r>
      <w:r>
        <w:rPr>
          <w:rFonts w:hint="eastAsia" w:ascii="宋体" w:hAnsi="宋体" w:cs="仿宋_GB2312"/>
          <w:kern w:val="0"/>
          <w:sz w:val="24"/>
        </w:rPr>
        <w:t>）我方承诺在收到成交通知书后，在成交通知书规定的期限内与你方签订合同。</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w:t>
      </w:r>
      <w:r>
        <w:rPr>
          <w:rFonts w:hint="eastAsia" w:ascii="宋体" w:hAnsi="宋体" w:cs="TimesNewRomanPSMT"/>
          <w:kern w:val="0"/>
          <w:sz w:val="24"/>
        </w:rPr>
        <w:t>2</w:t>
      </w:r>
      <w:r>
        <w:rPr>
          <w:rFonts w:hint="eastAsia" w:ascii="宋体" w:hAnsi="宋体" w:cs="仿宋_GB2312"/>
          <w:kern w:val="0"/>
          <w:sz w:val="24"/>
        </w:rPr>
        <w:t>）我方承诺按照磋商文件规定向你方递交履约保证金。作为履行合同的担保。</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w:t>
      </w:r>
      <w:r>
        <w:rPr>
          <w:rFonts w:hint="eastAsia" w:ascii="宋体" w:hAnsi="宋体" w:cs="TimesNewRomanPSMT"/>
          <w:kern w:val="0"/>
          <w:sz w:val="24"/>
        </w:rPr>
        <w:t>3</w:t>
      </w:r>
      <w:r>
        <w:rPr>
          <w:rFonts w:hint="eastAsia" w:ascii="宋体" w:hAnsi="宋体" w:cs="仿宋_GB2312"/>
          <w:kern w:val="0"/>
          <w:sz w:val="24"/>
        </w:rPr>
        <w:t>）我方承诺按合同约定的期限和地点，提供符合招磋商文件要求的全部的服务。</w:t>
      </w:r>
    </w:p>
    <w:p>
      <w:pPr>
        <w:autoSpaceDE w:val="0"/>
        <w:autoSpaceDN w:val="0"/>
        <w:adjustRightInd w:val="0"/>
        <w:snapToGrid w:val="0"/>
        <w:spacing w:line="360" w:lineRule="auto"/>
        <w:ind w:left="359" w:leftChars="171"/>
        <w:jc w:val="left"/>
        <w:rPr>
          <w:rFonts w:ascii="宋体" w:hAnsi="宋体" w:cs="仿宋_GB2312"/>
          <w:kern w:val="0"/>
          <w:sz w:val="24"/>
        </w:rPr>
      </w:pPr>
      <w:r>
        <w:rPr>
          <w:rFonts w:hint="eastAsia" w:ascii="宋体" w:hAnsi="宋体" w:cs="仿宋_GB2312"/>
          <w:kern w:val="0"/>
          <w:sz w:val="24"/>
        </w:rPr>
        <w:t>（4）我方保证在收到成交通知书后五个工作日内按要求支付代理服务费。</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7.如磋商后的最后报价函与本报价函内容有差异，以最后的报价函内容为准。</w:t>
      </w:r>
    </w:p>
    <w:p>
      <w:pPr>
        <w:autoSpaceDE w:val="0"/>
        <w:autoSpaceDN w:val="0"/>
        <w:adjustRightInd w:val="0"/>
        <w:snapToGrid w:val="0"/>
        <w:spacing w:line="360" w:lineRule="auto"/>
        <w:ind w:firstLine="480" w:firstLineChars="200"/>
        <w:jc w:val="left"/>
        <w:rPr>
          <w:rFonts w:ascii="宋体" w:hAnsi="宋体" w:cs="TimesNewRomanPSMT"/>
          <w:kern w:val="0"/>
          <w:sz w:val="24"/>
        </w:rPr>
      </w:pPr>
      <w:r>
        <w:rPr>
          <w:rFonts w:hint="eastAsia" w:ascii="宋体" w:hAnsi="宋体" w:cs="TimesNewRomanPSMT"/>
          <w:kern w:val="0"/>
          <w:sz w:val="24"/>
        </w:rPr>
        <w:t>8．（其他补充说明）。</w:t>
      </w:r>
    </w:p>
    <w:p>
      <w:pPr>
        <w:autoSpaceDE w:val="0"/>
        <w:autoSpaceDN w:val="0"/>
        <w:adjustRightInd w:val="0"/>
        <w:snapToGrid w:val="0"/>
        <w:spacing w:line="360" w:lineRule="auto"/>
        <w:jc w:val="left"/>
        <w:rPr>
          <w:rFonts w:ascii="宋体" w:hAnsi="宋体" w:cs="仿宋_GB2312"/>
          <w:kern w:val="0"/>
          <w:sz w:val="24"/>
        </w:rPr>
      </w:pPr>
    </w:p>
    <w:p>
      <w:pPr>
        <w:autoSpaceDE w:val="0"/>
        <w:autoSpaceDN w:val="0"/>
        <w:adjustRightInd w:val="0"/>
        <w:snapToGrid w:val="0"/>
        <w:spacing w:line="360" w:lineRule="auto"/>
        <w:ind w:left="3780" w:leftChars="1800"/>
        <w:jc w:val="left"/>
        <w:rPr>
          <w:rFonts w:ascii="宋体" w:hAnsi="宋体" w:cs="仿宋_GB2312"/>
          <w:kern w:val="0"/>
          <w:sz w:val="24"/>
        </w:rPr>
      </w:pPr>
      <w:r>
        <w:rPr>
          <w:rFonts w:ascii="宋体" w:hAnsi="宋体" w:cs="仿宋_GB2312"/>
          <w:kern w:val="0"/>
          <w:sz w:val="24"/>
        </w:rPr>
        <w:t>供应商：</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法定代表人或其委托代理人：（签字或盖人名章）</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地址：</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电话：</w:t>
      </w:r>
    </w:p>
    <w:p>
      <w:pPr>
        <w:autoSpaceDE w:val="0"/>
        <w:autoSpaceDN w:val="0"/>
        <w:adjustRightInd w:val="0"/>
        <w:snapToGrid w:val="0"/>
        <w:spacing w:line="360" w:lineRule="auto"/>
        <w:ind w:left="3780" w:leftChars="1800"/>
        <w:jc w:val="left"/>
        <w:rPr>
          <w:rFonts w:ascii="宋体" w:hAnsi="宋体" w:cs="仿宋_GB2312"/>
          <w:kern w:val="0"/>
          <w:sz w:val="24"/>
        </w:rPr>
      </w:pPr>
      <w:r>
        <w:rPr>
          <w:rFonts w:hint="eastAsia" w:ascii="宋体" w:hAnsi="宋体" w:cs="仿宋_GB2312"/>
          <w:kern w:val="0"/>
          <w:sz w:val="24"/>
        </w:rPr>
        <w:t>传真：</w:t>
      </w:r>
    </w:p>
    <w:p>
      <w:pPr>
        <w:autoSpaceDE w:val="0"/>
        <w:autoSpaceDN w:val="0"/>
        <w:adjustRightInd w:val="0"/>
        <w:snapToGrid w:val="0"/>
        <w:spacing w:line="360" w:lineRule="auto"/>
        <w:ind w:left="5939" w:leftChars="2828"/>
        <w:jc w:val="left"/>
        <w:rPr>
          <w:rFonts w:ascii="宋体" w:hAnsi="宋体" w:cs="仿宋_GB2312"/>
          <w:kern w:val="0"/>
          <w:sz w:val="24"/>
        </w:rPr>
      </w:pPr>
      <w:r>
        <w:rPr>
          <w:rFonts w:hint="eastAsia" w:ascii="宋体" w:hAnsi="宋体" w:cs="仿宋_GB2312"/>
          <w:kern w:val="0"/>
          <w:sz w:val="24"/>
        </w:rPr>
        <w:t>年   月   日</w:t>
      </w:r>
    </w:p>
    <w:p>
      <w:pPr>
        <w:spacing w:line="360" w:lineRule="auto"/>
        <w:rPr>
          <w:b/>
          <w:sz w:val="24"/>
        </w:rPr>
      </w:pPr>
      <w:r>
        <w:br w:type="page"/>
      </w:r>
      <w:bookmarkEnd w:id="142"/>
      <w:bookmarkStart w:id="143" w:name="_Toc195922057"/>
      <w:bookmarkStart w:id="144" w:name="_Toc192127131"/>
      <w:bookmarkStart w:id="145" w:name="_Toc416103827"/>
    </w:p>
    <w:p>
      <w:pPr>
        <w:spacing w:line="360" w:lineRule="auto"/>
        <w:rPr>
          <w:rFonts w:ascii="宋体" w:hAnsi="宋体"/>
          <w:sz w:val="24"/>
        </w:rPr>
      </w:pPr>
    </w:p>
    <w:p>
      <w:pPr>
        <w:spacing w:line="360" w:lineRule="auto"/>
        <w:jc w:val="center"/>
        <w:rPr>
          <w:rFonts w:ascii="宋体" w:hAnsi="宋体"/>
          <w:sz w:val="24"/>
        </w:rPr>
      </w:pPr>
      <w:r>
        <w:rPr>
          <w:rFonts w:hint="eastAsia" w:ascii="宋体" w:hAnsi="宋体"/>
          <w:sz w:val="24"/>
        </w:rPr>
        <w:t>报价函附录</w:t>
      </w:r>
    </w:p>
    <w:tbl>
      <w:tblPr>
        <w:tblStyle w:val="73"/>
        <w:tblW w:w="8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6"/>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1946" w:type="dxa"/>
            <w:vAlign w:val="center"/>
          </w:tcPr>
          <w:p>
            <w:pPr>
              <w:ind w:left="141" w:leftChars="67" w:right="103" w:rightChars="49"/>
              <w:jc w:val="center"/>
              <w:rPr>
                <w:rFonts w:asciiTheme="minorEastAsia" w:hAnsiTheme="minorEastAsia" w:eastAsiaTheme="minorEastAsia"/>
                <w:b/>
                <w:sz w:val="24"/>
              </w:rPr>
            </w:pPr>
            <w:r>
              <w:rPr>
                <w:rFonts w:hint="eastAsia" w:asciiTheme="minorEastAsia" w:hAnsiTheme="minorEastAsia" w:eastAsiaTheme="minorEastAsia"/>
                <w:b/>
                <w:sz w:val="24"/>
              </w:rPr>
              <w:t>项目编号及磋商文件名称</w:t>
            </w:r>
          </w:p>
        </w:tc>
        <w:tc>
          <w:tcPr>
            <w:tcW w:w="6329" w:type="dxa"/>
            <w:vAlign w:val="center"/>
          </w:tcPr>
          <w:p>
            <w:pPr>
              <w:ind w:left="189" w:leftChars="90" w:firstLine="1"/>
              <w:rPr>
                <w:rFonts w:asciiTheme="minorEastAsia" w:hAnsiTheme="minorEastAsia" w:eastAsiaTheme="minorEastAsia"/>
                <w:sz w:val="24"/>
              </w:rPr>
            </w:pPr>
            <w:r>
              <w:rPr>
                <w:rFonts w:hint="eastAsia" w:asciiTheme="minorEastAsia" w:hAnsiTheme="minorEastAsia" w:eastAsiaTheme="minorEastAsia"/>
                <w:sz w:val="24"/>
              </w:rPr>
              <w:t>项目编号：GXTC-CZ-D1-2052014</w:t>
            </w:r>
          </w:p>
          <w:p>
            <w:pPr>
              <w:ind w:left="189" w:leftChars="90" w:firstLine="1"/>
              <w:rPr>
                <w:rFonts w:asciiTheme="minorEastAsia" w:hAnsiTheme="minorEastAsia" w:eastAsiaTheme="minorEastAsia"/>
                <w:sz w:val="24"/>
              </w:rPr>
            </w:pPr>
            <w:r>
              <w:rPr>
                <w:rFonts w:hint="eastAsia" w:asciiTheme="minorEastAsia" w:hAnsiTheme="minorEastAsia" w:eastAsiaTheme="minorEastAsia"/>
                <w:sz w:val="24"/>
              </w:rPr>
              <w:t>磋商项目名称：</w:t>
            </w:r>
            <w:r>
              <w:rPr>
                <w:rFonts w:hint="eastAsia" w:eastAsiaTheme="minorEastAsia"/>
                <w:sz w:val="24"/>
              </w:rPr>
              <w:t>海南省海域使用金地方标准制定、海域基准价格制定和评估技术规范编制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1946" w:type="dxa"/>
            <w:vAlign w:val="center"/>
          </w:tcPr>
          <w:p>
            <w:pPr>
              <w:ind w:left="-13" w:leftChars="-6"/>
              <w:jc w:val="center"/>
              <w:rPr>
                <w:rFonts w:asciiTheme="minorEastAsia" w:hAnsiTheme="minorEastAsia" w:eastAsiaTheme="minorEastAsia"/>
                <w:b/>
                <w:sz w:val="24"/>
              </w:rPr>
            </w:pPr>
            <w:r>
              <w:rPr>
                <w:rFonts w:hint="eastAsia" w:asciiTheme="minorEastAsia" w:hAnsiTheme="minorEastAsia" w:eastAsiaTheme="minorEastAsia"/>
                <w:b/>
                <w:sz w:val="24"/>
              </w:rPr>
              <w:t>响应文件总价</w:t>
            </w:r>
          </w:p>
        </w:tc>
        <w:tc>
          <w:tcPr>
            <w:tcW w:w="6329" w:type="dxa"/>
            <w:vAlign w:val="center"/>
          </w:tcPr>
          <w:p>
            <w:pPr>
              <w:ind w:left="189" w:leftChars="90" w:firstLine="1"/>
              <w:rPr>
                <w:rFonts w:asciiTheme="minorEastAsia" w:hAnsiTheme="minorEastAsia" w:eastAsiaTheme="minorEastAsia"/>
                <w:sz w:val="24"/>
              </w:rPr>
            </w:pPr>
            <w:r>
              <w:rPr>
                <w:rFonts w:hint="eastAsia" w:asciiTheme="minorEastAsia" w:hAnsiTheme="minorEastAsia" w:eastAsiaTheme="minorEastAsia"/>
                <w:sz w:val="24"/>
              </w:rPr>
              <w:t>人民币（小写金额）：元</w:t>
            </w:r>
          </w:p>
          <w:p>
            <w:pPr>
              <w:ind w:left="189" w:leftChars="90" w:firstLine="1"/>
              <w:rPr>
                <w:rFonts w:asciiTheme="minorEastAsia" w:hAnsiTheme="minorEastAsia" w:eastAsiaTheme="minorEastAsia"/>
                <w:sz w:val="24"/>
              </w:rPr>
            </w:pPr>
            <w:r>
              <w:rPr>
                <w:rFonts w:hint="eastAsia" w:asciiTheme="minorEastAsia" w:hAnsiTheme="minorEastAsia" w:eastAsiaTheme="minorEastAsia"/>
                <w:sz w:val="24"/>
              </w:rPr>
              <w:t>人民币（大写金额）：元整</w:t>
            </w:r>
          </w:p>
          <w:p>
            <w:pPr>
              <w:ind w:left="189" w:leftChars="90" w:firstLine="1"/>
              <w:rPr>
                <w:rFonts w:asciiTheme="minorEastAsia" w:hAnsiTheme="minorEastAsia" w:eastAsiaTheme="minorEastAsia"/>
                <w:sz w:val="24"/>
              </w:rPr>
            </w:pPr>
            <w:r>
              <w:rPr>
                <w:rFonts w:hint="eastAsia" w:asciiTheme="minorEastAsia" w:hAnsiTheme="minorEastAsia" w:eastAsiaTheme="minorEastAsia"/>
                <w:sz w:val="24"/>
              </w:rPr>
              <w:t>注：如有不一致，以大写为准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jc w:val="center"/>
        </w:trPr>
        <w:tc>
          <w:tcPr>
            <w:tcW w:w="1946" w:type="dxa"/>
            <w:vAlign w:val="center"/>
          </w:tcPr>
          <w:p>
            <w:pPr>
              <w:ind w:left="-13" w:leftChars="-6"/>
              <w:jc w:val="center"/>
              <w:rPr>
                <w:rFonts w:asciiTheme="minorEastAsia" w:hAnsiTheme="minorEastAsia" w:eastAsiaTheme="minorEastAsia"/>
                <w:b/>
                <w:sz w:val="24"/>
              </w:rPr>
            </w:pPr>
            <w:r>
              <w:rPr>
                <w:rFonts w:hint="eastAsia" w:asciiTheme="minorEastAsia" w:hAnsiTheme="minorEastAsia" w:eastAsiaTheme="minorEastAsia"/>
                <w:b/>
                <w:sz w:val="24"/>
              </w:rPr>
              <w:t>磋商保证金</w:t>
            </w:r>
          </w:p>
        </w:tc>
        <w:tc>
          <w:tcPr>
            <w:tcW w:w="6329" w:type="dxa"/>
            <w:vAlign w:val="center"/>
          </w:tcPr>
          <w:p>
            <w:pPr>
              <w:ind w:left="189" w:leftChars="90" w:firstLine="1"/>
              <w:rPr>
                <w:rFonts w:asciiTheme="minorEastAsia" w:hAnsiTheme="minorEastAsia" w:eastAsiaTheme="minorEastAsia"/>
                <w:sz w:val="24"/>
              </w:rPr>
            </w:pPr>
            <w:r>
              <w:rPr>
                <w:rFonts w:hint="eastAsia" w:asciiTheme="minorEastAsia" w:hAnsiTheme="minorEastAsia" w:eastAsiaTheme="minorEastAsia"/>
                <w:sz w:val="24"/>
              </w:rPr>
              <w:t>人民币</w:t>
            </w:r>
            <w:r>
              <w:rPr>
                <w:rFonts w:hint="eastAsia" w:asciiTheme="minorEastAsia" w:hAnsiTheme="minorEastAsia" w:eastAsiaTheme="minorEastAsia"/>
                <w:sz w:val="24"/>
                <w:u w:val="single"/>
              </w:rPr>
              <w:t xml:space="preserve">  20000  </w:t>
            </w:r>
            <w:r>
              <w:rPr>
                <w:rFonts w:hint="eastAsia" w:asciiTheme="minorEastAsia" w:hAnsiTheme="minorEastAsia" w:eastAsiaTheme="minorEastAsia"/>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1946" w:type="dxa"/>
            <w:vAlign w:val="center"/>
          </w:tcPr>
          <w:p>
            <w:pPr>
              <w:ind w:left="-13" w:leftChars="-6"/>
              <w:jc w:val="center"/>
              <w:rPr>
                <w:rFonts w:asciiTheme="minorEastAsia" w:hAnsiTheme="minorEastAsia" w:eastAsiaTheme="minorEastAsia"/>
                <w:b/>
                <w:sz w:val="24"/>
              </w:rPr>
            </w:pPr>
            <w:r>
              <w:rPr>
                <w:rFonts w:hint="eastAsia" w:asciiTheme="minorEastAsia" w:hAnsiTheme="minorEastAsia" w:eastAsiaTheme="minorEastAsia"/>
                <w:b/>
                <w:sz w:val="24"/>
              </w:rPr>
              <w:t>服务期</w:t>
            </w:r>
          </w:p>
        </w:tc>
        <w:tc>
          <w:tcPr>
            <w:tcW w:w="6329" w:type="dxa"/>
            <w:vAlign w:val="center"/>
          </w:tcPr>
          <w:p>
            <w:pPr>
              <w:autoSpaceDE w:val="0"/>
              <w:autoSpaceDN w:val="0"/>
              <w:adjustRightInd w:val="0"/>
              <w:snapToGrid w:val="0"/>
              <w:spacing w:after="156" w:afterLines="50"/>
              <w:ind w:left="178" w:leftChars="85"/>
              <w:rPr>
                <w:rFonts w:ascii="宋体" w:hAnsi="宋体" w:cs="黑体"/>
                <w:kern w:val="0"/>
                <w:sz w:val="24"/>
                <w:highlight w:val="yellow"/>
              </w:rPr>
            </w:pPr>
            <w:r>
              <w:rPr>
                <w:rFonts w:hint="eastAsia" w:ascii="宋体" w:hAnsi="宋体" w:cs="黑体"/>
                <w:kern w:val="0"/>
                <w:sz w:val="24"/>
              </w:rPr>
              <w:t>2021年12月25日前完成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1946" w:type="dxa"/>
            <w:vAlign w:val="center"/>
          </w:tcPr>
          <w:p>
            <w:pPr>
              <w:ind w:left="-13" w:leftChars="-6"/>
              <w:jc w:val="center"/>
              <w:rPr>
                <w:rFonts w:asciiTheme="minorEastAsia" w:hAnsiTheme="minorEastAsia" w:eastAsiaTheme="minorEastAsia"/>
                <w:b/>
                <w:sz w:val="24"/>
              </w:rPr>
            </w:pPr>
            <w:r>
              <w:rPr>
                <w:rFonts w:hint="eastAsia" w:asciiTheme="minorEastAsia" w:hAnsiTheme="minorEastAsia" w:eastAsiaTheme="minorEastAsia"/>
                <w:b/>
                <w:sz w:val="24"/>
              </w:rPr>
              <w:t>服务地点</w:t>
            </w:r>
          </w:p>
        </w:tc>
        <w:tc>
          <w:tcPr>
            <w:tcW w:w="6329" w:type="dxa"/>
            <w:vAlign w:val="center"/>
          </w:tcPr>
          <w:p>
            <w:pPr>
              <w:ind w:left="178" w:leftChars="85" w:firstLine="1"/>
              <w:rPr>
                <w:rFonts w:hint="eastAsia" w:asciiTheme="minorEastAsia" w:hAnsiTheme="minorEastAsia" w:eastAsiaTheme="minorEastAsia"/>
                <w:sz w:val="24"/>
                <w:lang w:eastAsia="zh-CN"/>
              </w:rPr>
            </w:pPr>
            <w:r>
              <w:rPr>
                <w:rFonts w:hint="eastAsia" w:asciiTheme="minorEastAsia" w:hAnsiTheme="minorEastAsia" w:eastAsiaTheme="minorEastAsia"/>
                <w:sz w:val="24"/>
                <w:lang w:eastAsia="zh-CN"/>
              </w:rPr>
              <w:t>海南省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1946"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其他声明（如有）</w:t>
            </w:r>
          </w:p>
        </w:tc>
        <w:tc>
          <w:tcPr>
            <w:tcW w:w="6329" w:type="dxa"/>
            <w:vAlign w:val="center"/>
          </w:tcPr>
          <w:p>
            <w:pPr>
              <w:ind w:left="899" w:leftChars="428" w:firstLine="1"/>
              <w:rPr>
                <w:rFonts w:asciiTheme="minorEastAsia" w:hAnsiTheme="minorEastAsia" w:eastAsiaTheme="minorEastAsia"/>
                <w:sz w:val="24"/>
              </w:rPr>
            </w:pPr>
          </w:p>
        </w:tc>
      </w:tr>
    </w:tbl>
    <w:p>
      <w:pPr>
        <w:pStyle w:val="39"/>
        <w:tabs>
          <w:tab w:val="left" w:pos="5580"/>
        </w:tabs>
        <w:spacing w:before="120"/>
        <w:ind w:firstLine="720" w:firstLineChars="300"/>
        <w:rPr>
          <w:rFonts w:asciiTheme="minorEastAsia" w:hAnsiTheme="minorEastAsia" w:eastAsiaTheme="minorEastAsia"/>
          <w:sz w:val="24"/>
        </w:rPr>
      </w:pPr>
    </w:p>
    <w:p>
      <w:pPr>
        <w:pStyle w:val="39"/>
        <w:tabs>
          <w:tab w:val="left" w:pos="5580"/>
        </w:tabs>
        <w:spacing w:before="120"/>
        <w:ind w:firstLine="720" w:firstLineChars="300"/>
        <w:rPr>
          <w:rFonts w:asciiTheme="minorEastAsia" w:hAnsiTheme="minorEastAsia" w:eastAsiaTheme="minorEastAsia"/>
          <w:sz w:val="24"/>
        </w:rPr>
      </w:pPr>
      <w:r>
        <w:rPr>
          <w:rFonts w:hint="eastAsia" w:asciiTheme="minorEastAsia" w:hAnsiTheme="minorEastAsia" w:eastAsiaTheme="minorEastAsia"/>
          <w:sz w:val="24"/>
        </w:rPr>
        <w:t>供应商名称（盖章）：</w:t>
      </w:r>
    </w:p>
    <w:p>
      <w:pPr>
        <w:pStyle w:val="39"/>
        <w:tabs>
          <w:tab w:val="left" w:pos="5340"/>
        </w:tabs>
        <w:spacing w:before="120"/>
        <w:ind w:firstLine="720" w:firstLineChars="300"/>
        <w:rPr>
          <w:rFonts w:asciiTheme="minorEastAsia" w:hAnsiTheme="minorEastAsia" w:eastAsiaTheme="minorEastAsia"/>
          <w:sz w:val="24"/>
          <w:u w:val="single"/>
        </w:rPr>
      </w:pPr>
      <w:r>
        <w:rPr>
          <w:rFonts w:hint="eastAsia" w:asciiTheme="minorEastAsia" w:hAnsiTheme="minorEastAsia" w:eastAsiaTheme="minorEastAsia"/>
          <w:sz w:val="24"/>
        </w:rPr>
        <w:t>供应商授权代表(</w:t>
      </w:r>
      <w:r>
        <w:rPr>
          <w:rFonts w:hint="eastAsia" w:cs="仿宋_GB2312" w:asciiTheme="minorEastAsia" w:hAnsiTheme="minorEastAsia" w:eastAsiaTheme="minorEastAsia"/>
          <w:kern w:val="0"/>
          <w:sz w:val="24"/>
        </w:rPr>
        <w:t>签字或盖人名章</w:t>
      </w:r>
      <w:r>
        <w:rPr>
          <w:rFonts w:hint="eastAsia" w:asciiTheme="minorEastAsia" w:hAnsiTheme="minorEastAsia" w:eastAsiaTheme="minorEastAsia"/>
          <w:sz w:val="24"/>
        </w:rPr>
        <w:t>)：</w:t>
      </w:r>
      <w:r>
        <w:rPr>
          <w:rFonts w:asciiTheme="minorEastAsia" w:hAnsiTheme="minorEastAsia" w:eastAsiaTheme="minorEastAsia"/>
          <w:sz w:val="24"/>
          <w:u w:val="single"/>
        </w:rPr>
        <w:tab/>
      </w:r>
    </w:p>
    <w:p>
      <w:pPr>
        <w:pStyle w:val="39"/>
        <w:tabs>
          <w:tab w:val="left" w:pos="5580"/>
        </w:tabs>
        <w:spacing w:before="120"/>
        <w:ind w:firstLine="720" w:firstLineChars="300"/>
        <w:rPr>
          <w:rFonts w:asciiTheme="minorEastAsia" w:hAnsiTheme="minorEastAsia" w:eastAsiaTheme="minorEastAsia"/>
          <w:sz w:val="24"/>
          <w:u w:val="single"/>
        </w:rPr>
      </w:pPr>
      <w:r>
        <w:rPr>
          <w:rFonts w:hint="eastAsia" w:asciiTheme="minorEastAsia" w:hAnsiTheme="minorEastAsia" w:eastAsiaTheme="minorEastAsia"/>
          <w:sz w:val="24"/>
        </w:rPr>
        <w:t>日期：</w:t>
      </w:r>
    </w:p>
    <w:p>
      <w:pPr>
        <w:pStyle w:val="39"/>
        <w:tabs>
          <w:tab w:val="left" w:pos="5580"/>
        </w:tabs>
        <w:spacing w:before="120"/>
        <w:ind w:firstLine="720" w:firstLineChars="300"/>
        <w:rPr>
          <w:rFonts w:asciiTheme="minorEastAsia" w:hAnsiTheme="minorEastAsia" w:eastAsiaTheme="minorEastAsia"/>
          <w:sz w:val="24"/>
          <w:u w:val="single"/>
        </w:rPr>
      </w:pPr>
    </w:p>
    <w:p>
      <w:pPr>
        <w:pStyle w:val="39"/>
        <w:tabs>
          <w:tab w:val="left" w:pos="5580"/>
        </w:tabs>
        <w:spacing w:before="120"/>
        <w:ind w:firstLine="720" w:firstLineChars="300"/>
        <w:rPr>
          <w:rFonts w:asciiTheme="minorEastAsia" w:hAnsiTheme="minorEastAsia" w:eastAsiaTheme="minorEastAsia"/>
          <w:sz w:val="24"/>
        </w:rPr>
      </w:pPr>
    </w:p>
    <w:p>
      <w:pPr>
        <w:pStyle w:val="39"/>
        <w:tabs>
          <w:tab w:val="left" w:pos="5580"/>
        </w:tabs>
        <w:spacing w:before="120"/>
        <w:ind w:firstLine="720" w:firstLineChars="300"/>
        <w:rPr>
          <w:rFonts w:asciiTheme="minorEastAsia" w:hAnsiTheme="minorEastAsia" w:eastAsiaTheme="minorEastAsia"/>
          <w:sz w:val="24"/>
        </w:rPr>
      </w:pPr>
      <w:r>
        <w:rPr>
          <w:rFonts w:hint="eastAsia" w:asciiTheme="minorEastAsia" w:hAnsiTheme="minorEastAsia" w:eastAsiaTheme="minorEastAsia"/>
          <w:sz w:val="24"/>
        </w:rPr>
        <w:t>注:此表中响应文件总价应与附件5中的总价相一致。</w:t>
      </w:r>
    </w:p>
    <w:p>
      <w:pPr>
        <w:pStyle w:val="39"/>
        <w:tabs>
          <w:tab w:val="left" w:pos="5580"/>
        </w:tabs>
        <w:spacing w:before="120"/>
        <w:ind w:firstLine="720" w:firstLineChars="300"/>
        <w:rPr>
          <w:rFonts w:ascii="仿宋_GB2312" w:hAnsi="宋体" w:eastAsia="仿宋_GB2312"/>
          <w:sz w:val="24"/>
        </w:rPr>
      </w:pPr>
      <w:r>
        <w:rPr>
          <w:rFonts w:hAnsi="宋体"/>
          <w:sz w:val="24"/>
        </w:rPr>
        <w:br w:type="page"/>
      </w:r>
    </w:p>
    <w:p>
      <w:pPr>
        <w:pStyle w:val="425"/>
        <w:numPr>
          <w:ilvl w:val="0"/>
          <w:numId w:val="18"/>
        </w:numPr>
        <w:spacing w:line="360" w:lineRule="auto"/>
        <w:ind w:left="1276" w:hanging="1276" w:firstLineChars="0"/>
        <w:outlineLvl w:val="1"/>
        <w:rPr>
          <w:b/>
          <w:sz w:val="24"/>
        </w:rPr>
      </w:pPr>
      <w:bookmarkStart w:id="146" w:name="_Toc11272"/>
      <w:bookmarkStart w:id="147" w:name="_Toc20235"/>
      <w:r>
        <w:rPr>
          <w:rFonts w:hint="eastAsia"/>
          <w:b/>
          <w:sz w:val="24"/>
        </w:rPr>
        <w:t>法定代表人身份证明</w:t>
      </w:r>
      <w:bookmarkEnd w:id="146"/>
      <w:bookmarkEnd w:id="147"/>
    </w:p>
    <w:p>
      <w:pPr>
        <w:spacing w:before="156" w:beforeLines="50" w:line="288" w:lineRule="auto"/>
        <w:ind w:hanging="104"/>
        <w:jc w:val="center"/>
        <w:rPr>
          <w:rFonts w:ascii="宋体" w:hAnsi="宋体"/>
          <w:szCs w:val="21"/>
        </w:rPr>
      </w:pPr>
    </w:p>
    <w:p>
      <w:pPr>
        <w:autoSpaceDE w:val="0"/>
        <w:autoSpaceDN w:val="0"/>
        <w:adjustRightInd w:val="0"/>
        <w:jc w:val="center"/>
        <w:rPr>
          <w:rFonts w:ascii="宋体" w:hAnsi="宋体" w:cs="黑体"/>
          <w:kern w:val="0"/>
          <w:sz w:val="28"/>
          <w:szCs w:val="28"/>
        </w:rPr>
      </w:pPr>
      <w:r>
        <w:rPr>
          <w:rFonts w:hint="eastAsia" w:ascii="宋体" w:hAnsi="宋体" w:cs="黑体"/>
          <w:kern w:val="0"/>
          <w:sz w:val="28"/>
          <w:szCs w:val="28"/>
        </w:rPr>
        <w:t>法定代表人身份证明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u w:val="single"/>
        </w:rPr>
      </w:pPr>
      <w:r>
        <w:rPr>
          <w:rFonts w:hint="eastAsia" w:ascii="宋体" w:hAnsi="宋体" w:cs="仿宋_GB2312"/>
          <w:kern w:val="0"/>
          <w:sz w:val="24"/>
        </w:rPr>
        <w:t>姓名：性别：年龄：职务：</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系</w:t>
      </w:r>
      <w:r>
        <w:rPr>
          <w:rFonts w:hint="eastAsia" w:ascii="宋体" w:hAnsi="宋体" w:cs="仿宋_GB2312"/>
          <w:kern w:val="0"/>
          <w:sz w:val="24"/>
          <w:u w:val="single"/>
        </w:rPr>
        <w:t>（   供应商名称  ）</w:t>
      </w:r>
      <w:r>
        <w:rPr>
          <w:rFonts w:hint="eastAsia" w:ascii="宋体" w:hAnsi="宋体" w:cs="仿宋_GB2312"/>
          <w:kern w:val="0"/>
          <w:sz w:val="24"/>
        </w:rPr>
        <w:t>的法定代表人。</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特此证明。</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ind w:left="5399" w:leftChars="2571"/>
        <w:jc w:val="left"/>
        <w:rPr>
          <w:rFonts w:ascii="宋体" w:hAnsi="宋体" w:cs="仿宋_GB2312"/>
          <w:kern w:val="0"/>
          <w:sz w:val="24"/>
        </w:rPr>
      </w:pPr>
      <w:r>
        <w:rPr>
          <w:rFonts w:hint="eastAsia" w:ascii="宋体" w:hAnsi="宋体" w:cs="仿宋_GB2312"/>
          <w:kern w:val="0"/>
          <w:sz w:val="24"/>
        </w:rPr>
        <w:t>供应商：</w:t>
      </w:r>
      <w:r>
        <w:rPr>
          <w:rFonts w:hint="eastAsia" w:ascii="宋体" w:hAnsi="宋体" w:cs="仿宋_GB2312"/>
          <w:kern w:val="0"/>
          <w:sz w:val="24"/>
          <w:u w:val="single"/>
        </w:rPr>
        <w:t xml:space="preserve">          （盖单位章）</w:t>
      </w:r>
    </w:p>
    <w:p>
      <w:pPr>
        <w:autoSpaceDE w:val="0"/>
        <w:autoSpaceDN w:val="0"/>
        <w:adjustRightInd w:val="0"/>
        <w:spacing w:line="360" w:lineRule="auto"/>
        <w:ind w:left="5399" w:leftChars="2571"/>
        <w:jc w:val="left"/>
        <w:rPr>
          <w:rFonts w:ascii="宋体" w:hAnsi="宋体" w:cs="仿宋_GB2312"/>
          <w:kern w:val="0"/>
          <w:sz w:val="24"/>
        </w:rPr>
      </w:pPr>
    </w:p>
    <w:p>
      <w:pPr>
        <w:autoSpaceDE w:val="0"/>
        <w:autoSpaceDN w:val="0"/>
        <w:adjustRightInd w:val="0"/>
        <w:spacing w:line="360" w:lineRule="auto"/>
        <w:ind w:left="6659" w:leftChars="3171"/>
        <w:jc w:val="left"/>
        <w:rPr>
          <w:rFonts w:ascii="宋体" w:hAnsi="宋体" w:cs="仿宋_GB2312"/>
          <w:kern w:val="0"/>
          <w:sz w:val="24"/>
        </w:rPr>
      </w:pPr>
      <w:r>
        <w:rPr>
          <w:rFonts w:hint="eastAsia" w:ascii="宋体" w:hAnsi="宋体" w:cs="仿宋_GB2312"/>
          <w:kern w:val="0"/>
          <w:sz w:val="24"/>
        </w:rPr>
        <w:t>年  月   日</w:t>
      </w:r>
    </w:p>
    <w:p>
      <w:pPr>
        <w:widowControl/>
        <w:jc w:val="left"/>
        <w:rPr>
          <w:rFonts w:ascii="宋体" w:hAnsi="宋体" w:cs="仿宋_GB2312"/>
          <w:kern w:val="0"/>
          <w:sz w:val="24"/>
        </w:rPr>
      </w:pPr>
      <w:r>
        <w:rPr>
          <w:rFonts w:ascii="宋体" w:hAnsi="宋体" w:cs="仿宋_GB2312"/>
          <w:kern w:val="0"/>
          <w:sz w:val="24"/>
        </w:rPr>
        <w:br w:type="page"/>
      </w:r>
    </w:p>
    <w:p>
      <w:pPr>
        <w:pStyle w:val="425"/>
        <w:numPr>
          <w:ilvl w:val="0"/>
          <w:numId w:val="18"/>
        </w:numPr>
        <w:spacing w:line="360" w:lineRule="auto"/>
        <w:ind w:left="1276" w:hanging="1276" w:firstLineChars="0"/>
        <w:outlineLvl w:val="1"/>
        <w:rPr>
          <w:b/>
          <w:sz w:val="24"/>
        </w:rPr>
      </w:pPr>
      <w:bookmarkStart w:id="148" w:name="_Toc24022"/>
      <w:bookmarkStart w:id="149" w:name="_Toc17754"/>
      <w:bookmarkStart w:id="150" w:name="_Toc195922058"/>
      <w:r>
        <w:rPr>
          <w:rFonts w:hint="eastAsia"/>
          <w:b/>
          <w:sz w:val="24"/>
        </w:rPr>
        <w:t>授权委托书</w:t>
      </w:r>
      <w:bookmarkEnd w:id="148"/>
      <w:bookmarkEnd w:id="149"/>
    </w:p>
    <w:p>
      <w:pPr>
        <w:autoSpaceDE w:val="0"/>
        <w:autoSpaceDN w:val="0"/>
        <w:adjustRightInd w:val="0"/>
        <w:jc w:val="center"/>
        <w:rPr>
          <w:rFonts w:ascii="宋体" w:hAnsi="宋体" w:cs="TimesNewRomanPSMT"/>
          <w:kern w:val="0"/>
          <w:sz w:val="18"/>
          <w:szCs w:val="18"/>
        </w:rPr>
      </w:pPr>
    </w:p>
    <w:p>
      <w:pPr>
        <w:autoSpaceDE w:val="0"/>
        <w:autoSpaceDN w:val="0"/>
        <w:adjustRightInd w:val="0"/>
        <w:jc w:val="center"/>
        <w:rPr>
          <w:rFonts w:ascii="宋体" w:hAnsi="宋体" w:cs="黑体"/>
          <w:kern w:val="0"/>
          <w:sz w:val="28"/>
          <w:szCs w:val="28"/>
        </w:rPr>
      </w:pPr>
      <w:r>
        <w:rPr>
          <w:rFonts w:hint="eastAsia" w:ascii="宋体" w:hAnsi="宋体" w:cs="黑体"/>
          <w:kern w:val="0"/>
          <w:sz w:val="28"/>
          <w:szCs w:val="28"/>
        </w:rPr>
        <w:t>授权委托书</w:t>
      </w:r>
      <w:bookmarkEnd w:id="150"/>
    </w:p>
    <w:p>
      <w:pPr>
        <w:autoSpaceDE w:val="0"/>
        <w:autoSpaceDN w:val="0"/>
        <w:adjustRightInd w:val="0"/>
        <w:jc w:val="center"/>
        <w:rPr>
          <w:rFonts w:ascii="宋体" w:hAnsi="宋体" w:cs="黑体"/>
          <w:kern w:val="0"/>
          <w:sz w:val="28"/>
          <w:szCs w:val="28"/>
        </w:rPr>
      </w:pPr>
    </w:p>
    <w:p>
      <w:pPr>
        <w:autoSpaceDE w:val="0"/>
        <w:autoSpaceDN w:val="0"/>
        <w:adjustRightInd w:val="0"/>
        <w:jc w:val="left"/>
        <w:rPr>
          <w:rFonts w:ascii="宋体" w:hAnsi="宋体" w:cs="仿宋_GB2312"/>
          <w:kern w:val="0"/>
          <w:szCs w:val="21"/>
        </w:rPr>
      </w:pPr>
    </w:p>
    <w:p>
      <w:pPr>
        <w:autoSpaceDE w:val="0"/>
        <w:autoSpaceDN w:val="0"/>
        <w:adjustRightInd w:val="0"/>
        <w:spacing w:line="360" w:lineRule="auto"/>
        <w:ind w:firstLine="480" w:firstLineChars="200"/>
        <w:jc w:val="left"/>
        <w:rPr>
          <w:rFonts w:ascii="宋体" w:hAnsi="宋体" w:cs="仿宋_GB2312"/>
          <w:kern w:val="0"/>
          <w:sz w:val="24"/>
        </w:rPr>
      </w:pPr>
      <w:r>
        <w:rPr>
          <w:rFonts w:hint="eastAsia" w:ascii="宋体" w:hAnsi="宋体" w:cs="仿宋_GB2312"/>
          <w:kern w:val="0"/>
          <w:sz w:val="24"/>
        </w:rPr>
        <w:t>本人</w:t>
      </w:r>
      <w:r>
        <w:rPr>
          <w:rFonts w:hint="eastAsia" w:ascii="宋体" w:hAnsi="宋体" w:cs="仿宋_GB2312"/>
          <w:kern w:val="0"/>
          <w:sz w:val="24"/>
          <w:u w:val="single"/>
        </w:rPr>
        <w:t>（姓名）</w:t>
      </w:r>
      <w:r>
        <w:rPr>
          <w:rFonts w:hint="eastAsia" w:ascii="宋体" w:hAnsi="宋体" w:cs="仿宋_GB2312"/>
          <w:kern w:val="0"/>
          <w:sz w:val="24"/>
        </w:rPr>
        <w:t>系</w:t>
      </w:r>
      <w:r>
        <w:rPr>
          <w:rFonts w:hint="eastAsia" w:ascii="宋体" w:hAnsi="宋体" w:cs="仿宋_GB2312"/>
          <w:kern w:val="0"/>
          <w:sz w:val="24"/>
          <w:u w:val="single"/>
        </w:rPr>
        <w:t>（供应商名称）</w:t>
      </w:r>
      <w:r>
        <w:rPr>
          <w:rFonts w:hint="eastAsia" w:ascii="宋体" w:hAnsi="宋体" w:cs="仿宋_GB2312"/>
          <w:kern w:val="0"/>
          <w:sz w:val="24"/>
        </w:rPr>
        <w:t>的法定代表人，现委托</w:t>
      </w:r>
      <w:r>
        <w:rPr>
          <w:rFonts w:hint="eastAsia" w:ascii="宋体" w:hAnsi="宋体" w:cs="仿宋_GB2312"/>
          <w:kern w:val="0"/>
          <w:sz w:val="24"/>
          <w:u w:val="single"/>
        </w:rPr>
        <w:t>（姓名）</w:t>
      </w:r>
      <w:r>
        <w:rPr>
          <w:rFonts w:hint="eastAsia" w:ascii="宋体" w:hAnsi="宋体" w:cs="仿宋_GB2312"/>
          <w:kern w:val="0"/>
          <w:sz w:val="24"/>
        </w:rPr>
        <w:t>为我方代理人。代理人根据授权，以我方名义签署、澄清、说明、补正、递交、撤回、修改</w:t>
      </w:r>
      <w:r>
        <w:rPr>
          <w:rFonts w:hint="eastAsia" w:ascii="宋体" w:hAnsi="宋体" w:cs="仿宋_GB2312"/>
          <w:kern w:val="0"/>
          <w:sz w:val="24"/>
          <w:u w:val="single"/>
        </w:rPr>
        <w:t>（项目名称）</w:t>
      </w:r>
      <w:r>
        <w:rPr>
          <w:rFonts w:hint="eastAsia" w:ascii="宋体" w:hAnsi="宋体" w:cs="仿宋_GB2312"/>
          <w:kern w:val="0"/>
          <w:sz w:val="24"/>
        </w:rPr>
        <w:t>响应文件、签订合同和处理有关事宜，其法律后果由我方承担。</w:t>
      </w: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委托期限： 。</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代理人无转委托权。</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r>
        <w:rPr>
          <w:rFonts w:hint="eastAsia" w:ascii="宋体" w:hAnsi="宋体" w:cs="仿宋_GB2312"/>
          <w:kern w:val="0"/>
          <w:sz w:val="24"/>
        </w:rPr>
        <w:t>附：法定代表人身份证及被授权人身份证（复印件）</w:t>
      </w: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jc w:val="left"/>
        <w:rPr>
          <w:rFonts w:ascii="宋体" w:hAnsi="宋体" w:cs="仿宋_GB2312"/>
          <w:kern w:val="0"/>
          <w:sz w:val="24"/>
        </w:rPr>
      </w:pP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供应商：           （盖单位章）</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法定代表人：            （签字或加盖人名章）</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身份证号码：</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委托代理人：             （签字或加盖人名章）</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身份证号码：</w:t>
      </w:r>
    </w:p>
    <w:p>
      <w:pPr>
        <w:autoSpaceDE w:val="0"/>
        <w:autoSpaceDN w:val="0"/>
        <w:adjustRightInd w:val="0"/>
        <w:spacing w:line="360" w:lineRule="auto"/>
        <w:ind w:left="3958" w:leftChars="1885"/>
        <w:jc w:val="left"/>
        <w:rPr>
          <w:rFonts w:ascii="宋体" w:hAnsi="宋体" w:cs="仿宋_GB2312"/>
          <w:kern w:val="0"/>
          <w:sz w:val="24"/>
        </w:rPr>
      </w:pPr>
      <w:r>
        <w:rPr>
          <w:rFonts w:hint="eastAsia" w:ascii="宋体" w:hAnsi="宋体" w:cs="仿宋_GB2312"/>
          <w:kern w:val="0"/>
          <w:sz w:val="24"/>
        </w:rPr>
        <w:t>年月日</w:t>
      </w:r>
    </w:p>
    <w:p>
      <w:pPr>
        <w:widowControl/>
        <w:jc w:val="left"/>
        <w:rPr>
          <w:rFonts w:ascii="宋体" w:hAnsi="宋体" w:cs="仿宋_GB2312"/>
          <w:kern w:val="0"/>
          <w:sz w:val="24"/>
        </w:rPr>
      </w:pPr>
      <w:r>
        <w:rPr>
          <w:rFonts w:ascii="宋体" w:hAnsi="宋体" w:cs="仿宋_GB2312"/>
          <w:kern w:val="0"/>
          <w:sz w:val="24"/>
        </w:rPr>
        <w:br w:type="page"/>
      </w:r>
    </w:p>
    <w:p>
      <w:pPr>
        <w:pStyle w:val="425"/>
        <w:numPr>
          <w:ilvl w:val="0"/>
          <w:numId w:val="18"/>
        </w:numPr>
        <w:spacing w:line="360" w:lineRule="auto"/>
        <w:ind w:left="1276" w:hanging="1276" w:firstLineChars="0"/>
        <w:outlineLvl w:val="1"/>
        <w:rPr>
          <w:b/>
          <w:sz w:val="24"/>
        </w:rPr>
      </w:pPr>
      <w:bookmarkStart w:id="151" w:name="_Toc21368"/>
      <w:bookmarkStart w:id="152" w:name="_Toc23369"/>
      <w:r>
        <w:rPr>
          <w:rFonts w:hint="eastAsia"/>
          <w:b/>
          <w:sz w:val="24"/>
        </w:rPr>
        <w:t>磋商保证金</w:t>
      </w:r>
      <w:bookmarkEnd w:id="143"/>
      <w:bookmarkEnd w:id="144"/>
      <w:bookmarkEnd w:id="151"/>
      <w:bookmarkEnd w:id="152"/>
    </w:p>
    <w:p>
      <w:pPr>
        <w:spacing w:before="120" w:after="120" w:line="360" w:lineRule="auto"/>
        <w:ind w:firstLine="420" w:firstLineChars="200"/>
        <w:rPr>
          <w:rFonts w:ascii="宋体"/>
          <w:szCs w:val="21"/>
        </w:rPr>
      </w:pPr>
      <w:r>
        <w:rPr>
          <w:rFonts w:hint="eastAsia" w:ascii="宋体"/>
          <w:szCs w:val="21"/>
        </w:rPr>
        <w:t>（支票、汇票或本票的复印件，或采用汇款、网银等方式提交的保证金的汇款底单复印件）</w:t>
      </w:r>
    </w:p>
    <w:p>
      <w:pPr>
        <w:jc w:val="center"/>
        <w:rPr>
          <w:b/>
          <w:sz w:val="24"/>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p>
    <w:p>
      <w:pPr>
        <w:ind w:firstLine="422"/>
        <w:rPr>
          <w:rFonts w:ascii="宋体"/>
          <w:b/>
          <w:szCs w:val="21"/>
        </w:rPr>
      </w:pPr>
      <w:r>
        <w:rPr>
          <w:rFonts w:hint="eastAsia" w:ascii="宋体"/>
          <w:b/>
          <w:szCs w:val="21"/>
        </w:rPr>
        <w:t>说明：</w:t>
      </w:r>
    </w:p>
    <w:p>
      <w:pPr>
        <w:spacing w:before="120" w:after="120" w:line="360" w:lineRule="auto"/>
        <w:ind w:firstLine="420" w:firstLineChars="200"/>
        <w:rPr>
          <w:rFonts w:ascii="宋体"/>
          <w:szCs w:val="21"/>
        </w:rPr>
      </w:pPr>
      <w:r>
        <w:rPr>
          <w:rFonts w:hint="eastAsia" w:ascii="宋体"/>
          <w:szCs w:val="21"/>
        </w:rPr>
        <w:t>供应商提交的磋商保证金应采用磋商文件中规定的形式，并在此提供相应凭证的复印件</w:t>
      </w:r>
      <w:r>
        <w:rPr>
          <w:rFonts w:ascii="宋体"/>
          <w:szCs w:val="21"/>
        </w:rPr>
        <w:t>。</w:t>
      </w: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p>
    <w:p>
      <w:pPr>
        <w:spacing w:before="120" w:after="120" w:line="360" w:lineRule="auto"/>
        <w:ind w:firstLine="420" w:firstLineChars="200"/>
        <w:rPr>
          <w:rFonts w:ascii="宋体"/>
          <w:szCs w:val="21"/>
        </w:rPr>
      </w:pPr>
      <w:r>
        <w:rPr>
          <w:rFonts w:ascii="宋体"/>
          <w:szCs w:val="21"/>
        </w:rPr>
        <w:t xml:space="preserve">供应商名称（公章）： </w:t>
      </w:r>
    </w:p>
    <w:p>
      <w:pPr>
        <w:spacing w:before="120" w:after="120" w:line="360" w:lineRule="auto"/>
        <w:ind w:firstLine="420" w:firstLineChars="200"/>
        <w:rPr>
          <w:rFonts w:ascii="宋体"/>
          <w:szCs w:val="21"/>
        </w:rPr>
      </w:pPr>
      <w:r>
        <w:rPr>
          <w:rFonts w:ascii="宋体"/>
          <w:szCs w:val="21"/>
        </w:rPr>
        <w:t>法定代表人或其授权代表（</w:t>
      </w:r>
      <w:r>
        <w:rPr>
          <w:rFonts w:hint="eastAsia" w:ascii="宋体"/>
          <w:szCs w:val="21"/>
        </w:rPr>
        <w:t>签字或加盖人名章</w:t>
      </w:r>
      <w:r>
        <w:rPr>
          <w:rFonts w:ascii="宋体"/>
          <w:szCs w:val="21"/>
        </w:rPr>
        <w:t>）：</w:t>
      </w:r>
    </w:p>
    <w:p>
      <w:pPr>
        <w:spacing w:before="120" w:after="120" w:line="360" w:lineRule="auto"/>
        <w:ind w:firstLine="420" w:firstLineChars="200"/>
        <w:rPr>
          <w:rFonts w:ascii="宋体"/>
          <w:szCs w:val="21"/>
        </w:rPr>
      </w:pPr>
      <w:r>
        <w:rPr>
          <w:rFonts w:ascii="宋体"/>
          <w:szCs w:val="21"/>
        </w:rPr>
        <w:t>日    期：     年   月    日</w:t>
      </w:r>
    </w:p>
    <w:p>
      <w:pPr>
        <w:spacing w:before="156" w:beforeLines="50" w:line="440" w:lineRule="exact"/>
        <w:ind w:firstLine="422"/>
        <w:rPr>
          <w:rFonts w:ascii="宋体"/>
          <w:b/>
          <w:szCs w:val="21"/>
        </w:rPr>
      </w:pPr>
    </w:p>
    <w:p>
      <w:pPr>
        <w:spacing w:before="156" w:beforeLines="50" w:line="440" w:lineRule="exact"/>
        <w:ind w:firstLine="422"/>
        <w:rPr>
          <w:rFonts w:ascii="宋体"/>
          <w:b/>
          <w:szCs w:val="21"/>
        </w:rPr>
      </w:pPr>
    </w:p>
    <w:p>
      <w:pPr>
        <w:spacing w:before="156" w:beforeLines="50" w:line="440" w:lineRule="exact"/>
        <w:ind w:firstLine="422"/>
        <w:rPr>
          <w:rFonts w:ascii="宋体"/>
          <w:b/>
          <w:szCs w:val="21"/>
        </w:rPr>
      </w:pPr>
    </w:p>
    <w:p>
      <w:pPr>
        <w:spacing w:before="156" w:beforeLines="50" w:line="440" w:lineRule="exact"/>
        <w:ind w:firstLine="422"/>
        <w:rPr>
          <w:rFonts w:ascii="宋体"/>
          <w:b/>
          <w:szCs w:val="21"/>
        </w:rPr>
      </w:pPr>
    </w:p>
    <w:p>
      <w:pPr>
        <w:spacing w:line="480" w:lineRule="exact"/>
        <w:ind w:firstLine="482" w:firstLineChars="200"/>
        <w:rPr>
          <w:rFonts w:ascii="仿宋_GB2312" w:hAnsi="仿宋_GB2312" w:eastAsia="仿宋_GB2312" w:cs="宋体"/>
          <w:b/>
          <w:kern w:val="0"/>
          <w:sz w:val="24"/>
          <w:szCs w:val="28"/>
        </w:rPr>
      </w:pPr>
    </w:p>
    <w:p>
      <w:pPr>
        <w:spacing w:line="480" w:lineRule="exact"/>
        <w:ind w:firstLine="482" w:firstLineChars="200"/>
        <w:rPr>
          <w:rFonts w:ascii="仿宋_GB2312" w:hAnsi="仿宋_GB2312" w:eastAsia="仿宋_GB2312" w:cs="宋体"/>
          <w:b/>
          <w:kern w:val="0"/>
          <w:sz w:val="24"/>
          <w:szCs w:val="28"/>
        </w:rPr>
        <w:sectPr>
          <w:pgSz w:w="11906" w:h="16838"/>
          <w:pgMar w:top="1440" w:right="1247" w:bottom="1361" w:left="1247" w:header="851" w:footer="992" w:gutter="0"/>
          <w:cols w:space="720" w:num="1"/>
          <w:docGrid w:type="lines" w:linePitch="312" w:charSpace="0"/>
        </w:sectPr>
      </w:pPr>
    </w:p>
    <w:p>
      <w:pPr>
        <w:spacing w:line="360" w:lineRule="auto"/>
        <w:rPr>
          <w:rFonts w:asciiTheme="minorEastAsia" w:hAnsiTheme="minorEastAsia" w:eastAsiaTheme="minorEastAsia"/>
          <w:sz w:val="24"/>
        </w:rPr>
      </w:pPr>
      <w:bookmarkStart w:id="153" w:name="_Toc143577473"/>
      <w:bookmarkStart w:id="154" w:name="_Toc468781351"/>
    </w:p>
    <w:p>
      <w:pPr>
        <w:pStyle w:val="425"/>
        <w:numPr>
          <w:ilvl w:val="0"/>
          <w:numId w:val="19"/>
        </w:numPr>
        <w:spacing w:line="360" w:lineRule="auto"/>
        <w:ind w:firstLineChars="0"/>
        <w:outlineLvl w:val="1"/>
        <w:rPr>
          <w:b/>
          <w:sz w:val="24"/>
        </w:rPr>
      </w:pPr>
      <w:bookmarkStart w:id="155" w:name="_Toc2583"/>
      <w:bookmarkStart w:id="156" w:name="_Toc27804"/>
      <w:r>
        <w:rPr>
          <w:rFonts w:hint="eastAsia"/>
          <w:b/>
          <w:sz w:val="24"/>
        </w:rPr>
        <w:t>分项报价表（若有）</w:t>
      </w:r>
      <w:bookmarkEnd w:id="155"/>
      <w:bookmarkEnd w:id="156"/>
    </w:p>
    <w:p>
      <w:pPr>
        <w:pStyle w:val="423"/>
        <w:ind w:firstLine="0"/>
        <w:jc w:val="center"/>
        <w:rPr>
          <w:rFonts w:ascii="宋体" w:hAnsi="宋体" w:cs="宋体"/>
          <w:sz w:val="30"/>
          <w:szCs w:val="30"/>
        </w:rPr>
      </w:pPr>
    </w:p>
    <w:p>
      <w:pPr>
        <w:pStyle w:val="423"/>
        <w:ind w:firstLine="0"/>
        <w:jc w:val="center"/>
        <w:rPr>
          <w:rFonts w:ascii="宋体" w:hAnsi="宋体" w:cs="宋体"/>
          <w:sz w:val="30"/>
          <w:szCs w:val="30"/>
        </w:rPr>
      </w:pPr>
      <w:r>
        <w:rPr>
          <w:rFonts w:ascii="宋体" w:hAnsi="宋体" w:cs="宋体"/>
          <w:sz w:val="30"/>
          <w:szCs w:val="30"/>
        </w:rPr>
        <w:t>分项报价表</w:t>
      </w:r>
    </w:p>
    <w:tbl>
      <w:tblPr>
        <w:tblStyle w:val="73"/>
        <w:tblW w:w="9606"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015"/>
        <w:gridCol w:w="4338"/>
        <w:gridCol w:w="1276"/>
        <w:gridCol w:w="1417"/>
        <w:gridCol w:w="1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15" w:type="dxa"/>
            <w:vAlign w:val="center"/>
          </w:tcPr>
          <w:p>
            <w:pPr>
              <w:spacing w:before="120" w:beforeLines="50" w:after="120" w:afterLines="50"/>
              <w:jc w:val="center"/>
              <w:rPr>
                <w:rFonts w:ascii="Arial" w:hAnsi="Arial" w:eastAsia="黑体" w:cs="Arial"/>
              </w:rPr>
            </w:pPr>
            <w:r>
              <w:rPr>
                <w:rFonts w:ascii="Arial" w:hAnsi="Arial" w:eastAsia="黑体" w:cs="Arial"/>
              </w:rPr>
              <w:t>序号</w:t>
            </w:r>
          </w:p>
        </w:tc>
        <w:tc>
          <w:tcPr>
            <w:tcW w:w="4338" w:type="dxa"/>
            <w:vAlign w:val="center"/>
          </w:tcPr>
          <w:p>
            <w:pPr>
              <w:spacing w:before="120" w:beforeLines="50" w:after="120" w:afterLines="50"/>
              <w:jc w:val="center"/>
              <w:rPr>
                <w:rFonts w:ascii="Arial" w:hAnsi="Arial" w:eastAsia="黑体" w:cs="Arial"/>
              </w:rPr>
            </w:pPr>
            <w:r>
              <w:rPr>
                <w:rFonts w:ascii="Arial" w:hAnsi="Arial" w:eastAsia="黑体" w:cs="Arial"/>
              </w:rPr>
              <w:t>名称</w:t>
            </w:r>
          </w:p>
        </w:tc>
        <w:tc>
          <w:tcPr>
            <w:tcW w:w="1276" w:type="dxa"/>
          </w:tcPr>
          <w:p>
            <w:pPr>
              <w:spacing w:before="120" w:beforeLines="50" w:after="120" w:afterLines="50"/>
              <w:jc w:val="center"/>
              <w:rPr>
                <w:rFonts w:ascii="Arial" w:hAnsi="Arial" w:eastAsia="黑体" w:cs="Arial"/>
              </w:rPr>
            </w:pPr>
            <w:r>
              <w:rPr>
                <w:rFonts w:hint="eastAsia" w:ascii="Arial" w:hAnsi="Arial" w:eastAsia="黑体" w:cs="Arial"/>
              </w:rPr>
              <w:t>单价</w:t>
            </w:r>
          </w:p>
        </w:tc>
        <w:tc>
          <w:tcPr>
            <w:tcW w:w="1417" w:type="dxa"/>
            <w:vAlign w:val="center"/>
          </w:tcPr>
          <w:p>
            <w:pPr>
              <w:spacing w:before="120" w:beforeLines="50" w:after="120" w:afterLines="50"/>
              <w:jc w:val="center"/>
              <w:rPr>
                <w:rFonts w:ascii="Arial" w:hAnsi="Arial" w:eastAsia="黑体" w:cs="Arial"/>
              </w:rPr>
            </w:pPr>
            <w:r>
              <w:rPr>
                <w:rFonts w:ascii="Arial" w:hAnsi="Arial" w:eastAsia="黑体" w:cs="Arial"/>
              </w:rPr>
              <w:t>总价</w:t>
            </w:r>
          </w:p>
        </w:tc>
        <w:tc>
          <w:tcPr>
            <w:tcW w:w="1560" w:type="dxa"/>
            <w:vAlign w:val="center"/>
          </w:tcPr>
          <w:p>
            <w:pPr>
              <w:spacing w:before="120" w:beforeLines="50" w:after="120" w:afterLines="50"/>
              <w:jc w:val="center"/>
              <w:rPr>
                <w:rFonts w:ascii="Arial" w:hAnsi="Arial" w:eastAsia="黑体" w:cs="Arial"/>
              </w:rPr>
            </w:pPr>
            <w:r>
              <w:rPr>
                <w:rFonts w:ascii="Arial" w:hAnsi="Arial" w:eastAsia="黑体" w:cs="Arial"/>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15" w:type="dxa"/>
            <w:vAlign w:val="center"/>
          </w:tcPr>
          <w:p>
            <w:pPr>
              <w:spacing w:before="120" w:after="120"/>
              <w:jc w:val="center"/>
              <w:rPr>
                <w:rFonts w:ascii="Arial" w:hAnsi="Arial" w:eastAsia="楷体_GB2312" w:cs="Arial"/>
              </w:rPr>
            </w:pPr>
            <w:r>
              <w:rPr>
                <w:rFonts w:hint="eastAsia" w:ascii="Arial" w:hAnsi="Arial" w:eastAsia="楷体_GB2312" w:cs="Arial"/>
              </w:rPr>
              <w:t>1</w:t>
            </w:r>
          </w:p>
        </w:tc>
        <w:tc>
          <w:tcPr>
            <w:tcW w:w="4338" w:type="dxa"/>
            <w:vAlign w:val="center"/>
          </w:tcPr>
          <w:p>
            <w:pPr>
              <w:snapToGrid w:val="0"/>
              <w:spacing w:before="120" w:beforeLines="50" w:after="120" w:afterLines="50"/>
              <w:jc w:val="center"/>
              <w:rPr>
                <w:rFonts w:ascii="黑体" w:hAnsi="黑体" w:eastAsia="黑体"/>
              </w:rPr>
            </w:pPr>
          </w:p>
        </w:tc>
        <w:tc>
          <w:tcPr>
            <w:tcW w:w="1276" w:type="dxa"/>
          </w:tcPr>
          <w:p>
            <w:pPr>
              <w:snapToGrid w:val="0"/>
              <w:jc w:val="center"/>
              <w:rPr>
                <w:rFonts w:ascii="Arial" w:hAnsi="Arial" w:eastAsia="楷体_GB2312" w:cs="Arial"/>
              </w:rPr>
            </w:pPr>
          </w:p>
        </w:tc>
        <w:tc>
          <w:tcPr>
            <w:tcW w:w="1417" w:type="dxa"/>
            <w:vAlign w:val="center"/>
          </w:tcPr>
          <w:p>
            <w:pPr>
              <w:snapToGrid w:val="0"/>
              <w:jc w:val="center"/>
              <w:rPr>
                <w:rFonts w:ascii="Arial" w:hAnsi="Arial" w:eastAsia="楷体_GB2312" w:cs="Arial"/>
              </w:rPr>
            </w:pPr>
          </w:p>
        </w:tc>
        <w:tc>
          <w:tcPr>
            <w:tcW w:w="1560" w:type="dxa"/>
          </w:tcPr>
          <w:p>
            <w:pPr>
              <w:snapToGrid w:val="0"/>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15" w:type="dxa"/>
            <w:vAlign w:val="center"/>
          </w:tcPr>
          <w:p>
            <w:pPr>
              <w:spacing w:before="120" w:after="120"/>
              <w:jc w:val="center"/>
              <w:rPr>
                <w:rFonts w:ascii="Arial" w:hAnsi="Arial" w:eastAsia="楷体_GB2312" w:cs="Arial"/>
              </w:rPr>
            </w:pPr>
            <w:r>
              <w:rPr>
                <w:rFonts w:hint="eastAsia" w:ascii="Arial" w:hAnsi="Arial" w:eastAsia="楷体_GB2312" w:cs="Arial"/>
              </w:rPr>
              <w:t>2</w:t>
            </w:r>
          </w:p>
        </w:tc>
        <w:tc>
          <w:tcPr>
            <w:tcW w:w="4338" w:type="dxa"/>
            <w:vAlign w:val="center"/>
          </w:tcPr>
          <w:p>
            <w:pPr>
              <w:snapToGrid w:val="0"/>
              <w:spacing w:before="120" w:beforeLines="50" w:after="120" w:afterLines="50"/>
              <w:jc w:val="center"/>
              <w:rPr>
                <w:rFonts w:ascii="黑体" w:hAnsi="黑体" w:eastAsia="黑体"/>
              </w:rPr>
            </w:pPr>
          </w:p>
        </w:tc>
        <w:tc>
          <w:tcPr>
            <w:tcW w:w="1276" w:type="dxa"/>
          </w:tcPr>
          <w:p>
            <w:pPr>
              <w:snapToGrid w:val="0"/>
              <w:jc w:val="center"/>
              <w:rPr>
                <w:rFonts w:ascii="Arial" w:hAnsi="Arial" w:eastAsia="楷体_GB2312" w:cs="Arial"/>
              </w:rPr>
            </w:pPr>
          </w:p>
        </w:tc>
        <w:tc>
          <w:tcPr>
            <w:tcW w:w="1417" w:type="dxa"/>
            <w:vAlign w:val="center"/>
          </w:tcPr>
          <w:p>
            <w:pPr>
              <w:snapToGrid w:val="0"/>
              <w:jc w:val="center"/>
              <w:rPr>
                <w:rFonts w:ascii="Arial" w:hAnsi="Arial" w:eastAsia="楷体_GB2312" w:cs="Arial"/>
              </w:rPr>
            </w:pPr>
          </w:p>
        </w:tc>
        <w:tc>
          <w:tcPr>
            <w:tcW w:w="1560" w:type="dxa"/>
          </w:tcPr>
          <w:p>
            <w:pPr>
              <w:snapToGrid w:val="0"/>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15" w:type="dxa"/>
            <w:vAlign w:val="center"/>
          </w:tcPr>
          <w:p>
            <w:pPr>
              <w:spacing w:before="120" w:after="120"/>
              <w:jc w:val="center"/>
              <w:rPr>
                <w:rFonts w:ascii="Arial" w:hAnsi="Arial" w:eastAsia="楷体_GB2312" w:cs="Arial"/>
              </w:rPr>
            </w:pPr>
            <w:r>
              <w:rPr>
                <w:rFonts w:hint="eastAsia" w:ascii="Arial" w:hAnsi="Arial" w:eastAsia="楷体_GB2312" w:cs="Arial"/>
              </w:rPr>
              <w:t>3</w:t>
            </w:r>
          </w:p>
        </w:tc>
        <w:tc>
          <w:tcPr>
            <w:tcW w:w="4338" w:type="dxa"/>
            <w:vAlign w:val="center"/>
          </w:tcPr>
          <w:p>
            <w:pPr>
              <w:snapToGrid w:val="0"/>
              <w:spacing w:before="120" w:beforeLines="50" w:after="120" w:afterLines="50"/>
              <w:jc w:val="center"/>
              <w:rPr>
                <w:rFonts w:ascii="黑体" w:hAnsi="黑体" w:eastAsia="黑体"/>
              </w:rPr>
            </w:pPr>
          </w:p>
        </w:tc>
        <w:tc>
          <w:tcPr>
            <w:tcW w:w="1276" w:type="dxa"/>
          </w:tcPr>
          <w:p>
            <w:pPr>
              <w:snapToGrid w:val="0"/>
              <w:jc w:val="center"/>
              <w:rPr>
                <w:rFonts w:ascii="Arial" w:hAnsi="Arial" w:eastAsia="楷体_GB2312" w:cs="Arial"/>
              </w:rPr>
            </w:pPr>
          </w:p>
        </w:tc>
        <w:tc>
          <w:tcPr>
            <w:tcW w:w="1417" w:type="dxa"/>
            <w:vAlign w:val="center"/>
          </w:tcPr>
          <w:p>
            <w:pPr>
              <w:snapToGrid w:val="0"/>
              <w:jc w:val="center"/>
              <w:rPr>
                <w:rFonts w:ascii="Arial" w:hAnsi="Arial" w:eastAsia="楷体_GB2312" w:cs="Arial"/>
              </w:rPr>
            </w:pPr>
          </w:p>
        </w:tc>
        <w:tc>
          <w:tcPr>
            <w:tcW w:w="1560" w:type="dxa"/>
          </w:tcPr>
          <w:p>
            <w:pPr>
              <w:snapToGrid w:val="0"/>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15" w:type="dxa"/>
            <w:vAlign w:val="center"/>
          </w:tcPr>
          <w:p>
            <w:pPr>
              <w:spacing w:before="120" w:after="120"/>
              <w:jc w:val="center"/>
              <w:rPr>
                <w:rFonts w:ascii="Arial" w:hAnsi="Arial" w:eastAsia="楷体_GB2312" w:cs="Arial"/>
              </w:rPr>
            </w:pPr>
            <w:r>
              <w:rPr>
                <w:rFonts w:hint="eastAsia" w:ascii="Arial" w:hAnsi="Arial" w:eastAsia="楷体_GB2312" w:cs="Arial"/>
              </w:rPr>
              <w:t>4</w:t>
            </w:r>
          </w:p>
        </w:tc>
        <w:tc>
          <w:tcPr>
            <w:tcW w:w="4338" w:type="dxa"/>
            <w:vAlign w:val="center"/>
          </w:tcPr>
          <w:p>
            <w:pPr>
              <w:snapToGrid w:val="0"/>
              <w:spacing w:before="120" w:beforeLines="50" w:after="120" w:afterLines="50"/>
              <w:jc w:val="center"/>
              <w:rPr>
                <w:rFonts w:ascii="黑体" w:hAnsi="黑体" w:eastAsia="黑体"/>
              </w:rPr>
            </w:pPr>
          </w:p>
        </w:tc>
        <w:tc>
          <w:tcPr>
            <w:tcW w:w="1276" w:type="dxa"/>
          </w:tcPr>
          <w:p>
            <w:pPr>
              <w:snapToGrid w:val="0"/>
              <w:jc w:val="center"/>
              <w:rPr>
                <w:rFonts w:ascii="Arial" w:hAnsi="Arial" w:eastAsia="楷体_GB2312" w:cs="Arial"/>
              </w:rPr>
            </w:pPr>
          </w:p>
        </w:tc>
        <w:tc>
          <w:tcPr>
            <w:tcW w:w="1417" w:type="dxa"/>
            <w:vAlign w:val="center"/>
          </w:tcPr>
          <w:p>
            <w:pPr>
              <w:snapToGrid w:val="0"/>
              <w:jc w:val="center"/>
              <w:rPr>
                <w:rFonts w:ascii="Arial" w:hAnsi="Arial" w:eastAsia="楷体_GB2312" w:cs="Arial"/>
              </w:rPr>
            </w:pPr>
          </w:p>
        </w:tc>
        <w:tc>
          <w:tcPr>
            <w:tcW w:w="1560" w:type="dxa"/>
          </w:tcPr>
          <w:p>
            <w:pPr>
              <w:snapToGrid w:val="0"/>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15" w:type="dxa"/>
            <w:vAlign w:val="center"/>
          </w:tcPr>
          <w:p>
            <w:pPr>
              <w:spacing w:before="120" w:after="120"/>
              <w:jc w:val="center"/>
              <w:rPr>
                <w:rFonts w:ascii="Arial" w:hAnsi="Arial" w:eastAsia="楷体_GB2312" w:cs="Arial"/>
              </w:rPr>
            </w:pPr>
            <w:r>
              <w:rPr>
                <w:rFonts w:hint="eastAsia" w:ascii="Arial" w:hAnsi="Arial" w:eastAsia="楷体_GB2312" w:cs="Arial"/>
              </w:rPr>
              <w:t>5</w:t>
            </w:r>
          </w:p>
        </w:tc>
        <w:tc>
          <w:tcPr>
            <w:tcW w:w="4338" w:type="dxa"/>
            <w:vAlign w:val="center"/>
          </w:tcPr>
          <w:p>
            <w:pPr>
              <w:snapToGrid w:val="0"/>
              <w:spacing w:before="120" w:beforeLines="50" w:after="120" w:afterLines="50"/>
              <w:jc w:val="center"/>
              <w:rPr>
                <w:rFonts w:ascii="黑体" w:hAnsi="黑体" w:eastAsia="黑体"/>
              </w:rPr>
            </w:pPr>
          </w:p>
        </w:tc>
        <w:tc>
          <w:tcPr>
            <w:tcW w:w="1276" w:type="dxa"/>
          </w:tcPr>
          <w:p>
            <w:pPr>
              <w:snapToGrid w:val="0"/>
              <w:jc w:val="center"/>
              <w:rPr>
                <w:rFonts w:ascii="Arial" w:hAnsi="Arial" w:eastAsia="楷体_GB2312" w:cs="Arial"/>
              </w:rPr>
            </w:pPr>
          </w:p>
        </w:tc>
        <w:tc>
          <w:tcPr>
            <w:tcW w:w="1417" w:type="dxa"/>
            <w:vAlign w:val="center"/>
          </w:tcPr>
          <w:p>
            <w:pPr>
              <w:snapToGrid w:val="0"/>
              <w:jc w:val="center"/>
              <w:rPr>
                <w:rFonts w:ascii="Arial" w:hAnsi="Arial" w:eastAsia="楷体_GB2312" w:cs="Arial"/>
              </w:rPr>
            </w:pPr>
          </w:p>
        </w:tc>
        <w:tc>
          <w:tcPr>
            <w:tcW w:w="1560" w:type="dxa"/>
          </w:tcPr>
          <w:p>
            <w:pPr>
              <w:snapToGrid w:val="0"/>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15" w:type="dxa"/>
            <w:vAlign w:val="center"/>
          </w:tcPr>
          <w:p>
            <w:pPr>
              <w:spacing w:before="120" w:after="120"/>
              <w:jc w:val="center"/>
              <w:rPr>
                <w:rFonts w:ascii="Arial" w:hAnsi="Arial" w:eastAsia="楷体_GB2312" w:cs="Arial"/>
              </w:rPr>
            </w:pPr>
            <w:r>
              <w:rPr>
                <w:rFonts w:hint="eastAsia" w:ascii="Arial" w:hAnsi="Arial" w:eastAsia="楷体_GB2312" w:cs="Arial"/>
              </w:rPr>
              <w:t>6</w:t>
            </w:r>
          </w:p>
        </w:tc>
        <w:tc>
          <w:tcPr>
            <w:tcW w:w="4338" w:type="dxa"/>
            <w:vAlign w:val="center"/>
          </w:tcPr>
          <w:p>
            <w:pPr>
              <w:snapToGrid w:val="0"/>
              <w:spacing w:before="120" w:beforeLines="50" w:after="120" w:afterLines="50"/>
              <w:jc w:val="center"/>
              <w:rPr>
                <w:rFonts w:ascii="Arial" w:hAnsi="Arial" w:eastAsia="黑体" w:cs="Arial"/>
              </w:rPr>
            </w:pPr>
          </w:p>
        </w:tc>
        <w:tc>
          <w:tcPr>
            <w:tcW w:w="1276" w:type="dxa"/>
          </w:tcPr>
          <w:p>
            <w:pPr>
              <w:snapToGrid w:val="0"/>
              <w:jc w:val="center"/>
              <w:rPr>
                <w:rFonts w:ascii="Arial" w:hAnsi="Arial" w:eastAsia="楷体_GB2312" w:cs="Arial"/>
              </w:rPr>
            </w:pPr>
          </w:p>
        </w:tc>
        <w:tc>
          <w:tcPr>
            <w:tcW w:w="1417" w:type="dxa"/>
            <w:vAlign w:val="center"/>
          </w:tcPr>
          <w:p>
            <w:pPr>
              <w:snapToGrid w:val="0"/>
              <w:jc w:val="center"/>
              <w:rPr>
                <w:rFonts w:ascii="Arial" w:hAnsi="Arial" w:eastAsia="楷体_GB2312" w:cs="Arial"/>
              </w:rPr>
            </w:pPr>
          </w:p>
        </w:tc>
        <w:tc>
          <w:tcPr>
            <w:tcW w:w="1560" w:type="dxa"/>
          </w:tcPr>
          <w:p>
            <w:pPr>
              <w:snapToGrid w:val="0"/>
              <w:jc w:val="center"/>
              <w:rPr>
                <w:rFonts w:ascii="Arial" w:hAnsi="Arial" w:eastAsia="楷体_GB2312" w:cs="Arial"/>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015" w:type="dxa"/>
            <w:vAlign w:val="center"/>
          </w:tcPr>
          <w:p>
            <w:pPr>
              <w:spacing w:before="120" w:after="120"/>
              <w:jc w:val="center"/>
              <w:rPr>
                <w:rFonts w:ascii="Arial" w:hAnsi="Arial" w:eastAsia="楷体_GB2312" w:cs="Arial"/>
              </w:rPr>
            </w:pPr>
            <w:r>
              <w:rPr>
                <w:rFonts w:hint="eastAsia" w:ascii="Arial" w:hAnsi="Arial" w:eastAsia="楷体_GB2312" w:cs="Arial"/>
              </w:rPr>
              <w:t>7</w:t>
            </w:r>
          </w:p>
        </w:tc>
        <w:tc>
          <w:tcPr>
            <w:tcW w:w="4338" w:type="dxa"/>
            <w:vAlign w:val="center"/>
          </w:tcPr>
          <w:p>
            <w:pPr>
              <w:snapToGrid w:val="0"/>
              <w:spacing w:before="120" w:beforeLines="50" w:after="120" w:afterLines="50"/>
              <w:jc w:val="center"/>
              <w:rPr>
                <w:rFonts w:ascii="Arial" w:hAnsi="Arial" w:eastAsia="黑体" w:cs="Arial"/>
              </w:rPr>
            </w:pPr>
          </w:p>
        </w:tc>
        <w:tc>
          <w:tcPr>
            <w:tcW w:w="1276" w:type="dxa"/>
          </w:tcPr>
          <w:p>
            <w:pPr>
              <w:snapToGrid w:val="0"/>
              <w:jc w:val="center"/>
              <w:rPr>
                <w:rFonts w:ascii="Arial" w:hAnsi="Arial" w:eastAsia="楷体_GB2312" w:cs="Arial"/>
              </w:rPr>
            </w:pPr>
          </w:p>
        </w:tc>
        <w:tc>
          <w:tcPr>
            <w:tcW w:w="1417" w:type="dxa"/>
            <w:vAlign w:val="center"/>
          </w:tcPr>
          <w:p>
            <w:pPr>
              <w:snapToGrid w:val="0"/>
              <w:jc w:val="center"/>
              <w:rPr>
                <w:rFonts w:ascii="Arial" w:hAnsi="Arial" w:eastAsia="楷体_GB2312" w:cs="Arial"/>
              </w:rPr>
            </w:pPr>
          </w:p>
        </w:tc>
        <w:tc>
          <w:tcPr>
            <w:tcW w:w="1560" w:type="dxa"/>
          </w:tcPr>
          <w:p>
            <w:pPr>
              <w:snapToGrid w:val="0"/>
              <w:jc w:val="center"/>
              <w:rPr>
                <w:rFonts w:ascii="Arial" w:hAnsi="Arial" w:eastAsia="楷体_GB2312" w:cs="Arial"/>
              </w:rPr>
            </w:pPr>
          </w:p>
        </w:tc>
      </w:tr>
    </w:tbl>
    <w:p>
      <w:pPr>
        <w:snapToGrid w:val="0"/>
        <w:jc w:val="left"/>
        <w:rPr>
          <w:rFonts w:ascii="宋体" w:hAnsi="宋体" w:cs="宋体"/>
          <w:szCs w:val="21"/>
        </w:rPr>
      </w:pPr>
    </w:p>
    <w:p>
      <w:pPr>
        <w:snapToGrid w:val="0"/>
        <w:jc w:val="left"/>
        <w:rPr>
          <w:rFonts w:ascii="宋体" w:hAnsi="宋体" w:cs="宋体"/>
          <w:szCs w:val="21"/>
        </w:rPr>
      </w:pPr>
      <w:r>
        <w:rPr>
          <w:rFonts w:hint="eastAsia" w:ascii="宋体" w:hAnsi="宋体" w:cs="宋体"/>
          <w:szCs w:val="21"/>
        </w:rPr>
        <w:t>注：1. 供应商可根据磋商文件的采购需求编写分项报价。</w:t>
      </w:r>
    </w:p>
    <w:p>
      <w:pPr>
        <w:snapToGrid w:val="0"/>
        <w:ind w:firstLine="420" w:firstLineChars="200"/>
        <w:jc w:val="left"/>
        <w:rPr>
          <w:rFonts w:ascii="宋体" w:hAnsi="宋体" w:cs="宋体"/>
          <w:szCs w:val="21"/>
        </w:rPr>
      </w:pPr>
      <w:r>
        <w:rPr>
          <w:rFonts w:hint="eastAsia" w:ascii="宋体" w:hAnsi="宋体" w:cs="宋体"/>
          <w:szCs w:val="21"/>
        </w:rPr>
        <w:t>2. 供应商可根据实际情况自行扩展表格细项。</w:t>
      </w:r>
    </w:p>
    <w:p>
      <w:r>
        <w:rPr>
          <w:rFonts w:hint="eastAsia" w:ascii="宋体" w:hAnsi="宋体" w:cs="宋体"/>
          <w:szCs w:val="21"/>
        </w:rPr>
        <w:t>3. 如</w:t>
      </w:r>
      <w:r>
        <w:rPr>
          <w:rFonts w:hint="eastAsia"/>
        </w:rPr>
        <w:t>没有分项报价，可不填写此表。</w:t>
      </w:r>
    </w:p>
    <w:p>
      <w:pPr>
        <w:snapToGrid w:val="0"/>
        <w:jc w:val="left"/>
        <w:rPr>
          <w:rFonts w:ascii="宋体" w:hAnsi="宋体" w:cs="宋体"/>
          <w:szCs w:val="21"/>
        </w:rPr>
      </w:pPr>
    </w:p>
    <w:p>
      <w:pPr>
        <w:pStyle w:val="424"/>
        <w:adjustRightInd/>
        <w:snapToGrid/>
        <w:spacing w:after="0"/>
        <w:rPr>
          <w:rFonts w:ascii="宋体" w:hAnsi="宋体" w:cs="宋体"/>
          <w:sz w:val="21"/>
          <w:szCs w:val="21"/>
          <w:u w:val="single"/>
        </w:rPr>
      </w:pPr>
      <w:r>
        <w:rPr>
          <w:rFonts w:hint="eastAsia" w:ascii="宋体" w:hAnsi="宋体" w:cs="宋体"/>
          <w:sz w:val="21"/>
          <w:szCs w:val="21"/>
        </w:rPr>
        <w:t>供应商名称：</w:t>
      </w:r>
      <w:r>
        <w:rPr>
          <w:rFonts w:hint="eastAsia" w:ascii="宋体" w:hAnsi="宋体" w:cs="宋体"/>
          <w:sz w:val="21"/>
          <w:szCs w:val="21"/>
          <w:u w:val="single"/>
        </w:rPr>
        <w:t xml:space="preserve">        公章         </w:t>
      </w:r>
    </w:p>
    <w:p>
      <w:pPr>
        <w:rPr>
          <w:rFonts w:ascii="宋体" w:hAnsi="宋体" w:cs="宋体"/>
          <w:szCs w:val="21"/>
          <w:u w:val="single"/>
        </w:rPr>
      </w:pPr>
      <w:r>
        <w:rPr>
          <w:rFonts w:ascii="宋体" w:hAnsi="宋体"/>
          <w:szCs w:val="21"/>
        </w:rPr>
        <w:t>法定代表人或其授权代表</w:t>
      </w:r>
      <w:r>
        <w:rPr>
          <w:rFonts w:hint="eastAsia" w:ascii="宋体" w:hAnsi="宋体" w:cs="宋体"/>
          <w:szCs w:val="21"/>
        </w:rPr>
        <w:t>：</w:t>
      </w:r>
      <w:r>
        <w:rPr>
          <w:rFonts w:hint="eastAsia" w:ascii="宋体" w:hAnsi="宋体" w:cs="宋体"/>
          <w:szCs w:val="21"/>
          <w:u w:val="single"/>
        </w:rPr>
        <w:t xml:space="preserve">     签字或加盖人名章             </w:t>
      </w:r>
    </w:p>
    <w:p>
      <w:pPr>
        <w:pStyle w:val="424"/>
        <w:adjustRightInd/>
        <w:snapToGrid/>
        <w:spacing w:after="0"/>
        <w:rPr>
          <w:rFonts w:ascii="宋体" w:hAnsi="宋体" w:cs="宋体"/>
          <w:sz w:val="21"/>
          <w:szCs w:val="21"/>
          <w:u w:val="single"/>
        </w:rPr>
      </w:pPr>
      <w:r>
        <w:rPr>
          <w:rFonts w:hint="eastAsia" w:ascii="宋体" w:hAnsi="宋体" w:cs="宋体"/>
          <w:sz w:val="21"/>
          <w:szCs w:val="21"/>
        </w:rPr>
        <w:t>日期 ：</w:t>
      </w:r>
    </w:p>
    <w:p>
      <w:pPr>
        <w:spacing w:line="360" w:lineRule="auto"/>
        <w:outlineLvl w:val="1"/>
        <w:rPr>
          <w:sz w:val="24"/>
        </w:rPr>
      </w:pPr>
      <w:r>
        <w:rPr>
          <w:sz w:val="24"/>
        </w:rPr>
        <w:br w:type="page"/>
      </w:r>
      <w:bookmarkStart w:id="157" w:name="_Toc23122"/>
      <w:bookmarkStart w:id="158" w:name="_Toc8583"/>
      <w:r>
        <w:rPr>
          <w:sz w:val="24"/>
        </w:rPr>
        <w:t>附件</w:t>
      </w:r>
      <w:r>
        <w:rPr>
          <w:rFonts w:hint="eastAsia"/>
          <w:sz w:val="24"/>
        </w:rPr>
        <w:t xml:space="preserve"> 6</w:t>
      </w:r>
      <w:r>
        <w:rPr>
          <w:b/>
          <w:sz w:val="24"/>
        </w:rPr>
        <w:t>商务、合同条款偏差表</w:t>
      </w:r>
      <w:bookmarkEnd w:id="157"/>
      <w:bookmarkEnd w:id="158"/>
    </w:p>
    <w:p>
      <w:pPr>
        <w:spacing w:after="240"/>
        <w:ind w:hanging="119"/>
      </w:pPr>
    </w:p>
    <w:p>
      <w:pPr>
        <w:spacing w:after="240"/>
        <w:ind w:hanging="119"/>
        <w:jc w:val="center"/>
        <w:rPr>
          <w:u w:val="single"/>
        </w:rPr>
      </w:pPr>
      <w:r>
        <w:rPr>
          <w:b/>
          <w:sz w:val="24"/>
        </w:rPr>
        <w:t>商务、合同条款偏差表</w:t>
      </w:r>
    </w:p>
    <w:tbl>
      <w:tblPr>
        <w:tblStyle w:val="73"/>
        <w:tblW w:w="901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093"/>
        <w:gridCol w:w="3623"/>
        <w:gridCol w:w="1134"/>
        <w:gridCol w:w="851"/>
        <w:gridCol w:w="131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91" w:hRule="atLeast"/>
          <w:jc w:val="center"/>
        </w:trPr>
        <w:tc>
          <w:tcPr>
            <w:tcW w:w="2093" w:type="dxa"/>
          </w:tcPr>
          <w:p>
            <w:pPr>
              <w:spacing w:line="440" w:lineRule="atLeast"/>
              <w:jc w:val="center"/>
            </w:pPr>
            <w:r>
              <w:t>磋商文件条目号</w:t>
            </w:r>
          </w:p>
        </w:tc>
        <w:tc>
          <w:tcPr>
            <w:tcW w:w="3623" w:type="dxa"/>
          </w:tcPr>
          <w:p>
            <w:pPr>
              <w:spacing w:line="440" w:lineRule="atLeast"/>
              <w:jc w:val="center"/>
            </w:pPr>
            <w:r>
              <w:t>磋商文件的商务、合同条款</w:t>
            </w:r>
          </w:p>
        </w:tc>
        <w:tc>
          <w:tcPr>
            <w:tcW w:w="1134" w:type="dxa"/>
          </w:tcPr>
          <w:p>
            <w:pPr>
              <w:spacing w:line="440" w:lineRule="atLeast"/>
              <w:jc w:val="center"/>
            </w:pPr>
            <w:r>
              <w:rPr>
                <w:rFonts w:hint="eastAsia"/>
              </w:rPr>
              <w:t>完全</w:t>
            </w:r>
            <w:r>
              <w:t>响应</w:t>
            </w:r>
          </w:p>
        </w:tc>
        <w:tc>
          <w:tcPr>
            <w:tcW w:w="851" w:type="dxa"/>
          </w:tcPr>
          <w:p>
            <w:pPr>
              <w:spacing w:line="440" w:lineRule="atLeast"/>
              <w:jc w:val="center"/>
            </w:pPr>
            <w:r>
              <w:rPr>
                <w:rFonts w:hint="eastAsia"/>
              </w:rPr>
              <w:t>有偏离</w:t>
            </w:r>
          </w:p>
        </w:tc>
        <w:tc>
          <w:tcPr>
            <w:tcW w:w="1310" w:type="dxa"/>
          </w:tcPr>
          <w:p>
            <w:pPr>
              <w:spacing w:line="440" w:lineRule="atLeast"/>
              <w:jc w:val="center"/>
            </w:pPr>
            <w:r>
              <w:t>偏离简</w:t>
            </w:r>
            <w:r>
              <w:rPr>
                <w:rFonts w:hint="eastAsia"/>
              </w:rPr>
              <w:t>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09" w:hRule="atLeast"/>
          <w:jc w:val="center"/>
        </w:trPr>
        <w:tc>
          <w:tcPr>
            <w:tcW w:w="2093" w:type="dxa"/>
          </w:tcPr>
          <w:p>
            <w:pPr>
              <w:spacing w:line="440" w:lineRule="atLeast"/>
            </w:pPr>
          </w:p>
        </w:tc>
        <w:tc>
          <w:tcPr>
            <w:tcW w:w="3623" w:type="dxa"/>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tcPr>
          <w:p>
            <w:pPr>
              <w:spacing w:line="440" w:lineRule="atLeast"/>
            </w:pPr>
          </w:p>
        </w:tc>
        <w:tc>
          <w:tcPr>
            <w:tcW w:w="3623" w:type="dxa"/>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tcPr>
          <w:p>
            <w:pPr>
              <w:spacing w:line="440" w:lineRule="atLeast"/>
            </w:pPr>
          </w:p>
        </w:tc>
        <w:tc>
          <w:tcPr>
            <w:tcW w:w="3623" w:type="dxa"/>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vAlign w:val="center"/>
          </w:tcPr>
          <w:p>
            <w:pPr>
              <w:spacing w:line="440" w:lineRule="atLeast"/>
            </w:pPr>
          </w:p>
        </w:tc>
        <w:tc>
          <w:tcPr>
            <w:tcW w:w="3623" w:type="dxa"/>
            <w:vAlign w:val="center"/>
          </w:tcPr>
          <w:p>
            <w:pPr>
              <w:spacing w:line="440" w:lineRule="atLeast"/>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vAlign w:val="center"/>
          </w:tcPr>
          <w:p>
            <w:pPr>
              <w:spacing w:line="440" w:lineRule="atLeast"/>
              <w:rPr>
                <w:szCs w:val="21"/>
              </w:rPr>
            </w:pPr>
          </w:p>
        </w:tc>
        <w:tc>
          <w:tcPr>
            <w:tcW w:w="3623" w:type="dxa"/>
            <w:vAlign w:val="center"/>
          </w:tcPr>
          <w:p>
            <w:pPr>
              <w:spacing w:line="440" w:lineRule="atLeast"/>
              <w:rPr>
                <w:szCs w:val="21"/>
              </w:rPr>
            </w:pP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093" w:type="dxa"/>
            <w:vAlign w:val="center"/>
          </w:tcPr>
          <w:p>
            <w:pPr>
              <w:spacing w:line="440" w:lineRule="atLeast"/>
              <w:rPr>
                <w:szCs w:val="21"/>
              </w:rPr>
            </w:pPr>
            <w:r>
              <w:rPr>
                <w:rFonts w:hint="eastAsia"/>
                <w:szCs w:val="21"/>
              </w:rPr>
              <w:t>……</w:t>
            </w:r>
          </w:p>
        </w:tc>
        <w:tc>
          <w:tcPr>
            <w:tcW w:w="3623" w:type="dxa"/>
            <w:vAlign w:val="center"/>
          </w:tcPr>
          <w:p>
            <w:pPr>
              <w:spacing w:line="440" w:lineRule="atLeast"/>
              <w:rPr>
                <w:szCs w:val="21"/>
              </w:rPr>
            </w:pPr>
            <w:r>
              <w:rPr>
                <w:rFonts w:hint="eastAsia"/>
                <w:szCs w:val="21"/>
              </w:rPr>
              <w:t>……</w:t>
            </w:r>
          </w:p>
        </w:tc>
        <w:tc>
          <w:tcPr>
            <w:tcW w:w="1134" w:type="dxa"/>
          </w:tcPr>
          <w:p>
            <w:pPr>
              <w:spacing w:line="440" w:lineRule="atLeast"/>
            </w:pPr>
          </w:p>
        </w:tc>
        <w:tc>
          <w:tcPr>
            <w:tcW w:w="851" w:type="dxa"/>
          </w:tcPr>
          <w:p>
            <w:pPr>
              <w:spacing w:line="440" w:lineRule="atLeast"/>
            </w:pPr>
          </w:p>
        </w:tc>
        <w:tc>
          <w:tcPr>
            <w:tcW w:w="1310" w:type="dxa"/>
          </w:tcPr>
          <w:p>
            <w:pPr>
              <w:spacing w:line="440" w:lineRule="atLeast"/>
            </w:pPr>
          </w:p>
        </w:tc>
      </w:tr>
    </w:tbl>
    <w:p>
      <w:pPr>
        <w:spacing w:before="120" w:beforeLines="50" w:line="440" w:lineRule="exact"/>
        <w:ind w:left="-103" w:leftChars="-49" w:firstLine="15"/>
      </w:pPr>
      <w:r>
        <w:rPr>
          <w:rFonts w:hint="eastAsia"/>
        </w:rPr>
        <w:t>供应商：（公章）</w:t>
      </w:r>
    </w:p>
    <w:p>
      <w:pPr>
        <w:spacing w:before="120" w:beforeLines="50" w:line="440" w:lineRule="exact"/>
        <w:ind w:left="-103" w:leftChars="-49"/>
      </w:pPr>
      <w:r>
        <w:t>法定代表人或其授权代表：（</w:t>
      </w:r>
      <w:r>
        <w:rPr>
          <w:rFonts w:hint="eastAsia"/>
        </w:rPr>
        <w:t>签字或加盖人名章</w:t>
      </w:r>
      <w:r>
        <w:t>）</w:t>
      </w:r>
    </w:p>
    <w:p>
      <w:pPr>
        <w:spacing w:before="120" w:beforeLines="50" w:line="440" w:lineRule="exact"/>
        <w:ind w:left="-103" w:leftChars="-49"/>
      </w:pPr>
      <w:r>
        <w:t>日期：</w:t>
      </w:r>
    </w:p>
    <w:p/>
    <w:p>
      <w:pPr>
        <w:snapToGrid w:val="0"/>
        <w:spacing w:after="120" w:afterLines="50"/>
        <w:rPr>
          <w:rFonts w:ascii="宋体" w:hAnsi="宋体"/>
        </w:rPr>
      </w:pPr>
      <w:r>
        <w:rPr>
          <w:rFonts w:ascii="宋体" w:hAnsi="宋体"/>
        </w:rPr>
        <w:t>注：</w:t>
      </w:r>
      <w:r>
        <w:rPr>
          <w:rFonts w:hint="eastAsia" w:ascii="宋体" w:hAnsi="宋体"/>
        </w:rPr>
        <w:t>1、</w:t>
      </w:r>
      <w:r>
        <w:rPr>
          <w:rFonts w:hint="eastAsia" w:ascii="宋体" w:hAnsi="宋体"/>
        </w:rPr>
        <w:tab/>
      </w:r>
      <w:r>
        <w:rPr>
          <w:rFonts w:hint="eastAsia" w:ascii="宋体" w:hAnsi="宋体"/>
        </w:rPr>
        <w:t>供应商根据本磋商文件的供应商须知及合同条款填写本表；</w:t>
      </w:r>
    </w:p>
    <w:p>
      <w:pPr>
        <w:snapToGrid w:val="0"/>
        <w:spacing w:after="120" w:afterLines="50"/>
        <w:ind w:left="850" w:leftChars="203" w:hanging="424" w:hangingChars="202"/>
        <w:rPr>
          <w:rFonts w:ascii="宋体" w:hAnsi="宋体"/>
        </w:rPr>
      </w:pPr>
      <w:r>
        <w:rPr>
          <w:rFonts w:hint="eastAsia" w:ascii="宋体" w:hAnsi="宋体"/>
        </w:rPr>
        <w:t>2、</w:t>
      </w:r>
      <w:r>
        <w:rPr>
          <w:rFonts w:hint="eastAsia" w:ascii="宋体" w:hAnsi="宋体"/>
        </w:rPr>
        <w:tab/>
      </w:r>
      <w:r>
        <w:rPr>
          <w:rFonts w:hint="eastAsia" w:ascii="宋体" w:hAnsi="宋体"/>
        </w:rPr>
        <w:t>对完全响应的条目在下表相应列中标注“</w:t>
      </w:r>
      <w:r>
        <w:rPr>
          <w:rFonts w:hint="eastAsia"/>
        </w:rPr>
        <w:t>=</w:t>
      </w:r>
      <w:r>
        <w:rPr>
          <w:rFonts w:hint="eastAsia" w:ascii="宋体" w:hAnsi="宋体"/>
        </w:rPr>
        <w:t>”。对有偏离的条目在本表相应列中标注“正偏离”或“负偏离”。仅可在“完全响应”及“有偏离”中选一标注，同时，当且仅当选取“有偏离”栏中加以标注后，才能在“偏离简述”栏中加以说明。</w:t>
      </w:r>
    </w:p>
    <w:p>
      <w:pPr>
        <w:snapToGrid w:val="0"/>
        <w:spacing w:after="120" w:afterLines="50"/>
        <w:ind w:left="850" w:leftChars="203" w:hanging="424" w:hangingChars="202"/>
        <w:rPr>
          <w:rFonts w:ascii="宋体" w:hAnsi="宋体"/>
        </w:rPr>
      </w:pPr>
      <w:r>
        <w:rPr>
          <w:rFonts w:hint="eastAsia" w:ascii="宋体" w:hAnsi="宋体"/>
        </w:rPr>
        <w:t>3、</w:t>
      </w:r>
      <w:r>
        <w:rPr>
          <w:rFonts w:hint="eastAsia" w:ascii="宋体" w:hAnsi="宋体"/>
        </w:rPr>
        <w:tab/>
      </w:r>
      <w:r>
        <w:rPr>
          <w:rFonts w:hint="eastAsia" w:ascii="宋体" w:hAnsi="宋体"/>
        </w:rPr>
        <w:t>正偏离是指应答的条件高于磋商文件要求，负偏离是指应答的条件低于磋商文件要求，正偏离项目不作扣分处理。</w:t>
      </w:r>
    </w:p>
    <w:p>
      <w:pPr>
        <w:snapToGrid w:val="0"/>
        <w:spacing w:after="120" w:afterLines="50"/>
        <w:ind w:left="850" w:leftChars="203" w:hanging="424" w:hangingChars="202"/>
        <w:rPr>
          <w:rFonts w:ascii="宋体" w:hAnsi="宋体"/>
        </w:rPr>
      </w:pPr>
      <w:r>
        <w:rPr>
          <w:rFonts w:hint="eastAsia" w:ascii="宋体" w:hAnsi="宋体"/>
        </w:rPr>
        <w:t>4、</w:t>
      </w:r>
      <w:r>
        <w:rPr>
          <w:rFonts w:hint="eastAsia" w:ascii="宋体" w:hAnsi="宋体"/>
        </w:rPr>
        <w:tab/>
      </w:r>
      <w:r>
        <w:rPr>
          <w:rFonts w:hint="eastAsia" w:ascii="宋体" w:hAnsi="宋体"/>
        </w:rPr>
        <w:t>供应商须完整填写响应表。如果未完整填写本表的各项内容则视作供应商已经对磋商文件相关要求和内容完全理解并同意，其报价为在此基础上的完全价格。</w:t>
      </w:r>
    </w:p>
    <w:p>
      <w:pPr>
        <w:snapToGrid w:val="0"/>
        <w:spacing w:after="120" w:afterLines="50"/>
        <w:ind w:left="850" w:leftChars="203" w:hanging="424" w:hangingChars="202"/>
        <w:rPr>
          <w:rFonts w:ascii="宋体" w:hAnsi="宋体"/>
        </w:rPr>
      </w:pPr>
      <w:r>
        <w:rPr>
          <w:rFonts w:hint="eastAsia" w:ascii="宋体" w:hAnsi="宋体"/>
        </w:rPr>
        <w:t>5、</w:t>
      </w:r>
      <w:r>
        <w:rPr>
          <w:rFonts w:hint="eastAsia" w:ascii="宋体" w:hAnsi="宋体"/>
        </w:rPr>
        <w:tab/>
      </w:r>
      <w:r>
        <w:rPr>
          <w:rFonts w:hint="eastAsia" w:ascii="宋体" w:hAnsi="宋体"/>
        </w:rPr>
        <w:t>在采购人与成交供应商签订合同时，如成交供应商未在响应文件“响应表”中列出偏离说明，无论已发生或即将发生任何情形，均视为完全符合磋商文件要求，并写入合同。若成交供应商在合同签订前，以上述事项为借口而不履行合同签订手续及执行合同，则视作拒绝与采购人签订合同。</w:t>
      </w:r>
    </w:p>
    <w:p>
      <w:pPr>
        <w:outlineLvl w:val="1"/>
        <w:rPr>
          <w:rFonts w:ascii="宋体" w:hAnsi="宋体" w:cs="宋体"/>
          <w:b/>
          <w:sz w:val="24"/>
        </w:rPr>
      </w:pPr>
      <w:r>
        <w:rPr>
          <w:rFonts w:hint="eastAsia" w:ascii="宋体" w:hAnsi="宋体" w:cs="宋体"/>
          <w:b/>
          <w:sz w:val="24"/>
        </w:rPr>
        <w:br w:type="page"/>
      </w:r>
      <w:bookmarkStart w:id="159" w:name="_Toc2145"/>
      <w:bookmarkStart w:id="160" w:name="_Toc30325"/>
      <w:r>
        <w:rPr>
          <w:rFonts w:hint="eastAsia" w:ascii="宋体" w:hAnsi="宋体" w:cs="宋体"/>
          <w:b/>
          <w:sz w:val="24"/>
        </w:rPr>
        <w:t xml:space="preserve">附件7 </w:t>
      </w:r>
      <w:r>
        <w:rPr>
          <w:b/>
          <w:sz w:val="24"/>
        </w:rPr>
        <w:t>供应商基本情况表</w:t>
      </w:r>
      <w:bookmarkEnd w:id="159"/>
      <w:bookmarkEnd w:id="160"/>
    </w:p>
    <w:p/>
    <w:p>
      <w:pPr>
        <w:spacing w:line="360" w:lineRule="auto"/>
        <w:jc w:val="center"/>
        <w:rPr>
          <w:b/>
          <w:sz w:val="24"/>
        </w:rPr>
      </w:pPr>
      <w:r>
        <w:rPr>
          <w:b/>
          <w:sz w:val="24"/>
        </w:rPr>
        <w:t>供应商基本情况表</w:t>
      </w:r>
    </w:p>
    <w:p>
      <w:pPr>
        <w:spacing w:line="440" w:lineRule="exact"/>
        <w:ind w:firstLine="420" w:firstLineChars="200"/>
      </w:pPr>
    </w:p>
    <w:tbl>
      <w:tblPr>
        <w:tblStyle w:val="7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543"/>
        <w:gridCol w:w="154"/>
        <w:gridCol w:w="2887"/>
        <w:gridCol w:w="140"/>
        <w:gridCol w:w="1238"/>
        <w:gridCol w:w="197"/>
        <w:gridCol w:w="23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543" w:type="dxa"/>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企业名称</w:t>
            </w:r>
          </w:p>
        </w:tc>
        <w:tc>
          <w:tcPr>
            <w:tcW w:w="3181" w:type="dxa"/>
            <w:gridSpan w:val="3"/>
            <w:vAlign w:val="center"/>
          </w:tcPr>
          <w:p>
            <w:pPr>
              <w:rPr>
                <w:rFonts w:asciiTheme="minorEastAsia" w:hAnsiTheme="minorEastAsia" w:eastAsiaTheme="minorEastAsia" w:cstheme="minorEastAsia"/>
                <w:szCs w:val="21"/>
              </w:rPr>
            </w:pPr>
          </w:p>
        </w:tc>
        <w:tc>
          <w:tcPr>
            <w:tcW w:w="1435"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成立日期</w:t>
            </w:r>
          </w:p>
        </w:tc>
        <w:tc>
          <w:tcPr>
            <w:tcW w:w="2363" w:type="dxa"/>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4724" w:type="dxa"/>
            <w:gridSpan w:val="4"/>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统一社会信用代码</w:t>
            </w:r>
          </w:p>
        </w:tc>
        <w:tc>
          <w:tcPr>
            <w:tcW w:w="3798" w:type="dxa"/>
            <w:gridSpan w:val="3"/>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注册资本</w:t>
            </w:r>
          </w:p>
        </w:tc>
        <w:tc>
          <w:tcPr>
            <w:tcW w:w="3027" w:type="dxa"/>
            <w:gridSpan w:val="2"/>
            <w:vAlign w:val="center"/>
          </w:tcPr>
          <w:p>
            <w:pPr>
              <w:rPr>
                <w:rFonts w:asciiTheme="minorEastAsia" w:hAnsiTheme="minorEastAsia" w:eastAsiaTheme="minorEastAsia" w:cstheme="minorEastAsia"/>
                <w:szCs w:val="21"/>
              </w:rPr>
            </w:pPr>
          </w:p>
        </w:tc>
        <w:tc>
          <w:tcPr>
            <w:tcW w:w="1435"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企业类型</w:t>
            </w:r>
          </w:p>
        </w:tc>
        <w:tc>
          <w:tcPr>
            <w:tcW w:w="2363" w:type="dxa"/>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批准登记机关</w:t>
            </w:r>
          </w:p>
        </w:tc>
        <w:tc>
          <w:tcPr>
            <w:tcW w:w="6825" w:type="dxa"/>
            <w:gridSpan w:val="5"/>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w:t>
            </w:r>
          </w:p>
        </w:tc>
        <w:tc>
          <w:tcPr>
            <w:tcW w:w="3027" w:type="dxa"/>
            <w:gridSpan w:val="2"/>
            <w:vAlign w:val="center"/>
          </w:tcPr>
          <w:p>
            <w:pPr>
              <w:rPr>
                <w:rFonts w:asciiTheme="minorEastAsia" w:hAnsiTheme="minorEastAsia" w:eastAsiaTheme="minorEastAsia" w:cstheme="minorEastAsia"/>
                <w:szCs w:val="21"/>
              </w:rPr>
            </w:pPr>
          </w:p>
        </w:tc>
        <w:tc>
          <w:tcPr>
            <w:tcW w:w="1435"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营业期限</w:t>
            </w:r>
          </w:p>
        </w:tc>
        <w:tc>
          <w:tcPr>
            <w:tcW w:w="2363" w:type="dxa"/>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资质类型</w:t>
            </w:r>
          </w:p>
        </w:tc>
        <w:tc>
          <w:tcPr>
            <w:tcW w:w="3027" w:type="dxa"/>
            <w:gridSpan w:val="2"/>
            <w:vAlign w:val="center"/>
          </w:tcPr>
          <w:p>
            <w:pPr>
              <w:rPr>
                <w:rFonts w:asciiTheme="minorEastAsia" w:hAnsiTheme="minorEastAsia" w:eastAsiaTheme="minorEastAsia" w:cstheme="minorEastAsia"/>
                <w:szCs w:val="21"/>
              </w:rPr>
            </w:pPr>
          </w:p>
        </w:tc>
        <w:tc>
          <w:tcPr>
            <w:tcW w:w="1435"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资质等级</w:t>
            </w:r>
          </w:p>
        </w:tc>
        <w:tc>
          <w:tcPr>
            <w:tcW w:w="2363" w:type="dxa"/>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主营业务</w:t>
            </w:r>
          </w:p>
        </w:tc>
        <w:tc>
          <w:tcPr>
            <w:tcW w:w="6825" w:type="dxa"/>
            <w:gridSpan w:val="5"/>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地  址</w:t>
            </w:r>
          </w:p>
        </w:tc>
        <w:tc>
          <w:tcPr>
            <w:tcW w:w="6825" w:type="dxa"/>
            <w:gridSpan w:val="5"/>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开户银行</w:t>
            </w:r>
          </w:p>
        </w:tc>
        <w:tc>
          <w:tcPr>
            <w:tcW w:w="6825" w:type="dxa"/>
            <w:gridSpan w:val="5"/>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开户行号</w:t>
            </w:r>
          </w:p>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（如有）</w:t>
            </w:r>
          </w:p>
        </w:tc>
        <w:tc>
          <w:tcPr>
            <w:tcW w:w="6825" w:type="dxa"/>
            <w:gridSpan w:val="5"/>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银行账号</w:t>
            </w:r>
          </w:p>
        </w:tc>
        <w:tc>
          <w:tcPr>
            <w:tcW w:w="6825" w:type="dxa"/>
            <w:gridSpan w:val="5"/>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电  话</w:t>
            </w:r>
          </w:p>
        </w:tc>
        <w:tc>
          <w:tcPr>
            <w:tcW w:w="2887" w:type="dxa"/>
            <w:vAlign w:val="center"/>
          </w:tcPr>
          <w:p>
            <w:pPr>
              <w:rPr>
                <w:rFonts w:asciiTheme="minorEastAsia" w:hAnsiTheme="minorEastAsia" w:eastAsiaTheme="minorEastAsia" w:cstheme="minorEastAsia"/>
                <w:szCs w:val="21"/>
              </w:rPr>
            </w:pPr>
          </w:p>
        </w:tc>
        <w:tc>
          <w:tcPr>
            <w:tcW w:w="1378"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传  真</w:t>
            </w:r>
          </w:p>
        </w:tc>
        <w:tc>
          <w:tcPr>
            <w:tcW w:w="2560" w:type="dxa"/>
            <w:gridSpan w:val="2"/>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邮  箱</w:t>
            </w:r>
          </w:p>
        </w:tc>
        <w:tc>
          <w:tcPr>
            <w:tcW w:w="2887" w:type="dxa"/>
            <w:vAlign w:val="center"/>
          </w:tcPr>
          <w:p>
            <w:pPr>
              <w:rPr>
                <w:rFonts w:asciiTheme="minorEastAsia" w:hAnsiTheme="minorEastAsia" w:eastAsiaTheme="minorEastAsia" w:cstheme="minorEastAsia"/>
                <w:szCs w:val="21"/>
              </w:rPr>
            </w:pPr>
          </w:p>
        </w:tc>
        <w:tc>
          <w:tcPr>
            <w:tcW w:w="1378"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邮  编</w:t>
            </w:r>
          </w:p>
        </w:tc>
        <w:tc>
          <w:tcPr>
            <w:tcW w:w="2560" w:type="dxa"/>
            <w:gridSpan w:val="2"/>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1697"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联系人</w:t>
            </w:r>
          </w:p>
        </w:tc>
        <w:tc>
          <w:tcPr>
            <w:tcW w:w="2887" w:type="dxa"/>
            <w:vAlign w:val="center"/>
          </w:tcPr>
          <w:p>
            <w:pPr>
              <w:rPr>
                <w:rFonts w:asciiTheme="minorEastAsia" w:hAnsiTheme="minorEastAsia" w:eastAsiaTheme="minorEastAsia" w:cstheme="minorEastAsia"/>
                <w:szCs w:val="21"/>
              </w:rPr>
            </w:pPr>
          </w:p>
        </w:tc>
        <w:tc>
          <w:tcPr>
            <w:tcW w:w="1378" w:type="dxa"/>
            <w:gridSpan w:val="2"/>
            <w:vAlign w:val="center"/>
          </w:tcPr>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联系方式</w:t>
            </w:r>
          </w:p>
        </w:tc>
        <w:tc>
          <w:tcPr>
            <w:tcW w:w="2560" w:type="dxa"/>
            <w:gridSpan w:val="2"/>
            <w:vAlign w:val="center"/>
          </w:tcPr>
          <w:p>
            <w:pPr>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7" w:hRule="atLeast"/>
          <w:jc w:val="center"/>
        </w:trPr>
        <w:tc>
          <w:tcPr>
            <w:tcW w:w="8522" w:type="dxa"/>
            <w:gridSpan w:val="7"/>
            <w:vAlign w:val="bottom"/>
          </w:tcPr>
          <w:p>
            <w:pPr>
              <w:wordWrap w:val="0"/>
              <w:jc w:val="right"/>
              <w:rPr>
                <w:rFonts w:asciiTheme="minorEastAsia" w:hAnsiTheme="minorEastAsia" w:eastAsiaTheme="minorEastAsia" w:cstheme="minorEastAsia"/>
                <w:szCs w:val="21"/>
                <w:u w:val="single"/>
              </w:rPr>
            </w:pPr>
            <w:r>
              <w:rPr>
                <w:rFonts w:hint="eastAsia" w:asciiTheme="minorEastAsia" w:hAnsiTheme="minorEastAsia" w:eastAsiaTheme="minorEastAsia" w:cstheme="minorEastAsia"/>
                <w:szCs w:val="21"/>
              </w:rPr>
              <w:t xml:space="preserve">供应商盖章：     </w:t>
            </w:r>
          </w:p>
        </w:tc>
      </w:tr>
    </w:tbl>
    <w:p>
      <w:pPr>
        <w:spacing w:line="440" w:lineRule="exact"/>
        <w:ind w:firstLine="420" w:firstLineChars="200"/>
      </w:pPr>
    </w:p>
    <w:p>
      <w:pPr>
        <w:spacing w:line="440" w:lineRule="exact"/>
        <w:ind w:firstLine="420" w:firstLineChars="200"/>
      </w:pPr>
      <w:r>
        <w:t>兹</w:t>
      </w:r>
      <w:r>
        <w:rPr>
          <w:rFonts w:hint="eastAsia"/>
        </w:rPr>
        <w:t>声</w:t>
      </w:r>
      <w:r>
        <w:t>明上述</w:t>
      </w:r>
      <w:r>
        <w:rPr>
          <w:rFonts w:hint="eastAsia"/>
        </w:rPr>
        <w:t>信息</w:t>
      </w:r>
      <w:r>
        <w:t>是真实、正确的，并提供了全部能提供的资料和数据</w:t>
      </w:r>
      <w:r>
        <w:rPr>
          <w:rFonts w:hint="eastAsia"/>
        </w:rPr>
        <w:t>；如我方提供的证明材料有虚假情况，愿承担相应后果</w:t>
      </w:r>
      <w:r>
        <w:t>。</w:t>
      </w:r>
    </w:p>
    <w:p/>
    <w:p/>
    <w:p/>
    <w:p>
      <w:pPr>
        <w:spacing w:before="120" w:beforeLines="50" w:line="440" w:lineRule="exact"/>
        <w:ind w:left="-103" w:leftChars="-49" w:firstLine="539" w:firstLineChars="257"/>
      </w:pPr>
      <w:r>
        <w:rPr>
          <w:rFonts w:hint="eastAsia"/>
        </w:rPr>
        <w:t>供应商：（公章）</w:t>
      </w:r>
    </w:p>
    <w:p>
      <w:pPr>
        <w:spacing w:before="120" w:beforeLines="50" w:line="360" w:lineRule="auto"/>
        <w:ind w:left="460" w:leftChars="219"/>
      </w:pPr>
      <w:r>
        <w:t>法定代表人或其授权代表：（</w:t>
      </w:r>
      <w:r>
        <w:rPr>
          <w:rFonts w:hint="eastAsia"/>
        </w:rPr>
        <w:t>签字或加盖人名章</w:t>
      </w:r>
      <w:r>
        <w:t>）</w:t>
      </w:r>
    </w:p>
    <w:p>
      <w:pPr>
        <w:spacing w:line="360" w:lineRule="auto"/>
      </w:pPr>
      <w:r>
        <w:t>日期：</w:t>
      </w:r>
      <w:bookmarkStart w:id="161" w:name="_Toc416103819"/>
      <w:bookmarkStart w:id="162" w:name="_Toc410631178"/>
      <w:bookmarkStart w:id="163" w:name="_Toc414445769"/>
    </w:p>
    <w:p/>
    <w:p>
      <w:r>
        <w:br w:type="page"/>
      </w:r>
      <w:bookmarkEnd w:id="161"/>
      <w:bookmarkEnd w:id="162"/>
      <w:bookmarkEnd w:id="163"/>
    </w:p>
    <w:p/>
    <w:p>
      <w:pPr>
        <w:spacing w:line="360" w:lineRule="auto"/>
        <w:outlineLvl w:val="1"/>
        <w:rPr>
          <w:rFonts w:ascii="宋体" w:hAnsi="宋体" w:cs="宋体"/>
          <w:b/>
          <w:sz w:val="24"/>
        </w:rPr>
      </w:pPr>
      <w:bookmarkStart w:id="164" w:name="_Toc17380"/>
      <w:bookmarkStart w:id="165" w:name="_Toc32396"/>
      <w:r>
        <w:rPr>
          <w:rFonts w:ascii="宋体" w:hAnsi="宋体" w:cs="宋体"/>
          <w:b/>
          <w:sz w:val="24"/>
        </w:rPr>
        <w:t>附件</w:t>
      </w:r>
      <w:r>
        <w:rPr>
          <w:rFonts w:hint="eastAsia" w:ascii="宋体" w:hAnsi="宋体" w:cs="宋体"/>
          <w:b/>
          <w:sz w:val="24"/>
        </w:rPr>
        <w:t>8 资格证明文件</w:t>
      </w:r>
      <w:bookmarkEnd w:id="164"/>
      <w:bookmarkEnd w:id="165"/>
    </w:p>
    <w:p>
      <w:pPr>
        <w:numPr>
          <w:ilvl w:val="1"/>
          <w:numId w:val="20"/>
        </w:numPr>
        <w:tabs>
          <w:tab w:val="left" w:pos="993"/>
          <w:tab w:val="left" w:pos="1030"/>
          <w:tab w:val="left" w:pos="8364"/>
        </w:tabs>
        <w:snapToGrid w:val="0"/>
        <w:spacing w:after="120" w:afterLines="50"/>
        <w:ind w:left="993" w:right="-57" w:rightChars="-27" w:hanging="573"/>
        <w:jc w:val="left"/>
        <w:rPr>
          <w:rFonts w:ascii="宋体" w:hAnsi="宋体"/>
          <w:sz w:val="24"/>
        </w:rPr>
      </w:pPr>
      <w:r>
        <w:rPr>
          <w:rFonts w:hint="eastAsia" w:ascii="宋体" w:hAnsi="宋体"/>
          <w:sz w:val="24"/>
        </w:rPr>
        <w:t>供应商的企业法人</w:t>
      </w:r>
      <w:r>
        <w:rPr>
          <w:rFonts w:ascii="宋体" w:hAnsi="宋体"/>
          <w:sz w:val="24"/>
        </w:rPr>
        <w:t>营业执照</w:t>
      </w:r>
      <w:r>
        <w:rPr>
          <w:rFonts w:hint="eastAsia" w:ascii="宋体" w:hAnsi="宋体"/>
          <w:sz w:val="24"/>
        </w:rPr>
        <w:t>副本复印件；</w:t>
      </w:r>
    </w:p>
    <w:p>
      <w:pPr>
        <w:numPr>
          <w:ilvl w:val="1"/>
          <w:numId w:val="20"/>
        </w:numPr>
        <w:tabs>
          <w:tab w:val="left" w:pos="993"/>
          <w:tab w:val="left" w:pos="1030"/>
          <w:tab w:val="left" w:pos="8364"/>
        </w:tabs>
        <w:snapToGrid w:val="0"/>
        <w:spacing w:after="120" w:afterLines="50"/>
        <w:ind w:left="993" w:right="-57" w:rightChars="-27" w:hanging="573"/>
        <w:jc w:val="left"/>
        <w:rPr>
          <w:rFonts w:ascii="宋体" w:hAnsi="宋体"/>
          <w:sz w:val="24"/>
        </w:rPr>
      </w:pPr>
      <w:r>
        <w:rPr>
          <w:rFonts w:hint="eastAsia" w:ascii="宋体" w:hAnsi="宋体"/>
          <w:b/>
          <w:sz w:val="24"/>
          <w:u w:val="single"/>
        </w:rPr>
        <w:t>供应商</w:t>
      </w:r>
      <w:r>
        <w:rPr>
          <w:rFonts w:ascii="宋体" w:hAnsi="宋体"/>
          <w:b/>
          <w:sz w:val="24"/>
          <w:u w:val="single"/>
        </w:rPr>
        <w:t>2018年</w:t>
      </w:r>
      <w:r>
        <w:rPr>
          <w:rFonts w:hint="eastAsia" w:ascii="宋体" w:hAnsi="宋体"/>
          <w:sz w:val="24"/>
          <w:u w:val="single"/>
        </w:rPr>
        <w:t>或2019年度</w:t>
      </w:r>
      <w:r>
        <w:rPr>
          <w:rFonts w:ascii="宋体" w:hAnsi="宋体"/>
          <w:sz w:val="24"/>
          <w:u w:val="single"/>
        </w:rPr>
        <w:t>经审计的财务</w:t>
      </w:r>
      <w:r>
        <w:rPr>
          <w:rFonts w:hint="eastAsia" w:ascii="宋体" w:hAnsi="宋体"/>
          <w:b/>
          <w:sz w:val="24"/>
          <w:u w:val="single"/>
        </w:rPr>
        <w:t>审计报告</w:t>
      </w:r>
      <w:r>
        <w:rPr>
          <w:rFonts w:hint="eastAsia" w:ascii="宋体" w:hAnsi="宋体"/>
          <w:sz w:val="24"/>
          <w:u w:val="single"/>
        </w:rPr>
        <w:t>复印件或其基本开户银行出具的资信证明原件（格式要求见附件8-2）；</w:t>
      </w:r>
    </w:p>
    <w:p>
      <w:pPr>
        <w:numPr>
          <w:ilvl w:val="1"/>
          <w:numId w:val="20"/>
        </w:numPr>
        <w:tabs>
          <w:tab w:val="left" w:pos="993"/>
          <w:tab w:val="left" w:pos="1030"/>
          <w:tab w:val="left" w:pos="8364"/>
        </w:tabs>
        <w:snapToGrid w:val="0"/>
        <w:spacing w:after="120" w:afterLines="50"/>
        <w:ind w:left="993" w:right="-57" w:rightChars="-27" w:hanging="573"/>
        <w:jc w:val="left"/>
        <w:rPr>
          <w:rFonts w:ascii="宋体" w:hAnsi="宋体"/>
          <w:sz w:val="24"/>
        </w:rPr>
      </w:pPr>
      <w:r>
        <w:rPr>
          <w:rFonts w:hint="eastAsia" w:asciiTheme="minorEastAsia" w:hAnsiTheme="minorEastAsia" w:eastAsiaTheme="minorEastAsia"/>
          <w:sz w:val="24"/>
        </w:rPr>
        <w:t>提供2019年1月至投标截止日任意一个月纳税凭证和社会保障资金的证明材料复印件</w:t>
      </w:r>
      <w:r>
        <w:rPr>
          <w:rFonts w:ascii="宋体" w:hAnsi="宋体"/>
          <w:sz w:val="24"/>
        </w:rPr>
        <w:t>（格式见</w:t>
      </w:r>
      <w:r>
        <w:rPr>
          <w:rFonts w:hint="eastAsia" w:ascii="宋体" w:hAnsi="宋体"/>
          <w:sz w:val="24"/>
        </w:rPr>
        <w:t>附件8-3、8-4）</w:t>
      </w:r>
    </w:p>
    <w:p>
      <w:pPr>
        <w:numPr>
          <w:ilvl w:val="1"/>
          <w:numId w:val="20"/>
        </w:numPr>
        <w:tabs>
          <w:tab w:val="left" w:pos="993"/>
          <w:tab w:val="left" w:pos="1030"/>
          <w:tab w:val="left" w:pos="8364"/>
        </w:tabs>
        <w:snapToGrid w:val="0"/>
        <w:spacing w:after="120" w:afterLines="50"/>
        <w:ind w:left="993" w:right="-57" w:rightChars="-27" w:hanging="573"/>
        <w:jc w:val="left"/>
        <w:rPr>
          <w:rFonts w:ascii="宋体" w:hAnsi="宋体"/>
          <w:sz w:val="24"/>
        </w:rPr>
      </w:pPr>
      <w:r>
        <w:rPr>
          <w:rFonts w:hint="eastAsia" w:ascii="宋体" w:hAnsi="宋体"/>
          <w:sz w:val="24"/>
        </w:rPr>
        <w:t>具备履行合同所必需的设备和专业技术能力的承诺原件</w:t>
      </w:r>
      <w:r>
        <w:rPr>
          <w:rFonts w:ascii="宋体" w:hAnsi="宋体"/>
          <w:sz w:val="24"/>
        </w:rPr>
        <w:t>（格式见</w:t>
      </w:r>
      <w:r>
        <w:rPr>
          <w:rFonts w:hint="eastAsia" w:ascii="宋体" w:hAnsi="宋体"/>
          <w:sz w:val="24"/>
        </w:rPr>
        <w:t>附件8-5）；</w:t>
      </w:r>
    </w:p>
    <w:p>
      <w:pPr>
        <w:numPr>
          <w:ilvl w:val="1"/>
          <w:numId w:val="20"/>
        </w:numPr>
        <w:tabs>
          <w:tab w:val="left" w:pos="993"/>
          <w:tab w:val="left" w:pos="1030"/>
          <w:tab w:val="left" w:pos="8364"/>
        </w:tabs>
        <w:snapToGrid w:val="0"/>
        <w:spacing w:after="120" w:afterLines="50"/>
        <w:ind w:left="993" w:right="-57" w:rightChars="-27" w:hanging="573"/>
        <w:jc w:val="left"/>
        <w:rPr>
          <w:rFonts w:ascii="宋体" w:hAnsi="宋体"/>
          <w:sz w:val="24"/>
        </w:rPr>
      </w:pPr>
      <w:r>
        <w:rPr>
          <w:rFonts w:hint="eastAsia" w:ascii="宋体" w:hAnsi="宋体"/>
          <w:sz w:val="24"/>
        </w:rPr>
        <w:t>供应商参加政府采购活动前3年内在经营活动中没有重大违法记录的书面声明原件</w:t>
      </w:r>
      <w:r>
        <w:rPr>
          <w:rFonts w:ascii="宋体" w:hAnsi="宋体"/>
          <w:sz w:val="24"/>
        </w:rPr>
        <w:t>（格式见</w:t>
      </w:r>
      <w:r>
        <w:rPr>
          <w:rFonts w:hint="eastAsia" w:ascii="宋体" w:hAnsi="宋体"/>
          <w:sz w:val="24"/>
        </w:rPr>
        <w:t>附件8-6）</w:t>
      </w:r>
    </w:p>
    <w:p>
      <w:pPr>
        <w:numPr>
          <w:ilvl w:val="1"/>
          <w:numId w:val="20"/>
        </w:numPr>
        <w:tabs>
          <w:tab w:val="left" w:pos="993"/>
          <w:tab w:val="left" w:pos="1030"/>
          <w:tab w:val="left" w:pos="8364"/>
        </w:tabs>
        <w:snapToGrid w:val="0"/>
        <w:spacing w:after="120" w:afterLines="50"/>
        <w:ind w:left="993" w:right="-57" w:rightChars="-27" w:hanging="573"/>
        <w:jc w:val="left"/>
        <w:rPr>
          <w:rFonts w:ascii="宋体" w:hAnsi="宋体"/>
          <w:sz w:val="24"/>
        </w:rPr>
      </w:pPr>
      <w:r>
        <w:rPr>
          <w:rFonts w:hint="eastAsia" w:ascii="宋体" w:hAnsi="宋体"/>
          <w:sz w:val="24"/>
        </w:rPr>
        <w:t>供应商控股股东名称、控股公司的名称和存在管理、被管理关系的单位名称说明（格式见附件8-7)</w:t>
      </w:r>
    </w:p>
    <w:p>
      <w:pPr>
        <w:numPr>
          <w:ilvl w:val="1"/>
          <w:numId w:val="20"/>
        </w:numPr>
        <w:tabs>
          <w:tab w:val="left" w:pos="993"/>
          <w:tab w:val="left" w:pos="1030"/>
          <w:tab w:val="left" w:pos="8364"/>
        </w:tabs>
        <w:snapToGrid w:val="0"/>
        <w:spacing w:after="120" w:afterLines="50"/>
        <w:ind w:left="993" w:right="-57" w:rightChars="-27" w:hanging="573"/>
        <w:jc w:val="left"/>
        <w:rPr>
          <w:rFonts w:ascii="宋体" w:hAnsi="宋体"/>
          <w:sz w:val="24"/>
        </w:rPr>
      </w:pPr>
      <w:r>
        <w:rPr>
          <w:rFonts w:hint="eastAsia" w:ascii="宋体" w:hAnsi="宋体"/>
          <w:sz w:val="24"/>
        </w:rPr>
        <w:t>供应商是否属于为采购项目提供整体设计、规范编制或者项目管理、监理、检测等服务的供应商声明原件（格式见附件8-8)</w:t>
      </w:r>
    </w:p>
    <w:p>
      <w:pPr>
        <w:adjustRightInd w:val="0"/>
        <w:spacing w:line="360" w:lineRule="auto"/>
        <w:jc w:val="left"/>
        <w:textAlignment w:val="baseline"/>
        <w:rPr>
          <w:rFonts w:ascii="宋体" w:hAnsi="宋体"/>
          <w:sz w:val="24"/>
        </w:rPr>
      </w:pPr>
      <w:r>
        <w:rPr>
          <w:rFonts w:hint="eastAsia" w:ascii="宋体" w:hAnsi="宋体"/>
          <w:sz w:val="24"/>
        </w:rPr>
        <w:t>以上提供扫描件、复印件必须加盖供应商公章。</w:t>
      </w:r>
    </w:p>
    <w:p>
      <w:pPr>
        <w:jc w:val="center"/>
      </w:pPr>
      <w:r>
        <w:br w:type="page"/>
      </w:r>
      <w:bookmarkStart w:id="166" w:name="_Hlt520274121"/>
      <w:bookmarkEnd w:id="166"/>
    </w:p>
    <w:p>
      <w:pPr>
        <w:jc w:val="center"/>
        <w:rPr>
          <w:spacing w:val="20"/>
          <w:sz w:val="30"/>
          <w:szCs w:val="30"/>
        </w:rPr>
      </w:pPr>
    </w:p>
    <w:p>
      <w:pPr>
        <w:pStyle w:val="425"/>
        <w:numPr>
          <w:ilvl w:val="0"/>
          <w:numId w:val="21"/>
        </w:numPr>
        <w:ind w:firstLineChars="0"/>
        <w:jc w:val="left"/>
        <w:outlineLvl w:val="2"/>
        <w:rPr>
          <w:rFonts w:ascii="仿宋_GB2312" w:hAnsi="宋体" w:eastAsia="仿宋_GB2312"/>
          <w:b/>
          <w:sz w:val="24"/>
        </w:rPr>
      </w:pPr>
      <w:r>
        <w:rPr>
          <w:rFonts w:hint="eastAsia" w:ascii="仿宋_GB2312" w:hAnsi="宋体" w:eastAsia="仿宋_GB2312"/>
          <w:b/>
          <w:sz w:val="24"/>
        </w:rPr>
        <w:t>供应商的企业法人营业执照副本复印件（加盖公章）</w:t>
      </w:r>
    </w:p>
    <w:p>
      <w:pPr>
        <w:jc w:val="left"/>
        <w:rPr>
          <w:rFonts w:ascii="仿宋_GB2312" w:hAnsi="宋体" w:eastAsia="仿宋_GB2312"/>
          <w:sz w:val="24"/>
        </w:rPr>
      </w:pPr>
    </w:p>
    <w:p>
      <w:pPr>
        <w:jc w:val="left"/>
        <w:rPr>
          <w:rFonts w:ascii="仿宋_GB2312" w:hAnsi="宋体" w:eastAsia="仿宋_GB2312"/>
          <w:sz w:val="24"/>
        </w:rPr>
      </w:pPr>
      <w:r>
        <w:rPr>
          <w:rFonts w:hint="eastAsia" w:ascii="仿宋_GB2312" w:hAnsi="宋体" w:eastAsia="仿宋_GB2312"/>
          <w:sz w:val="24"/>
        </w:rPr>
        <w:t>（注：根据项目实际情况，本项内容可能要求提供“事业单位法人证书”、执业许可证、自然人身份证明等证明材料）</w:t>
      </w:r>
    </w:p>
    <w:p>
      <w:pPr>
        <w:adjustRightInd w:val="0"/>
        <w:spacing w:line="360" w:lineRule="atLeast"/>
        <w:jc w:val="left"/>
        <w:textAlignment w:val="baseline"/>
        <w:rPr>
          <w:b/>
          <w:sz w:val="28"/>
        </w:rPr>
      </w:pPr>
      <w:r>
        <w:rPr>
          <w:b/>
        </w:rPr>
        <w:br w:type="page"/>
      </w:r>
    </w:p>
    <w:bookmarkEnd w:id="153"/>
    <w:p>
      <w:pPr>
        <w:pStyle w:val="425"/>
        <w:numPr>
          <w:ilvl w:val="0"/>
          <w:numId w:val="21"/>
        </w:numPr>
        <w:ind w:firstLineChars="0"/>
        <w:jc w:val="left"/>
        <w:outlineLvl w:val="2"/>
        <w:rPr>
          <w:rFonts w:ascii="仿宋_GB2312" w:hAnsi="宋体" w:eastAsia="仿宋_GB2312"/>
          <w:bCs/>
          <w:sz w:val="24"/>
        </w:rPr>
      </w:pPr>
      <w:bookmarkStart w:id="167" w:name="_Ref527015333"/>
      <w:r>
        <w:rPr>
          <w:rFonts w:hint="eastAsia" w:ascii="仿宋_GB2312" w:hAnsi="宋体" w:eastAsia="仿宋_GB2312"/>
          <w:bCs/>
          <w:sz w:val="24"/>
        </w:rPr>
        <w:t>2018年度</w:t>
      </w:r>
      <w:r>
        <w:rPr>
          <w:rFonts w:ascii="仿宋_GB2312" w:hAnsi="宋体" w:eastAsia="仿宋_GB2312"/>
          <w:bCs/>
          <w:sz w:val="24"/>
        </w:rPr>
        <w:t>经审计的财务报表</w:t>
      </w:r>
      <w:bookmarkEnd w:id="167"/>
    </w:p>
    <w:p>
      <w:pPr>
        <w:spacing w:line="360" w:lineRule="auto"/>
        <w:rPr>
          <w:bCs/>
          <w:szCs w:val="21"/>
        </w:rPr>
      </w:pPr>
    </w:p>
    <w:p>
      <w:pPr>
        <w:spacing w:line="360" w:lineRule="auto"/>
        <w:ind w:right="155"/>
        <w:rPr>
          <w:rFonts w:hAnsi="宋体"/>
          <w:bCs/>
          <w:szCs w:val="21"/>
        </w:rPr>
      </w:pPr>
      <w:r>
        <w:rPr>
          <w:rFonts w:hint="eastAsia"/>
          <w:bCs/>
          <w:szCs w:val="21"/>
        </w:rPr>
        <w:t>提供供应商2018年或者2019年度</w:t>
      </w:r>
      <w:r>
        <w:rPr>
          <w:bCs/>
          <w:szCs w:val="21"/>
        </w:rPr>
        <w:t>经审计的财务</w:t>
      </w:r>
      <w:r>
        <w:rPr>
          <w:rFonts w:hint="eastAsia"/>
          <w:bCs/>
          <w:szCs w:val="21"/>
        </w:rPr>
        <w:t>审计报告复印件或扫描件、</w:t>
      </w:r>
      <w:r>
        <w:rPr>
          <w:bCs/>
        </w:rPr>
        <w:t>所有复印件或扫描件需加盖单位公章</w:t>
      </w:r>
      <w:r>
        <w:rPr>
          <w:rFonts w:hint="eastAsia"/>
          <w:bCs/>
          <w:szCs w:val="21"/>
        </w:rPr>
        <w:t>。</w:t>
      </w:r>
    </w:p>
    <w:p>
      <w:pPr>
        <w:spacing w:line="360" w:lineRule="auto"/>
        <w:rPr>
          <w:bCs/>
          <w:szCs w:val="21"/>
        </w:rPr>
      </w:pPr>
    </w:p>
    <w:p>
      <w:pPr>
        <w:tabs>
          <w:tab w:val="left" w:pos="993"/>
          <w:tab w:val="left" w:pos="1030"/>
          <w:tab w:val="left" w:pos="8364"/>
        </w:tabs>
        <w:snapToGrid w:val="0"/>
        <w:spacing w:after="120" w:afterLines="50"/>
        <w:ind w:left="420" w:right="-57" w:rightChars="-27"/>
        <w:jc w:val="left"/>
        <w:rPr>
          <w:bCs/>
          <w:spacing w:val="20"/>
          <w:sz w:val="24"/>
        </w:rPr>
      </w:pPr>
    </w:p>
    <w:p>
      <w:pPr>
        <w:pStyle w:val="425"/>
        <w:numPr>
          <w:ilvl w:val="0"/>
          <w:numId w:val="22"/>
        </w:numPr>
        <w:ind w:firstLineChars="0"/>
        <w:jc w:val="left"/>
        <w:outlineLvl w:val="2"/>
        <w:rPr>
          <w:rFonts w:ascii="仿宋_GB2312" w:hAnsi="宋体" w:eastAsia="仿宋_GB2312"/>
          <w:bCs/>
          <w:sz w:val="24"/>
        </w:rPr>
      </w:pPr>
      <w:r>
        <w:rPr>
          <w:rFonts w:hint="eastAsia" w:ascii="仿宋_GB2312" w:hAnsi="宋体" w:eastAsia="仿宋_GB2312"/>
          <w:bCs/>
          <w:sz w:val="24"/>
        </w:rPr>
        <w:t>本年度基本开户银行出具的资信证明</w:t>
      </w:r>
    </w:p>
    <w:p>
      <w:pPr>
        <w:jc w:val="center"/>
        <w:rPr>
          <w:rFonts w:ascii="仿宋_GB2312" w:hAnsi="宋体" w:eastAsia="仿宋_GB2312"/>
          <w:bCs/>
          <w:sz w:val="24"/>
        </w:rPr>
      </w:pPr>
    </w:p>
    <w:p>
      <w:pPr>
        <w:spacing w:line="360" w:lineRule="auto"/>
        <w:rPr>
          <w:bCs/>
          <w:szCs w:val="21"/>
        </w:rPr>
      </w:pPr>
    </w:p>
    <w:p>
      <w:pPr>
        <w:spacing w:line="360" w:lineRule="auto"/>
        <w:rPr>
          <w:bCs/>
          <w:szCs w:val="21"/>
        </w:rPr>
      </w:pPr>
    </w:p>
    <w:p>
      <w:pPr>
        <w:spacing w:line="360" w:lineRule="auto"/>
        <w:rPr>
          <w:bCs/>
          <w:szCs w:val="21"/>
        </w:rPr>
      </w:pPr>
    </w:p>
    <w:p>
      <w:pPr>
        <w:spacing w:line="360" w:lineRule="auto"/>
        <w:rPr>
          <w:bCs/>
          <w:szCs w:val="21"/>
        </w:rPr>
      </w:pPr>
    </w:p>
    <w:p>
      <w:pPr>
        <w:spacing w:line="360" w:lineRule="auto"/>
        <w:rPr>
          <w:bCs/>
          <w:szCs w:val="21"/>
        </w:rPr>
      </w:pPr>
    </w:p>
    <w:p>
      <w:pPr>
        <w:spacing w:line="360" w:lineRule="auto"/>
        <w:rPr>
          <w:bCs/>
          <w:szCs w:val="21"/>
        </w:rPr>
      </w:pPr>
    </w:p>
    <w:p>
      <w:pPr>
        <w:spacing w:line="360" w:lineRule="auto"/>
        <w:rPr>
          <w:bCs/>
          <w:szCs w:val="21"/>
        </w:rPr>
      </w:pPr>
    </w:p>
    <w:p>
      <w:pPr>
        <w:spacing w:line="360" w:lineRule="auto"/>
        <w:rPr>
          <w:bCs/>
          <w:szCs w:val="21"/>
        </w:rPr>
      </w:pPr>
    </w:p>
    <w:p>
      <w:pPr>
        <w:spacing w:line="360" w:lineRule="auto"/>
        <w:rPr>
          <w:rFonts w:ascii="宋体"/>
          <w:bCs/>
          <w:szCs w:val="21"/>
        </w:rPr>
      </w:pPr>
      <w:r>
        <w:rPr>
          <w:rFonts w:hint="eastAsia"/>
          <w:bCs/>
          <w:szCs w:val="21"/>
        </w:rPr>
        <w:t>注：</w:t>
      </w:r>
      <w:r>
        <w:rPr>
          <w:rFonts w:hint="eastAsia" w:ascii="宋体"/>
          <w:bCs/>
          <w:szCs w:val="21"/>
        </w:rPr>
        <w:t>附基本帐户的“银行开户许可证”的复印件。</w:t>
      </w:r>
    </w:p>
    <w:p>
      <w:pPr>
        <w:rPr>
          <w:bCs/>
        </w:rPr>
      </w:pPr>
    </w:p>
    <w:p>
      <w:pPr>
        <w:rPr>
          <w:bCs/>
        </w:rPr>
      </w:pPr>
    </w:p>
    <w:p>
      <w:pPr>
        <w:rPr>
          <w:bCs/>
        </w:rPr>
      </w:pPr>
    </w:p>
    <w:p>
      <w:pPr>
        <w:spacing w:line="360" w:lineRule="auto"/>
        <w:rPr>
          <w:bCs/>
          <w:spacing w:val="20"/>
          <w:sz w:val="24"/>
        </w:rPr>
      </w:pPr>
    </w:p>
    <w:p>
      <w:pPr>
        <w:spacing w:line="360" w:lineRule="auto"/>
        <w:rPr>
          <w:bCs/>
          <w:spacing w:val="20"/>
          <w:sz w:val="24"/>
        </w:rPr>
      </w:pPr>
    </w:p>
    <w:p>
      <w:pPr>
        <w:spacing w:line="360" w:lineRule="auto"/>
        <w:rPr>
          <w:bCs/>
          <w:szCs w:val="21"/>
        </w:rPr>
      </w:pPr>
      <w:r>
        <w:rPr>
          <w:rFonts w:hint="eastAsia"/>
          <w:bCs/>
          <w:szCs w:val="21"/>
        </w:rPr>
        <w:t>2018年或者2019年度经审计的财务审计报告与本年度基本开户银行出具的资信证明，二者选其一。</w:t>
      </w:r>
    </w:p>
    <w:p>
      <w:pPr>
        <w:widowControl/>
        <w:jc w:val="left"/>
        <w:rPr>
          <w:b/>
          <w:spacing w:val="20"/>
          <w:sz w:val="24"/>
        </w:rPr>
      </w:pPr>
    </w:p>
    <w:p>
      <w:pPr>
        <w:tabs>
          <w:tab w:val="left" w:pos="5580"/>
        </w:tabs>
        <w:spacing w:before="120" w:line="360" w:lineRule="auto"/>
        <w:ind w:firstLine="480" w:firstLineChars="200"/>
        <w:rPr>
          <w:rFonts w:ascii="仿宋_GB2312" w:eastAsia="仿宋_GB2312"/>
          <w:sz w:val="24"/>
        </w:rPr>
      </w:pPr>
    </w:p>
    <w:p>
      <w:pPr>
        <w:pStyle w:val="425"/>
        <w:numPr>
          <w:ilvl w:val="0"/>
          <w:numId w:val="22"/>
        </w:numPr>
        <w:ind w:firstLineChars="0"/>
        <w:jc w:val="left"/>
        <w:outlineLvl w:val="2"/>
        <w:rPr>
          <w:rFonts w:ascii="仿宋_GB2312" w:hAnsi="宋体" w:eastAsia="仿宋_GB2312"/>
          <w:b/>
          <w:sz w:val="24"/>
        </w:rPr>
        <w:sectPr>
          <w:headerReference r:id="rId4" w:type="default"/>
          <w:footerReference r:id="rId5" w:type="default"/>
          <w:pgSz w:w="11906" w:h="16838"/>
          <w:pgMar w:top="1247" w:right="1247" w:bottom="1247" w:left="1701" w:header="851" w:footer="992" w:gutter="0"/>
          <w:cols w:space="720" w:num="1"/>
          <w:docGrid w:linePitch="312" w:charSpace="0"/>
        </w:sectPr>
      </w:pPr>
    </w:p>
    <w:p>
      <w:pPr>
        <w:pStyle w:val="425"/>
        <w:numPr>
          <w:ilvl w:val="0"/>
          <w:numId w:val="22"/>
        </w:numPr>
        <w:ind w:firstLineChars="0"/>
        <w:jc w:val="left"/>
        <w:outlineLvl w:val="2"/>
        <w:rPr>
          <w:rFonts w:ascii="仿宋_GB2312" w:hAnsi="宋体" w:eastAsia="仿宋_GB2312"/>
          <w:b/>
          <w:sz w:val="24"/>
        </w:rPr>
      </w:pPr>
      <w:r>
        <w:rPr>
          <w:rFonts w:hint="eastAsia" w:ascii="仿宋_GB2312" w:hAnsi="宋体" w:eastAsia="仿宋_GB2312"/>
          <w:b/>
          <w:sz w:val="24"/>
        </w:rPr>
        <w:t>依法缴纳税收的证明</w:t>
      </w:r>
    </w:p>
    <w:p>
      <w:pPr>
        <w:tabs>
          <w:tab w:val="left" w:pos="993"/>
          <w:tab w:val="left" w:pos="1030"/>
          <w:tab w:val="left" w:pos="8364"/>
        </w:tabs>
        <w:snapToGrid w:val="0"/>
        <w:spacing w:after="120"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120" w:afterLines="50"/>
        <w:ind w:left="420" w:right="-57" w:rightChars="-27"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说明：</w:t>
      </w:r>
    </w:p>
    <w:p>
      <w:pPr>
        <w:tabs>
          <w:tab w:val="left" w:pos="993"/>
          <w:tab w:val="left" w:pos="1030"/>
          <w:tab w:val="left" w:pos="8364"/>
        </w:tabs>
        <w:snapToGrid w:val="0"/>
        <w:spacing w:after="120" w:afterLines="50"/>
        <w:ind w:left="420" w:right="-57" w:rightChars="-27"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1、供应商应提供2019年1月至投标截止日任意一个月纳税凭证（银行出具的缴税凭证或税务机关出具的证明的复印件，并加盖本单位公章）。</w:t>
      </w:r>
    </w:p>
    <w:p>
      <w:pPr>
        <w:tabs>
          <w:tab w:val="left" w:pos="993"/>
          <w:tab w:val="left" w:pos="1030"/>
          <w:tab w:val="left" w:pos="8364"/>
        </w:tabs>
        <w:snapToGrid w:val="0"/>
        <w:spacing w:after="120" w:afterLines="50"/>
        <w:ind w:right="-57" w:rightChars="-27"/>
        <w:jc w:val="left"/>
        <w:rPr>
          <w:rFonts w:asciiTheme="minorEastAsia" w:hAnsiTheme="minorEastAsia" w:eastAsiaTheme="minorEastAsia"/>
          <w:sz w:val="24"/>
        </w:rPr>
      </w:pPr>
      <w:r>
        <w:rPr>
          <w:rFonts w:hint="eastAsia" w:asciiTheme="minorEastAsia" w:hAnsiTheme="minorEastAsia" w:eastAsiaTheme="minorEastAsia"/>
          <w:sz w:val="24"/>
        </w:rPr>
        <w:t xml:space="preserve">        2、依法免税的供应商，应提供相应文件证明其依法免税。</w:t>
      </w:r>
    </w:p>
    <w:p>
      <w:pPr>
        <w:tabs>
          <w:tab w:val="left" w:pos="993"/>
          <w:tab w:val="left" w:pos="1030"/>
          <w:tab w:val="left" w:pos="8364"/>
        </w:tabs>
        <w:snapToGrid w:val="0"/>
        <w:spacing w:after="120"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120"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120" w:afterLines="50"/>
        <w:ind w:left="420" w:right="-57" w:rightChars="-27" w:firstLine="480" w:firstLineChars="200"/>
        <w:jc w:val="left"/>
        <w:rPr>
          <w:rFonts w:asciiTheme="minorEastAsia" w:hAnsiTheme="minorEastAsia" w:eastAsiaTheme="minorEastAsia"/>
          <w:sz w:val="24"/>
        </w:rPr>
      </w:pPr>
    </w:p>
    <w:p>
      <w:pPr>
        <w:tabs>
          <w:tab w:val="left" w:pos="993"/>
          <w:tab w:val="left" w:pos="1030"/>
          <w:tab w:val="left" w:pos="8364"/>
        </w:tabs>
        <w:snapToGrid w:val="0"/>
        <w:spacing w:after="120" w:afterLines="50"/>
        <w:ind w:left="420" w:right="-57" w:rightChars="-27" w:firstLine="480" w:firstLineChars="200"/>
        <w:jc w:val="left"/>
        <w:rPr>
          <w:rFonts w:asciiTheme="minorEastAsia" w:hAnsiTheme="minorEastAsia" w:eastAsiaTheme="minorEastAsia"/>
          <w:sz w:val="24"/>
        </w:rPr>
      </w:pPr>
    </w:p>
    <w:p>
      <w:pPr>
        <w:pStyle w:val="425"/>
        <w:numPr>
          <w:ilvl w:val="0"/>
          <w:numId w:val="22"/>
        </w:numPr>
        <w:ind w:firstLineChars="0"/>
        <w:jc w:val="left"/>
        <w:outlineLvl w:val="2"/>
        <w:rPr>
          <w:rFonts w:ascii="仿宋_GB2312" w:hAnsi="宋体" w:eastAsia="仿宋_GB2312"/>
          <w:b/>
          <w:sz w:val="24"/>
        </w:rPr>
      </w:pPr>
      <w:r>
        <w:rPr>
          <w:rFonts w:hint="eastAsia" w:ascii="仿宋_GB2312" w:hAnsi="宋体" w:eastAsia="仿宋_GB2312"/>
          <w:b/>
          <w:sz w:val="24"/>
        </w:rPr>
        <w:t>社会保障资金缴纳记录</w:t>
      </w:r>
    </w:p>
    <w:p>
      <w:pPr>
        <w:tabs>
          <w:tab w:val="left" w:pos="993"/>
          <w:tab w:val="left" w:pos="1030"/>
          <w:tab w:val="left" w:pos="8364"/>
        </w:tabs>
        <w:snapToGrid w:val="0"/>
        <w:spacing w:after="120" w:afterLines="50"/>
        <w:ind w:left="420" w:leftChars="200" w:right="-57" w:rightChars="-27"/>
        <w:jc w:val="left"/>
        <w:rPr>
          <w:rFonts w:asciiTheme="minorEastAsia" w:hAnsiTheme="minorEastAsia" w:eastAsiaTheme="minorEastAsia"/>
          <w:sz w:val="24"/>
        </w:rPr>
      </w:pPr>
      <w:r>
        <w:rPr>
          <w:rFonts w:hint="eastAsia" w:asciiTheme="minorEastAsia" w:hAnsiTheme="minorEastAsia" w:eastAsiaTheme="minorEastAsia"/>
          <w:sz w:val="24"/>
        </w:rPr>
        <w:cr/>
      </w:r>
    </w:p>
    <w:p>
      <w:pPr>
        <w:tabs>
          <w:tab w:val="left" w:pos="993"/>
          <w:tab w:val="left" w:pos="1030"/>
          <w:tab w:val="left" w:pos="8364"/>
        </w:tabs>
        <w:snapToGrid w:val="0"/>
        <w:spacing w:after="120" w:afterLines="50"/>
        <w:ind w:left="420" w:leftChars="200" w:right="-57" w:rightChars="-27"/>
        <w:jc w:val="left"/>
        <w:rPr>
          <w:rFonts w:asciiTheme="minorEastAsia" w:hAnsiTheme="minorEastAsia" w:eastAsiaTheme="minorEastAsia"/>
          <w:sz w:val="24"/>
        </w:rPr>
      </w:pPr>
      <w:r>
        <w:rPr>
          <w:rFonts w:hint="eastAsia" w:asciiTheme="minorEastAsia" w:hAnsiTheme="minorEastAsia" w:eastAsiaTheme="minorEastAsia"/>
          <w:sz w:val="24"/>
        </w:rPr>
        <w:t>说明：</w:t>
      </w:r>
    </w:p>
    <w:p>
      <w:pPr>
        <w:numPr>
          <w:ilvl w:val="0"/>
          <w:numId w:val="23"/>
        </w:numPr>
        <w:tabs>
          <w:tab w:val="left" w:pos="993"/>
          <w:tab w:val="left" w:pos="1030"/>
          <w:tab w:val="left" w:pos="8364"/>
        </w:tabs>
        <w:snapToGrid w:val="0"/>
        <w:spacing w:after="120" w:afterLines="50"/>
        <w:ind w:left="420" w:leftChars="200" w:right="-57" w:rightChars="-27"/>
        <w:jc w:val="left"/>
        <w:rPr>
          <w:rFonts w:asciiTheme="minorEastAsia" w:hAnsiTheme="minorEastAsia" w:eastAsiaTheme="minorEastAsia"/>
          <w:sz w:val="24"/>
        </w:rPr>
      </w:pPr>
      <w:r>
        <w:rPr>
          <w:rFonts w:hint="eastAsia" w:asciiTheme="minorEastAsia" w:hAnsiTheme="minorEastAsia" w:eastAsiaTheme="minorEastAsia"/>
          <w:sz w:val="24"/>
        </w:rPr>
        <w:t>供应商应提供2019年1月至投标截止日任意一个月的社会缴纳社会保险的凭据（专用收据或社会保险缴纳清单），并加盖本单位公章。</w:t>
      </w:r>
    </w:p>
    <w:p>
      <w:pPr>
        <w:numPr>
          <w:ilvl w:val="0"/>
          <w:numId w:val="23"/>
        </w:numPr>
        <w:tabs>
          <w:tab w:val="left" w:pos="993"/>
          <w:tab w:val="left" w:pos="1030"/>
          <w:tab w:val="left" w:pos="8364"/>
        </w:tabs>
        <w:snapToGrid w:val="0"/>
        <w:spacing w:after="120" w:afterLines="50"/>
        <w:ind w:left="420" w:leftChars="200" w:right="-57" w:rightChars="-27"/>
        <w:jc w:val="left"/>
        <w:rPr>
          <w:rFonts w:asciiTheme="minorEastAsia" w:hAnsiTheme="minorEastAsia" w:eastAsiaTheme="minorEastAsia"/>
          <w:sz w:val="24"/>
        </w:rPr>
      </w:pPr>
      <w:r>
        <w:rPr>
          <w:rFonts w:hint="eastAsia" w:asciiTheme="minorEastAsia" w:hAnsiTheme="minorEastAsia" w:eastAsiaTheme="minorEastAsia"/>
          <w:sz w:val="24"/>
        </w:rPr>
        <w:t>不需要缴纳社会保障资金的供应商，应提供相应文件证明其不需要缴纳社会保障资金。</w:t>
      </w:r>
    </w:p>
    <w:p>
      <w:pPr>
        <w:tabs>
          <w:tab w:val="left" w:pos="5580"/>
        </w:tabs>
        <w:spacing w:before="120"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br w:type="page"/>
      </w:r>
    </w:p>
    <w:p>
      <w:pPr>
        <w:tabs>
          <w:tab w:val="left" w:pos="993"/>
          <w:tab w:val="left" w:pos="1030"/>
          <w:tab w:val="left" w:pos="8364"/>
        </w:tabs>
        <w:snapToGrid w:val="0"/>
        <w:spacing w:after="120" w:afterLines="50"/>
        <w:ind w:left="420" w:right="-57" w:rightChars="-27"/>
        <w:jc w:val="left"/>
        <w:rPr>
          <w:rFonts w:ascii="仿宋_GB2312" w:eastAsia="仿宋_GB2312"/>
          <w:sz w:val="24"/>
        </w:rPr>
      </w:pPr>
    </w:p>
    <w:p>
      <w:pPr>
        <w:pStyle w:val="425"/>
        <w:numPr>
          <w:ilvl w:val="0"/>
          <w:numId w:val="22"/>
        </w:numPr>
        <w:ind w:firstLineChars="0"/>
        <w:jc w:val="left"/>
        <w:outlineLvl w:val="2"/>
        <w:rPr>
          <w:rFonts w:ascii="仿宋_GB2312" w:hAnsi="宋体" w:eastAsia="仿宋_GB2312"/>
          <w:b/>
          <w:sz w:val="24"/>
        </w:rPr>
      </w:pPr>
      <w:r>
        <w:rPr>
          <w:rFonts w:ascii="仿宋_GB2312" w:hAnsi="宋体" w:eastAsia="仿宋_GB2312"/>
          <w:b/>
          <w:sz w:val="24"/>
        </w:rPr>
        <w:t>具</w:t>
      </w:r>
      <w:r>
        <w:rPr>
          <w:rFonts w:hint="eastAsia" w:ascii="仿宋_GB2312" w:hAnsi="宋体" w:eastAsia="仿宋_GB2312"/>
          <w:b/>
          <w:sz w:val="24"/>
        </w:rPr>
        <w:t>备</w:t>
      </w:r>
      <w:r>
        <w:rPr>
          <w:rFonts w:ascii="仿宋_GB2312" w:hAnsi="宋体" w:eastAsia="仿宋_GB2312"/>
          <w:b/>
          <w:sz w:val="24"/>
        </w:rPr>
        <w:t>履行合同所必需的设备和专业技术能力</w:t>
      </w:r>
      <w:r>
        <w:rPr>
          <w:rFonts w:hint="eastAsia" w:ascii="仿宋_GB2312" w:hAnsi="宋体" w:eastAsia="仿宋_GB2312"/>
          <w:b/>
          <w:sz w:val="24"/>
        </w:rPr>
        <w:t>承诺书</w:t>
      </w:r>
    </w:p>
    <w:p>
      <w:pPr>
        <w:ind w:firstLine="480"/>
        <w:rPr>
          <w:rFonts w:cs="宋体" w:asciiTheme="minorEastAsia" w:hAnsiTheme="minorEastAsia" w:eastAsiaTheme="minorEastAsia"/>
          <w:kern w:val="0"/>
          <w:sz w:val="24"/>
        </w:rPr>
      </w:pPr>
    </w:p>
    <w:p>
      <w:pPr>
        <w:ind w:firstLine="480"/>
        <w:rPr>
          <w:rFonts w:cs="宋体" w:asciiTheme="minorEastAsia" w:hAnsiTheme="minorEastAsia" w:eastAsiaTheme="minorEastAsia"/>
          <w:kern w:val="0"/>
          <w:sz w:val="24"/>
        </w:rPr>
      </w:pPr>
    </w:p>
    <w:p>
      <w:pPr>
        <w:rPr>
          <w:rFonts w:cs="宋体" w:asciiTheme="minorEastAsia" w:hAnsiTheme="minorEastAsia" w:eastAsiaTheme="minorEastAsia"/>
          <w:kern w:val="0"/>
          <w:sz w:val="24"/>
          <w:u w:val="single"/>
        </w:rPr>
      </w:pPr>
      <w:r>
        <w:rPr>
          <w:rFonts w:hint="eastAsia" w:cs="宋体" w:asciiTheme="minorEastAsia" w:hAnsiTheme="minorEastAsia" w:eastAsiaTheme="minorEastAsia"/>
          <w:kern w:val="0"/>
          <w:sz w:val="24"/>
          <w:u w:val="single"/>
        </w:rPr>
        <w:t xml:space="preserve">(采购人名称)      </w:t>
      </w:r>
    </w:p>
    <w:p>
      <w:pPr>
        <w:ind w:firstLine="480"/>
        <w:rPr>
          <w:rFonts w:cs="宋体" w:asciiTheme="minorEastAsia" w:hAnsiTheme="minorEastAsia" w:eastAsiaTheme="minorEastAsia"/>
          <w:kern w:val="0"/>
          <w:sz w:val="24"/>
        </w:rPr>
      </w:pPr>
    </w:p>
    <w:p>
      <w:pPr>
        <w:ind w:firstLine="480"/>
        <w:rPr>
          <w:rFonts w:cs="宋体" w:asciiTheme="minorEastAsia" w:hAnsiTheme="minorEastAsia" w:eastAsiaTheme="minorEastAsia"/>
          <w:kern w:val="0"/>
          <w:sz w:val="24"/>
        </w:rPr>
      </w:pPr>
      <w:r>
        <w:rPr>
          <w:rFonts w:hint="eastAsia" w:cs="宋体" w:asciiTheme="minorEastAsia" w:hAnsiTheme="minorEastAsia" w:eastAsiaTheme="minorEastAsia"/>
          <w:kern w:val="0"/>
          <w:sz w:val="24"/>
        </w:rPr>
        <w:t>我公司承诺</w:t>
      </w:r>
      <w:r>
        <w:rPr>
          <w:rFonts w:asciiTheme="minorEastAsia" w:hAnsiTheme="minorEastAsia" w:eastAsiaTheme="minorEastAsia"/>
          <w:sz w:val="24"/>
        </w:rPr>
        <w:t>具</w:t>
      </w:r>
      <w:r>
        <w:rPr>
          <w:rFonts w:hint="eastAsia" w:asciiTheme="minorEastAsia" w:hAnsiTheme="minorEastAsia" w:eastAsiaTheme="minorEastAsia"/>
          <w:sz w:val="24"/>
        </w:rPr>
        <w:t>备</w:t>
      </w:r>
      <w:r>
        <w:rPr>
          <w:rFonts w:asciiTheme="minorEastAsia" w:hAnsiTheme="minorEastAsia" w:eastAsiaTheme="minorEastAsia"/>
          <w:sz w:val="24"/>
        </w:rPr>
        <w:t>履行合同所必需的设备和专业技术能力</w:t>
      </w:r>
      <w:r>
        <w:rPr>
          <w:rFonts w:hint="eastAsia" w:cs="宋体" w:asciiTheme="minorEastAsia" w:hAnsiTheme="minorEastAsia" w:eastAsiaTheme="minorEastAsia"/>
          <w:kern w:val="0"/>
          <w:sz w:val="24"/>
        </w:rPr>
        <w:t>。</w:t>
      </w:r>
    </w:p>
    <w:p>
      <w:pPr>
        <w:ind w:firstLine="480"/>
        <w:rPr>
          <w:rFonts w:asciiTheme="minorEastAsia" w:hAnsiTheme="minorEastAsia" w:eastAsiaTheme="minorEastAsia"/>
          <w:b/>
          <w:sz w:val="24"/>
        </w:rPr>
      </w:pPr>
    </w:p>
    <w:p>
      <w:pPr>
        <w:ind w:firstLine="480"/>
        <w:rPr>
          <w:rFonts w:asciiTheme="minorEastAsia" w:hAnsiTheme="minorEastAsia" w:eastAsiaTheme="minorEastAsia"/>
          <w:b/>
          <w:sz w:val="24"/>
        </w:rPr>
      </w:pPr>
    </w:p>
    <w:p>
      <w:pPr>
        <w:ind w:firstLine="480"/>
        <w:rPr>
          <w:rFonts w:asciiTheme="minorEastAsia" w:hAnsiTheme="minorEastAsia" w:eastAsiaTheme="minorEastAsia"/>
          <w:b/>
          <w:sz w:val="24"/>
        </w:rPr>
      </w:pPr>
    </w:p>
    <w:p>
      <w:pPr>
        <w:spacing w:before="120" w:beforeLines="50" w:line="440" w:lineRule="exact"/>
        <w:ind w:left="-103" w:leftChars="-49" w:firstLine="616" w:firstLineChars="257"/>
        <w:rPr>
          <w:rFonts w:asciiTheme="minorEastAsia" w:hAnsiTheme="minorEastAsia" w:eastAsiaTheme="minorEastAsia"/>
          <w:sz w:val="24"/>
        </w:rPr>
      </w:pPr>
      <w:r>
        <w:rPr>
          <w:rFonts w:hint="eastAsia" w:asciiTheme="minorEastAsia" w:hAnsiTheme="minorEastAsia" w:eastAsiaTheme="minorEastAsia"/>
          <w:sz w:val="24"/>
        </w:rPr>
        <w:t>供应商：（公章）</w:t>
      </w:r>
    </w:p>
    <w:p>
      <w:pPr>
        <w:spacing w:before="120" w:beforeLines="50" w:line="440" w:lineRule="exact"/>
        <w:ind w:left="460" w:leftChars="219"/>
        <w:rPr>
          <w:rFonts w:asciiTheme="minorEastAsia" w:hAnsiTheme="minorEastAsia" w:eastAsiaTheme="minorEastAsia"/>
          <w:sz w:val="24"/>
        </w:rPr>
      </w:pPr>
      <w:r>
        <w:rPr>
          <w:rFonts w:asciiTheme="minorEastAsia" w:hAnsiTheme="minorEastAsia" w:eastAsiaTheme="minorEastAsia"/>
          <w:sz w:val="24"/>
        </w:rPr>
        <w:t>法定代表人或其授权代表：（</w:t>
      </w:r>
      <w:r>
        <w:rPr>
          <w:rFonts w:hint="eastAsia" w:asciiTheme="minorEastAsia" w:hAnsiTheme="minorEastAsia" w:eastAsiaTheme="minorEastAsia"/>
          <w:sz w:val="24"/>
        </w:rPr>
        <w:t>签字或加盖人名章</w:t>
      </w:r>
      <w:r>
        <w:rPr>
          <w:rFonts w:asciiTheme="minorEastAsia" w:hAnsiTheme="minorEastAsia" w:eastAsiaTheme="minorEastAsia"/>
          <w:sz w:val="24"/>
        </w:rPr>
        <w:t>）</w:t>
      </w:r>
    </w:p>
    <w:p>
      <w:pPr>
        <w:spacing w:before="120" w:beforeLines="50" w:line="440" w:lineRule="exact"/>
        <w:ind w:left="460" w:leftChars="219"/>
        <w:rPr>
          <w:rFonts w:asciiTheme="minorEastAsia" w:hAnsiTheme="minorEastAsia" w:eastAsiaTheme="minorEastAsia"/>
          <w:sz w:val="24"/>
        </w:rPr>
      </w:pPr>
      <w:r>
        <w:rPr>
          <w:rFonts w:asciiTheme="minorEastAsia" w:hAnsiTheme="minorEastAsia" w:eastAsiaTheme="minorEastAsia"/>
          <w:sz w:val="24"/>
        </w:rPr>
        <w:t>日期：</w:t>
      </w:r>
    </w:p>
    <w:p>
      <w:pPr>
        <w:ind w:right="280"/>
        <w:rPr>
          <w:rFonts w:asciiTheme="minorEastAsia" w:hAnsiTheme="minorEastAsia" w:eastAsiaTheme="minorEastAsia"/>
          <w:sz w:val="24"/>
        </w:rPr>
      </w:pPr>
    </w:p>
    <w:p>
      <w:pPr>
        <w:tabs>
          <w:tab w:val="left" w:pos="5580"/>
        </w:tabs>
        <w:spacing w:before="120" w:line="360" w:lineRule="auto"/>
        <w:rPr>
          <w:rFonts w:asciiTheme="minorEastAsia" w:hAnsiTheme="minorEastAsia" w:eastAsiaTheme="minorEastAsia"/>
          <w:sz w:val="24"/>
        </w:rPr>
      </w:pPr>
    </w:p>
    <w:p>
      <w:pPr>
        <w:tabs>
          <w:tab w:val="left" w:pos="5580"/>
        </w:tabs>
        <w:spacing w:before="120" w:line="360" w:lineRule="auto"/>
        <w:ind w:firstLine="480" w:firstLineChars="200"/>
        <w:rPr>
          <w:rFonts w:ascii="仿宋_GB2312" w:eastAsia="仿宋_GB2312"/>
          <w:sz w:val="24"/>
        </w:rPr>
      </w:pPr>
    </w:p>
    <w:p>
      <w:pPr>
        <w:tabs>
          <w:tab w:val="left" w:pos="5580"/>
        </w:tabs>
        <w:spacing w:before="120" w:line="360" w:lineRule="auto"/>
        <w:ind w:firstLine="480" w:firstLineChars="200"/>
        <w:rPr>
          <w:rFonts w:ascii="仿宋_GB2312" w:eastAsia="仿宋_GB2312"/>
          <w:sz w:val="24"/>
        </w:rPr>
      </w:pPr>
    </w:p>
    <w:p>
      <w:pPr>
        <w:tabs>
          <w:tab w:val="left" w:pos="993"/>
          <w:tab w:val="left" w:pos="1030"/>
          <w:tab w:val="left" w:pos="8364"/>
        </w:tabs>
        <w:snapToGrid w:val="0"/>
        <w:spacing w:after="120" w:afterLines="50"/>
        <w:ind w:left="420" w:right="-57" w:rightChars="-27" w:firstLine="480" w:firstLineChars="200"/>
        <w:jc w:val="left"/>
        <w:rPr>
          <w:rFonts w:ascii="仿宋_GB2312" w:eastAsia="仿宋_GB2312"/>
          <w:sz w:val="24"/>
        </w:rPr>
      </w:pPr>
    </w:p>
    <w:p>
      <w:pPr>
        <w:widowControl/>
        <w:jc w:val="left"/>
        <w:rPr>
          <w:rFonts w:ascii="仿宋_GB2312" w:hAnsi="宋体" w:eastAsia="仿宋_GB2312"/>
          <w:b/>
          <w:sz w:val="24"/>
        </w:rPr>
      </w:pPr>
      <w:r>
        <w:rPr>
          <w:rFonts w:ascii="仿宋_GB2312" w:hAnsi="宋体" w:eastAsia="仿宋_GB2312"/>
          <w:b/>
          <w:sz w:val="24"/>
        </w:rPr>
        <w:br w:type="page"/>
      </w:r>
    </w:p>
    <w:p>
      <w:pPr>
        <w:pStyle w:val="425"/>
        <w:numPr>
          <w:ilvl w:val="0"/>
          <w:numId w:val="22"/>
        </w:numPr>
        <w:ind w:firstLineChars="0"/>
        <w:jc w:val="left"/>
        <w:outlineLvl w:val="2"/>
        <w:rPr>
          <w:rFonts w:ascii="仿宋_GB2312" w:hAnsi="宋体" w:eastAsia="仿宋_GB2312"/>
          <w:b/>
          <w:sz w:val="24"/>
        </w:rPr>
      </w:pPr>
      <w:r>
        <w:rPr>
          <w:rFonts w:hint="eastAsia" w:ascii="仿宋_GB2312" w:hAnsi="宋体" w:eastAsia="仿宋_GB2312"/>
          <w:b/>
          <w:sz w:val="24"/>
        </w:rPr>
        <w:t>供应商参加政府采购活动前3年内在经营活动中没有重大违法记录的书面声明（格式）</w:t>
      </w:r>
    </w:p>
    <w:p>
      <w:pPr>
        <w:jc w:val="center"/>
        <w:rPr>
          <w:rFonts w:asciiTheme="minorEastAsia" w:hAnsiTheme="minorEastAsia" w:eastAsiaTheme="minorEastAsia"/>
          <w:sz w:val="24"/>
        </w:rPr>
      </w:pPr>
    </w:p>
    <w:p>
      <w:pPr>
        <w:jc w:val="center"/>
        <w:rPr>
          <w:rFonts w:asciiTheme="minorEastAsia" w:hAnsiTheme="minorEastAsia" w:eastAsiaTheme="minorEastAsia"/>
          <w:b/>
          <w:sz w:val="24"/>
        </w:rPr>
      </w:pPr>
      <w:r>
        <w:rPr>
          <w:rFonts w:hint="eastAsia" w:asciiTheme="minorEastAsia" w:hAnsiTheme="minorEastAsia" w:eastAsiaTheme="minorEastAsia"/>
          <w:b/>
          <w:sz w:val="24"/>
        </w:rPr>
        <w:t>声明函</w:t>
      </w:r>
    </w:p>
    <w:p>
      <w:pPr>
        <w:jc w:val="center"/>
        <w:rPr>
          <w:rFonts w:asciiTheme="minorEastAsia" w:hAnsiTheme="minorEastAsia" w:eastAsiaTheme="minorEastAsia"/>
          <w:sz w:val="24"/>
        </w:rPr>
      </w:pPr>
    </w:p>
    <w:p>
      <w:pPr>
        <w:tabs>
          <w:tab w:val="left" w:pos="5580"/>
        </w:tabs>
        <w:spacing w:before="120" w:line="360" w:lineRule="auto"/>
        <w:rPr>
          <w:rFonts w:asciiTheme="minorEastAsia" w:hAnsiTheme="minorEastAsia" w:eastAsiaTheme="minorEastAsia"/>
          <w:sz w:val="24"/>
        </w:rPr>
      </w:pPr>
      <w:r>
        <w:rPr>
          <w:rFonts w:hint="eastAsia" w:asciiTheme="minorEastAsia" w:hAnsiTheme="minorEastAsia" w:eastAsiaTheme="minorEastAsia"/>
          <w:sz w:val="24"/>
        </w:rPr>
        <w:t>致：</w:t>
      </w:r>
      <w:r>
        <w:rPr>
          <w:rFonts w:hint="eastAsia" w:asciiTheme="minorEastAsia" w:hAnsiTheme="minorEastAsia" w:eastAsiaTheme="minorEastAsia"/>
          <w:sz w:val="24"/>
          <w:u w:val="single"/>
        </w:rPr>
        <w:t xml:space="preserve">   （采购人）  </w:t>
      </w:r>
    </w:p>
    <w:p>
      <w:pPr>
        <w:tabs>
          <w:tab w:val="left" w:pos="5580"/>
        </w:tabs>
        <w:spacing w:before="120" w:line="360" w:lineRule="auto"/>
        <w:ind w:firstLine="480" w:firstLineChars="200"/>
        <w:rPr>
          <w:rFonts w:asciiTheme="minorEastAsia" w:hAnsiTheme="minorEastAsia" w:eastAsiaTheme="minorEastAsia"/>
          <w:sz w:val="24"/>
        </w:rPr>
      </w:pPr>
    </w:p>
    <w:p>
      <w:pPr>
        <w:tabs>
          <w:tab w:val="left" w:pos="5580"/>
        </w:tabs>
        <w:spacing w:before="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我公司郑重承诺在参加本项目政府采购活动前三年内，在经营活动中无重大违法记录。公司未受到行政处罚或责令停业、吊销许可证（或执照）；未处于财产被接管、冻结、破产状况。</w:t>
      </w:r>
    </w:p>
    <w:p>
      <w:pPr>
        <w:tabs>
          <w:tab w:val="left" w:pos="5580"/>
        </w:tabs>
        <w:spacing w:before="120"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特此声明。</w:t>
      </w:r>
    </w:p>
    <w:p>
      <w:pPr>
        <w:tabs>
          <w:tab w:val="left" w:pos="5580"/>
        </w:tabs>
        <w:spacing w:before="120" w:line="360" w:lineRule="auto"/>
        <w:ind w:firstLine="480" w:firstLineChars="200"/>
        <w:rPr>
          <w:rFonts w:asciiTheme="minorEastAsia" w:hAnsiTheme="minorEastAsia" w:eastAsiaTheme="minorEastAsia"/>
          <w:sz w:val="24"/>
        </w:rPr>
      </w:pPr>
    </w:p>
    <w:p>
      <w:pPr>
        <w:tabs>
          <w:tab w:val="left" w:pos="5580"/>
        </w:tabs>
        <w:spacing w:before="120" w:line="360" w:lineRule="auto"/>
        <w:ind w:firstLine="480" w:firstLineChars="200"/>
        <w:rPr>
          <w:rFonts w:asciiTheme="minorEastAsia" w:hAnsiTheme="minorEastAsia" w:eastAsiaTheme="minorEastAsia"/>
          <w:sz w:val="24"/>
        </w:rPr>
      </w:pPr>
    </w:p>
    <w:p>
      <w:pPr>
        <w:tabs>
          <w:tab w:val="left" w:pos="5580"/>
        </w:tabs>
        <w:spacing w:before="120" w:line="360" w:lineRule="auto"/>
        <w:ind w:firstLine="480" w:firstLineChars="200"/>
        <w:rPr>
          <w:rFonts w:asciiTheme="minorEastAsia" w:hAnsiTheme="minorEastAsia" w:eastAsiaTheme="minorEastAsia"/>
          <w:sz w:val="24"/>
        </w:rPr>
      </w:pPr>
    </w:p>
    <w:p>
      <w:pPr>
        <w:pStyle w:val="39"/>
        <w:spacing w:line="360" w:lineRule="auto"/>
        <w:rPr>
          <w:rFonts w:asciiTheme="minorEastAsia" w:hAnsiTheme="minorEastAsia" w:eastAsiaTheme="minorEastAsia"/>
          <w:sz w:val="24"/>
        </w:rPr>
      </w:pPr>
      <w:r>
        <w:rPr>
          <w:rFonts w:hint="eastAsia" w:asciiTheme="minorEastAsia" w:hAnsiTheme="minorEastAsia" w:eastAsiaTheme="minorEastAsia"/>
          <w:sz w:val="24"/>
        </w:rPr>
        <w:t>供应商授权代表（签字或加盖人名章</w:t>
      </w:r>
      <w:r>
        <w:rPr>
          <w:rFonts w:hAnsi="宋体"/>
        </w:rPr>
        <w:t>）</w:t>
      </w:r>
      <w:r>
        <w:rPr>
          <w:rFonts w:hint="eastAsia" w:asciiTheme="minorEastAsia" w:hAnsiTheme="minorEastAsia" w:eastAsiaTheme="minorEastAsia"/>
          <w:sz w:val="24"/>
        </w:rPr>
        <w:t>：____________________________</w:t>
      </w:r>
    </w:p>
    <w:p>
      <w:pPr>
        <w:pStyle w:val="39"/>
        <w:spacing w:line="360" w:lineRule="auto"/>
        <w:rPr>
          <w:rFonts w:asciiTheme="minorEastAsia" w:hAnsiTheme="minorEastAsia" w:eastAsiaTheme="minorEastAsia"/>
          <w:sz w:val="24"/>
          <w:u w:val="single"/>
        </w:rPr>
      </w:pPr>
      <w:r>
        <w:rPr>
          <w:rFonts w:hint="eastAsia" w:asciiTheme="minorEastAsia" w:hAnsiTheme="minorEastAsia" w:eastAsiaTheme="minorEastAsia"/>
          <w:sz w:val="24"/>
        </w:rPr>
        <w:t>供应商(盖章)：</w:t>
      </w:r>
      <w:r>
        <w:rPr>
          <w:rFonts w:asciiTheme="minorEastAsia" w:hAnsiTheme="minorEastAsia" w:eastAsiaTheme="minorEastAsia"/>
          <w:sz w:val="24"/>
          <w:u w:val="single"/>
        </w:rPr>
        <w:tab/>
      </w:r>
      <w:r>
        <w:rPr>
          <w:rFonts w:asciiTheme="minorEastAsia" w:hAnsiTheme="minorEastAsia" w:eastAsiaTheme="minorEastAsia"/>
          <w:sz w:val="24"/>
          <w:u w:val="single"/>
        </w:rPr>
        <w:tab/>
      </w:r>
    </w:p>
    <w:p>
      <w:pPr>
        <w:pStyle w:val="39"/>
        <w:spacing w:line="360" w:lineRule="auto"/>
        <w:rPr>
          <w:rFonts w:asciiTheme="minorEastAsia" w:hAnsiTheme="minorEastAsia" w:eastAsiaTheme="minorEastAsia"/>
          <w:sz w:val="24"/>
        </w:rPr>
      </w:pPr>
      <w:r>
        <w:rPr>
          <w:rFonts w:hint="eastAsia" w:asciiTheme="minorEastAsia" w:hAnsiTheme="minorEastAsia" w:eastAsiaTheme="minorEastAsia"/>
          <w:sz w:val="24"/>
        </w:rPr>
        <w:t xml:space="preserve">日期：  </w:t>
      </w:r>
      <w:r>
        <w:rPr>
          <w:rFonts w:asciiTheme="minorEastAsia" w:hAnsiTheme="minorEastAsia" w:eastAsiaTheme="minorEastAsia"/>
          <w:sz w:val="24"/>
          <w:u w:val="single"/>
        </w:rPr>
        <w:br w:type="page"/>
      </w:r>
    </w:p>
    <w:p>
      <w:pPr>
        <w:pStyle w:val="425"/>
        <w:numPr>
          <w:ilvl w:val="0"/>
          <w:numId w:val="22"/>
        </w:numPr>
        <w:ind w:firstLineChars="0"/>
        <w:jc w:val="left"/>
        <w:outlineLvl w:val="2"/>
        <w:rPr>
          <w:rFonts w:ascii="仿宋_GB2312" w:hAnsi="宋体" w:eastAsia="仿宋_GB2312"/>
          <w:b/>
          <w:sz w:val="24"/>
        </w:rPr>
      </w:pPr>
      <w:r>
        <w:rPr>
          <w:rFonts w:hint="eastAsia" w:ascii="仿宋_GB2312" w:hAnsi="宋体" w:eastAsia="仿宋_GB2312"/>
          <w:b/>
          <w:sz w:val="24"/>
        </w:rPr>
        <w:t>供应商控股股东名称、控股公司的名称和存在管理、被管理关系的单位名称说明</w:t>
      </w:r>
    </w:p>
    <w:p>
      <w:pPr>
        <w:ind w:firstLine="420"/>
        <w:rPr>
          <w:rFonts w:ascii="宋体" w:hAnsi="宋体"/>
          <w:szCs w:val="21"/>
        </w:rPr>
      </w:pPr>
    </w:p>
    <w:p>
      <w:pPr>
        <w:spacing w:line="360" w:lineRule="auto"/>
        <w:rPr>
          <w:rFonts w:ascii="宋体" w:hAnsi="宋体"/>
          <w:szCs w:val="21"/>
        </w:rPr>
      </w:pPr>
      <w:r>
        <w:rPr>
          <w:rFonts w:ascii="宋体" w:hAnsi="宋体"/>
          <w:szCs w:val="21"/>
        </w:rPr>
        <w:t>致：</w:t>
      </w:r>
    </w:p>
    <w:p>
      <w:pPr>
        <w:ind w:firstLine="426"/>
        <w:rPr>
          <w:rFonts w:ascii="宋体" w:hAnsi="Courier New" w:cs="Courier New"/>
          <w:sz w:val="24"/>
        </w:rPr>
      </w:pPr>
      <w:r>
        <w:rPr>
          <w:rFonts w:hint="eastAsia" w:ascii="宋体" w:hAnsi="Courier New" w:cs="Courier New"/>
          <w:sz w:val="24"/>
        </w:rPr>
        <w:t>与我方的法定代表人（单位负责人）为同一人的企业如下：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我方的控股股东如下：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我方直接控股的企业如下：</w:t>
      </w:r>
    </w:p>
    <w:p>
      <w:pPr>
        <w:ind w:firstLine="426"/>
        <w:rPr>
          <w:rFonts w:ascii="宋体" w:hAnsi="Courier New" w:cs="Courier New"/>
          <w:sz w:val="24"/>
        </w:rPr>
      </w:pPr>
    </w:p>
    <w:p>
      <w:pPr>
        <w:ind w:firstLine="426"/>
        <w:rPr>
          <w:rFonts w:ascii="宋体" w:hAnsi="Courier New" w:cs="Courier New"/>
          <w:sz w:val="24"/>
        </w:rPr>
      </w:pPr>
      <w:r>
        <w:rPr>
          <w:rFonts w:hint="eastAsia" w:ascii="宋体" w:hAnsi="Courier New" w:cs="Courier New"/>
          <w:sz w:val="24"/>
        </w:rPr>
        <w:t>与我方存在管理、被管理关系的单位名称如下：</w:t>
      </w:r>
    </w:p>
    <w:p>
      <w:pPr>
        <w:ind w:firstLine="426"/>
        <w:rPr>
          <w:rFonts w:ascii="宋体" w:hAnsi="Courier New" w:cs="Courier New"/>
          <w:sz w:val="24"/>
        </w:rPr>
      </w:pPr>
    </w:p>
    <w:p>
      <w:pPr>
        <w:ind w:firstLine="426"/>
        <w:rPr>
          <w:rFonts w:ascii="宋体" w:hAnsi="宋体"/>
          <w:szCs w:val="21"/>
        </w:rPr>
      </w:pPr>
    </w:p>
    <w:p>
      <w:pPr>
        <w:spacing w:line="360" w:lineRule="auto"/>
        <w:ind w:firstLine="426"/>
        <w:rPr>
          <w:rFonts w:ascii="宋体" w:hAnsi="宋体"/>
          <w:szCs w:val="21"/>
        </w:rPr>
      </w:pPr>
      <w:r>
        <w:rPr>
          <w:rFonts w:ascii="宋体" w:hAnsi="宋体"/>
          <w:szCs w:val="21"/>
        </w:rPr>
        <w:t xml:space="preserve">供应商名称（公章）： </w:t>
      </w:r>
    </w:p>
    <w:p>
      <w:pPr>
        <w:spacing w:line="360" w:lineRule="auto"/>
        <w:ind w:firstLine="420"/>
        <w:rPr>
          <w:rFonts w:ascii="宋体" w:hAnsi="宋体"/>
          <w:szCs w:val="21"/>
        </w:rPr>
      </w:pPr>
      <w:r>
        <w:rPr>
          <w:rFonts w:ascii="宋体" w:hAnsi="宋体"/>
          <w:szCs w:val="21"/>
        </w:rPr>
        <w:t>法定代表人或其授权代表（</w:t>
      </w:r>
      <w:r>
        <w:rPr>
          <w:rFonts w:hint="eastAsia" w:ascii="宋体" w:hAnsi="宋体"/>
          <w:szCs w:val="21"/>
        </w:rPr>
        <w:t>签字或加盖人名章</w:t>
      </w:r>
      <w:r>
        <w:rPr>
          <w:rFonts w:ascii="宋体" w:hAnsi="宋体"/>
          <w:szCs w:val="21"/>
        </w:rPr>
        <w:t>）：</w:t>
      </w:r>
    </w:p>
    <w:p>
      <w:pPr>
        <w:spacing w:line="360" w:lineRule="auto"/>
        <w:ind w:firstLine="420" w:firstLineChars="200"/>
        <w:rPr>
          <w:rFonts w:ascii="宋体" w:hAnsi="宋体"/>
          <w:szCs w:val="21"/>
        </w:rPr>
      </w:pPr>
      <w:r>
        <w:rPr>
          <w:rFonts w:ascii="宋体" w:hAnsi="宋体"/>
          <w:szCs w:val="21"/>
        </w:rPr>
        <w:t>日    期：     年   月    日</w:t>
      </w:r>
    </w:p>
    <w:p>
      <w:pPr>
        <w:spacing w:line="360" w:lineRule="auto"/>
        <w:ind w:firstLine="420" w:firstLineChars="200"/>
        <w:rPr>
          <w:rFonts w:ascii="宋体" w:hAnsi="宋体"/>
          <w:szCs w:val="21"/>
        </w:rPr>
      </w:pPr>
      <w:r>
        <w:rPr>
          <w:rFonts w:ascii="宋体" w:hAnsi="宋体"/>
          <w:szCs w:val="21"/>
        </w:rPr>
        <w:br w:type="page"/>
      </w:r>
    </w:p>
    <w:p>
      <w:pPr>
        <w:pStyle w:val="425"/>
        <w:numPr>
          <w:ilvl w:val="0"/>
          <w:numId w:val="22"/>
        </w:numPr>
        <w:ind w:firstLineChars="0"/>
        <w:jc w:val="left"/>
        <w:outlineLvl w:val="2"/>
        <w:rPr>
          <w:rFonts w:ascii="仿宋_GB2312" w:hAnsi="宋体" w:eastAsia="仿宋_GB2312"/>
          <w:b/>
          <w:sz w:val="24"/>
        </w:rPr>
      </w:pPr>
      <w:r>
        <w:rPr>
          <w:rFonts w:hint="eastAsia" w:ascii="仿宋_GB2312" w:hAnsi="宋体" w:eastAsia="仿宋_GB2312"/>
          <w:b/>
          <w:sz w:val="24"/>
        </w:rPr>
        <w:t>供应商是否属于为采购项目提供整体设计、规范编制或者项目管理、监理、检测等服务的供应商声明</w:t>
      </w:r>
    </w:p>
    <w:p>
      <w:pPr>
        <w:ind w:firstLine="420"/>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ascii="宋体" w:hAnsi="宋体"/>
          <w:szCs w:val="21"/>
        </w:rPr>
        <w:t>致：</w:t>
      </w:r>
    </w:p>
    <w:p>
      <w:pPr>
        <w:ind w:firstLine="426"/>
        <w:rPr>
          <w:rFonts w:ascii="宋体" w:hAnsi="Courier New" w:cs="Courier New"/>
          <w:sz w:val="24"/>
        </w:rPr>
      </w:pPr>
      <w:r>
        <w:rPr>
          <w:rFonts w:hint="eastAsia" w:ascii="宋体" w:hAnsi="Courier New" w:cs="Courier New"/>
          <w:sz w:val="24"/>
        </w:rPr>
        <w:t xml:space="preserve">我方 </w:t>
      </w:r>
      <w:r>
        <w:rPr>
          <w:rFonts w:hint="eastAsia" w:ascii="宋体" w:hAnsi="Courier New" w:cs="Courier New"/>
          <w:i/>
          <w:iCs/>
          <w:sz w:val="24"/>
        </w:rPr>
        <w:t>属于</w:t>
      </w:r>
      <w:r>
        <w:rPr>
          <w:rFonts w:ascii="宋体" w:hAnsi="Courier New" w:cs="Courier New"/>
          <w:i/>
          <w:iCs/>
          <w:sz w:val="24"/>
        </w:rPr>
        <w:t>/</w:t>
      </w:r>
      <w:r>
        <w:rPr>
          <w:rFonts w:hint="eastAsia" w:ascii="宋体" w:hAnsi="Courier New" w:cs="Courier New"/>
          <w:i/>
          <w:iCs/>
          <w:sz w:val="24"/>
        </w:rPr>
        <w:t>不属于</w:t>
      </w:r>
      <w:r>
        <w:rPr>
          <w:rFonts w:hint="eastAsia" w:ascii="宋体" w:hAnsi="Courier New" w:cs="Courier New"/>
          <w:sz w:val="24"/>
        </w:rPr>
        <w:t xml:space="preserve"> 为采购项目提供整体设计、规范编制或者项目管理、监理、检测等服务的供应商。</w:t>
      </w:r>
    </w:p>
    <w:p>
      <w:pPr>
        <w:ind w:firstLine="426"/>
        <w:rPr>
          <w:rFonts w:ascii="宋体" w:hAnsi="Courier New" w:cs="Courier New"/>
          <w:sz w:val="24"/>
        </w:rPr>
      </w:pPr>
    </w:p>
    <w:p>
      <w:pPr>
        <w:ind w:firstLine="426"/>
        <w:rPr>
          <w:rFonts w:ascii="宋体" w:hAnsi="宋体"/>
          <w:szCs w:val="21"/>
        </w:rPr>
      </w:pPr>
    </w:p>
    <w:p>
      <w:pPr>
        <w:spacing w:line="360" w:lineRule="auto"/>
        <w:ind w:firstLine="426"/>
        <w:rPr>
          <w:rFonts w:ascii="宋体" w:hAnsi="宋体"/>
          <w:szCs w:val="21"/>
        </w:rPr>
      </w:pPr>
      <w:r>
        <w:rPr>
          <w:rFonts w:ascii="宋体" w:hAnsi="宋体"/>
          <w:szCs w:val="21"/>
        </w:rPr>
        <w:t xml:space="preserve">供应商名称（公章）： </w:t>
      </w:r>
    </w:p>
    <w:p>
      <w:pPr>
        <w:spacing w:line="360" w:lineRule="auto"/>
        <w:ind w:firstLine="420"/>
        <w:rPr>
          <w:rFonts w:ascii="宋体" w:hAnsi="宋体"/>
          <w:szCs w:val="21"/>
        </w:rPr>
      </w:pPr>
      <w:r>
        <w:rPr>
          <w:rFonts w:ascii="宋体" w:hAnsi="宋体"/>
          <w:szCs w:val="21"/>
        </w:rPr>
        <w:t>法定代表人或其授权代表（</w:t>
      </w:r>
      <w:r>
        <w:rPr>
          <w:rFonts w:hint="eastAsia" w:ascii="宋体" w:hAnsi="宋体"/>
          <w:szCs w:val="21"/>
        </w:rPr>
        <w:t>签字或加盖人名章</w:t>
      </w:r>
      <w:r>
        <w:rPr>
          <w:rFonts w:ascii="宋体" w:hAnsi="宋体"/>
          <w:szCs w:val="21"/>
        </w:rPr>
        <w:t>）：</w:t>
      </w:r>
    </w:p>
    <w:p>
      <w:pPr>
        <w:spacing w:line="360" w:lineRule="auto"/>
        <w:ind w:firstLine="420" w:firstLineChars="200"/>
        <w:rPr>
          <w:rFonts w:ascii="宋体" w:hAnsi="宋体"/>
          <w:szCs w:val="21"/>
        </w:rPr>
      </w:pPr>
      <w:r>
        <w:rPr>
          <w:rFonts w:ascii="宋体" w:hAnsi="宋体"/>
          <w:szCs w:val="21"/>
        </w:rPr>
        <w:t xml:space="preserve">日    期：     年   月    </w:t>
      </w:r>
      <w:r>
        <w:rPr>
          <w:rFonts w:hint="eastAsia" w:ascii="宋体" w:hAnsi="宋体"/>
          <w:szCs w:val="21"/>
        </w:rPr>
        <w:t>日</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widowControl/>
        <w:jc w:val="left"/>
        <w:rPr>
          <w:rFonts w:ascii="Cambria" w:hAnsi="Cambria"/>
          <w:b/>
          <w:bCs/>
          <w:sz w:val="24"/>
        </w:rPr>
      </w:pPr>
    </w:p>
    <w:p>
      <w:pPr>
        <w:pStyle w:val="2"/>
        <w:rPr>
          <w:rFonts w:ascii="Cambria" w:hAnsi="Cambria"/>
          <w:sz w:val="24"/>
        </w:rPr>
      </w:pPr>
    </w:p>
    <w:p>
      <w:pPr>
        <w:rPr>
          <w:rFonts w:ascii="Cambria" w:hAnsi="Cambria"/>
          <w:b/>
          <w:bCs/>
          <w:sz w:val="24"/>
        </w:rPr>
      </w:pPr>
    </w:p>
    <w:p>
      <w:pPr>
        <w:pStyle w:val="2"/>
        <w:rPr>
          <w:rFonts w:ascii="Cambria" w:hAnsi="Cambria"/>
          <w:sz w:val="24"/>
        </w:rPr>
      </w:pPr>
    </w:p>
    <w:p/>
    <w:p>
      <w:pPr>
        <w:pStyle w:val="425"/>
        <w:numPr>
          <w:ilvl w:val="0"/>
          <w:numId w:val="24"/>
        </w:numPr>
        <w:spacing w:line="360" w:lineRule="auto"/>
        <w:ind w:firstLineChars="0"/>
        <w:outlineLvl w:val="1"/>
        <w:rPr>
          <w:bCs/>
          <w:sz w:val="24"/>
        </w:rPr>
      </w:pPr>
      <w:bookmarkStart w:id="168" w:name="_Toc27603"/>
      <w:bookmarkStart w:id="169" w:name="_Toc6776"/>
      <w:r>
        <w:rPr>
          <w:bCs/>
          <w:sz w:val="24"/>
        </w:rPr>
        <w:t>供应商</w:t>
      </w:r>
      <w:r>
        <w:rPr>
          <w:rFonts w:hint="eastAsia"/>
          <w:bCs/>
          <w:sz w:val="24"/>
        </w:rPr>
        <w:t>服务</w:t>
      </w:r>
      <w:r>
        <w:rPr>
          <w:bCs/>
          <w:sz w:val="24"/>
        </w:rPr>
        <w:t>业绩</w:t>
      </w:r>
      <w:r>
        <w:rPr>
          <w:rFonts w:hint="eastAsia"/>
          <w:bCs/>
          <w:sz w:val="24"/>
        </w:rPr>
        <w:t>一览</w:t>
      </w:r>
      <w:r>
        <w:rPr>
          <w:bCs/>
          <w:sz w:val="24"/>
        </w:rPr>
        <w:t>表</w:t>
      </w:r>
      <w:bookmarkEnd w:id="168"/>
      <w:bookmarkEnd w:id="169"/>
    </w:p>
    <w:p>
      <w:pPr>
        <w:jc w:val="center"/>
        <w:rPr>
          <w:rFonts w:ascii="仿宋_GB2312" w:hAnsi="宋体" w:eastAsia="仿宋_GB2312"/>
          <w:b/>
          <w:sz w:val="24"/>
        </w:rPr>
      </w:pPr>
    </w:p>
    <w:p/>
    <w:tbl>
      <w:tblPr>
        <w:tblStyle w:val="73"/>
        <w:tblW w:w="12863"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095"/>
        <w:gridCol w:w="3731"/>
        <w:gridCol w:w="1454"/>
        <w:gridCol w:w="2234"/>
        <w:gridCol w:w="2104"/>
        <w:gridCol w:w="124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25" w:hRule="atLeast"/>
          <w:jc w:val="center"/>
        </w:trPr>
        <w:tc>
          <w:tcPr>
            <w:tcW w:w="2095" w:type="dxa"/>
            <w:vAlign w:val="center"/>
          </w:tcPr>
          <w:p>
            <w:pPr>
              <w:ind w:left="-27" w:leftChars="-13"/>
              <w:jc w:val="center"/>
              <w:rPr>
                <w:rFonts w:ascii="宋体" w:hAnsi="宋体"/>
                <w:sz w:val="24"/>
              </w:rPr>
            </w:pPr>
            <w:r>
              <w:rPr>
                <w:rFonts w:hint="eastAsia" w:ascii="宋体" w:hAnsi="宋体"/>
                <w:sz w:val="24"/>
              </w:rPr>
              <w:t>年份</w:t>
            </w:r>
          </w:p>
        </w:tc>
        <w:tc>
          <w:tcPr>
            <w:tcW w:w="3731" w:type="dxa"/>
            <w:vAlign w:val="center"/>
          </w:tcPr>
          <w:p>
            <w:pPr>
              <w:jc w:val="center"/>
              <w:rPr>
                <w:rFonts w:ascii="宋体" w:hAnsi="宋体"/>
                <w:sz w:val="24"/>
              </w:rPr>
            </w:pPr>
            <w:r>
              <w:rPr>
                <w:rFonts w:hint="eastAsia" w:ascii="宋体" w:hAnsi="宋体"/>
                <w:sz w:val="24"/>
              </w:rPr>
              <w:t>合同名称</w:t>
            </w:r>
          </w:p>
        </w:tc>
        <w:tc>
          <w:tcPr>
            <w:tcW w:w="1454" w:type="dxa"/>
            <w:vAlign w:val="center"/>
          </w:tcPr>
          <w:p>
            <w:pPr>
              <w:jc w:val="center"/>
              <w:rPr>
                <w:rFonts w:ascii="宋体" w:hAnsi="宋体"/>
                <w:sz w:val="24"/>
              </w:rPr>
            </w:pPr>
            <w:r>
              <w:rPr>
                <w:rFonts w:hint="eastAsia" w:ascii="宋体" w:hAnsi="宋体"/>
                <w:sz w:val="24"/>
              </w:rPr>
              <w:t>合同总价</w:t>
            </w:r>
          </w:p>
        </w:tc>
        <w:tc>
          <w:tcPr>
            <w:tcW w:w="2234" w:type="dxa"/>
            <w:vAlign w:val="center"/>
          </w:tcPr>
          <w:p>
            <w:pPr>
              <w:jc w:val="center"/>
              <w:rPr>
                <w:rFonts w:ascii="宋体" w:hAnsi="宋体"/>
                <w:sz w:val="24"/>
              </w:rPr>
            </w:pPr>
            <w:r>
              <w:rPr>
                <w:rFonts w:hint="eastAsia" w:ascii="宋体" w:hAnsi="宋体"/>
                <w:sz w:val="24"/>
              </w:rPr>
              <w:t>使用单位名称</w:t>
            </w:r>
          </w:p>
        </w:tc>
        <w:tc>
          <w:tcPr>
            <w:tcW w:w="2104" w:type="dxa"/>
            <w:vAlign w:val="center"/>
          </w:tcPr>
          <w:p>
            <w:pPr>
              <w:jc w:val="center"/>
              <w:rPr>
                <w:rFonts w:ascii="宋体" w:hAnsi="宋体"/>
                <w:sz w:val="24"/>
              </w:rPr>
            </w:pPr>
            <w:r>
              <w:rPr>
                <w:rFonts w:hint="eastAsia" w:ascii="宋体" w:hAnsi="宋体"/>
                <w:sz w:val="24"/>
              </w:rPr>
              <w:t>使用单位联系人及电话</w:t>
            </w:r>
          </w:p>
        </w:tc>
        <w:tc>
          <w:tcPr>
            <w:tcW w:w="1245" w:type="dxa"/>
            <w:vAlign w:val="center"/>
          </w:tcPr>
          <w:p>
            <w:pPr>
              <w:jc w:val="center"/>
              <w:rPr>
                <w:rFonts w:ascii="宋体" w:hAnsi="宋体"/>
                <w:sz w:val="24"/>
              </w:rPr>
            </w:pPr>
            <w:r>
              <w:rPr>
                <w:rFonts w:ascii="宋体" w:hAnsi="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95" w:type="dxa"/>
            <w:vAlign w:val="center"/>
          </w:tcPr>
          <w:p>
            <w:pPr>
              <w:jc w:val="center"/>
              <w:rPr>
                <w:rFonts w:ascii="宋体" w:hAnsi="宋体"/>
                <w:sz w:val="24"/>
              </w:rPr>
            </w:pPr>
            <w:r>
              <w:rPr>
                <w:rFonts w:hint="eastAsia" w:ascii="宋体" w:hAnsi="宋体"/>
                <w:sz w:val="24"/>
              </w:rPr>
              <w:t>20  年</w:t>
            </w:r>
          </w:p>
        </w:tc>
        <w:tc>
          <w:tcPr>
            <w:tcW w:w="3731" w:type="dxa"/>
            <w:vAlign w:val="center"/>
          </w:tcPr>
          <w:p>
            <w:pPr>
              <w:jc w:val="center"/>
              <w:rPr>
                <w:rFonts w:ascii="宋体" w:hAnsi="宋体"/>
                <w:sz w:val="24"/>
              </w:rPr>
            </w:pPr>
          </w:p>
        </w:tc>
        <w:tc>
          <w:tcPr>
            <w:tcW w:w="1454" w:type="dxa"/>
            <w:vAlign w:val="center"/>
          </w:tcPr>
          <w:p>
            <w:pPr>
              <w:jc w:val="center"/>
              <w:rPr>
                <w:rFonts w:ascii="宋体" w:hAnsi="宋体"/>
                <w:sz w:val="24"/>
              </w:rPr>
            </w:pPr>
          </w:p>
        </w:tc>
        <w:tc>
          <w:tcPr>
            <w:tcW w:w="2234" w:type="dxa"/>
            <w:vAlign w:val="center"/>
          </w:tcPr>
          <w:p>
            <w:pPr>
              <w:jc w:val="center"/>
              <w:rPr>
                <w:rFonts w:ascii="宋体" w:hAnsi="宋体"/>
                <w:sz w:val="24"/>
              </w:rPr>
            </w:pPr>
          </w:p>
        </w:tc>
        <w:tc>
          <w:tcPr>
            <w:tcW w:w="2104" w:type="dxa"/>
            <w:vAlign w:val="center"/>
          </w:tcPr>
          <w:p>
            <w:pPr>
              <w:jc w:val="center"/>
              <w:rPr>
                <w:rFonts w:ascii="宋体" w:hAnsi="宋体"/>
                <w:sz w:val="24"/>
              </w:rPr>
            </w:pPr>
          </w:p>
        </w:tc>
        <w:tc>
          <w:tcPr>
            <w:tcW w:w="124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95" w:type="dxa"/>
            <w:vAlign w:val="center"/>
          </w:tcPr>
          <w:p>
            <w:pPr>
              <w:jc w:val="center"/>
              <w:rPr>
                <w:rFonts w:ascii="宋体" w:hAnsi="宋体"/>
                <w:sz w:val="24"/>
              </w:rPr>
            </w:pPr>
          </w:p>
        </w:tc>
        <w:tc>
          <w:tcPr>
            <w:tcW w:w="3731" w:type="dxa"/>
            <w:vAlign w:val="center"/>
          </w:tcPr>
          <w:p>
            <w:pPr>
              <w:jc w:val="center"/>
              <w:rPr>
                <w:rFonts w:ascii="宋体" w:hAnsi="宋体"/>
                <w:sz w:val="24"/>
              </w:rPr>
            </w:pPr>
          </w:p>
        </w:tc>
        <w:tc>
          <w:tcPr>
            <w:tcW w:w="1454" w:type="dxa"/>
            <w:vAlign w:val="center"/>
          </w:tcPr>
          <w:p>
            <w:pPr>
              <w:jc w:val="center"/>
              <w:rPr>
                <w:rFonts w:ascii="宋体" w:hAnsi="宋体"/>
                <w:sz w:val="24"/>
              </w:rPr>
            </w:pPr>
          </w:p>
        </w:tc>
        <w:tc>
          <w:tcPr>
            <w:tcW w:w="2234" w:type="dxa"/>
            <w:vAlign w:val="center"/>
          </w:tcPr>
          <w:p>
            <w:pPr>
              <w:jc w:val="center"/>
              <w:rPr>
                <w:rFonts w:ascii="宋体" w:hAnsi="宋体"/>
                <w:sz w:val="24"/>
              </w:rPr>
            </w:pPr>
          </w:p>
        </w:tc>
        <w:tc>
          <w:tcPr>
            <w:tcW w:w="2104" w:type="dxa"/>
            <w:vAlign w:val="center"/>
          </w:tcPr>
          <w:p>
            <w:pPr>
              <w:jc w:val="center"/>
              <w:rPr>
                <w:rFonts w:ascii="宋体" w:hAnsi="宋体"/>
                <w:sz w:val="24"/>
              </w:rPr>
            </w:pPr>
          </w:p>
        </w:tc>
        <w:tc>
          <w:tcPr>
            <w:tcW w:w="124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95" w:type="dxa"/>
            <w:vAlign w:val="center"/>
          </w:tcPr>
          <w:p>
            <w:pPr>
              <w:jc w:val="center"/>
              <w:rPr>
                <w:rFonts w:ascii="宋体" w:hAnsi="宋体"/>
                <w:sz w:val="24"/>
              </w:rPr>
            </w:pPr>
            <w:r>
              <w:rPr>
                <w:rFonts w:hint="eastAsia" w:ascii="宋体" w:hAnsi="宋体"/>
                <w:sz w:val="24"/>
              </w:rPr>
              <w:t>20  年</w:t>
            </w:r>
          </w:p>
        </w:tc>
        <w:tc>
          <w:tcPr>
            <w:tcW w:w="3731" w:type="dxa"/>
            <w:vAlign w:val="center"/>
          </w:tcPr>
          <w:p>
            <w:pPr>
              <w:jc w:val="center"/>
              <w:rPr>
                <w:rFonts w:ascii="宋体" w:hAnsi="宋体"/>
                <w:sz w:val="24"/>
              </w:rPr>
            </w:pPr>
          </w:p>
        </w:tc>
        <w:tc>
          <w:tcPr>
            <w:tcW w:w="1454" w:type="dxa"/>
            <w:vAlign w:val="center"/>
          </w:tcPr>
          <w:p>
            <w:pPr>
              <w:jc w:val="center"/>
              <w:rPr>
                <w:rFonts w:ascii="宋体" w:hAnsi="宋体"/>
                <w:sz w:val="24"/>
              </w:rPr>
            </w:pPr>
          </w:p>
        </w:tc>
        <w:tc>
          <w:tcPr>
            <w:tcW w:w="2234" w:type="dxa"/>
            <w:vAlign w:val="center"/>
          </w:tcPr>
          <w:p>
            <w:pPr>
              <w:jc w:val="center"/>
              <w:rPr>
                <w:rFonts w:ascii="宋体" w:hAnsi="宋体"/>
                <w:sz w:val="24"/>
              </w:rPr>
            </w:pPr>
          </w:p>
        </w:tc>
        <w:tc>
          <w:tcPr>
            <w:tcW w:w="2104" w:type="dxa"/>
            <w:vAlign w:val="center"/>
          </w:tcPr>
          <w:p>
            <w:pPr>
              <w:jc w:val="center"/>
              <w:rPr>
                <w:rFonts w:ascii="宋体" w:hAnsi="宋体"/>
                <w:sz w:val="24"/>
              </w:rPr>
            </w:pPr>
          </w:p>
        </w:tc>
        <w:tc>
          <w:tcPr>
            <w:tcW w:w="124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95" w:type="dxa"/>
            <w:vAlign w:val="center"/>
          </w:tcPr>
          <w:p>
            <w:pPr>
              <w:jc w:val="center"/>
              <w:rPr>
                <w:rFonts w:ascii="宋体" w:hAnsi="宋体"/>
                <w:sz w:val="24"/>
              </w:rPr>
            </w:pPr>
          </w:p>
        </w:tc>
        <w:tc>
          <w:tcPr>
            <w:tcW w:w="3731" w:type="dxa"/>
            <w:vAlign w:val="center"/>
          </w:tcPr>
          <w:p>
            <w:pPr>
              <w:jc w:val="center"/>
              <w:rPr>
                <w:rFonts w:ascii="宋体" w:hAnsi="宋体"/>
                <w:sz w:val="24"/>
              </w:rPr>
            </w:pPr>
          </w:p>
        </w:tc>
        <w:tc>
          <w:tcPr>
            <w:tcW w:w="1454" w:type="dxa"/>
            <w:vAlign w:val="center"/>
          </w:tcPr>
          <w:p>
            <w:pPr>
              <w:jc w:val="center"/>
              <w:rPr>
                <w:rFonts w:ascii="宋体" w:hAnsi="宋体"/>
                <w:sz w:val="24"/>
              </w:rPr>
            </w:pPr>
          </w:p>
        </w:tc>
        <w:tc>
          <w:tcPr>
            <w:tcW w:w="2234" w:type="dxa"/>
            <w:vAlign w:val="center"/>
          </w:tcPr>
          <w:p>
            <w:pPr>
              <w:jc w:val="center"/>
              <w:rPr>
                <w:rFonts w:ascii="宋体" w:hAnsi="宋体"/>
                <w:sz w:val="24"/>
              </w:rPr>
            </w:pPr>
          </w:p>
        </w:tc>
        <w:tc>
          <w:tcPr>
            <w:tcW w:w="2104" w:type="dxa"/>
            <w:vAlign w:val="center"/>
          </w:tcPr>
          <w:p>
            <w:pPr>
              <w:jc w:val="center"/>
              <w:rPr>
                <w:rFonts w:ascii="宋体" w:hAnsi="宋体"/>
                <w:sz w:val="24"/>
              </w:rPr>
            </w:pPr>
          </w:p>
        </w:tc>
        <w:tc>
          <w:tcPr>
            <w:tcW w:w="124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95" w:type="dxa"/>
            <w:vAlign w:val="center"/>
          </w:tcPr>
          <w:p>
            <w:pPr>
              <w:jc w:val="center"/>
              <w:rPr>
                <w:rFonts w:ascii="宋体" w:hAnsi="宋体"/>
                <w:sz w:val="24"/>
              </w:rPr>
            </w:pPr>
            <w:r>
              <w:rPr>
                <w:rFonts w:hint="eastAsia" w:ascii="宋体" w:hAnsi="宋体"/>
                <w:sz w:val="24"/>
              </w:rPr>
              <w:t>20  年</w:t>
            </w:r>
          </w:p>
        </w:tc>
        <w:tc>
          <w:tcPr>
            <w:tcW w:w="3731" w:type="dxa"/>
            <w:vAlign w:val="center"/>
          </w:tcPr>
          <w:p>
            <w:pPr>
              <w:jc w:val="center"/>
              <w:rPr>
                <w:rFonts w:ascii="宋体" w:hAnsi="宋体"/>
                <w:sz w:val="24"/>
              </w:rPr>
            </w:pPr>
          </w:p>
        </w:tc>
        <w:tc>
          <w:tcPr>
            <w:tcW w:w="1454" w:type="dxa"/>
            <w:vAlign w:val="center"/>
          </w:tcPr>
          <w:p>
            <w:pPr>
              <w:jc w:val="center"/>
              <w:rPr>
                <w:rFonts w:ascii="宋体" w:hAnsi="宋体"/>
                <w:sz w:val="24"/>
              </w:rPr>
            </w:pPr>
          </w:p>
        </w:tc>
        <w:tc>
          <w:tcPr>
            <w:tcW w:w="2234" w:type="dxa"/>
            <w:vAlign w:val="center"/>
          </w:tcPr>
          <w:p>
            <w:pPr>
              <w:jc w:val="center"/>
              <w:rPr>
                <w:rFonts w:ascii="宋体" w:hAnsi="宋体"/>
                <w:sz w:val="24"/>
              </w:rPr>
            </w:pPr>
          </w:p>
        </w:tc>
        <w:tc>
          <w:tcPr>
            <w:tcW w:w="2104" w:type="dxa"/>
            <w:vAlign w:val="center"/>
          </w:tcPr>
          <w:p>
            <w:pPr>
              <w:jc w:val="center"/>
              <w:rPr>
                <w:rFonts w:ascii="宋体" w:hAnsi="宋体"/>
                <w:sz w:val="24"/>
              </w:rPr>
            </w:pPr>
          </w:p>
        </w:tc>
        <w:tc>
          <w:tcPr>
            <w:tcW w:w="1245" w:type="dxa"/>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2095" w:type="dxa"/>
            <w:vAlign w:val="center"/>
          </w:tcPr>
          <w:p>
            <w:pPr>
              <w:jc w:val="center"/>
              <w:rPr>
                <w:rFonts w:ascii="宋体" w:hAnsi="宋体"/>
                <w:sz w:val="24"/>
              </w:rPr>
            </w:pPr>
          </w:p>
        </w:tc>
        <w:tc>
          <w:tcPr>
            <w:tcW w:w="3731" w:type="dxa"/>
            <w:vAlign w:val="center"/>
          </w:tcPr>
          <w:p>
            <w:pPr>
              <w:jc w:val="center"/>
              <w:rPr>
                <w:rFonts w:ascii="宋体" w:hAnsi="宋体"/>
                <w:sz w:val="24"/>
              </w:rPr>
            </w:pPr>
          </w:p>
        </w:tc>
        <w:tc>
          <w:tcPr>
            <w:tcW w:w="1454" w:type="dxa"/>
            <w:vAlign w:val="center"/>
          </w:tcPr>
          <w:p>
            <w:pPr>
              <w:jc w:val="center"/>
              <w:rPr>
                <w:rFonts w:ascii="宋体" w:hAnsi="宋体"/>
                <w:sz w:val="24"/>
              </w:rPr>
            </w:pPr>
          </w:p>
        </w:tc>
        <w:tc>
          <w:tcPr>
            <w:tcW w:w="2234" w:type="dxa"/>
            <w:vAlign w:val="center"/>
          </w:tcPr>
          <w:p>
            <w:pPr>
              <w:jc w:val="center"/>
              <w:rPr>
                <w:rFonts w:ascii="宋体" w:hAnsi="宋体"/>
                <w:sz w:val="24"/>
              </w:rPr>
            </w:pPr>
          </w:p>
        </w:tc>
        <w:tc>
          <w:tcPr>
            <w:tcW w:w="2104" w:type="dxa"/>
            <w:vAlign w:val="center"/>
          </w:tcPr>
          <w:p>
            <w:pPr>
              <w:jc w:val="center"/>
              <w:rPr>
                <w:rFonts w:ascii="宋体" w:hAnsi="宋体"/>
                <w:sz w:val="24"/>
              </w:rPr>
            </w:pPr>
          </w:p>
        </w:tc>
        <w:tc>
          <w:tcPr>
            <w:tcW w:w="1245" w:type="dxa"/>
            <w:vAlign w:val="center"/>
          </w:tcPr>
          <w:p>
            <w:pPr>
              <w:jc w:val="center"/>
              <w:rPr>
                <w:rFonts w:ascii="宋体" w:hAnsi="宋体"/>
                <w:sz w:val="24"/>
              </w:rPr>
            </w:pPr>
          </w:p>
        </w:tc>
      </w:tr>
    </w:tbl>
    <w:p>
      <w:pPr>
        <w:autoSpaceDE w:val="0"/>
        <w:autoSpaceDN w:val="0"/>
        <w:ind w:left="700" w:hanging="700" w:hangingChars="332"/>
        <w:rPr>
          <w:rFonts w:ascii="宋体" w:hAnsi="宋体"/>
          <w:sz w:val="24"/>
        </w:rPr>
      </w:pPr>
      <w:r>
        <w:rPr>
          <w:rFonts w:hAnsi="宋体"/>
          <w:b/>
          <w:szCs w:val="21"/>
        </w:rPr>
        <w:t>注：</w:t>
      </w:r>
    </w:p>
    <w:p>
      <w:pPr>
        <w:numPr>
          <w:ilvl w:val="0"/>
          <w:numId w:val="25"/>
        </w:numPr>
        <w:autoSpaceDE w:val="0"/>
        <w:autoSpaceDN w:val="0"/>
        <w:adjustRightInd w:val="0"/>
        <w:spacing w:line="360" w:lineRule="auto"/>
        <w:rPr>
          <w:rFonts w:hAnsi="宋体"/>
          <w:szCs w:val="21"/>
        </w:rPr>
      </w:pPr>
      <w:r>
        <w:rPr>
          <w:rFonts w:hint="eastAsia" w:hAnsi="宋体"/>
          <w:szCs w:val="21"/>
        </w:rPr>
        <w:t>供应商</w:t>
      </w:r>
      <w:r>
        <w:rPr>
          <w:rFonts w:hAnsi="宋体"/>
          <w:szCs w:val="21"/>
        </w:rPr>
        <w:t>须提供相应的证明文件（</w:t>
      </w:r>
      <w:r>
        <w:rPr>
          <w:rFonts w:hint="eastAsia" w:hAnsi="宋体"/>
          <w:szCs w:val="21"/>
        </w:rPr>
        <w:t>供应商</w:t>
      </w:r>
      <w:r>
        <w:rPr>
          <w:rFonts w:hAnsi="宋体"/>
          <w:szCs w:val="21"/>
        </w:rPr>
        <w:t>需提供合同复印件）</w:t>
      </w:r>
    </w:p>
    <w:p>
      <w:pPr>
        <w:numPr>
          <w:ilvl w:val="0"/>
          <w:numId w:val="25"/>
        </w:numPr>
        <w:autoSpaceDE w:val="0"/>
        <w:autoSpaceDN w:val="0"/>
        <w:adjustRightInd w:val="0"/>
        <w:spacing w:line="360" w:lineRule="auto"/>
        <w:rPr>
          <w:szCs w:val="21"/>
        </w:rPr>
      </w:pPr>
      <w:r>
        <w:rPr>
          <w:szCs w:val="21"/>
        </w:rPr>
        <w:t>正在执行的</w:t>
      </w:r>
      <w:r>
        <w:rPr>
          <w:rFonts w:hint="eastAsia" w:hAnsi="宋体"/>
          <w:szCs w:val="21"/>
        </w:rPr>
        <w:t>类似业绩需标明执行状态，</w:t>
      </w:r>
      <w:r>
        <w:rPr>
          <w:rFonts w:hint="eastAsia"/>
          <w:szCs w:val="21"/>
        </w:rPr>
        <w:t>供应商需在备注栏填写合同执行的状态。</w:t>
      </w:r>
    </w:p>
    <w:p>
      <w:pPr>
        <w:spacing w:before="120" w:beforeLines="50" w:line="440" w:lineRule="exact"/>
        <w:ind w:left="-103" w:leftChars="-49" w:firstLine="119" w:firstLineChars="57"/>
      </w:pPr>
      <w:r>
        <w:rPr>
          <w:rFonts w:hint="eastAsia"/>
        </w:rPr>
        <w:t>供应商：（公章）</w:t>
      </w:r>
    </w:p>
    <w:p>
      <w:pPr>
        <w:pStyle w:val="56"/>
        <w:spacing w:before="120"/>
        <w:rPr>
          <w:rFonts w:hAnsi="宋体"/>
          <w:sz w:val="21"/>
          <w:szCs w:val="21"/>
        </w:rPr>
      </w:pPr>
      <w:r>
        <w:rPr>
          <w:rFonts w:hAnsi="宋体"/>
          <w:sz w:val="21"/>
          <w:szCs w:val="21"/>
        </w:rPr>
        <w:t>法定代表人或</w:t>
      </w:r>
      <w:r>
        <w:rPr>
          <w:rFonts w:hint="eastAsia" w:hAnsi="宋体"/>
          <w:sz w:val="21"/>
          <w:szCs w:val="21"/>
        </w:rPr>
        <w:t>其</w:t>
      </w:r>
      <w:r>
        <w:rPr>
          <w:rFonts w:hAnsi="宋体"/>
          <w:sz w:val="21"/>
          <w:szCs w:val="21"/>
        </w:rPr>
        <w:t>授权代表：（</w:t>
      </w:r>
      <w:r>
        <w:rPr>
          <w:rFonts w:hint="eastAsia" w:hAnsi="宋体"/>
          <w:sz w:val="21"/>
          <w:szCs w:val="21"/>
        </w:rPr>
        <w:t>签字或加盖人名章</w:t>
      </w:r>
      <w:r>
        <w:rPr>
          <w:rFonts w:hAnsi="宋体"/>
          <w:sz w:val="21"/>
          <w:szCs w:val="21"/>
        </w:rPr>
        <w:t>）</w:t>
      </w:r>
    </w:p>
    <w:p>
      <w:pPr>
        <w:pStyle w:val="56"/>
        <w:spacing w:before="120"/>
        <w:rPr>
          <w:rFonts w:hAnsi="宋体"/>
          <w:sz w:val="21"/>
          <w:szCs w:val="21"/>
        </w:rPr>
      </w:pPr>
      <w:r>
        <w:rPr>
          <w:rFonts w:hAnsi="宋体"/>
          <w:sz w:val="21"/>
          <w:szCs w:val="21"/>
        </w:rPr>
        <w:t>日期：年月日</w:t>
      </w:r>
    </w:p>
    <w:p>
      <w:pPr>
        <w:pStyle w:val="56"/>
        <w:spacing w:before="120"/>
        <w:rPr>
          <w:rFonts w:hAnsi="宋体"/>
          <w:sz w:val="21"/>
          <w:szCs w:val="21"/>
        </w:rPr>
      </w:pPr>
    </w:p>
    <w:p>
      <w:pPr>
        <w:spacing w:before="120" w:beforeLines="50"/>
        <w:ind w:left="-84" w:leftChars="-40" w:firstLine="525" w:firstLineChars="250"/>
        <w:sectPr>
          <w:headerReference r:id="rId6" w:type="default"/>
          <w:footerReference r:id="rId7" w:type="default"/>
          <w:pgSz w:w="16838" w:h="11906" w:orient="landscape"/>
          <w:pgMar w:top="1701" w:right="1247" w:bottom="1247" w:left="1247" w:header="851" w:footer="992" w:gutter="0"/>
          <w:cols w:space="720" w:num="1"/>
          <w:docGrid w:linePitch="312" w:charSpace="0"/>
        </w:sectPr>
      </w:pPr>
    </w:p>
    <w:p>
      <w:pPr>
        <w:pStyle w:val="39"/>
        <w:snapToGrid w:val="0"/>
        <w:spacing w:before="156" w:beforeLines="50"/>
        <w:jc w:val="center"/>
        <w:rPr>
          <w:rFonts w:hAnsi="宋体" w:cs="宋体"/>
          <w:sz w:val="24"/>
          <w:szCs w:val="24"/>
        </w:rPr>
      </w:pPr>
    </w:p>
    <w:p>
      <w:pPr>
        <w:pStyle w:val="425"/>
        <w:spacing w:line="360" w:lineRule="auto"/>
        <w:ind w:firstLine="0" w:firstLineChars="0"/>
        <w:outlineLvl w:val="1"/>
        <w:rPr>
          <w:b/>
          <w:sz w:val="24"/>
        </w:rPr>
      </w:pPr>
      <w:bookmarkStart w:id="170" w:name="_Toc1221"/>
      <w:bookmarkStart w:id="171" w:name="_Toc11474"/>
      <w:r>
        <w:rPr>
          <w:rFonts w:hint="eastAsia"/>
          <w:b/>
          <w:sz w:val="24"/>
        </w:rPr>
        <w:t>附件10 小微企业、监狱企业、残疾人福利单位的声明函或证明材料</w:t>
      </w:r>
      <w:bookmarkEnd w:id="170"/>
      <w:bookmarkEnd w:id="171"/>
    </w:p>
    <w:p>
      <w:pPr>
        <w:pStyle w:val="39"/>
        <w:snapToGrid w:val="0"/>
        <w:spacing w:before="156" w:beforeLines="50"/>
        <w:rPr>
          <w:rFonts w:hAnsi="宋体" w:cs="宋体"/>
          <w:sz w:val="24"/>
        </w:rPr>
      </w:pPr>
    </w:p>
    <w:p>
      <w:pPr>
        <w:jc w:val="center"/>
        <w:outlineLvl w:val="2"/>
        <w:rPr>
          <w:rFonts w:hAnsi="宋体"/>
          <w:sz w:val="32"/>
          <w:szCs w:val="32"/>
        </w:rPr>
      </w:pPr>
      <w:r>
        <w:rPr>
          <w:rFonts w:hint="eastAsia" w:hAnsi="宋体"/>
          <w:sz w:val="32"/>
          <w:szCs w:val="32"/>
        </w:rPr>
        <w:t>（一）中小企业声明函</w:t>
      </w:r>
    </w:p>
    <w:p>
      <w:pPr>
        <w:jc w:val="center"/>
        <w:rPr>
          <w:rFonts w:hAnsi="宋体"/>
          <w:sz w:val="24"/>
        </w:rPr>
      </w:pPr>
      <w:r>
        <w:rPr>
          <w:rFonts w:hint="eastAsia" w:hAnsi="宋体"/>
          <w:sz w:val="24"/>
        </w:rPr>
        <w:t>（注：符合中小企业划型标准的企业请提供本函，不符合的不提供本函）</w:t>
      </w:r>
    </w:p>
    <w:p>
      <w:pPr>
        <w:pStyle w:val="39"/>
        <w:snapToGrid w:val="0"/>
        <w:spacing w:before="156" w:beforeLines="50"/>
        <w:rPr>
          <w:rFonts w:hAnsi="宋体" w:cs="宋体"/>
          <w:sz w:val="24"/>
          <w:szCs w:val="24"/>
        </w:rPr>
      </w:pPr>
      <w:r>
        <w:rPr>
          <w:rFonts w:hint="eastAsia" w:hAnsi="宋体" w:cs="宋体"/>
          <w:sz w:val="24"/>
          <w:szCs w:val="24"/>
        </w:rPr>
        <w:t>本公司郑重声明，根据《政府采购促进中小企业发展暂行办法》（财库[2011]181号）的规定，本公司为______（请填写：中型、小型、微型）企业。即，本公司同时满足以下条件：</w:t>
      </w:r>
    </w:p>
    <w:p>
      <w:pPr>
        <w:pStyle w:val="39"/>
        <w:snapToGrid w:val="0"/>
        <w:spacing w:before="156" w:beforeLines="50"/>
        <w:rPr>
          <w:rFonts w:hAnsi="宋体" w:cs="宋体"/>
          <w:sz w:val="24"/>
          <w:szCs w:val="24"/>
        </w:rPr>
      </w:pPr>
      <w:r>
        <w:rPr>
          <w:rFonts w:hint="eastAsia" w:hAnsi="宋体" w:cs="宋体"/>
          <w:sz w:val="24"/>
          <w:szCs w:val="24"/>
        </w:rPr>
        <w:t>1.根据《工业和信息化部、国家统计局、国家发展和改革委员会、财政部关于印发中小企业划型标准规定的通知》（工信部联企业[2011]300号）规定的划分标准，本公司为______（请填写：中型、小型、微型）企业。</w:t>
      </w:r>
    </w:p>
    <w:p>
      <w:pPr>
        <w:pStyle w:val="39"/>
        <w:snapToGrid w:val="0"/>
        <w:spacing w:before="156" w:beforeLines="50"/>
        <w:rPr>
          <w:rFonts w:hAnsi="宋体" w:cs="宋体"/>
          <w:sz w:val="24"/>
          <w:szCs w:val="24"/>
        </w:rPr>
      </w:pPr>
      <w:r>
        <w:rPr>
          <w:rFonts w:hint="eastAsia" w:hAnsi="宋体" w:cs="宋体"/>
          <w:sz w:val="24"/>
          <w:szCs w:val="24"/>
        </w:rPr>
        <w:t>2.本公司参加______单位的______项目采购活动提供本企业制造的货物，并由本企业承担相关服务（包括但不限于安装、调试等）。</w:t>
      </w:r>
    </w:p>
    <w:p>
      <w:pPr>
        <w:pStyle w:val="39"/>
        <w:snapToGrid w:val="0"/>
        <w:spacing w:before="156" w:beforeLines="50"/>
        <w:rPr>
          <w:rFonts w:hAnsi="宋体" w:cs="宋体"/>
          <w:sz w:val="24"/>
          <w:szCs w:val="24"/>
        </w:rPr>
      </w:pPr>
      <w:r>
        <w:rPr>
          <w:rFonts w:hint="eastAsia" w:hAnsi="宋体" w:cs="宋体"/>
          <w:sz w:val="24"/>
          <w:szCs w:val="24"/>
        </w:rPr>
        <w:t>本公司对上述声明的真实性负责。如有虚假，将依法承担相应责任。</w:t>
      </w:r>
    </w:p>
    <w:p>
      <w:pPr>
        <w:pStyle w:val="39"/>
        <w:snapToGrid w:val="0"/>
        <w:spacing w:before="156" w:beforeLines="50"/>
        <w:rPr>
          <w:rFonts w:hAnsi="宋体" w:cs="宋体"/>
          <w:sz w:val="24"/>
          <w:szCs w:val="24"/>
        </w:rPr>
      </w:pPr>
    </w:p>
    <w:p>
      <w:pPr>
        <w:pStyle w:val="39"/>
        <w:snapToGrid w:val="0"/>
        <w:spacing w:before="156" w:beforeLines="50"/>
        <w:rPr>
          <w:rFonts w:hAnsi="宋体" w:cs="宋体"/>
          <w:sz w:val="24"/>
          <w:szCs w:val="24"/>
        </w:rPr>
      </w:pPr>
    </w:p>
    <w:p>
      <w:pPr>
        <w:pStyle w:val="39"/>
        <w:snapToGrid w:val="0"/>
        <w:spacing w:before="156" w:beforeLines="50"/>
        <w:rPr>
          <w:rFonts w:hAnsi="宋体" w:cs="宋体"/>
          <w:sz w:val="24"/>
          <w:szCs w:val="24"/>
        </w:rPr>
      </w:pPr>
      <w:r>
        <w:rPr>
          <w:rFonts w:hint="eastAsia" w:hAnsi="宋体" w:cs="宋体"/>
          <w:sz w:val="24"/>
          <w:szCs w:val="24"/>
        </w:rPr>
        <w:t>企业名称（盖章）：　</w:t>
      </w:r>
    </w:p>
    <w:p>
      <w:pPr>
        <w:widowControl/>
        <w:jc w:val="left"/>
        <w:rPr>
          <w:rFonts w:hAnsi="宋体" w:cs="宋体"/>
          <w:sz w:val="24"/>
        </w:rPr>
      </w:pPr>
      <w:r>
        <w:rPr>
          <w:rFonts w:hint="eastAsia" w:hAnsi="宋体" w:cs="宋体"/>
          <w:sz w:val="24"/>
        </w:rPr>
        <w:t>日期：</w:t>
      </w:r>
    </w:p>
    <w:p>
      <w:pPr>
        <w:widowControl/>
        <w:jc w:val="left"/>
        <w:rPr>
          <w:rFonts w:ascii="宋体" w:hAnsi="宋体" w:cs="宋体"/>
          <w:sz w:val="24"/>
        </w:rPr>
      </w:pPr>
      <w:r>
        <w:rPr>
          <w:rFonts w:hAnsi="宋体" w:cs="宋体"/>
          <w:sz w:val="24"/>
        </w:rPr>
        <w:br w:type="page"/>
      </w:r>
    </w:p>
    <w:p>
      <w:pPr>
        <w:pStyle w:val="39"/>
        <w:snapToGrid w:val="0"/>
        <w:spacing w:before="156" w:beforeLines="50"/>
        <w:rPr>
          <w:rFonts w:hAnsi="宋体" w:cs="宋体"/>
          <w:sz w:val="24"/>
          <w:szCs w:val="24"/>
        </w:rPr>
      </w:pPr>
    </w:p>
    <w:p>
      <w:pPr>
        <w:jc w:val="center"/>
        <w:outlineLvl w:val="2"/>
        <w:rPr>
          <w:rFonts w:hAnsi="宋体"/>
          <w:sz w:val="32"/>
          <w:szCs w:val="32"/>
        </w:rPr>
      </w:pPr>
      <w:r>
        <w:rPr>
          <w:rFonts w:hint="eastAsia" w:hAnsi="宋体"/>
          <w:sz w:val="32"/>
          <w:szCs w:val="32"/>
        </w:rPr>
        <w:t>（二）监狱企业证明</w:t>
      </w:r>
    </w:p>
    <w:p>
      <w:pPr>
        <w:jc w:val="center"/>
        <w:rPr>
          <w:sz w:val="24"/>
        </w:rPr>
      </w:pPr>
      <w:r>
        <w:rPr>
          <w:rFonts w:hint="eastAsia"/>
          <w:sz w:val="24"/>
        </w:rPr>
        <w:t>（注：符合条件的监狱企业请提供本函，不符合的不提供本函）</w:t>
      </w:r>
    </w:p>
    <w:p>
      <w:pPr>
        <w:pStyle w:val="39"/>
        <w:snapToGrid w:val="0"/>
        <w:spacing w:before="156" w:beforeLines="50"/>
        <w:rPr>
          <w:rFonts w:hAnsi="宋体" w:cs="宋体"/>
          <w:sz w:val="24"/>
          <w:szCs w:val="24"/>
        </w:rPr>
      </w:pPr>
    </w:p>
    <w:p>
      <w:pPr>
        <w:pStyle w:val="39"/>
        <w:snapToGrid w:val="0"/>
        <w:spacing w:before="156" w:beforeLines="50"/>
        <w:rPr>
          <w:rFonts w:hAnsi="宋体" w:cs="宋体"/>
          <w:sz w:val="24"/>
          <w:szCs w:val="24"/>
        </w:rPr>
      </w:pPr>
      <w:r>
        <w:rPr>
          <w:rFonts w:hint="eastAsia" w:hAnsi="宋体" w:cs="宋体"/>
          <w:sz w:val="24"/>
          <w:szCs w:val="24"/>
        </w:rPr>
        <w:t>省级以上监狱管理局、戒毒管理局（含新疆生产建设兵团）出具的属于监狱企业的证明文件。</w:t>
      </w:r>
    </w:p>
    <w:p>
      <w:pPr>
        <w:pStyle w:val="39"/>
        <w:snapToGrid w:val="0"/>
        <w:spacing w:before="156" w:beforeLines="50"/>
        <w:rPr>
          <w:rFonts w:hAnsi="宋体" w:cs="宋体"/>
          <w:sz w:val="24"/>
          <w:szCs w:val="24"/>
        </w:rPr>
      </w:pPr>
    </w:p>
    <w:p>
      <w:pPr>
        <w:jc w:val="center"/>
        <w:outlineLvl w:val="2"/>
        <w:rPr>
          <w:rFonts w:hAnsi="宋体"/>
          <w:sz w:val="32"/>
          <w:szCs w:val="32"/>
        </w:rPr>
      </w:pPr>
      <w:r>
        <w:rPr>
          <w:rFonts w:hAnsi="宋体" w:cs="宋体"/>
          <w:sz w:val="24"/>
        </w:rPr>
        <w:br w:type="page"/>
      </w:r>
      <w:r>
        <w:rPr>
          <w:rFonts w:hint="eastAsia" w:hAnsi="宋体"/>
          <w:sz w:val="32"/>
          <w:szCs w:val="32"/>
        </w:rPr>
        <w:t>（三）残疾人福利性单位声明函</w:t>
      </w:r>
    </w:p>
    <w:p>
      <w:pPr>
        <w:jc w:val="center"/>
        <w:rPr>
          <w:sz w:val="24"/>
        </w:rPr>
      </w:pPr>
      <w:r>
        <w:rPr>
          <w:rFonts w:hint="eastAsia"/>
          <w:sz w:val="24"/>
        </w:rPr>
        <w:t>（注：符合条件的残疾人福利性单位请提供本函，不符合的不提供本函）</w:t>
      </w:r>
    </w:p>
    <w:p>
      <w:pPr>
        <w:rPr>
          <w:sz w:val="24"/>
        </w:rPr>
      </w:pPr>
    </w:p>
    <w:p>
      <w:pPr>
        <w:rPr>
          <w:sz w:val="24"/>
        </w:rPr>
      </w:pPr>
    </w:p>
    <w:p>
      <w:pPr>
        <w:rPr>
          <w:sz w:val="24"/>
        </w:rPr>
      </w:pPr>
      <w:r>
        <w:rPr>
          <w:rFonts w:hint="eastAsia"/>
          <w:sz w:val="24"/>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rPr>
          <w:sz w:val="24"/>
        </w:rPr>
      </w:pPr>
    </w:p>
    <w:p>
      <w:pPr>
        <w:rPr>
          <w:sz w:val="24"/>
        </w:rPr>
      </w:pPr>
      <w:r>
        <w:rPr>
          <w:rFonts w:hint="eastAsia"/>
          <w:sz w:val="24"/>
        </w:rPr>
        <w:t>本单位对上述声明的真实性负责。如有虚假，将依法承担相应责任。</w:t>
      </w:r>
    </w:p>
    <w:p>
      <w:pPr>
        <w:rPr>
          <w:sz w:val="24"/>
        </w:rPr>
      </w:pPr>
    </w:p>
    <w:p>
      <w:pPr>
        <w:rPr>
          <w:sz w:val="24"/>
        </w:rPr>
      </w:pPr>
    </w:p>
    <w:p>
      <w:pPr>
        <w:rPr>
          <w:sz w:val="24"/>
        </w:rPr>
      </w:pPr>
    </w:p>
    <w:p>
      <w:pPr>
        <w:rPr>
          <w:sz w:val="24"/>
        </w:rPr>
      </w:pPr>
    </w:p>
    <w:p>
      <w:pPr>
        <w:rPr>
          <w:sz w:val="24"/>
        </w:rPr>
      </w:pPr>
    </w:p>
    <w:p>
      <w:pPr>
        <w:rPr>
          <w:sz w:val="24"/>
        </w:rPr>
      </w:pPr>
      <w:r>
        <w:rPr>
          <w:rFonts w:hint="eastAsia"/>
          <w:sz w:val="24"/>
        </w:rPr>
        <w:t>单位名称（盖章）：</w:t>
      </w:r>
    </w:p>
    <w:p>
      <w:pPr>
        <w:rPr>
          <w:sz w:val="24"/>
        </w:rPr>
      </w:pPr>
    </w:p>
    <w:p>
      <w:pPr>
        <w:rPr>
          <w:sz w:val="24"/>
        </w:rPr>
      </w:pPr>
      <w:r>
        <w:rPr>
          <w:rFonts w:hint="eastAsia"/>
          <w:sz w:val="24"/>
        </w:rPr>
        <w:t>日  期：</w:t>
      </w:r>
    </w:p>
    <w:p>
      <w:pPr>
        <w:rPr>
          <w:sz w:val="24"/>
        </w:rPr>
      </w:pPr>
    </w:p>
    <w:p>
      <w:pPr>
        <w:pStyle w:val="39"/>
        <w:snapToGrid w:val="0"/>
        <w:spacing w:before="156" w:beforeLines="50"/>
        <w:jc w:val="center"/>
        <w:rPr>
          <w:rFonts w:ascii="仿宋_GB2312" w:hAnsi="宋体" w:eastAsia="仿宋_GB2312"/>
          <w:b/>
          <w:sz w:val="24"/>
        </w:rPr>
      </w:pPr>
    </w:p>
    <w:p>
      <w:pPr>
        <w:widowControl/>
        <w:jc w:val="left"/>
        <w:rPr>
          <w:rFonts w:ascii="宋体" w:hAnsi="宋体" w:cs="宋体"/>
          <w:sz w:val="24"/>
        </w:rPr>
      </w:pPr>
      <w:r>
        <w:rPr>
          <w:rFonts w:ascii="宋体" w:hAnsi="宋体" w:cs="宋体"/>
          <w:sz w:val="24"/>
        </w:rPr>
        <w:br w:type="page"/>
      </w:r>
    </w:p>
    <w:p>
      <w:pPr>
        <w:pStyle w:val="425"/>
        <w:spacing w:line="360" w:lineRule="auto"/>
        <w:ind w:firstLine="0" w:firstLineChars="0"/>
        <w:outlineLvl w:val="1"/>
        <w:rPr>
          <w:b/>
          <w:sz w:val="24"/>
        </w:rPr>
      </w:pPr>
      <w:bookmarkStart w:id="172" w:name="_Toc24367"/>
      <w:bookmarkStart w:id="173" w:name="_Toc844"/>
      <w:r>
        <w:rPr>
          <w:rFonts w:hint="eastAsia"/>
          <w:b/>
          <w:sz w:val="24"/>
        </w:rPr>
        <w:t xml:space="preserve">附件11 </w:t>
      </w:r>
      <w:r>
        <w:rPr>
          <w:b/>
          <w:sz w:val="24"/>
        </w:rPr>
        <w:t>响应承诺书</w:t>
      </w:r>
      <w:bookmarkEnd w:id="172"/>
      <w:bookmarkEnd w:id="173"/>
    </w:p>
    <w:p>
      <w:pPr>
        <w:rPr>
          <w:rFonts w:ascii="宋体" w:hAnsi="宋体"/>
          <w:szCs w:val="21"/>
        </w:rPr>
      </w:pPr>
    </w:p>
    <w:p>
      <w:pPr>
        <w:jc w:val="center"/>
        <w:rPr>
          <w:rFonts w:ascii="宋体" w:hAnsi="宋体"/>
          <w:sz w:val="32"/>
          <w:szCs w:val="32"/>
        </w:rPr>
      </w:pPr>
      <w:r>
        <w:rPr>
          <w:rFonts w:hint="eastAsia" w:ascii="宋体" w:hAnsi="宋体"/>
          <w:sz w:val="32"/>
          <w:szCs w:val="32"/>
        </w:rPr>
        <w:t>响应承诺书</w:t>
      </w:r>
    </w:p>
    <w:p>
      <w:pPr>
        <w:spacing w:line="360" w:lineRule="auto"/>
        <w:rPr>
          <w:rFonts w:ascii="宋体" w:hAnsi="宋体"/>
          <w:sz w:val="24"/>
        </w:rPr>
      </w:pPr>
      <w:r>
        <w:rPr>
          <w:rFonts w:ascii="宋体" w:hAnsi="宋体"/>
          <w:sz w:val="24"/>
        </w:rPr>
        <w:t>致：</w:t>
      </w:r>
    </w:p>
    <w:p>
      <w:pPr>
        <w:spacing w:line="360" w:lineRule="auto"/>
        <w:ind w:firstLine="480" w:firstLineChars="200"/>
        <w:rPr>
          <w:rFonts w:ascii="宋体" w:hAnsi="宋体"/>
          <w:sz w:val="24"/>
        </w:rPr>
      </w:pPr>
      <w:r>
        <w:rPr>
          <w:rFonts w:hint="eastAsia" w:ascii="宋体" w:hAnsi="宋体"/>
          <w:sz w:val="24"/>
        </w:rPr>
        <w:t>我方在此声明，我方以下事项进行承诺：</w:t>
      </w:r>
    </w:p>
    <w:p>
      <w:pPr>
        <w:spacing w:line="360" w:lineRule="auto"/>
        <w:ind w:firstLine="480" w:firstLineChars="200"/>
        <w:rPr>
          <w:rFonts w:ascii="宋体" w:hAnsi="宋体"/>
          <w:sz w:val="24"/>
        </w:rPr>
      </w:pPr>
      <w:r>
        <w:rPr>
          <w:rFonts w:hint="eastAsia" w:ascii="宋体" w:hAnsi="宋体"/>
          <w:sz w:val="24"/>
        </w:rPr>
        <w:t>（1） 在本次磋商中我公司无与其他供应商相互串通，或与采购人串通的行为；</w:t>
      </w:r>
    </w:p>
    <w:p>
      <w:pPr>
        <w:spacing w:line="360" w:lineRule="auto"/>
        <w:ind w:firstLine="480" w:firstLineChars="200"/>
        <w:rPr>
          <w:rFonts w:ascii="宋体" w:hAnsi="宋体"/>
          <w:sz w:val="24"/>
        </w:rPr>
      </w:pPr>
      <w:r>
        <w:rPr>
          <w:rFonts w:hint="eastAsia" w:ascii="宋体" w:hAnsi="宋体"/>
          <w:sz w:val="24"/>
        </w:rPr>
        <w:t>（2） 在本次磋商中我公司无向采购人或评审小组成员行贿的手段谋取成交的行为；</w:t>
      </w:r>
    </w:p>
    <w:p>
      <w:pPr>
        <w:spacing w:line="360" w:lineRule="auto"/>
        <w:ind w:firstLine="480" w:firstLineChars="200"/>
        <w:rPr>
          <w:rFonts w:ascii="宋体" w:hAnsi="宋体"/>
          <w:sz w:val="24"/>
        </w:rPr>
      </w:pPr>
      <w:r>
        <w:rPr>
          <w:rFonts w:hint="eastAsia" w:ascii="宋体" w:hAnsi="宋体"/>
          <w:sz w:val="24"/>
        </w:rPr>
        <w:t>（3） 在本次磋商中我公司无出借或借用资质行为、在响应文件中所附资料（业绩、项目负责人资料等）无弄虚作假；</w:t>
      </w:r>
    </w:p>
    <w:p>
      <w:pPr>
        <w:spacing w:line="360" w:lineRule="auto"/>
        <w:ind w:firstLine="480" w:firstLineChars="200"/>
        <w:rPr>
          <w:rFonts w:ascii="宋体" w:hAnsi="宋体"/>
          <w:sz w:val="24"/>
        </w:rPr>
      </w:pPr>
      <w:r>
        <w:rPr>
          <w:rFonts w:hint="eastAsia" w:ascii="宋体" w:hAnsi="宋体"/>
          <w:sz w:val="24"/>
        </w:rPr>
        <w:t>（4） 我公司没有处于被责令停产、停业、投标资格被取消状态；</w:t>
      </w:r>
    </w:p>
    <w:p>
      <w:pPr>
        <w:spacing w:line="360" w:lineRule="auto"/>
        <w:ind w:firstLine="480" w:firstLineChars="200"/>
        <w:rPr>
          <w:rFonts w:ascii="宋体" w:hAnsi="宋体"/>
          <w:sz w:val="24"/>
        </w:rPr>
      </w:pPr>
      <w:r>
        <w:rPr>
          <w:rFonts w:hint="eastAsia" w:ascii="宋体" w:hAnsi="宋体"/>
          <w:sz w:val="24"/>
        </w:rPr>
        <w:t>（5）我公司不采用非法手段获取证据进行质疑、投诉，在质疑、投诉过程中不提供虚假情况或进行恶意质疑、投诉。</w:t>
      </w:r>
    </w:p>
    <w:p>
      <w:pPr>
        <w:spacing w:line="360" w:lineRule="auto"/>
        <w:ind w:firstLine="480" w:firstLineChars="200"/>
        <w:rPr>
          <w:rFonts w:ascii="宋体" w:hAnsi="宋体"/>
          <w:sz w:val="24"/>
        </w:rPr>
      </w:pPr>
      <w:r>
        <w:rPr>
          <w:rFonts w:hint="eastAsia" w:ascii="宋体" w:hAnsi="宋体"/>
          <w:sz w:val="24"/>
        </w:rPr>
        <w:t>上述承诺内容如有不实，我公司愿意承担由此造成的一切法律责任，并承诺以磋商保证金赔偿给采购人造成的损失。</w:t>
      </w:r>
    </w:p>
    <w:p>
      <w:pPr>
        <w:spacing w:line="360" w:lineRule="auto"/>
        <w:ind w:firstLine="480" w:firstLineChars="200"/>
        <w:rPr>
          <w:rFonts w:ascii="宋体" w:hAnsi="宋体"/>
          <w:sz w:val="24"/>
        </w:rPr>
      </w:pPr>
      <w:r>
        <w:rPr>
          <w:rFonts w:hint="eastAsia" w:ascii="宋体" w:hAnsi="宋体"/>
          <w:sz w:val="24"/>
        </w:rPr>
        <w:t>特此承诺</w:t>
      </w:r>
    </w:p>
    <w:p>
      <w:pPr>
        <w:spacing w:line="360" w:lineRule="auto"/>
        <w:ind w:firstLine="480" w:firstLineChars="200"/>
        <w:rPr>
          <w:rFonts w:ascii="宋体" w:hAnsi="宋体"/>
          <w:sz w:val="24"/>
        </w:rPr>
      </w:pPr>
    </w:p>
    <w:p>
      <w:pPr>
        <w:spacing w:line="360" w:lineRule="auto"/>
        <w:ind w:firstLine="480" w:firstLineChars="200"/>
        <w:rPr>
          <w:rFonts w:ascii="宋体" w:hAnsi="宋体"/>
          <w:sz w:val="24"/>
        </w:rPr>
      </w:pPr>
      <w:r>
        <w:rPr>
          <w:rFonts w:ascii="宋体" w:hAnsi="宋体"/>
          <w:sz w:val="24"/>
        </w:rPr>
        <w:t xml:space="preserve">供应商名称（公章）： </w:t>
      </w:r>
    </w:p>
    <w:p>
      <w:pPr>
        <w:spacing w:line="360" w:lineRule="auto"/>
        <w:ind w:firstLine="480" w:firstLineChars="200"/>
        <w:rPr>
          <w:rFonts w:ascii="宋体" w:hAnsi="宋体"/>
          <w:sz w:val="24"/>
        </w:rPr>
      </w:pPr>
      <w:r>
        <w:rPr>
          <w:rFonts w:ascii="宋体" w:hAnsi="宋体"/>
          <w:sz w:val="24"/>
        </w:rPr>
        <w:t>法定代表人或其授权代表（</w:t>
      </w:r>
      <w:r>
        <w:rPr>
          <w:rFonts w:hint="eastAsia" w:ascii="宋体" w:hAnsi="宋体"/>
          <w:sz w:val="24"/>
        </w:rPr>
        <w:t>签字或加盖人名章</w:t>
      </w:r>
      <w:r>
        <w:rPr>
          <w:rFonts w:ascii="宋体" w:hAnsi="宋体"/>
          <w:sz w:val="24"/>
        </w:rPr>
        <w:t>）：</w:t>
      </w:r>
    </w:p>
    <w:p>
      <w:pPr>
        <w:spacing w:line="360" w:lineRule="auto"/>
        <w:ind w:firstLine="480" w:firstLineChars="200"/>
        <w:rPr>
          <w:rFonts w:ascii="宋体" w:hAnsi="宋体"/>
          <w:sz w:val="24"/>
        </w:rPr>
      </w:pPr>
      <w:r>
        <w:rPr>
          <w:rFonts w:ascii="宋体" w:hAnsi="宋体"/>
          <w:sz w:val="24"/>
        </w:rPr>
        <w:t>日    期：     年   月    日</w:t>
      </w:r>
    </w:p>
    <w:p>
      <w:pPr>
        <w:widowControl/>
        <w:jc w:val="left"/>
        <w:rPr>
          <w:rFonts w:ascii="宋体" w:hAnsi="宋体" w:cs="宋体"/>
          <w:sz w:val="24"/>
        </w:rPr>
      </w:pPr>
    </w:p>
    <w:p>
      <w:pPr>
        <w:pStyle w:val="39"/>
        <w:snapToGrid w:val="0"/>
        <w:spacing w:before="156" w:beforeLines="50"/>
        <w:rPr>
          <w:rFonts w:hAnsi="宋体" w:cs="宋体"/>
          <w:sz w:val="24"/>
          <w:szCs w:val="24"/>
        </w:rPr>
      </w:pPr>
    </w:p>
    <w:p>
      <w:pPr>
        <w:widowControl/>
        <w:jc w:val="left"/>
        <w:rPr>
          <w:rFonts w:ascii="宋体" w:hAnsi="宋体"/>
          <w:sz w:val="24"/>
        </w:rPr>
      </w:pPr>
    </w:p>
    <w:p>
      <w:pPr>
        <w:adjustRightInd w:val="0"/>
        <w:spacing w:line="360" w:lineRule="atLeast"/>
        <w:jc w:val="left"/>
        <w:textAlignment w:val="baseline"/>
        <w:rPr>
          <w:b/>
          <w:sz w:val="30"/>
          <w:szCs w:val="30"/>
        </w:rPr>
      </w:pPr>
      <w:r>
        <w:rPr>
          <w:b/>
          <w:spacing w:val="20"/>
          <w:sz w:val="24"/>
        </w:rPr>
        <w:br w:type="page"/>
      </w:r>
    </w:p>
    <w:p>
      <w:pPr>
        <w:pStyle w:val="425"/>
        <w:spacing w:line="360" w:lineRule="auto"/>
        <w:ind w:firstLine="0" w:firstLineChars="0"/>
        <w:outlineLvl w:val="1"/>
        <w:rPr>
          <w:b/>
          <w:sz w:val="24"/>
        </w:rPr>
      </w:pPr>
      <w:bookmarkStart w:id="174" w:name="_Toc416103825"/>
      <w:bookmarkStart w:id="175" w:name="_Toc10392"/>
      <w:bookmarkStart w:id="176" w:name="_Toc18634"/>
      <w:bookmarkStart w:id="177" w:name="_Toc414445775"/>
      <w:bookmarkStart w:id="178" w:name="_Toc410631184"/>
      <w:r>
        <w:rPr>
          <w:rFonts w:hint="eastAsia"/>
          <w:b/>
          <w:sz w:val="24"/>
        </w:rPr>
        <w:t xml:space="preserve">附件12 </w:t>
      </w:r>
      <w:r>
        <w:rPr>
          <w:b/>
          <w:sz w:val="24"/>
        </w:rPr>
        <w:t>技术偏</w:t>
      </w:r>
      <w:r>
        <w:rPr>
          <w:rFonts w:hint="eastAsia"/>
          <w:b/>
          <w:sz w:val="24"/>
        </w:rPr>
        <w:t>离</w:t>
      </w:r>
      <w:r>
        <w:rPr>
          <w:b/>
          <w:sz w:val="24"/>
        </w:rPr>
        <w:t>表</w:t>
      </w:r>
      <w:bookmarkEnd w:id="174"/>
      <w:bookmarkEnd w:id="175"/>
      <w:bookmarkEnd w:id="176"/>
      <w:bookmarkEnd w:id="177"/>
      <w:bookmarkEnd w:id="178"/>
    </w:p>
    <w:p>
      <w:pPr>
        <w:spacing w:after="240"/>
        <w:ind w:hanging="119"/>
      </w:pPr>
    </w:p>
    <w:p>
      <w:pPr>
        <w:spacing w:after="240"/>
        <w:ind w:hanging="119"/>
      </w:pPr>
      <w:r>
        <w:t>供应商名称：</w:t>
      </w:r>
    </w:p>
    <w:tbl>
      <w:tblPr>
        <w:tblStyle w:val="73"/>
        <w:tblW w:w="906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268"/>
        <w:gridCol w:w="1932"/>
        <w:gridCol w:w="1236"/>
        <w:gridCol w:w="1236"/>
        <w:gridCol w:w="239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jc w:val="center"/>
            </w:pPr>
            <w:r>
              <w:t>磋商文件条目号</w:t>
            </w:r>
          </w:p>
        </w:tc>
        <w:tc>
          <w:tcPr>
            <w:tcW w:w="1932" w:type="dxa"/>
          </w:tcPr>
          <w:p>
            <w:pPr>
              <w:spacing w:line="400" w:lineRule="exact"/>
              <w:jc w:val="center"/>
            </w:pPr>
            <w:r>
              <w:t>技术条款要求</w:t>
            </w:r>
          </w:p>
        </w:tc>
        <w:tc>
          <w:tcPr>
            <w:tcW w:w="1236" w:type="dxa"/>
          </w:tcPr>
          <w:p>
            <w:pPr>
              <w:spacing w:line="400" w:lineRule="exact"/>
              <w:jc w:val="center"/>
            </w:pPr>
            <w:r>
              <w:rPr>
                <w:rFonts w:hint="eastAsia"/>
              </w:rPr>
              <w:t>完全</w:t>
            </w:r>
            <w:r>
              <w:t>响应</w:t>
            </w:r>
          </w:p>
        </w:tc>
        <w:tc>
          <w:tcPr>
            <w:tcW w:w="1236" w:type="dxa"/>
          </w:tcPr>
          <w:p>
            <w:pPr>
              <w:spacing w:line="400" w:lineRule="exact"/>
              <w:jc w:val="center"/>
            </w:pPr>
            <w:r>
              <w:rPr>
                <w:rFonts w:hint="eastAsia"/>
              </w:rPr>
              <w:t>有偏离</w:t>
            </w:r>
          </w:p>
        </w:tc>
        <w:tc>
          <w:tcPr>
            <w:tcW w:w="2394" w:type="dxa"/>
          </w:tcPr>
          <w:p>
            <w:pPr>
              <w:spacing w:line="400" w:lineRule="exact"/>
              <w:jc w:val="center"/>
            </w:pPr>
            <w:r>
              <w:t>偏离</w:t>
            </w:r>
            <w:r>
              <w:rPr>
                <w:rFonts w:hint="eastAsia"/>
              </w:rPr>
              <w:t>简述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rPr>
                <w:bCs/>
              </w:rPr>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54" w:hRule="atLeast"/>
          <w:jc w:val="center"/>
        </w:trPr>
        <w:tc>
          <w:tcPr>
            <w:tcW w:w="2268" w:type="dxa"/>
          </w:tcPr>
          <w:p>
            <w:pPr>
              <w:spacing w:line="400" w:lineRule="exact"/>
            </w:pPr>
          </w:p>
        </w:tc>
        <w:tc>
          <w:tcPr>
            <w:tcW w:w="1932" w:type="dxa"/>
          </w:tcPr>
          <w:p>
            <w:pPr>
              <w:spacing w:line="400" w:lineRule="exact"/>
              <w:rPr>
                <w:bCs/>
              </w:rPr>
            </w:pPr>
          </w:p>
        </w:tc>
        <w:tc>
          <w:tcPr>
            <w:tcW w:w="1236" w:type="dxa"/>
          </w:tcPr>
          <w:p>
            <w:pPr>
              <w:spacing w:line="400" w:lineRule="exact"/>
            </w:pPr>
          </w:p>
        </w:tc>
        <w:tc>
          <w:tcPr>
            <w:tcW w:w="1236" w:type="dxa"/>
          </w:tcPr>
          <w:p>
            <w:pPr>
              <w:spacing w:line="400" w:lineRule="exact"/>
            </w:pPr>
          </w:p>
        </w:tc>
        <w:tc>
          <w:tcPr>
            <w:tcW w:w="2394" w:type="dxa"/>
          </w:tcPr>
          <w:p>
            <w:pPr>
              <w:spacing w:line="400" w:lineRule="exact"/>
            </w:pPr>
          </w:p>
        </w:tc>
      </w:tr>
    </w:tbl>
    <w:p>
      <w:pPr>
        <w:spacing w:before="156" w:beforeLines="50" w:line="440" w:lineRule="exact"/>
        <w:ind w:left="-103" w:leftChars="-49" w:firstLine="15"/>
      </w:pPr>
      <w:r>
        <w:rPr>
          <w:rFonts w:hint="eastAsia"/>
        </w:rPr>
        <w:t>供应商：（公章）</w:t>
      </w:r>
    </w:p>
    <w:p>
      <w:pPr>
        <w:spacing w:before="156" w:beforeLines="50"/>
        <w:ind w:left="-103" w:leftChars="-49" w:firstLine="15"/>
      </w:pPr>
      <w:r>
        <w:t>法定代表人或其授权代表：（</w:t>
      </w:r>
      <w:r>
        <w:rPr>
          <w:rFonts w:hint="eastAsia"/>
        </w:rPr>
        <w:t>签字或加盖人名章</w:t>
      </w:r>
      <w:r>
        <w:t>）</w:t>
      </w:r>
    </w:p>
    <w:p>
      <w:pPr>
        <w:spacing w:before="156" w:beforeLines="50"/>
        <w:ind w:left="-103" w:leftChars="-49" w:firstLine="15"/>
      </w:pPr>
      <w:r>
        <w:t>日期：</w:t>
      </w:r>
    </w:p>
    <w:p>
      <w:pPr>
        <w:spacing w:line="360" w:lineRule="auto"/>
      </w:pPr>
    </w:p>
    <w:p>
      <w:pPr>
        <w:snapToGrid w:val="0"/>
        <w:spacing w:after="156" w:afterLines="50"/>
        <w:ind w:left="850" w:hanging="850" w:hangingChars="405"/>
      </w:pPr>
      <w:r>
        <w:t>注：</w:t>
      </w:r>
      <w:r>
        <w:rPr>
          <w:rFonts w:hint="eastAsia"/>
        </w:rPr>
        <w:t>1</w:t>
      </w:r>
      <w:r>
        <w:t>.</w:t>
      </w:r>
      <w:r>
        <w:rPr>
          <w:rFonts w:hint="eastAsia"/>
        </w:rPr>
        <w:tab/>
      </w:r>
      <w:r>
        <w:rPr>
          <w:rFonts w:hint="eastAsia"/>
        </w:rPr>
        <w:t>对完全响应的条目在本表相应列中标注“=”。对有偏离的条目在本表相应列中标注“正偏离”或“负偏离”。仅可在“完全响应”及“有偏离”中选一标注，同时，当且仅当选取“有偏离”栏中加以标注后，才能在“偏离简述”栏中加以说明。</w:t>
      </w:r>
    </w:p>
    <w:p>
      <w:pPr>
        <w:tabs>
          <w:tab w:val="left" w:pos="1200"/>
        </w:tabs>
        <w:snapToGrid w:val="0"/>
        <w:spacing w:after="156" w:afterLines="50"/>
        <w:ind w:left="850" w:leftChars="203" w:hanging="424" w:hangingChars="202"/>
      </w:pPr>
      <w:r>
        <w:rPr>
          <w:rFonts w:hint="eastAsia"/>
        </w:rPr>
        <w:t>2</w:t>
      </w:r>
      <w:r>
        <w:t>.</w:t>
      </w:r>
      <w:r>
        <w:rPr>
          <w:rFonts w:hint="eastAsia"/>
        </w:rPr>
        <w:tab/>
      </w:r>
      <w:r>
        <w:rPr>
          <w:rFonts w:hint="eastAsia"/>
        </w:rPr>
        <w:t>正</w:t>
      </w:r>
      <w:r>
        <w:t>偏离是指应答的条件</w:t>
      </w:r>
      <w:r>
        <w:rPr>
          <w:rFonts w:hint="eastAsia"/>
        </w:rPr>
        <w:t>高</w:t>
      </w:r>
      <w:r>
        <w:t>于磋商文件要求，</w:t>
      </w:r>
      <w:r>
        <w:rPr>
          <w:rFonts w:hint="eastAsia"/>
        </w:rPr>
        <w:t>负</w:t>
      </w:r>
      <w:r>
        <w:t>偏离是指应答的条件低于磋商文件要求，</w:t>
      </w:r>
      <w:r>
        <w:rPr>
          <w:rFonts w:hint="eastAsia"/>
        </w:rPr>
        <w:t>正偏离</w:t>
      </w:r>
      <w:r>
        <w:t>项目不作扣分处理。</w:t>
      </w:r>
    </w:p>
    <w:p>
      <w:pPr>
        <w:tabs>
          <w:tab w:val="left" w:pos="1200"/>
        </w:tabs>
        <w:snapToGrid w:val="0"/>
        <w:spacing w:after="156" w:afterLines="50"/>
        <w:ind w:left="850" w:leftChars="203" w:hanging="424" w:hangingChars="202"/>
      </w:pPr>
      <w:r>
        <w:rPr>
          <w:rFonts w:hint="eastAsia"/>
        </w:rPr>
        <w:t>3</w:t>
      </w:r>
      <w:r>
        <w:rPr>
          <w:rFonts w:hint="eastAsia"/>
        </w:rPr>
        <w:tab/>
      </w:r>
      <w:r>
        <w:t>供应商须按照用户需求书逐条完整填写响应表。如果未完整填写响应表的各项内容则视作供应商已经对磋商文件相关要求和内容完全理解并同意，其报价为在此基础上的完全价格。</w:t>
      </w:r>
    </w:p>
    <w:p>
      <w:pPr>
        <w:tabs>
          <w:tab w:val="left" w:pos="1200"/>
        </w:tabs>
        <w:snapToGrid w:val="0"/>
        <w:spacing w:after="156" w:afterLines="50"/>
        <w:ind w:left="850" w:leftChars="203" w:hanging="424" w:hangingChars="202"/>
      </w:pPr>
      <w:r>
        <w:rPr>
          <w:rFonts w:hint="eastAsia"/>
        </w:rPr>
        <w:t>4</w:t>
      </w:r>
      <w:r>
        <w:rPr>
          <w:rFonts w:hint="eastAsia"/>
        </w:rPr>
        <w:tab/>
      </w:r>
      <w:r>
        <w:t>在采购人与成交供应商签订合同</w:t>
      </w:r>
      <w:r>
        <w:rPr>
          <w:rFonts w:hint="eastAsia"/>
        </w:rPr>
        <w:t>时</w:t>
      </w:r>
      <w:r>
        <w:t>，</w:t>
      </w:r>
      <w:r>
        <w:rPr>
          <w:rFonts w:hint="eastAsia"/>
        </w:rPr>
        <w:t>如</w:t>
      </w:r>
      <w:r>
        <w:t>成交供应商未在响应文件“响应表”中列出偏离说明，</w:t>
      </w:r>
      <w:r>
        <w:rPr>
          <w:rFonts w:hint="eastAsia"/>
        </w:rPr>
        <w:t>无论即将发生或已发生任何情形</w:t>
      </w:r>
      <w:r>
        <w:t>，均视为完全符合磋商文件要求</w:t>
      </w:r>
      <w:r>
        <w:rPr>
          <w:rFonts w:hint="eastAsia"/>
        </w:rPr>
        <w:t>，并</w:t>
      </w:r>
      <w:r>
        <w:t>写入合同。若成交供应商在合同签订前，以上述事项为借口而不履行合同签订手续及执行合同，则视作</w:t>
      </w:r>
      <w:r>
        <w:rPr>
          <w:rFonts w:hint="eastAsia"/>
        </w:rPr>
        <w:t>拒绝与采购人签订合同</w:t>
      </w:r>
      <w:r>
        <w:t>。</w:t>
      </w:r>
    </w:p>
    <w:p>
      <w:pPr>
        <w:rPr>
          <w:b/>
          <w:sz w:val="32"/>
          <w:szCs w:val="32"/>
        </w:rPr>
      </w:pPr>
      <w:r>
        <w:rPr>
          <w:b/>
          <w:sz w:val="32"/>
          <w:szCs w:val="32"/>
        </w:rPr>
        <w:br w:type="page"/>
      </w:r>
    </w:p>
    <w:p>
      <w:pPr>
        <w:pStyle w:val="425"/>
        <w:spacing w:line="360" w:lineRule="auto"/>
        <w:ind w:firstLine="0" w:firstLineChars="0"/>
        <w:outlineLvl w:val="1"/>
        <w:rPr>
          <w:b/>
          <w:sz w:val="24"/>
        </w:rPr>
      </w:pPr>
      <w:bookmarkStart w:id="179" w:name="_Toc8001"/>
      <w:bookmarkStart w:id="180" w:name="_Toc4887"/>
      <w:bookmarkStart w:id="181" w:name="_Toc157759075"/>
      <w:r>
        <w:rPr>
          <w:rFonts w:hint="eastAsia"/>
          <w:b/>
          <w:sz w:val="24"/>
        </w:rPr>
        <w:t>附件13 服务的主要内容、服务标准、工作思路、服务方案等要求的响应</w:t>
      </w:r>
      <w:bookmarkEnd w:id="179"/>
      <w:bookmarkEnd w:id="180"/>
    </w:p>
    <w:p>
      <w:pPr>
        <w:spacing w:line="360" w:lineRule="auto"/>
        <w:rPr>
          <w:rFonts w:asciiTheme="minorEastAsia" w:hAnsiTheme="minorEastAsia" w:eastAsiaTheme="minorEastAsia"/>
          <w:sz w:val="24"/>
        </w:rPr>
      </w:pPr>
    </w:p>
    <w:p>
      <w:pPr>
        <w:spacing w:line="360" w:lineRule="auto"/>
        <w:rPr>
          <w:rFonts w:asciiTheme="minorEastAsia" w:hAnsiTheme="minorEastAsia" w:eastAsiaTheme="minorEastAsia"/>
          <w:sz w:val="24"/>
        </w:rPr>
      </w:pPr>
      <w:r>
        <w:rPr>
          <w:rFonts w:hint="eastAsia" w:asciiTheme="minorEastAsia" w:hAnsiTheme="minorEastAsia" w:eastAsiaTheme="minorEastAsia"/>
          <w:sz w:val="24"/>
        </w:rPr>
        <w:t>包括：</w:t>
      </w:r>
      <w:bookmarkEnd w:id="181"/>
      <w:r>
        <w:rPr>
          <w:rFonts w:hint="eastAsia" w:ascii="宋体" w:hAnsi="宋体" w:cs="黑体"/>
          <w:kern w:val="0"/>
          <w:sz w:val="24"/>
        </w:rPr>
        <w:t>服务方案、服务措施及标准等，根据用户需求及评审办法的技术方案，格式自拟。</w:t>
      </w:r>
    </w:p>
    <w:p>
      <w:pPr>
        <w:spacing w:before="156" w:beforeLines="50" w:line="440" w:lineRule="exact"/>
        <w:ind w:left="-103" w:leftChars="-49" w:firstLine="1169" w:firstLineChars="557"/>
      </w:pPr>
    </w:p>
    <w:p>
      <w:pPr>
        <w:spacing w:before="156" w:beforeLines="50" w:line="440" w:lineRule="exact"/>
        <w:ind w:left="-103" w:leftChars="-49" w:firstLine="1169" w:firstLineChars="557"/>
      </w:pPr>
    </w:p>
    <w:p>
      <w:pPr>
        <w:spacing w:before="156" w:beforeLines="50" w:line="440" w:lineRule="exact"/>
        <w:ind w:left="-103" w:leftChars="-49" w:firstLine="1169" w:firstLineChars="557"/>
      </w:pPr>
    </w:p>
    <w:p>
      <w:pPr>
        <w:spacing w:before="156" w:beforeLines="50" w:line="440" w:lineRule="exact"/>
        <w:ind w:left="-103" w:leftChars="-49" w:firstLine="1169" w:firstLineChars="557"/>
      </w:pPr>
    </w:p>
    <w:p>
      <w:pPr>
        <w:spacing w:before="156" w:beforeLines="50" w:line="440" w:lineRule="exact"/>
        <w:ind w:left="-103" w:leftChars="-49" w:firstLine="1169" w:firstLineChars="557"/>
      </w:pPr>
    </w:p>
    <w:p>
      <w:pPr>
        <w:spacing w:before="156" w:beforeLines="50" w:line="440" w:lineRule="exact"/>
        <w:ind w:left="-103" w:leftChars="-49" w:firstLine="1169" w:firstLineChars="557"/>
      </w:pPr>
      <w:r>
        <w:rPr>
          <w:rFonts w:hint="eastAsia"/>
        </w:rPr>
        <w:t>供应商：（公章）</w:t>
      </w:r>
    </w:p>
    <w:p>
      <w:pPr>
        <w:spacing w:before="156" w:beforeLines="50" w:line="440" w:lineRule="exact"/>
        <w:ind w:left="1105" w:leftChars="526" w:firstLine="15"/>
      </w:pPr>
      <w:r>
        <w:t>法定代表人或其授权代表：（</w:t>
      </w:r>
      <w:r>
        <w:rPr>
          <w:rFonts w:hint="eastAsia"/>
        </w:rPr>
        <w:t>签字或加盖人名章</w:t>
      </w:r>
      <w:r>
        <w:t>）</w:t>
      </w:r>
    </w:p>
    <w:p>
      <w:pPr>
        <w:spacing w:before="156" w:beforeLines="50" w:line="440" w:lineRule="exact"/>
        <w:ind w:left="1105" w:leftChars="526" w:firstLine="15"/>
      </w:pPr>
      <w:r>
        <w:t>日期：</w:t>
      </w:r>
    </w:p>
    <w:p>
      <w:pPr>
        <w:spacing w:before="156" w:beforeLines="50" w:line="440" w:lineRule="exact"/>
        <w:ind w:left="1105" w:leftChars="526" w:firstLine="15"/>
      </w:pPr>
      <w:r>
        <w:br w:type="page"/>
      </w:r>
    </w:p>
    <w:p>
      <w:pPr>
        <w:pStyle w:val="425"/>
        <w:spacing w:before="156" w:line="360" w:lineRule="auto"/>
        <w:ind w:firstLine="0" w:firstLineChars="0"/>
        <w:outlineLvl w:val="1"/>
        <w:rPr>
          <w:b/>
          <w:i/>
          <w:iCs/>
          <w:sz w:val="24"/>
        </w:rPr>
      </w:pPr>
      <w:bookmarkStart w:id="182" w:name="_Toc27657"/>
      <w:bookmarkStart w:id="183" w:name="_Toc17221"/>
      <w:r>
        <w:rPr>
          <w:rFonts w:hint="eastAsia"/>
          <w:b/>
          <w:sz w:val="24"/>
        </w:rPr>
        <w:t>附件14 拟派服务实施人员表</w:t>
      </w:r>
      <w:bookmarkEnd w:id="182"/>
      <w:bookmarkEnd w:id="183"/>
    </w:p>
    <w:p>
      <w:pPr>
        <w:widowControl/>
        <w:jc w:val="center"/>
        <w:outlineLvl w:val="2"/>
        <w:rPr>
          <w:rFonts w:ascii="Arial" w:hAnsi="Arial" w:eastAsia="黑体"/>
        </w:rPr>
      </w:pPr>
      <w:r>
        <w:rPr>
          <w:rFonts w:hint="eastAsia" w:ascii="Arial" w:hAnsi="Arial" w:eastAsia="黑体" w:cs="Arial"/>
          <w:sz w:val="30"/>
          <w:szCs w:val="30"/>
        </w:rPr>
        <w:t>拟派服务实施人员表</w:t>
      </w:r>
    </w:p>
    <w:tbl>
      <w:tblPr>
        <w:tblStyle w:val="73"/>
        <w:tblW w:w="908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134"/>
        <w:gridCol w:w="1042"/>
        <w:gridCol w:w="992"/>
        <w:gridCol w:w="992"/>
        <w:gridCol w:w="1098"/>
        <w:gridCol w:w="230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26" w:type="dxa"/>
            <w:vAlign w:val="center"/>
          </w:tcPr>
          <w:p>
            <w:pPr>
              <w:jc w:val="center"/>
              <w:rPr>
                <w:rFonts w:ascii="Arial" w:hAnsi="Arial" w:eastAsia="黑体" w:cs="Arial"/>
              </w:rPr>
            </w:pPr>
            <w:r>
              <w:rPr>
                <w:rFonts w:ascii="Arial" w:hAnsi="Arial" w:eastAsia="黑体" w:cs="Arial"/>
              </w:rPr>
              <w:t>类别</w:t>
            </w:r>
          </w:p>
        </w:tc>
        <w:tc>
          <w:tcPr>
            <w:tcW w:w="1134" w:type="dxa"/>
            <w:vAlign w:val="center"/>
          </w:tcPr>
          <w:p>
            <w:pPr>
              <w:jc w:val="center"/>
              <w:rPr>
                <w:rFonts w:ascii="Arial" w:hAnsi="Arial" w:eastAsia="黑体" w:cs="Arial"/>
              </w:rPr>
            </w:pPr>
            <w:r>
              <w:rPr>
                <w:rFonts w:ascii="Arial" w:hAnsi="Arial" w:eastAsia="黑体" w:cs="Arial"/>
              </w:rPr>
              <w:t>姓名</w:t>
            </w:r>
          </w:p>
        </w:tc>
        <w:tc>
          <w:tcPr>
            <w:tcW w:w="1042" w:type="dxa"/>
            <w:vAlign w:val="center"/>
          </w:tcPr>
          <w:p>
            <w:pPr>
              <w:jc w:val="center"/>
              <w:rPr>
                <w:rFonts w:ascii="Arial" w:hAnsi="Arial" w:eastAsia="黑体" w:cs="Arial"/>
              </w:rPr>
            </w:pPr>
            <w:r>
              <w:rPr>
                <w:rFonts w:ascii="Arial" w:hAnsi="Arial" w:eastAsia="黑体" w:cs="Arial"/>
              </w:rPr>
              <w:t>性别</w:t>
            </w:r>
          </w:p>
        </w:tc>
        <w:tc>
          <w:tcPr>
            <w:tcW w:w="992" w:type="dxa"/>
            <w:vAlign w:val="center"/>
          </w:tcPr>
          <w:p>
            <w:pPr>
              <w:jc w:val="center"/>
              <w:rPr>
                <w:rFonts w:ascii="Arial" w:hAnsi="Arial" w:eastAsia="黑体" w:cs="Arial"/>
              </w:rPr>
            </w:pPr>
            <w:r>
              <w:rPr>
                <w:rFonts w:ascii="Arial" w:hAnsi="Arial" w:eastAsia="黑体" w:cs="Arial"/>
              </w:rPr>
              <w:t>专业</w:t>
            </w:r>
          </w:p>
        </w:tc>
        <w:tc>
          <w:tcPr>
            <w:tcW w:w="992" w:type="dxa"/>
            <w:vAlign w:val="center"/>
          </w:tcPr>
          <w:p>
            <w:pPr>
              <w:jc w:val="center"/>
              <w:rPr>
                <w:rFonts w:ascii="Arial" w:hAnsi="Arial" w:eastAsia="黑体" w:cs="Arial"/>
              </w:rPr>
            </w:pPr>
            <w:r>
              <w:rPr>
                <w:rFonts w:hint="eastAsia" w:ascii="Arial" w:hAnsi="Arial" w:eastAsia="黑体" w:cs="Arial"/>
              </w:rPr>
              <w:t>职称</w:t>
            </w:r>
          </w:p>
        </w:tc>
        <w:tc>
          <w:tcPr>
            <w:tcW w:w="1098" w:type="dxa"/>
            <w:vAlign w:val="center"/>
          </w:tcPr>
          <w:p>
            <w:pPr>
              <w:jc w:val="center"/>
              <w:rPr>
                <w:rFonts w:ascii="Arial" w:hAnsi="Arial" w:eastAsia="黑体" w:cs="Arial"/>
              </w:rPr>
            </w:pPr>
            <w:r>
              <w:rPr>
                <w:rFonts w:hint="eastAsia" w:ascii="Arial" w:hAnsi="Arial" w:eastAsia="黑体" w:cs="Arial"/>
              </w:rPr>
              <w:t>主要资历</w:t>
            </w:r>
          </w:p>
        </w:tc>
        <w:tc>
          <w:tcPr>
            <w:tcW w:w="2304" w:type="dxa"/>
            <w:vAlign w:val="center"/>
          </w:tcPr>
          <w:p>
            <w:pPr>
              <w:jc w:val="center"/>
              <w:rPr>
                <w:rFonts w:ascii="Arial" w:hAnsi="Arial" w:eastAsia="黑体" w:cs="Arial"/>
              </w:rPr>
            </w:pPr>
            <w:r>
              <w:rPr>
                <w:rFonts w:hint="eastAsia" w:ascii="Arial" w:hAnsi="Arial" w:eastAsia="黑体" w:cs="Arial"/>
              </w:rPr>
              <w:t>经验及承担过的项目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26" w:type="dxa"/>
            <w:vAlign w:val="center"/>
          </w:tcPr>
          <w:p>
            <w:pPr>
              <w:jc w:val="center"/>
              <w:rPr>
                <w:rFonts w:ascii="Arial" w:hAnsi="Arial" w:eastAsia="黑体" w:cs="Arial"/>
              </w:rPr>
            </w:pPr>
            <w:r>
              <w:rPr>
                <w:rFonts w:ascii="Arial" w:hAnsi="Arial" w:eastAsia="黑体" w:cs="Arial"/>
              </w:rPr>
              <w:t>项目负责人</w:t>
            </w:r>
          </w:p>
        </w:tc>
        <w:tc>
          <w:tcPr>
            <w:tcW w:w="1134" w:type="dxa"/>
            <w:vAlign w:val="center"/>
          </w:tcPr>
          <w:p>
            <w:pPr>
              <w:rPr>
                <w:rFonts w:ascii="Arial" w:hAnsi="Arial" w:cs="Arial"/>
              </w:rPr>
            </w:pPr>
          </w:p>
        </w:tc>
        <w:tc>
          <w:tcPr>
            <w:tcW w:w="1042" w:type="dxa"/>
            <w:vAlign w:val="center"/>
          </w:tcPr>
          <w:p>
            <w:pPr>
              <w:rPr>
                <w:rFonts w:ascii="Arial" w:hAnsi="Arial" w:cs="Arial"/>
              </w:rPr>
            </w:pPr>
          </w:p>
        </w:tc>
        <w:tc>
          <w:tcPr>
            <w:tcW w:w="992" w:type="dxa"/>
          </w:tcPr>
          <w:p>
            <w:pPr>
              <w:rPr>
                <w:rFonts w:ascii="Arial" w:hAnsi="Arial" w:cs="Arial"/>
              </w:rPr>
            </w:pPr>
          </w:p>
        </w:tc>
        <w:tc>
          <w:tcPr>
            <w:tcW w:w="992" w:type="dxa"/>
          </w:tcPr>
          <w:p>
            <w:pPr>
              <w:rPr>
                <w:rFonts w:ascii="Arial" w:hAnsi="Arial" w:cs="Arial"/>
              </w:rPr>
            </w:pPr>
          </w:p>
        </w:tc>
        <w:tc>
          <w:tcPr>
            <w:tcW w:w="1098" w:type="dxa"/>
          </w:tcPr>
          <w:p>
            <w:pPr>
              <w:rPr>
                <w:rFonts w:ascii="Arial" w:hAnsi="Arial" w:cs="Arial"/>
              </w:rPr>
            </w:pPr>
          </w:p>
        </w:tc>
        <w:tc>
          <w:tcPr>
            <w:tcW w:w="2304" w:type="dxa"/>
            <w:vAlign w:val="center"/>
          </w:tcPr>
          <w:p>
            <w:pP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26" w:type="dxa"/>
            <w:vMerge w:val="restart"/>
            <w:vAlign w:val="center"/>
          </w:tcPr>
          <w:p>
            <w:pPr>
              <w:jc w:val="center"/>
              <w:rPr>
                <w:rFonts w:ascii="Arial" w:hAnsi="Arial" w:eastAsia="黑体" w:cs="Arial"/>
              </w:rPr>
            </w:pPr>
            <w:r>
              <w:rPr>
                <w:rFonts w:ascii="Arial" w:hAnsi="Arial" w:eastAsia="黑体" w:cs="Arial"/>
              </w:rPr>
              <w:t>其他人员</w:t>
            </w:r>
          </w:p>
        </w:tc>
        <w:tc>
          <w:tcPr>
            <w:tcW w:w="1134" w:type="dxa"/>
            <w:vAlign w:val="center"/>
          </w:tcPr>
          <w:p>
            <w:pPr>
              <w:rPr>
                <w:rFonts w:ascii="Arial" w:hAnsi="Arial" w:cs="Arial"/>
              </w:rPr>
            </w:pPr>
          </w:p>
        </w:tc>
        <w:tc>
          <w:tcPr>
            <w:tcW w:w="1042" w:type="dxa"/>
            <w:vAlign w:val="center"/>
          </w:tcPr>
          <w:p>
            <w:pPr>
              <w:rPr>
                <w:rFonts w:ascii="Arial" w:hAnsi="Arial" w:cs="Arial"/>
              </w:rPr>
            </w:pPr>
          </w:p>
        </w:tc>
        <w:tc>
          <w:tcPr>
            <w:tcW w:w="992" w:type="dxa"/>
          </w:tcPr>
          <w:p>
            <w:pPr>
              <w:rPr>
                <w:rFonts w:ascii="Arial" w:hAnsi="Arial" w:cs="Arial"/>
              </w:rPr>
            </w:pPr>
          </w:p>
        </w:tc>
        <w:tc>
          <w:tcPr>
            <w:tcW w:w="992" w:type="dxa"/>
          </w:tcPr>
          <w:p>
            <w:pPr>
              <w:rPr>
                <w:rFonts w:ascii="Arial" w:hAnsi="Arial" w:cs="Arial"/>
              </w:rPr>
            </w:pPr>
          </w:p>
        </w:tc>
        <w:tc>
          <w:tcPr>
            <w:tcW w:w="1098" w:type="dxa"/>
          </w:tcPr>
          <w:p>
            <w:pPr>
              <w:rPr>
                <w:rFonts w:ascii="Arial" w:hAnsi="Arial" w:cs="Arial"/>
              </w:rPr>
            </w:pPr>
          </w:p>
        </w:tc>
        <w:tc>
          <w:tcPr>
            <w:tcW w:w="2304" w:type="dxa"/>
            <w:vAlign w:val="center"/>
          </w:tcPr>
          <w:p>
            <w:pP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26" w:type="dxa"/>
            <w:vMerge w:val="continue"/>
            <w:vAlign w:val="center"/>
          </w:tcPr>
          <w:p>
            <w:pPr>
              <w:jc w:val="center"/>
              <w:rPr>
                <w:rFonts w:ascii="Arial" w:hAnsi="Arial" w:eastAsia="黑体" w:cs="Arial"/>
              </w:rPr>
            </w:pPr>
          </w:p>
        </w:tc>
        <w:tc>
          <w:tcPr>
            <w:tcW w:w="1134" w:type="dxa"/>
            <w:vAlign w:val="center"/>
          </w:tcPr>
          <w:p>
            <w:pPr>
              <w:rPr>
                <w:rFonts w:ascii="Arial" w:hAnsi="Arial" w:cs="Arial"/>
              </w:rPr>
            </w:pPr>
          </w:p>
        </w:tc>
        <w:tc>
          <w:tcPr>
            <w:tcW w:w="1042" w:type="dxa"/>
            <w:vAlign w:val="center"/>
          </w:tcPr>
          <w:p>
            <w:pPr>
              <w:rPr>
                <w:rFonts w:ascii="Arial" w:hAnsi="Arial" w:cs="Arial"/>
              </w:rPr>
            </w:pPr>
          </w:p>
        </w:tc>
        <w:tc>
          <w:tcPr>
            <w:tcW w:w="992" w:type="dxa"/>
          </w:tcPr>
          <w:p>
            <w:pPr>
              <w:rPr>
                <w:rFonts w:ascii="Arial" w:hAnsi="Arial" w:cs="Arial"/>
              </w:rPr>
            </w:pPr>
          </w:p>
        </w:tc>
        <w:tc>
          <w:tcPr>
            <w:tcW w:w="992" w:type="dxa"/>
          </w:tcPr>
          <w:p>
            <w:pPr>
              <w:rPr>
                <w:rFonts w:ascii="Arial" w:hAnsi="Arial" w:cs="Arial"/>
              </w:rPr>
            </w:pPr>
          </w:p>
        </w:tc>
        <w:tc>
          <w:tcPr>
            <w:tcW w:w="1098" w:type="dxa"/>
          </w:tcPr>
          <w:p>
            <w:pPr>
              <w:rPr>
                <w:rFonts w:ascii="Arial" w:hAnsi="Arial" w:cs="Arial"/>
              </w:rPr>
            </w:pPr>
          </w:p>
        </w:tc>
        <w:tc>
          <w:tcPr>
            <w:tcW w:w="2304" w:type="dxa"/>
            <w:vAlign w:val="center"/>
          </w:tcPr>
          <w:p>
            <w:pP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26" w:type="dxa"/>
            <w:vMerge w:val="continue"/>
            <w:vAlign w:val="center"/>
          </w:tcPr>
          <w:p>
            <w:pPr>
              <w:jc w:val="center"/>
              <w:rPr>
                <w:rFonts w:ascii="Arial" w:hAnsi="Arial" w:eastAsia="黑体" w:cs="Arial"/>
              </w:rPr>
            </w:pPr>
          </w:p>
        </w:tc>
        <w:tc>
          <w:tcPr>
            <w:tcW w:w="1134" w:type="dxa"/>
            <w:vAlign w:val="center"/>
          </w:tcPr>
          <w:p>
            <w:pPr>
              <w:rPr>
                <w:rFonts w:ascii="Arial" w:hAnsi="Arial" w:cs="Arial"/>
              </w:rPr>
            </w:pPr>
          </w:p>
        </w:tc>
        <w:tc>
          <w:tcPr>
            <w:tcW w:w="1042" w:type="dxa"/>
            <w:vAlign w:val="center"/>
          </w:tcPr>
          <w:p>
            <w:pPr>
              <w:rPr>
                <w:rFonts w:ascii="Arial" w:hAnsi="Arial" w:cs="Arial"/>
              </w:rPr>
            </w:pPr>
          </w:p>
        </w:tc>
        <w:tc>
          <w:tcPr>
            <w:tcW w:w="992" w:type="dxa"/>
          </w:tcPr>
          <w:p>
            <w:pPr>
              <w:rPr>
                <w:rFonts w:ascii="Arial" w:hAnsi="Arial" w:cs="Arial"/>
              </w:rPr>
            </w:pPr>
          </w:p>
        </w:tc>
        <w:tc>
          <w:tcPr>
            <w:tcW w:w="992" w:type="dxa"/>
          </w:tcPr>
          <w:p>
            <w:pPr>
              <w:rPr>
                <w:rFonts w:ascii="Arial" w:hAnsi="Arial" w:cs="Arial"/>
              </w:rPr>
            </w:pPr>
          </w:p>
        </w:tc>
        <w:tc>
          <w:tcPr>
            <w:tcW w:w="1098" w:type="dxa"/>
          </w:tcPr>
          <w:p>
            <w:pPr>
              <w:rPr>
                <w:rFonts w:ascii="Arial" w:hAnsi="Arial" w:cs="Arial"/>
              </w:rPr>
            </w:pPr>
          </w:p>
        </w:tc>
        <w:tc>
          <w:tcPr>
            <w:tcW w:w="2304" w:type="dxa"/>
            <w:vAlign w:val="center"/>
          </w:tcPr>
          <w:p>
            <w:pP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26" w:type="dxa"/>
            <w:vMerge w:val="continue"/>
            <w:vAlign w:val="center"/>
          </w:tcPr>
          <w:p>
            <w:pPr>
              <w:jc w:val="center"/>
              <w:rPr>
                <w:rFonts w:ascii="Arial" w:hAnsi="Arial" w:eastAsia="黑体" w:cs="Arial"/>
              </w:rPr>
            </w:pPr>
          </w:p>
        </w:tc>
        <w:tc>
          <w:tcPr>
            <w:tcW w:w="1134" w:type="dxa"/>
            <w:vAlign w:val="center"/>
          </w:tcPr>
          <w:p>
            <w:pPr>
              <w:rPr>
                <w:rFonts w:ascii="Arial" w:hAnsi="Arial" w:cs="Arial"/>
              </w:rPr>
            </w:pPr>
          </w:p>
        </w:tc>
        <w:tc>
          <w:tcPr>
            <w:tcW w:w="1042" w:type="dxa"/>
            <w:vAlign w:val="center"/>
          </w:tcPr>
          <w:p>
            <w:pPr>
              <w:rPr>
                <w:rFonts w:ascii="Arial" w:hAnsi="Arial" w:cs="Arial"/>
              </w:rPr>
            </w:pPr>
          </w:p>
        </w:tc>
        <w:tc>
          <w:tcPr>
            <w:tcW w:w="992" w:type="dxa"/>
          </w:tcPr>
          <w:p>
            <w:pPr>
              <w:rPr>
                <w:rFonts w:ascii="Arial" w:hAnsi="Arial" w:cs="Arial"/>
              </w:rPr>
            </w:pPr>
          </w:p>
        </w:tc>
        <w:tc>
          <w:tcPr>
            <w:tcW w:w="992" w:type="dxa"/>
          </w:tcPr>
          <w:p>
            <w:pPr>
              <w:rPr>
                <w:rFonts w:ascii="Arial" w:hAnsi="Arial" w:cs="Arial"/>
              </w:rPr>
            </w:pPr>
          </w:p>
        </w:tc>
        <w:tc>
          <w:tcPr>
            <w:tcW w:w="1098" w:type="dxa"/>
          </w:tcPr>
          <w:p>
            <w:pPr>
              <w:rPr>
                <w:rFonts w:ascii="Arial" w:hAnsi="Arial" w:cs="Arial"/>
              </w:rPr>
            </w:pPr>
          </w:p>
        </w:tc>
        <w:tc>
          <w:tcPr>
            <w:tcW w:w="2304" w:type="dxa"/>
            <w:vAlign w:val="center"/>
          </w:tcPr>
          <w:p>
            <w:pP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8" w:hRule="atLeast"/>
          <w:jc w:val="center"/>
        </w:trPr>
        <w:tc>
          <w:tcPr>
            <w:tcW w:w="1526" w:type="dxa"/>
            <w:vMerge w:val="continue"/>
            <w:vAlign w:val="center"/>
          </w:tcPr>
          <w:p>
            <w:pPr>
              <w:jc w:val="center"/>
              <w:rPr>
                <w:rFonts w:ascii="Arial" w:hAnsi="Arial" w:eastAsia="黑体" w:cs="Arial"/>
              </w:rPr>
            </w:pPr>
          </w:p>
        </w:tc>
        <w:tc>
          <w:tcPr>
            <w:tcW w:w="1134" w:type="dxa"/>
            <w:vAlign w:val="center"/>
          </w:tcPr>
          <w:p>
            <w:pPr>
              <w:rPr>
                <w:rFonts w:ascii="Arial" w:hAnsi="Arial" w:cs="Arial"/>
              </w:rPr>
            </w:pPr>
          </w:p>
        </w:tc>
        <w:tc>
          <w:tcPr>
            <w:tcW w:w="1042" w:type="dxa"/>
            <w:vAlign w:val="center"/>
          </w:tcPr>
          <w:p>
            <w:pPr>
              <w:rPr>
                <w:rFonts w:ascii="Arial" w:hAnsi="Arial" w:cs="Arial"/>
              </w:rPr>
            </w:pPr>
          </w:p>
        </w:tc>
        <w:tc>
          <w:tcPr>
            <w:tcW w:w="992" w:type="dxa"/>
          </w:tcPr>
          <w:p>
            <w:pPr>
              <w:rPr>
                <w:rFonts w:ascii="Arial" w:hAnsi="Arial" w:cs="Arial"/>
              </w:rPr>
            </w:pPr>
          </w:p>
        </w:tc>
        <w:tc>
          <w:tcPr>
            <w:tcW w:w="992" w:type="dxa"/>
          </w:tcPr>
          <w:p>
            <w:pPr>
              <w:rPr>
                <w:rFonts w:ascii="Arial" w:hAnsi="Arial" w:cs="Arial"/>
              </w:rPr>
            </w:pPr>
          </w:p>
        </w:tc>
        <w:tc>
          <w:tcPr>
            <w:tcW w:w="1098" w:type="dxa"/>
          </w:tcPr>
          <w:p>
            <w:pPr>
              <w:rPr>
                <w:rFonts w:ascii="Arial" w:hAnsi="Arial" w:cs="Arial"/>
              </w:rPr>
            </w:pPr>
          </w:p>
        </w:tc>
        <w:tc>
          <w:tcPr>
            <w:tcW w:w="2304" w:type="dxa"/>
            <w:vAlign w:val="center"/>
          </w:tcPr>
          <w:p>
            <w:pP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26" w:type="dxa"/>
            <w:vMerge w:val="continue"/>
            <w:vAlign w:val="center"/>
          </w:tcPr>
          <w:p>
            <w:pPr>
              <w:jc w:val="center"/>
              <w:rPr>
                <w:rFonts w:ascii="Arial" w:hAnsi="Arial" w:eastAsia="黑体" w:cs="Arial"/>
              </w:rPr>
            </w:pPr>
          </w:p>
        </w:tc>
        <w:tc>
          <w:tcPr>
            <w:tcW w:w="1134" w:type="dxa"/>
            <w:vAlign w:val="center"/>
          </w:tcPr>
          <w:p>
            <w:pPr>
              <w:rPr>
                <w:rFonts w:ascii="Arial" w:hAnsi="Arial" w:cs="Arial"/>
              </w:rPr>
            </w:pPr>
          </w:p>
        </w:tc>
        <w:tc>
          <w:tcPr>
            <w:tcW w:w="1042" w:type="dxa"/>
            <w:vAlign w:val="center"/>
          </w:tcPr>
          <w:p>
            <w:pPr>
              <w:rPr>
                <w:rFonts w:ascii="Arial" w:hAnsi="Arial" w:cs="Arial"/>
              </w:rPr>
            </w:pPr>
          </w:p>
        </w:tc>
        <w:tc>
          <w:tcPr>
            <w:tcW w:w="992" w:type="dxa"/>
          </w:tcPr>
          <w:p>
            <w:pPr>
              <w:rPr>
                <w:rFonts w:ascii="Arial" w:hAnsi="Arial" w:cs="Arial"/>
              </w:rPr>
            </w:pPr>
          </w:p>
        </w:tc>
        <w:tc>
          <w:tcPr>
            <w:tcW w:w="992" w:type="dxa"/>
          </w:tcPr>
          <w:p>
            <w:pPr>
              <w:rPr>
                <w:rFonts w:ascii="Arial" w:hAnsi="Arial" w:cs="Arial"/>
              </w:rPr>
            </w:pPr>
          </w:p>
        </w:tc>
        <w:tc>
          <w:tcPr>
            <w:tcW w:w="1098" w:type="dxa"/>
          </w:tcPr>
          <w:p>
            <w:pPr>
              <w:rPr>
                <w:rFonts w:ascii="Arial" w:hAnsi="Arial" w:cs="Arial"/>
              </w:rPr>
            </w:pPr>
          </w:p>
        </w:tc>
        <w:tc>
          <w:tcPr>
            <w:tcW w:w="2304" w:type="dxa"/>
            <w:vAlign w:val="center"/>
          </w:tcPr>
          <w:p>
            <w:pP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26" w:type="dxa"/>
            <w:vMerge w:val="continue"/>
            <w:vAlign w:val="center"/>
          </w:tcPr>
          <w:p>
            <w:pPr>
              <w:jc w:val="center"/>
              <w:rPr>
                <w:rFonts w:ascii="Arial" w:hAnsi="Arial" w:eastAsia="黑体" w:cs="Arial"/>
              </w:rPr>
            </w:pPr>
          </w:p>
        </w:tc>
        <w:tc>
          <w:tcPr>
            <w:tcW w:w="1134" w:type="dxa"/>
            <w:vAlign w:val="center"/>
          </w:tcPr>
          <w:p>
            <w:pPr>
              <w:rPr>
                <w:rFonts w:ascii="Arial" w:hAnsi="Arial" w:cs="Arial"/>
              </w:rPr>
            </w:pPr>
          </w:p>
        </w:tc>
        <w:tc>
          <w:tcPr>
            <w:tcW w:w="1042" w:type="dxa"/>
            <w:vAlign w:val="center"/>
          </w:tcPr>
          <w:p>
            <w:pPr>
              <w:rPr>
                <w:rFonts w:ascii="Arial" w:hAnsi="Arial" w:cs="Arial"/>
              </w:rPr>
            </w:pPr>
          </w:p>
        </w:tc>
        <w:tc>
          <w:tcPr>
            <w:tcW w:w="992" w:type="dxa"/>
          </w:tcPr>
          <w:p>
            <w:pPr>
              <w:rPr>
                <w:rFonts w:ascii="Arial" w:hAnsi="Arial" w:cs="Arial"/>
              </w:rPr>
            </w:pPr>
          </w:p>
        </w:tc>
        <w:tc>
          <w:tcPr>
            <w:tcW w:w="992" w:type="dxa"/>
          </w:tcPr>
          <w:p>
            <w:pPr>
              <w:rPr>
                <w:rFonts w:ascii="Arial" w:hAnsi="Arial" w:cs="Arial"/>
              </w:rPr>
            </w:pPr>
          </w:p>
        </w:tc>
        <w:tc>
          <w:tcPr>
            <w:tcW w:w="1098" w:type="dxa"/>
          </w:tcPr>
          <w:p>
            <w:pPr>
              <w:rPr>
                <w:rFonts w:ascii="Arial" w:hAnsi="Arial" w:cs="Arial"/>
              </w:rPr>
            </w:pPr>
          </w:p>
        </w:tc>
        <w:tc>
          <w:tcPr>
            <w:tcW w:w="2304" w:type="dxa"/>
            <w:vAlign w:val="center"/>
          </w:tcPr>
          <w:p>
            <w:pPr>
              <w:rPr>
                <w:rFonts w:ascii="Arial" w:hAnsi="Arial" w:cs="Aria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1526" w:type="dxa"/>
            <w:vMerge w:val="continue"/>
            <w:vAlign w:val="center"/>
          </w:tcPr>
          <w:p>
            <w:pPr>
              <w:jc w:val="center"/>
              <w:rPr>
                <w:rFonts w:ascii="Arial" w:hAnsi="Arial" w:eastAsia="黑体" w:cs="Arial"/>
              </w:rPr>
            </w:pPr>
          </w:p>
        </w:tc>
        <w:tc>
          <w:tcPr>
            <w:tcW w:w="1134" w:type="dxa"/>
            <w:vAlign w:val="center"/>
          </w:tcPr>
          <w:p>
            <w:pPr>
              <w:rPr>
                <w:rFonts w:ascii="Arial" w:hAnsi="Arial" w:cs="Arial"/>
              </w:rPr>
            </w:pPr>
          </w:p>
        </w:tc>
        <w:tc>
          <w:tcPr>
            <w:tcW w:w="1042" w:type="dxa"/>
            <w:vAlign w:val="center"/>
          </w:tcPr>
          <w:p>
            <w:pPr>
              <w:rPr>
                <w:rFonts w:ascii="Arial" w:hAnsi="Arial" w:cs="Arial"/>
              </w:rPr>
            </w:pPr>
          </w:p>
        </w:tc>
        <w:tc>
          <w:tcPr>
            <w:tcW w:w="992" w:type="dxa"/>
          </w:tcPr>
          <w:p>
            <w:pPr>
              <w:rPr>
                <w:rFonts w:ascii="Arial" w:hAnsi="Arial" w:cs="Arial"/>
              </w:rPr>
            </w:pPr>
          </w:p>
        </w:tc>
        <w:tc>
          <w:tcPr>
            <w:tcW w:w="992" w:type="dxa"/>
          </w:tcPr>
          <w:p>
            <w:pPr>
              <w:rPr>
                <w:rFonts w:ascii="Arial" w:hAnsi="Arial" w:cs="Arial"/>
              </w:rPr>
            </w:pPr>
          </w:p>
        </w:tc>
        <w:tc>
          <w:tcPr>
            <w:tcW w:w="1098" w:type="dxa"/>
          </w:tcPr>
          <w:p>
            <w:pPr>
              <w:rPr>
                <w:rFonts w:ascii="Arial" w:hAnsi="Arial" w:cs="Arial"/>
              </w:rPr>
            </w:pPr>
          </w:p>
        </w:tc>
        <w:tc>
          <w:tcPr>
            <w:tcW w:w="2304" w:type="dxa"/>
            <w:vAlign w:val="center"/>
          </w:tcPr>
          <w:p>
            <w:pPr>
              <w:rPr>
                <w:rFonts w:ascii="Arial" w:hAnsi="Arial" w:cs="Arial"/>
              </w:rPr>
            </w:pPr>
          </w:p>
        </w:tc>
      </w:tr>
    </w:tbl>
    <w:p>
      <w:pPr>
        <w:ind w:left="420" w:hanging="420" w:hangingChars="200"/>
        <w:jc w:val="left"/>
        <w:rPr>
          <w:rFonts w:ascii="宋体" w:hAnsi="宋体" w:cs="宋体"/>
          <w:bCs/>
          <w:szCs w:val="21"/>
        </w:rPr>
      </w:pPr>
    </w:p>
    <w:p>
      <w:pPr>
        <w:ind w:left="420" w:hanging="420" w:hangingChars="200"/>
        <w:jc w:val="left"/>
        <w:rPr>
          <w:rFonts w:ascii="宋体" w:hAnsi="宋体" w:cs="宋体"/>
          <w:bCs/>
          <w:szCs w:val="21"/>
        </w:rPr>
      </w:pPr>
      <w:r>
        <w:rPr>
          <w:rFonts w:hint="eastAsia" w:ascii="宋体" w:hAnsi="宋体" w:cs="宋体"/>
          <w:bCs/>
          <w:szCs w:val="21"/>
        </w:rPr>
        <w:t>注：供应商应附相应的证明材料（如：社保缴纳证明、职称或资格证书）。项目组主要人员须按照附件14-2单独列表详细说明。</w:t>
      </w:r>
    </w:p>
    <w:p>
      <w:pPr>
        <w:ind w:left="420" w:hanging="420" w:hangingChars="200"/>
        <w:jc w:val="left"/>
        <w:rPr>
          <w:rFonts w:ascii="宋体" w:hAnsi="宋体" w:cs="宋体"/>
          <w:bCs/>
          <w:szCs w:val="21"/>
        </w:rPr>
      </w:pPr>
    </w:p>
    <w:p>
      <w:pPr>
        <w:pStyle w:val="424"/>
        <w:adjustRightInd/>
        <w:snapToGrid/>
        <w:spacing w:after="0"/>
        <w:rPr>
          <w:rFonts w:ascii="宋体" w:hAnsi="宋体" w:cs="宋体"/>
          <w:sz w:val="21"/>
          <w:szCs w:val="21"/>
          <w:u w:val="single"/>
        </w:rPr>
      </w:pPr>
      <w:r>
        <w:rPr>
          <w:rFonts w:hint="eastAsia" w:ascii="宋体" w:hAnsi="宋体" w:cs="宋体"/>
          <w:sz w:val="21"/>
          <w:szCs w:val="21"/>
        </w:rPr>
        <w:t>供应商名称：</w:t>
      </w:r>
      <w:r>
        <w:rPr>
          <w:rFonts w:hint="eastAsia" w:ascii="宋体" w:hAnsi="宋体" w:cs="宋体"/>
          <w:sz w:val="21"/>
          <w:szCs w:val="21"/>
          <w:u w:val="single"/>
        </w:rPr>
        <w:t xml:space="preserve">        公章         </w:t>
      </w:r>
    </w:p>
    <w:p>
      <w:pPr>
        <w:rPr>
          <w:rFonts w:ascii="宋体" w:hAnsi="宋体" w:cs="宋体"/>
          <w:szCs w:val="21"/>
          <w:u w:val="single"/>
        </w:rPr>
      </w:pPr>
      <w:r>
        <w:rPr>
          <w:rFonts w:hint="eastAsia" w:ascii="宋体" w:hAnsi="宋体" w:cs="宋体"/>
          <w:szCs w:val="21"/>
        </w:rPr>
        <w:t>授权代表：</w:t>
      </w:r>
      <w:r>
        <w:rPr>
          <w:rFonts w:hint="eastAsia" w:ascii="宋体" w:hAnsi="宋体" w:cs="宋体"/>
          <w:szCs w:val="21"/>
          <w:u w:val="single"/>
        </w:rPr>
        <w:t xml:space="preserve">     签字或加盖人名章             </w:t>
      </w:r>
    </w:p>
    <w:p>
      <w:pPr>
        <w:jc w:val="left"/>
        <w:rPr>
          <w:rFonts w:ascii="宋体" w:hAnsi="宋体" w:cs="宋体"/>
          <w:szCs w:val="21"/>
        </w:rPr>
      </w:pPr>
      <w:r>
        <w:rPr>
          <w:rFonts w:hint="eastAsia" w:ascii="宋体" w:hAnsi="宋体" w:cs="宋体"/>
          <w:szCs w:val="21"/>
        </w:rPr>
        <w:t>日期 ：</w:t>
      </w:r>
    </w:p>
    <w:p>
      <w:pPr>
        <w:widowControl/>
        <w:jc w:val="center"/>
        <w:rPr>
          <w:rFonts w:ascii="仿宋_GB2312" w:eastAsia="仿宋_GB2312"/>
          <w:sz w:val="24"/>
        </w:rPr>
      </w:pPr>
      <w:r>
        <w:rPr>
          <w:rFonts w:ascii="Arial" w:hAnsi="Arial" w:eastAsia="黑体" w:cs="Arial"/>
          <w:sz w:val="30"/>
          <w:szCs w:val="30"/>
        </w:rPr>
        <w:br w:type="page"/>
      </w:r>
    </w:p>
    <w:bookmarkEnd w:id="154"/>
    <w:p>
      <w:pPr>
        <w:spacing w:line="360" w:lineRule="auto"/>
      </w:pPr>
    </w:p>
    <w:p>
      <w:pPr>
        <w:pStyle w:val="425"/>
        <w:spacing w:line="360" w:lineRule="auto"/>
        <w:ind w:firstLine="0" w:firstLineChars="0"/>
        <w:outlineLvl w:val="1"/>
        <w:rPr>
          <w:b/>
          <w:sz w:val="24"/>
        </w:rPr>
      </w:pPr>
      <w:bookmarkStart w:id="184" w:name="_Toc22573"/>
      <w:bookmarkStart w:id="185" w:name="_Toc1555"/>
      <w:r>
        <w:rPr>
          <w:rFonts w:hint="eastAsia"/>
          <w:b/>
          <w:sz w:val="24"/>
        </w:rPr>
        <w:t>附件15 供应商其他材料或承诺（如有）</w:t>
      </w:r>
      <w:r>
        <w:rPr>
          <w:rFonts w:hint="eastAsia"/>
          <w:b/>
          <w:sz w:val="24"/>
        </w:rPr>
        <w:br w:type="page"/>
      </w:r>
      <w:bookmarkEnd w:id="184"/>
      <w:bookmarkEnd w:id="185"/>
    </w:p>
    <w:p>
      <w:pPr>
        <w:pStyle w:val="425"/>
        <w:spacing w:line="360" w:lineRule="auto"/>
        <w:ind w:firstLine="0" w:firstLineChars="0"/>
        <w:outlineLvl w:val="1"/>
        <w:rPr>
          <w:b/>
          <w:sz w:val="24"/>
        </w:rPr>
      </w:pPr>
      <w:bookmarkStart w:id="186" w:name="_Toc16066"/>
      <w:bookmarkStart w:id="187" w:name="_Toc28946"/>
      <w:r>
        <w:rPr>
          <w:rFonts w:hint="eastAsia"/>
          <w:b/>
          <w:sz w:val="24"/>
        </w:rPr>
        <w:t>附件16最后报价函</w:t>
      </w:r>
      <w:bookmarkEnd w:id="186"/>
      <w:bookmarkEnd w:id="187"/>
    </w:p>
    <w:p>
      <w:pPr>
        <w:spacing w:line="360" w:lineRule="auto"/>
        <w:jc w:val="center"/>
        <w:rPr>
          <w:rFonts w:ascii="宋体" w:hAnsi="宋体"/>
          <w:sz w:val="24"/>
        </w:rPr>
      </w:pPr>
    </w:p>
    <w:p>
      <w:pPr>
        <w:spacing w:line="360" w:lineRule="auto"/>
        <w:jc w:val="center"/>
        <w:rPr>
          <w:rFonts w:ascii="宋体" w:hAnsi="宋体"/>
          <w:sz w:val="24"/>
        </w:rPr>
      </w:pPr>
      <w:r>
        <w:rPr>
          <w:rFonts w:hint="eastAsia" w:ascii="宋体" w:hAnsi="宋体"/>
          <w:sz w:val="24"/>
        </w:rPr>
        <w:t>最后报价函</w:t>
      </w:r>
    </w:p>
    <w:tbl>
      <w:tblPr>
        <w:tblStyle w:val="73"/>
        <w:tblW w:w="82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46"/>
        <w:gridCol w:w="63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1946" w:type="dxa"/>
            <w:vAlign w:val="center"/>
          </w:tcPr>
          <w:p>
            <w:pPr>
              <w:ind w:left="141" w:leftChars="67" w:right="103" w:rightChars="49"/>
              <w:jc w:val="center"/>
              <w:rPr>
                <w:rFonts w:asciiTheme="minorEastAsia" w:hAnsiTheme="minorEastAsia" w:eastAsiaTheme="minorEastAsia"/>
                <w:b/>
                <w:sz w:val="24"/>
              </w:rPr>
            </w:pPr>
            <w:r>
              <w:rPr>
                <w:rFonts w:hint="eastAsia" w:asciiTheme="minorEastAsia" w:hAnsiTheme="minorEastAsia" w:eastAsiaTheme="minorEastAsia"/>
                <w:b/>
                <w:sz w:val="24"/>
              </w:rPr>
              <w:t>项目编号及磋商文件名称</w:t>
            </w:r>
          </w:p>
        </w:tc>
        <w:tc>
          <w:tcPr>
            <w:tcW w:w="6329" w:type="dxa"/>
            <w:vAlign w:val="center"/>
          </w:tcPr>
          <w:p>
            <w:pPr>
              <w:ind w:left="189" w:leftChars="90" w:firstLine="1"/>
              <w:rPr>
                <w:rFonts w:asciiTheme="minorEastAsia" w:hAnsiTheme="minorEastAsia" w:eastAsiaTheme="minorEastAsia"/>
                <w:sz w:val="24"/>
              </w:rPr>
            </w:pPr>
            <w:r>
              <w:rPr>
                <w:rFonts w:hint="eastAsia" w:asciiTheme="minorEastAsia" w:hAnsiTheme="minorEastAsia" w:eastAsiaTheme="minorEastAsia"/>
                <w:sz w:val="24"/>
              </w:rPr>
              <w:t>项目编号：GXTC-CZ-D1-2052014</w:t>
            </w:r>
          </w:p>
          <w:p>
            <w:pPr>
              <w:ind w:left="189" w:leftChars="90" w:firstLine="1"/>
              <w:rPr>
                <w:rFonts w:asciiTheme="minorEastAsia" w:hAnsiTheme="minorEastAsia" w:eastAsiaTheme="minorEastAsia"/>
                <w:sz w:val="24"/>
              </w:rPr>
            </w:pPr>
            <w:r>
              <w:rPr>
                <w:rFonts w:hint="eastAsia" w:asciiTheme="minorEastAsia" w:hAnsiTheme="minorEastAsia" w:eastAsiaTheme="minorEastAsia"/>
                <w:sz w:val="24"/>
              </w:rPr>
              <w:t>磋商项目名称：</w:t>
            </w:r>
            <w:r>
              <w:rPr>
                <w:rFonts w:hint="eastAsia" w:eastAsiaTheme="minorEastAsia"/>
                <w:sz w:val="24"/>
              </w:rPr>
              <w:t>海南省海域使用金地方标准制定、海域基准价格制定和评估技术规范编制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jc w:val="center"/>
        </w:trPr>
        <w:tc>
          <w:tcPr>
            <w:tcW w:w="1946" w:type="dxa"/>
            <w:vAlign w:val="center"/>
          </w:tcPr>
          <w:p>
            <w:pPr>
              <w:ind w:left="-13" w:leftChars="-6"/>
              <w:jc w:val="center"/>
              <w:rPr>
                <w:rFonts w:asciiTheme="minorEastAsia" w:hAnsiTheme="minorEastAsia" w:eastAsiaTheme="minorEastAsia"/>
                <w:b/>
                <w:sz w:val="24"/>
              </w:rPr>
            </w:pPr>
            <w:r>
              <w:rPr>
                <w:rFonts w:hint="eastAsia" w:asciiTheme="minorEastAsia" w:hAnsiTheme="minorEastAsia" w:eastAsiaTheme="minorEastAsia"/>
                <w:b/>
                <w:sz w:val="24"/>
              </w:rPr>
              <w:t>响应文件总价</w:t>
            </w:r>
          </w:p>
        </w:tc>
        <w:tc>
          <w:tcPr>
            <w:tcW w:w="6329" w:type="dxa"/>
            <w:vAlign w:val="center"/>
          </w:tcPr>
          <w:p>
            <w:pPr>
              <w:ind w:left="189" w:leftChars="90" w:firstLine="1"/>
              <w:rPr>
                <w:rFonts w:asciiTheme="minorEastAsia" w:hAnsiTheme="minorEastAsia" w:eastAsiaTheme="minorEastAsia"/>
                <w:sz w:val="24"/>
              </w:rPr>
            </w:pPr>
            <w:r>
              <w:rPr>
                <w:rFonts w:hint="eastAsia" w:asciiTheme="minorEastAsia" w:hAnsiTheme="minorEastAsia" w:eastAsiaTheme="minorEastAsia"/>
                <w:sz w:val="24"/>
              </w:rPr>
              <w:t>人民币（小写金额）：元</w:t>
            </w:r>
          </w:p>
          <w:p>
            <w:pPr>
              <w:ind w:left="189" w:leftChars="90" w:firstLine="1"/>
              <w:rPr>
                <w:rFonts w:asciiTheme="minorEastAsia" w:hAnsiTheme="minorEastAsia" w:eastAsiaTheme="minorEastAsia"/>
                <w:sz w:val="24"/>
                <w:u w:val="single"/>
              </w:rPr>
            </w:pPr>
            <w:r>
              <w:rPr>
                <w:rFonts w:hint="eastAsia" w:asciiTheme="minorEastAsia" w:hAnsiTheme="minorEastAsia" w:eastAsiaTheme="minorEastAsia"/>
                <w:sz w:val="24"/>
              </w:rPr>
              <w:t>人民币（大写金额）：</w:t>
            </w:r>
            <w:r>
              <w:rPr>
                <w:rFonts w:hint="eastAsia" w:asciiTheme="minorEastAsia" w:hAnsiTheme="minorEastAsia" w:eastAsiaTheme="minorEastAsia"/>
                <w:sz w:val="24"/>
                <w:u w:val="single"/>
              </w:rPr>
              <w:t xml:space="preserve">                      元整</w:t>
            </w:r>
          </w:p>
          <w:p>
            <w:pPr>
              <w:ind w:left="189" w:leftChars="90" w:firstLine="1"/>
              <w:rPr>
                <w:rFonts w:asciiTheme="minorEastAsia" w:hAnsiTheme="minorEastAsia" w:eastAsiaTheme="minorEastAsia"/>
                <w:sz w:val="24"/>
              </w:rPr>
            </w:pPr>
            <w:r>
              <w:rPr>
                <w:rFonts w:hint="eastAsia" w:asciiTheme="minorEastAsia" w:hAnsiTheme="minorEastAsia" w:eastAsiaTheme="minorEastAsia"/>
                <w:sz w:val="24"/>
              </w:rPr>
              <w:t>注：如有不一致，以大写为准</w:t>
            </w:r>
          </w:p>
          <w:p>
            <w:pPr>
              <w:ind w:left="189" w:leftChars="90" w:firstLine="1"/>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1" w:hRule="atLeast"/>
          <w:jc w:val="center"/>
        </w:trPr>
        <w:tc>
          <w:tcPr>
            <w:tcW w:w="1946" w:type="dxa"/>
            <w:vAlign w:val="center"/>
          </w:tcPr>
          <w:p>
            <w:pPr>
              <w:ind w:left="-13" w:leftChars="-6"/>
              <w:jc w:val="center"/>
              <w:rPr>
                <w:rFonts w:asciiTheme="minorEastAsia" w:hAnsiTheme="minorEastAsia" w:eastAsiaTheme="minorEastAsia"/>
                <w:b/>
                <w:sz w:val="24"/>
              </w:rPr>
            </w:pPr>
            <w:r>
              <w:rPr>
                <w:rFonts w:hint="eastAsia" w:asciiTheme="minorEastAsia" w:hAnsiTheme="minorEastAsia" w:eastAsiaTheme="minorEastAsia"/>
                <w:b/>
                <w:sz w:val="24"/>
              </w:rPr>
              <w:t>服务期</w:t>
            </w:r>
          </w:p>
        </w:tc>
        <w:tc>
          <w:tcPr>
            <w:tcW w:w="6329" w:type="dxa"/>
            <w:vAlign w:val="center"/>
          </w:tcPr>
          <w:p>
            <w:pPr>
              <w:autoSpaceDE w:val="0"/>
              <w:autoSpaceDN w:val="0"/>
              <w:adjustRightInd w:val="0"/>
              <w:snapToGrid w:val="0"/>
              <w:spacing w:after="156" w:afterLines="50"/>
              <w:ind w:left="178" w:leftChars="85"/>
              <w:rPr>
                <w:rFonts w:ascii="宋体" w:hAnsi="宋体" w:cs="黑体"/>
                <w:kern w:val="0"/>
                <w:sz w:val="24"/>
                <w:highlight w:val="yellow"/>
              </w:rPr>
            </w:pPr>
            <w:r>
              <w:rPr>
                <w:rFonts w:hint="eastAsia" w:ascii="宋体" w:hAnsi="宋体" w:cs="黑体"/>
                <w:kern w:val="0"/>
                <w:sz w:val="24"/>
              </w:rPr>
              <w:t>2021年12月25日前完成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1946"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其他变化（如有）</w:t>
            </w:r>
          </w:p>
        </w:tc>
        <w:tc>
          <w:tcPr>
            <w:tcW w:w="6329" w:type="dxa"/>
            <w:vAlign w:val="center"/>
          </w:tcPr>
          <w:p>
            <w:pPr>
              <w:ind w:left="899" w:leftChars="428" w:firstLine="1"/>
              <w:rPr>
                <w:rFonts w:asciiTheme="minorEastAsia" w:hAnsiTheme="minorEastAsia" w:eastAsiaTheme="minorEastAsia"/>
                <w:sz w:val="24"/>
              </w:rPr>
            </w:pPr>
          </w:p>
          <w:p>
            <w:pPr>
              <w:ind w:left="899" w:leftChars="428" w:firstLine="1"/>
              <w:rPr>
                <w:rFonts w:asciiTheme="minorEastAsia" w:hAnsiTheme="minorEastAsia" w:eastAsiaTheme="minorEastAsia"/>
                <w:sz w:val="24"/>
              </w:rPr>
            </w:pPr>
          </w:p>
          <w:p>
            <w:pPr>
              <w:ind w:left="899" w:leftChars="428" w:firstLine="1"/>
              <w:rPr>
                <w:rFonts w:asciiTheme="minorEastAsia" w:hAnsiTheme="minorEastAsia" w:eastAsiaTheme="minorEastAsia"/>
                <w:sz w:val="24"/>
              </w:rPr>
            </w:pPr>
          </w:p>
          <w:p>
            <w:pPr>
              <w:ind w:left="899" w:leftChars="428" w:firstLine="1"/>
              <w:rPr>
                <w:rFonts w:asciiTheme="minorEastAsia" w:hAnsiTheme="minorEastAsia" w:eastAsiaTheme="minorEastAsia"/>
                <w:sz w:val="24"/>
              </w:rPr>
            </w:pPr>
          </w:p>
          <w:p>
            <w:pPr>
              <w:ind w:left="899" w:leftChars="428" w:firstLine="1"/>
              <w:rPr>
                <w:rFonts w:asciiTheme="minorEastAsia" w:hAnsiTheme="minorEastAsia" w:eastAsia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7" w:hRule="atLeast"/>
          <w:jc w:val="center"/>
        </w:trPr>
        <w:tc>
          <w:tcPr>
            <w:tcW w:w="1946" w:type="dxa"/>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声明</w:t>
            </w:r>
          </w:p>
        </w:tc>
        <w:tc>
          <w:tcPr>
            <w:tcW w:w="6329" w:type="dxa"/>
            <w:vAlign w:val="center"/>
          </w:tcPr>
          <w:p>
            <w:pPr>
              <w:pStyle w:val="39"/>
              <w:tabs>
                <w:tab w:val="left" w:pos="38"/>
              </w:tabs>
              <w:spacing w:before="120"/>
              <w:ind w:left="36" w:leftChars="17" w:firstLine="2"/>
              <w:rPr>
                <w:rFonts w:asciiTheme="minorEastAsia" w:hAnsiTheme="minorEastAsia" w:eastAsiaTheme="minorEastAsia"/>
                <w:sz w:val="24"/>
              </w:rPr>
            </w:pPr>
            <w:r>
              <w:rPr>
                <w:rFonts w:hint="eastAsia" w:asciiTheme="minorEastAsia" w:hAnsiTheme="minorEastAsia" w:eastAsiaTheme="minorEastAsia"/>
                <w:sz w:val="24"/>
              </w:rPr>
              <w:t>1、若本最后报价函与我方首次递交的报价函及报价函附录的内容有差异，以本最后报价函内容为准。</w:t>
            </w:r>
          </w:p>
          <w:p>
            <w:pPr>
              <w:pStyle w:val="39"/>
              <w:tabs>
                <w:tab w:val="left" w:pos="38"/>
              </w:tabs>
              <w:spacing w:before="120"/>
              <w:ind w:left="36" w:leftChars="17" w:firstLine="2"/>
              <w:rPr>
                <w:rFonts w:asciiTheme="minorEastAsia" w:hAnsiTheme="minorEastAsia" w:eastAsiaTheme="minorEastAsia"/>
                <w:sz w:val="24"/>
              </w:rPr>
            </w:pPr>
          </w:p>
        </w:tc>
      </w:tr>
    </w:tbl>
    <w:p>
      <w:pPr>
        <w:pStyle w:val="39"/>
        <w:tabs>
          <w:tab w:val="left" w:pos="5580"/>
        </w:tabs>
        <w:spacing w:before="120"/>
        <w:ind w:firstLine="720" w:firstLineChars="300"/>
        <w:rPr>
          <w:rFonts w:ascii="仿宋_GB2312" w:hAnsi="宋体" w:eastAsia="仿宋_GB2312"/>
          <w:sz w:val="24"/>
        </w:rPr>
      </w:pPr>
    </w:p>
    <w:p>
      <w:pPr>
        <w:pStyle w:val="39"/>
        <w:tabs>
          <w:tab w:val="left" w:pos="5340"/>
        </w:tabs>
        <w:spacing w:before="120"/>
        <w:ind w:firstLine="720" w:firstLineChars="300"/>
        <w:rPr>
          <w:rFonts w:asciiTheme="minorEastAsia" w:hAnsiTheme="minorEastAsia" w:eastAsiaTheme="minorEastAsia"/>
          <w:sz w:val="24"/>
          <w:u w:val="single"/>
        </w:rPr>
      </w:pPr>
      <w:r>
        <w:rPr>
          <w:rFonts w:hint="eastAsia" w:asciiTheme="minorEastAsia" w:hAnsiTheme="minorEastAsia" w:eastAsiaTheme="minorEastAsia"/>
          <w:sz w:val="24"/>
        </w:rPr>
        <w:t>供应商名称（盖章）：</w:t>
      </w:r>
    </w:p>
    <w:p>
      <w:pPr>
        <w:pStyle w:val="39"/>
        <w:tabs>
          <w:tab w:val="left" w:pos="5340"/>
        </w:tabs>
        <w:spacing w:before="120"/>
        <w:ind w:firstLine="720" w:firstLineChars="300"/>
        <w:rPr>
          <w:rFonts w:asciiTheme="minorEastAsia" w:hAnsiTheme="minorEastAsia" w:eastAsiaTheme="minorEastAsia"/>
          <w:sz w:val="24"/>
          <w:u w:val="single"/>
        </w:rPr>
      </w:pPr>
      <w:r>
        <w:rPr>
          <w:rFonts w:hint="eastAsia" w:asciiTheme="minorEastAsia" w:hAnsiTheme="minorEastAsia" w:eastAsiaTheme="minorEastAsia"/>
          <w:sz w:val="24"/>
        </w:rPr>
        <w:t>供应商法人代表或授权代表(签字)：</w:t>
      </w:r>
      <w:r>
        <w:rPr>
          <w:rFonts w:asciiTheme="minorEastAsia" w:hAnsiTheme="minorEastAsia" w:eastAsiaTheme="minorEastAsia"/>
          <w:sz w:val="24"/>
          <w:u w:val="single"/>
        </w:rPr>
        <w:tab/>
      </w:r>
    </w:p>
    <w:p>
      <w:pPr>
        <w:pStyle w:val="39"/>
        <w:tabs>
          <w:tab w:val="left" w:pos="5580"/>
        </w:tabs>
        <w:spacing w:before="120"/>
        <w:ind w:firstLine="720" w:firstLineChars="300"/>
        <w:rPr>
          <w:rFonts w:asciiTheme="minorEastAsia" w:hAnsiTheme="minorEastAsia" w:eastAsiaTheme="minorEastAsia"/>
          <w:sz w:val="24"/>
          <w:u w:val="single"/>
        </w:rPr>
      </w:pPr>
      <w:r>
        <w:rPr>
          <w:rFonts w:hint="eastAsia" w:asciiTheme="minorEastAsia" w:hAnsiTheme="minorEastAsia" w:eastAsiaTheme="minorEastAsia"/>
          <w:sz w:val="24"/>
        </w:rPr>
        <w:t>日期：</w:t>
      </w:r>
    </w:p>
    <w:p>
      <w:pPr>
        <w:pStyle w:val="39"/>
        <w:tabs>
          <w:tab w:val="left" w:pos="5580"/>
        </w:tabs>
        <w:spacing w:before="120"/>
        <w:ind w:firstLine="720" w:firstLineChars="300"/>
        <w:rPr>
          <w:rFonts w:asciiTheme="minorEastAsia" w:hAnsiTheme="minorEastAsia" w:eastAsiaTheme="minorEastAsia"/>
          <w:sz w:val="24"/>
          <w:u w:val="single"/>
        </w:rPr>
      </w:pPr>
    </w:p>
    <w:p>
      <w:pPr>
        <w:pStyle w:val="39"/>
        <w:tabs>
          <w:tab w:val="left" w:pos="5580"/>
        </w:tabs>
        <w:spacing w:before="120"/>
        <w:ind w:firstLine="720" w:firstLineChars="300"/>
        <w:rPr>
          <w:rFonts w:asciiTheme="minorEastAsia" w:hAnsiTheme="minorEastAsia" w:eastAsiaTheme="minorEastAsia"/>
          <w:sz w:val="24"/>
          <w:u w:val="single"/>
        </w:rPr>
      </w:pPr>
    </w:p>
    <w:p>
      <w:pPr>
        <w:pStyle w:val="39"/>
        <w:tabs>
          <w:tab w:val="left" w:pos="5580"/>
        </w:tabs>
        <w:spacing w:before="120"/>
        <w:ind w:firstLine="720" w:firstLineChars="300"/>
        <w:rPr>
          <w:rFonts w:asciiTheme="minorEastAsia" w:hAnsiTheme="minorEastAsia" w:eastAsiaTheme="minorEastAsia"/>
          <w:sz w:val="24"/>
          <w:u w:val="single"/>
        </w:rPr>
      </w:pPr>
    </w:p>
    <w:p>
      <w:pPr>
        <w:widowControl/>
        <w:spacing w:line="360" w:lineRule="auto"/>
        <w:jc w:val="center"/>
        <w:rPr>
          <w:b/>
          <w:sz w:val="24"/>
        </w:rPr>
      </w:pPr>
      <w:r>
        <w:rPr>
          <w:rFonts w:hint="eastAsia" w:asciiTheme="minorEastAsia" w:hAnsiTheme="minorEastAsia" w:eastAsiaTheme="minorEastAsia" w:cstheme="minorEastAsia"/>
          <w:sz w:val="24"/>
          <w:szCs w:val="21"/>
        </w:rPr>
        <w:t>（最后报价函在磋商结束后单独提交）</w:t>
      </w:r>
      <w:bookmarkEnd w:id="145"/>
    </w:p>
    <w:sectPr>
      <w:headerReference r:id="rId8" w:type="default"/>
      <w:footerReference r:id="rId9" w:type="default"/>
      <w:pgSz w:w="11906" w:h="16838"/>
      <w:pgMar w:top="1440" w:right="1247" w:bottom="1361" w:left="124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PMingLiU">
    <w:panose1 w:val="02020500000000000000"/>
    <w:charset w:val="88"/>
    <w:family w:val="auto"/>
    <w:pitch w:val="default"/>
    <w:sig w:usb0="A00002FF" w:usb1="28CFFCFA" w:usb2="00000016" w:usb3="00000000" w:csb0="00100001" w:csb1="00000000"/>
  </w:font>
  <w:font w:name="MS Gothic">
    <w:panose1 w:val="020B0609070205080204"/>
    <w:charset w:val="80"/>
    <w:family w:val="modern"/>
    <w:pitch w:val="default"/>
    <w:sig w:usb0="E00002FF" w:usb1="6AC7FDFB" w:usb2="00000012" w:usb3="00000000" w:csb0="4002009F" w:csb1="DFD70000"/>
  </w:font>
  <w:font w:name="Century">
    <w:panose1 w:val="02040604050505020304"/>
    <w:charset w:val="00"/>
    <w:family w:val="roman"/>
    <w:pitch w:val="default"/>
    <w:sig w:usb0="00000287" w:usb1="00000000" w:usb2="00000000" w:usb3="00000000" w:csb0="2000009F" w:csb1="DFD70000"/>
  </w:font>
  <w:font w:name="仿宋_GB2312">
    <w:altName w:val="仿宋"/>
    <w:panose1 w:val="00000000000000000000"/>
    <w:charset w:val="86"/>
    <w:family w:val="modern"/>
    <w:pitch w:val="default"/>
    <w:sig w:usb0="00000000" w:usb1="00000000" w:usb2="00000010" w:usb3="00000000" w:csb0="00040000" w:csb1="00000000"/>
  </w:font>
  <w:font w:name="Univers">
    <w:altName w:val="Arial"/>
    <w:panose1 w:val="00000000000000000000"/>
    <w:charset w:val="00"/>
    <w:family w:val="auto"/>
    <w:pitch w:val="default"/>
    <w:sig w:usb0="00000000" w:usb1="00000000" w:usb2="00000000" w:usb3="00000000" w:csb0="00000093" w:csb1="00000000"/>
  </w:font>
  <w:font w:name="Tahoma">
    <w:panose1 w:val="020B0604030504040204"/>
    <w:charset w:val="00"/>
    <w:family w:val="swiss"/>
    <w:pitch w:val="default"/>
    <w:sig w:usb0="E1002EFF" w:usb1="C000605B" w:usb2="00000029" w:usb3="00000000" w:csb0="200101FF" w:csb1="20280000"/>
  </w:font>
  <w:font w:name="Tms Rmn">
    <w:altName w:val="Segoe Print"/>
    <w:panose1 w:val="02020603040505020304"/>
    <w:charset w:val="00"/>
    <w:family w:val="roman"/>
    <w:pitch w:val="default"/>
    <w:sig w:usb0="00000000" w:usb1="00000000" w:usb2="00000000" w:usb3="00000000" w:csb0="00000001" w:csb1="00000000"/>
  </w:font>
  <w:font w:name="Verdana">
    <w:panose1 w:val="020B0604030504040204"/>
    <w:charset w:val="00"/>
    <w:family w:val="swiss"/>
    <w:pitch w:val="default"/>
    <w:sig w:usb0="A10006FF" w:usb1="4000205B" w:usb2="00000010" w:usb3="00000000" w:csb0="2000019F" w:csb1="00000000"/>
  </w:font>
  <w:font w:name="华文中宋">
    <w:panose1 w:val="02010600040101010101"/>
    <w:charset w:val="86"/>
    <w:family w:val="auto"/>
    <w:pitch w:val="default"/>
    <w:sig w:usb0="00000287" w:usb1="080F0000" w:usb2="00000000" w:usb3="00000000" w:csb0="0004009F" w:csb1="DFD70000"/>
  </w:font>
  <w:font w:name="TimesNewRomanPSMT">
    <w:altName w:val="宋体"/>
    <w:panose1 w:val="00000000000000000000"/>
    <w:charset w:val="00"/>
    <w:family w:val="auto"/>
    <w:pitch w:val="default"/>
    <w:sig w:usb0="00000000" w:usb1="00000000" w:usb2="00000010"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pPr>
    <w: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KKc1bQVAgAAFQQAAA4AAAAAAAAA&#10;AQAgAAAAHwEAAGRycy9lMm9Eb2MueG1sUEsFBgAAAAAGAAYAWQEAAKYFAAAAAA==&#10;">
          <v:path/>
          <v:fill on="f" focussize="0,0"/>
          <v:stroke on="f" weight="0.5pt" joinstyle="miter"/>
          <v:imagedata o:title=""/>
          <o:lock v:ext="edit"/>
          <v:textbox inset="0mm,0mm,0mm,0mm" style="mso-fit-shape-to-text:t;">
            <w:txbxContent>
              <w:p>
                <w:pPr>
                  <w:pStyle w:val="48"/>
                </w:pPr>
                <w:r>
                  <w:fldChar w:fldCharType="begin"/>
                </w:r>
                <w:r>
                  <w:instrText xml:space="preserve"> PAGE  \* MERGEFORMAT </w:instrText>
                </w:r>
                <w:r>
                  <w:fldChar w:fldCharType="separate"/>
                </w:r>
                <w:r>
                  <w:t>4</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firstLine="90" w:firstLineChars="50"/>
      <w:jc w:val="center"/>
    </w:pPr>
    <w:r>
      <w:pict>
        <v:shape id="_x0000_s4098" o:spid="_x0000_s4098"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DkVuwWAgAAFQQAAA4AAABkcnMvZTJvRG9jLnhtbK1TzY7TMBC+I/EO&#10;lu80aStW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M32d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AQ5FbsFgIAABUEAAAOAAAAAAAA&#10;AAEAIAAAAB8BAABkcnMvZTJvRG9jLnhtbFBLBQYAAAAABgAGAFkBAACnBQAAAAA=&#10;">
          <v:path/>
          <v:fill on="f" focussize="0,0"/>
          <v:stroke on="f" weight="0.5pt" joinstyle="miter"/>
          <v:imagedata o:title=""/>
          <o:lock v:ext="edit"/>
          <v:textbox inset="0mm,0mm,0mm,0mm" style="mso-fit-shape-to-text:t;">
            <w:txbxContent>
              <w:p>
                <w:pPr>
                  <w:pStyle w:val="48"/>
                  <w:ind w:firstLine="90" w:firstLineChars="50"/>
                  <w:jc w:val="center"/>
                </w:pPr>
                <w:r>
                  <w:rPr>
                    <w:rFonts w:ascii="宋体" w:hAnsi="宋体"/>
                  </w:rPr>
                  <w:fldChar w:fldCharType="begin"/>
                </w:r>
                <w:r>
                  <w:rPr>
                    <w:rStyle w:val="78"/>
                    <w:rFonts w:ascii="宋体" w:hAnsi="宋体"/>
                  </w:rPr>
                  <w:instrText xml:space="preserve"> PAGE </w:instrText>
                </w:r>
                <w:r>
                  <w:rPr>
                    <w:rFonts w:ascii="宋体" w:hAnsi="宋体"/>
                  </w:rPr>
                  <w:fldChar w:fldCharType="separate"/>
                </w:r>
                <w:r>
                  <w:rPr>
                    <w:rStyle w:val="78"/>
                    <w:rFonts w:ascii="宋体" w:hAnsi="宋体"/>
                  </w:rPr>
                  <w:t>47</w:t>
                </w:r>
                <w:r>
                  <w:rPr>
                    <w:rFonts w:ascii="宋体" w:hAnsi="宋体"/>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firstLine="90" w:firstLineChars="50"/>
      <w:jc w:val="center"/>
    </w:pPr>
    <w: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path/>
          <v:fill on="f" focussize="0,0"/>
          <v:stroke on="f" weight="0.5pt" joinstyle="miter"/>
          <v:imagedata o:title=""/>
          <o:lock v:ext="edit"/>
          <v:textbox inset="0mm,0mm,0mm,0mm" style="mso-fit-shape-to-text:t;">
            <w:txbxContent>
              <w:p>
                <w:pPr>
                  <w:pStyle w:val="48"/>
                  <w:ind w:firstLine="90" w:firstLineChars="50"/>
                  <w:jc w:val="center"/>
                </w:pPr>
                <w:r>
                  <w:rPr>
                    <w:rFonts w:ascii="宋体" w:hAnsi="宋体"/>
                  </w:rPr>
                  <w:fldChar w:fldCharType="begin"/>
                </w:r>
                <w:r>
                  <w:rPr>
                    <w:rStyle w:val="78"/>
                    <w:rFonts w:ascii="宋体" w:hAnsi="宋体"/>
                  </w:rPr>
                  <w:instrText xml:space="preserve"> PAGE </w:instrText>
                </w:r>
                <w:r>
                  <w:rPr>
                    <w:rFonts w:ascii="宋体" w:hAnsi="宋体"/>
                  </w:rPr>
                  <w:fldChar w:fldCharType="separate"/>
                </w:r>
                <w:r>
                  <w:rPr>
                    <w:rStyle w:val="78"/>
                    <w:rFonts w:ascii="宋体" w:hAnsi="宋体"/>
                  </w:rPr>
                  <w:t>53</w:t>
                </w:r>
                <w:r>
                  <w:rPr>
                    <w:rFonts w:ascii="宋体" w:hAnsi="宋体"/>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8"/>
      <w:ind w:firstLine="90" w:firstLineChars="50"/>
      <w:jc w:val="center"/>
    </w:pPr>
    <w:r>
      <w:pict>
        <v:shape id="_x0000_s4100" o:spid="_x0000_s4100"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D98SzkFgIAABUEAAAOAAAAAAAA&#10;AAEAIAAAAB8BAABkcnMvZTJvRG9jLnhtbFBLBQYAAAAABgAGAFkBAACnBQAAAAA=&#10;">
          <v:path/>
          <v:fill on="f" focussize="0,0"/>
          <v:stroke on="f" weight="0.5pt" joinstyle="miter"/>
          <v:imagedata o:title=""/>
          <o:lock v:ext="edit"/>
          <v:textbox inset="0mm,0mm,0mm,0mm" style="mso-fit-shape-to-text:t;">
            <w:txbxContent>
              <w:p>
                <w:pPr>
                  <w:pStyle w:val="48"/>
                  <w:ind w:firstLine="90" w:firstLineChars="50"/>
                  <w:jc w:val="center"/>
                </w:pPr>
                <w:r>
                  <w:fldChar w:fldCharType="begin"/>
                </w:r>
                <w:r>
                  <w:rPr>
                    <w:rStyle w:val="78"/>
                  </w:rPr>
                  <w:instrText xml:space="preserve"> PAGE </w:instrText>
                </w:r>
                <w:r>
                  <w:fldChar w:fldCharType="separate"/>
                </w:r>
                <w:r>
                  <w:rPr>
                    <w:rStyle w:val="78"/>
                  </w:rPr>
                  <w:t>62</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E69F6D"/>
    <w:multiLevelType w:val="singleLevel"/>
    <w:tmpl w:val="A5E69F6D"/>
    <w:lvl w:ilvl="0" w:tentative="0">
      <w:start w:val="3"/>
      <w:numFmt w:val="chineseCounting"/>
      <w:suff w:val="nothing"/>
      <w:lvlText w:val="%1、"/>
      <w:lvlJc w:val="left"/>
      <w:rPr>
        <w:rFonts w:hint="eastAsia"/>
      </w:rPr>
    </w:lvl>
  </w:abstractNum>
  <w:abstractNum w:abstractNumId="1">
    <w:nsid w:val="D34BACE6"/>
    <w:multiLevelType w:val="singleLevel"/>
    <w:tmpl w:val="D34BACE6"/>
    <w:lvl w:ilvl="0" w:tentative="0">
      <w:start w:val="3"/>
      <w:numFmt w:val="decimal"/>
      <w:suff w:val="nothing"/>
      <w:lvlText w:val="%1、"/>
      <w:lvlJc w:val="left"/>
    </w:lvl>
  </w:abstractNum>
  <w:abstractNum w:abstractNumId="2">
    <w:nsid w:val="0000001D"/>
    <w:multiLevelType w:val="multilevel"/>
    <w:tmpl w:val="0000001D"/>
    <w:lvl w:ilvl="0" w:tentative="0">
      <w:start w:val="1"/>
      <w:numFmt w:val="decimal"/>
      <w:lvlText w:val="附件%1"/>
      <w:lvlJc w:val="left"/>
      <w:pPr>
        <w:tabs>
          <w:tab w:val="left" w:pos="1134"/>
        </w:tabs>
        <w:ind w:left="1134" w:hanging="1134"/>
      </w:pPr>
      <w:rPr>
        <w:rFonts w:hint="eastAsia" w:eastAsia="宋体"/>
        <w:b/>
        <w:i w:val="0"/>
        <w:sz w:val="24"/>
        <w:szCs w:val="28"/>
      </w:rPr>
    </w:lvl>
    <w:lvl w:ilvl="1" w:tentative="0">
      <w:start w:val="1"/>
      <w:numFmt w:val="decimal"/>
      <w:lvlText w:val="%2、"/>
      <w:lvlJc w:val="left"/>
      <w:pPr>
        <w:tabs>
          <w:tab w:val="left" w:pos="780"/>
        </w:tabs>
        <w:ind w:left="780" w:hanging="360"/>
      </w:pPr>
      <w:rPr>
        <w:rFonts w:hint="default" w:hAnsi="宋体"/>
        <w:color w:val="000000"/>
      </w:rPr>
    </w:lvl>
    <w:lvl w:ilvl="2" w:tentative="0">
      <w:start w:val="1"/>
      <w:numFmt w:val="decimal"/>
      <w:lvlText w:val="%3."/>
      <w:lvlJc w:val="left"/>
      <w:pPr>
        <w:tabs>
          <w:tab w:val="left" w:pos="1260"/>
        </w:tabs>
        <w:ind w:left="1260" w:hanging="420"/>
      </w:pPr>
      <w:rPr>
        <w:rFonts w:hint="eastAsia"/>
        <w:b/>
        <w:i w:val="0"/>
        <w:sz w:val="24"/>
        <w:szCs w:val="28"/>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03754B41"/>
    <w:multiLevelType w:val="multilevel"/>
    <w:tmpl w:val="03754B41"/>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4">
    <w:nsid w:val="0FDF0889"/>
    <w:multiLevelType w:val="multilevel"/>
    <w:tmpl w:val="0FDF0889"/>
    <w:lvl w:ilvl="0" w:tentative="0">
      <w:start w:val="1"/>
      <w:numFmt w:val="decimal"/>
      <w:lvlText w:val="附件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21B46AF"/>
    <w:multiLevelType w:val="multilevel"/>
    <w:tmpl w:val="121B46AF"/>
    <w:lvl w:ilvl="0" w:tentative="0">
      <w:start w:val="1"/>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3EA2E38"/>
    <w:multiLevelType w:val="multilevel"/>
    <w:tmpl w:val="13EA2E38"/>
    <w:lvl w:ilvl="0" w:tentative="0">
      <w:start w:val="2"/>
      <w:numFmt w:val="decimal"/>
      <w:lvlText w:val="8--%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1644635B"/>
    <w:multiLevelType w:val="multilevel"/>
    <w:tmpl w:val="1644635B"/>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8">
    <w:nsid w:val="1B8D1715"/>
    <w:multiLevelType w:val="multilevel"/>
    <w:tmpl w:val="1B8D1715"/>
    <w:lvl w:ilvl="0" w:tentative="0">
      <w:start w:val="5"/>
      <w:numFmt w:val="decimal"/>
      <w:lvlText w:val="附件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2B4357F3"/>
    <w:multiLevelType w:val="multilevel"/>
    <w:tmpl w:val="2B4357F3"/>
    <w:lvl w:ilvl="0" w:tentative="0">
      <w:start w:val="1"/>
      <w:numFmt w:val="decimal"/>
      <w:lvlText w:val="（%1）"/>
      <w:lvlJc w:val="left"/>
      <w:pPr>
        <w:ind w:left="1552" w:hanging="420"/>
      </w:pPr>
      <w:rPr>
        <w:rFonts w:hint="eastAsia"/>
      </w:rPr>
    </w:lvl>
    <w:lvl w:ilvl="1" w:tentative="0">
      <w:start w:val="1"/>
      <w:numFmt w:val="decimal"/>
      <w:lvlText w:val="%2"/>
      <w:lvlJc w:val="left"/>
      <w:pPr>
        <w:ind w:left="1912" w:hanging="360"/>
      </w:pPr>
      <w:rPr>
        <w:rFonts w:hint="default"/>
      </w:rPr>
    </w:lvl>
    <w:lvl w:ilvl="2" w:tentative="0">
      <w:start w:val="1"/>
      <w:numFmt w:val="decimal"/>
      <w:lvlText w:val="(%3)"/>
      <w:lvlJc w:val="left"/>
      <w:pPr>
        <w:ind w:left="2557" w:hanging="585"/>
      </w:pPr>
      <w:rPr>
        <w:rFonts w:hint="default"/>
      </w:rPr>
    </w:lvl>
    <w:lvl w:ilvl="3" w:tentative="0">
      <w:start w:val="1"/>
      <w:numFmt w:val="decimal"/>
      <w:lvlText w:val="%4."/>
      <w:lvlJc w:val="left"/>
      <w:pPr>
        <w:ind w:left="2812" w:hanging="420"/>
      </w:pPr>
    </w:lvl>
    <w:lvl w:ilvl="4" w:tentative="0">
      <w:start w:val="1"/>
      <w:numFmt w:val="lowerLetter"/>
      <w:lvlText w:val="%5)"/>
      <w:lvlJc w:val="left"/>
      <w:pPr>
        <w:ind w:left="3232" w:hanging="420"/>
      </w:pPr>
    </w:lvl>
    <w:lvl w:ilvl="5" w:tentative="0">
      <w:start w:val="1"/>
      <w:numFmt w:val="lowerRoman"/>
      <w:lvlText w:val="%6."/>
      <w:lvlJc w:val="right"/>
      <w:pPr>
        <w:ind w:left="3652" w:hanging="420"/>
      </w:pPr>
    </w:lvl>
    <w:lvl w:ilvl="6" w:tentative="0">
      <w:start w:val="1"/>
      <w:numFmt w:val="decimal"/>
      <w:lvlText w:val="%7."/>
      <w:lvlJc w:val="left"/>
      <w:pPr>
        <w:ind w:left="4072" w:hanging="420"/>
      </w:pPr>
    </w:lvl>
    <w:lvl w:ilvl="7" w:tentative="0">
      <w:start w:val="1"/>
      <w:numFmt w:val="lowerLetter"/>
      <w:lvlText w:val="%8)"/>
      <w:lvlJc w:val="left"/>
      <w:pPr>
        <w:ind w:left="4492" w:hanging="420"/>
      </w:pPr>
    </w:lvl>
    <w:lvl w:ilvl="8" w:tentative="0">
      <w:start w:val="1"/>
      <w:numFmt w:val="lowerRoman"/>
      <w:lvlText w:val="%9."/>
      <w:lvlJc w:val="right"/>
      <w:pPr>
        <w:ind w:left="4912" w:hanging="420"/>
      </w:pPr>
    </w:lvl>
  </w:abstractNum>
  <w:abstractNum w:abstractNumId="10">
    <w:nsid w:val="30014819"/>
    <w:multiLevelType w:val="multilevel"/>
    <w:tmpl w:val="30014819"/>
    <w:lvl w:ilvl="0" w:tentative="0">
      <w:start w:val="9"/>
      <w:numFmt w:val="decimal"/>
      <w:lvlText w:val="附件 %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30B84208"/>
    <w:multiLevelType w:val="multilevel"/>
    <w:tmpl w:val="30B84208"/>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365A59B0"/>
    <w:multiLevelType w:val="multilevel"/>
    <w:tmpl w:val="365A59B0"/>
    <w:lvl w:ilvl="0" w:tentative="0">
      <w:start w:val="1"/>
      <w:numFmt w:val="decimal"/>
      <w:lvlText w:val="%1"/>
      <w:lvlJc w:val="left"/>
      <w:pPr>
        <w:tabs>
          <w:tab w:val="left" w:pos="1134"/>
        </w:tabs>
        <w:ind w:left="1134" w:hanging="1134"/>
      </w:pPr>
      <w:rPr>
        <w:rFonts w:hint="eastAsia" w:ascii="宋体" w:eastAsia="宋体"/>
        <w:sz w:val="24"/>
        <w:szCs w:val="24"/>
      </w:rPr>
    </w:lvl>
    <w:lvl w:ilvl="1" w:tentative="0">
      <w:start w:val="1"/>
      <w:numFmt w:val="decimal"/>
      <w:lvlText w:val="%1.%2"/>
      <w:lvlJc w:val="left"/>
      <w:pPr>
        <w:tabs>
          <w:tab w:val="left" w:pos="1134"/>
        </w:tabs>
        <w:ind w:left="1134" w:hanging="1134"/>
      </w:pPr>
      <w:rPr>
        <w:rFonts w:hint="eastAsia" w:ascii="宋体" w:eastAsia="宋体"/>
        <w:color w:val="auto"/>
      </w:rPr>
    </w:lvl>
    <w:lvl w:ilvl="2" w:tentative="0">
      <w:start w:val="1"/>
      <w:numFmt w:val="decimal"/>
      <w:lvlText w:val="%1.%2.%3"/>
      <w:lvlJc w:val="left"/>
      <w:pPr>
        <w:tabs>
          <w:tab w:val="left" w:pos="1134"/>
        </w:tabs>
        <w:ind w:left="1134" w:hanging="1134"/>
      </w:pPr>
      <w:rPr>
        <w:rFonts w:hint="eastAsia" w:ascii="宋体" w:eastAsia="宋体"/>
      </w:rPr>
    </w:lvl>
    <w:lvl w:ilvl="3" w:tentative="0">
      <w:start w:val="1"/>
      <w:numFmt w:val="decimal"/>
      <w:lvlText w:val="%1.%2.%3.%4"/>
      <w:lvlJc w:val="left"/>
      <w:pPr>
        <w:tabs>
          <w:tab w:val="left" w:pos="1021"/>
        </w:tabs>
        <w:ind w:left="1134" w:hanging="1134"/>
      </w:pPr>
      <w:rPr>
        <w:rFonts w:hint="eastAsia"/>
      </w:rPr>
    </w:lvl>
    <w:lvl w:ilvl="4" w:tentative="0">
      <w:start w:val="1"/>
      <w:numFmt w:val="decimal"/>
      <w:lvlText w:val="%1.%2.%3.%4.%5"/>
      <w:lvlJc w:val="left"/>
      <w:pPr>
        <w:tabs>
          <w:tab w:val="left" w:pos="1021"/>
        </w:tabs>
        <w:ind w:left="1134" w:hanging="1134"/>
      </w:pPr>
      <w:rPr>
        <w:rFonts w:hint="eastAsia"/>
      </w:rPr>
    </w:lvl>
    <w:lvl w:ilvl="5" w:tentative="0">
      <w:start w:val="1"/>
      <w:numFmt w:val="decimal"/>
      <w:lvlText w:val="%1.%2.%3.%4.%5.%6."/>
      <w:lvlJc w:val="left"/>
      <w:pPr>
        <w:tabs>
          <w:tab w:val="left" w:pos="1021"/>
        </w:tabs>
        <w:ind w:left="1134" w:hanging="1134"/>
      </w:pPr>
      <w:rPr>
        <w:rFonts w:hint="eastAsia"/>
      </w:rPr>
    </w:lvl>
    <w:lvl w:ilvl="6" w:tentative="0">
      <w:start w:val="1"/>
      <w:numFmt w:val="decimal"/>
      <w:lvlText w:val="%1.%2.%3.%4.%5.%6.%7."/>
      <w:lvlJc w:val="left"/>
      <w:pPr>
        <w:tabs>
          <w:tab w:val="left" w:pos="1021"/>
        </w:tabs>
        <w:ind w:left="1134" w:hanging="1134"/>
      </w:pPr>
      <w:rPr>
        <w:rFonts w:hint="eastAsia"/>
      </w:rPr>
    </w:lvl>
    <w:lvl w:ilvl="7" w:tentative="0">
      <w:start w:val="1"/>
      <w:numFmt w:val="decimal"/>
      <w:lvlText w:val="%1.%2.%3.%4.%5.%6.%7.%8."/>
      <w:lvlJc w:val="left"/>
      <w:pPr>
        <w:tabs>
          <w:tab w:val="left" w:pos="1021"/>
        </w:tabs>
        <w:ind w:left="1134" w:hanging="1134"/>
      </w:pPr>
      <w:rPr>
        <w:rFonts w:hint="eastAsia"/>
      </w:rPr>
    </w:lvl>
    <w:lvl w:ilvl="8" w:tentative="0">
      <w:start w:val="1"/>
      <w:numFmt w:val="decimal"/>
      <w:lvlText w:val="%1.%2.%3.%4.%5.%6.%7.%8.%9."/>
      <w:lvlJc w:val="left"/>
      <w:pPr>
        <w:tabs>
          <w:tab w:val="left" w:pos="1021"/>
        </w:tabs>
        <w:ind w:left="1134" w:hanging="1134"/>
      </w:pPr>
      <w:rPr>
        <w:rFonts w:hint="eastAsia"/>
      </w:rPr>
    </w:lvl>
  </w:abstractNum>
  <w:abstractNum w:abstractNumId="13">
    <w:nsid w:val="3B19751C"/>
    <w:multiLevelType w:val="multilevel"/>
    <w:tmpl w:val="3B19751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50674329"/>
    <w:multiLevelType w:val="multilevel"/>
    <w:tmpl w:val="5067432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5AA8DCB0"/>
    <w:multiLevelType w:val="singleLevel"/>
    <w:tmpl w:val="5AA8DCB0"/>
    <w:lvl w:ilvl="0" w:tentative="0">
      <w:start w:val="1"/>
      <w:numFmt w:val="decimal"/>
      <w:suff w:val="nothing"/>
      <w:lvlText w:val="%1、"/>
      <w:lvlJc w:val="left"/>
    </w:lvl>
  </w:abstractNum>
  <w:abstractNum w:abstractNumId="16">
    <w:nsid w:val="5AAB3475"/>
    <w:multiLevelType w:val="singleLevel"/>
    <w:tmpl w:val="5AAB3475"/>
    <w:lvl w:ilvl="0" w:tentative="0">
      <w:start w:val="1"/>
      <w:numFmt w:val="decimal"/>
      <w:lvlText w:val="%1."/>
      <w:lvlJc w:val="left"/>
      <w:pPr>
        <w:ind w:left="425" w:hanging="425"/>
      </w:pPr>
      <w:rPr>
        <w:rFonts w:hint="default"/>
      </w:rPr>
    </w:lvl>
  </w:abstractNum>
  <w:abstractNum w:abstractNumId="17">
    <w:nsid w:val="5AAB3487"/>
    <w:multiLevelType w:val="singleLevel"/>
    <w:tmpl w:val="5AAB3487"/>
    <w:lvl w:ilvl="0" w:tentative="0">
      <w:start w:val="1"/>
      <w:numFmt w:val="decimal"/>
      <w:lvlText w:val="%1)"/>
      <w:lvlJc w:val="left"/>
      <w:pPr>
        <w:ind w:left="425" w:hanging="425"/>
      </w:pPr>
      <w:rPr>
        <w:rFonts w:hint="default"/>
      </w:rPr>
    </w:lvl>
  </w:abstractNum>
  <w:abstractNum w:abstractNumId="18">
    <w:nsid w:val="5AAB6138"/>
    <w:multiLevelType w:val="multilevel"/>
    <w:tmpl w:val="5AAB6138"/>
    <w:lvl w:ilvl="0" w:tentative="0">
      <w:start w:val="1"/>
      <w:numFmt w:val="decimal"/>
      <w:lvlText w:val="（%1）"/>
      <w:lvlJc w:val="left"/>
      <w:pPr>
        <w:ind w:left="1499" w:hanging="420"/>
      </w:pPr>
      <w:rPr>
        <w:rFonts w:hint="eastAsia"/>
      </w:rPr>
    </w:lvl>
    <w:lvl w:ilvl="1" w:tentative="0">
      <w:start w:val="1"/>
      <w:numFmt w:val="lowerLetter"/>
      <w:lvlText w:val="%2)"/>
      <w:lvlJc w:val="left"/>
      <w:pPr>
        <w:ind w:left="1919" w:hanging="420"/>
      </w:pPr>
    </w:lvl>
    <w:lvl w:ilvl="2" w:tentative="0">
      <w:start w:val="1"/>
      <w:numFmt w:val="lowerRoman"/>
      <w:lvlText w:val="%3."/>
      <w:lvlJc w:val="right"/>
      <w:pPr>
        <w:ind w:left="2339" w:hanging="420"/>
      </w:pPr>
    </w:lvl>
    <w:lvl w:ilvl="3" w:tentative="0">
      <w:start w:val="1"/>
      <w:numFmt w:val="decimal"/>
      <w:lvlText w:val="%4."/>
      <w:lvlJc w:val="left"/>
      <w:pPr>
        <w:ind w:left="2759" w:hanging="420"/>
      </w:pPr>
    </w:lvl>
    <w:lvl w:ilvl="4" w:tentative="0">
      <w:start w:val="1"/>
      <w:numFmt w:val="lowerLetter"/>
      <w:lvlText w:val="%5)"/>
      <w:lvlJc w:val="left"/>
      <w:pPr>
        <w:ind w:left="3179" w:hanging="420"/>
      </w:pPr>
    </w:lvl>
    <w:lvl w:ilvl="5" w:tentative="0">
      <w:start w:val="1"/>
      <w:numFmt w:val="lowerRoman"/>
      <w:lvlText w:val="%6."/>
      <w:lvlJc w:val="right"/>
      <w:pPr>
        <w:ind w:left="3599" w:hanging="420"/>
      </w:pPr>
    </w:lvl>
    <w:lvl w:ilvl="6" w:tentative="0">
      <w:start w:val="1"/>
      <w:numFmt w:val="decimal"/>
      <w:lvlText w:val="%7."/>
      <w:lvlJc w:val="left"/>
      <w:pPr>
        <w:ind w:left="4019" w:hanging="420"/>
      </w:pPr>
    </w:lvl>
    <w:lvl w:ilvl="7" w:tentative="0">
      <w:start w:val="1"/>
      <w:numFmt w:val="lowerLetter"/>
      <w:lvlText w:val="%8)"/>
      <w:lvlJc w:val="left"/>
      <w:pPr>
        <w:ind w:left="4439" w:hanging="420"/>
      </w:pPr>
    </w:lvl>
    <w:lvl w:ilvl="8" w:tentative="0">
      <w:start w:val="1"/>
      <w:numFmt w:val="lowerRoman"/>
      <w:lvlText w:val="%9."/>
      <w:lvlJc w:val="right"/>
      <w:pPr>
        <w:ind w:left="4859" w:hanging="420"/>
      </w:pPr>
    </w:lvl>
  </w:abstractNum>
  <w:abstractNum w:abstractNumId="19">
    <w:nsid w:val="5B615E8C"/>
    <w:multiLevelType w:val="multilevel"/>
    <w:tmpl w:val="5B615E8C"/>
    <w:lvl w:ilvl="0" w:tentative="0">
      <w:start w:val="1"/>
      <w:numFmt w:val="decimal"/>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0">
    <w:nsid w:val="6384076F"/>
    <w:multiLevelType w:val="multilevel"/>
    <w:tmpl w:val="6384076F"/>
    <w:lvl w:ilvl="0" w:tentative="0">
      <w:start w:val="1"/>
      <w:numFmt w:val="decimal"/>
      <w:lvlText w:val="（%1）"/>
      <w:lvlJc w:val="left"/>
      <w:pPr>
        <w:tabs>
          <w:tab w:val="left" w:pos="1122"/>
        </w:tabs>
        <w:ind w:left="1122"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1">
    <w:nsid w:val="6D0118D3"/>
    <w:multiLevelType w:val="multilevel"/>
    <w:tmpl w:val="6D0118D3"/>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6E8B1197"/>
    <w:multiLevelType w:val="multilevel"/>
    <w:tmpl w:val="6E8B1197"/>
    <w:lvl w:ilvl="0" w:tentative="0">
      <w:start w:val="1"/>
      <w:numFmt w:val="decimal"/>
      <w:lvlText w:val="（%1）"/>
      <w:lvlJc w:val="left"/>
      <w:pPr>
        <w:ind w:left="1554" w:hanging="420"/>
      </w:pPr>
      <w:rPr>
        <w:rFonts w:hint="eastAsia"/>
      </w:rPr>
    </w:lvl>
    <w:lvl w:ilvl="1" w:tentative="0">
      <w:start w:val="1"/>
      <w:numFmt w:val="lowerLetter"/>
      <w:lvlText w:val="%2)"/>
      <w:lvlJc w:val="left"/>
      <w:pPr>
        <w:ind w:left="1974" w:hanging="420"/>
      </w:pPr>
    </w:lvl>
    <w:lvl w:ilvl="2" w:tentative="0">
      <w:start w:val="1"/>
      <w:numFmt w:val="lowerRoman"/>
      <w:lvlText w:val="%3."/>
      <w:lvlJc w:val="right"/>
      <w:pPr>
        <w:ind w:left="2394" w:hanging="420"/>
      </w:pPr>
    </w:lvl>
    <w:lvl w:ilvl="3" w:tentative="0">
      <w:start w:val="1"/>
      <w:numFmt w:val="decimal"/>
      <w:lvlText w:val="%4."/>
      <w:lvlJc w:val="left"/>
      <w:pPr>
        <w:ind w:left="2814" w:hanging="420"/>
      </w:pPr>
    </w:lvl>
    <w:lvl w:ilvl="4" w:tentative="0">
      <w:start w:val="1"/>
      <w:numFmt w:val="lowerLetter"/>
      <w:lvlText w:val="%5)"/>
      <w:lvlJc w:val="left"/>
      <w:pPr>
        <w:ind w:left="3234" w:hanging="420"/>
      </w:pPr>
    </w:lvl>
    <w:lvl w:ilvl="5" w:tentative="0">
      <w:start w:val="1"/>
      <w:numFmt w:val="lowerRoman"/>
      <w:lvlText w:val="%6."/>
      <w:lvlJc w:val="right"/>
      <w:pPr>
        <w:ind w:left="3654" w:hanging="420"/>
      </w:pPr>
    </w:lvl>
    <w:lvl w:ilvl="6" w:tentative="0">
      <w:start w:val="1"/>
      <w:numFmt w:val="decimal"/>
      <w:lvlText w:val="%7."/>
      <w:lvlJc w:val="left"/>
      <w:pPr>
        <w:ind w:left="4074" w:hanging="420"/>
      </w:pPr>
    </w:lvl>
    <w:lvl w:ilvl="7" w:tentative="0">
      <w:start w:val="1"/>
      <w:numFmt w:val="lowerLetter"/>
      <w:lvlText w:val="%8)"/>
      <w:lvlJc w:val="left"/>
      <w:pPr>
        <w:ind w:left="4494" w:hanging="420"/>
      </w:pPr>
    </w:lvl>
    <w:lvl w:ilvl="8" w:tentative="0">
      <w:start w:val="1"/>
      <w:numFmt w:val="lowerRoman"/>
      <w:lvlText w:val="%9."/>
      <w:lvlJc w:val="right"/>
      <w:pPr>
        <w:ind w:left="4914" w:hanging="420"/>
      </w:pPr>
    </w:lvl>
  </w:abstractNum>
  <w:abstractNum w:abstractNumId="23">
    <w:nsid w:val="75047303"/>
    <w:multiLevelType w:val="multilevel"/>
    <w:tmpl w:val="75047303"/>
    <w:lvl w:ilvl="0" w:tentative="0">
      <w:start w:val="1"/>
      <w:numFmt w:val="decimal"/>
      <w:lvlText w:val="%1"/>
      <w:lvlJc w:val="left"/>
      <w:pPr>
        <w:tabs>
          <w:tab w:val="left" w:pos="1077"/>
        </w:tabs>
        <w:ind w:left="1077" w:hanging="1077"/>
      </w:pPr>
      <w:rPr>
        <w:rFonts w:hint="eastAsia"/>
      </w:rPr>
    </w:lvl>
    <w:lvl w:ilvl="1" w:tentative="0">
      <w:start w:val="1"/>
      <w:numFmt w:val="decimal"/>
      <w:lvlText w:val="%1.%2"/>
      <w:lvlJc w:val="left"/>
      <w:pPr>
        <w:tabs>
          <w:tab w:val="left" w:pos="1077"/>
        </w:tabs>
        <w:ind w:left="1077" w:hanging="1077"/>
      </w:pPr>
      <w:rPr>
        <w:rFonts w:hint="eastAsia"/>
      </w:rPr>
    </w:lvl>
    <w:lvl w:ilvl="2" w:tentative="0">
      <w:start w:val="1"/>
      <w:numFmt w:val="decimal"/>
      <w:lvlText w:val="%1.%2.%3"/>
      <w:lvlJc w:val="left"/>
      <w:pPr>
        <w:tabs>
          <w:tab w:val="left" w:pos="1418"/>
        </w:tabs>
        <w:ind w:left="1418" w:hanging="567"/>
      </w:pPr>
      <w:rPr>
        <w:rFonts w:hint="eastAsia"/>
      </w:rPr>
    </w:lvl>
    <w:lvl w:ilvl="3" w:tentative="0">
      <w:start w:val="1"/>
      <w:numFmt w:val="decimal"/>
      <w:lvlText w:val="%1.%2.%3.%4"/>
      <w:lvlJc w:val="left"/>
      <w:pPr>
        <w:tabs>
          <w:tab w:val="left" w:pos="1984"/>
        </w:tabs>
        <w:ind w:left="1984" w:hanging="708"/>
      </w:pPr>
      <w:rPr>
        <w:rFonts w:hint="eastAsia"/>
      </w:rPr>
    </w:lvl>
    <w:lvl w:ilvl="4" w:tentative="0">
      <w:start w:val="1"/>
      <w:numFmt w:val="decimal"/>
      <w:lvlText w:val="%1.%2.%3.%4.%5"/>
      <w:lvlJc w:val="left"/>
      <w:pPr>
        <w:tabs>
          <w:tab w:val="left" w:pos="2551"/>
        </w:tabs>
        <w:ind w:left="2551" w:hanging="850"/>
      </w:pPr>
      <w:rPr>
        <w:rFonts w:hint="eastAsia"/>
      </w:rPr>
    </w:lvl>
    <w:lvl w:ilvl="5" w:tentative="0">
      <w:start w:val="1"/>
      <w:numFmt w:val="decimal"/>
      <w:lvlText w:val="%1.%2.%3.%4.%5.%6"/>
      <w:lvlJc w:val="left"/>
      <w:pPr>
        <w:tabs>
          <w:tab w:val="left" w:pos="3260"/>
        </w:tabs>
        <w:ind w:left="3260" w:hanging="1134"/>
      </w:pPr>
      <w:rPr>
        <w:rFonts w:hint="eastAsia"/>
      </w:rPr>
    </w:lvl>
    <w:lvl w:ilvl="6" w:tentative="0">
      <w:start w:val="1"/>
      <w:numFmt w:val="decimal"/>
      <w:lvlText w:val="%1.%2.%3.%4.%5.%6.%7"/>
      <w:lvlJc w:val="left"/>
      <w:pPr>
        <w:tabs>
          <w:tab w:val="left" w:pos="3827"/>
        </w:tabs>
        <w:ind w:left="3827" w:hanging="1276"/>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77303B58"/>
    <w:multiLevelType w:val="multilevel"/>
    <w:tmpl w:val="77303B58"/>
    <w:lvl w:ilvl="0" w:tentative="0">
      <w:start w:val="1"/>
      <w:numFmt w:val="decimal"/>
      <w:lvlText w:val="（%1）"/>
      <w:lvlJc w:val="left"/>
      <w:pPr>
        <w:ind w:left="1501" w:hanging="420"/>
      </w:pPr>
      <w:rPr>
        <w:rFonts w:hint="eastAsia"/>
      </w:rPr>
    </w:lvl>
    <w:lvl w:ilvl="1" w:tentative="0">
      <w:start w:val="1"/>
      <w:numFmt w:val="lowerLetter"/>
      <w:lvlText w:val="%2)"/>
      <w:lvlJc w:val="left"/>
      <w:pPr>
        <w:ind w:left="1921" w:hanging="420"/>
      </w:pPr>
    </w:lvl>
    <w:lvl w:ilvl="2" w:tentative="0">
      <w:start w:val="1"/>
      <w:numFmt w:val="lowerRoman"/>
      <w:lvlText w:val="%3."/>
      <w:lvlJc w:val="right"/>
      <w:pPr>
        <w:ind w:left="2341" w:hanging="420"/>
      </w:pPr>
    </w:lvl>
    <w:lvl w:ilvl="3" w:tentative="0">
      <w:start w:val="1"/>
      <w:numFmt w:val="decimal"/>
      <w:lvlText w:val="%4."/>
      <w:lvlJc w:val="left"/>
      <w:pPr>
        <w:ind w:left="2761" w:hanging="420"/>
      </w:pPr>
    </w:lvl>
    <w:lvl w:ilvl="4" w:tentative="0">
      <w:start w:val="1"/>
      <w:numFmt w:val="lowerLetter"/>
      <w:lvlText w:val="%5)"/>
      <w:lvlJc w:val="left"/>
      <w:pPr>
        <w:ind w:left="3181" w:hanging="420"/>
      </w:pPr>
    </w:lvl>
    <w:lvl w:ilvl="5" w:tentative="0">
      <w:start w:val="1"/>
      <w:numFmt w:val="lowerRoman"/>
      <w:lvlText w:val="%6."/>
      <w:lvlJc w:val="right"/>
      <w:pPr>
        <w:ind w:left="3601" w:hanging="420"/>
      </w:pPr>
    </w:lvl>
    <w:lvl w:ilvl="6" w:tentative="0">
      <w:start w:val="1"/>
      <w:numFmt w:val="decimal"/>
      <w:lvlText w:val="%7."/>
      <w:lvlJc w:val="left"/>
      <w:pPr>
        <w:ind w:left="4021" w:hanging="420"/>
      </w:pPr>
    </w:lvl>
    <w:lvl w:ilvl="7" w:tentative="0">
      <w:start w:val="1"/>
      <w:numFmt w:val="lowerLetter"/>
      <w:lvlText w:val="%8)"/>
      <w:lvlJc w:val="left"/>
      <w:pPr>
        <w:ind w:left="4441" w:hanging="420"/>
      </w:pPr>
    </w:lvl>
    <w:lvl w:ilvl="8" w:tentative="0">
      <w:start w:val="1"/>
      <w:numFmt w:val="lowerRoman"/>
      <w:lvlText w:val="%9."/>
      <w:lvlJc w:val="right"/>
      <w:pPr>
        <w:ind w:left="4861" w:hanging="420"/>
      </w:pPr>
    </w:lvl>
  </w:abstractNum>
  <w:num w:numId="1">
    <w:abstractNumId w:val="13"/>
  </w:num>
  <w:num w:numId="2">
    <w:abstractNumId w:val="21"/>
  </w:num>
  <w:num w:numId="3">
    <w:abstractNumId w:val="11"/>
  </w:num>
  <w:num w:numId="4">
    <w:abstractNumId w:val="14"/>
  </w:num>
  <w:num w:numId="5">
    <w:abstractNumId w:val="12"/>
  </w:num>
  <w:num w:numId="6">
    <w:abstractNumId w:val="18"/>
  </w:num>
  <w:num w:numId="7">
    <w:abstractNumId w:val="7"/>
  </w:num>
  <w:num w:numId="8">
    <w:abstractNumId w:val="3"/>
  </w:num>
  <w:num w:numId="9">
    <w:abstractNumId w:val="24"/>
  </w:num>
  <w:num w:numId="10">
    <w:abstractNumId w:val="22"/>
  </w:num>
  <w:num w:numId="11">
    <w:abstractNumId w:val="19"/>
  </w:num>
  <w:num w:numId="12">
    <w:abstractNumId w:val="9"/>
  </w:num>
  <w:num w:numId="13">
    <w:abstractNumId w:val="23"/>
  </w:num>
  <w:num w:numId="14">
    <w:abstractNumId w:val="16"/>
  </w:num>
  <w:num w:numId="15">
    <w:abstractNumId w:val="17"/>
  </w:num>
  <w:num w:numId="16">
    <w:abstractNumId w:val="1"/>
  </w:num>
  <w:num w:numId="17">
    <w:abstractNumId w:val="0"/>
  </w:num>
  <w:num w:numId="18">
    <w:abstractNumId w:val="4"/>
  </w:num>
  <w:num w:numId="19">
    <w:abstractNumId w:val="8"/>
  </w:num>
  <w:num w:numId="20">
    <w:abstractNumId w:val="2"/>
  </w:num>
  <w:num w:numId="21">
    <w:abstractNumId w:val="5"/>
  </w:num>
  <w:num w:numId="22">
    <w:abstractNumId w:val="6"/>
  </w:num>
  <w:num w:numId="23">
    <w:abstractNumId w:val="15"/>
  </w:num>
  <w:num w:numId="24">
    <w:abstractNumId w:val="1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val="1"/>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884"/>
    <w:rsid w:val="000064FD"/>
    <w:rsid w:val="00014886"/>
    <w:rsid w:val="00021791"/>
    <w:rsid w:val="00023080"/>
    <w:rsid w:val="000232AE"/>
    <w:rsid w:val="0002420B"/>
    <w:rsid w:val="00024B32"/>
    <w:rsid w:val="00024B95"/>
    <w:rsid w:val="0002749B"/>
    <w:rsid w:val="00032E55"/>
    <w:rsid w:val="000360C5"/>
    <w:rsid w:val="00045687"/>
    <w:rsid w:val="000466B9"/>
    <w:rsid w:val="00047AD8"/>
    <w:rsid w:val="000545A6"/>
    <w:rsid w:val="00057290"/>
    <w:rsid w:val="000614CB"/>
    <w:rsid w:val="00061794"/>
    <w:rsid w:val="000648E7"/>
    <w:rsid w:val="000654BF"/>
    <w:rsid w:val="00073A1F"/>
    <w:rsid w:val="0008002D"/>
    <w:rsid w:val="000833C0"/>
    <w:rsid w:val="00083EEB"/>
    <w:rsid w:val="000877D3"/>
    <w:rsid w:val="00090700"/>
    <w:rsid w:val="000910B5"/>
    <w:rsid w:val="000A1B43"/>
    <w:rsid w:val="000A2248"/>
    <w:rsid w:val="000A77EC"/>
    <w:rsid w:val="000B167D"/>
    <w:rsid w:val="000B2ECE"/>
    <w:rsid w:val="000B5DA1"/>
    <w:rsid w:val="000D24F2"/>
    <w:rsid w:val="000D44DC"/>
    <w:rsid w:val="000D6301"/>
    <w:rsid w:val="000D7CC3"/>
    <w:rsid w:val="000E0668"/>
    <w:rsid w:val="000E1F17"/>
    <w:rsid w:val="000E2DA7"/>
    <w:rsid w:val="000F0F18"/>
    <w:rsid w:val="000F19F9"/>
    <w:rsid w:val="000F6008"/>
    <w:rsid w:val="000F7D4A"/>
    <w:rsid w:val="00116E9F"/>
    <w:rsid w:val="00117C7B"/>
    <w:rsid w:val="00117E1C"/>
    <w:rsid w:val="00122931"/>
    <w:rsid w:val="00132B46"/>
    <w:rsid w:val="001356FC"/>
    <w:rsid w:val="001449F1"/>
    <w:rsid w:val="00150148"/>
    <w:rsid w:val="00155AC7"/>
    <w:rsid w:val="0015769A"/>
    <w:rsid w:val="00161B23"/>
    <w:rsid w:val="001657F0"/>
    <w:rsid w:val="00166C5B"/>
    <w:rsid w:val="0017154F"/>
    <w:rsid w:val="00172691"/>
    <w:rsid w:val="00172A27"/>
    <w:rsid w:val="001736E5"/>
    <w:rsid w:val="00173BDC"/>
    <w:rsid w:val="00174704"/>
    <w:rsid w:val="001807A4"/>
    <w:rsid w:val="00183A91"/>
    <w:rsid w:val="0019007F"/>
    <w:rsid w:val="00190A97"/>
    <w:rsid w:val="00193E6B"/>
    <w:rsid w:val="001A33B1"/>
    <w:rsid w:val="001A412A"/>
    <w:rsid w:val="001A720A"/>
    <w:rsid w:val="001B0167"/>
    <w:rsid w:val="001B28C3"/>
    <w:rsid w:val="001B352F"/>
    <w:rsid w:val="001B37EE"/>
    <w:rsid w:val="001B42FF"/>
    <w:rsid w:val="001B509E"/>
    <w:rsid w:val="001C3BE4"/>
    <w:rsid w:val="001C7EB3"/>
    <w:rsid w:val="001D0B5C"/>
    <w:rsid w:val="001D0ED8"/>
    <w:rsid w:val="001D345D"/>
    <w:rsid w:val="001E2C0B"/>
    <w:rsid w:val="001E52DC"/>
    <w:rsid w:val="001F01FE"/>
    <w:rsid w:val="00206A1F"/>
    <w:rsid w:val="00210701"/>
    <w:rsid w:val="002145D4"/>
    <w:rsid w:val="002240C9"/>
    <w:rsid w:val="00230EA9"/>
    <w:rsid w:val="002314E3"/>
    <w:rsid w:val="00240844"/>
    <w:rsid w:val="002475A0"/>
    <w:rsid w:val="00254724"/>
    <w:rsid w:val="00254830"/>
    <w:rsid w:val="00254AC3"/>
    <w:rsid w:val="00256B42"/>
    <w:rsid w:val="00261ED6"/>
    <w:rsid w:val="00262062"/>
    <w:rsid w:val="00262DA8"/>
    <w:rsid w:val="00263BCC"/>
    <w:rsid w:val="002647A9"/>
    <w:rsid w:val="00267FF2"/>
    <w:rsid w:val="0028131F"/>
    <w:rsid w:val="0028360D"/>
    <w:rsid w:val="00284371"/>
    <w:rsid w:val="00284C9A"/>
    <w:rsid w:val="00285B68"/>
    <w:rsid w:val="00286A86"/>
    <w:rsid w:val="00292C54"/>
    <w:rsid w:val="002953B8"/>
    <w:rsid w:val="002A44FA"/>
    <w:rsid w:val="002B0321"/>
    <w:rsid w:val="002B1649"/>
    <w:rsid w:val="002C644D"/>
    <w:rsid w:val="002D3747"/>
    <w:rsid w:val="002D3A46"/>
    <w:rsid w:val="002D5449"/>
    <w:rsid w:val="002D74C2"/>
    <w:rsid w:val="002E1DE9"/>
    <w:rsid w:val="002E2BFC"/>
    <w:rsid w:val="002E41DD"/>
    <w:rsid w:val="002E56B8"/>
    <w:rsid w:val="002E762F"/>
    <w:rsid w:val="002F0728"/>
    <w:rsid w:val="002F2D9C"/>
    <w:rsid w:val="003026FB"/>
    <w:rsid w:val="0030500F"/>
    <w:rsid w:val="003146EF"/>
    <w:rsid w:val="00315889"/>
    <w:rsid w:val="00321174"/>
    <w:rsid w:val="00323239"/>
    <w:rsid w:val="00326E15"/>
    <w:rsid w:val="003303EC"/>
    <w:rsid w:val="0033158D"/>
    <w:rsid w:val="003341A9"/>
    <w:rsid w:val="00335F69"/>
    <w:rsid w:val="00341DBA"/>
    <w:rsid w:val="0034523B"/>
    <w:rsid w:val="003477BC"/>
    <w:rsid w:val="00350672"/>
    <w:rsid w:val="0035229C"/>
    <w:rsid w:val="003530E1"/>
    <w:rsid w:val="00353FD1"/>
    <w:rsid w:val="00360F1B"/>
    <w:rsid w:val="00362543"/>
    <w:rsid w:val="00370506"/>
    <w:rsid w:val="0037384E"/>
    <w:rsid w:val="00375999"/>
    <w:rsid w:val="00376E5D"/>
    <w:rsid w:val="00385A09"/>
    <w:rsid w:val="003A1957"/>
    <w:rsid w:val="003A54EA"/>
    <w:rsid w:val="003A7586"/>
    <w:rsid w:val="003B011B"/>
    <w:rsid w:val="003B2E5F"/>
    <w:rsid w:val="003B3C2D"/>
    <w:rsid w:val="003B5B75"/>
    <w:rsid w:val="003C4E72"/>
    <w:rsid w:val="003C6299"/>
    <w:rsid w:val="003D2717"/>
    <w:rsid w:val="003D2745"/>
    <w:rsid w:val="003D42CA"/>
    <w:rsid w:val="003D7379"/>
    <w:rsid w:val="003D7E26"/>
    <w:rsid w:val="003E3951"/>
    <w:rsid w:val="003E4381"/>
    <w:rsid w:val="003E58A3"/>
    <w:rsid w:val="003E7706"/>
    <w:rsid w:val="003F4D90"/>
    <w:rsid w:val="00401781"/>
    <w:rsid w:val="00402CD3"/>
    <w:rsid w:val="00402EC9"/>
    <w:rsid w:val="004046DB"/>
    <w:rsid w:val="00405E36"/>
    <w:rsid w:val="0040775F"/>
    <w:rsid w:val="00407BBF"/>
    <w:rsid w:val="00412ADF"/>
    <w:rsid w:val="0041555B"/>
    <w:rsid w:val="00417D05"/>
    <w:rsid w:val="0043042B"/>
    <w:rsid w:val="00442143"/>
    <w:rsid w:val="00445AE8"/>
    <w:rsid w:val="0044650A"/>
    <w:rsid w:val="004467FF"/>
    <w:rsid w:val="004517A2"/>
    <w:rsid w:val="004525D2"/>
    <w:rsid w:val="004547CA"/>
    <w:rsid w:val="004553F2"/>
    <w:rsid w:val="004570E3"/>
    <w:rsid w:val="00464702"/>
    <w:rsid w:val="00470B99"/>
    <w:rsid w:val="00473845"/>
    <w:rsid w:val="00475291"/>
    <w:rsid w:val="00481A8C"/>
    <w:rsid w:val="0048415C"/>
    <w:rsid w:val="00485494"/>
    <w:rsid w:val="0048695B"/>
    <w:rsid w:val="004914C5"/>
    <w:rsid w:val="004A012A"/>
    <w:rsid w:val="004A0EB4"/>
    <w:rsid w:val="004A15AD"/>
    <w:rsid w:val="004A7870"/>
    <w:rsid w:val="004B1642"/>
    <w:rsid w:val="004B16B9"/>
    <w:rsid w:val="004B59D8"/>
    <w:rsid w:val="004C1AE3"/>
    <w:rsid w:val="004C41AC"/>
    <w:rsid w:val="004D1631"/>
    <w:rsid w:val="004D1783"/>
    <w:rsid w:val="004D53C3"/>
    <w:rsid w:val="004D58CD"/>
    <w:rsid w:val="004D6328"/>
    <w:rsid w:val="004D79AC"/>
    <w:rsid w:val="004E0958"/>
    <w:rsid w:val="004E0CCF"/>
    <w:rsid w:val="004F0462"/>
    <w:rsid w:val="004F6577"/>
    <w:rsid w:val="005023D0"/>
    <w:rsid w:val="005032E0"/>
    <w:rsid w:val="00503B66"/>
    <w:rsid w:val="00503F84"/>
    <w:rsid w:val="00512853"/>
    <w:rsid w:val="00512F9C"/>
    <w:rsid w:val="0051495C"/>
    <w:rsid w:val="0051758A"/>
    <w:rsid w:val="00523B21"/>
    <w:rsid w:val="00527A1B"/>
    <w:rsid w:val="00527F7E"/>
    <w:rsid w:val="00530448"/>
    <w:rsid w:val="005356D7"/>
    <w:rsid w:val="00552B76"/>
    <w:rsid w:val="005567FA"/>
    <w:rsid w:val="00556EE4"/>
    <w:rsid w:val="00557B4D"/>
    <w:rsid w:val="00557F7C"/>
    <w:rsid w:val="0056055B"/>
    <w:rsid w:val="00567F8D"/>
    <w:rsid w:val="00571DA4"/>
    <w:rsid w:val="0057225A"/>
    <w:rsid w:val="00572980"/>
    <w:rsid w:val="00574CFF"/>
    <w:rsid w:val="0058142C"/>
    <w:rsid w:val="00583375"/>
    <w:rsid w:val="00584A9B"/>
    <w:rsid w:val="00587A18"/>
    <w:rsid w:val="00593D28"/>
    <w:rsid w:val="00595777"/>
    <w:rsid w:val="00597881"/>
    <w:rsid w:val="005A073A"/>
    <w:rsid w:val="005A4181"/>
    <w:rsid w:val="005B011A"/>
    <w:rsid w:val="005D25CB"/>
    <w:rsid w:val="005D32F6"/>
    <w:rsid w:val="005D60C8"/>
    <w:rsid w:val="005D671C"/>
    <w:rsid w:val="005D6FC5"/>
    <w:rsid w:val="005E44EB"/>
    <w:rsid w:val="005E74A5"/>
    <w:rsid w:val="005F0A6A"/>
    <w:rsid w:val="005F0C12"/>
    <w:rsid w:val="005F2F15"/>
    <w:rsid w:val="005F651A"/>
    <w:rsid w:val="005F766E"/>
    <w:rsid w:val="005F7C90"/>
    <w:rsid w:val="00612A72"/>
    <w:rsid w:val="0061430F"/>
    <w:rsid w:val="006154D3"/>
    <w:rsid w:val="00624DA2"/>
    <w:rsid w:val="00624FF4"/>
    <w:rsid w:val="00632E31"/>
    <w:rsid w:val="00633CED"/>
    <w:rsid w:val="00635D6B"/>
    <w:rsid w:val="0064066E"/>
    <w:rsid w:val="00645F95"/>
    <w:rsid w:val="00646C38"/>
    <w:rsid w:val="006528C5"/>
    <w:rsid w:val="00657773"/>
    <w:rsid w:val="00660C00"/>
    <w:rsid w:val="00661BFE"/>
    <w:rsid w:val="00663896"/>
    <w:rsid w:val="00663A13"/>
    <w:rsid w:val="006663E0"/>
    <w:rsid w:val="00670196"/>
    <w:rsid w:val="00670646"/>
    <w:rsid w:val="00682163"/>
    <w:rsid w:val="0068272A"/>
    <w:rsid w:val="006847C3"/>
    <w:rsid w:val="00686DFF"/>
    <w:rsid w:val="00691096"/>
    <w:rsid w:val="00693047"/>
    <w:rsid w:val="006A0E65"/>
    <w:rsid w:val="006A10F1"/>
    <w:rsid w:val="006A5A92"/>
    <w:rsid w:val="006B329E"/>
    <w:rsid w:val="006B577B"/>
    <w:rsid w:val="006B6AF5"/>
    <w:rsid w:val="006D0422"/>
    <w:rsid w:val="006D1382"/>
    <w:rsid w:val="006D1C14"/>
    <w:rsid w:val="006D232D"/>
    <w:rsid w:val="006E2FD9"/>
    <w:rsid w:val="006E35D9"/>
    <w:rsid w:val="006E577A"/>
    <w:rsid w:val="006F07C3"/>
    <w:rsid w:val="006F20EA"/>
    <w:rsid w:val="006F24B8"/>
    <w:rsid w:val="006F3CBF"/>
    <w:rsid w:val="006F3E30"/>
    <w:rsid w:val="006F5A25"/>
    <w:rsid w:val="00706A0A"/>
    <w:rsid w:val="00706FF6"/>
    <w:rsid w:val="007137B9"/>
    <w:rsid w:val="00725E09"/>
    <w:rsid w:val="0072753D"/>
    <w:rsid w:val="00730C20"/>
    <w:rsid w:val="00732184"/>
    <w:rsid w:val="00733670"/>
    <w:rsid w:val="00734699"/>
    <w:rsid w:val="00734A65"/>
    <w:rsid w:val="00740F39"/>
    <w:rsid w:val="00752C88"/>
    <w:rsid w:val="00755DC7"/>
    <w:rsid w:val="0076061D"/>
    <w:rsid w:val="00761467"/>
    <w:rsid w:val="00762BF0"/>
    <w:rsid w:val="0076312D"/>
    <w:rsid w:val="0076345B"/>
    <w:rsid w:val="0076507C"/>
    <w:rsid w:val="007709B1"/>
    <w:rsid w:val="00774D25"/>
    <w:rsid w:val="007771E6"/>
    <w:rsid w:val="00787A20"/>
    <w:rsid w:val="00792AB3"/>
    <w:rsid w:val="00794254"/>
    <w:rsid w:val="00795054"/>
    <w:rsid w:val="007A405D"/>
    <w:rsid w:val="007A4700"/>
    <w:rsid w:val="007A4EF4"/>
    <w:rsid w:val="007A6F33"/>
    <w:rsid w:val="007B25D0"/>
    <w:rsid w:val="007B3D6A"/>
    <w:rsid w:val="007B60FE"/>
    <w:rsid w:val="007B7AF8"/>
    <w:rsid w:val="007C247C"/>
    <w:rsid w:val="007C2485"/>
    <w:rsid w:val="007C3ACC"/>
    <w:rsid w:val="007C434F"/>
    <w:rsid w:val="007D519B"/>
    <w:rsid w:val="007E176C"/>
    <w:rsid w:val="007E6EB8"/>
    <w:rsid w:val="007E75DE"/>
    <w:rsid w:val="007F08AB"/>
    <w:rsid w:val="007F1258"/>
    <w:rsid w:val="007F1568"/>
    <w:rsid w:val="007F7DE5"/>
    <w:rsid w:val="00801A79"/>
    <w:rsid w:val="00806CF8"/>
    <w:rsid w:val="00807568"/>
    <w:rsid w:val="0081328A"/>
    <w:rsid w:val="008165E2"/>
    <w:rsid w:val="008175F7"/>
    <w:rsid w:val="008218D0"/>
    <w:rsid w:val="008222C2"/>
    <w:rsid w:val="00824A82"/>
    <w:rsid w:val="008445DA"/>
    <w:rsid w:val="00845EAD"/>
    <w:rsid w:val="008468F7"/>
    <w:rsid w:val="00847D2D"/>
    <w:rsid w:val="00855864"/>
    <w:rsid w:val="00865D98"/>
    <w:rsid w:val="00870DD3"/>
    <w:rsid w:val="0087299B"/>
    <w:rsid w:val="0088489A"/>
    <w:rsid w:val="008906D3"/>
    <w:rsid w:val="00891156"/>
    <w:rsid w:val="00897E97"/>
    <w:rsid w:val="008A09AE"/>
    <w:rsid w:val="008A4F57"/>
    <w:rsid w:val="008A61E2"/>
    <w:rsid w:val="008B2CDA"/>
    <w:rsid w:val="008B3058"/>
    <w:rsid w:val="008B7B9D"/>
    <w:rsid w:val="008C653B"/>
    <w:rsid w:val="008C6BF4"/>
    <w:rsid w:val="008D0283"/>
    <w:rsid w:val="008D0DB1"/>
    <w:rsid w:val="008D1218"/>
    <w:rsid w:val="008D3815"/>
    <w:rsid w:val="008E059C"/>
    <w:rsid w:val="008F0029"/>
    <w:rsid w:val="008F0C88"/>
    <w:rsid w:val="008F3617"/>
    <w:rsid w:val="009016FD"/>
    <w:rsid w:val="00901867"/>
    <w:rsid w:val="00912594"/>
    <w:rsid w:val="00916661"/>
    <w:rsid w:val="009172F0"/>
    <w:rsid w:val="009202DF"/>
    <w:rsid w:val="009306D6"/>
    <w:rsid w:val="009312D9"/>
    <w:rsid w:val="00933BC3"/>
    <w:rsid w:val="00944256"/>
    <w:rsid w:val="00953299"/>
    <w:rsid w:val="009609A9"/>
    <w:rsid w:val="009633FE"/>
    <w:rsid w:val="00965F51"/>
    <w:rsid w:val="0097094A"/>
    <w:rsid w:val="00995C5C"/>
    <w:rsid w:val="009A124F"/>
    <w:rsid w:val="009B4589"/>
    <w:rsid w:val="009B7283"/>
    <w:rsid w:val="009C156F"/>
    <w:rsid w:val="009C23F4"/>
    <w:rsid w:val="009C3858"/>
    <w:rsid w:val="009C390D"/>
    <w:rsid w:val="009C5D92"/>
    <w:rsid w:val="009D01BE"/>
    <w:rsid w:val="009D04B9"/>
    <w:rsid w:val="009D1198"/>
    <w:rsid w:val="009D349B"/>
    <w:rsid w:val="009F0A48"/>
    <w:rsid w:val="009F0F30"/>
    <w:rsid w:val="009F2521"/>
    <w:rsid w:val="009F78D6"/>
    <w:rsid w:val="00A01543"/>
    <w:rsid w:val="00A04980"/>
    <w:rsid w:val="00A07089"/>
    <w:rsid w:val="00A113B5"/>
    <w:rsid w:val="00A12699"/>
    <w:rsid w:val="00A322E3"/>
    <w:rsid w:val="00A3765A"/>
    <w:rsid w:val="00A3778D"/>
    <w:rsid w:val="00A4308A"/>
    <w:rsid w:val="00A43989"/>
    <w:rsid w:val="00A43B9C"/>
    <w:rsid w:val="00A531B7"/>
    <w:rsid w:val="00A55595"/>
    <w:rsid w:val="00A55A30"/>
    <w:rsid w:val="00A55C35"/>
    <w:rsid w:val="00A56AE5"/>
    <w:rsid w:val="00A57874"/>
    <w:rsid w:val="00A6253E"/>
    <w:rsid w:val="00A70A86"/>
    <w:rsid w:val="00A70EEC"/>
    <w:rsid w:val="00A75654"/>
    <w:rsid w:val="00A80B8C"/>
    <w:rsid w:val="00A82FD3"/>
    <w:rsid w:val="00A8345E"/>
    <w:rsid w:val="00A84F16"/>
    <w:rsid w:val="00A86FCA"/>
    <w:rsid w:val="00A904C3"/>
    <w:rsid w:val="00A91328"/>
    <w:rsid w:val="00A93792"/>
    <w:rsid w:val="00AA09CA"/>
    <w:rsid w:val="00AA19B1"/>
    <w:rsid w:val="00AA36C9"/>
    <w:rsid w:val="00AA3B7C"/>
    <w:rsid w:val="00AB20C1"/>
    <w:rsid w:val="00AB4E72"/>
    <w:rsid w:val="00AC40F6"/>
    <w:rsid w:val="00AC4125"/>
    <w:rsid w:val="00AC519C"/>
    <w:rsid w:val="00AC5837"/>
    <w:rsid w:val="00AC627B"/>
    <w:rsid w:val="00AD5C18"/>
    <w:rsid w:val="00AE5E31"/>
    <w:rsid w:val="00AF0DDB"/>
    <w:rsid w:val="00AF28AC"/>
    <w:rsid w:val="00AF66A3"/>
    <w:rsid w:val="00B01D4D"/>
    <w:rsid w:val="00B02191"/>
    <w:rsid w:val="00B11264"/>
    <w:rsid w:val="00B1356E"/>
    <w:rsid w:val="00B17802"/>
    <w:rsid w:val="00B25B25"/>
    <w:rsid w:val="00B368BA"/>
    <w:rsid w:val="00B40FD3"/>
    <w:rsid w:val="00B41CB9"/>
    <w:rsid w:val="00B454DE"/>
    <w:rsid w:val="00B46CCC"/>
    <w:rsid w:val="00B54455"/>
    <w:rsid w:val="00B5767D"/>
    <w:rsid w:val="00B6070D"/>
    <w:rsid w:val="00B61D54"/>
    <w:rsid w:val="00B66CF2"/>
    <w:rsid w:val="00B673AC"/>
    <w:rsid w:val="00B71A20"/>
    <w:rsid w:val="00B735A7"/>
    <w:rsid w:val="00B7531E"/>
    <w:rsid w:val="00B95F53"/>
    <w:rsid w:val="00BA2B41"/>
    <w:rsid w:val="00BA3EA7"/>
    <w:rsid w:val="00BA77A1"/>
    <w:rsid w:val="00BB08C3"/>
    <w:rsid w:val="00BB20C4"/>
    <w:rsid w:val="00BC1DC7"/>
    <w:rsid w:val="00BC47BB"/>
    <w:rsid w:val="00BC4950"/>
    <w:rsid w:val="00BC695B"/>
    <w:rsid w:val="00BD12A9"/>
    <w:rsid w:val="00BD1D6B"/>
    <w:rsid w:val="00BD5734"/>
    <w:rsid w:val="00BD6718"/>
    <w:rsid w:val="00BD6F09"/>
    <w:rsid w:val="00BE092C"/>
    <w:rsid w:val="00BE191E"/>
    <w:rsid w:val="00BE50D2"/>
    <w:rsid w:val="00BE7B7B"/>
    <w:rsid w:val="00BF3032"/>
    <w:rsid w:val="00C00120"/>
    <w:rsid w:val="00C00AC9"/>
    <w:rsid w:val="00C015E0"/>
    <w:rsid w:val="00C034D2"/>
    <w:rsid w:val="00C1279D"/>
    <w:rsid w:val="00C14089"/>
    <w:rsid w:val="00C16D85"/>
    <w:rsid w:val="00C25007"/>
    <w:rsid w:val="00C25C7F"/>
    <w:rsid w:val="00C26ECC"/>
    <w:rsid w:val="00C33517"/>
    <w:rsid w:val="00C338FA"/>
    <w:rsid w:val="00C40364"/>
    <w:rsid w:val="00C404F6"/>
    <w:rsid w:val="00C4298C"/>
    <w:rsid w:val="00C56397"/>
    <w:rsid w:val="00C574A0"/>
    <w:rsid w:val="00C60827"/>
    <w:rsid w:val="00C60D96"/>
    <w:rsid w:val="00C61E32"/>
    <w:rsid w:val="00C64A9A"/>
    <w:rsid w:val="00C650D2"/>
    <w:rsid w:val="00C65AF4"/>
    <w:rsid w:val="00C76996"/>
    <w:rsid w:val="00C80C92"/>
    <w:rsid w:val="00C83B30"/>
    <w:rsid w:val="00C96CCC"/>
    <w:rsid w:val="00CA01D6"/>
    <w:rsid w:val="00CA1752"/>
    <w:rsid w:val="00CA557C"/>
    <w:rsid w:val="00CB1791"/>
    <w:rsid w:val="00CB3D19"/>
    <w:rsid w:val="00CC6211"/>
    <w:rsid w:val="00CD21DE"/>
    <w:rsid w:val="00CE1572"/>
    <w:rsid w:val="00CE5BE8"/>
    <w:rsid w:val="00CE798B"/>
    <w:rsid w:val="00CF22AE"/>
    <w:rsid w:val="00CF27B1"/>
    <w:rsid w:val="00CF3913"/>
    <w:rsid w:val="00CF453B"/>
    <w:rsid w:val="00CF73BE"/>
    <w:rsid w:val="00CF74ED"/>
    <w:rsid w:val="00D076D6"/>
    <w:rsid w:val="00D10026"/>
    <w:rsid w:val="00D146BA"/>
    <w:rsid w:val="00D17D59"/>
    <w:rsid w:val="00D20508"/>
    <w:rsid w:val="00D211FB"/>
    <w:rsid w:val="00D21540"/>
    <w:rsid w:val="00D22CA2"/>
    <w:rsid w:val="00D24418"/>
    <w:rsid w:val="00D249CD"/>
    <w:rsid w:val="00D27CA4"/>
    <w:rsid w:val="00D332EE"/>
    <w:rsid w:val="00D41F14"/>
    <w:rsid w:val="00D423E4"/>
    <w:rsid w:val="00D46EA1"/>
    <w:rsid w:val="00D50CA3"/>
    <w:rsid w:val="00D5680B"/>
    <w:rsid w:val="00D61A90"/>
    <w:rsid w:val="00D62E75"/>
    <w:rsid w:val="00D67DAA"/>
    <w:rsid w:val="00D707C4"/>
    <w:rsid w:val="00D7120A"/>
    <w:rsid w:val="00D72024"/>
    <w:rsid w:val="00D7355D"/>
    <w:rsid w:val="00D74BEB"/>
    <w:rsid w:val="00D760FF"/>
    <w:rsid w:val="00D91613"/>
    <w:rsid w:val="00D932A5"/>
    <w:rsid w:val="00D94122"/>
    <w:rsid w:val="00DA172F"/>
    <w:rsid w:val="00DA2AC8"/>
    <w:rsid w:val="00DA3654"/>
    <w:rsid w:val="00DA657F"/>
    <w:rsid w:val="00DA6739"/>
    <w:rsid w:val="00DB0669"/>
    <w:rsid w:val="00DC5D25"/>
    <w:rsid w:val="00DD0085"/>
    <w:rsid w:val="00DD4785"/>
    <w:rsid w:val="00DD5CB7"/>
    <w:rsid w:val="00DD6043"/>
    <w:rsid w:val="00DE0050"/>
    <w:rsid w:val="00DE186A"/>
    <w:rsid w:val="00DE34F5"/>
    <w:rsid w:val="00DE3C1C"/>
    <w:rsid w:val="00DE6CC7"/>
    <w:rsid w:val="00DF432E"/>
    <w:rsid w:val="00E056C2"/>
    <w:rsid w:val="00E07992"/>
    <w:rsid w:val="00E135BD"/>
    <w:rsid w:val="00E13BA0"/>
    <w:rsid w:val="00E142AD"/>
    <w:rsid w:val="00E20B60"/>
    <w:rsid w:val="00E26F83"/>
    <w:rsid w:val="00E311BA"/>
    <w:rsid w:val="00E33153"/>
    <w:rsid w:val="00E40F13"/>
    <w:rsid w:val="00E40FC9"/>
    <w:rsid w:val="00E4541C"/>
    <w:rsid w:val="00E46559"/>
    <w:rsid w:val="00E51BA1"/>
    <w:rsid w:val="00E64685"/>
    <w:rsid w:val="00E822D4"/>
    <w:rsid w:val="00E82C7D"/>
    <w:rsid w:val="00E87CE8"/>
    <w:rsid w:val="00E904F2"/>
    <w:rsid w:val="00E95409"/>
    <w:rsid w:val="00EA11D8"/>
    <w:rsid w:val="00EB0E51"/>
    <w:rsid w:val="00EC3C29"/>
    <w:rsid w:val="00EC5B6A"/>
    <w:rsid w:val="00ED0621"/>
    <w:rsid w:val="00ED0A15"/>
    <w:rsid w:val="00ED4847"/>
    <w:rsid w:val="00EF0832"/>
    <w:rsid w:val="00EF34F8"/>
    <w:rsid w:val="00F01449"/>
    <w:rsid w:val="00F047D0"/>
    <w:rsid w:val="00F06583"/>
    <w:rsid w:val="00F13E4D"/>
    <w:rsid w:val="00F16015"/>
    <w:rsid w:val="00F2127B"/>
    <w:rsid w:val="00F22778"/>
    <w:rsid w:val="00F22C24"/>
    <w:rsid w:val="00F22E3C"/>
    <w:rsid w:val="00F34C12"/>
    <w:rsid w:val="00F356EC"/>
    <w:rsid w:val="00F421CC"/>
    <w:rsid w:val="00F439E4"/>
    <w:rsid w:val="00F572F8"/>
    <w:rsid w:val="00F57C7D"/>
    <w:rsid w:val="00F612A4"/>
    <w:rsid w:val="00F63565"/>
    <w:rsid w:val="00F64404"/>
    <w:rsid w:val="00F70A5E"/>
    <w:rsid w:val="00F74B23"/>
    <w:rsid w:val="00F74DC8"/>
    <w:rsid w:val="00F77D36"/>
    <w:rsid w:val="00F90AD8"/>
    <w:rsid w:val="00F90F19"/>
    <w:rsid w:val="00F91AD8"/>
    <w:rsid w:val="00F9435F"/>
    <w:rsid w:val="00F9508E"/>
    <w:rsid w:val="00F95482"/>
    <w:rsid w:val="00F977CC"/>
    <w:rsid w:val="00FA1009"/>
    <w:rsid w:val="00FA361C"/>
    <w:rsid w:val="00FA7B40"/>
    <w:rsid w:val="00FB08B3"/>
    <w:rsid w:val="00FB1DF6"/>
    <w:rsid w:val="00FB284D"/>
    <w:rsid w:val="00FB2CE5"/>
    <w:rsid w:val="00FB2F8B"/>
    <w:rsid w:val="00FB4A4D"/>
    <w:rsid w:val="00FC1180"/>
    <w:rsid w:val="00FC2B0A"/>
    <w:rsid w:val="00FC43AF"/>
    <w:rsid w:val="00FC6576"/>
    <w:rsid w:val="00FD144A"/>
    <w:rsid w:val="00FD1BED"/>
    <w:rsid w:val="00FD7A7D"/>
    <w:rsid w:val="00FE40FD"/>
    <w:rsid w:val="00FE6AA0"/>
    <w:rsid w:val="00FF556C"/>
    <w:rsid w:val="00FF5EEA"/>
    <w:rsid w:val="00FF62FD"/>
    <w:rsid w:val="01381FDE"/>
    <w:rsid w:val="015E1842"/>
    <w:rsid w:val="017323D4"/>
    <w:rsid w:val="018635C3"/>
    <w:rsid w:val="01C11962"/>
    <w:rsid w:val="01DB2C70"/>
    <w:rsid w:val="02022B34"/>
    <w:rsid w:val="020574FC"/>
    <w:rsid w:val="02151957"/>
    <w:rsid w:val="02210625"/>
    <w:rsid w:val="025B633C"/>
    <w:rsid w:val="02E66AE4"/>
    <w:rsid w:val="03242F93"/>
    <w:rsid w:val="03F418A9"/>
    <w:rsid w:val="04882DA2"/>
    <w:rsid w:val="04A54EA9"/>
    <w:rsid w:val="04C55C3E"/>
    <w:rsid w:val="05367C0B"/>
    <w:rsid w:val="054A5E82"/>
    <w:rsid w:val="05914119"/>
    <w:rsid w:val="05984AD4"/>
    <w:rsid w:val="05E77556"/>
    <w:rsid w:val="0649778B"/>
    <w:rsid w:val="06CB0B96"/>
    <w:rsid w:val="075D3DD1"/>
    <w:rsid w:val="07741E66"/>
    <w:rsid w:val="08B90EB7"/>
    <w:rsid w:val="08C4413A"/>
    <w:rsid w:val="093964BD"/>
    <w:rsid w:val="09CB7265"/>
    <w:rsid w:val="09EE6CA0"/>
    <w:rsid w:val="0AFF362D"/>
    <w:rsid w:val="0B135F92"/>
    <w:rsid w:val="0BEF00E2"/>
    <w:rsid w:val="0C1564DE"/>
    <w:rsid w:val="0CB0685E"/>
    <w:rsid w:val="0CBB1CC9"/>
    <w:rsid w:val="0CC63A71"/>
    <w:rsid w:val="0CD27D85"/>
    <w:rsid w:val="0D492E9A"/>
    <w:rsid w:val="0D541F24"/>
    <w:rsid w:val="0D5F712A"/>
    <w:rsid w:val="0DED02B5"/>
    <w:rsid w:val="0E5A3F89"/>
    <w:rsid w:val="0E8970F5"/>
    <w:rsid w:val="0EAE7963"/>
    <w:rsid w:val="0EED14A4"/>
    <w:rsid w:val="0F1C2DA1"/>
    <w:rsid w:val="0F614886"/>
    <w:rsid w:val="0F6621B7"/>
    <w:rsid w:val="0F8E3E7A"/>
    <w:rsid w:val="0FC348F6"/>
    <w:rsid w:val="109035CD"/>
    <w:rsid w:val="1092608E"/>
    <w:rsid w:val="1103254A"/>
    <w:rsid w:val="1216178E"/>
    <w:rsid w:val="12213FA8"/>
    <w:rsid w:val="12417311"/>
    <w:rsid w:val="12CD0CCB"/>
    <w:rsid w:val="13252DB1"/>
    <w:rsid w:val="13390624"/>
    <w:rsid w:val="13704B27"/>
    <w:rsid w:val="139B4BA1"/>
    <w:rsid w:val="13B60C45"/>
    <w:rsid w:val="148D59EC"/>
    <w:rsid w:val="153C0730"/>
    <w:rsid w:val="15AC507B"/>
    <w:rsid w:val="15EF09E0"/>
    <w:rsid w:val="160E1770"/>
    <w:rsid w:val="16142F4A"/>
    <w:rsid w:val="163D3CF0"/>
    <w:rsid w:val="165F6BE8"/>
    <w:rsid w:val="16CE4D95"/>
    <w:rsid w:val="17193671"/>
    <w:rsid w:val="17311117"/>
    <w:rsid w:val="173B68A8"/>
    <w:rsid w:val="17CC2250"/>
    <w:rsid w:val="17D6045E"/>
    <w:rsid w:val="18191C1A"/>
    <w:rsid w:val="184914C2"/>
    <w:rsid w:val="18674BEA"/>
    <w:rsid w:val="18B23B4B"/>
    <w:rsid w:val="19240D15"/>
    <w:rsid w:val="197679BA"/>
    <w:rsid w:val="19D75C5D"/>
    <w:rsid w:val="1A926303"/>
    <w:rsid w:val="1ABB7036"/>
    <w:rsid w:val="1B3B47B1"/>
    <w:rsid w:val="1BED1B2F"/>
    <w:rsid w:val="1C993C27"/>
    <w:rsid w:val="1D060D84"/>
    <w:rsid w:val="1D1F0214"/>
    <w:rsid w:val="1D6F6B0D"/>
    <w:rsid w:val="1DAB5082"/>
    <w:rsid w:val="1E0B16B2"/>
    <w:rsid w:val="1E294B47"/>
    <w:rsid w:val="1E4E240A"/>
    <w:rsid w:val="1E7772C1"/>
    <w:rsid w:val="1EA3032D"/>
    <w:rsid w:val="1F7236C0"/>
    <w:rsid w:val="1FAA0709"/>
    <w:rsid w:val="1FD830C9"/>
    <w:rsid w:val="20380F08"/>
    <w:rsid w:val="204C6D48"/>
    <w:rsid w:val="204F6ABB"/>
    <w:rsid w:val="207B5116"/>
    <w:rsid w:val="20E23B37"/>
    <w:rsid w:val="21496422"/>
    <w:rsid w:val="21D46375"/>
    <w:rsid w:val="21F47F6B"/>
    <w:rsid w:val="22515B77"/>
    <w:rsid w:val="22B2303C"/>
    <w:rsid w:val="22C55C6B"/>
    <w:rsid w:val="23706DFA"/>
    <w:rsid w:val="23C87772"/>
    <w:rsid w:val="2495308C"/>
    <w:rsid w:val="24AA4B04"/>
    <w:rsid w:val="24BE0DAC"/>
    <w:rsid w:val="24F106E6"/>
    <w:rsid w:val="24FE3ADA"/>
    <w:rsid w:val="252E2C1E"/>
    <w:rsid w:val="25A736E1"/>
    <w:rsid w:val="25C935E9"/>
    <w:rsid w:val="25D031D5"/>
    <w:rsid w:val="262708D4"/>
    <w:rsid w:val="262D7099"/>
    <w:rsid w:val="263F58E3"/>
    <w:rsid w:val="268D07CA"/>
    <w:rsid w:val="26D244A6"/>
    <w:rsid w:val="27ED17B0"/>
    <w:rsid w:val="2829083D"/>
    <w:rsid w:val="28327D26"/>
    <w:rsid w:val="283D3A06"/>
    <w:rsid w:val="29256442"/>
    <w:rsid w:val="29346D40"/>
    <w:rsid w:val="293643D6"/>
    <w:rsid w:val="297206A8"/>
    <w:rsid w:val="2A7B2989"/>
    <w:rsid w:val="2A9A1215"/>
    <w:rsid w:val="2AD97D9E"/>
    <w:rsid w:val="2B71245A"/>
    <w:rsid w:val="2BA108BF"/>
    <w:rsid w:val="2BEE432F"/>
    <w:rsid w:val="2C00277A"/>
    <w:rsid w:val="2CB86D8A"/>
    <w:rsid w:val="2D0D1ED8"/>
    <w:rsid w:val="2D1B675C"/>
    <w:rsid w:val="2D816A6E"/>
    <w:rsid w:val="2D913A93"/>
    <w:rsid w:val="2D9366A6"/>
    <w:rsid w:val="2D9C2BE8"/>
    <w:rsid w:val="2DB2389D"/>
    <w:rsid w:val="2DCE51FC"/>
    <w:rsid w:val="2E7858E0"/>
    <w:rsid w:val="2EC9229A"/>
    <w:rsid w:val="2EC92820"/>
    <w:rsid w:val="2ECD0DFE"/>
    <w:rsid w:val="2F1C3676"/>
    <w:rsid w:val="2F287757"/>
    <w:rsid w:val="30523374"/>
    <w:rsid w:val="30775A6B"/>
    <w:rsid w:val="30997446"/>
    <w:rsid w:val="30DE6B30"/>
    <w:rsid w:val="310D3A9D"/>
    <w:rsid w:val="31347C3B"/>
    <w:rsid w:val="318B1A73"/>
    <w:rsid w:val="318F2878"/>
    <w:rsid w:val="31EC54B1"/>
    <w:rsid w:val="32117A21"/>
    <w:rsid w:val="32400B72"/>
    <w:rsid w:val="325C5780"/>
    <w:rsid w:val="327C4C46"/>
    <w:rsid w:val="32985F8C"/>
    <w:rsid w:val="32B31C95"/>
    <w:rsid w:val="33353B08"/>
    <w:rsid w:val="33AB1E66"/>
    <w:rsid w:val="33CF0220"/>
    <w:rsid w:val="33D53A3F"/>
    <w:rsid w:val="341F4FA6"/>
    <w:rsid w:val="34607ED1"/>
    <w:rsid w:val="352B6AFF"/>
    <w:rsid w:val="35510EED"/>
    <w:rsid w:val="356137EB"/>
    <w:rsid w:val="35870BE8"/>
    <w:rsid w:val="359E25BA"/>
    <w:rsid w:val="35A2506B"/>
    <w:rsid w:val="35AA236B"/>
    <w:rsid w:val="35B10875"/>
    <w:rsid w:val="35D71179"/>
    <w:rsid w:val="360A4CDA"/>
    <w:rsid w:val="362A168B"/>
    <w:rsid w:val="365C7002"/>
    <w:rsid w:val="369F695F"/>
    <w:rsid w:val="36E57DBE"/>
    <w:rsid w:val="370A236E"/>
    <w:rsid w:val="371B0FE8"/>
    <w:rsid w:val="383E746D"/>
    <w:rsid w:val="389C5A46"/>
    <w:rsid w:val="38B6393D"/>
    <w:rsid w:val="390600CC"/>
    <w:rsid w:val="39DE024E"/>
    <w:rsid w:val="3ABB2C9B"/>
    <w:rsid w:val="3AFE1FE4"/>
    <w:rsid w:val="3C0530CF"/>
    <w:rsid w:val="3C252E1A"/>
    <w:rsid w:val="3C465E5D"/>
    <w:rsid w:val="3C4A619D"/>
    <w:rsid w:val="3C516CC0"/>
    <w:rsid w:val="3C921553"/>
    <w:rsid w:val="3CAF21B5"/>
    <w:rsid w:val="3CFC1519"/>
    <w:rsid w:val="3D276495"/>
    <w:rsid w:val="3D4462AD"/>
    <w:rsid w:val="3D4F36F2"/>
    <w:rsid w:val="3D5458EA"/>
    <w:rsid w:val="3DC97ABD"/>
    <w:rsid w:val="3DDF0EB8"/>
    <w:rsid w:val="3E3254E5"/>
    <w:rsid w:val="3E5C3C83"/>
    <w:rsid w:val="3EE12D51"/>
    <w:rsid w:val="3F76595D"/>
    <w:rsid w:val="3F910887"/>
    <w:rsid w:val="3FD15FB3"/>
    <w:rsid w:val="3FE045CB"/>
    <w:rsid w:val="3FE67957"/>
    <w:rsid w:val="408E714D"/>
    <w:rsid w:val="40A6333C"/>
    <w:rsid w:val="40BF2F13"/>
    <w:rsid w:val="412D005D"/>
    <w:rsid w:val="414E378C"/>
    <w:rsid w:val="41636DBB"/>
    <w:rsid w:val="41710552"/>
    <w:rsid w:val="417F2BFD"/>
    <w:rsid w:val="419B3FAC"/>
    <w:rsid w:val="41BE7C82"/>
    <w:rsid w:val="41CB255E"/>
    <w:rsid w:val="42806089"/>
    <w:rsid w:val="434002AA"/>
    <w:rsid w:val="43707FA6"/>
    <w:rsid w:val="439E2013"/>
    <w:rsid w:val="43EB78AE"/>
    <w:rsid w:val="4434181A"/>
    <w:rsid w:val="446F7189"/>
    <w:rsid w:val="44845D06"/>
    <w:rsid w:val="453C70EF"/>
    <w:rsid w:val="454034F3"/>
    <w:rsid w:val="45801004"/>
    <w:rsid w:val="46221009"/>
    <w:rsid w:val="46592B17"/>
    <w:rsid w:val="46911BAA"/>
    <w:rsid w:val="47417E82"/>
    <w:rsid w:val="47464C8C"/>
    <w:rsid w:val="4773177B"/>
    <w:rsid w:val="47977E9A"/>
    <w:rsid w:val="47D33671"/>
    <w:rsid w:val="47E84FBF"/>
    <w:rsid w:val="48042368"/>
    <w:rsid w:val="485F5610"/>
    <w:rsid w:val="48B001DF"/>
    <w:rsid w:val="48CC7A3F"/>
    <w:rsid w:val="48CF4605"/>
    <w:rsid w:val="49B406B3"/>
    <w:rsid w:val="4A236F35"/>
    <w:rsid w:val="4A5D78A0"/>
    <w:rsid w:val="4A922C20"/>
    <w:rsid w:val="4B081E7E"/>
    <w:rsid w:val="4BE82694"/>
    <w:rsid w:val="4BF36495"/>
    <w:rsid w:val="4BFA5AE7"/>
    <w:rsid w:val="4C867221"/>
    <w:rsid w:val="4C9612CD"/>
    <w:rsid w:val="4C9A6388"/>
    <w:rsid w:val="4CC4465A"/>
    <w:rsid w:val="4D4F7D5E"/>
    <w:rsid w:val="4D6C2D05"/>
    <w:rsid w:val="4D957B92"/>
    <w:rsid w:val="4DA231F0"/>
    <w:rsid w:val="4DD47B5E"/>
    <w:rsid w:val="4E235986"/>
    <w:rsid w:val="4E6D2BB6"/>
    <w:rsid w:val="4EAF79B8"/>
    <w:rsid w:val="4ED1389E"/>
    <w:rsid w:val="4EE54A19"/>
    <w:rsid w:val="4F745C45"/>
    <w:rsid w:val="4F9E203C"/>
    <w:rsid w:val="4FB53BA5"/>
    <w:rsid w:val="4FCB0696"/>
    <w:rsid w:val="4FE355E6"/>
    <w:rsid w:val="4FF21938"/>
    <w:rsid w:val="5011414B"/>
    <w:rsid w:val="50523078"/>
    <w:rsid w:val="508C61A1"/>
    <w:rsid w:val="50F817DF"/>
    <w:rsid w:val="50FE19E6"/>
    <w:rsid w:val="513B5C76"/>
    <w:rsid w:val="513F1E29"/>
    <w:rsid w:val="52096481"/>
    <w:rsid w:val="52654C76"/>
    <w:rsid w:val="52A6300A"/>
    <w:rsid w:val="52F14DA1"/>
    <w:rsid w:val="5394276A"/>
    <w:rsid w:val="53A37386"/>
    <w:rsid w:val="53B55688"/>
    <w:rsid w:val="53F76A04"/>
    <w:rsid w:val="5465722B"/>
    <w:rsid w:val="54786441"/>
    <w:rsid w:val="54A37382"/>
    <w:rsid w:val="54BB3E9C"/>
    <w:rsid w:val="54BD10F9"/>
    <w:rsid w:val="558E0A8B"/>
    <w:rsid w:val="55E61051"/>
    <w:rsid w:val="56872A22"/>
    <w:rsid w:val="56987512"/>
    <w:rsid w:val="57014CA6"/>
    <w:rsid w:val="57231CCA"/>
    <w:rsid w:val="57557B73"/>
    <w:rsid w:val="578E0913"/>
    <w:rsid w:val="579748CE"/>
    <w:rsid w:val="57A34451"/>
    <w:rsid w:val="57C11CAC"/>
    <w:rsid w:val="58C61E79"/>
    <w:rsid w:val="59CF042F"/>
    <w:rsid w:val="5A3431DE"/>
    <w:rsid w:val="5A3F302F"/>
    <w:rsid w:val="5A4628FF"/>
    <w:rsid w:val="5AAB5107"/>
    <w:rsid w:val="5AF742B7"/>
    <w:rsid w:val="5B730CA8"/>
    <w:rsid w:val="5B7761B0"/>
    <w:rsid w:val="5BF3322A"/>
    <w:rsid w:val="5C1A0834"/>
    <w:rsid w:val="5C65291D"/>
    <w:rsid w:val="5C942044"/>
    <w:rsid w:val="5C9E57EB"/>
    <w:rsid w:val="5CBF07AB"/>
    <w:rsid w:val="5CCE2A56"/>
    <w:rsid w:val="5CF77433"/>
    <w:rsid w:val="5D452F43"/>
    <w:rsid w:val="5D97175F"/>
    <w:rsid w:val="5DB13A08"/>
    <w:rsid w:val="5DC002AB"/>
    <w:rsid w:val="5E696B2A"/>
    <w:rsid w:val="5F3C5A9F"/>
    <w:rsid w:val="5F43024C"/>
    <w:rsid w:val="5F790C56"/>
    <w:rsid w:val="5F9455C1"/>
    <w:rsid w:val="60A96B43"/>
    <w:rsid w:val="60C26423"/>
    <w:rsid w:val="60EC6DF3"/>
    <w:rsid w:val="60EF5890"/>
    <w:rsid w:val="617E52E2"/>
    <w:rsid w:val="61B800DA"/>
    <w:rsid w:val="621207B7"/>
    <w:rsid w:val="62993A7C"/>
    <w:rsid w:val="62FD36ED"/>
    <w:rsid w:val="630D4AA8"/>
    <w:rsid w:val="63276B7D"/>
    <w:rsid w:val="637555FC"/>
    <w:rsid w:val="645417EB"/>
    <w:rsid w:val="64AB5CF7"/>
    <w:rsid w:val="65160B9B"/>
    <w:rsid w:val="65165661"/>
    <w:rsid w:val="6583512D"/>
    <w:rsid w:val="65B42C46"/>
    <w:rsid w:val="65BA3517"/>
    <w:rsid w:val="666E4E7C"/>
    <w:rsid w:val="6678356A"/>
    <w:rsid w:val="67DF0A57"/>
    <w:rsid w:val="68186BC2"/>
    <w:rsid w:val="6828029E"/>
    <w:rsid w:val="68492AEB"/>
    <w:rsid w:val="685A776A"/>
    <w:rsid w:val="68CE54C2"/>
    <w:rsid w:val="69274557"/>
    <w:rsid w:val="69A81316"/>
    <w:rsid w:val="6A682879"/>
    <w:rsid w:val="6A696279"/>
    <w:rsid w:val="6A8955C1"/>
    <w:rsid w:val="6AA00067"/>
    <w:rsid w:val="6AB71E26"/>
    <w:rsid w:val="6AB94177"/>
    <w:rsid w:val="6B055878"/>
    <w:rsid w:val="6B3459B4"/>
    <w:rsid w:val="6B5E2DB1"/>
    <w:rsid w:val="6BA35B72"/>
    <w:rsid w:val="6BCB694A"/>
    <w:rsid w:val="6D1F7621"/>
    <w:rsid w:val="6D2B74B3"/>
    <w:rsid w:val="6E343FC5"/>
    <w:rsid w:val="6E40583F"/>
    <w:rsid w:val="6E7F019A"/>
    <w:rsid w:val="6E8505CD"/>
    <w:rsid w:val="6EDA24E8"/>
    <w:rsid w:val="6EE45779"/>
    <w:rsid w:val="6EEC0419"/>
    <w:rsid w:val="6F5F366D"/>
    <w:rsid w:val="6FB414F9"/>
    <w:rsid w:val="7020137A"/>
    <w:rsid w:val="70493A3E"/>
    <w:rsid w:val="70825EE1"/>
    <w:rsid w:val="70DB5380"/>
    <w:rsid w:val="71484198"/>
    <w:rsid w:val="71484277"/>
    <w:rsid w:val="717763E0"/>
    <w:rsid w:val="719F67A9"/>
    <w:rsid w:val="71A039CA"/>
    <w:rsid w:val="71C572A8"/>
    <w:rsid w:val="7237220C"/>
    <w:rsid w:val="72720DA8"/>
    <w:rsid w:val="728237ED"/>
    <w:rsid w:val="73F65C8B"/>
    <w:rsid w:val="74B50429"/>
    <w:rsid w:val="751A48A4"/>
    <w:rsid w:val="752D2605"/>
    <w:rsid w:val="75AE7BC1"/>
    <w:rsid w:val="76037B74"/>
    <w:rsid w:val="7630258F"/>
    <w:rsid w:val="78650DEF"/>
    <w:rsid w:val="788E737B"/>
    <w:rsid w:val="78D55489"/>
    <w:rsid w:val="78D93E53"/>
    <w:rsid w:val="79D305F5"/>
    <w:rsid w:val="7A3331F8"/>
    <w:rsid w:val="7AF156D3"/>
    <w:rsid w:val="7B793006"/>
    <w:rsid w:val="7BB10E0E"/>
    <w:rsid w:val="7BC2282B"/>
    <w:rsid w:val="7BD35234"/>
    <w:rsid w:val="7C4161AE"/>
    <w:rsid w:val="7D4A641F"/>
    <w:rsid w:val="7D994AF3"/>
    <w:rsid w:val="7DB6029F"/>
    <w:rsid w:val="7DE70951"/>
    <w:rsid w:val="7DF72A58"/>
    <w:rsid w:val="7E2A21C6"/>
    <w:rsid w:val="7E2D2649"/>
    <w:rsid w:val="7EE9656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semiHidden="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iPriority="0" w:semiHidden="0" w:name="header"/>
    <w:lsdException w:qFormat="1"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uiPriority="99" w:name="envelope address"/>
    <w:lsdException w:uiPriority="99" w:name="envelope return"/>
    <w:lsdException w:qFormat="1" w:unhideWhenUsed="0" w:uiPriority="0" w:semiHidden="0" w:name="footnote reference"/>
    <w:lsdException w:qFormat="1" w:unhideWhenUsed="0" w:uiPriority="99" w:semiHidden="0" w:name="annotation reference"/>
    <w:lsdException w:uiPriority="99" w:name="line number"/>
    <w:lsdException w:qFormat="1" w:unhideWhenUsed="0" w:uiPriority="0" w:semiHidden="0" w:name="page number"/>
    <w:lsdException w:qFormat="1" w:unhideWhenUsed="0" w:uiPriority="0" w:semiHidden="0" w:name="endnote reference"/>
    <w:lsdException w:qFormat="1" w:unhideWhenUsed="0" w:uiPriority="0" w:semiHidden="0" w:name="endnote text"/>
    <w:lsdException w:qFormat="1" w:unhideWhenUsed="0" w:uiPriority="0" w:name="table of authorities"/>
    <w:lsdException w:qFormat="1" w:unhideWhenUsed="0" w:uiPriority="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uiPriority="99" w:name="List 3"/>
    <w:lsdException w:uiPriority="99" w:name="List 4"/>
    <w:lsdException w:uiPriority="99"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99" w:name="List Continue 2"/>
    <w:lsdException w:uiPriority="99" w:name="List Continue 3"/>
    <w:lsdException w:uiPriority="99" w:name="List Continue 4"/>
    <w:lsdException w:uiPriority="99"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qFormat="1" w:uiPriority="0" w:semiHidden="0"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qFormat="1" w:unhideWhenUsed="0" w:uiPriority="99" w:semiHidden="0" w:name="HTML Preformatted"/>
    <w:lsdException w:uiPriority="99" w:name="HTML Sample"/>
    <w:lsdException w:qFormat="1" w:unhideWhenUsed="0" w:uiPriority="0" w:semiHidden="0" w:name="HTML Typewriter"/>
    <w:lsdException w:qFormat="1" w:uiPriority="99" w:name="HTML Variable"/>
    <w:lsdException w:qFormat="1" w:uiPriority="99" w:name="Normal Table"/>
    <w:lsdException w:qFormat="1"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190"/>
    <w:qFormat/>
    <w:uiPriority w:val="0"/>
    <w:pPr>
      <w:keepNext/>
      <w:keepLines/>
      <w:tabs>
        <w:tab w:val="left" w:pos="1440"/>
      </w:tabs>
      <w:spacing w:before="340" w:after="330" w:line="576" w:lineRule="auto"/>
      <w:ind w:left="432" w:hanging="432"/>
      <w:outlineLvl w:val="0"/>
    </w:pPr>
    <w:rPr>
      <w:b/>
      <w:bCs/>
      <w:kern w:val="44"/>
      <w:sz w:val="44"/>
      <w:szCs w:val="44"/>
    </w:rPr>
  </w:style>
  <w:style w:type="paragraph" w:styleId="5">
    <w:name w:val="heading 2"/>
    <w:basedOn w:val="1"/>
    <w:next w:val="1"/>
    <w:link w:val="125"/>
    <w:qFormat/>
    <w:uiPriority w:val="0"/>
    <w:pPr>
      <w:keepNext/>
      <w:keepLines/>
      <w:spacing w:before="260" w:after="260" w:line="413" w:lineRule="auto"/>
      <w:outlineLvl w:val="1"/>
    </w:pPr>
    <w:rPr>
      <w:rFonts w:ascii="Arial" w:hAnsi="Arial" w:eastAsia="黑体"/>
      <w:b/>
      <w:bCs/>
      <w:sz w:val="32"/>
      <w:szCs w:val="32"/>
    </w:rPr>
  </w:style>
  <w:style w:type="paragraph" w:styleId="2">
    <w:name w:val="heading 3"/>
    <w:basedOn w:val="1"/>
    <w:next w:val="1"/>
    <w:link w:val="189"/>
    <w:qFormat/>
    <w:uiPriority w:val="0"/>
    <w:pPr>
      <w:keepNext/>
      <w:keepLines/>
      <w:spacing w:before="260" w:after="260" w:line="416" w:lineRule="auto"/>
      <w:outlineLvl w:val="2"/>
    </w:pPr>
    <w:rPr>
      <w:b/>
      <w:bCs/>
      <w:sz w:val="32"/>
      <w:szCs w:val="32"/>
    </w:rPr>
  </w:style>
  <w:style w:type="paragraph" w:styleId="6">
    <w:name w:val="heading 4"/>
    <w:basedOn w:val="1"/>
    <w:next w:val="1"/>
    <w:link w:val="115"/>
    <w:qFormat/>
    <w:uiPriority w:val="0"/>
    <w:pPr>
      <w:keepNext/>
      <w:keepLines/>
      <w:spacing w:before="280" w:after="290" w:line="376" w:lineRule="auto"/>
      <w:outlineLvl w:val="3"/>
    </w:pPr>
    <w:rPr>
      <w:rFonts w:ascii="Cambria" w:hAnsi="Cambria"/>
      <w:b/>
      <w:bCs/>
      <w:sz w:val="28"/>
      <w:szCs w:val="28"/>
    </w:rPr>
  </w:style>
  <w:style w:type="paragraph" w:styleId="7">
    <w:name w:val="heading 5"/>
    <w:basedOn w:val="1"/>
    <w:next w:val="1"/>
    <w:link w:val="145"/>
    <w:qFormat/>
    <w:uiPriority w:val="0"/>
    <w:pPr>
      <w:keepNext/>
      <w:keepLines/>
      <w:tabs>
        <w:tab w:val="left" w:pos="1008"/>
      </w:tabs>
      <w:spacing w:before="280" w:after="290" w:line="372" w:lineRule="auto"/>
      <w:ind w:left="1008" w:hanging="1008"/>
      <w:outlineLvl w:val="4"/>
    </w:pPr>
    <w:rPr>
      <w:b/>
      <w:sz w:val="28"/>
      <w:szCs w:val="20"/>
    </w:rPr>
  </w:style>
  <w:style w:type="paragraph" w:styleId="8">
    <w:name w:val="heading 6"/>
    <w:basedOn w:val="1"/>
    <w:next w:val="1"/>
    <w:link w:val="191"/>
    <w:qFormat/>
    <w:uiPriority w:val="0"/>
    <w:pPr>
      <w:keepNext/>
      <w:keepLines/>
      <w:tabs>
        <w:tab w:val="left" w:pos="1152"/>
      </w:tabs>
      <w:spacing w:before="240" w:after="64" w:line="317" w:lineRule="auto"/>
      <w:ind w:left="1152" w:hanging="1152"/>
      <w:outlineLvl w:val="5"/>
    </w:pPr>
    <w:rPr>
      <w:rFonts w:ascii="Arial" w:hAnsi="Arial" w:eastAsia="黑体"/>
      <w:b/>
      <w:sz w:val="24"/>
      <w:szCs w:val="20"/>
    </w:rPr>
  </w:style>
  <w:style w:type="paragraph" w:styleId="9">
    <w:name w:val="heading 7"/>
    <w:basedOn w:val="1"/>
    <w:next w:val="1"/>
    <w:link w:val="172"/>
    <w:qFormat/>
    <w:uiPriority w:val="0"/>
    <w:pPr>
      <w:keepNext/>
      <w:keepLines/>
      <w:tabs>
        <w:tab w:val="left" w:pos="1296"/>
      </w:tabs>
      <w:spacing w:before="240" w:after="64" w:line="317" w:lineRule="auto"/>
      <w:ind w:left="1296" w:hanging="1296"/>
      <w:outlineLvl w:val="6"/>
    </w:pPr>
    <w:rPr>
      <w:b/>
      <w:sz w:val="24"/>
      <w:szCs w:val="20"/>
    </w:rPr>
  </w:style>
  <w:style w:type="paragraph" w:styleId="10">
    <w:name w:val="heading 8"/>
    <w:basedOn w:val="1"/>
    <w:next w:val="1"/>
    <w:link w:val="158"/>
    <w:qFormat/>
    <w:uiPriority w:val="0"/>
    <w:pPr>
      <w:keepNext/>
      <w:keepLines/>
      <w:tabs>
        <w:tab w:val="left" w:pos="1440"/>
      </w:tabs>
      <w:spacing w:before="240" w:after="64" w:line="317" w:lineRule="auto"/>
      <w:ind w:left="1440" w:hanging="1440"/>
      <w:outlineLvl w:val="7"/>
    </w:pPr>
    <w:rPr>
      <w:rFonts w:ascii="Arial" w:hAnsi="Arial" w:eastAsia="黑体"/>
      <w:sz w:val="24"/>
      <w:szCs w:val="20"/>
    </w:rPr>
  </w:style>
  <w:style w:type="paragraph" w:styleId="11">
    <w:name w:val="heading 9"/>
    <w:basedOn w:val="1"/>
    <w:next w:val="1"/>
    <w:link w:val="93"/>
    <w:qFormat/>
    <w:uiPriority w:val="0"/>
    <w:pPr>
      <w:keepNext/>
      <w:keepLines/>
      <w:tabs>
        <w:tab w:val="left" w:pos="1584"/>
      </w:tabs>
      <w:spacing w:before="240" w:after="64" w:line="317" w:lineRule="auto"/>
      <w:ind w:left="1584" w:hanging="1584"/>
      <w:outlineLvl w:val="8"/>
    </w:pPr>
    <w:rPr>
      <w:rFonts w:ascii="Arial" w:hAnsi="Arial" w:eastAsia="黑体"/>
      <w:szCs w:val="20"/>
    </w:rPr>
  </w:style>
  <w:style w:type="character" w:default="1" w:styleId="75">
    <w:name w:val="Default Paragraph Font"/>
    <w:semiHidden/>
    <w:unhideWhenUsed/>
    <w:qFormat/>
    <w:uiPriority w:val="1"/>
  </w:style>
  <w:style w:type="table" w:default="1" w:styleId="73">
    <w:name w:val="Normal Table"/>
    <w:semiHidden/>
    <w:unhideWhenUsed/>
    <w:qFormat/>
    <w:uiPriority w:val="99"/>
    <w:tblPr>
      <w:tblCellMar>
        <w:top w:w="0" w:type="dxa"/>
        <w:left w:w="108" w:type="dxa"/>
        <w:bottom w:w="0" w:type="dxa"/>
        <w:right w:w="108" w:type="dxa"/>
      </w:tblCellMar>
    </w:tblPr>
  </w:style>
  <w:style w:type="paragraph" w:styleId="3">
    <w:name w:val="macro"/>
    <w:link w:val="122"/>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toc 7"/>
    <w:basedOn w:val="1"/>
    <w:next w:val="1"/>
    <w:qFormat/>
    <w:uiPriority w:val="0"/>
    <w:pPr>
      <w:ind w:left="1260"/>
      <w:jc w:val="left"/>
    </w:pPr>
    <w:rPr>
      <w:sz w:val="18"/>
      <w:szCs w:val="18"/>
    </w:rPr>
  </w:style>
  <w:style w:type="paragraph" w:styleId="13">
    <w:name w:val="List Number 2"/>
    <w:basedOn w:val="1"/>
    <w:qFormat/>
    <w:uiPriority w:val="0"/>
    <w:pPr>
      <w:tabs>
        <w:tab w:val="left" w:pos="780"/>
      </w:tabs>
      <w:spacing w:line="360" w:lineRule="auto"/>
      <w:ind w:left="780" w:hanging="360"/>
      <w:jc w:val="left"/>
    </w:pPr>
    <w:rPr>
      <w:rFonts w:ascii="宋体" w:hAnsi="宋体"/>
      <w:color w:val="7030A0"/>
      <w:sz w:val="24"/>
      <w:szCs w:val="20"/>
    </w:rPr>
  </w:style>
  <w:style w:type="paragraph" w:styleId="14">
    <w:name w:val="table of authorities"/>
    <w:basedOn w:val="1"/>
    <w:next w:val="1"/>
    <w:semiHidden/>
    <w:qFormat/>
    <w:uiPriority w:val="0"/>
    <w:pPr>
      <w:spacing w:line="480" w:lineRule="exact"/>
      <w:ind w:left="420" w:leftChars="200" w:firstLine="200" w:firstLineChars="200"/>
      <w:jc w:val="left"/>
    </w:pPr>
    <w:rPr>
      <w:color w:val="7030A0"/>
      <w:sz w:val="24"/>
    </w:rPr>
  </w:style>
  <w:style w:type="paragraph" w:styleId="15">
    <w:name w:val="List Bullet 4"/>
    <w:basedOn w:val="1"/>
    <w:qFormat/>
    <w:uiPriority w:val="0"/>
    <w:pPr>
      <w:tabs>
        <w:tab w:val="left" w:pos="1620"/>
      </w:tabs>
      <w:spacing w:line="360" w:lineRule="auto"/>
      <w:ind w:left="1620" w:hanging="360"/>
      <w:jc w:val="left"/>
    </w:pPr>
    <w:rPr>
      <w:rFonts w:ascii="宋体" w:hAnsi="宋体"/>
      <w:color w:val="7030A0"/>
      <w:sz w:val="24"/>
      <w:szCs w:val="20"/>
    </w:rPr>
  </w:style>
  <w:style w:type="paragraph" w:styleId="16">
    <w:name w:val="index 8"/>
    <w:basedOn w:val="1"/>
    <w:next w:val="1"/>
    <w:semiHidden/>
    <w:qFormat/>
    <w:uiPriority w:val="0"/>
    <w:pPr>
      <w:spacing w:line="480" w:lineRule="exact"/>
      <w:ind w:left="1400" w:leftChars="1400" w:firstLine="200" w:firstLineChars="200"/>
      <w:jc w:val="left"/>
    </w:pPr>
    <w:rPr>
      <w:color w:val="7030A0"/>
      <w:sz w:val="24"/>
    </w:rPr>
  </w:style>
  <w:style w:type="paragraph" w:styleId="17">
    <w:name w:val="List Number"/>
    <w:basedOn w:val="1"/>
    <w:qFormat/>
    <w:uiPriority w:val="0"/>
    <w:pPr>
      <w:tabs>
        <w:tab w:val="left" w:pos="360"/>
      </w:tabs>
      <w:spacing w:line="360" w:lineRule="auto"/>
      <w:ind w:left="360" w:hanging="360"/>
      <w:jc w:val="left"/>
    </w:pPr>
    <w:rPr>
      <w:rFonts w:ascii="宋体" w:hAnsi="宋体"/>
      <w:color w:val="7030A0"/>
      <w:sz w:val="24"/>
      <w:szCs w:val="20"/>
    </w:rPr>
  </w:style>
  <w:style w:type="paragraph" w:styleId="18">
    <w:name w:val="Normal Indent"/>
    <w:basedOn w:val="1"/>
    <w:link w:val="111"/>
    <w:qFormat/>
    <w:uiPriority w:val="0"/>
    <w:pPr>
      <w:autoSpaceDE w:val="0"/>
      <w:autoSpaceDN w:val="0"/>
      <w:adjustRightInd w:val="0"/>
      <w:spacing w:line="360" w:lineRule="atLeast"/>
      <w:ind w:firstLine="420"/>
      <w:textAlignment w:val="baseline"/>
    </w:pPr>
    <w:rPr>
      <w:rFonts w:ascii="宋体"/>
      <w:kern w:val="0"/>
      <w:sz w:val="24"/>
      <w:szCs w:val="20"/>
    </w:rPr>
  </w:style>
  <w:style w:type="paragraph" w:styleId="19">
    <w:name w:val="caption"/>
    <w:basedOn w:val="1"/>
    <w:next w:val="1"/>
    <w:link w:val="143"/>
    <w:qFormat/>
    <w:uiPriority w:val="0"/>
    <w:pPr>
      <w:ind w:firstLine="6290" w:firstLineChars="2282"/>
    </w:pPr>
    <w:rPr>
      <w:b/>
      <w:bCs/>
      <w:color w:val="000080"/>
      <w:sz w:val="28"/>
    </w:rPr>
  </w:style>
  <w:style w:type="paragraph" w:styleId="20">
    <w:name w:val="index 5"/>
    <w:basedOn w:val="1"/>
    <w:next w:val="1"/>
    <w:semiHidden/>
    <w:qFormat/>
    <w:uiPriority w:val="0"/>
    <w:pPr>
      <w:spacing w:line="480" w:lineRule="exact"/>
      <w:ind w:left="800" w:leftChars="800" w:firstLine="200" w:firstLineChars="200"/>
      <w:jc w:val="left"/>
    </w:pPr>
    <w:rPr>
      <w:color w:val="7030A0"/>
      <w:sz w:val="24"/>
    </w:rPr>
  </w:style>
  <w:style w:type="paragraph" w:styleId="21">
    <w:name w:val="List Bullet"/>
    <w:basedOn w:val="1"/>
    <w:qFormat/>
    <w:uiPriority w:val="0"/>
    <w:pPr>
      <w:tabs>
        <w:tab w:val="left" w:pos="360"/>
      </w:tabs>
      <w:spacing w:line="360" w:lineRule="auto"/>
      <w:ind w:left="360" w:hanging="360"/>
      <w:jc w:val="left"/>
    </w:pPr>
    <w:rPr>
      <w:rFonts w:ascii="宋体" w:hAnsi="宋体"/>
      <w:color w:val="7030A0"/>
      <w:sz w:val="24"/>
      <w:szCs w:val="20"/>
    </w:rPr>
  </w:style>
  <w:style w:type="paragraph" w:styleId="22">
    <w:name w:val="Document Map"/>
    <w:basedOn w:val="1"/>
    <w:link w:val="192"/>
    <w:unhideWhenUsed/>
    <w:qFormat/>
    <w:uiPriority w:val="0"/>
    <w:rPr>
      <w:rFonts w:ascii="宋体"/>
      <w:sz w:val="18"/>
      <w:szCs w:val="18"/>
    </w:rPr>
  </w:style>
  <w:style w:type="paragraph" w:styleId="23">
    <w:name w:val="toa heading"/>
    <w:basedOn w:val="1"/>
    <w:next w:val="1"/>
    <w:qFormat/>
    <w:uiPriority w:val="0"/>
    <w:pPr>
      <w:spacing w:before="120"/>
    </w:pPr>
    <w:rPr>
      <w:rFonts w:ascii="Arial" w:hAnsi="Arial" w:cs="Arial"/>
      <w:sz w:val="24"/>
    </w:rPr>
  </w:style>
  <w:style w:type="paragraph" w:styleId="24">
    <w:name w:val="annotation text"/>
    <w:basedOn w:val="1"/>
    <w:link w:val="101"/>
    <w:qFormat/>
    <w:uiPriority w:val="99"/>
    <w:pPr>
      <w:jc w:val="left"/>
    </w:pPr>
  </w:style>
  <w:style w:type="paragraph" w:styleId="25">
    <w:name w:val="index 6"/>
    <w:basedOn w:val="1"/>
    <w:next w:val="1"/>
    <w:semiHidden/>
    <w:qFormat/>
    <w:uiPriority w:val="0"/>
    <w:pPr>
      <w:spacing w:line="480" w:lineRule="exact"/>
      <w:ind w:left="1000" w:leftChars="1000" w:firstLine="200" w:firstLineChars="200"/>
      <w:jc w:val="left"/>
    </w:pPr>
    <w:rPr>
      <w:color w:val="7030A0"/>
      <w:sz w:val="24"/>
    </w:rPr>
  </w:style>
  <w:style w:type="paragraph" w:styleId="26">
    <w:name w:val="Salutation"/>
    <w:basedOn w:val="1"/>
    <w:next w:val="1"/>
    <w:link w:val="94"/>
    <w:qFormat/>
    <w:uiPriority w:val="0"/>
    <w:rPr>
      <w:sz w:val="24"/>
      <w:szCs w:val="20"/>
    </w:rPr>
  </w:style>
  <w:style w:type="paragraph" w:styleId="27">
    <w:name w:val="Body Text 3"/>
    <w:basedOn w:val="1"/>
    <w:link w:val="108"/>
    <w:qFormat/>
    <w:uiPriority w:val="0"/>
    <w:pPr>
      <w:spacing w:after="120"/>
    </w:pPr>
    <w:rPr>
      <w:sz w:val="16"/>
      <w:szCs w:val="16"/>
    </w:rPr>
  </w:style>
  <w:style w:type="paragraph" w:styleId="28">
    <w:name w:val="List Bullet 3"/>
    <w:basedOn w:val="1"/>
    <w:qFormat/>
    <w:uiPriority w:val="0"/>
    <w:pPr>
      <w:tabs>
        <w:tab w:val="left" w:pos="775"/>
      </w:tabs>
      <w:spacing w:line="360" w:lineRule="auto"/>
      <w:ind w:left="775" w:hanging="360"/>
    </w:pPr>
    <w:rPr>
      <w:kern w:val="0"/>
    </w:rPr>
  </w:style>
  <w:style w:type="paragraph" w:styleId="29">
    <w:name w:val="Body Text"/>
    <w:basedOn w:val="1"/>
    <w:link w:val="161"/>
    <w:qFormat/>
    <w:uiPriority w:val="0"/>
    <w:pPr>
      <w:spacing w:line="360" w:lineRule="auto"/>
    </w:pPr>
    <w:rPr>
      <w:sz w:val="24"/>
      <w:szCs w:val="20"/>
    </w:rPr>
  </w:style>
  <w:style w:type="paragraph" w:styleId="30">
    <w:name w:val="Body Text Indent"/>
    <w:basedOn w:val="1"/>
    <w:link w:val="180"/>
    <w:qFormat/>
    <w:uiPriority w:val="0"/>
    <w:pPr>
      <w:spacing w:line="360" w:lineRule="auto"/>
    </w:pPr>
    <w:rPr>
      <w:rFonts w:ascii="宋体"/>
      <w:szCs w:val="20"/>
    </w:rPr>
  </w:style>
  <w:style w:type="paragraph" w:styleId="31">
    <w:name w:val="List Number 3"/>
    <w:basedOn w:val="1"/>
    <w:qFormat/>
    <w:uiPriority w:val="0"/>
    <w:pPr>
      <w:tabs>
        <w:tab w:val="left" w:pos="1200"/>
      </w:tabs>
      <w:spacing w:line="360" w:lineRule="auto"/>
      <w:ind w:left="1200" w:hanging="360"/>
      <w:jc w:val="left"/>
    </w:pPr>
    <w:rPr>
      <w:rFonts w:ascii="宋体" w:hAnsi="宋体"/>
      <w:color w:val="7030A0"/>
      <w:sz w:val="24"/>
      <w:szCs w:val="20"/>
    </w:rPr>
  </w:style>
  <w:style w:type="paragraph" w:styleId="32">
    <w:name w:val="List 2"/>
    <w:basedOn w:val="1"/>
    <w:qFormat/>
    <w:uiPriority w:val="0"/>
    <w:pPr>
      <w:widowControl/>
      <w:ind w:left="840" w:hanging="420"/>
      <w:jc w:val="left"/>
    </w:pPr>
    <w:rPr>
      <w:rFonts w:ascii="宋体"/>
      <w:kern w:val="0"/>
      <w:sz w:val="22"/>
      <w:szCs w:val="20"/>
    </w:rPr>
  </w:style>
  <w:style w:type="paragraph" w:styleId="33">
    <w:name w:val="List Continue"/>
    <w:basedOn w:val="1"/>
    <w:qFormat/>
    <w:uiPriority w:val="0"/>
    <w:pPr>
      <w:widowControl/>
      <w:spacing w:after="120"/>
      <w:ind w:left="420"/>
      <w:jc w:val="left"/>
    </w:pPr>
    <w:rPr>
      <w:rFonts w:ascii="宋体"/>
      <w:kern w:val="0"/>
      <w:sz w:val="22"/>
      <w:szCs w:val="20"/>
    </w:rPr>
  </w:style>
  <w:style w:type="paragraph" w:styleId="34">
    <w:name w:val="Block Text"/>
    <w:basedOn w:val="1"/>
    <w:qFormat/>
    <w:uiPriority w:val="0"/>
    <w:pPr>
      <w:tabs>
        <w:tab w:val="left" w:pos="8364"/>
      </w:tabs>
      <w:ind w:left="840" w:right="-57" w:hanging="300"/>
    </w:pPr>
    <w:rPr>
      <w:rFonts w:ascii="宋体"/>
      <w:szCs w:val="20"/>
    </w:rPr>
  </w:style>
  <w:style w:type="paragraph" w:styleId="35">
    <w:name w:val="List Bullet 2"/>
    <w:basedOn w:val="1"/>
    <w:qFormat/>
    <w:uiPriority w:val="0"/>
    <w:pPr>
      <w:tabs>
        <w:tab w:val="left" w:pos="780"/>
      </w:tabs>
      <w:spacing w:line="360" w:lineRule="auto"/>
      <w:ind w:left="780" w:hanging="360"/>
      <w:jc w:val="left"/>
    </w:pPr>
    <w:rPr>
      <w:rFonts w:ascii="宋体" w:hAnsi="宋体"/>
      <w:color w:val="7030A0"/>
      <w:sz w:val="24"/>
      <w:szCs w:val="20"/>
    </w:rPr>
  </w:style>
  <w:style w:type="paragraph" w:styleId="36">
    <w:name w:val="index 4"/>
    <w:basedOn w:val="1"/>
    <w:next w:val="1"/>
    <w:qFormat/>
    <w:uiPriority w:val="0"/>
    <w:pPr>
      <w:spacing w:line="480" w:lineRule="exact"/>
      <w:ind w:left="600" w:leftChars="600" w:firstLine="200" w:firstLineChars="200"/>
      <w:jc w:val="left"/>
    </w:pPr>
    <w:rPr>
      <w:color w:val="7030A0"/>
      <w:sz w:val="24"/>
    </w:rPr>
  </w:style>
  <w:style w:type="paragraph" w:styleId="37">
    <w:name w:val="toc 5"/>
    <w:basedOn w:val="1"/>
    <w:next w:val="1"/>
    <w:qFormat/>
    <w:uiPriority w:val="0"/>
    <w:pPr>
      <w:ind w:left="840"/>
      <w:jc w:val="left"/>
    </w:pPr>
    <w:rPr>
      <w:sz w:val="18"/>
      <w:szCs w:val="18"/>
    </w:rPr>
  </w:style>
  <w:style w:type="paragraph" w:styleId="38">
    <w:name w:val="toc 3"/>
    <w:basedOn w:val="1"/>
    <w:next w:val="1"/>
    <w:qFormat/>
    <w:uiPriority w:val="0"/>
    <w:pPr>
      <w:tabs>
        <w:tab w:val="left" w:pos="400"/>
        <w:tab w:val="left" w:pos="576"/>
        <w:tab w:val="right" w:leader="dot" w:pos="8778"/>
      </w:tabs>
      <w:ind w:left="10"/>
      <w:jc w:val="center"/>
    </w:pPr>
    <w:rPr>
      <w:rFonts w:ascii="宋体" w:hAnsi="宋体"/>
      <w:b/>
      <w:iCs/>
      <w:sz w:val="24"/>
    </w:rPr>
  </w:style>
  <w:style w:type="paragraph" w:styleId="39">
    <w:name w:val="Plain Text"/>
    <w:basedOn w:val="1"/>
    <w:link w:val="132"/>
    <w:unhideWhenUsed/>
    <w:qFormat/>
    <w:uiPriority w:val="99"/>
    <w:rPr>
      <w:rFonts w:ascii="宋体" w:hAnsi="Courier New" w:cs="Courier New"/>
      <w:szCs w:val="21"/>
    </w:rPr>
  </w:style>
  <w:style w:type="paragraph" w:styleId="40">
    <w:name w:val="List Bullet 5"/>
    <w:basedOn w:val="1"/>
    <w:qFormat/>
    <w:uiPriority w:val="0"/>
    <w:pPr>
      <w:tabs>
        <w:tab w:val="left" w:pos="2040"/>
      </w:tabs>
      <w:spacing w:line="360" w:lineRule="auto"/>
      <w:ind w:left="2040" w:hanging="360"/>
      <w:jc w:val="left"/>
    </w:pPr>
    <w:rPr>
      <w:rFonts w:ascii="宋体" w:hAnsi="宋体"/>
      <w:color w:val="7030A0"/>
      <w:sz w:val="24"/>
      <w:szCs w:val="20"/>
    </w:rPr>
  </w:style>
  <w:style w:type="paragraph" w:styleId="41">
    <w:name w:val="List Number 4"/>
    <w:basedOn w:val="1"/>
    <w:qFormat/>
    <w:uiPriority w:val="0"/>
    <w:pPr>
      <w:tabs>
        <w:tab w:val="left" w:pos="1620"/>
      </w:tabs>
      <w:spacing w:line="360" w:lineRule="auto"/>
      <w:ind w:left="1620" w:hanging="360"/>
    </w:pPr>
    <w:rPr>
      <w:rFonts w:ascii="宋体" w:hAnsi="宋体"/>
      <w:sz w:val="24"/>
      <w:szCs w:val="20"/>
    </w:rPr>
  </w:style>
  <w:style w:type="paragraph" w:styleId="42">
    <w:name w:val="toc 8"/>
    <w:basedOn w:val="1"/>
    <w:next w:val="1"/>
    <w:qFormat/>
    <w:uiPriority w:val="0"/>
    <w:pPr>
      <w:ind w:left="1470"/>
      <w:jc w:val="left"/>
    </w:pPr>
    <w:rPr>
      <w:sz w:val="18"/>
      <w:szCs w:val="18"/>
    </w:rPr>
  </w:style>
  <w:style w:type="paragraph" w:styleId="43">
    <w:name w:val="index 3"/>
    <w:basedOn w:val="1"/>
    <w:next w:val="1"/>
    <w:semiHidden/>
    <w:qFormat/>
    <w:uiPriority w:val="0"/>
    <w:pPr>
      <w:spacing w:line="480" w:lineRule="exact"/>
      <w:ind w:left="400" w:leftChars="400" w:firstLine="200" w:firstLineChars="200"/>
      <w:jc w:val="left"/>
    </w:pPr>
    <w:rPr>
      <w:color w:val="7030A0"/>
      <w:sz w:val="24"/>
    </w:rPr>
  </w:style>
  <w:style w:type="paragraph" w:styleId="44">
    <w:name w:val="Date"/>
    <w:basedOn w:val="1"/>
    <w:next w:val="1"/>
    <w:link w:val="142"/>
    <w:qFormat/>
    <w:uiPriority w:val="0"/>
    <w:pPr>
      <w:autoSpaceDE w:val="0"/>
      <w:autoSpaceDN w:val="0"/>
      <w:adjustRightInd w:val="0"/>
      <w:textAlignment w:val="baseline"/>
    </w:pPr>
    <w:rPr>
      <w:rFonts w:eastAsia="楷体_GB2312"/>
      <w:sz w:val="30"/>
      <w:szCs w:val="20"/>
    </w:rPr>
  </w:style>
  <w:style w:type="paragraph" w:styleId="45">
    <w:name w:val="Body Text Indent 2"/>
    <w:basedOn w:val="1"/>
    <w:link w:val="138"/>
    <w:qFormat/>
    <w:uiPriority w:val="0"/>
    <w:pPr>
      <w:spacing w:after="120" w:line="480" w:lineRule="auto"/>
      <w:ind w:left="420" w:leftChars="200"/>
    </w:pPr>
    <w:rPr>
      <w:szCs w:val="20"/>
    </w:rPr>
  </w:style>
  <w:style w:type="paragraph" w:styleId="46">
    <w:name w:val="endnote text"/>
    <w:basedOn w:val="1"/>
    <w:link w:val="123"/>
    <w:qFormat/>
    <w:uiPriority w:val="0"/>
    <w:pPr>
      <w:snapToGrid w:val="0"/>
      <w:spacing w:line="500" w:lineRule="exact"/>
      <w:jc w:val="left"/>
    </w:pPr>
    <w:rPr>
      <w:kern w:val="0"/>
    </w:rPr>
  </w:style>
  <w:style w:type="paragraph" w:styleId="47">
    <w:name w:val="Balloon Text"/>
    <w:basedOn w:val="1"/>
    <w:link w:val="184"/>
    <w:unhideWhenUsed/>
    <w:qFormat/>
    <w:uiPriority w:val="0"/>
    <w:rPr>
      <w:sz w:val="18"/>
      <w:szCs w:val="18"/>
    </w:rPr>
  </w:style>
  <w:style w:type="paragraph" w:styleId="48">
    <w:name w:val="footer"/>
    <w:basedOn w:val="1"/>
    <w:link w:val="186"/>
    <w:unhideWhenUsed/>
    <w:qFormat/>
    <w:uiPriority w:val="99"/>
    <w:pPr>
      <w:tabs>
        <w:tab w:val="center" w:pos="4153"/>
        <w:tab w:val="right" w:pos="8306"/>
      </w:tabs>
      <w:snapToGrid w:val="0"/>
      <w:jc w:val="left"/>
    </w:pPr>
    <w:rPr>
      <w:sz w:val="18"/>
      <w:szCs w:val="18"/>
    </w:rPr>
  </w:style>
  <w:style w:type="paragraph" w:styleId="49">
    <w:name w:val="header"/>
    <w:basedOn w:val="1"/>
    <w:link w:val="155"/>
    <w:unhideWhenUsed/>
    <w:qFormat/>
    <w:uiPriority w:val="0"/>
    <w:pPr>
      <w:pBdr>
        <w:bottom w:val="single" w:color="auto" w:sz="6" w:space="1"/>
      </w:pBdr>
      <w:tabs>
        <w:tab w:val="center" w:pos="4153"/>
        <w:tab w:val="right" w:pos="8306"/>
      </w:tabs>
      <w:snapToGrid w:val="0"/>
      <w:jc w:val="center"/>
    </w:pPr>
    <w:rPr>
      <w:sz w:val="18"/>
      <w:szCs w:val="18"/>
    </w:rPr>
  </w:style>
  <w:style w:type="paragraph" w:styleId="50">
    <w:name w:val="toc 1"/>
    <w:basedOn w:val="1"/>
    <w:next w:val="1"/>
    <w:qFormat/>
    <w:uiPriority w:val="39"/>
    <w:pPr>
      <w:tabs>
        <w:tab w:val="right" w:leader="dot" w:pos="8778"/>
      </w:tabs>
      <w:snapToGrid w:val="0"/>
      <w:spacing w:line="360" w:lineRule="auto"/>
      <w:jc w:val="center"/>
    </w:pPr>
    <w:rPr>
      <w:b/>
      <w:bCs/>
      <w:iCs/>
      <w:caps/>
      <w:kern w:val="0"/>
      <w:sz w:val="24"/>
      <w:szCs w:val="36"/>
    </w:rPr>
  </w:style>
  <w:style w:type="paragraph" w:styleId="51">
    <w:name w:val="toc 4"/>
    <w:basedOn w:val="1"/>
    <w:next w:val="1"/>
    <w:qFormat/>
    <w:uiPriority w:val="0"/>
    <w:pPr>
      <w:ind w:left="630"/>
      <w:jc w:val="left"/>
    </w:pPr>
    <w:rPr>
      <w:sz w:val="18"/>
      <w:szCs w:val="18"/>
    </w:rPr>
  </w:style>
  <w:style w:type="paragraph" w:styleId="52">
    <w:name w:val="index heading"/>
    <w:basedOn w:val="1"/>
    <w:next w:val="53"/>
    <w:qFormat/>
    <w:uiPriority w:val="0"/>
  </w:style>
  <w:style w:type="paragraph" w:styleId="53">
    <w:name w:val="index 1"/>
    <w:basedOn w:val="1"/>
    <w:next w:val="1"/>
    <w:qFormat/>
    <w:uiPriority w:val="0"/>
    <w:pPr>
      <w:spacing w:line="360" w:lineRule="auto"/>
      <w:ind w:left="1149" w:leftChars="547"/>
    </w:pPr>
    <w:rPr>
      <w:szCs w:val="20"/>
    </w:rPr>
  </w:style>
  <w:style w:type="paragraph" w:styleId="54">
    <w:name w:val="List Number 5"/>
    <w:basedOn w:val="1"/>
    <w:qFormat/>
    <w:uiPriority w:val="0"/>
    <w:pPr>
      <w:tabs>
        <w:tab w:val="left" w:pos="2040"/>
      </w:tabs>
      <w:spacing w:line="360" w:lineRule="auto"/>
      <w:ind w:left="2040" w:hanging="360"/>
      <w:jc w:val="left"/>
    </w:pPr>
    <w:rPr>
      <w:rFonts w:ascii="宋体" w:hAnsi="宋体"/>
      <w:color w:val="7030A0"/>
      <w:sz w:val="24"/>
      <w:szCs w:val="20"/>
    </w:rPr>
  </w:style>
  <w:style w:type="paragraph" w:styleId="55">
    <w:name w:val="List"/>
    <w:basedOn w:val="1"/>
    <w:qFormat/>
    <w:uiPriority w:val="0"/>
    <w:pPr>
      <w:ind w:left="200" w:hanging="200" w:hangingChars="200"/>
    </w:pPr>
    <w:rPr>
      <w:szCs w:val="20"/>
    </w:rPr>
  </w:style>
  <w:style w:type="paragraph" w:styleId="56">
    <w:name w:val="footnote text"/>
    <w:basedOn w:val="1"/>
    <w:link w:val="95"/>
    <w:qFormat/>
    <w:uiPriority w:val="0"/>
    <w:pPr>
      <w:adjustRightInd w:val="0"/>
      <w:spacing w:line="312" w:lineRule="atLeast"/>
      <w:jc w:val="left"/>
      <w:textAlignment w:val="baseline"/>
    </w:pPr>
    <w:rPr>
      <w:kern w:val="0"/>
      <w:sz w:val="18"/>
      <w:szCs w:val="20"/>
    </w:rPr>
  </w:style>
  <w:style w:type="paragraph" w:styleId="57">
    <w:name w:val="toc 6"/>
    <w:basedOn w:val="1"/>
    <w:next w:val="1"/>
    <w:qFormat/>
    <w:uiPriority w:val="0"/>
    <w:pPr>
      <w:ind w:left="1050"/>
      <w:jc w:val="left"/>
    </w:pPr>
    <w:rPr>
      <w:sz w:val="18"/>
      <w:szCs w:val="18"/>
    </w:rPr>
  </w:style>
  <w:style w:type="paragraph" w:styleId="58">
    <w:name w:val="Body Text Indent 3"/>
    <w:basedOn w:val="1"/>
    <w:link w:val="118"/>
    <w:qFormat/>
    <w:uiPriority w:val="0"/>
    <w:pPr>
      <w:ind w:left="1260" w:leftChars="600"/>
    </w:pPr>
    <w:rPr>
      <w:szCs w:val="20"/>
    </w:rPr>
  </w:style>
  <w:style w:type="paragraph" w:styleId="59">
    <w:name w:val="index 7"/>
    <w:basedOn w:val="1"/>
    <w:next w:val="1"/>
    <w:semiHidden/>
    <w:qFormat/>
    <w:uiPriority w:val="0"/>
    <w:pPr>
      <w:spacing w:line="480" w:lineRule="exact"/>
      <w:ind w:left="1200" w:leftChars="1200" w:firstLine="200" w:firstLineChars="200"/>
      <w:jc w:val="left"/>
    </w:pPr>
    <w:rPr>
      <w:color w:val="7030A0"/>
      <w:sz w:val="24"/>
    </w:rPr>
  </w:style>
  <w:style w:type="paragraph" w:styleId="60">
    <w:name w:val="index 9"/>
    <w:basedOn w:val="1"/>
    <w:next w:val="1"/>
    <w:semiHidden/>
    <w:qFormat/>
    <w:uiPriority w:val="0"/>
    <w:pPr>
      <w:spacing w:line="480" w:lineRule="exact"/>
      <w:ind w:left="1600" w:leftChars="1600" w:firstLine="200" w:firstLineChars="200"/>
      <w:jc w:val="left"/>
    </w:pPr>
    <w:rPr>
      <w:color w:val="7030A0"/>
      <w:sz w:val="24"/>
    </w:rPr>
  </w:style>
  <w:style w:type="paragraph" w:styleId="61">
    <w:name w:val="table of figures"/>
    <w:basedOn w:val="1"/>
    <w:next w:val="1"/>
    <w:qFormat/>
    <w:uiPriority w:val="0"/>
    <w:pPr>
      <w:spacing w:line="480" w:lineRule="exact"/>
      <w:ind w:left="200" w:leftChars="200" w:hanging="200" w:hangingChars="200"/>
      <w:jc w:val="left"/>
    </w:pPr>
    <w:rPr>
      <w:color w:val="7030A0"/>
      <w:sz w:val="24"/>
    </w:rPr>
  </w:style>
  <w:style w:type="paragraph" w:styleId="62">
    <w:name w:val="toc 2"/>
    <w:basedOn w:val="1"/>
    <w:next w:val="1"/>
    <w:qFormat/>
    <w:uiPriority w:val="39"/>
    <w:pPr>
      <w:tabs>
        <w:tab w:val="right" w:leader="dot" w:pos="8778"/>
      </w:tabs>
      <w:ind w:left="23" w:leftChars="9" w:hanging="4" w:hangingChars="2"/>
      <w:jc w:val="left"/>
    </w:pPr>
    <w:rPr>
      <w:smallCaps/>
      <w:sz w:val="24"/>
      <w:szCs w:val="20"/>
    </w:rPr>
  </w:style>
  <w:style w:type="paragraph" w:styleId="63">
    <w:name w:val="toc 9"/>
    <w:basedOn w:val="1"/>
    <w:next w:val="1"/>
    <w:qFormat/>
    <w:uiPriority w:val="0"/>
    <w:pPr>
      <w:ind w:left="1680"/>
      <w:jc w:val="left"/>
    </w:pPr>
    <w:rPr>
      <w:sz w:val="18"/>
      <w:szCs w:val="18"/>
    </w:rPr>
  </w:style>
  <w:style w:type="paragraph" w:styleId="64">
    <w:name w:val="Body Text 2"/>
    <w:basedOn w:val="1"/>
    <w:link w:val="126"/>
    <w:qFormat/>
    <w:uiPriority w:val="0"/>
    <w:pPr>
      <w:spacing w:after="120" w:line="480" w:lineRule="auto"/>
    </w:pPr>
    <w:rPr>
      <w:szCs w:val="20"/>
    </w:rPr>
  </w:style>
  <w:style w:type="paragraph" w:styleId="65">
    <w:name w:val="Message Header"/>
    <w:basedOn w:val="1"/>
    <w:link w:val="130"/>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jc w:val="left"/>
    </w:pPr>
    <w:rPr>
      <w:rFonts w:ascii="Arial" w:hAnsi="Arial" w:cs="Arial"/>
      <w:color w:val="7030A0"/>
      <w:sz w:val="24"/>
    </w:rPr>
  </w:style>
  <w:style w:type="paragraph" w:styleId="66">
    <w:name w:val="HTML Preformatted"/>
    <w:basedOn w:val="1"/>
    <w:link w:val="183"/>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30" w:lineRule="atLeast"/>
      <w:ind w:firstLine="200" w:firstLineChars="200"/>
      <w:jc w:val="left"/>
    </w:pPr>
    <w:rPr>
      <w:rFonts w:ascii="Arial" w:hAnsi="Arial"/>
      <w:kern w:val="0"/>
      <w:szCs w:val="21"/>
    </w:rPr>
  </w:style>
  <w:style w:type="paragraph" w:styleId="67">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68">
    <w:name w:val="index 2"/>
    <w:basedOn w:val="1"/>
    <w:next w:val="1"/>
    <w:semiHidden/>
    <w:qFormat/>
    <w:uiPriority w:val="0"/>
    <w:pPr>
      <w:spacing w:line="480" w:lineRule="exact"/>
      <w:ind w:left="200" w:leftChars="200" w:firstLine="200" w:firstLineChars="200"/>
      <w:jc w:val="left"/>
    </w:pPr>
    <w:rPr>
      <w:color w:val="7030A0"/>
      <w:sz w:val="24"/>
    </w:rPr>
  </w:style>
  <w:style w:type="paragraph" w:styleId="69">
    <w:name w:val="Title"/>
    <w:basedOn w:val="1"/>
    <w:link w:val="140"/>
    <w:qFormat/>
    <w:uiPriority w:val="0"/>
    <w:pPr>
      <w:widowControl/>
      <w:spacing w:before="240" w:after="60"/>
      <w:jc w:val="center"/>
      <w:outlineLvl w:val="0"/>
    </w:pPr>
    <w:rPr>
      <w:rFonts w:ascii="Arial" w:hAnsi="Arial" w:eastAsia="楷体_GB2312"/>
      <w:b/>
      <w:kern w:val="0"/>
      <w:sz w:val="32"/>
      <w:szCs w:val="20"/>
    </w:rPr>
  </w:style>
  <w:style w:type="paragraph" w:styleId="70">
    <w:name w:val="annotation subject"/>
    <w:basedOn w:val="24"/>
    <w:next w:val="24"/>
    <w:link w:val="100"/>
    <w:unhideWhenUsed/>
    <w:qFormat/>
    <w:uiPriority w:val="0"/>
    <w:rPr>
      <w:b/>
      <w:bCs/>
    </w:rPr>
  </w:style>
  <w:style w:type="paragraph" w:styleId="71">
    <w:name w:val="Body Text First Indent"/>
    <w:basedOn w:val="1"/>
    <w:link w:val="160"/>
    <w:qFormat/>
    <w:uiPriority w:val="0"/>
    <w:pPr>
      <w:tabs>
        <w:tab w:val="left" w:pos="360"/>
      </w:tabs>
      <w:spacing w:line="220" w:lineRule="exact"/>
      <w:ind w:left="360" w:hanging="360" w:firstLineChars="200"/>
      <w:jc w:val="left"/>
    </w:pPr>
    <w:rPr>
      <w:color w:val="7030A0"/>
    </w:rPr>
  </w:style>
  <w:style w:type="paragraph" w:styleId="72">
    <w:name w:val="Body Text First Indent 2"/>
    <w:basedOn w:val="30"/>
    <w:link w:val="151"/>
    <w:qFormat/>
    <w:uiPriority w:val="0"/>
    <w:pPr>
      <w:spacing w:after="120" w:line="240" w:lineRule="auto"/>
      <w:ind w:left="420" w:leftChars="200" w:firstLine="200" w:firstLineChars="200"/>
      <w:jc w:val="left"/>
    </w:pPr>
    <w:rPr>
      <w:rFonts w:hAnsi="宋体"/>
      <w:szCs w:val="24"/>
    </w:rPr>
  </w:style>
  <w:style w:type="table" w:styleId="74">
    <w:name w:val="Table Grid"/>
    <w:basedOn w:val="73"/>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6">
    <w:name w:val="Strong"/>
    <w:qFormat/>
    <w:uiPriority w:val="0"/>
    <w:rPr>
      <w:b/>
      <w:bCs/>
    </w:rPr>
  </w:style>
  <w:style w:type="character" w:styleId="77">
    <w:name w:val="endnote reference"/>
    <w:qFormat/>
    <w:uiPriority w:val="0"/>
    <w:rPr>
      <w:vertAlign w:val="superscript"/>
    </w:rPr>
  </w:style>
  <w:style w:type="character" w:styleId="78">
    <w:name w:val="page number"/>
    <w:basedOn w:val="75"/>
    <w:qFormat/>
    <w:uiPriority w:val="0"/>
  </w:style>
  <w:style w:type="character" w:styleId="79">
    <w:name w:val="FollowedHyperlink"/>
    <w:basedOn w:val="75"/>
    <w:unhideWhenUsed/>
    <w:qFormat/>
    <w:uiPriority w:val="99"/>
    <w:rPr>
      <w:color w:val="800080"/>
      <w:u w:val="single"/>
    </w:rPr>
  </w:style>
  <w:style w:type="character" w:styleId="80">
    <w:name w:val="Emphasis"/>
    <w:basedOn w:val="75"/>
    <w:qFormat/>
    <w:uiPriority w:val="20"/>
  </w:style>
  <w:style w:type="character" w:styleId="81">
    <w:name w:val="HTML Definition"/>
    <w:basedOn w:val="75"/>
    <w:semiHidden/>
    <w:unhideWhenUsed/>
    <w:qFormat/>
    <w:uiPriority w:val="99"/>
  </w:style>
  <w:style w:type="character" w:styleId="82">
    <w:name w:val="HTML Typewriter"/>
    <w:qFormat/>
    <w:uiPriority w:val="0"/>
    <w:rPr>
      <w:rFonts w:ascii="黑体" w:hAnsi="Courier New" w:eastAsia="黑体" w:cs="Courier New"/>
      <w:sz w:val="20"/>
      <w:szCs w:val="20"/>
    </w:rPr>
  </w:style>
  <w:style w:type="character" w:styleId="83">
    <w:name w:val="HTML Variable"/>
    <w:basedOn w:val="75"/>
    <w:semiHidden/>
    <w:unhideWhenUsed/>
    <w:qFormat/>
    <w:uiPriority w:val="99"/>
  </w:style>
  <w:style w:type="character" w:styleId="84">
    <w:name w:val="Hyperlink"/>
    <w:basedOn w:val="75"/>
    <w:unhideWhenUsed/>
    <w:qFormat/>
    <w:uiPriority w:val="99"/>
    <w:rPr>
      <w:rFonts w:hint="eastAsia" w:ascii="宋体" w:hAnsi="宋体" w:eastAsia="宋体" w:cs="宋体"/>
      <w:color w:val="004A85"/>
      <w:sz w:val="18"/>
      <w:szCs w:val="18"/>
      <w:u w:val="single"/>
    </w:rPr>
  </w:style>
  <w:style w:type="character" w:styleId="85">
    <w:name w:val="HTML Code"/>
    <w:basedOn w:val="75"/>
    <w:semiHidden/>
    <w:unhideWhenUsed/>
    <w:qFormat/>
    <w:uiPriority w:val="99"/>
    <w:rPr>
      <w:rFonts w:ascii="Courier New" w:hAnsi="Courier New"/>
      <w:sz w:val="20"/>
    </w:rPr>
  </w:style>
  <w:style w:type="character" w:styleId="86">
    <w:name w:val="annotation reference"/>
    <w:basedOn w:val="75"/>
    <w:qFormat/>
    <w:uiPriority w:val="99"/>
    <w:rPr>
      <w:sz w:val="21"/>
      <w:szCs w:val="21"/>
    </w:rPr>
  </w:style>
  <w:style w:type="character" w:styleId="87">
    <w:name w:val="HTML Cite"/>
    <w:basedOn w:val="75"/>
    <w:semiHidden/>
    <w:unhideWhenUsed/>
    <w:qFormat/>
    <w:uiPriority w:val="99"/>
  </w:style>
  <w:style w:type="character" w:styleId="88">
    <w:name w:val="footnote reference"/>
    <w:qFormat/>
    <w:uiPriority w:val="0"/>
    <w:rPr>
      <w:vertAlign w:val="superscript"/>
    </w:rPr>
  </w:style>
  <w:style w:type="paragraph" w:customStyle="1" w:styleId="89">
    <w:name w:val="二级标题"/>
    <w:qFormat/>
    <w:uiPriority w:val="0"/>
    <w:pPr>
      <w:spacing w:before="240" w:after="120"/>
    </w:pPr>
    <w:rPr>
      <w:rFonts w:ascii="Times New Roman" w:hAnsi="Times New Roman" w:eastAsia="黑体" w:cs="Times New Roman"/>
      <w:b/>
      <w:kern w:val="2"/>
      <w:sz w:val="26"/>
      <w:lang w:val="en-US" w:eastAsia="zh-CN" w:bidi="ar-SA"/>
    </w:rPr>
  </w:style>
  <w:style w:type="paragraph" w:customStyle="1" w:styleId="90">
    <w:name w:val="标题4"/>
    <w:basedOn w:val="1"/>
    <w:next w:val="1"/>
    <w:qFormat/>
    <w:uiPriority w:val="0"/>
    <w:pPr>
      <w:keepNext/>
      <w:spacing w:line="360" w:lineRule="auto"/>
      <w:ind w:firstLine="200" w:firstLineChars="200"/>
      <w:jc w:val="left"/>
      <w:outlineLvl w:val="3"/>
    </w:pPr>
    <w:rPr>
      <w:b/>
      <w:kern w:val="0"/>
      <w:sz w:val="30"/>
    </w:rPr>
  </w:style>
  <w:style w:type="character" w:customStyle="1" w:styleId="91">
    <w:name w:val="四级标题格式 Char"/>
    <w:link w:val="92"/>
    <w:qFormat/>
    <w:uiPriority w:val="0"/>
    <w:rPr>
      <w:rFonts w:ascii="Times New Roman" w:hAnsi="Times New Roman" w:eastAsia="黑体"/>
      <w:bCs/>
      <w:kern w:val="2"/>
      <w:sz w:val="28"/>
      <w:szCs w:val="28"/>
    </w:rPr>
  </w:style>
  <w:style w:type="paragraph" w:customStyle="1" w:styleId="92">
    <w:name w:val="四级标题格式"/>
    <w:basedOn w:val="6"/>
    <w:link w:val="91"/>
    <w:qFormat/>
    <w:uiPriority w:val="0"/>
    <w:pPr>
      <w:keepNext w:val="0"/>
      <w:keepLines w:val="0"/>
      <w:spacing w:before="0" w:afterLines="100" w:line="240" w:lineRule="auto"/>
      <w:jc w:val="left"/>
    </w:pPr>
    <w:rPr>
      <w:rFonts w:ascii="Times New Roman" w:hAnsi="Times New Roman" w:eastAsia="黑体"/>
      <w:b w:val="0"/>
    </w:rPr>
  </w:style>
  <w:style w:type="character" w:customStyle="1" w:styleId="93">
    <w:name w:val="标题 9 Char"/>
    <w:basedOn w:val="75"/>
    <w:link w:val="11"/>
    <w:qFormat/>
    <w:uiPriority w:val="0"/>
    <w:rPr>
      <w:rFonts w:ascii="Arial" w:hAnsi="Arial" w:eastAsia="黑体"/>
      <w:kern w:val="2"/>
      <w:sz w:val="21"/>
    </w:rPr>
  </w:style>
  <w:style w:type="character" w:customStyle="1" w:styleId="94">
    <w:name w:val="称呼 Char"/>
    <w:basedOn w:val="75"/>
    <w:link w:val="26"/>
    <w:qFormat/>
    <w:uiPriority w:val="0"/>
    <w:rPr>
      <w:rFonts w:ascii="Times New Roman" w:hAnsi="Times New Roman"/>
      <w:kern w:val="2"/>
      <w:sz w:val="24"/>
    </w:rPr>
  </w:style>
  <w:style w:type="character" w:customStyle="1" w:styleId="95">
    <w:name w:val="脚注文本 Char"/>
    <w:basedOn w:val="75"/>
    <w:link w:val="56"/>
    <w:qFormat/>
    <w:uiPriority w:val="0"/>
    <w:rPr>
      <w:rFonts w:ascii="Times New Roman" w:hAnsi="Times New Roman"/>
      <w:sz w:val="18"/>
    </w:rPr>
  </w:style>
  <w:style w:type="character" w:customStyle="1" w:styleId="96">
    <w:name w:val="标题 5 Char1"/>
    <w:qFormat/>
    <w:uiPriority w:val="0"/>
    <w:rPr>
      <w:rFonts w:ascii="Times New Roman" w:hAnsi="Times New Roman"/>
      <w:b/>
      <w:kern w:val="2"/>
      <w:sz w:val="28"/>
    </w:rPr>
  </w:style>
  <w:style w:type="character" w:customStyle="1" w:styleId="97">
    <w:name w:val="样式 标题 31.1条标题1.1.1二级节名h3Heading 3 - oldheading 3H3H31H3... Char Char"/>
    <w:qFormat/>
    <w:uiPriority w:val="0"/>
    <w:rPr>
      <w:rFonts w:ascii="宋体" w:hAnsi="宋体" w:eastAsia="黑体"/>
      <w:kern w:val="2"/>
      <w:sz w:val="24"/>
      <w:szCs w:val="21"/>
    </w:rPr>
  </w:style>
  <w:style w:type="character" w:customStyle="1" w:styleId="98">
    <w:name w:val="标题3 Char"/>
    <w:link w:val="99"/>
    <w:qFormat/>
    <w:uiPriority w:val="0"/>
    <w:rPr>
      <w:rFonts w:ascii="Times New Roman" w:hAnsi="Times New Roman"/>
      <w:sz w:val="24"/>
    </w:rPr>
  </w:style>
  <w:style w:type="paragraph" w:customStyle="1" w:styleId="99">
    <w:name w:val="标题3"/>
    <w:basedOn w:val="2"/>
    <w:link w:val="98"/>
    <w:qFormat/>
    <w:uiPriority w:val="0"/>
    <w:pPr>
      <w:keepLines w:val="0"/>
      <w:tabs>
        <w:tab w:val="left" w:pos="360"/>
        <w:tab w:val="left" w:pos="840"/>
        <w:tab w:val="left" w:pos="2160"/>
      </w:tabs>
      <w:adjustRightInd w:val="0"/>
      <w:spacing w:before="0" w:after="0" w:line="360" w:lineRule="auto"/>
      <w:textAlignment w:val="baseline"/>
    </w:pPr>
    <w:rPr>
      <w:b w:val="0"/>
      <w:bCs w:val="0"/>
      <w:kern w:val="0"/>
      <w:sz w:val="24"/>
      <w:szCs w:val="20"/>
    </w:rPr>
  </w:style>
  <w:style w:type="character" w:customStyle="1" w:styleId="100">
    <w:name w:val="批注主题 Char"/>
    <w:basedOn w:val="101"/>
    <w:link w:val="70"/>
    <w:qFormat/>
    <w:uiPriority w:val="0"/>
    <w:rPr>
      <w:rFonts w:ascii="Times New Roman" w:hAnsi="Times New Roman" w:eastAsia="宋体" w:cs="Times New Roman"/>
      <w:b/>
      <w:bCs/>
      <w:kern w:val="2"/>
      <w:sz w:val="21"/>
      <w:szCs w:val="24"/>
    </w:rPr>
  </w:style>
  <w:style w:type="character" w:customStyle="1" w:styleId="101">
    <w:name w:val="批注文字 Char"/>
    <w:basedOn w:val="75"/>
    <w:link w:val="24"/>
    <w:qFormat/>
    <w:uiPriority w:val="99"/>
    <w:rPr>
      <w:rFonts w:ascii="Times New Roman" w:hAnsi="Times New Roman" w:eastAsia="宋体" w:cs="Times New Roman"/>
      <w:szCs w:val="24"/>
    </w:rPr>
  </w:style>
  <w:style w:type="character" w:customStyle="1" w:styleId="102">
    <w:name w:val="selected"/>
    <w:basedOn w:val="75"/>
    <w:qFormat/>
    <w:uiPriority w:val="0"/>
    <w:rPr>
      <w:shd w:val="clear" w:color="auto" w:fill="B00006"/>
    </w:rPr>
  </w:style>
  <w:style w:type="character" w:customStyle="1" w:styleId="103">
    <w:name w:val="样式 宋体 行距: 固定值 24 磅 Char"/>
    <w:link w:val="104"/>
    <w:qFormat/>
    <w:uiPriority w:val="0"/>
    <w:rPr>
      <w:rFonts w:ascii="宋体" w:hAnsi="Times New Roman"/>
      <w:color w:val="7030A0"/>
      <w:kern w:val="2"/>
      <w:sz w:val="28"/>
    </w:rPr>
  </w:style>
  <w:style w:type="paragraph" w:customStyle="1" w:styleId="104">
    <w:name w:val="样式 宋体 行距: 固定值 24 磅"/>
    <w:basedOn w:val="1"/>
    <w:link w:val="103"/>
    <w:qFormat/>
    <w:uiPriority w:val="0"/>
    <w:pPr>
      <w:spacing w:line="480" w:lineRule="exact"/>
      <w:ind w:firstLine="585" w:firstLineChars="200"/>
      <w:jc w:val="left"/>
    </w:pPr>
    <w:rPr>
      <w:rFonts w:ascii="宋体"/>
      <w:color w:val="7030A0"/>
      <w:sz w:val="28"/>
      <w:szCs w:val="20"/>
    </w:rPr>
  </w:style>
  <w:style w:type="character" w:customStyle="1" w:styleId="105">
    <w:name w:val="样式 首行缩进:  2 字符 Char1"/>
    <w:link w:val="106"/>
    <w:qFormat/>
    <w:uiPriority w:val="0"/>
    <w:rPr>
      <w:rFonts w:ascii="Times New Roman" w:hAnsi="Times New Roman"/>
      <w:color w:val="7030A0"/>
      <w:kern w:val="2"/>
      <w:sz w:val="24"/>
    </w:rPr>
  </w:style>
  <w:style w:type="paragraph" w:customStyle="1" w:styleId="106">
    <w:name w:val="样式 首行缩进:  2 字符"/>
    <w:basedOn w:val="1"/>
    <w:link w:val="105"/>
    <w:qFormat/>
    <w:uiPriority w:val="0"/>
    <w:pPr>
      <w:spacing w:line="480" w:lineRule="exact"/>
      <w:ind w:firstLine="480" w:firstLineChars="200"/>
      <w:jc w:val="left"/>
    </w:pPr>
    <w:rPr>
      <w:color w:val="7030A0"/>
      <w:sz w:val="24"/>
      <w:szCs w:val="20"/>
    </w:rPr>
  </w:style>
  <w:style w:type="character" w:customStyle="1" w:styleId="107">
    <w:name w:val="日期 Char1"/>
    <w:basedOn w:val="75"/>
    <w:semiHidden/>
    <w:qFormat/>
    <w:uiPriority w:val="99"/>
    <w:rPr>
      <w:rFonts w:ascii="Times New Roman" w:hAnsi="Times New Roman"/>
      <w:kern w:val="2"/>
      <w:sz w:val="21"/>
      <w:szCs w:val="24"/>
    </w:rPr>
  </w:style>
  <w:style w:type="character" w:customStyle="1" w:styleId="108">
    <w:name w:val="正文文本 3 Char"/>
    <w:basedOn w:val="75"/>
    <w:link w:val="27"/>
    <w:qFormat/>
    <w:uiPriority w:val="0"/>
    <w:rPr>
      <w:rFonts w:ascii="Times New Roman" w:hAnsi="Times New Roman"/>
      <w:kern w:val="2"/>
      <w:sz w:val="16"/>
      <w:szCs w:val="16"/>
    </w:rPr>
  </w:style>
  <w:style w:type="character" w:customStyle="1" w:styleId="109">
    <w:name w:val="正文－wjnew Char Char"/>
    <w:link w:val="110"/>
    <w:qFormat/>
    <w:uiPriority w:val="0"/>
    <w:rPr>
      <w:rFonts w:ascii="宋体" w:cs="宋体"/>
      <w:kern w:val="2"/>
      <w:sz w:val="21"/>
      <w:szCs w:val="21"/>
    </w:rPr>
  </w:style>
  <w:style w:type="paragraph" w:customStyle="1" w:styleId="110">
    <w:name w:val="正文－wjnew"/>
    <w:basedOn w:val="1"/>
    <w:link w:val="109"/>
    <w:qFormat/>
    <w:uiPriority w:val="0"/>
    <w:pPr>
      <w:adjustRightInd w:val="0"/>
      <w:snapToGrid w:val="0"/>
      <w:spacing w:line="360" w:lineRule="auto"/>
      <w:ind w:firstLine="420"/>
    </w:pPr>
    <w:rPr>
      <w:rFonts w:ascii="宋体"/>
      <w:szCs w:val="21"/>
    </w:rPr>
  </w:style>
  <w:style w:type="character" w:customStyle="1" w:styleId="111">
    <w:name w:val="正文缩进 Char"/>
    <w:link w:val="18"/>
    <w:qFormat/>
    <w:uiPriority w:val="0"/>
    <w:rPr>
      <w:rFonts w:ascii="宋体" w:hAnsi="Times New Roman"/>
      <w:sz w:val="24"/>
    </w:rPr>
  </w:style>
  <w:style w:type="character" w:customStyle="1" w:styleId="112">
    <w:name w:val="标题 4 Char1"/>
    <w:qFormat/>
    <w:uiPriority w:val="0"/>
    <w:rPr>
      <w:rFonts w:ascii="宋体" w:hAnsi="宋体"/>
      <w:b/>
      <w:bCs/>
      <w:kern w:val="2"/>
      <w:sz w:val="21"/>
    </w:rPr>
  </w:style>
  <w:style w:type="character" w:customStyle="1" w:styleId="113">
    <w:name w:val="(1) Char Char"/>
    <w:link w:val="114"/>
    <w:qFormat/>
    <w:uiPriority w:val="0"/>
    <w:rPr>
      <w:rFonts w:ascii="宋体" w:hAnsi="宋体"/>
      <w:kern w:val="2"/>
      <w:sz w:val="24"/>
      <w:szCs w:val="24"/>
    </w:rPr>
  </w:style>
  <w:style w:type="paragraph" w:customStyle="1" w:styleId="114">
    <w:name w:val="(1)"/>
    <w:basedOn w:val="1"/>
    <w:next w:val="1"/>
    <w:link w:val="113"/>
    <w:qFormat/>
    <w:uiPriority w:val="0"/>
    <w:pPr>
      <w:tabs>
        <w:tab w:val="left" w:pos="813"/>
      </w:tabs>
      <w:spacing w:line="360" w:lineRule="auto"/>
      <w:ind w:left="813" w:hanging="567"/>
    </w:pPr>
    <w:rPr>
      <w:rFonts w:ascii="宋体" w:hAnsi="宋体"/>
      <w:sz w:val="24"/>
    </w:rPr>
  </w:style>
  <w:style w:type="character" w:customStyle="1" w:styleId="115">
    <w:name w:val="标题 4 Char"/>
    <w:basedOn w:val="75"/>
    <w:link w:val="6"/>
    <w:qFormat/>
    <w:uiPriority w:val="0"/>
    <w:rPr>
      <w:rFonts w:ascii="Cambria" w:hAnsi="Cambria" w:eastAsia="宋体" w:cs="Times New Roman"/>
      <w:b/>
      <w:bCs/>
      <w:kern w:val="2"/>
      <w:sz w:val="28"/>
      <w:szCs w:val="28"/>
    </w:rPr>
  </w:style>
  <w:style w:type="character" w:customStyle="1" w:styleId="116">
    <w:name w:val="样式 标题 2标题 1.1head:2#2 headlinehheadlineS&amp;R2ERMH2Head 2 +... Char Char"/>
    <w:qFormat/>
    <w:uiPriority w:val="0"/>
    <w:rPr>
      <w:rFonts w:ascii="Arial" w:hAnsi="Arial" w:eastAsia="宋体"/>
      <w:b/>
      <w:bCs/>
      <w:sz w:val="24"/>
      <w:lang w:val="en-US" w:eastAsia="zh-CN" w:bidi="ar-SA"/>
    </w:rPr>
  </w:style>
  <w:style w:type="character" w:customStyle="1" w:styleId="117">
    <w:name w:val="樣式 標題 3 + (中文) MS Gothic 10.5 點 Char Char Char Char Char Char Char Char"/>
    <w:qFormat/>
    <w:uiPriority w:val="0"/>
    <w:rPr>
      <w:rFonts w:hAnsi="PMingLiU" w:eastAsia="MS Gothic"/>
      <w:snapToGrid w:val="0"/>
      <w:kern w:val="2"/>
      <w:sz w:val="24"/>
      <w:lang w:val="en-AU" w:eastAsia="zh-TW"/>
    </w:rPr>
  </w:style>
  <w:style w:type="character" w:customStyle="1" w:styleId="118">
    <w:name w:val="正文文本缩进 3 Char"/>
    <w:basedOn w:val="75"/>
    <w:link w:val="58"/>
    <w:qFormat/>
    <w:uiPriority w:val="0"/>
    <w:rPr>
      <w:rFonts w:ascii="Times New Roman" w:hAnsi="Times New Roman"/>
      <w:kern w:val="2"/>
      <w:sz w:val="21"/>
    </w:rPr>
  </w:style>
  <w:style w:type="character" w:customStyle="1" w:styleId="119">
    <w:name w:val="正文 BJ15 Char Char"/>
    <w:link w:val="120"/>
    <w:qFormat/>
    <w:uiPriority w:val="0"/>
    <w:rPr>
      <w:rFonts w:ascii="Times New Roman" w:hAnsi="Times New Roman"/>
      <w:kern w:val="2"/>
      <w:sz w:val="24"/>
      <w:szCs w:val="24"/>
    </w:rPr>
  </w:style>
  <w:style w:type="paragraph" w:customStyle="1" w:styleId="120">
    <w:name w:val="正文 BJ15"/>
    <w:basedOn w:val="1"/>
    <w:link w:val="119"/>
    <w:qFormat/>
    <w:uiPriority w:val="0"/>
    <w:pPr>
      <w:adjustRightInd w:val="0"/>
      <w:snapToGrid w:val="0"/>
      <w:spacing w:line="360" w:lineRule="auto"/>
      <w:ind w:firstLine="200" w:firstLineChars="200"/>
      <w:jc w:val="left"/>
    </w:pPr>
    <w:rPr>
      <w:sz w:val="24"/>
    </w:rPr>
  </w:style>
  <w:style w:type="character" w:customStyle="1" w:styleId="121">
    <w:name w:val="纯文本 Char Char"/>
    <w:qFormat/>
    <w:uiPriority w:val="0"/>
    <w:rPr>
      <w:rFonts w:ascii="宋体" w:hAnsi="Courier New" w:eastAsia="宋体" w:cs="Century"/>
      <w:kern w:val="2"/>
      <w:sz w:val="21"/>
      <w:szCs w:val="21"/>
      <w:lang w:val="en-US" w:eastAsia="zh-CN" w:bidi="ar-SA"/>
    </w:rPr>
  </w:style>
  <w:style w:type="character" w:customStyle="1" w:styleId="122">
    <w:name w:val="宏文本 Char"/>
    <w:basedOn w:val="75"/>
    <w:link w:val="3"/>
    <w:semiHidden/>
    <w:qFormat/>
    <w:uiPriority w:val="0"/>
    <w:rPr>
      <w:rFonts w:ascii="Courier New" w:hAnsi="Courier New" w:cs="Courier New"/>
      <w:kern w:val="2"/>
      <w:sz w:val="24"/>
      <w:szCs w:val="24"/>
      <w:lang w:val="en-US" w:eastAsia="zh-CN" w:bidi="ar-SA"/>
    </w:rPr>
  </w:style>
  <w:style w:type="character" w:customStyle="1" w:styleId="123">
    <w:name w:val="尾注文本 Char"/>
    <w:basedOn w:val="75"/>
    <w:link w:val="46"/>
    <w:qFormat/>
    <w:uiPriority w:val="0"/>
    <w:rPr>
      <w:rFonts w:ascii="Times New Roman" w:hAnsi="Times New Roman"/>
      <w:sz w:val="21"/>
      <w:szCs w:val="24"/>
    </w:rPr>
  </w:style>
  <w:style w:type="character" w:customStyle="1" w:styleId="124">
    <w:name w:val="样式 楷体_GB2312 二号 加粗 Char"/>
    <w:qFormat/>
    <w:uiPriority w:val="0"/>
    <w:rPr>
      <w:rFonts w:ascii="楷体_GB2312" w:hAnsi="Arial" w:eastAsia="楷体_GB2312" w:cs="Arial"/>
      <w:b/>
      <w:kern w:val="2"/>
      <w:sz w:val="44"/>
      <w:szCs w:val="24"/>
      <w:lang w:val="en-US" w:eastAsia="zh-CN" w:bidi="ar-SA"/>
    </w:rPr>
  </w:style>
  <w:style w:type="character" w:customStyle="1" w:styleId="125">
    <w:name w:val="标题 2 Char"/>
    <w:basedOn w:val="75"/>
    <w:link w:val="5"/>
    <w:qFormat/>
    <w:uiPriority w:val="0"/>
    <w:rPr>
      <w:rFonts w:ascii="Arial" w:hAnsi="Arial" w:eastAsia="黑体"/>
      <w:b/>
      <w:bCs/>
      <w:kern w:val="2"/>
      <w:sz w:val="32"/>
      <w:szCs w:val="32"/>
    </w:rPr>
  </w:style>
  <w:style w:type="character" w:customStyle="1" w:styleId="126">
    <w:name w:val="正文文本 2 Char"/>
    <w:basedOn w:val="75"/>
    <w:link w:val="64"/>
    <w:qFormat/>
    <w:uiPriority w:val="0"/>
    <w:rPr>
      <w:rFonts w:ascii="Times New Roman" w:hAnsi="Times New Roman"/>
      <w:kern w:val="2"/>
      <w:sz w:val="21"/>
    </w:rPr>
  </w:style>
  <w:style w:type="character" w:customStyle="1" w:styleId="127">
    <w:name w:val="1.1 Char"/>
    <w:qFormat/>
    <w:uiPriority w:val="0"/>
    <w:rPr>
      <w:rFonts w:ascii="宋体" w:eastAsia="宋体"/>
      <w:b/>
      <w:bCs/>
      <w:kern w:val="2"/>
      <w:sz w:val="24"/>
      <w:szCs w:val="32"/>
      <w:lang w:val="en-US" w:eastAsia="zh-CN" w:bidi="ar-SA"/>
    </w:rPr>
  </w:style>
  <w:style w:type="character" w:customStyle="1" w:styleId="128">
    <w:name w:val="正文文本 Char1"/>
    <w:qFormat/>
    <w:uiPriority w:val="0"/>
    <w:rPr>
      <w:rFonts w:ascii="Times New Roman" w:hAnsi="Times New Roman"/>
      <w:kern w:val="2"/>
      <w:sz w:val="24"/>
    </w:rPr>
  </w:style>
  <w:style w:type="character" w:customStyle="1" w:styleId="129">
    <w:name w:val="普通文字 Char Char"/>
    <w:qFormat/>
    <w:uiPriority w:val="0"/>
    <w:rPr>
      <w:rFonts w:ascii="宋体" w:hAnsi="Courier New" w:eastAsia="宋体"/>
      <w:kern w:val="2"/>
      <w:sz w:val="21"/>
      <w:lang w:val="en-US" w:eastAsia="zh-CN" w:bidi="ar-SA"/>
    </w:rPr>
  </w:style>
  <w:style w:type="character" w:customStyle="1" w:styleId="130">
    <w:name w:val="信息标题 Char"/>
    <w:basedOn w:val="75"/>
    <w:link w:val="65"/>
    <w:qFormat/>
    <w:uiPriority w:val="0"/>
    <w:rPr>
      <w:rFonts w:ascii="Arial" w:hAnsi="Arial" w:cs="Arial"/>
      <w:color w:val="7030A0"/>
      <w:kern w:val="2"/>
      <w:sz w:val="24"/>
      <w:szCs w:val="24"/>
      <w:shd w:val="pct20" w:color="auto" w:fill="auto"/>
    </w:rPr>
  </w:style>
  <w:style w:type="character" w:customStyle="1" w:styleId="131">
    <w:name w:val="样式 二号 红色 边框:: (单实线 自动设置  0.5 磅 行宽)"/>
    <w:qFormat/>
    <w:uiPriority w:val="0"/>
    <w:rPr>
      <w:rFonts w:eastAsia="宋体"/>
      <w:color w:val="0000FF"/>
      <w:sz w:val="44"/>
      <w:bdr w:val="single" w:color="0000FF" w:sz="4" w:space="0"/>
    </w:rPr>
  </w:style>
  <w:style w:type="character" w:customStyle="1" w:styleId="132">
    <w:name w:val="纯文本 Char"/>
    <w:basedOn w:val="75"/>
    <w:link w:val="39"/>
    <w:qFormat/>
    <w:uiPriority w:val="99"/>
    <w:rPr>
      <w:rFonts w:ascii="宋体" w:hAnsi="Courier New" w:cs="Courier New"/>
      <w:kern w:val="2"/>
      <w:sz w:val="21"/>
      <w:szCs w:val="21"/>
    </w:rPr>
  </w:style>
  <w:style w:type="character" w:customStyle="1" w:styleId="133">
    <w:name w:val="displayarti"/>
    <w:basedOn w:val="75"/>
    <w:qFormat/>
    <w:uiPriority w:val="0"/>
    <w:rPr>
      <w:color w:val="FFFFFF"/>
      <w:shd w:val="clear" w:color="auto" w:fill="A00000"/>
    </w:rPr>
  </w:style>
  <w:style w:type="character" w:customStyle="1" w:styleId="134">
    <w:name w:val="正文－zlb Char Char"/>
    <w:link w:val="135"/>
    <w:qFormat/>
    <w:uiPriority w:val="0"/>
    <w:rPr>
      <w:rFonts w:ascii="宋体" w:cs="宋体"/>
      <w:kern w:val="2"/>
      <w:sz w:val="24"/>
      <w:szCs w:val="24"/>
    </w:rPr>
  </w:style>
  <w:style w:type="paragraph" w:customStyle="1" w:styleId="135">
    <w:name w:val="正文－zlb"/>
    <w:basedOn w:val="1"/>
    <w:link w:val="134"/>
    <w:qFormat/>
    <w:uiPriority w:val="0"/>
    <w:pPr>
      <w:adjustRightInd w:val="0"/>
      <w:snapToGrid w:val="0"/>
      <w:spacing w:line="360" w:lineRule="auto"/>
      <w:ind w:firstLine="420"/>
    </w:pPr>
    <w:rPr>
      <w:rFonts w:ascii="宋体"/>
      <w:sz w:val="24"/>
    </w:rPr>
  </w:style>
  <w:style w:type="character" w:customStyle="1" w:styleId="136">
    <w:name w:val="Char Char11"/>
    <w:qFormat/>
    <w:uiPriority w:val="0"/>
    <w:rPr>
      <w:rFonts w:eastAsia="宋体"/>
      <w:b/>
      <w:bCs/>
      <w:kern w:val="2"/>
      <w:sz w:val="24"/>
      <w:szCs w:val="24"/>
      <w:lang w:val="en-US" w:eastAsia="zh-CN" w:bidi="ar-SA"/>
    </w:rPr>
  </w:style>
  <w:style w:type="character" w:customStyle="1" w:styleId="137">
    <w:name w:val="正文（首行缩进两字） Char"/>
    <w:qFormat/>
    <w:uiPriority w:val="0"/>
    <w:rPr>
      <w:rFonts w:eastAsia="宋体"/>
      <w:sz w:val="32"/>
      <w:lang w:val="en-US" w:eastAsia="zh-CN" w:bidi="ar-SA"/>
    </w:rPr>
  </w:style>
  <w:style w:type="character" w:customStyle="1" w:styleId="138">
    <w:name w:val="正文文本缩进 2 Char"/>
    <w:basedOn w:val="75"/>
    <w:link w:val="45"/>
    <w:qFormat/>
    <w:uiPriority w:val="0"/>
    <w:rPr>
      <w:rFonts w:ascii="Times New Roman" w:hAnsi="Times New Roman"/>
      <w:kern w:val="2"/>
      <w:sz w:val="21"/>
    </w:rPr>
  </w:style>
  <w:style w:type="character" w:customStyle="1" w:styleId="139">
    <w:name w:val="正文文本缩进 Char"/>
    <w:basedOn w:val="75"/>
    <w:qFormat/>
    <w:uiPriority w:val="0"/>
    <w:rPr>
      <w:rFonts w:ascii="Times New Roman" w:hAnsi="Times New Roman"/>
      <w:kern w:val="2"/>
      <w:sz w:val="21"/>
      <w:szCs w:val="24"/>
    </w:rPr>
  </w:style>
  <w:style w:type="character" w:customStyle="1" w:styleId="140">
    <w:name w:val="标题 Char"/>
    <w:basedOn w:val="75"/>
    <w:link w:val="69"/>
    <w:qFormat/>
    <w:uiPriority w:val="0"/>
    <w:rPr>
      <w:rFonts w:ascii="Arial" w:hAnsi="Arial" w:eastAsia="楷体_GB2312"/>
      <w:b/>
      <w:sz w:val="32"/>
    </w:rPr>
  </w:style>
  <w:style w:type="character" w:customStyle="1" w:styleId="141">
    <w:name w:val="b Char"/>
    <w:qFormat/>
    <w:uiPriority w:val="0"/>
    <w:rPr>
      <w:rFonts w:eastAsia="宋体"/>
      <w:b/>
      <w:bCs/>
      <w:kern w:val="2"/>
      <w:sz w:val="28"/>
      <w:szCs w:val="28"/>
      <w:lang w:val="en-US" w:eastAsia="zh-CN" w:bidi="ar-SA"/>
    </w:rPr>
  </w:style>
  <w:style w:type="character" w:customStyle="1" w:styleId="142">
    <w:name w:val="日期 Char"/>
    <w:link w:val="44"/>
    <w:qFormat/>
    <w:uiPriority w:val="0"/>
    <w:rPr>
      <w:rFonts w:eastAsia="楷体_GB2312"/>
      <w:kern w:val="2"/>
      <w:sz w:val="30"/>
    </w:rPr>
  </w:style>
  <w:style w:type="character" w:customStyle="1" w:styleId="143">
    <w:name w:val="题注 Char"/>
    <w:link w:val="19"/>
    <w:qFormat/>
    <w:uiPriority w:val="0"/>
    <w:rPr>
      <w:rFonts w:ascii="Times New Roman" w:hAnsi="Times New Roman"/>
      <w:b/>
      <w:bCs/>
      <w:color w:val="000080"/>
      <w:kern w:val="2"/>
      <w:sz w:val="28"/>
      <w:szCs w:val="24"/>
    </w:rPr>
  </w:style>
  <w:style w:type="character" w:customStyle="1" w:styleId="144">
    <w:name w:val="正文段落格式 Char Char"/>
    <w:qFormat/>
    <w:uiPriority w:val="0"/>
    <w:rPr>
      <w:rFonts w:cs="宋体"/>
      <w:color w:val="7030A0"/>
      <w:kern w:val="2"/>
      <w:sz w:val="24"/>
    </w:rPr>
  </w:style>
  <w:style w:type="character" w:customStyle="1" w:styleId="145">
    <w:name w:val="标题 5 Char"/>
    <w:basedOn w:val="75"/>
    <w:link w:val="7"/>
    <w:semiHidden/>
    <w:qFormat/>
    <w:uiPriority w:val="9"/>
    <w:rPr>
      <w:rFonts w:ascii="Times New Roman" w:hAnsi="Times New Roman"/>
      <w:b/>
      <w:bCs/>
      <w:kern w:val="2"/>
      <w:sz w:val="28"/>
      <w:szCs w:val="28"/>
    </w:rPr>
  </w:style>
  <w:style w:type="character" w:customStyle="1" w:styleId="146">
    <w:name w:val="图表标题 BJ8 Char Char"/>
    <w:link w:val="147"/>
    <w:qFormat/>
    <w:uiPriority w:val="0"/>
    <w:rPr>
      <w:rFonts w:ascii="Times New Roman" w:hAnsi="Times New Roman" w:eastAsia="黑体"/>
      <w:kern w:val="2"/>
      <w:sz w:val="24"/>
    </w:rPr>
  </w:style>
  <w:style w:type="paragraph" w:customStyle="1" w:styleId="147">
    <w:name w:val="图表标题 BJ8"/>
    <w:basedOn w:val="1"/>
    <w:link w:val="146"/>
    <w:qFormat/>
    <w:uiPriority w:val="0"/>
    <w:pPr>
      <w:adjustRightInd w:val="0"/>
      <w:snapToGrid w:val="0"/>
      <w:ind w:firstLine="200" w:firstLineChars="200"/>
      <w:jc w:val="center"/>
    </w:pPr>
    <w:rPr>
      <w:rFonts w:eastAsia="黑体"/>
      <w:sz w:val="24"/>
      <w:szCs w:val="20"/>
    </w:rPr>
  </w:style>
  <w:style w:type="character" w:customStyle="1" w:styleId="148">
    <w:name w:val="应答文本 Char Char"/>
    <w:qFormat/>
    <w:uiPriority w:val="0"/>
    <w:rPr>
      <w:rFonts w:ascii="Arial" w:hAnsi="Arial" w:eastAsia="楷体_GB2312" w:cs="宋体"/>
      <w:spacing w:val="10"/>
      <w:sz w:val="21"/>
      <w:lang w:val="en-US" w:eastAsia="zh-CN" w:bidi="ar-SA"/>
    </w:rPr>
  </w:style>
  <w:style w:type="character" w:customStyle="1" w:styleId="149">
    <w:name w:val="列表框2 Char"/>
    <w:link w:val="150"/>
    <w:qFormat/>
    <w:uiPriority w:val="0"/>
    <w:rPr>
      <w:snapToGrid w:val="0"/>
      <w:color w:val="7030A0"/>
      <w:spacing w:val="10"/>
      <w:sz w:val="24"/>
      <w:szCs w:val="24"/>
    </w:rPr>
  </w:style>
  <w:style w:type="paragraph" w:customStyle="1" w:styleId="150">
    <w:name w:val="列表框2"/>
    <w:basedOn w:val="1"/>
    <w:link w:val="149"/>
    <w:qFormat/>
    <w:uiPriority w:val="0"/>
    <w:pPr>
      <w:tabs>
        <w:tab w:val="left" w:pos="360"/>
        <w:tab w:val="left" w:pos="1628"/>
        <w:tab w:val="left" w:pos="2086"/>
      </w:tabs>
      <w:adjustRightInd w:val="0"/>
      <w:snapToGrid w:val="0"/>
      <w:ind w:left="1748" w:right="210" w:rightChars="100" w:hanging="434" w:firstLineChars="200"/>
      <w:jc w:val="left"/>
    </w:pPr>
    <w:rPr>
      <w:snapToGrid w:val="0"/>
      <w:color w:val="7030A0"/>
      <w:spacing w:val="10"/>
      <w:kern w:val="0"/>
      <w:sz w:val="24"/>
    </w:rPr>
  </w:style>
  <w:style w:type="character" w:customStyle="1" w:styleId="151">
    <w:name w:val="正文首行缩进 2 Char"/>
    <w:basedOn w:val="139"/>
    <w:link w:val="72"/>
    <w:qFormat/>
    <w:uiPriority w:val="0"/>
    <w:rPr>
      <w:rFonts w:ascii="宋体" w:hAnsi="宋体"/>
      <w:kern w:val="2"/>
      <w:sz w:val="21"/>
      <w:szCs w:val="24"/>
    </w:rPr>
  </w:style>
  <w:style w:type="character" w:customStyle="1" w:styleId="152">
    <w:name w:val="sub-dash Char"/>
    <w:qFormat/>
    <w:uiPriority w:val="0"/>
    <w:rPr>
      <w:rFonts w:ascii="Arial" w:hAnsi="Arial" w:eastAsia="黑体"/>
      <w:b/>
      <w:bCs/>
      <w:kern w:val="2"/>
      <w:sz w:val="24"/>
      <w:szCs w:val="24"/>
      <w:lang w:val="en-US" w:eastAsia="zh-CN" w:bidi="ar-SA"/>
    </w:rPr>
  </w:style>
  <w:style w:type="character" w:customStyle="1" w:styleId="153">
    <w:name w:val="五级标题格式 Char"/>
    <w:link w:val="154"/>
    <w:qFormat/>
    <w:uiPriority w:val="0"/>
    <w:rPr>
      <w:rFonts w:ascii="Times New Roman" w:hAnsi="Times New Roman"/>
      <w:b/>
      <w:bCs/>
      <w:kern w:val="2"/>
      <w:sz w:val="24"/>
      <w:szCs w:val="28"/>
    </w:rPr>
  </w:style>
  <w:style w:type="paragraph" w:customStyle="1" w:styleId="154">
    <w:name w:val="五级标题格式"/>
    <w:basedOn w:val="7"/>
    <w:link w:val="153"/>
    <w:qFormat/>
    <w:uiPriority w:val="0"/>
    <w:pPr>
      <w:keepNext w:val="0"/>
      <w:keepLines w:val="0"/>
      <w:tabs>
        <w:tab w:val="clear" w:pos="1008"/>
      </w:tabs>
      <w:spacing w:before="0" w:afterLines="50" w:line="240" w:lineRule="auto"/>
      <w:ind w:left="0" w:firstLine="0"/>
      <w:jc w:val="left"/>
    </w:pPr>
    <w:rPr>
      <w:bCs/>
      <w:sz w:val="24"/>
      <w:szCs w:val="28"/>
    </w:rPr>
  </w:style>
  <w:style w:type="character" w:customStyle="1" w:styleId="155">
    <w:name w:val="页眉 Char"/>
    <w:basedOn w:val="75"/>
    <w:link w:val="49"/>
    <w:qFormat/>
    <w:uiPriority w:val="0"/>
    <w:rPr>
      <w:rFonts w:ascii="Times New Roman" w:hAnsi="Times New Roman"/>
      <w:kern w:val="2"/>
      <w:sz w:val="18"/>
      <w:szCs w:val="18"/>
    </w:rPr>
  </w:style>
  <w:style w:type="character" w:customStyle="1" w:styleId="156">
    <w:name w:val="Char Char111"/>
    <w:qFormat/>
    <w:uiPriority w:val="0"/>
    <w:rPr>
      <w:rFonts w:eastAsia="宋体"/>
      <w:b/>
      <w:bCs/>
      <w:kern w:val="2"/>
      <w:sz w:val="24"/>
      <w:szCs w:val="24"/>
      <w:lang w:val="en-US" w:eastAsia="zh-CN" w:bidi="ar-SA"/>
    </w:rPr>
  </w:style>
  <w:style w:type="character" w:customStyle="1" w:styleId="157">
    <w:name w:val="表格文字图表文字 Char Char"/>
    <w:qFormat/>
    <w:uiPriority w:val="0"/>
    <w:rPr>
      <w:color w:val="7030A0"/>
      <w:kern w:val="2"/>
      <w:sz w:val="21"/>
    </w:rPr>
  </w:style>
  <w:style w:type="character" w:customStyle="1" w:styleId="158">
    <w:name w:val="标题 8 Char"/>
    <w:basedOn w:val="75"/>
    <w:link w:val="10"/>
    <w:qFormat/>
    <w:uiPriority w:val="0"/>
    <w:rPr>
      <w:rFonts w:ascii="Arial" w:hAnsi="Arial" w:eastAsia="黑体"/>
      <w:kern w:val="2"/>
      <w:sz w:val="24"/>
    </w:rPr>
  </w:style>
  <w:style w:type="character" w:customStyle="1" w:styleId="159">
    <w:name w:val="占位符文本1"/>
    <w:basedOn w:val="75"/>
    <w:semiHidden/>
    <w:qFormat/>
    <w:uiPriority w:val="99"/>
    <w:rPr>
      <w:color w:val="808080"/>
    </w:rPr>
  </w:style>
  <w:style w:type="character" w:customStyle="1" w:styleId="160">
    <w:name w:val="正文首行缩进 Char"/>
    <w:basedOn w:val="161"/>
    <w:link w:val="71"/>
    <w:qFormat/>
    <w:uiPriority w:val="0"/>
    <w:rPr>
      <w:rFonts w:ascii="Times New Roman" w:hAnsi="Times New Roman"/>
      <w:color w:val="7030A0"/>
      <w:kern w:val="2"/>
      <w:sz w:val="21"/>
      <w:szCs w:val="24"/>
    </w:rPr>
  </w:style>
  <w:style w:type="character" w:customStyle="1" w:styleId="161">
    <w:name w:val="正文文本 Char"/>
    <w:basedOn w:val="75"/>
    <w:link w:val="29"/>
    <w:qFormat/>
    <w:uiPriority w:val="0"/>
    <w:rPr>
      <w:rFonts w:ascii="Times New Roman" w:hAnsi="Times New Roman"/>
      <w:kern w:val="2"/>
      <w:sz w:val="21"/>
      <w:szCs w:val="24"/>
    </w:rPr>
  </w:style>
  <w:style w:type="character" w:customStyle="1" w:styleId="162">
    <w:name w:val="正文段落格式 Char"/>
    <w:link w:val="163"/>
    <w:qFormat/>
    <w:uiPriority w:val="0"/>
    <w:rPr>
      <w:rFonts w:ascii="Times New Roman" w:hAnsi="Times New Roman"/>
      <w:color w:val="7030A0"/>
      <w:kern w:val="2"/>
      <w:sz w:val="24"/>
    </w:rPr>
  </w:style>
  <w:style w:type="paragraph" w:customStyle="1" w:styleId="163">
    <w:name w:val="正文段落格式"/>
    <w:basedOn w:val="106"/>
    <w:link w:val="162"/>
    <w:qFormat/>
    <w:uiPriority w:val="0"/>
    <w:pPr>
      <w:spacing w:afterLines="50" w:line="336" w:lineRule="auto"/>
    </w:pPr>
  </w:style>
  <w:style w:type="character" w:customStyle="1" w:styleId="164">
    <w:name w:val="表格文字 BJ8 Char Char"/>
    <w:link w:val="165"/>
    <w:qFormat/>
    <w:uiPriority w:val="0"/>
    <w:rPr>
      <w:rFonts w:ascii="Times New Roman" w:hAnsi="Times New Roman"/>
      <w:kern w:val="2"/>
      <w:sz w:val="21"/>
      <w:szCs w:val="21"/>
    </w:rPr>
  </w:style>
  <w:style w:type="paragraph" w:customStyle="1" w:styleId="165">
    <w:name w:val="表格文字 BJ8"/>
    <w:basedOn w:val="1"/>
    <w:link w:val="164"/>
    <w:qFormat/>
    <w:uiPriority w:val="0"/>
    <w:pPr>
      <w:adjustRightInd w:val="0"/>
      <w:snapToGrid w:val="0"/>
      <w:spacing w:line="400" w:lineRule="exact"/>
      <w:ind w:firstLine="200" w:firstLineChars="200"/>
      <w:jc w:val="center"/>
    </w:pPr>
    <w:rPr>
      <w:szCs w:val="21"/>
    </w:rPr>
  </w:style>
  <w:style w:type="character" w:customStyle="1" w:styleId="166">
    <w:name w:val="gpa"/>
    <w:basedOn w:val="75"/>
    <w:qFormat/>
    <w:uiPriority w:val="0"/>
    <w:rPr>
      <w:rFonts w:ascii="Arial" w:hAnsi="Arial" w:cs="Arial"/>
      <w:sz w:val="12"/>
      <w:szCs w:val="12"/>
    </w:rPr>
  </w:style>
  <w:style w:type="character" w:customStyle="1" w:styleId="167">
    <w:name w:val="样式 标题 31.1条标题1.1.1二级节名h3Heading 3 - oldheading 3H3H31H3... Char"/>
    <w:link w:val="168"/>
    <w:qFormat/>
    <w:uiPriority w:val="0"/>
    <w:rPr>
      <w:rFonts w:ascii="宋体" w:hAnsi="宋体" w:eastAsia="黑体"/>
      <w:kern w:val="2"/>
      <w:sz w:val="24"/>
      <w:szCs w:val="21"/>
    </w:rPr>
  </w:style>
  <w:style w:type="paragraph" w:customStyle="1" w:styleId="168">
    <w:name w:val="样式 标题 31.1条标题1.1.1二级节名h3Heading 3 - oldheading 3H3H31H3..."/>
    <w:basedOn w:val="2"/>
    <w:link w:val="167"/>
    <w:qFormat/>
    <w:uiPriority w:val="0"/>
    <w:pPr>
      <w:keepNext w:val="0"/>
      <w:keepLines w:val="0"/>
      <w:spacing w:before="240" w:after="120" w:line="480" w:lineRule="exact"/>
      <w:jc w:val="left"/>
    </w:pPr>
    <w:rPr>
      <w:rFonts w:ascii="宋体" w:hAnsi="宋体" w:eastAsia="黑体"/>
      <w:b w:val="0"/>
      <w:bCs w:val="0"/>
      <w:sz w:val="24"/>
      <w:szCs w:val="21"/>
    </w:rPr>
  </w:style>
  <w:style w:type="character" w:customStyle="1" w:styleId="169">
    <w:name w:val="标题2 Char Char"/>
    <w:link w:val="170"/>
    <w:qFormat/>
    <w:uiPriority w:val="0"/>
    <w:rPr>
      <w:rFonts w:ascii="宋体" w:hAnsi="Times New Roman"/>
      <w:b/>
      <w:color w:val="92D050"/>
      <w:kern w:val="44"/>
      <w:sz w:val="30"/>
    </w:rPr>
  </w:style>
  <w:style w:type="paragraph" w:customStyle="1" w:styleId="170">
    <w:name w:val="标题2"/>
    <w:basedOn w:val="4"/>
    <w:link w:val="169"/>
    <w:qFormat/>
    <w:uiPriority w:val="0"/>
    <w:pPr>
      <w:spacing w:before="0" w:after="0" w:line="312" w:lineRule="auto"/>
      <w:ind w:left="0" w:firstLine="0"/>
      <w:jc w:val="center"/>
    </w:pPr>
    <w:rPr>
      <w:rFonts w:ascii="宋体"/>
      <w:bCs w:val="0"/>
      <w:color w:val="92D050"/>
      <w:sz w:val="30"/>
      <w:szCs w:val="20"/>
    </w:rPr>
  </w:style>
  <w:style w:type="character" w:customStyle="1" w:styleId="171">
    <w:name w:val="Char Char2"/>
    <w:qFormat/>
    <w:uiPriority w:val="0"/>
    <w:rPr>
      <w:rFonts w:eastAsia="仿宋_GB2312"/>
      <w:kern w:val="2"/>
      <w:sz w:val="28"/>
      <w:lang w:val="en-US" w:eastAsia="zh-CN" w:bidi="ar-SA"/>
    </w:rPr>
  </w:style>
  <w:style w:type="character" w:customStyle="1" w:styleId="172">
    <w:name w:val="标题 7 Char"/>
    <w:basedOn w:val="75"/>
    <w:link w:val="9"/>
    <w:qFormat/>
    <w:uiPriority w:val="0"/>
    <w:rPr>
      <w:rFonts w:ascii="Times New Roman" w:hAnsi="Times New Roman"/>
      <w:b/>
      <w:kern w:val="2"/>
      <w:sz w:val="24"/>
    </w:rPr>
  </w:style>
  <w:style w:type="character" w:customStyle="1" w:styleId="173">
    <w:name w:val="2 headline Char Char"/>
    <w:qFormat/>
    <w:uiPriority w:val="0"/>
    <w:rPr>
      <w:rFonts w:eastAsia="黑体"/>
      <w:bCs/>
      <w:kern w:val="2"/>
      <w:sz w:val="28"/>
      <w:szCs w:val="28"/>
      <w:lang w:val="en-US" w:eastAsia="zh-CN" w:bidi="ar-SA"/>
    </w:rPr>
  </w:style>
  <w:style w:type="character" w:customStyle="1" w:styleId="174">
    <w:name w:val="正文 QD3 Char Char"/>
    <w:link w:val="175"/>
    <w:qFormat/>
    <w:uiPriority w:val="0"/>
    <w:rPr>
      <w:rFonts w:ascii="Times New Roman" w:hAnsi="Times New Roman"/>
      <w:kern w:val="2"/>
      <w:sz w:val="24"/>
      <w:szCs w:val="24"/>
    </w:rPr>
  </w:style>
  <w:style w:type="paragraph" w:customStyle="1" w:styleId="175">
    <w:name w:val="正文 QD3"/>
    <w:basedOn w:val="1"/>
    <w:link w:val="174"/>
    <w:qFormat/>
    <w:uiPriority w:val="0"/>
    <w:pPr>
      <w:adjustRightInd w:val="0"/>
      <w:snapToGrid w:val="0"/>
      <w:spacing w:line="360" w:lineRule="auto"/>
      <w:ind w:firstLine="200" w:firstLineChars="200"/>
      <w:jc w:val="left"/>
    </w:pPr>
    <w:rPr>
      <w:sz w:val="24"/>
    </w:rPr>
  </w:style>
  <w:style w:type="character" w:customStyle="1" w:styleId="176">
    <w:name w:val="正文 BJ8 Char Char"/>
    <w:link w:val="177"/>
    <w:qFormat/>
    <w:uiPriority w:val="0"/>
    <w:rPr>
      <w:rFonts w:ascii="Times New Roman" w:hAnsi="Times New Roman"/>
      <w:color w:val="7030A0"/>
      <w:kern w:val="2"/>
      <w:sz w:val="24"/>
      <w:szCs w:val="24"/>
    </w:rPr>
  </w:style>
  <w:style w:type="paragraph" w:customStyle="1" w:styleId="177">
    <w:name w:val="正文 BJ8"/>
    <w:basedOn w:val="1"/>
    <w:link w:val="176"/>
    <w:qFormat/>
    <w:uiPriority w:val="0"/>
    <w:pPr>
      <w:adjustRightInd w:val="0"/>
      <w:snapToGrid w:val="0"/>
      <w:spacing w:line="360" w:lineRule="auto"/>
      <w:ind w:firstLine="200" w:firstLineChars="200"/>
      <w:jc w:val="left"/>
    </w:pPr>
    <w:rPr>
      <w:color w:val="7030A0"/>
      <w:sz w:val="24"/>
    </w:rPr>
  </w:style>
  <w:style w:type="character" w:customStyle="1" w:styleId="178">
    <w:name w:val="书籍标题1"/>
    <w:qFormat/>
    <w:uiPriority w:val="33"/>
    <w:rPr>
      <w:b/>
      <w:bCs/>
      <w:smallCaps/>
      <w:spacing w:val="5"/>
    </w:rPr>
  </w:style>
  <w:style w:type="character" w:customStyle="1" w:styleId="179">
    <w:name w:val="Char Char8"/>
    <w:qFormat/>
    <w:uiPriority w:val="0"/>
    <w:rPr>
      <w:rFonts w:eastAsia="宋体"/>
      <w:kern w:val="2"/>
      <w:sz w:val="21"/>
      <w:lang w:val="en-US" w:eastAsia="zh-CN" w:bidi="ar-SA"/>
    </w:rPr>
  </w:style>
  <w:style w:type="character" w:customStyle="1" w:styleId="180">
    <w:name w:val="正文文本缩进 Char1"/>
    <w:link w:val="30"/>
    <w:qFormat/>
    <w:uiPriority w:val="0"/>
    <w:rPr>
      <w:rFonts w:ascii="宋体" w:hAnsi="Times New Roman"/>
      <w:kern w:val="2"/>
      <w:sz w:val="21"/>
    </w:rPr>
  </w:style>
  <w:style w:type="character" w:customStyle="1" w:styleId="181">
    <w:name w:val="正文1 Char"/>
    <w:link w:val="182"/>
    <w:qFormat/>
    <w:uiPriority w:val="0"/>
    <w:rPr>
      <w:rFonts w:ascii="Times New Roman" w:hAnsi="Times New Roman"/>
      <w:kern w:val="2"/>
      <w:sz w:val="24"/>
    </w:rPr>
  </w:style>
  <w:style w:type="paragraph" w:customStyle="1" w:styleId="182">
    <w:name w:val="正文1"/>
    <w:basedOn w:val="1"/>
    <w:link w:val="181"/>
    <w:qFormat/>
    <w:uiPriority w:val="0"/>
    <w:pPr>
      <w:tabs>
        <w:tab w:val="left" w:pos="720"/>
        <w:tab w:val="right" w:pos="1191"/>
      </w:tabs>
      <w:spacing w:line="360" w:lineRule="auto"/>
      <w:ind w:left="720" w:hanging="360"/>
    </w:pPr>
    <w:rPr>
      <w:sz w:val="24"/>
      <w:szCs w:val="20"/>
    </w:rPr>
  </w:style>
  <w:style w:type="character" w:customStyle="1" w:styleId="183">
    <w:name w:val="HTML 预设格式 Char"/>
    <w:basedOn w:val="75"/>
    <w:link w:val="66"/>
    <w:qFormat/>
    <w:uiPriority w:val="99"/>
    <w:rPr>
      <w:rFonts w:ascii="Arial" w:hAnsi="Arial"/>
      <w:sz w:val="21"/>
      <w:szCs w:val="21"/>
    </w:rPr>
  </w:style>
  <w:style w:type="character" w:customStyle="1" w:styleId="184">
    <w:name w:val="批注框文本 Char"/>
    <w:basedOn w:val="75"/>
    <w:link w:val="47"/>
    <w:qFormat/>
    <w:uiPriority w:val="0"/>
    <w:rPr>
      <w:rFonts w:ascii="Times New Roman" w:hAnsi="Times New Roman" w:eastAsia="宋体" w:cs="Times New Roman"/>
      <w:sz w:val="18"/>
      <w:szCs w:val="18"/>
    </w:rPr>
  </w:style>
  <w:style w:type="character" w:customStyle="1" w:styleId="185">
    <w:name w:val="正文1 Char Char"/>
    <w:qFormat/>
    <w:uiPriority w:val="0"/>
    <w:rPr>
      <w:rFonts w:ascii="宋体" w:hAnsi="宋体"/>
      <w:kern w:val="10"/>
      <w:sz w:val="21"/>
      <w:szCs w:val="24"/>
    </w:rPr>
  </w:style>
  <w:style w:type="character" w:customStyle="1" w:styleId="186">
    <w:name w:val="页脚 Char"/>
    <w:basedOn w:val="75"/>
    <w:link w:val="48"/>
    <w:qFormat/>
    <w:uiPriority w:val="99"/>
    <w:rPr>
      <w:rFonts w:ascii="Times New Roman" w:hAnsi="Times New Roman"/>
      <w:kern w:val="2"/>
      <w:sz w:val="18"/>
      <w:szCs w:val="18"/>
    </w:rPr>
  </w:style>
  <w:style w:type="character" w:customStyle="1" w:styleId="187">
    <w:name w:val="列表框2 Char Char"/>
    <w:qFormat/>
    <w:uiPriority w:val="0"/>
    <w:rPr>
      <w:snapToGrid/>
      <w:color w:val="7030A0"/>
      <w:spacing w:val="10"/>
      <w:sz w:val="24"/>
      <w:szCs w:val="24"/>
    </w:rPr>
  </w:style>
  <w:style w:type="character" w:customStyle="1" w:styleId="188">
    <w:name w:val="标题3 Char Char"/>
    <w:qFormat/>
    <w:uiPriority w:val="0"/>
    <w:rPr>
      <w:rFonts w:ascii="宋体" w:hAnsi="宋体"/>
      <w:b/>
      <w:bCs/>
      <w:color w:val="92D050"/>
      <w:kern w:val="44"/>
      <w:sz w:val="24"/>
      <w:szCs w:val="21"/>
    </w:rPr>
  </w:style>
  <w:style w:type="character" w:customStyle="1" w:styleId="189">
    <w:name w:val="标题 3 Char"/>
    <w:basedOn w:val="75"/>
    <w:link w:val="2"/>
    <w:qFormat/>
    <w:uiPriority w:val="0"/>
    <w:rPr>
      <w:rFonts w:ascii="Times New Roman" w:hAnsi="Times New Roman"/>
      <w:b/>
      <w:bCs/>
      <w:kern w:val="2"/>
      <w:sz w:val="32"/>
      <w:szCs w:val="32"/>
    </w:rPr>
  </w:style>
  <w:style w:type="character" w:customStyle="1" w:styleId="190">
    <w:name w:val="标题 1 Char"/>
    <w:basedOn w:val="75"/>
    <w:link w:val="4"/>
    <w:qFormat/>
    <w:uiPriority w:val="0"/>
    <w:rPr>
      <w:rFonts w:ascii="Times New Roman" w:hAnsi="Times New Roman"/>
      <w:b/>
      <w:bCs/>
      <w:kern w:val="44"/>
      <w:sz w:val="44"/>
      <w:szCs w:val="44"/>
    </w:rPr>
  </w:style>
  <w:style w:type="character" w:customStyle="1" w:styleId="191">
    <w:name w:val="标题 6 Char"/>
    <w:basedOn w:val="75"/>
    <w:link w:val="8"/>
    <w:qFormat/>
    <w:uiPriority w:val="0"/>
    <w:rPr>
      <w:rFonts w:ascii="Arial" w:hAnsi="Arial" w:eastAsia="黑体"/>
      <w:b/>
      <w:kern w:val="2"/>
      <w:sz w:val="24"/>
    </w:rPr>
  </w:style>
  <w:style w:type="character" w:customStyle="1" w:styleId="192">
    <w:name w:val="文档结构图 Char"/>
    <w:basedOn w:val="75"/>
    <w:link w:val="22"/>
    <w:qFormat/>
    <w:uiPriority w:val="0"/>
    <w:rPr>
      <w:rFonts w:ascii="宋体" w:hAnsi="Times New Roman" w:eastAsia="宋体" w:cs="Times New Roman"/>
      <w:sz w:val="18"/>
      <w:szCs w:val="18"/>
    </w:rPr>
  </w:style>
  <w:style w:type="character" w:customStyle="1" w:styleId="193">
    <w:name w:val="样式 宋体 行距: 固定值 24 磅 Char Char"/>
    <w:qFormat/>
    <w:uiPriority w:val="0"/>
    <w:rPr>
      <w:rFonts w:ascii="宋体" w:cs="宋体"/>
      <w:color w:val="7030A0"/>
      <w:kern w:val="2"/>
      <w:sz w:val="28"/>
    </w:rPr>
  </w:style>
  <w:style w:type="character" w:customStyle="1" w:styleId="194">
    <w:name w:val="样式 Char Char"/>
    <w:link w:val="195"/>
    <w:qFormat/>
    <w:uiPriority w:val="0"/>
    <w:rPr>
      <w:rFonts w:ascii="宋体" w:hAnsi="宋体" w:cs="宋体"/>
      <w:sz w:val="24"/>
      <w:szCs w:val="24"/>
      <w:lang w:val="en-US" w:eastAsia="zh-CN" w:bidi="ar-SA"/>
    </w:rPr>
  </w:style>
  <w:style w:type="paragraph" w:customStyle="1" w:styleId="195">
    <w:name w:val="样式"/>
    <w:link w:val="194"/>
    <w:qFormat/>
    <w:uiPriority w:val="0"/>
    <w:pPr>
      <w:widowControl w:val="0"/>
      <w:autoSpaceDE w:val="0"/>
      <w:autoSpaceDN w:val="0"/>
      <w:adjustRightInd w:val="0"/>
    </w:pPr>
    <w:rPr>
      <w:rFonts w:ascii="宋体" w:hAnsi="宋体" w:eastAsia="宋体" w:cs="宋体"/>
      <w:sz w:val="24"/>
      <w:szCs w:val="24"/>
      <w:lang w:val="en-US" w:eastAsia="zh-CN" w:bidi="ar-SA"/>
    </w:rPr>
  </w:style>
  <w:style w:type="character" w:customStyle="1" w:styleId="196">
    <w:name w:val="无编号正文 Char Char"/>
    <w:link w:val="197"/>
    <w:qFormat/>
    <w:uiPriority w:val="0"/>
    <w:rPr>
      <w:rFonts w:ascii="宋体" w:hAnsi="宋体"/>
      <w:sz w:val="24"/>
      <w:szCs w:val="24"/>
    </w:rPr>
  </w:style>
  <w:style w:type="paragraph" w:customStyle="1" w:styleId="197">
    <w:name w:val="无编号正文"/>
    <w:basedOn w:val="29"/>
    <w:next w:val="1"/>
    <w:link w:val="196"/>
    <w:qFormat/>
    <w:uiPriority w:val="0"/>
    <w:pPr>
      <w:ind w:left="200" w:leftChars="200" w:firstLine="200" w:firstLineChars="200"/>
    </w:pPr>
    <w:rPr>
      <w:rFonts w:ascii="宋体" w:hAnsi="宋体"/>
      <w:kern w:val="0"/>
      <w:szCs w:val="24"/>
    </w:rPr>
  </w:style>
  <w:style w:type="character" w:customStyle="1" w:styleId="198">
    <w:name w:val="表图名称 Char Char"/>
    <w:link w:val="199"/>
    <w:qFormat/>
    <w:uiPriority w:val="0"/>
    <w:rPr>
      <w:rFonts w:ascii="黑体" w:hAnsi="宋体" w:eastAsia="黑体"/>
      <w:kern w:val="2"/>
      <w:sz w:val="24"/>
      <w:szCs w:val="24"/>
      <w:lang w:val="en-US" w:eastAsia="zh-CN" w:bidi="ar-SA"/>
    </w:rPr>
  </w:style>
  <w:style w:type="paragraph" w:customStyle="1" w:styleId="199">
    <w:name w:val="表图名称"/>
    <w:link w:val="198"/>
    <w:qFormat/>
    <w:uiPriority w:val="0"/>
    <w:pPr>
      <w:widowControl w:val="0"/>
      <w:tabs>
        <w:tab w:val="left" w:pos="6120"/>
        <w:tab w:val="left" w:pos="13784"/>
      </w:tabs>
      <w:adjustRightInd w:val="0"/>
      <w:snapToGrid w:val="0"/>
      <w:spacing w:line="360" w:lineRule="auto"/>
      <w:jc w:val="center"/>
    </w:pPr>
    <w:rPr>
      <w:rFonts w:ascii="黑体" w:hAnsi="宋体" w:eastAsia="黑体" w:cs="Times New Roman"/>
      <w:kern w:val="2"/>
      <w:sz w:val="24"/>
      <w:szCs w:val="24"/>
      <w:lang w:val="en-US" w:eastAsia="zh-CN" w:bidi="ar-SA"/>
    </w:rPr>
  </w:style>
  <w:style w:type="character" w:customStyle="1" w:styleId="200">
    <w:name w:val="列表框1 Char Char"/>
    <w:qFormat/>
    <w:uiPriority w:val="0"/>
    <w:rPr>
      <w:rFonts w:ascii="Arial" w:hAnsi="Arial" w:eastAsia="楷体_GB2312" w:cs="Arial"/>
      <w:spacing w:val="10"/>
      <w:sz w:val="21"/>
      <w:lang w:val="en-US" w:eastAsia="zh-CN" w:bidi="ar-SA"/>
    </w:rPr>
  </w:style>
  <w:style w:type="character" w:customStyle="1" w:styleId="201">
    <w:name w:val="表格文字图表文字 Char"/>
    <w:link w:val="202"/>
    <w:qFormat/>
    <w:uiPriority w:val="0"/>
    <w:rPr>
      <w:rFonts w:ascii="Times New Roman" w:hAnsi="Times New Roman"/>
      <w:color w:val="7030A0"/>
      <w:kern w:val="2"/>
      <w:sz w:val="21"/>
    </w:rPr>
  </w:style>
  <w:style w:type="paragraph" w:customStyle="1" w:styleId="202">
    <w:name w:val="表格文字图表文字"/>
    <w:basedOn w:val="1"/>
    <w:link w:val="201"/>
    <w:qFormat/>
    <w:uiPriority w:val="0"/>
    <w:pPr>
      <w:snapToGrid w:val="0"/>
      <w:ind w:firstLine="200" w:firstLineChars="200"/>
      <w:jc w:val="center"/>
    </w:pPr>
    <w:rPr>
      <w:color w:val="7030A0"/>
      <w:szCs w:val="20"/>
    </w:rPr>
  </w:style>
  <w:style w:type="character" w:customStyle="1" w:styleId="203">
    <w:name w:val="批注文字 Char1"/>
    <w:semiHidden/>
    <w:qFormat/>
    <w:uiPriority w:val="0"/>
    <w:rPr>
      <w:kern w:val="2"/>
      <w:sz w:val="24"/>
      <w:szCs w:val="24"/>
    </w:rPr>
  </w:style>
  <w:style w:type="paragraph" w:customStyle="1" w:styleId="204">
    <w:name w:val="xl51"/>
    <w:basedOn w:val="1"/>
    <w:qFormat/>
    <w:uiPriority w:val="0"/>
    <w:pPr>
      <w:widowControl/>
      <w:pBdr>
        <w:top w:val="single" w:color="auto" w:sz="4" w:space="0"/>
        <w:bottom w:val="single" w:color="auto" w:sz="4" w:space="0"/>
        <w:right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205">
    <w:name w:val="通用"/>
    <w:basedOn w:val="1"/>
    <w:qFormat/>
    <w:uiPriority w:val="0"/>
    <w:pPr>
      <w:spacing w:line="360" w:lineRule="auto"/>
      <w:ind w:left="840" w:leftChars="400"/>
    </w:pPr>
    <w:rPr>
      <w:rFonts w:ascii="宋体" w:hAnsi="宋体"/>
      <w:szCs w:val="20"/>
    </w:rPr>
  </w:style>
  <w:style w:type="paragraph" w:customStyle="1" w:styleId="206">
    <w:name w:val="样式 目录 1 + 首行缩进:  2 字符"/>
    <w:basedOn w:val="1"/>
    <w:qFormat/>
    <w:uiPriority w:val="0"/>
    <w:pPr>
      <w:adjustRightInd w:val="0"/>
      <w:snapToGrid w:val="0"/>
      <w:spacing w:line="360" w:lineRule="auto"/>
      <w:ind w:firstLine="200" w:firstLineChars="200"/>
      <w:jc w:val="center"/>
    </w:pPr>
    <w:rPr>
      <w:rFonts w:cs="宋体"/>
      <w:b/>
      <w:bCs/>
      <w:caps/>
      <w:color w:val="7030A0"/>
      <w:sz w:val="30"/>
      <w:szCs w:val="28"/>
    </w:rPr>
  </w:style>
  <w:style w:type="paragraph" w:customStyle="1" w:styleId="207">
    <w:name w:val="1"/>
    <w:basedOn w:val="1"/>
    <w:next w:val="64"/>
    <w:qFormat/>
    <w:uiPriority w:val="0"/>
    <w:pPr>
      <w:spacing w:after="120" w:line="480" w:lineRule="auto"/>
      <w:ind w:firstLine="200" w:firstLineChars="200"/>
      <w:jc w:val="left"/>
    </w:pPr>
    <w:rPr>
      <w:color w:val="7030A0"/>
    </w:rPr>
  </w:style>
  <w:style w:type="paragraph" w:customStyle="1" w:styleId="208">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宋体" w:hAnsi="宋体" w:cs="宋体"/>
      <w:kern w:val="0"/>
      <w:sz w:val="20"/>
      <w:szCs w:val="20"/>
    </w:rPr>
  </w:style>
  <w:style w:type="paragraph" w:customStyle="1" w:styleId="209">
    <w:name w:val="Footer First"/>
    <w:basedOn w:val="48"/>
    <w:qFormat/>
    <w:uiPriority w:val="0"/>
    <w:pPr>
      <w:keepLines/>
      <w:widowControl/>
      <w:tabs>
        <w:tab w:val="left" w:pos="1080"/>
        <w:tab w:val="left" w:pos="1627"/>
        <w:tab w:val="left" w:pos="2160"/>
        <w:tab w:val="left" w:pos="2880"/>
        <w:tab w:val="center" w:pos="4320"/>
        <w:tab w:val="clear" w:pos="4153"/>
        <w:tab w:val="clear" w:pos="8306"/>
      </w:tabs>
      <w:snapToGrid/>
      <w:spacing w:line="300" w:lineRule="exact"/>
      <w:jc w:val="center"/>
    </w:pPr>
    <w:rPr>
      <w:rFonts w:ascii="Univers" w:hAnsi="Univers"/>
      <w:kern w:val="0"/>
      <w:sz w:val="22"/>
      <w:szCs w:val="20"/>
    </w:rPr>
  </w:style>
  <w:style w:type="paragraph" w:customStyle="1" w:styleId="210">
    <w:name w:val="zhengwen"/>
    <w:basedOn w:val="1"/>
    <w:qFormat/>
    <w:uiPriority w:val="0"/>
    <w:pPr>
      <w:tabs>
        <w:tab w:val="left" w:pos="1077"/>
      </w:tabs>
      <w:adjustRightInd w:val="0"/>
      <w:snapToGrid w:val="0"/>
      <w:spacing w:line="520" w:lineRule="exact"/>
      <w:ind w:left="1077" w:firstLine="200" w:firstLineChars="200"/>
      <w:jc w:val="left"/>
    </w:pPr>
    <w:rPr>
      <w:bCs/>
      <w:color w:val="7030A0"/>
      <w:sz w:val="28"/>
    </w:rPr>
  </w:style>
  <w:style w:type="paragraph" w:customStyle="1" w:styleId="211">
    <w:name w:val="样式 宋体 行距: 1.5 倍行距"/>
    <w:basedOn w:val="1"/>
    <w:qFormat/>
    <w:uiPriority w:val="0"/>
    <w:pPr>
      <w:ind w:firstLine="200" w:firstLineChars="200"/>
      <w:jc w:val="left"/>
    </w:pPr>
    <w:rPr>
      <w:rFonts w:ascii="宋体" w:hAnsi="宋体"/>
      <w:color w:val="7030A0"/>
      <w:szCs w:val="20"/>
    </w:rPr>
  </w:style>
  <w:style w:type="paragraph" w:customStyle="1" w:styleId="212">
    <w:name w:val="样式 左侧:  2 字符 段前: 0.5 行"/>
    <w:basedOn w:val="1"/>
    <w:qFormat/>
    <w:uiPriority w:val="0"/>
    <w:pPr>
      <w:spacing w:beforeLines="50"/>
      <w:ind w:firstLine="200" w:firstLineChars="200"/>
    </w:pPr>
    <w:rPr>
      <w:rFonts w:ascii="宋体" w:cs="宋体"/>
      <w:sz w:val="24"/>
      <w:szCs w:val="20"/>
    </w:rPr>
  </w:style>
  <w:style w:type="paragraph" w:customStyle="1" w:styleId="213">
    <w:name w:val="八级正文格式"/>
    <w:basedOn w:val="163"/>
    <w:qFormat/>
    <w:uiPriority w:val="0"/>
    <w:pPr>
      <w:spacing w:after="120"/>
      <w:ind w:firstLine="0" w:firstLineChars="0"/>
    </w:pPr>
  </w:style>
  <w:style w:type="paragraph" w:customStyle="1" w:styleId="214">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黑体" w:hAnsi="宋体" w:eastAsia="黑体" w:cs="宋体"/>
      <w:kern w:val="0"/>
      <w:szCs w:val="21"/>
    </w:rPr>
  </w:style>
  <w:style w:type="paragraph" w:customStyle="1" w:styleId="215">
    <w:name w:val="样式 样式 列表框 Char Char Char Char Char + 段后: 0.5 行 + 左侧:  6 字符 首行缩进..."/>
    <w:basedOn w:val="216"/>
    <w:qFormat/>
    <w:uiPriority w:val="0"/>
    <w:pPr>
      <w:tabs>
        <w:tab w:val="left" w:pos="420"/>
        <w:tab w:val="left" w:pos="2297"/>
      </w:tabs>
      <w:ind w:left="2297" w:leftChars="0" w:hanging="420" w:firstLineChars="0"/>
    </w:pPr>
  </w:style>
  <w:style w:type="paragraph" w:customStyle="1" w:styleId="216">
    <w:name w:val="样式 列表框 Char Char Char Char Char + 段后: 0.5 行"/>
    <w:basedOn w:val="217"/>
    <w:qFormat/>
    <w:uiPriority w:val="0"/>
    <w:pPr>
      <w:tabs>
        <w:tab w:val="left" w:pos="420"/>
      </w:tabs>
      <w:spacing w:after="156"/>
    </w:pPr>
    <w:rPr>
      <w:szCs w:val="20"/>
    </w:rPr>
  </w:style>
  <w:style w:type="paragraph" w:customStyle="1" w:styleId="217">
    <w:name w:val="正常文本 Char Char Char Char Char Char Char Char Char Char Char Char Char Char"/>
    <w:basedOn w:val="1"/>
    <w:qFormat/>
    <w:uiPriority w:val="0"/>
    <w:pPr>
      <w:spacing w:afterLines="50" w:line="320" w:lineRule="exact"/>
      <w:ind w:left="600" w:leftChars="600" w:firstLine="208" w:firstLineChars="208"/>
      <w:jc w:val="left"/>
    </w:pPr>
    <w:rPr>
      <w:rFonts w:ascii="宋体" w:hAnsi="宋体" w:eastAsia="楷体_GB2312"/>
      <w:color w:val="7030A0"/>
      <w:szCs w:val="18"/>
    </w:rPr>
  </w:style>
  <w:style w:type="paragraph" w:customStyle="1" w:styleId="218">
    <w:name w:val="xl3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19">
    <w:name w:val="条文 5"/>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22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hint="eastAsia" w:ascii="宋体" w:hAnsi="宋体"/>
      <w:kern w:val="0"/>
      <w:sz w:val="24"/>
    </w:rPr>
  </w:style>
  <w:style w:type="paragraph" w:customStyle="1" w:styleId="221">
    <w:name w:val="xl7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kern w:val="0"/>
      <w:sz w:val="24"/>
    </w:rPr>
  </w:style>
  <w:style w:type="paragraph" w:customStyle="1" w:styleId="222">
    <w:name w:val="正文111"/>
    <w:basedOn w:val="1"/>
    <w:qFormat/>
    <w:uiPriority w:val="0"/>
    <w:pPr>
      <w:tabs>
        <w:tab w:val="left" w:pos="840"/>
      </w:tabs>
      <w:snapToGrid w:val="0"/>
      <w:spacing w:line="500" w:lineRule="exact"/>
      <w:ind w:left="840" w:hanging="420"/>
    </w:pPr>
    <w:rPr>
      <w:rFonts w:ascii="宋体" w:hAnsi="宋体"/>
      <w:sz w:val="24"/>
      <w:szCs w:val="20"/>
    </w:rPr>
  </w:style>
  <w:style w:type="paragraph" w:customStyle="1" w:styleId="223">
    <w:name w:val="正文文本缩进 21"/>
    <w:basedOn w:val="1"/>
    <w:qFormat/>
    <w:uiPriority w:val="0"/>
    <w:pPr>
      <w:autoSpaceDE w:val="0"/>
      <w:autoSpaceDN w:val="0"/>
      <w:adjustRightInd w:val="0"/>
      <w:spacing w:line="360" w:lineRule="auto"/>
      <w:ind w:firstLine="360" w:firstLineChars="200"/>
      <w:jc w:val="left"/>
      <w:textAlignment w:val="baseline"/>
    </w:pPr>
    <w:rPr>
      <w:rFonts w:ascii="宋体"/>
      <w:color w:val="7030A0"/>
      <w:sz w:val="24"/>
      <w:szCs w:val="20"/>
    </w:rPr>
  </w:style>
  <w:style w:type="paragraph" w:customStyle="1" w:styleId="224">
    <w:name w:val="批注框文本1"/>
    <w:basedOn w:val="1"/>
    <w:qFormat/>
    <w:uiPriority w:val="0"/>
    <w:rPr>
      <w:sz w:val="16"/>
      <w:szCs w:val="16"/>
    </w:rPr>
  </w:style>
  <w:style w:type="paragraph" w:customStyle="1" w:styleId="225">
    <w:name w:val="*"/>
    <w:basedOn w:val="1"/>
    <w:qFormat/>
    <w:uiPriority w:val="0"/>
    <w:pPr>
      <w:spacing w:line="360" w:lineRule="auto"/>
    </w:pPr>
    <w:rPr>
      <w:rFonts w:ascii="宋体" w:hAnsi="宋体"/>
      <w:kern w:val="0"/>
      <w:sz w:val="24"/>
    </w:rPr>
  </w:style>
  <w:style w:type="paragraph" w:customStyle="1" w:styleId="226">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227">
    <w:name w:val="表格标题"/>
    <w:basedOn w:val="7"/>
    <w:qFormat/>
    <w:uiPriority w:val="0"/>
    <w:pPr>
      <w:keepNext w:val="0"/>
      <w:keepLines w:val="0"/>
      <w:tabs>
        <w:tab w:val="clear" w:pos="1008"/>
      </w:tabs>
      <w:spacing w:before="0" w:after="0" w:line="240" w:lineRule="auto"/>
      <w:ind w:left="0" w:firstLine="0"/>
      <w:jc w:val="center"/>
      <w:outlineLvl w:val="8"/>
    </w:pPr>
    <w:rPr>
      <w:b w:val="0"/>
      <w:bCs/>
      <w:sz w:val="21"/>
      <w:szCs w:val="28"/>
      <w:lang w:val="zh-CN"/>
    </w:rPr>
  </w:style>
  <w:style w:type="paragraph" w:customStyle="1" w:styleId="228">
    <w:name w:val="七级标题格式"/>
    <w:basedOn w:val="1"/>
    <w:qFormat/>
    <w:uiPriority w:val="0"/>
    <w:pPr>
      <w:spacing w:afterLines="50" w:line="336" w:lineRule="auto"/>
      <w:ind w:firstLine="200" w:firstLineChars="200"/>
      <w:jc w:val="left"/>
      <w:outlineLvl w:val="6"/>
    </w:pPr>
    <w:rPr>
      <w:color w:val="7030A0"/>
      <w:sz w:val="24"/>
    </w:rPr>
  </w:style>
  <w:style w:type="paragraph" w:customStyle="1" w:styleId="229">
    <w:name w:val="Part Title"/>
    <w:basedOn w:val="1"/>
    <w:next w:val="1"/>
    <w:qFormat/>
    <w:uiPriority w:val="0"/>
    <w:pPr>
      <w:keepNext/>
      <w:keepLines/>
      <w:widowControl/>
      <w:tabs>
        <w:tab w:val="left" w:pos="720"/>
        <w:tab w:val="left" w:pos="1080"/>
        <w:tab w:val="left" w:pos="1627"/>
      </w:tabs>
      <w:spacing w:before="600" w:after="120" w:line="300" w:lineRule="exact"/>
      <w:jc w:val="center"/>
    </w:pPr>
    <w:rPr>
      <w:rFonts w:ascii="Arial" w:hAnsi="Arial"/>
      <w:b/>
      <w:kern w:val="28"/>
      <w:sz w:val="36"/>
      <w:szCs w:val="20"/>
    </w:rPr>
  </w:style>
  <w:style w:type="paragraph" w:customStyle="1" w:styleId="230">
    <w:name w:val="表格文字"/>
    <w:basedOn w:val="202"/>
    <w:qFormat/>
    <w:uiPriority w:val="0"/>
  </w:style>
  <w:style w:type="paragraph" w:customStyle="1" w:styleId="231">
    <w:name w:val="二级标题格式"/>
    <w:basedOn w:val="5"/>
    <w:qFormat/>
    <w:uiPriority w:val="0"/>
    <w:pPr>
      <w:keepNext w:val="0"/>
      <w:keepLines w:val="0"/>
      <w:spacing w:before="0" w:afterLines="100" w:line="240" w:lineRule="auto"/>
      <w:jc w:val="left"/>
    </w:pPr>
    <w:rPr>
      <w:rFonts w:ascii="Times New Roman" w:hAnsi="Times New Roman"/>
      <w:b w:val="0"/>
      <w:color w:val="C00000"/>
      <w:sz w:val="28"/>
      <w:szCs w:val="28"/>
    </w:rPr>
  </w:style>
  <w:style w:type="paragraph" w:customStyle="1" w:styleId="232">
    <w:name w:val="样式 标题 1标题 1 1编号标题1标题1 + 宋体 加粗"/>
    <w:basedOn w:val="4"/>
    <w:qFormat/>
    <w:uiPriority w:val="0"/>
    <w:pPr>
      <w:keepNext w:val="0"/>
      <w:tabs>
        <w:tab w:val="left" w:pos="2340"/>
        <w:tab w:val="clear" w:pos="1440"/>
      </w:tabs>
      <w:spacing w:before="240" w:afterLines="50" w:line="360" w:lineRule="exact"/>
      <w:ind w:left="1304" w:hanging="1304"/>
      <w:jc w:val="left"/>
    </w:pPr>
    <w:rPr>
      <w:rFonts w:ascii="宋体" w:hAnsi="宋体" w:cs="Arial"/>
      <w:sz w:val="28"/>
      <w:szCs w:val="28"/>
    </w:rPr>
  </w:style>
  <w:style w:type="paragraph" w:customStyle="1" w:styleId="233">
    <w:name w:val="xl36"/>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34">
    <w:name w:val="列表框 Char Char Char Char Char"/>
    <w:basedOn w:val="217"/>
    <w:next w:val="217"/>
    <w:qFormat/>
    <w:uiPriority w:val="0"/>
    <w:pPr>
      <w:tabs>
        <w:tab w:val="left" w:pos="450"/>
        <w:tab w:val="left" w:pos="874"/>
      </w:tabs>
      <w:adjustRightInd w:val="0"/>
      <w:snapToGrid w:val="0"/>
      <w:ind w:left="874" w:leftChars="0" w:right="-5" w:rightChars="-5" w:hanging="420" w:firstLineChars="0"/>
    </w:pPr>
    <w:rPr>
      <w:rFonts w:ascii="Times New Roman" w:hAnsi="Times New Roman"/>
      <w:szCs w:val="21"/>
    </w:rPr>
  </w:style>
  <w:style w:type="paragraph" w:customStyle="1" w:styleId="235">
    <w:name w:val="Subhead 1"/>
    <w:basedOn w:val="1"/>
    <w:qFormat/>
    <w:uiPriority w:val="0"/>
    <w:pPr>
      <w:keepNext/>
      <w:pageBreakBefore/>
      <w:widowControl/>
      <w:tabs>
        <w:tab w:val="left" w:pos="1134"/>
        <w:tab w:val="left" w:pos="2552"/>
      </w:tabs>
      <w:autoSpaceDE w:val="0"/>
      <w:autoSpaceDN w:val="0"/>
      <w:adjustRightInd w:val="0"/>
      <w:spacing w:before="510" w:after="400" w:line="420" w:lineRule="atLeast"/>
      <w:ind w:left="1134" w:hanging="1134"/>
      <w:jc w:val="left"/>
    </w:pPr>
    <w:rPr>
      <w:rFonts w:ascii="Arial" w:hAnsi="Arial" w:eastAsia="黑体"/>
      <w:b/>
      <w:kern w:val="0"/>
      <w:sz w:val="32"/>
      <w:szCs w:val="20"/>
    </w:rPr>
  </w:style>
  <w:style w:type="paragraph" w:customStyle="1" w:styleId="236">
    <w:name w:val="正文文本2"/>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37">
    <w:name w:val="xl3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38">
    <w:name w:val="Sprechblasentext"/>
    <w:basedOn w:val="1"/>
    <w:qFormat/>
    <w:uiPriority w:val="0"/>
    <w:pPr>
      <w:spacing w:line="300" w:lineRule="atLeast"/>
      <w:ind w:firstLine="709"/>
    </w:pPr>
    <w:rPr>
      <w:rFonts w:ascii="Tahoma" w:hAnsi="Tahoma" w:cs="Tahoma"/>
      <w:sz w:val="16"/>
      <w:szCs w:val="16"/>
    </w:rPr>
  </w:style>
  <w:style w:type="paragraph" w:customStyle="1" w:styleId="239">
    <w:name w:val="p0"/>
    <w:basedOn w:val="1"/>
    <w:qFormat/>
    <w:uiPriority w:val="0"/>
    <w:pPr>
      <w:widowControl/>
    </w:pPr>
    <w:rPr>
      <w:kern w:val="0"/>
      <w:szCs w:val="21"/>
    </w:rPr>
  </w:style>
  <w:style w:type="paragraph" w:customStyle="1" w:styleId="240">
    <w:name w:val="样式 样式 标题 3 + 段前: 1 行 段后: 0.5 行 + 段前: 1 行 段后: 0.5 行"/>
    <w:basedOn w:val="1"/>
    <w:qFormat/>
    <w:uiPriority w:val="0"/>
    <w:pPr>
      <w:keepNext/>
      <w:keepLines/>
      <w:spacing w:beforeLines="100" w:afterLines="50"/>
      <w:ind w:firstLine="200" w:firstLineChars="200"/>
      <w:jc w:val="left"/>
      <w:outlineLvl w:val="2"/>
    </w:pPr>
    <w:rPr>
      <w:rFonts w:eastAsia="黑体" w:cs="宋体"/>
      <w:bCs/>
      <w:color w:val="7030A0"/>
      <w:sz w:val="22"/>
      <w:szCs w:val="22"/>
    </w:rPr>
  </w:style>
  <w:style w:type="paragraph" w:customStyle="1" w:styleId="241">
    <w:name w:val="表格正文"/>
    <w:basedOn w:val="1"/>
    <w:next w:val="1"/>
    <w:qFormat/>
    <w:uiPriority w:val="0"/>
    <w:pPr>
      <w:adjustRightInd w:val="0"/>
      <w:snapToGrid w:val="0"/>
      <w:jc w:val="center"/>
    </w:pPr>
    <w:rPr>
      <w:color w:val="548DD4"/>
    </w:rPr>
  </w:style>
  <w:style w:type="paragraph" w:customStyle="1" w:styleId="242">
    <w:name w:val="样式1"/>
    <w:basedOn w:val="49"/>
    <w:next w:val="1"/>
    <w:qFormat/>
    <w:uiPriority w:val="99"/>
    <w:pPr>
      <w:jc w:val="left"/>
    </w:pPr>
  </w:style>
  <w:style w:type="paragraph" w:customStyle="1" w:styleId="243">
    <w:name w:val="_Style 19"/>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44">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45">
    <w:name w:val="xl3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246">
    <w:name w:val="Body text 1"/>
    <w:basedOn w:val="1"/>
    <w:qFormat/>
    <w:uiPriority w:val="0"/>
    <w:pPr>
      <w:tabs>
        <w:tab w:val="left" w:pos="1134"/>
      </w:tabs>
      <w:autoSpaceDE w:val="0"/>
      <w:autoSpaceDN w:val="0"/>
      <w:adjustRightInd w:val="0"/>
      <w:spacing w:before="170" w:line="300" w:lineRule="atLeast"/>
      <w:ind w:left="1134" w:hanging="1134"/>
    </w:pPr>
    <w:rPr>
      <w:color w:val="000000"/>
      <w:kern w:val="0"/>
      <w:sz w:val="24"/>
      <w:szCs w:val="20"/>
    </w:rPr>
  </w:style>
  <w:style w:type="paragraph" w:customStyle="1" w:styleId="247">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48">
    <w:name w:val="一级标题"/>
    <w:qFormat/>
    <w:uiPriority w:val="0"/>
    <w:pPr>
      <w:spacing w:before="480" w:after="120"/>
    </w:pPr>
    <w:rPr>
      <w:rFonts w:ascii="Times New Roman" w:hAnsi="Times New Roman" w:eastAsia="黑体" w:cs="Times New Roman"/>
      <w:b/>
      <w:kern w:val="2"/>
      <w:sz w:val="28"/>
      <w:lang w:val="en-US" w:eastAsia="zh-CN" w:bidi="ar-SA"/>
    </w:rPr>
  </w:style>
  <w:style w:type="paragraph" w:customStyle="1" w:styleId="249">
    <w:name w:val="xl74"/>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pPr>
    <w:rPr>
      <w:rFonts w:ascii="黑体" w:hAnsi="宋体" w:eastAsia="黑体" w:cs="宋体"/>
      <w:kern w:val="0"/>
      <w:szCs w:val="21"/>
    </w:rPr>
  </w:style>
  <w:style w:type="paragraph" w:customStyle="1" w:styleId="250">
    <w:name w:val="默认段落字体 Para Char Char Char Char Char Char Char"/>
    <w:basedOn w:val="1"/>
    <w:qFormat/>
    <w:uiPriority w:val="0"/>
    <w:pPr>
      <w:tabs>
        <w:tab w:val="left" w:pos="4665"/>
        <w:tab w:val="left" w:pos="8970"/>
      </w:tabs>
      <w:ind w:firstLine="400"/>
    </w:pPr>
    <w:rPr>
      <w:szCs w:val="20"/>
    </w:rPr>
  </w:style>
  <w:style w:type="paragraph" w:customStyle="1" w:styleId="251">
    <w:name w:val="mjd"/>
    <w:basedOn w:val="1"/>
    <w:qFormat/>
    <w:uiPriority w:val="0"/>
    <w:pPr>
      <w:tabs>
        <w:tab w:val="left" w:pos="1080"/>
        <w:tab w:val="left" w:pos="6960"/>
      </w:tabs>
      <w:autoSpaceDE w:val="0"/>
      <w:autoSpaceDN w:val="0"/>
      <w:adjustRightInd w:val="0"/>
      <w:spacing w:line="312" w:lineRule="atLeast"/>
      <w:ind w:left="1080" w:hanging="1080"/>
      <w:jc w:val="left"/>
    </w:pPr>
    <w:rPr>
      <w:rFonts w:hint="eastAsia" w:ascii="宋体" w:hAnsi="Tms Rmn"/>
      <w:kern w:val="0"/>
      <w:szCs w:val="20"/>
    </w:rPr>
  </w:style>
  <w:style w:type="paragraph" w:customStyle="1" w:styleId="252">
    <w:name w:val="xl40"/>
    <w:basedOn w:val="1"/>
    <w:qFormat/>
    <w:uiPriority w:val="0"/>
    <w:pPr>
      <w:widowControl/>
      <w:pBdr>
        <w:top w:val="single" w:color="auto" w:sz="4" w:space="0"/>
        <w:bottom w:val="single" w:color="auto" w:sz="4" w:space="0"/>
      </w:pBdr>
      <w:spacing w:before="100" w:beforeAutospacing="1" w:after="100" w:afterAutospacing="1"/>
      <w:jc w:val="left"/>
    </w:pPr>
    <w:rPr>
      <w:kern w:val="0"/>
      <w:sz w:val="24"/>
    </w:rPr>
  </w:style>
  <w:style w:type="paragraph" w:customStyle="1" w:styleId="253">
    <w:name w:val="招标文件》"/>
    <w:basedOn w:val="254"/>
    <w:qFormat/>
    <w:uiPriority w:val="0"/>
    <w:pPr>
      <w:tabs>
        <w:tab w:val="left" w:pos="560"/>
      </w:tabs>
      <w:ind w:left="200" w:firstLine="0" w:firstLineChars="0"/>
    </w:pPr>
  </w:style>
  <w:style w:type="paragraph" w:customStyle="1" w:styleId="254">
    <w:name w:val="招标文件正文"/>
    <w:qFormat/>
    <w:uiPriority w:val="0"/>
    <w:pPr>
      <w:spacing w:before="120" w:after="120" w:line="300" w:lineRule="auto"/>
      <w:ind w:firstLine="200" w:firstLineChars="200"/>
    </w:pPr>
    <w:rPr>
      <w:rFonts w:ascii="宋体" w:hAnsi="Times New Roman" w:eastAsia="宋体" w:cs="Times New Roman"/>
      <w:spacing w:val="10"/>
      <w:w w:val="95"/>
      <w:sz w:val="21"/>
      <w:lang w:val="en-US" w:eastAsia="zh-CN" w:bidi="ar-SA"/>
    </w:rPr>
  </w:style>
  <w:style w:type="paragraph" w:customStyle="1" w:styleId="255">
    <w:name w:val="Numbered List"/>
    <w:basedOn w:val="49"/>
    <w:qFormat/>
    <w:uiPriority w:val="0"/>
    <w:pPr>
      <w:widowControl/>
      <w:pBdr>
        <w:bottom w:val="none" w:color="auto" w:sz="0" w:space="0"/>
      </w:pBdr>
      <w:tabs>
        <w:tab w:val="left" w:pos="360"/>
        <w:tab w:val="clear" w:pos="4153"/>
        <w:tab w:val="clear" w:pos="8306"/>
      </w:tabs>
      <w:snapToGrid/>
      <w:ind w:left="360" w:hanging="360"/>
      <w:jc w:val="left"/>
    </w:pPr>
    <w:rPr>
      <w:rFonts w:ascii="Univers" w:hAnsi="Univers"/>
      <w:kern w:val="0"/>
      <w:sz w:val="22"/>
      <w:szCs w:val="20"/>
    </w:rPr>
  </w:style>
  <w:style w:type="paragraph" w:customStyle="1" w:styleId="256">
    <w:name w:val="列出段落1"/>
    <w:basedOn w:val="1"/>
    <w:qFormat/>
    <w:uiPriority w:val="34"/>
    <w:pPr>
      <w:ind w:firstLine="420" w:firstLineChars="200"/>
    </w:pPr>
    <w:rPr>
      <w:szCs w:val="20"/>
    </w:rPr>
  </w:style>
  <w:style w:type="paragraph" w:customStyle="1" w:styleId="257">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258">
    <w:name w:val="font7"/>
    <w:basedOn w:val="1"/>
    <w:qFormat/>
    <w:uiPriority w:val="0"/>
    <w:pPr>
      <w:widowControl/>
      <w:spacing w:before="100" w:beforeAutospacing="1" w:after="100" w:afterAutospacing="1"/>
      <w:jc w:val="left"/>
    </w:pPr>
    <w:rPr>
      <w:rFonts w:ascii="宋体" w:hAnsi="宋体" w:cs="宋体"/>
      <w:kern w:val="0"/>
      <w:szCs w:val="21"/>
    </w:rPr>
  </w:style>
  <w:style w:type="paragraph" w:customStyle="1" w:styleId="259">
    <w:name w:val="xl52"/>
    <w:basedOn w:val="1"/>
    <w:qFormat/>
    <w:uiPriority w:val="0"/>
    <w:pPr>
      <w:widowControl/>
      <w:pBdr>
        <w:top w:val="single" w:color="auto" w:sz="4" w:space="0"/>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60">
    <w:name w:val="正文3"/>
    <w:qFormat/>
    <w:uiPriority w:val="0"/>
    <w:pPr>
      <w:spacing w:line="400" w:lineRule="exact"/>
      <w:ind w:firstLine="200" w:firstLineChars="200"/>
      <w:jc w:val="both"/>
    </w:pPr>
    <w:rPr>
      <w:rFonts w:ascii="Times New Roman" w:hAnsi="Times New Roman" w:eastAsia="宋体" w:cs="Times New Roman"/>
      <w:kern w:val="2"/>
      <w:sz w:val="24"/>
      <w:lang w:val="en-US" w:eastAsia="zh-CN" w:bidi="ar-SA"/>
    </w:rPr>
  </w:style>
  <w:style w:type="paragraph" w:customStyle="1" w:styleId="261">
    <w:name w:val="Char1 Char Char1 Char Char Char Char Char Char"/>
    <w:basedOn w:val="1"/>
    <w:qFormat/>
    <w:uiPriority w:val="0"/>
  </w:style>
  <w:style w:type="paragraph" w:customStyle="1" w:styleId="262">
    <w:name w:val="正文文本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263">
    <w:name w:val="样式 标题 5 + 右侧:  -0.18 字符"/>
    <w:basedOn w:val="1"/>
    <w:qFormat/>
    <w:uiPriority w:val="0"/>
    <w:pPr>
      <w:tabs>
        <w:tab w:val="left" w:pos="1008"/>
      </w:tabs>
      <w:ind w:left="1134" w:hanging="1134"/>
    </w:pPr>
  </w:style>
  <w:style w:type="paragraph" w:customStyle="1" w:styleId="264">
    <w:name w:val="xl24"/>
    <w:basedOn w:val="1"/>
    <w:qFormat/>
    <w:uiPriority w:val="0"/>
    <w:pPr>
      <w:widowControl/>
      <w:spacing w:before="100" w:beforeAutospacing="1" w:after="100" w:afterAutospacing="1"/>
      <w:jc w:val="left"/>
    </w:pPr>
    <w:rPr>
      <w:kern w:val="0"/>
      <w:sz w:val="24"/>
    </w:rPr>
  </w:style>
  <w:style w:type="paragraph" w:customStyle="1" w:styleId="265">
    <w:name w:val="xl28"/>
    <w:basedOn w:val="1"/>
    <w:qFormat/>
    <w:uiPriority w:val="0"/>
    <w:pPr>
      <w:widowControl/>
      <w:spacing w:before="100" w:beforeAutospacing="1" w:after="100" w:afterAutospacing="1"/>
      <w:jc w:val="center"/>
    </w:pPr>
    <w:rPr>
      <w:kern w:val="0"/>
      <w:sz w:val="24"/>
    </w:rPr>
  </w:style>
  <w:style w:type="paragraph" w:customStyle="1" w:styleId="266">
    <w:name w:val="默认段落字体 Para Char Char Char Char"/>
    <w:basedOn w:val="1"/>
    <w:qFormat/>
    <w:uiPriority w:val="0"/>
    <w:rPr>
      <w:szCs w:val="20"/>
    </w:rPr>
  </w:style>
  <w:style w:type="paragraph" w:customStyle="1" w:styleId="267">
    <w:name w:val="註解方塊文字"/>
    <w:basedOn w:val="1"/>
    <w:qFormat/>
    <w:uiPriority w:val="0"/>
    <w:pPr>
      <w:widowControl/>
      <w:jc w:val="left"/>
    </w:pPr>
    <w:rPr>
      <w:rFonts w:ascii="Arial" w:hAnsi="Arial" w:eastAsia="PMingLiU"/>
      <w:kern w:val="0"/>
      <w:sz w:val="18"/>
      <w:szCs w:val="18"/>
      <w:lang w:eastAsia="zh-HK"/>
    </w:rPr>
  </w:style>
  <w:style w:type="paragraph" w:customStyle="1" w:styleId="268">
    <w:name w:val="标题四"/>
    <w:basedOn w:val="269"/>
    <w:semiHidden/>
    <w:qFormat/>
    <w:uiPriority w:val="0"/>
    <w:pPr>
      <w:tabs>
        <w:tab w:val="left" w:pos="0"/>
      </w:tabs>
      <w:spacing w:line="360" w:lineRule="auto"/>
      <w:ind w:left="0"/>
    </w:pPr>
    <w:rPr>
      <w:rFonts w:ascii="Tahoma" w:hAnsi="Tahoma"/>
      <w:sz w:val="24"/>
      <w:szCs w:val="24"/>
    </w:rPr>
  </w:style>
  <w:style w:type="paragraph" w:customStyle="1" w:styleId="269">
    <w:name w:val="招标文件1.1.1"/>
    <w:qFormat/>
    <w:uiPriority w:val="0"/>
    <w:pPr>
      <w:spacing w:before="120" w:after="120" w:line="480" w:lineRule="exact"/>
      <w:ind w:left="200"/>
      <w:outlineLvl w:val="3"/>
    </w:pPr>
    <w:rPr>
      <w:rFonts w:ascii="宋体" w:hAnsi="Times New Roman" w:eastAsia="宋体" w:cs="Times New Roman"/>
      <w:b/>
      <w:spacing w:val="10"/>
      <w:w w:val="95"/>
      <w:sz w:val="21"/>
      <w:lang w:val="en-US" w:eastAsia="zh-CN" w:bidi="ar-SA"/>
    </w:rPr>
  </w:style>
  <w:style w:type="paragraph" w:customStyle="1" w:styleId="270">
    <w:name w:val="font5"/>
    <w:basedOn w:val="1"/>
    <w:qFormat/>
    <w:uiPriority w:val="0"/>
    <w:pPr>
      <w:widowControl/>
      <w:spacing w:before="100" w:beforeAutospacing="1" w:after="100" w:afterAutospacing="1"/>
      <w:jc w:val="left"/>
    </w:pPr>
    <w:rPr>
      <w:b/>
      <w:bCs/>
      <w:kern w:val="0"/>
      <w:sz w:val="22"/>
      <w:szCs w:val="22"/>
    </w:rPr>
  </w:style>
  <w:style w:type="paragraph" w:customStyle="1" w:styleId="271">
    <w:name w:val="Char Char Char Char Char"/>
    <w:basedOn w:val="1"/>
    <w:qFormat/>
    <w:uiPriority w:val="0"/>
    <w:pPr>
      <w:ind w:firstLine="200" w:firstLineChars="200"/>
      <w:jc w:val="left"/>
    </w:pPr>
    <w:rPr>
      <w:rFonts w:ascii="Tahoma" w:hAnsi="Tahoma"/>
      <w:color w:val="7030A0"/>
      <w:sz w:val="24"/>
      <w:szCs w:val="20"/>
    </w:rPr>
  </w:style>
  <w:style w:type="paragraph" w:customStyle="1" w:styleId="272">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top"/>
    </w:pPr>
    <w:rPr>
      <w:rFonts w:ascii="宋体" w:hAnsi="宋体" w:cs="宋体"/>
      <w:kern w:val="0"/>
      <w:sz w:val="20"/>
      <w:szCs w:val="20"/>
    </w:rPr>
  </w:style>
  <w:style w:type="paragraph" w:customStyle="1" w:styleId="273">
    <w:name w:val="样式 标题 4 + 段前: 自动"/>
    <w:basedOn w:val="6"/>
    <w:qFormat/>
    <w:uiPriority w:val="0"/>
    <w:pPr>
      <w:tabs>
        <w:tab w:val="left" w:pos="1062"/>
      </w:tabs>
      <w:spacing w:beforeLines="50" w:after="0" w:line="400" w:lineRule="exact"/>
      <w:ind w:left="1062" w:hanging="864"/>
    </w:pPr>
    <w:rPr>
      <w:rFonts w:ascii="宋体" w:hAnsi="Arial" w:cs="宋体"/>
      <w:sz w:val="24"/>
      <w:szCs w:val="24"/>
    </w:rPr>
  </w:style>
  <w:style w:type="paragraph" w:customStyle="1" w:styleId="274">
    <w:name w:val="顺序编号-zlb"/>
    <w:basedOn w:val="275"/>
    <w:qFormat/>
    <w:uiPriority w:val="0"/>
    <w:pPr>
      <w:tabs>
        <w:tab w:val="left" w:pos="0"/>
      </w:tabs>
      <w:ind w:firstLine="425"/>
      <w:outlineLvl w:val="8"/>
    </w:pPr>
  </w:style>
  <w:style w:type="paragraph" w:customStyle="1" w:styleId="275">
    <w:name w:val="级别4"/>
    <w:basedOn w:val="276"/>
    <w:qFormat/>
    <w:uiPriority w:val="0"/>
    <w:pPr>
      <w:tabs>
        <w:tab w:val="left" w:pos="0"/>
      </w:tabs>
      <w:outlineLvl w:val="3"/>
    </w:pPr>
    <w:rPr>
      <w:b w:val="0"/>
      <w:kern w:val="0"/>
    </w:rPr>
  </w:style>
  <w:style w:type="paragraph" w:customStyle="1" w:styleId="276">
    <w:name w:val="级别2"/>
    <w:basedOn w:val="4"/>
    <w:qFormat/>
    <w:uiPriority w:val="0"/>
    <w:pPr>
      <w:keepNext w:val="0"/>
      <w:keepLines w:val="0"/>
      <w:tabs>
        <w:tab w:val="left" w:pos="0"/>
        <w:tab w:val="clear" w:pos="1440"/>
      </w:tabs>
      <w:adjustRightInd w:val="0"/>
      <w:snapToGrid w:val="0"/>
      <w:spacing w:before="0" w:after="0" w:line="360" w:lineRule="auto"/>
      <w:ind w:left="0" w:firstLine="0"/>
      <w:outlineLvl w:val="1"/>
    </w:pPr>
    <w:rPr>
      <w:rFonts w:ascii="宋体" w:hAnsi="宋体"/>
      <w:bCs w:val="0"/>
      <w:sz w:val="24"/>
      <w:szCs w:val="24"/>
    </w:rPr>
  </w:style>
  <w:style w:type="paragraph" w:customStyle="1" w:styleId="277">
    <w:name w:val="xl3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278">
    <w:name w:val="专用"/>
    <w:basedOn w:val="1"/>
    <w:qFormat/>
    <w:uiPriority w:val="0"/>
    <w:pPr>
      <w:spacing w:afterLines="100"/>
      <w:ind w:left="838" w:hanging="838" w:hangingChars="262"/>
    </w:pPr>
    <w:rPr>
      <w:rFonts w:ascii="宋体"/>
      <w:b/>
      <w:color w:val="000000"/>
      <w:sz w:val="32"/>
      <w:szCs w:val="20"/>
    </w:rPr>
  </w:style>
  <w:style w:type="paragraph" w:customStyle="1" w:styleId="279">
    <w:name w:val="xl56"/>
    <w:basedOn w:val="1"/>
    <w:qFormat/>
    <w:uiPriority w:val="0"/>
    <w:pPr>
      <w:widowControl/>
      <w:pBdr>
        <w:top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80">
    <w:name w:val="llp2"/>
    <w:basedOn w:val="1"/>
    <w:qFormat/>
    <w:uiPriority w:val="0"/>
    <w:pPr>
      <w:spacing w:beforeLines="100" w:afterLines="100" w:line="240" w:lineRule="atLeast"/>
      <w:ind w:firstLine="200" w:firstLineChars="200"/>
      <w:jc w:val="left"/>
      <w:outlineLvl w:val="1"/>
    </w:pPr>
    <w:rPr>
      <w:rFonts w:eastAsia="黑体"/>
      <w:color w:val="7030A0"/>
      <w:sz w:val="32"/>
      <w:szCs w:val="32"/>
    </w:rPr>
  </w:style>
  <w:style w:type="paragraph" w:customStyle="1" w:styleId="281">
    <w:name w:val="Sub title 1"/>
    <w:basedOn w:val="262"/>
    <w:qFormat/>
    <w:uiPriority w:val="0"/>
    <w:pPr>
      <w:tabs>
        <w:tab w:val="left" w:pos="1304"/>
      </w:tabs>
      <w:ind w:left="1304" w:hanging="170"/>
    </w:pPr>
    <w:rPr>
      <w:color w:val="auto"/>
    </w:rPr>
  </w:style>
  <w:style w:type="paragraph" w:customStyle="1" w:styleId="282">
    <w:name w:val="xl47"/>
    <w:basedOn w:val="1"/>
    <w:qFormat/>
    <w:uiPriority w:val="0"/>
    <w:pPr>
      <w:widowControl/>
      <w:pBdr>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83">
    <w:name w:val="样式 样式 首行缩进:  2 字符 + 首行缩进:  2 字符"/>
    <w:basedOn w:val="1"/>
    <w:qFormat/>
    <w:uiPriority w:val="0"/>
    <w:pPr>
      <w:spacing w:line="360" w:lineRule="auto"/>
      <w:ind w:firstLine="200" w:firstLineChars="200"/>
      <w:jc w:val="left"/>
    </w:pPr>
    <w:rPr>
      <w:rFonts w:cs="宋体"/>
      <w:color w:val="7030A0"/>
      <w:szCs w:val="20"/>
    </w:rPr>
  </w:style>
  <w:style w:type="paragraph" w:customStyle="1" w:styleId="284">
    <w:name w:val="正缩2字符"/>
    <w:basedOn w:val="1"/>
    <w:qFormat/>
    <w:uiPriority w:val="0"/>
    <w:pPr>
      <w:spacing w:line="480" w:lineRule="exact"/>
      <w:ind w:firstLine="200" w:firstLineChars="200"/>
    </w:pPr>
    <w:rPr>
      <w:sz w:val="24"/>
    </w:rPr>
  </w:style>
  <w:style w:type="paragraph" w:customStyle="1" w:styleId="285">
    <w:name w:val="招标文件1.1.1.1"/>
    <w:basedOn w:val="1"/>
    <w:qFormat/>
    <w:uiPriority w:val="0"/>
    <w:pPr>
      <w:spacing w:before="120" w:after="120" w:line="480" w:lineRule="exact"/>
      <w:ind w:left="200" w:firstLine="200" w:firstLineChars="200"/>
      <w:jc w:val="left"/>
      <w:outlineLvl w:val="4"/>
    </w:pPr>
    <w:rPr>
      <w:rFonts w:ascii="宋体"/>
      <w:b/>
      <w:color w:val="7030A0"/>
      <w:spacing w:val="10"/>
      <w:w w:val="95"/>
    </w:rPr>
  </w:style>
  <w:style w:type="paragraph" w:customStyle="1" w:styleId="286">
    <w:name w:val="样式 样式 宋体 小四 左侧:  1.85 厘米 段前: 11.15 磅 段后: 11.15 磅 + 图案: 清除 (白色)"/>
    <w:basedOn w:val="1"/>
    <w:qFormat/>
    <w:uiPriority w:val="0"/>
    <w:pPr>
      <w:snapToGrid w:val="0"/>
      <w:ind w:left="1049" w:firstLine="200" w:firstLineChars="200"/>
      <w:jc w:val="left"/>
    </w:pPr>
    <w:rPr>
      <w:color w:val="7030A0"/>
      <w:sz w:val="24"/>
      <w:shd w:val="clear" w:color="auto" w:fill="FFFFFF"/>
    </w:rPr>
  </w:style>
  <w:style w:type="paragraph" w:customStyle="1" w:styleId="287">
    <w:name w:val="标书正文1"/>
    <w:basedOn w:val="1"/>
    <w:qFormat/>
    <w:uiPriority w:val="0"/>
    <w:pPr>
      <w:tabs>
        <w:tab w:val="left" w:pos="1438"/>
      </w:tabs>
      <w:spacing w:before="100" w:after="100" w:line="360" w:lineRule="auto"/>
      <w:ind w:left="1438" w:hanging="720"/>
    </w:pPr>
    <w:rPr>
      <w:rFonts w:ascii="宋体" w:hAnsi="宋体"/>
    </w:rPr>
  </w:style>
  <w:style w:type="paragraph" w:customStyle="1" w:styleId="288">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289">
    <w:name w:val="级别3"/>
    <w:basedOn w:val="276"/>
    <w:qFormat/>
    <w:uiPriority w:val="0"/>
    <w:pPr>
      <w:ind w:firstLine="425"/>
      <w:outlineLvl w:val="2"/>
    </w:pPr>
    <w:rPr>
      <w:b w:val="0"/>
    </w:rPr>
  </w:style>
  <w:style w:type="paragraph" w:customStyle="1" w:styleId="290">
    <w:name w:val="招标文件1）"/>
    <w:qFormat/>
    <w:uiPriority w:val="0"/>
    <w:pPr>
      <w:spacing w:before="120" w:after="120" w:line="300" w:lineRule="auto"/>
      <w:outlineLvl w:val="5"/>
    </w:pPr>
    <w:rPr>
      <w:rFonts w:ascii="宋体" w:hAnsi="Times New Roman" w:eastAsia="宋体" w:cs="Times New Roman"/>
      <w:spacing w:val="10"/>
      <w:w w:val="95"/>
      <w:sz w:val="21"/>
      <w:lang w:val="en-US" w:eastAsia="zh-CN" w:bidi="ar-SA"/>
    </w:rPr>
  </w:style>
  <w:style w:type="paragraph" w:customStyle="1" w:styleId="291">
    <w:name w:val="样式 标题 3列表编号33 bulletb23 bullet1b1213 bullet2b2223 bul...2"/>
    <w:basedOn w:val="1"/>
    <w:qFormat/>
    <w:uiPriority w:val="0"/>
    <w:pPr>
      <w:ind w:left="1320" w:hanging="420" w:firstLineChars="200"/>
      <w:jc w:val="left"/>
    </w:pPr>
    <w:rPr>
      <w:color w:val="7030A0"/>
    </w:rPr>
  </w:style>
  <w:style w:type="paragraph" w:customStyle="1" w:styleId="292">
    <w:name w:val="xl53"/>
    <w:basedOn w:val="1"/>
    <w:qFormat/>
    <w:uiPriority w:val="0"/>
    <w:pPr>
      <w:widowControl/>
      <w:pBdr>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93">
    <w:name w:val="附图 BJ8"/>
    <w:basedOn w:val="1"/>
    <w:qFormat/>
    <w:uiPriority w:val="0"/>
    <w:pPr>
      <w:adjustRightInd w:val="0"/>
      <w:snapToGrid w:val="0"/>
      <w:ind w:firstLine="200" w:firstLineChars="200"/>
      <w:jc w:val="center"/>
    </w:pPr>
    <w:rPr>
      <w:rFonts w:hAnsi="Arial"/>
      <w:color w:val="7030A0"/>
      <w:kern w:val="0"/>
    </w:rPr>
  </w:style>
  <w:style w:type="paragraph" w:customStyle="1" w:styleId="294">
    <w:name w:val="xl54"/>
    <w:basedOn w:val="1"/>
    <w:qFormat/>
    <w:uiPriority w:val="0"/>
    <w:pPr>
      <w:widowControl/>
      <w:pBdr>
        <w:left w:val="single" w:color="auto" w:sz="4" w:space="0"/>
        <w:bottom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95">
    <w:name w:val="招标文件1"/>
    <w:basedOn w:val="1"/>
    <w:qFormat/>
    <w:uiPriority w:val="0"/>
    <w:pPr>
      <w:tabs>
        <w:tab w:val="left" w:pos="420"/>
      </w:tabs>
      <w:spacing w:before="120" w:after="120" w:line="480" w:lineRule="exact"/>
      <w:ind w:left="200" w:firstLine="200" w:firstLineChars="200"/>
      <w:jc w:val="left"/>
      <w:outlineLvl w:val="1"/>
    </w:pPr>
    <w:rPr>
      <w:rFonts w:ascii="宋体"/>
      <w:b/>
      <w:color w:val="7030A0"/>
      <w:spacing w:val="10"/>
      <w:w w:val="95"/>
      <w:kern w:val="0"/>
      <w:sz w:val="28"/>
    </w:rPr>
  </w:style>
  <w:style w:type="paragraph" w:customStyle="1" w:styleId="296">
    <w:name w:val="Report Level 1"/>
    <w:basedOn w:val="1"/>
    <w:next w:val="297"/>
    <w:qFormat/>
    <w:uiPriority w:val="0"/>
    <w:pPr>
      <w:keepNext/>
      <w:widowControl/>
      <w:tabs>
        <w:tab w:val="left" w:pos="1080"/>
      </w:tabs>
      <w:spacing w:before="240" w:after="240" w:line="360" w:lineRule="auto"/>
      <w:ind w:left="1080" w:hanging="1080" w:firstLineChars="200"/>
      <w:jc w:val="left"/>
      <w:outlineLvl w:val="0"/>
    </w:pPr>
    <w:rPr>
      <w:rFonts w:ascii="Arial" w:hAnsi="Arial"/>
      <w:b/>
      <w:caps/>
      <w:color w:val="7030A0"/>
      <w:kern w:val="0"/>
      <w:sz w:val="24"/>
      <w:szCs w:val="21"/>
      <w:lang w:val="en-GB"/>
    </w:rPr>
  </w:style>
  <w:style w:type="paragraph" w:customStyle="1" w:styleId="297">
    <w:name w:val="Report Text"/>
    <w:basedOn w:val="1"/>
    <w:qFormat/>
    <w:uiPriority w:val="0"/>
    <w:pPr>
      <w:widowControl/>
      <w:spacing w:after="138"/>
      <w:ind w:left="1080" w:firstLine="200" w:firstLineChars="200"/>
      <w:jc w:val="left"/>
    </w:pPr>
    <w:rPr>
      <w:color w:val="7030A0"/>
      <w:kern w:val="0"/>
      <w:sz w:val="22"/>
      <w:szCs w:val="20"/>
      <w:lang w:val="en-GB" w:eastAsia="en-US"/>
    </w:rPr>
  </w:style>
  <w:style w:type="paragraph" w:customStyle="1" w:styleId="298">
    <w:name w:val="xl59"/>
    <w:basedOn w:val="1"/>
    <w:qFormat/>
    <w:uiPriority w:val="0"/>
    <w:pPr>
      <w:widowControl/>
      <w:pBdr>
        <w:bottom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299">
    <w:name w:val="xl45"/>
    <w:basedOn w:val="1"/>
    <w:qFormat/>
    <w:uiPriority w:val="0"/>
    <w:pPr>
      <w:widowControl/>
      <w:pBdr>
        <w:bottom w:val="single" w:color="auto" w:sz="4" w:space="0"/>
        <w:right w:val="single" w:color="auto" w:sz="4" w:space="0"/>
      </w:pBdr>
      <w:spacing w:before="100" w:after="100"/>
      <w:ind w:firstLine="200" w:firstLineChars="200"/>
      <w:jc w:val="center"/>
      <w:textAlignment w:val="center"/>
    </w:pPr>
    <w:rPr>
      <w:rFonts w:eastAsia="Arial Unicode MS"/>
      <w:color w:val="7030A0"/>
      <w:kern w:val="0"/>
      <w:sz w:val="22"/>
      <w:szCs w:val="20"/>
    </w:rPr>
  </w:style>
  <w:style w:type="paragraph" w:customStyle="1" w:styleId="300">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4"/>
    </w:rPr>
  </w:style>
  <w:style w:type="paragraph" w:customStyle="1" w:styleId="301">
    <w:name w:val="xl58"/>
    <w:basedOn w:val="1"/>
    <w:qFormat/>
    <w:uiPriority w:val="0"/>
    <w:pPr>
      <w:widowControl/>
      <w:pBdr>
        <w:left w:val="single" w:color="auto" w:sz="4" w:space="0"/>
        <w:bottom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02">
    <w:name w:val="级别5"/>
    <w:basedOn w:val="275"/>
    <w:qFormat/>
    <w:uiPriority w:val="0"/>
    <w:pPr>
      <w:outlineLvl w:val="4"/>
    </w:pPr>
  </w:style>
  <w:style w:type="paragraph" w:customStyle="1" w:styleId="303">
    <w:name w:val="xl43"/>
    <w:basedOn w:val="1"/>
    <w:qFormat/>
    <w:uiPriority w:val="0"/>
    <w:pPr>
      <w:widowControl/>
      <w:pBdr>
        <w:top w:val="single" w:color="auto" w:sz="4" w:space="0"/>
        <w:left w:val="single" w:color="auto" w:sz="4" w:space="0"/>
        <w:bottom w:val="single" w:color="auto" w:sz="4" w:space="0"/>
        <w:right w:val="single" w:color="auto" w:sz="4" w:space="0"/>
      </w:pBdr>
      <w:spacing w:before="100" w:after="100"/>
      <w:ind w:firstLine="200" w:firstLineChars="200"/>
      <w:jc w:val="center"/>
    </w:pPr>
    <w:rPr>
      <w:rFonts w:eastAsia="Arial Unicode MS"/>
      <w:color w:val="7030A0"/>
      <w:kern w:val="0"/>
      <w:szCs w:val="20"/>
    </w:rPr>
  </w:style>
  <w:style w:type="paragraph" w:customStyle="1" w:styleId="304">
    <w:name w:val="级别1"/>
    <w:basedOn w:val="4"/>
    <w:qFormat/>
    <w:uiPriority w:val="0"/>
    <w:pPr>
      <w:keepNext w:val="0"/>
      <w:keepLines w:val="0"/>
      <w:tabs>
        <w:tab w:val="left" w:pos="-1620"/>
        <w:tab w:val="clear" w:pos="1440"/>
      </w:tabs>
      <w:adjustRightInd w:val="0"/>
      <w:snapToGrid w:val="0"/>
      <w:spacing w:before="0" w:after="0" w:line="360" w:lineRule="auto"/>
      <w:ind w:left="2098" w:hanging="2098"/>
    </w:pPr>
    <w:rPr>
      <w:rFonts w:ascii="宋体" w:hAnsi="宋体"/>
      <w:bCs w:val="0"/>
      <w:sz w:val="28"/>
      <w:szCs w:val="28"/>
    </w:rPr>
  </w:style>
  <w:style w:type="paragraph" w:customStyle="1" w:styleId="305">
    <w:name w:val="纯文本1"/>
    <w:basedOn w:val="1"/>
    <w:qFormat/>
    <w:uiPriority w:val="0"/>
    <w:pPr>
      <w:adjustRightInd w:val="0"/>
      <w:spacing w:line="312" w:lineRule="atLeast"/>
      <w:ind w:firstLine="567" w:firstLineChars="200"/>
      <w:jc w:val="left"/>
      <w:textAlignment w:val="baseline"/>
    </w:pPr>
    <w:rPr>
      <w:rFonts w:ascii="宋体" w:hAnsi="Courier New"/>
      <w:color w:val="7030A0"/>
      <w:kern w:val="0"/>
      <w:sz w:val="28"/>
    </w:rPr>
  </w:style>
  <w:style w:type="paragraph" w:customStyle="1" w:styleId="306">
    <w:name w:val="应答文本"/>
    <w:basedOn w:val="1"/>
    <w:qFormat/>
    <w:uiPriority w:val="0"/>
    <w:pPr>
      <w:adjustRightInd w:val="0"/>
      <w:spacing w:afterLines="50" w:line="320" w:lineRule="exact"/>
      <w:ind w:left="480" w:leftChars="200" w:firstLine="460" w:firstLineChars="200"/>
      <w:jc w:val="left"/>
    </w:pPr>
    <w:rPr>
      <w:rFonts w:ascii="Arial" w:hAnsi="Arial" w:eastAsia="楷体_GB2312" w:cs="宋体"/>
      <w:color w:val="7030A0"/>
      <w:spacing w:val="10"/>
      <w:kern w:val="0"/>
      <w:szCs w:val="20"/>
    </w:rPr>
  </w:style>
  <w:style w:type="paragraph" w:customStyle="1" w:styleId="307">
    <w:name w:val="标准"/>
    <w:basedOn w:val="1"/>
    <w:qFormat/>
    <w:uiPriority w:val="0"/>
    <w:pPr>
      <w:adjustRightInd w:val="0"/>
      <w:spacing w:line="312" w:lineRule="atLeast"/>
      <w:jc w:val="center"/>
      <w:textAlignment w:val="baseline"/>
    </w:pPr>
    <w:rPr>
      <w:kern w:val="24"/>
      <w:sz w:val="24"/>
    </w:rPr>
  </w:style>
  <w:style w:type="paragraph" w:customStyle="1" w:styleId="308">
    <w:name w:val="1.1"/>
    <w:basedOn w:val="5"/>
    <w:qFormat/>
    <w:uiPriority w:val="0"/>
    <w:pPr>
      <w:keepNext w:val="0"/>
      <w:keepLines w:val="0"/>
      <w:tabs>
        <w:tab w:val="left" w:pos="180"/>
      </w:tabs>
      <w:autoSpaceDE w:val="0"/>
      <w:autoSpaceDN w:val="0"/>
      <w:adjustRightInd w:val="0"/>
      <w:spacing w:before="0" w:after="0" w:line="360" w:lineRule="auto"/>
      <w:jc w:val="left"/>
      <w:outlineLvl w:val="2"/>
    </w:pPr>
    <w:rPr>
      <w:rFonts w:ascii="宋体" w:hAnsi="宋体"/>
      <w:bCs w:val="0"/>
      <w:kern w:val="0"/>
      <w:sz w:val="21"/>
      <w:szCs w:val="20"/>
    </w:rPr>
  </w:style>
  <w:style w:type="paragraph" w:customStyle="1" w:styleId="309">
    <w:name w:val="Char Char Char Char"/>
    <w:basedOn w:val="22"/>
    <w:qFormat/>
    <w:uiPriority w:val="0"/>
    <w:pPr>
      <w:shd w:val="clear" w:color="auto" w:fill="000080"/>
      <w:adjustRightInd w:val="0"/>
      <w:spacing w:line="436" w:lineRule="exact"/>
      <w:ind w:left="357"/>
      <w:jc w:val="left"/>
      <w:outlineLvl w:val="3"/>
    </w:pPr>
    <w:rPr>
      <w:rFonts w:ascii="Tahoma" w:hAnsi="Tahoma"/>
      <w:b/>
      <w:sz w:val="24"/>
      <w:szCs w:val="24"/>
    </w:rPr>
  </w:style>
  <w:style w:type="paragraph" w:customStyle="1" w:styleId="310">
    <w:name w:val="标题2 Char"/>
    <w:basedOn w:val="5"/>
    <w:qFormat/>
    <w:uiPriority w:val="0"/>
    <w:pPr>
      <w:tabs>
        <w:tab w:val="left" w:pos="709"/>
      </w:tabs>
      <w:adjustRightInd w:val="0"/>
      <w:spacing w:before="0" w:after="0" w:line="360" w:lineRule="auto"/>
      <w:ind w:left="709" w:hanging="709"/>
      <w:textAlignment w:val="baseline"/>
    </w:pPr>
    <w:rPr>
      <w:rFonts w:eastAsia="仿宋_GB2312" w:cs="Arial"/>
      <w:b w:val="0"/>
      <w:bCs w:val="0"/>
      <w:kern w:val="0"/>
      <w:sz w:val="21"/>
      <w:szCs w:val="24"/>
    </w:rPr>
  </w:style>
  <w:style w:type="paragraph" w:customStyle="1" w:styleId="311">
    <w:name w:val="样式 标题2 + 字距调整8 磅"/>
    <w:basedOn w:val="310"/>
    <w:qFormat/>
    <w:uiPriority w:val="0"/>
    <w:pPr>
      <w:tabs>
        <w:tab w:val="clear" w:pos="709"/>
      </w:tabs>
    </w:pPr>
    <w:rPr>
      <w:kern w:val="16"/>
    </w:rPr>
  </w:style>
  <w:style w:type="paragraph" w:customStyle="1" w:styleId="312">
    <w:name w:val="Char Char Char Char Char Char1 Char Char Char Char"/>
    <w:basedOn w:val="1"/>
    <w:qFormat/>
    <w:uiPriority w:val="0"/>
    <w:rPr>
      <w:rFonts w:ascii="仿宋_GB2312" w:eastAsia="仿宋_GB2312"/>
      <w:b/>
      <w:sz w:val="32"/>
      <w:szCs w:val="32"/>
    </w:rPr>
  </w:style>
  <w:style w:type="paragraph" w:customStyle="1" w:styleId="313">
    <w:name w:val="xl32"/>
    <w:basedOn w:val="1"/>
    <w:qFormat/>
    <w:uiPriority w:val="0"/>
    <w:pPr>
      <w:widowControl/>
      <w:spacing w:before="100" w:beforeAutospacing="1" w:after="100" w:afterAutospacing="1"/>
      <w:jc w:val="center"/>
    </w:pPr>
    <w:rPr>
      <w:b/>
      <w:bCs/>
      <w:kern w:val="0"/>
      <w:sz w:val="24"/>
      <w:u w:val="single"/>
    </w:rPr>
  </w:style>
  <w:style w:type="paragraph" w:customStyle="1" w:styleId="31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20"/>
      <w:szCs w:val="20"/>
    </w:rPr>
  </w:style>
  <w:style w:type="paragraph" w:customStyle="1" w:styleId="315">
    <w:name w:val="图1"/>
    <w:basedOn w:val="1"/>
    <w:next w:val="1"/>
    <w:qFormat/>
    <w:uiPriority w:val="0"/>
    <w:pPr>
      <w:tabs>
        <w:tab w:val="left" w:pos="1440"/>
      </w:tabs>
      <w:spacing w:beforeLines="50" w:afterLines="100" w:line="360" w:lineRule="auto"/>
      <w:ind w:left="1105" w:hanging="748"/>
      <w:jc w:val="center"/>
    </w:pPr>
    <w:rPr>
      <w:kern w:val="0"/>
    </w:rPr>
  </w:style>
  <w:style w:type="paragraph" w:customStyle="1" w:styleId="316">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317">
    <w:name w:val="级别6"/>
    <w:basedOn w:val="302"/>
    <w:qFormat/>
    <w:uiPriority w:val="0"/>
    <w:pPr>
      <w:tabs>
        <w:tab w:val="left" w:pos="405"/>
        <w:tab w:val="clear" w:pos="0"/>
      </w:tabs>
      <w:ind w:left="409" w:hanging="23"/>
      <w:outlineLvl w:val="5"/>
    </w:pPr>
  </w:style>
  <w:style w:type="paragraph" w:customStyle="1" w:styleId="318">
    <w:name w:val="tll"/>
    <w:basedOn w:val="1"/>
    <w:qFormat/>
    <w:uiPriority w:val="0"/>
    <w:pPr>
      <w:autoSpaceDE w:val="0"/>
      <w:autoSpaceDN w:val="0"/>
      <w:adjustRightInd w:val="0"/>
      <w:spacing w:line="300" w:lineRule="atLeast"/>
      <w:ind w:firstLine="709"/>
      <w:jc w:val="left"/>
      <w:textAlignment w:val="baseline"/>
    </w:pPr>
    <w:rPr>
      <w:rFonts w:ascii="仿宋_GB2312" w:hAnsi="Arial" w:eastAsia="仿宋_GB2312"/>
      <w:kern w:val="0"/>
      <w:szCs w:val="20"/>
    </w:rPr>
  </w:style>
  <w:style w:type="paragraph" w:customStyle="1" w:styleId="319">
    <w:name w:val="xl3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20">
    <w:name w:val="样式 标题 2标题 1.1head:2#2 headlinehheadlineS&amp;R2ERMH2Head 2 +..."/>
    <w:basedOn w:val="5"/>
    <w:qFormat/>
    <w:uiPriority w:val="0"/>
    <w:pPr>
      <w:tabs>
        <w:tab w:val="left" w:pos="907"/>
      </w:tabs>
      <w:autoSpaceDE w:val="0"/>
      <w:autoSpaceDN w:val="0"/>
      <w:adjustRightInd w:val="0"/>
      <w:spacing w:before="120" w:after="120" w:line="360" w:lineRule="auto"/>
      <w:ind w:left="907" w:hanging="907"/>
      <w:jc w:val="center"/>
      <w:textAlignment w:val="baseline"/>
    </w:pPr>
    <w:rPr>
      <w:rFonts w:eastAsia="宋体"/>
      <w:kern w:val="0"/>
      <w:sz w:val="24"/>
      <w:szCs w:val="20"/>
    </w:rPr>
  </w:style>
  <w:style w:type="paragraph" w:customStyle="1" w:styleId="321">
    <w:name w:val="xl2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22">
    <w:name w:val="样式4"/>
    <w:basedOn w:val="1"/>
    <w:next w:val="5"/>
    <w:qFormat/>
    <w:uiPriority w:val="0"/>
    <w:pPr>
      <w:tabs>
        <w:tab w:val="left" w:pos="360"/>
      </w:tabs>
      <w:spacing w:line="360" w:lineRule="auto"/>
      <w:ind w:left="360" w:hanging="360"/>
    </w:pPr>
    <w:rPr>
      <w:rFonts w:ascii="宋体" w:hAnsi="宋体"/>
      <w:b/>
      <w:sz w:val="28"/>
      <w:szCs w:val="20"/>
    </w:rPr>
  </w:style>
  <w:style w:type="paragraph" w:customStyle="1" w:styleId="323">
    <w:name w:val="一"/>
    <w:basedOn w:val="4"/>
    <w:qFormat/>
    <w:uiPriority w:val="0"/>
    <w:pPr>
      <w:keepNext w:val="0"/>
      <w:keepLines w:val="0"/>
      <w:autoSpaceDE w:val="0"/>
      <w:autoSpaceDN w:val="0"/>
      <w:adjustRightInd w:val="0"/>
      <w:spacing w:before="0" w:after="0" w:line="360" w:lineRule="auto"/>
      <w:jc w:val="left"/>
    </w:pPr>
    <w:rPr>
      <w:rFonts w:ascii="宋体" w:hAnsi="宋体"/>
      <w:kern w:val="0"/>
      <w:sz w:val="28"/>
      <w:szCs w:val="20"/>
    </w:rPr>
  </w:style>
  <w:style w:type="paragraph" w:customStyle="1" w:styleId="324">
    <w:name w:val="样式 样式 正文段落 + 段前: 0.2 行 + 段前: 0.5 行"/>
    <w:basedOn w:val="1"/>
    <w:qFormat/>
    <w:uiPriority w:val="0"/>
    <w:pPr>
      <w:autoSpaceDE w:val="0"/>
      <w:autoSpaceDN w:val="0"/>
      <w:adjustRightInd w:val="0"/>
      <w:snapToGrid w:val="0"/>
      <w:spacing w:beforeLines="20" w:line="540" w:lineRule="exact"/>
      <w:ind w:firstLine="567"/>
      <w:textAlignment w:val="baseline"/>
    </w:pPr>
    <w:rPr>
      <w:rFonts w:ascii="宋体" w:hAnsi="Tms Rmn" w:cs="宋体"/>
      <w:kern w:val="0"/>
      <w:sz w:val="26"/>
      <w:szCs w:val="20"/>
    </w:rPr>
  </w:style>
  <w:style w:type="paragraph" w:customStyle="1" w:styleId="325">
    <w:name w:val="xl50"/>
    <w:basedOn w:val="1"/>
    <w:qFormat/>
    <w:uiPriority w:val="0"/>
    <w:pPr>
      <w:widowControl/>
      <w:pBdr>
        <w:top w:val="single" w:color="auto" w:sz="4" w:space="0"/>
        <w:bottom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326">
    <w:name w:val="font0"/>
    <w:basedOn w:val="1"/>
    <w:qFormat/>
    <w:uiPriority w:val="0"/>
    <w:pPr>
      <w:widowControl/>
      <w:spacing w:before="100" w:beforeAutospacing="1" w:after="100" w:afterAutospacing="1"/>
      <w:jc w:val="left"/>
    </w:pPr>
    <w:rPr>
      <w:rFonts w:ascii="Arial" w:hAnsi="Arial" w:cs="Arial"/>
      <w:kern w:val="0"/>
      <w:sz w:val="20"/>
      <w:szCs w:val="20"/>
    </w:rPr>
  </w:style>
  <w:style w:type="paragraph" w:customStyle="1" w:styleId="327">
    <w:name w:val="xl49"/>
    <w:basedOn w:val="1"/>
    <w:qFormat/>
    <w:uiPriority w:val="0"/>
    <w:pPr>
      <w:widowControl/>
      <w:pBdr>
        <w:top w:val="single" w:color="auto" w:sz="4" w:space="0"/>
        <w:left w:val="single" w:color="auto" w:sz="4" w:space="0"/>
        <w:bottom w:val="single" w:color="auto" w:sz="4" w:space="0"/>
      </w:pBdr>
      <w:spacing w:before="100" w:after="100"/>
      <w:ind w:firstLine="200" w:firstLineChars="200"/>
      <w:jc w:val="center"/>
    </w:pPr>
    <w:rPr>
      <w:rFonts w:ascii="Arial Unicode MS" w:hAnsi="Arial Unicode MS" w:eastAsia="Arial Unicode MS"/>
      <w:color w:val="7030A0"/>
      <w:kern w:val="0"/>
      <w:szCs w:val="20"/>
    </w:rPr>
  </w:style>
  <w:style w:type="paragraph" w:customStyle="1" w:styleId="328">
    <w:name w:val="三点段 Char"/>
    <w:basedOn w:val="1"/>
    <w:qFormat/>
    <w:uiPriority w:val="0"/>
    <w:pPr>
      <w:spacing w:line="360" w:lineRule="auto"/>
      <w:ind w:left="1200" w:hanging="1200" w:hangingChars="500"/>
    </w:pPr>
    <w:rPr>
      <w:rFonts w:hint="eastAsia" w:ascii="宋体"/>
      <w:sz w:val="24"/>
    </w:rPr>
  </w:style>
  <w:style w:type="paragraph" w:customStyle="1" w:styleId="329">
    <w:name w:val="样式2"/>
    <w:basedOn w:val="1"/>
    <w:qFormat/>
    <w:uiPriority w:val="0"/>
    <w:pPr>
      <w:adjustRightInd w:val="0"/>
      <w:spacing w:before="120" w:after="120" w:line="312" w:lineRule="atLeast"/>
      <w:jc w:val="center"/>
      <w:textAlignment w:val="baseline"/>
    </w:pPr>
    <w:rPr>
      <w:kern w:val="0"/>
      <w:sz w:val="24"/>
      <w:szCs w:val="20"/>
    </w:rPr>
  </w:style>
  <w:style w:type="paragraph" w:customStyle="1" w:styleId="330">
    <w:name w:val="小标题一"/>
    <w:basedOn w:val="1"/>
    <w:next w:val="1"/>
    <w:qFormat/>
    <w:uiPriority w:val="0"/>
    <w:pPr>
      <w:tabs>
        <w:tab w:val="left" w:pos="1080"/>
      </w:tabs>
      <w:spacing w:line="500" w:lineRule="exact"/>
      <w:ind w:left="1080" w:hanging="1080"/>
    </w:pPr>
    <w:rPr>
      <w:sz w:val="28"/>
      <w:szCs w:val="20"/>
    </w:rPr>
  </w:style>
  <w:style w:type="paragraph" w:customStyle="1" w:styleId="331">
    <w:name w:val="Char"/>
    <w:basedOn w:val="1"/>
    <w:qFormat/>
    <w:uiPriority w:val="0"/>
    <w:rPr>
      <w:rFonts w:ascii="仿宋_GB2312" w:eastAsia="仿宋_GB2312"/>
      <w:b/>
      <w:sz w:val="32"/>
      <w:szCs w:val="32"/>
    </w:rPr>
  </w:style>
  <w:style w:type="paragraph" w:customStyle="1" w:styleId="332">
    <w:name w:val="文档正文"/>
    <w:basedOn w:val="1"/>
    <w:qFormat/>
    <w:uiPriority w:val="0"/>
    <w:pPr>
      <w:spacing w:line="360" w:lineRule="auto"/>
      <w:ind w:firstLine="200" w:firstLineChars="200"/>
    </w:pPr>
    <w:rPr>
      <w:rFonts w:ascii="宋体" w:hAnsi="宋体"/>
      <w:sz w:val="24"/>
    </w:rPr>
  </w:style>
  <w:style w:type="paragraph" w:customStyle="1" w:styleId="333">
    <w:name w:val="标题1"/>
    <w:basedOn w:val="4"/>
    <w:qFormat/>
    <w:uiPriority w:val="0"/>
    <w:pPr>
      <w:tabs>
        <w:tab w:val="left" w:pos="450"/>
        <w:tab w:val="left" w:pos="709"/>
        <w:tab w:val="left" w:pos="907"/>
        <w:tab w:val="clear" w:pos="1440"/>
      </w:tabs>
      <w:adjustRightInd w:val="0"/>
      <w:spacing w:before="120" w:after="0" w:line="360" w:lineRule="auto"/>
      <w:ind w:left="450" w:hanging="450"/>
      <w:textAlignment w:val="baseline"/>
    </w:pPr>
    <w:rPr>
      <w:rFonts w:ascii="宋体" w:hAnsi="宋体"/>
      <w:bCs w:val="0"/>
      <w:sz w:val="28"/>
      <w:szCs w:val="20"/>
    </w:rPr>
  </w:style>
  <w:style w:type="paragraph" w:customStyle="1" w:styleId="334">
    <w:name w:val="合同书"/>
    <w:basedOn w:val="1"/>
    <w:qFormat/>
    <w:uiPriority w:val="0"/>
    <w:pPr>
      <w:spacing w:afterLines="100"/>
      <w:jc w:val="center"/>
    </w:pPr>
    <w:rPr>
      <w:rFonts w:hAnsi="宋体"/>
      <w:b/>
      <w:color w:val="000000"/>
      <w:sz w:val="44"/>
      <w:szCs w:val="44"/>
    </w:rPr>
  </w:style>
  <w:style w:type="paragraph" w:customStyle="1" w:styleId="335">
    <w:name w:val="条文 0"/>
    <w:next w:val="1"/>
    <w:qFormat/>
    <w:uiPriority w:val="0"/>
    <w:pPr>
      <w:spacing w:before="240" w:after="240"/>
    </w:pPr>
    <w:rPr>
      <w:rFonts w:ascii="Times New Roman" w:hAnsi="Times New Roman" w:eastAsia="黑体" w:cs="Times New Roman"/>
      <w:sz w:val="21"/>
      <w:lang w:val="en-US" w:eastAsia="zh-CN" w:bidi="ar-SA"/>
    </w:rPr>
  </w:style>
  <w:style w:type="paragraph" w:customStyle="1" w:styleId="336">
    <w:name w:val="条文 4"/>
    <w:next w:val="1"/>
    <w:qFormat/>
    <w:uiPriority w:val="0"/>
    <w:pPr>
      <w:spacing w:line="310" w:lineRule="exact"/>
    </w:pPr>
    <w:rPr>
      <w:rFonts w:ascii="Times New Roman" w:hAnsi="Times New Roman" w:eastAsia="黑体" w:cs="Times New Roman"/>
      <w:sz w:val="21"/>
      <w:lang w:val="en-US" w:eastAsia="zh-CN" w:bidi="ar-SA"/>
    </w:rPr>
  </w:style>
  <w:style w:type="paragraph" w:customStyle="1" w:styleId="337">
    <w:name w:val="图名图序"/>
    <w:qFormat/>
    <w:uiPriority w:val="0"/>
    <w:pPr>
      <w:adjustRightInd w:val="0"/>
      <w:spacing w:before="120" w:after="240"/>
      <w:jc w:val="center"/>
    </w:pPr>
    <w:rPr>
      <w:rFonts w:ascii="宋体" w:hAnsi="宋体" w:eastAsia="宋体" w:cs="Times New Roman"/>
      <w:kern w:val="2"/>
      <w:sz w:val="21"/>
      <w:lang w:val="en-US" w:eastAsia="zh-CN" w:bidi="ar-SA"/>
    </w:rPr>
  </w:style>
  <w:style w:type="paragraph" w:customStyle="1" w:styleId="338">
    <w:name w:val="条文 3"/>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339">
    <w:name w:val="Char Char Char Char Char Char Char"/>
    <w:basedOn w:val="1"/>
    <w:qFormat/>
    <w:uiPriority w:val="0"/>
    <w:rPr>
      <w:rFonts w:ascii="仿宋_GB2312" w:eastAsia="仿宋_GB2312"/>
      <w:b/>
      <w:sz w:val="32"/>
      <w:szCs w:val="32"/>
    </w:rPr>
  </w:style>
  <w:style w:type="paragraph" w:customStyle="1" w:styleId="340">
    <w:name w:val="样式 目录 1 + 左侧:  3 字符"/>
    <w:basedOn w:val="50"/>
    <w:qFormat/>
    <w:uiPriority w:val="0"/>
    <w:pPr>
      <w:tabs>
        <w:tab w:val="left" w:pos="425"/>
        <w:tab w:val="left" w:pos="1680"/>
        <w:tab w:val="right" w:leader="dot" w:pos="8495"/>
        <w:tab w:val="right" w:pos="9060"/>
        <w:tab w:val="clear" w:pos="8778"/>
      </w:tabs>
      <w:snapToGrid/>
      <w:spacing w:line="240" w:lineRule="auto"/>
      <w:ind w:left="425" w:hanging="425"/>
    </w:pPr>
    <w:rPr>
      <w:bCs w:val="0"/>
      <w:iCs w:val="0"/>
      <w:caps w:val="0"/>
      <w:color w:val="7030A0"/>
      <w:kern w:val="2"/>
      <w:sz w:val="21"/>
      <w:szCs w:val="20"/>
    </w:rPr>
  </w:style>
  <w:style w:type="paragraph" w:customStyle="1" w:styleId="341">
    <w:name w:val="章节标题 BJ8"/>
    <w:basedOn w:val="177"/>
    <w:next w:val="177"/>
    <w:qFormat/>
    <w:uiPriority w:val="0"/>
    <w:pPr>
      <w:ind w:firstLine="0" w:firstLineChars="0"/>
      <w:jc w:val="center"/>
    </w:pPr>
    <w:rPr>
      <w:rFonts w:eastAsia="黑体"/>
      <w:b/>
      <w:sz w:val="44"/>
      <w:szCs w:val="84"/>
    </w:rPr>
  </w:style>
  <w:style w:type="paragraph" w:customStyle="1" w:styleId="342">
    <w:name w:val="条文 1"/>
    <w:next w:val="1"/>
    <w:qFormat/>
    <w:uiPriority w:val="0"/>
    <w:pPr>
      <w:spacing w:line="310" w:lineRule="exact"/>
      <w:ind w:left="420"/>
    </w:pPr>
    <w:rPr>
      <w:rFonts w:ascii="Times New Roman" w:hAnsi="Times New Roman" w:eastAsia="黑体" w:cs="Times New Roman"/>
      <w:sz w:val="21"/>
      <w:lang w:val="en-US" w:eastAsia="zh-CN" w:bidi="ar-SA"/>
    </w:rPr>
  </w:style>
  <w:style w:type="paragraph" w:customStyle="1" w:styleId="343">
    <w:name w:val="表格"/>
    <w:basedOn w:val="1"/>
    <w:qFormat/>
    <w:uiPriority w:val="0"/>
    <w:pPr>
      <w:widowControl/>
      <w:snapToGrid w:val="0"/>
      <w:spacing w:before="60" w:after="60"/>
      <w:jc w:val="left"/>
    </w:pPr>
    <w:rPr>
      <w:rFonts w:ascii="宋体"/>
      <w:sz w:val="20"/>
      <w:szCs w:val="20"/>
    </w:rPr>
  </w:style>
  <w:style w:type="paragraph" w:customStyle="1" w:styleId="344">
    <w:name w:val="xl27"/>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pPr>
    <w:rPr>
      <w:kern w:val="0"/>
      <w:sz w:val="24"/>
    </w:rPr>
  </w:style>
  <w:style w:type="paragraph" w:customStyle="1" w:styleId="345">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4"/>
    </w:rPr>
  </w:style>
  <w:style w:type="paragraph" w:customStyle="1" w:styleId="346">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20"/>
      <w:szCs w:val="20"/>
    </w:rPr>
  </w:style>
  <w:style w:type="paragraph" w:customStyle="1" w:styleId="347">
    <w:name w:val="条文 表"/>
    <w:next w:val="1"/>
    <w:qFormat/>
    <w:uiPriority w:val="0"/>
    <w:pPr>
      <w:jc w:val="center"/>
    </w:pPr>
    <w:rPr>
      <w:rFonts w:ascii="Times New Roman" w:hAnsi="Times New Roman" w:eastAsia="黑体" w:cs="Times New Roman"/>
      <w:sz w:val="21"/>
      <w:lang w:val="en-US" w:eastAsia="zh-CN" w:bidi="ar-SA"/>
    </w:rPr>
  </w:style>
  <w:style w:type="paragraph" w:customStyle="1" w:styleId="348">
    <w:name w:val="大标题"/>
    <w:qFormat/>
    <w:uiPriority w:val="0"/>
    <w:pPr>
      <w:tabs>
        <w:tab w:val="left" w:pos="1134"/>
      </w:tabs>
      <w:snapToGrid w:val="0"/>
      <w:spacing w:before="240" w:after="240" w:line="288" w:lineRule="auto"/>
    </w:pPr>
    <w:rPr>
      <w:rFonts w:ascii="黑体" w:hAnsi="Times New Roman" w:eastAsia="黑体" w:cs="Times New Roman"/>
      <w:sz w:val="24"/>
      <w:lang w:val="en-US" w:eastAsia="zh-CN" w:bidi="ar-SA"/>
    </w:rPr>
  </w:style>
  <w:style w:type="paragraph" w:customStyle="1" w:styleId="349">
    <w:name w:val="重点"/>
    <w:basedOn w:val="1"/>
    <w:qFormat/>
    <w:uiPriority w:val="0"/>
    <w:pPr>
      <w:tabs>
        <w:tab w:val="left" w:pos="0"/>
        <w:tab w:val="left" w:pos="814"/>
      </w:tabs>
      <w:adjustRightInd w:val="0"/>
      <w:snapToGrid w:val="0"/>
      <w:spacing w:line="560" w:lineRule="atLeast"/>
      <w:ind w:left="737" w:hanging="283" w:firstLineChars="200"/>
      <w:jc w:val="left"/>
    </w:pPr>
    <w:rPr>
      <w:color w:val="7030A0"/>
      <w:kern w:val="24"/>
      <w:sz w:val="30"/>
      <w:szCs w:val="20"/>
    </w:rPr>
  </w:style>
  <w:style w:type="paragraph" w:customStyle="1" w:styleId="350">
    <w:name w:val="青岛正文"/>
    <w:basedOn w:val="1"/>
    <w:qFormat/>
    <w:uiPriority w:val="0"/>
    <w:pPr>
      <w:spacing w:line="360" w:lineRule="auto"/>
    </w:pPr>
    <w:rPr>
      <w:sz w:val="28"/>
    </w:rPr>
  </w:style>
  <w:style w:type="paragraph" w:customStyle="1" w:styleId="351">
    <w:name w:val="样式 样式 列表框 Char Char Char Char Char + 右侧:  -0.05 字符 段后: 0.5 行 + 右..."/>
    <w:basedOn w:val="352"/>
    <w:qFormat/>
    <w:uiPriority w:val="0"/>
    <w:pPr>
      <w:tabs>
        <w:tab w:val="left" w:pos="375"/>
        <w:tab w:val="left" w:pos="630"/>
      </w:tabs>
    </w:pPr>
  </w:style>
  <w:style w:type="paragraph" w:customStyle="1" w:styleId="352">
    <w:name w:val="样式 列表框 Char Char Char Char Char + 右侧:  -0.05 字符 段后: 0.5 行"/>
    <w:basedOn w:val="234"/>
    <w:qFormat/>
    <w:uiPriority w:val="0"/>
    <w:pPr>
      <w:tabs>
        <w:tab w:val="left" w:pos="375"/>
        <w:tab w:val="clear" w:pos="450"/>
        <w:tab w:val="clear" w:pos="874"/>
      </w:tabs>
      <w:ind w:left="0" w:firstLine="0"/>
    </w:pPr>
    <w:rPr>
      <w:szCs w:val="20"/>
    </w:rPr>
  </w:style>
  <w:style w:type="paragraph" w:customStyle="1" w:styleId="353">
    <w:name w:val="xl39"/>
    <w:basedOn w:val="1"/>
    <w:qFormat/>
    <w:uiPriority w:val="0"/>
    <w:pPr>
      <w:widowControl/>
      <w:pBdr>
        <w:top w:val="single" w:color="auto" w:sz="4" w:space="0"/>
        <w:bottom w:val="single" w:color="auto" w:sz="4" w:space="0"/>
      </w:pBdr>
      <w:spacing w:before="100" w:beforeAutospacing="1" w:after="100" w:afterAutospacing="1"/>
      <w:jc w:val="left"/>
    </w:pPr>
    <w:rPr>
      <w:kern w:val="0"/>
      <w:sz w:val="24"/>
    </w:rPr>
  </w:style>
  <w:style w:type="paragraph" w:customStyle="1" w:styleId="354">
    <w:name w:val="正文文本 21"/>
    <w:basedOn w:val="1"/>
    <w:qFormat/>
    <w:uiPriority w:val="0"/>
    <w:pPr>
      <w:autoSpaceDE w:val="0"/>
      <w:autoSpaceDN w:val="0"/>
      <w:adjustRightInd w:val="0"/>
      <w:ind w:left="525" w:firstLine="525" w:firstLineChars="200"/>
      <w:jc w:val="left"/>
      <w:textAlignment w:val="baseline"/>
    </w:pPr>
    <w:rPr>
      <w:color w:val="7030A0"/>
      <w:szCs w:val="20"/>
    </w:rPr>
  </w:style>
  <w:style w:type="paragraph" w:customStyle="1" w:styleId="355">
    <w:name w:val="Report Heading"/>
    <w:basedOn w:val="1"/>
    <w:next w:val="1"/>
    <w:qFormat/>
    <w:uiPriority w:val="0"/>
    <w:pPr>
      <w:keepNext/>
      <w:widowControl/>
      <w:spacing w:before="120" w:after="138"/>
      <w:ind w:left="1080" w:firstLine="200" w:firstLineChars="200"/>
      <w:jc w:val="left"/>
    </w:pPr>
    <w:rPr>
      <w:rFonts w:ascii="Arial" w:hAnsi="Arial"/>
      <w:b/>
      <w:color w:val="7030A0"/>
      <w:kern w:val="0"/>
      <w:sz w:val="22"/>
      <w:szCs w:val="20"/>
      <w:lang w:val="en-GB"/>
    </w:rPr>
  </w:style>
  <w:style w:type="paragraph" w:customStyle="1" w:styleId="356">
    <w:name w:val="xl3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kern w:val="0"/>
      <w:sz w:val="24"/>
    </w:rPr>
  </w:style>
  <w:style w:type="paragraph" w:customStyle="1" w:styleId="357">
    <w:name w:val="修订1"/>
    <w:qFormat/>
    <w:uiPriority w:val="0"/>
    <w:rPr>
      <w:rFonts w:ascii="Times New Roman" w:hAnsi="Times New Roman" w:eastAsia="宋体" w:cs="Times New Roman"/>
      <w:kern w:val="2"/>
      <w:sz w:val="21"/>
      <w:lang w:val="en-US" w:eastAsia="zh-CN" w:bidi="ar-SA"/>
    </w:rPr>
  </w:style>
  <w:style w:type="paragraph" w:customStyle="1" w:styleId="358">
    <w:name w:val="正文C"/>
    <w:qFormat/>
    <w:uiPriority w:val="0"/>
    <w:pPr>
      <w:widowControl w:val="0"/>
      <w:adjustRightInd w:val="0"/>
      <w:snapToGrid w:val="0"/>
      <w:spacing w:line="360" w:lineRule="auto"/>
      <w:ind w:right="31" w:rightChars="15" w:firstLine="420" w:firstLineChars="200"/>
      <w:jc w:val="both"/>
    </w:pPr>
    <w:rPr>
      <w:rFonts w:ascii="Times New Roman" w:hAnsi="Times New Roman" w:eastAsia="宋体" w:cs="宋体"/>
      <w:kern w:val="44"/>
      <w:sz w:val="24"/>
      <w:lang w:val="en-US" w:eastAsia="zh-CN" w:bidi="ar-SA"/>
    </w:rPr>
  </w:style>
  <w:style w:type="paragraph" w:customStyle="1" w:styleId="359">
    <w:name w:val="文档结构图2"/>
    <w:basedOn w:val="1"/>
    <w:qFormat/>
    <w:uiPriority w:val="0"/>
    <w:pPr>
      <w:shd w:val="clear" w:color="auto" w:fill="000080"/>
      <w:autoSpaceDE w:val="0"/>
      <w:autoSpaceDN w:val="0"/>
      <w:adjustRightInd w:val="0"/>
      <w:ind w:firstLine="200" w:firstLineChars="200"/>
      <w:jc w:val="left"/>
      <w:textAlignment w:val="baseline"/>
    </w:pPr>
    <w:rPr>
      <w:color w:val="7030A0"/>
      <w:szCs w:val="20"/>
    </w:rPr>
  </w:style>
  <w:style w:type="paragraph" w:customStyle="1" w:styleId="360">
    <w:name w:val="Char Char Char Char11"/>
    <w:basedOn w:val="1"/>
    <w:qFormat/>
    <w:uiPriority w:val="0"/>
    <w:pPr>
      <w:ind w:firstLine="200" w:firstLineChars="200"/>
      <w:jc w:val="left"/>
    </w:pPr>
    <w:rPr>
      <w:rFonts w:ascii="仿宋_GB2312" w:eastAsia="仿宋_GB2312"/>
      <w:b/>
      <w:color w:val="7030A0"/>
      <w:sz w:val="32"/>
      <w:szCs w:val="32"/>
    </w:rPr>
  </w:style>
  <w:style w:type="paragraph" w:customStyle="1" w:styleId="361">
    <w:name w:val="样式 标题 2标题 1.1编号标题2head:2#2 headlinehheadlineS&amp;R2ERMH2He..."/>
    <w:basedOn w:val="5"/>
    <w:qFormat/>
    <w:uiPriority w:val="0"/>
    <w:pPr>
      <w:keepNext w:val="0"/>
      <w:keepLines w:val="0"/>
      <w:spacing w:before="120" w:after="120" w:line="500" w:lineRule="exact"/>
      <w:jc w:val="left"/>
    </w:pPr>
    <w:rPr>
      <w:rFonts w:cs="宋体"/>
      <w:color w:val="C00000"/>
      <w:kern w:val="44"/>
      <w:sz w:val="28"/>
      <w:szCs w:val="20"/>
    </w:rPr>
  </w:style>
  <w:style w:type="paragraph" w:customStyle="1" w:styleId="362">
    <w:name w:val="章节标题 QD3"/>
    <w:basedOn w:val="175"/>
    <w:next w:val="175"/>
    <w:qFormat/>
    <w:uiPriority w:val="0"/>
    <w:pPr>
      <w:ind w:firstLine="0" w:firstLineChars="0"/>
      <w:jc w:val="center"/>
    </w:pPr>
    <w:rPr>
      <w:rFonts w:eastAsia="黑体"/>
      <w:b/>
      <w:sz w:val="44"/>
      <w:szCs w:val="84"/>
    </w:rPr>
  </w:style>
  <w:style w:type="paragraph" w:customStyle="1" w:styleId="363">
    <w:name w:val="Char2"/>
    <w:basedOn w:val="1"/>
    <w:qFormat/>
    <w:uiPriority w:val="0"/>
    <w:pPr>
      <w:widowControl/>
      <w:spacing w:after="160" w:line="240" w:lineRule="exact"/>
      <w:ind w:firstLine="200" w:firstLineChars="200"/>
      <w:jc w:val="left"/>
    </w:pPr>
    <w:rPr>
      <w:rFonts w:ascii="Verdana" w:hAnsi="Verdana" w:eastAsia="仿宋_GB2312"/>
      <w:color w:val="7030A0"/>
      <w:kern w:val="0"/>
      <w:sz w:val="24"/>
      <w:szCs w:val="20"/>
      <w:lang w:eastAsia="en-US"/>
    </w:rPr>
  </w:style>
  <w:style w:type="paragraph" w:customStyle="1" w:styleId="364">
    <w:name w:val="xiao b"/>
    <w:basedOn w:val="1"/>
    <w:qFormat/>
    <w:uiPriority w:val="0"/>
    <w:pPr>
      <w:ind w:firstLine="200" w:firstLineChars="200"/>
      <w:jc w:val="center"/>
    </w:pPr>
    <w:rPr>
      <w:rFonts w:eastAsia="黑体"/>
      <w:color w:val="7030A0"/>
      <w:sz w:val="24"/>
      <w:szCs w:val="20"/>
    </w:rPr>
  </w:style>
  <w:style w:type="paragraph" w:customStyle="1" w:styleId="365">
    <w:name w:val="样式 标题 4 + 加粗"/>
    <w:basedOn w:val="6"/>
    <w:qFormat/>
    <w:uiPriority w:val="0"/>
    <w:pPr>
      <w:keepNext w:val="0"/>
      <w:keepLines w:val="0"/>
      <w:spacing w:before="120" w:after="0" w:line="240" w:lineRule="auto"/>
      <w:jc w:val="left"/>
    </w:pPr>
    <w:rPr>
      <w:rFonts w:ascii="Times New Roman" w:hAnsi="Times New Roman"/>
      <w:b w:val="0"/>
      <w:color w:val="00B050"/>
      <w:sz w:val="24"/>
    </w:rPr>
  </w:style>
  <w:style w:type="paragraph" w:customStyle="1" w:styleId="366">
    <w:name w:val="Plain Text1"/>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67">
    <w:name w:val="Char Char Char Char1"/>
    <w:basedOn w:val="1"/>
    <w:qFormat/>
    <w:uiPriority w:val="0"/>
    <w:pPr>
      <w:ind w:firstLine="200" w:firstLineChars="200"/>
      <w:jc w:val="left"/>
    </w:pPr>
    <w:rPr>
      <w:rFonts w:ascii="仿宋_GB2312" w:eastAsia="仿宋_GB2312"/>
      <w:b/>
      <w:color w:val="7030A0"/>
      <w:sz w:val="32"/>
      <w:szCs w:val="32"/>
    </w:rPr>
  </w:style>
  <w:style w:type="paragraph" w:customStyle="1" w:styleId="368">
    <w:name w:val="Plain Text2"/>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369">
    <w:name w:val="正文2"/>
    <w:basedOn w:val="29"/>
    <w:qFormat/>
    <w:uiPriority w:val="0"/>
    <w:pPr>
      <w:ind w:firstLine="480" w:firstLineChars="200"/>
      <w:jc w:val="left"/>
    </w:pPr>
    <w:rPr>
      <w:rFonts w:ascii="宋体"/>
      <w:color w:val="7030A0"/>
      <w:szCs w:val="24"/>
    </w:rPr>
  </w:style>
  <w:style w:type="paragraph" w:customStyle="1" w:styleId="370">
    <w:name w:val="列表框1"/>
    <w:basedOn w:val="306"/>
    <w:next w:val="306"/>
    <w:qFormat/>
    <w:uiPriority w:val="0"/>
    <w:pPr>
      <w:tabs>
        <w:tab w:val="left" w:pos="960"/>
        <w:tab w:val="left" w:pos="1314"/>
      </w:tabs>
      <w:snapToGrid w:val="0"/>
      <w:ind w:left="1328" w:leftChars="397" w:hanging="375" w:hangingChars="163"/>
    </w:pPr>
    <w:rPr>
      <w:rFonts w:cs="Arial"/>
    </w:rPr>
  </w:style>
  <w:style w:type="paragraph" w:customStyle="1" w:styleId="371">
    <w:name w:val="Body Text1"/>
    <w:qFormat/>
    <w:uiPriority w:val="0"/>
    <w:pPr>
      <w:widowControl w:val="0"/>
      <w:autoSpaceDE w:val="0"/>
      <w:autoSpaceDN w:val="0"/>
      <w:adjustRightInd w:val="0"/>
      <w:spacing w:before="170" w:line="300" w:lineRule="atLeast"/>
      <w:ind w:left="1134"/>
      <w:jc w:val="both"/>
    </w:pPr>
    <w:rPr>
      <w:rFonts w:ascii="Times New Roman" w:hAnsi="Times New Roman" w:eastAsia="宋体" w:cs="Times New Roman"/>
      <w:color w:val="000000"/>
      <w:sz w:val="24"/>
      <w:lang w:val="en-US" w:eastAsia="zh-CN" w:bidi="ar-SA"/>
    </w:rPr>
  </w:style>
  <w:style w:type="paragraph" w:customStyle="1" w:styleId="372">
    <w:name w:val="五级"/>
    <w:basedOn w:val="5"/>
    <w:qFormat/>
    <w:uiPriority w:val="0"/>
    <w:pPr>
      <w:keepNext w:val="0"/>
      <w:keepLines w:val="0"/>
      <w:tabs>
        <w:tab w:val="left" w:pos="851"/>
      </w:tabs>
      <w:spacing w:before="0" w:after="0" w:line="360" w:lineRule="auto"/>
      <w:ind w:left="851" w:hanging="851"/>
      <w:jc w:val="left"/>
    </w:pPr>
    <w:rPr>
      <w:rFonts w:ascii="宋体" w:hAnsi="宋体" w:eastAsia="宋体"/>
      <w:b w:val="0"/>
      <w:color w:val="C00000"/>
      <w:sz w:val="24"/>
    </w:rPr>
  </w:style>
  <w:style w:type="paragraph" w:customStyle="1" w:styleId="373">
    <w:name w:val="1."/>
    <w:basedOn w:val="1"/>
    <w:qFormat/>
    <w:uiPriority w:val="0"/>
    <w:pPr>
      <w:tabs>
        <w:tab w:val="left" w:pos="0"/>
        <w:tab w:val="left" w:pos="426"/>
      </w:tabs>
      <w:adjustRightInd w:val="0"/>
      <w:spacing w:before="60" w:after="60" w:line="360" w:lineRule="atLeast"/>
      <w:ind w:left="426" w:hanging="426" w:firstLineChars="200"/>
      <w:jc w:val="left"/>
      <w:textAlignment w:val="baseline"/>
    </w:pPr>
    <w:rPr>
      <w:rFonts w:ascii="Arial" w:hAnsi="Arial"/>
      <w:color w:val="7030A0"/>
      <w:kern w:val="0"/>
      <w:szCs w:val="20"/>
    </w:rPr>
  </w:style>
  <w:style w:type="paragraph" w:customStyle="1" w:styleId="374">
    <w:name w:val="xl57"/>
    <w:basedOn w:val="1"/>
    <w:qFormat/>
    <w:uiPriority w:val="0"/>
    <w:pPr>
      <w:widowControl/>
      <w:pBdr>
        <w:top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75">
    <w:name w:val="正文点缩进"/>
    <w:basedOn w:val="1"/>
    <w:qFormat/>
    <w:uiPriority w:val="0"/>
    <w:pPr>
      <w:widowControl/>
      <w:tabs>
        <w:tab w:val="left" w:pos="1758"/>
      </w:tabs>
      <w:snapToGrid w:val="0"/>
      <w:spacing w:after="60" w:line="288" w:lineRule="auto"/>
      <w:ind w:firstLine="200" w:firstLineChars="200"/>
      <w:jc w:val="left"/>
    </w:pPr>
    <w:rPr>
      <w:rFonts w:ascii="宋体"/>
      <w:color w:val="7030A0"/>
      <w:sz w:val="22"/>
      <w:szCs w:val="20"/>
      <w:shd w:val="clear" w:color="auto" w:fill="FFFFFF"/>
    </w:rPr>
  </w:style>
  <w:style w:type="paragraph" w:customStyle="1" w:styleId="376">
    <w:name w:val="xl41"/>
    <w:basedOn w:val="1"/>
    <w:qFormat/>
    <w:uiPriority w:val="0"/>
    <w:pPr>
      <w:widowControl/>
      <w:spacing w:before="100" w:beforeAutospacing="1" w:after="100" w:afterAutospacing="1"/>
      <w:ind w:firstLine="200" w:firstLineChars="200"/>
      <w:jc w:val="center"/>
      <w:textAlignment w:val="center"/>
    </w:pPr>
    <w:rPr>
      <w:rFonts w:ascii="宋体" w:hAnsi="宋体"/>
      <w:color w:val="7030A0"/>
      <w:kern w:val="0"/>
      <w:szCs w:val="21"/>
    </w:rPr>
  </w:style>
  <w:style w:type="paragraph" w:customStyle="1" w:styleId="377">
    <w:name w:val="样式 左侧:  2 字符 首行缩进:  0.85 厘米"/>
    <w:basedOn w:val="1"/>
    <w:qFormat/>
    <w:uiPriority w:val="0"/>
    <w:pPr>
      <w:adjustRightInd w:val="0"/>
      <w:snapToGrid w:val="0"/>
      <w:spacing w:line="360" w:lineRule="auto"/>
      <w:ind w:firstLine="425" w:firstLineChars="200"/>
      <w:jc w:val="left"/>
    </w:pPr>
    <w:rPr>
      <w:rFonts w:ascii="宋体" w:hAnsi="宋体" w:cs="宋体"/>
      <w:color w:val="7030A0"/>
      <w:szCs w:val="20"/>
    </w:rPr>
  </w:style>
  <w:style w:type="paragraph" w:customStyle="1" w:styleId="378">
    <w:name w:val="xl55"/>
    <w:basedOn w:val="1"/>
    <w:qFormat/>
    <w:uiPriority w:val="0"/>
    <w:pPr>
      <w:widowControl/>
      <w:pBdr>
        <w:top w:val="single" w:color="auto" w:sz="4" w:space="0"/>
        <w:lef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79">
    <w:name w:val="Char Char Char Char Char Char Char Char"/>
    <w:basedOn w:val="1"/>
    <w:qFormat/>
    <w:uiPriority w:val="0"/>
    <w:pPr>
      <w:ind w:firstLine="200" w:firstLineChars="200"/>
      <w:jc w:val="left"/>
    </w:pPr>
    <w:rPr>
      <w:rFonts w:ascii="Tahoma" w:hAnsi="Tahoma"/>
      <w:color w:val="7030A0"/>
      <w:sz w:val="24"/>
      <w:szCs w:val="20"/>
    </w:rPr>
  </w:style>
  <w:style w:type="paragraph" w:customStyle="1" w:styleId="380">
    <w:name w:val="StandardOhneEinzug"/>
    <w:basedOn w:val="1"/>
    <w:qFormat/>
    <w:uiPriority w:val="0"/>
    <w:pPr>
      <w:widowControl/>
      <w:tabs>
        <w:tab w:val="left" w:pos="560"/>
      </w:tabs>
      <w:spacing w:after="240" w:line="288" w:lineRule="auto"/>
      <w:ind w:left="200" w:firstLine="200" w:firstLineChars="200"/>
      <w:jc w:val="left"/>
    </w:pPr>
    <w:rPr>
      <w:rFonts w:ascii="Arial" w:hAnsi="Arial"/>
      <w:color w:val="7030A0"/>
      <w:kern w:val="0"/>
      <w:sz w:val="22"/>
      <w:szCs w:val="20"/>
      <w:lang w:val="de-DE"/>
    </w:rPr>
  </w:style>
  <w:style w:type="paragraph" w:customStyle="1" w:styleId="381">
    <w:name w:val="投标正文"/>
    <w:basedOn w:val="1"/>
    <w:qFormat/>
    <w:uiPriority w:val="0"/>
    <w:pPr>
      <w:spacing w:line="360" w:lineRule="auto"/>
      <w:ind w:firstLine="200" w:firstLineChars="200"/>
      <w:jc w:val="left"/>
    </w:pPr>
    <w:rPr>
      <w:rFonts w:eastAsia="黑体"/>
      <w:color w:val="7030A0"/>
      <w:spacing w:val="20"/>
      <w:sz w:val="32"/>
      <w:szCs w:val="32"/>
    </w:rPr>
  </w:style>
  <w:style w:type="paragraph" w:customStyle="1" w:styleId="382">
    <w:name w:val="招标文件A）"/>
    <w:qFormat/>
    <w:uiPriority w:val="0"/>
    <w:pPr>
      <w:spacing w:before="120" w:after="120" w:line="300" w:lineRule="auto"/>
      <w:outlineLvl w:val="6"/>
    </w:pPr>
    <w:rPr>
      <w:rFonts w:ascii="宋体" w:hAnsi="Times New Roman" w:eastAsia="宋体" w:cs="Times New Roman"/>
      <w:spacing w:val="10"/>
      <w:w w:val="95"/>
      <w:sz w:val="21"/>
      <w:lang w:val="en-US" w:eastAsia="zh-CN" w:bidi="ar-SA"/>
    </w:rPr>
  </w:style>
  <w:style w:type="paragraph" w:customStyle="1" w:styleId="383">
    <w:name w:val="标书正文"/>
    <w:basedOn w:val="1"/>
    <w:qFormat/>
    <w:uiPriority w:val="0"/>
    <w:pPr>
      <w:spacing w:before="100" w:after="100" w:line="440" w:lineRule="atLeast"/>
      <w:ind w:left="176" w:firstLine="200" w:firstLineChars="200"/>
      <w:jc w:val="left"/>
    </w:pPr>
    <w:rPr>
      <w:rFonts w:ascii="宋体" w:hAnsi="宋体"/>
      <w:color w:val="7030A0"/>
      <w:spacing w:val="20"/>
      <w:sz w:val="24"/>
    </w:rPr>
  </w:style>
  <w:style w:type="paragraph" w:customStyle="1" w:styleId="384">
    <w:name w:val="xl44"/>
    <w:basedOn w:val="1"/>
    <w:qFormat/>
    <w:uiPriority w:val="0"/>
    <w:pPr>
      <w:widowControl/>
      <w:pBdr>
        <w:right w:val="single" w:color="auto" w:sz="4" w:space="0"/>
      </w:pBdr>
      <w:spacing w:before="100" w:after="100"/>
      <w:ind w:firstLine="200" w:firstLineChars="200"/>
      <w:jc w:val="center"/>
    </w:pPr>
    <w:rPr>
      <w:rFonts w:ascii="宋体" w:hAnsi="宋体"/>
      <w:color w:val="7030A0"/>
      <w:kern w:val="0"/>
      <w:sz w:val="24"/>
      <w:szCs w:val="20"/>
    </w:rPr>
  </w:style>
  <w:style w:type="paragraph" w:customStyle="1" w:styleId="385">
    <w:name w:val="招标文件1.1"/>
    <w:qFormat/>
    <w:uiPriority w:val="0"/>
    <w:pPr>
      <w:tabs>
        <w:tab w:val="left" w:pos="630"/>
      </w:tabs>
      <w:spacing w:before="120" w:after="120" w:line="480" w:lineRule="exact"/>
      <w:ind w:left="200"/>
      <w:outlineLvl w:val="2"/>
    </w:pPr>
    <w:rPr>
      <w:rFonts w:ascii="宋体" w:hAnsi="Times New Roman" w:eastAsia="宋体" w:cs="Times New Roman"/>
      <w:b/>
      <w:spacing w:val="10"/>
      <w:w w:val="95"/>
      <w:sz w:val="24"/>
      <w:lang w:val="en-US" w:eastAsia="zh-CN" w:bidi="ar-SA"/>
    </w:rPr>
  </w:style>
  <w:style w:type="paragraph" w:customStyle="1" w:styleId="386">
    <w:name w:val="xl42"/>
    <w:basedOn w:val="1"/>
    <w:qFormat/>
    <w:uiPriority w:val="0"/>
    <w:pPr>
      <w:widowControl/>
      <w:pBdr>
        <w:top w:val="single" w:color="auto" w:sz="4" w:space="0"/>
        <w:left w:val="single" w:color="auto" w:sz="4" w:space="0"/>
        <w:bottom w:val="single" w:color="auto" w:sz="4" w:space="0"/>
        <w:right w:val="single" w:color="auto" w:sz="4" w:space="0"/>
      </w:pBdr>
      <w:spacing w:before="100" w:after="100"/>
      <w:ind w:firstLine="200" w:firstLineChars="200"/>
      <w:jc w:val="center"/>
      <w:textAlignment w:val="center"/>
    </w:pPr>
    <w:rPr>
      <w:rFonts w:eastAsia="Arial Unicode MS"/>
      <w:color w:val="7030A0"/>
      <w:kern w:val="0"/>
      <w:szCs w:val="20"/>
    </w:rPr>
  </w:style>
  <w:style w:type="paragraph" w:customStyle="1" w:styleId="387">
    <w:name w:val="xl46"/>
    <w:basedOn w:val="1"/>
    <w:qFormat/>
    <w:uiPriority w:val="0"/>
    <w:pPr>
      <w:widowControl/>
      <w:pBdr>
        <w:top w:val="single" w:color="auto" w:sz="4" w:space="0"/>
        <w:left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88">
    <w:name w:val="xl48"/>
    <w:basedOn w:val="1"/>
    <w:qFormat/>
    <w:uiPriority w:val="0"/>
    <w:pPr>
      <w:widowControl/>
      <w:pBdr>
        <w:left w:val="single" w:color="auto" w:sz="4" w:space="0"/>
        <w:bottom w:val="single" w:color="auto" w:sz="4" w:space="0"/>
        <w:right w:val="single" w:color="auto" w:sz="4" w:space="0"/>
      </w:pBdr>
      <w:spacing w:before="100" w:after="100"/>
      <w:ind w:firstLine="200" w:firstLineChars="200"/>
      <w:jc w:val="center"/>
      <w:textAlignment w:val="center"/>
    </w:pPr>
    <w:rPr>
      <w:rFonts w:ascii="Arial Unicode MS" w:hAnsi="Arial Unicode MS" w:eastAsia="Arial Unicode MS"/>
      <w:color w:val="7030A0"/>
      <w:kern w:val="0"/>
      <w:szCs w:val="20"/>
    </w:rPr>
  </w:style>
  <w:style w:type="paragraph" w:customStyle="1" w:styleId="389">
    <w:name w:val="xl60"/>
    <w:basedOn w:val="1"/>
    <w:qFormat/>
    <w:uiPriority w:val="0"/>
    <w:pPr>
      <w:widowControl/>
      <w:pBdr>
        <w:top w:val="single" w:color="auto" w:sz="4" w:space="0"/>
        <w:left w:val="single" w:color="auto" w:sz="4" w:space="0"/>
        <w:bottom w:val="single" w:color="auto" w:sz="4" w:space="0"/>
      </w:pBdr>
      <w:spacing w:before="100" w:after="100"/>
      <w:ind w:firstLine="200" w:firstLineChars="200"/>
      <w:jc w:val="center"/>
      <w:textAlignment w:val="center"/>
    </w:pPr>
    <w:rPr>
      <w:rFonts w:eastAsia="Arial Unicode MS"/>
      <w:color w:val="7030A0"/>
      <w:kern w:val="0"/>
      <w:szCs w:val="20"/>
    </w:rPr>
  </w:style>
  <w:style w:type="paragraph" w:customStyle="1" w:styleId="390">
    <w:name w:val="样式 目录 1"/>
    <w:basedOn w:val="50"/>
    <w:qFormat/>
    <w:uiPriority w:val="0"/>
    <w:pPr>
      <w:tabs>
        <w:tab w:val="left" w:pos="420"/>
        <w:tab w:val="left" w:pos="525"/>
        <w:tab w:val="left" w:pos="1680"/>
        <w:tab w:val="right" w:leader="dot" w:pos="8495"/>
        <w:tab w:val="right" w:pos="9060"/>
        <w:tab w:val="clear" w:pos="8778"/>
      </w:tabs>
      <w:snapToGrid/>
      <w:spacing w:line="240" w:lineRule="auto"/>
      <w:ind w:left="525" w:hanging="425"/>
    </w:pPr>
    <w:rPr>
      <w:bCs w:val="0"/>
      <w:iCs w:val="0"/>
      <w:caps w:val="0"/>
      <w:color w:val="7030A0"/>
      <w:kern w:val="2"/>
      <w:sz w:val="21"/>
      <w:szCs w:val="20"/>
    </w:rPr>
  </w:style>
  <w:style w:type="paragraph" w:customStyle="1" w:styleId="391">
    <w:name w:val="A-12"/>
    <w:basedOn w:val="1"/>
    <w:qFormat/>
    <w:uiPriority w:val="0"/>
    <w:pPr>
      <w:widowControl/>
      <w:ind w:firstLine="200" w:firstLineChars="200"/>
      <w:jc w:val="left"/>
    </w:pPr>
    <w:rPr>
      <w:rFonts w:ascii="Arial" w:hAnsi="Arial"/>
      <w:color w:val="7030A0"/>
      <w:kern w:val="0"/>
      <w:sz w:val="24"/>
      <w:szCs w:val="20"/>
      <w:lang w:val="en-GB"/>
    </w:rPr>
  </w:style>
  <w:style w:type="paragraph" w:customStyle="1" w:styleId="392">
    <w:name w:val="样式 样式 样式 宋体 小四 左侧:  1.85 厘米 段前: 11.15 磅 段后: 11.15 磅 + 图案: 清除 (白色..."/>
    <w:basedOn w:val="286"/>
    <w:qFormat/>
    <w:uiPriority w:val="0"/>
    <w:pPr>
      <w:spacing w:beforeLines="50" w:afterLines="50"/>
      <w:ind w:left="318"/>
    </w:pPr>
    <w:rPr>
      <w:szCs w:val="20"/>
    </w:rPr>
  </w:style>
  <w:style w:type="paragraph" w:customStyle="1" w:styleId="393">
    <w:name w:val="无间隔1"/>
    <w:qFormat/>
    <w:uiPriority w:val="1"/>
    <w:pPr>
      <w:widowControl w:val="0"/>
      <w:ind w:firstLine="200" w:firstLineChars="200"/>
    </w:pPr>
    <w:rPr>
      <w:rFonts w:ascii="Times New Roman" w:hAnsi="Times New Roman" w:eastAsia="宋体" w:cs="Times New Roman"/>
      <w:color w:val="7030A0"/>
      <w:kern w:val="2"/>
      <w:sz w:val="24"/>
      <w:szCs w:val="24"/>
      <w:lang w:val="en-US" w:eastAsia="zh-CN" w:bidi="ar-SA"/>
    </w:rPr>
  </w:style>
  <w:style w:type="paragraph" w:customStyle="1" w:styleId="394">
    <w:name w:val="正文文本缩进 32"/>
    <w:basedOn w:val="1"/>
    <w:qFormat/>
    <w:uiPriority w:val="0"/>
    <w:pPr>
      <w:autoSpaceDE w:val="0"/>
      <w:autoSpaceDN w:val="0"/>
      <w:adjustRightInd w:val="0"/>
      <w:ind w:firstLine="525" w:firstLineChars="200"/>
      <w:jc w:val="left"/>
      <w:textAlignment w:val="baseline"/>
    </w:pPr>
    <w:rPr>
      <w:color w:val="7030A0"/>
      <w:sz w:val="24"/>
      <w:szCs w:val="20"/>
    </w:rPr>
  </w:style>
  <w:style w:type="paragraph" w:customStyle="1" w:styleId="395">
    <w:name w:val="一级条标题"/>
    <w:basedOn w:val="1"/>
    <w:next w:val="1"/>
    <w:qFormat/>
    <w:uiPriority w:val="0"/>
    <w:pPr>
      <w:widowControl/>
      <w:tabs>
        <w:tab w:val="left" w:pos="425"/>
        <w:tab w:val="left" w:pos="525"/>
      </w:tabs>
      <w:ind w:left="425" w:hanging="425" w:firstLineChars="200"/>
      <w:jc w:val="left"/>
      <w:outlineLvl w:val="2"/>
    </w:pPr>
    <w:rPr>
      <w:rFonts w:ascii="黑体" w:eastAsia="黑体"/>
      <w:color w:val="7030A0"/>
      <w:kern w:val="0"/>
      <w:szCs w:val="20"/>
    </w:rPr>
  </w:style>
  <w:style w:type="paragraph" w:customStyle="1" w:styleId="396">
    <w:name w:val="样式 样式 正文（首行缩进两字） + 宋体 小四 首行缩进:  0 厘米 段前: 11.15 磅 段后: 11.15 磅 + 左...1"/>
    <w:basedOn w:val="1"/>
    <w:qFormat/>
    <w:uiPriority w:val="0"/>
    <w:pPr>
      <w:tabs>
        <w:tab w:val="left" w:pos="425"/>
        <w:tab w:val="left" w:pos="720"/>
      </w:tabs>
      <w:snapToGrid w:val="0"/>
      <w:spacing w:before="223" w:after="223"/>
      <w:ind w:left="200" w:leftChars="200" w:firstLine="200" w:firstLineChars="200"/>
      <w:jc w:val="left"/>
    </w:pPr>
    <w:rPr>
      <w:rFonts w:ascii="宋体" w:hAnsi="宋体"/>
      <w:color w:val="7030A0"/>
      <w:sz w:val="24"/>
      <w:szCs w:val="20"/>
    </w:rPr>
  </w:style>
  <w:style w:type="paragraph" w:customStyle="1" w:styleId="397">
    <w:name w:val="Char Char Char Char Char Char Char Char1"/>
    <w:basedOn w:val="1"/>
    <w:qFormat/>
    <w:uiPriority w:val="0"/>
    <w:pPr>
      <w:ind w:firstLine="200" w:firstLineChars="200"/>
      <w:jc w:val="left"/>
    </w:pPr>
    <w:rPr>
      <w:rFonts w:ascii="Tahoma" w:hAnsi="Tahoma"/>
      <w:color w:val="7030A0"/>
      <w:sz w:val="24"/>
      <w:szCs w:val="20"/>
    </w:rPr>
  </w:style>
  <w:style w:type="paragraph" w:customStyle="1" w:styleId="398">
    <w:name w:val="三级条标题"/>
    <w:basedOn w:val="399"/>
    <w:next w:val="1"/>
    <w:qFormat/>
    <w:uiPriority w:val="0"/>
    <w:pPr>
      <w:tabs>
        <w:tab w:val="left" w:pos="425"/>
      </w:tabs>
      <w:outlineLvl w:val="4"/>
    </w:pPr>
  </w:style>
  <w:style w:type="paragraph" w:customStyle="1" w:styleId="399">
    <w:name w:val="二级条标题"/>
    <w:basedOn w:val="395"/>
    <w:next w:val="1"/>
    <w:qFormat/>
    <w:uiPriority w:val="0"/>
    <w:pPr>
      <w:tabs>
        <w:tab w:val="clear" w:pos="525"/>
      </w:tabs>
      <w:ind w:firstLine="0" w:firstLineChars="0"/>
      <w:outlineLvl w:val="3"/>
    </w:pPr>
  </w:style>
  <w:style w:type="paragraph" w:customStyle="1" w:styleId="400">
    <w:name w:val="样式 宋体 小四 左 图案: 清除 (白色) 行距: 1.5 倍行距"/>
    <w:basedOn w:val="1"/>
    <w:qFormat/>
    <w:uiPriority w:val="0"/>
    <w:pPr>
      <w:tabs>
        <w:tab w:val="left" w:pos="840"/>
      </w:tabs>
      <w:spacing w:beforeLines="50" w:afterLines="50"/>
      <w:ind w:firstLine="200" w:firstLineChars="200"/>
      <w:jc w:val="left"/>
    </w:pPr>
    <w:rPr>
      <w:rFonts w:ascii="宋体" w:hAnsi="宋体"/>
      <w:color w:val="7030A0"/>
      <w:sz w:val="24"/>
      <w:szCs w:val="20"/>
      <w:shd w:val="clear" w:color="auto" w:fill="FFFFFF"/>
    </w:rPr>
  </w:style>
  <w:style w:type="paragraph" w:customStyle="1" w:styleId="401">
    <w:name w:val="四级条标题"/>
    <w:basedOn w:val="398"/>
    <w:next w:val="1"/>
    <w:qFormat/>
    <w:uiPriority w:val="0"/>
    <w:pPr>
      <w:outlineLvl w:val="5"/>
    </w:pPr>
  </w:style>
  <w:style w:type="paragraph" w:customStyle="1" w:styleId="402">
    <w:name w:val="六级标题格式"/>
    <w:basedOn w:val="1"/>
    <w:qFormat/>
    <w:uiPriority w:val="0"/>
    <w:pPr>
      <w:spacing w:afterLines="50" w:line="336" w:lineRule="auto"/>
      <w:ind w:firstLine="200" w:firstLineChars="200"/>
      <w:jc w:val="left"/>
      <w:outlineLvl w:val="5"/>
    </w:pPr>
    <w:rPr>
      <w:color w:val="7030A0"/>
      <w:sz w:val="24"/>
    </w:rPr>
  </w:style>
  <w:style w:type="paragraph" w:customStyle="1" w:styleId="403">
    <w:name w:val="附图 BJ15"/>
    <w:basedOn w:val="1"/>
    <w:qFormat/>
    <w:uiPriority w:val="0"/>
    <w:pPr>
      <w:adjustRightInd w:val="0"/>
      <w:snapToGrid w:val="0"/>
      <w:ind w:firstLine="200" w:firstLineChars="200"/>
      <w:jc w:val="center"/>
    </w:pPr>
    <w:rPr>
      <w:rFonts w:hAnsi="Arial"/>
      <w:color w:val="7030A0"/>
      <w:kern w:val="0"/>
    </w:rPr>
  </w:style>
  <w:style w:type="paragraph" w:customStyle="1" w:styleId="404">
    <w:name w:val="正文文本缩进 31"/>
    <w:basedOn w:val="1"/>
    <w:qFormat/>
    <w:uiPriority w:val="0"/>
    <w:pPr>
      <w:autoSpaceDE w:val="0"/>
      <w:autoSpaceDN w:val="0"/>
      <w:adjustRightInd w:val="0"/>
      <w:ind w:firstLine="525" w:firstLineChars="200"/>
      <w:jc w:val="left"/>
      <w:textAlignment w:val="baseline"/>
    </w:pPr>
    <w:rPr>
      <w:color w:val="7030A0"/>
      <w:sz w:val="24"/>
      <w:szCs w:val="20"/>
    </w:rPr>
  </w:style>
  <w:style w:type="paragraph" w:customStyle="1" w:styleId="405">
    <w:name w:val="TOC 标题1"/>
    <w:basedOn w:val="4"/>
    <w:next w:val="1"/>
    <w:qFormat/>
    <w:uiPriority w:val="0"/>
    <w:pPr>
      <w:widowControl/>
      <w:spacing w:before="480" w:after="0" w:line="276" w:lineRule="auto"/>
      <w:ind w:left="0" w:firstLine="0"/>
      <w:jc w:val="left"/>
      <w:outlineLvl w:val="9"/>
    </w:pPr>
    <w:rPr>
      <w:rFonts w:ascii="Cambria" w:hAnsi="Cambria"/>
      <w:color w:val="365F91"/>
      <w:kern w:val="0"/>
      <w:sz w:val="30"/>
      <w:szCs w:val="28"/>
    </w:rPr>
  </w:style>
  <w:style w:type="paragraph" w:customStyle="1" w:styleId="406">
    <w:name w:val="Report Level 2"/>
    <w:basedOn w:val="296"/>
    <w:next w:val="297"/>
    <w:qFormat/>
    <w:uiPriority w:val="0"/>
    <w:pPr>
      <w:tabs>
        <w:tab w:val="left" w:pos="1500"/>
        <w:tab w:val="clear" w:pos="1080"/>
      </w:tabs>
      <w:ind w:left="1500"/>
      <w:outlineLvl w:val="1"/>
    </w:pPr>
    <w:rPr>
      <w:caps w:val="0"/>
    </w:rPr>
  </w:style>
  <w:style w:type="paragraph" w:customStyle="1" w:styleId="407">
    <w:name w:val="Report Level 3"/>
    <w:basedOn w:val="296"/>
    <w:next w:val="297"/>
    <w:qFormat/>
    <w:uiPriority w:val="0"/>
    <w:pPr>
      <w:tabs>
        <w:tab w:val="left" w:pos="1889"/>
        <w:tab w:val="clear" w:pos="1080"/>
      </w:tabs>
      <w:spacing w:before="120"/>
      <w:ind w:left="1889" w:hanging="420"/>
      <w:outlineLvl w:val="2"/>
    </w:pPr>
    <w:rPr>
      <w:caps w:val="0"/>
      <w:sz w:val="20"/>
    </w:rPr>
  </w:style>
  <w:style w:type="paragraph" w:customStyle="1" w:styleId="408">
    <w:name w:val="Report Level 4"/>
    <w:basedOn w:val="407"/>
    <w:next w:val="297"/>
    <w:qFormat/>
    <w:uiPriority w:val="0"/>
    <w:pPr>
      <w:tabs>
        <w:tab w:val="left" w:pos="720"/>
        <w:tab w:val="left" w:pos="2309"/>
        <w:tab w:val="clear" w:pos="1889"/>
      </w:tabs>
      <w:ind w:left="720" w:hanging="720"/>
      <w:outlineLvl w:val="3"/>
    </w:pPr>
    <w:rPr>
      <w:rFonts w:ascii="Times New Roman" w:hAnsi="Times New Roman"/>
    </w:rPr>
  </w:style>
  <w:style w:type="paragraph" w:customStyle="1" w:styleId="409">
    <w:name w:val="样式3"/>
    <w:basedOn w:val="2"/>
    <w:next w:val="1"/>
    <w:qFormat/>
    <w:uiPriority w:val="0"/>
    <w:pPr>
      <w:tabs>
        <w:tab w:val="left" w:pos="709"/>
      </w:tabs>
      <w:spacing w:before="0" w:after="0" w:line="240" w:lineRule="auto"/>
      <w:ind w:left="709" w:hanging="709"/>
      <w:jc w:val="left"/>
    </w:pPr>
    <w:rPr>
      <w:rFonts w:ascii="Tahoma" w:hAnsi="Tahoma"/>
      <w:b w:val="0"/>
      <w:bCs w:val="0"/>
      <w:sz w:val="28"/>
      <w:szCs w:val="20"/>
    </w:rPr>
  </w:style>
  <w:style w:type="paragraph" w:customStyle="1" w:styleId="410">
    <w:name w:val="小标4"/>
    <w:basedOn w:val="1"/>
    <w:next w:val="1"/>
    <w:qFormat/>
    <w:uiPriority w:val="0"/>
    <w:pPr>
      <w:tabs>
        <w:tab w:val="left" w:pos="900"/>
      </w:tabs>
      <w:spacing w:line="400" w:lineRule="exact"/>
      <w:ind w:left="900" w:firstLine="200" w:firstLineChars="200"/>
      <w:jc w:val="left"/>
    </w:pPr>
    <w:rPr>
      <w:rFonts w:ascii="宋体"/>
      <w:color w:val="7030A0"/>
      <w:sz w:val="24"/>
    </w:rPr>
  </w:style>
  <w:style w:type="paragraph" w:customStyle="1" w:styleId="411">
    <w:name w:val="样式 标题2 1.1 + 段前: 0 磅 段后: 0 磅"/>
    <w:basedOn w:val="1"/>
    <w:qFormat/>
    <w:uiPriority w:val="0"/>
    <w:pPr>
      <w:keepNext/>
      <w:tabs>
        <w:tab w:val="left" w:pos="567"/>
      </w:tabs>
      <w:spacing w:line="480" w:lineRule="atLeast"/>
      <w:ind w:left="567" w:hanging="567" w:firstLineChars="200"/>
      <w:jc w:val="left"/>
      <w:outlineLvl w:val="1"/>
    </w:pPr>
    <w:rPr>
      <w:color w:val="7030A0"/>
      <w:sz w:val="28"/>
      <w:szCs w:val="20"/>
    </w:rPr>
  </w:style>
  <w:style w:type="paragraph" w:customStyle="1" w:styleId="412">
    <w:name w:val="表格文字格式"/>
    <w:basedOn w:val="1"/>
    <w:qFormat/>
    <w:uiPriority w:val="0"/>
    <w:pPr>
      <w:snapToGrid w:val="0"/>
      <w:jc w:val="center"/>
    </w:pPr>
    <w:rPr>
      <w:rFonts w:cs="宋体"/>
      <w:szCs w:val="20"/>
    </w:rPr>
  </w:style>
  <w:style w:type="paragraph" w:customStyle="1" w:styleId="413">
    <w:name w:val="正文文本 22"/>
    <w:basedOn w:val="1"/>
    <w:qFormat/>
    <w:uiPriority w:val="0"/>
    <w:pPr>
      <w:autoSpaceDE w:val="0"/>
      <w:autoSpaceDN w:val="0"/>
      <w:adjustRightInd w:val="0"/>
      <w:ind w:left="525" w:firstLine="525" w:firstLineChars="200"/>
      <w:jc w:val="left"/>
      <w:textAlignment w:val="baseline"/>
    </w:pPr>
    <w:rPr>
      <w:color w:val="7030A0"/>
      <w:szCs w:val="20"/>
    </w:rPr>
  </w:style>
  <w:style w:type="paragraph" w:customStyle="1" w:styleId="414">
    <w:name w:val="样式 宋体 小四 首行缩进:  0.93 厘米 段前: 11.15 磅 段后: 11.15 磅1 Char"/>
    <w:basedOn w:val="1"/>
    <w:qFormat/>
    <w:uiPriority w:val="0"/>
    <w:pPr>
      <w:adjustRightInd w:val="0"/>
      <w:snapToGrid w:val="0"/>
      <w:ind w:left="200" w:leftChars="200" w:firstLine="200" w:firstLineChars="200"/>
      <w:jc w:val="left"/>
    </w:pPr>
    <w:rPr>
      <w:rFonts w:ascii="宋体"/>
      <w:color w:val="7030A0"/>
      <w:sz w:val="24"/>
      <w:szCs w:val="20"/>
    </w:rPr>
  </w:style>
  <w:style w:type="paragraph" w:customStyle="1" w:styleId="415">
    <w:name w:val="五级条标题"/>
    <w:basedOn w:val="401"/>
    <w:next w:val="1"/>
    <w:qFormat/>
    <w:uiPriority w:val="0"/>
    <w:pPr>
      <w:outlineLvl w:val="6"/>
    </w:pPr>
  </w:style>
  <w:style w:type="paragraph" w:customStyle="1" w:styleId="416">
    <w:name w:val="文档结构图1"/>
    <w:basedOn w:val="1"/>
    <w:qFormat/>
    <w:uiPriority w:val="0"/>
    <w:pPr>
      <w:shd w:val="clear" w:color="auto" w:fill="000080"/>
      <w:autoSpaceDE w:val="0"/>
      <w:autoSpaceDN w:val="0"/>
      <w:adjustRightInd w:val="0"/>
      <w:ind w:firstLine="200" w:firstLineChars="200"/>
      <w:jc w:val="left"/>
      <w:textAlignment w:val="baseline"/>
    </w:pPr>
    <w:rPr>
      <w:color w:val="7030A0"/>
      <w:szCs w:val="20"/>
    </w:rPr>
  </w:style>
  <w:style w:type="paragraph" w:customStyle="1" w:styleId="417">
    <w:name w:val="註解方塊文字2"/>
    <w:basedOn w:val="1"/>
    <w:semiHidden/>
    <w:qFormat/>
    <w:uiPriority w:val="0"/>
    <w:rPr>
      <w:rFonts w:ascii="Arial" w:hAnsi="Arial" w:eastAsia="PMingLiU"/>
      <w:color w:val="7030A0"/>
      <w:sz w:val="18"/>
      <w:szCs w:val="18"/>
    </w:rPr>
  </w:style>
  <w:style w:type="paragraph" w:customStyle="1" w:styleId="418">
    <w:name w:val="正文文本缩进 22"/>
    <w:basedOn w:val="1"/>
    <w:qFormat/>
    <w:uiPriority w:val="0"/>
    <w:pPr>
      <w:autoSpaceDE w:val="0"/>
      <w:autoSpaceDN w:val="0"/>
      <w:adjustRightInd w:val="0"/>
      <w:ind w:firstLine="420" w:firstLineChars="200"/>
      <w:jc w:val="left"/>
      <w:textAlignment w:val="baseline"/>
    </w:pPr>
    <w:rPr>
      <w:color w:val="7030A0"/>
      <w:szCs w:val="20"/>
    </w:rPr>
  </w:style>
  <w:style w:type="paragraph" w:customStyle="1" w:styleId="419">
    <w:name w:val="纯文本2"/>
    <w:basedOn w:val="1"/>
    <w:qFormat/>
    <w:uiPriority w:val="0"/>
    <w:pPr>
      <w:adjustRightInd w:val="0"/>
      <w:spacing w:line="312" w:lineRule="atLeast"/>
      <w:ind w:firstLine="200" w:firstLineChars="200"/>
      <w:jc w:val="left"/>
      <w:textAlignment w:val="baseline"/>
    </w:pPr>
    <w:rPr>
      <w:rFonts w:ascii="宋体" w:hAnsi="Courier New"/>
      <w:color w:val="7030A0"/>
      <w:kern w:val="0"/>
      <w:sz w:val="28"/>
      <w:szCs w:val="20"/>
    </w:rPr>
  </w:style>
  <w:style w:type="paragraph" w:customStyle="1" w:styleId="420">
    <w:name w:val="三级标题格式"/>
    <w:basedOn w:val="2"/>
    <w:qFormat/>
    <w:uiPriority w:val="0"/>
    <w:pPr>
      <w:keepNext w:val="0"/>
      <w:keepLines w:val="0"/>
      <w:spacing w:before="0" w:afterLines="100" w:line="240" w:lineRule="auto"/>
      <w:jc w:val="left"/>
    </w:pPr>
    <w:rPr>
      <w:rFonts w:eastAsia="黑体"/>
      <w:b w:val="0"/>
      <w:sz w:val="28"/>
      <w:szCs w:val="28"/>
    </w:rPr>
  </w:style>
  <w:style w:type="table" w:customStyle="1" w:styleId="421">
    <w:name w:val="样式-表格"/>
    <w:basedOn w:val="73"/>
    <w:qFormat/>
    <w:uiPriority w:val="0"/>
    <w:rPr>
      <w:sz w:val="21"/>
    </w:rPr>
    <w:tblPr>
      <w:jc w:val="center"/>
    </w:tblPr>
    <w:trPr>
      <w:jc w:val="center"/>
    </w:trPr>
    <w:tcPr>
      <w:vAlign w:val="center"/>
    </w:tcPr>
  </w:style>
  <w:style w:type="character" w:customStyle="1" w:styleId="422">
    <w:name w:val="正文缩进 Char Char"/>
    <w:link w:val="423"/>
    <w:qFormat/>
    <w:uiPriority w:val="0"/>
    <w:rPr>
      <w:kern w:val="2"/>
      <w:sz w:val="21"/>
      <w:szCs w:val="24"/>
    </w:rPr>
  </w:style>
  <w:style w:type="paragraph" w:customStyle="1" w:styleId="423">
    <w:name w:val="正文缩进1"/>
    <w:basedOn w:val="1"/>
    <w:link w:val="422"/>
    <w:qFormat/>
    <w:uiPriority w:val="0"/>
    <w:pPr>
      <w:spacing w:line="360" w:lineRule="auto"/>
      <w:ind w:firstLine="420"/>
    </w:pPr>
  </w:style>
  <w:style w:type="paragraph" w:customStyle="1" w:styleId="424">
    <w:name w:val="图文"/>
    <w:basedOn w:val="1"/>
    <w:qFormat/>
    <w:uiPriority w:val="0"/>
    <w:pPr>
      <w:adjustRightInd w:val="0"/>
      <w:snapToGrid w:val="0"/>
      <w:spacing w:after="50" w:line="360" w:lineRule="auto"/>
    </w:pPr>
    <w:rPr>
      <w:sz w:val="24"/>
    </w:rPr>
  </w:style>
  <w:style w:type="paragraph" w:styleId="425">
    <w:name w:val="List Paragraph"/>
    <w:basedOn w:val="1"/>
    <w:unhideWhenUsed/>
    <w:qFormat/>
    <w:uiPriority w:val="34"/>
    <w:pPr>
      <w:ind w:firstLine="420" w:firstLineChars="200"/>
    </w:pPr>
  </w:style>
  <w:style w:type="character" w:customStyle="1" w:styleId="426">
    <w:name w:val="Char Char"/>
    <w:basedOn w:val="75"/>
    <w:qFormat/>
    <w:uiPriority w:val="0"/>
    <w:rPr>
      <w:rFonts w:ascii="Arial" w:hAnsi="Arial" w:eastAsia="黑体"/>
      <w:b/>
      <w:bCs/>
      <w:kern w:val="2"/>
      <w:sz w:val="32"/>
      <w:szCs w:val="32"/>
      <w:lang w:val="en-US" w:eastAsia="zh-CN" w:bidi="ar-SA"/>
    </w:rPr>
  </w:style>
  <w:style w:type="character" w:customStyle="1" w:styleId="427">
    <w:name w:val="font161"/>
    <w:basedOn w:val="75"/>
    <w:qFormat/>
    <w:uiPriority w:val="0"/>
    <w:rPr>
      <w:b/>
      <w:bCs/>
      <w:sz w:val="32"/>
      <w:szCs w:val="32"/>
    </w:rPr>
  </w:style>
  <w:style w:type="character" w:customStyle="1" w:styleId="428">
    <w:name w:val="Char Char7"/>
    <w:basedOn w:val="75"/>
    <w:qFormat/>
    <w:uiPriority w:val="0"/>
    <w:rPr>
      <w:rFonts w:ascii="Arial" w:hAnsi="Arial" w:eastAsia="黑体"/>
      <w:b/>
      <w:bCs/>
      <w:kern w:val="2"/>
      <w:sz w:val="32"/>
      <w:szCs w:val="32"/>
      <w:lang w:val="en-US" w:eastAsia="zh-CN" w:bidi="ar-SA"/>
    </w:rPr>
  </w:style>
  <w:style w:type="paragraph" w:customStyle="1" w:styleId="429">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430">
    <w:name w:val="样式 标题 1 + 黑体 三号 非加粗 居中 段前: 6 磅 段后: 6 磅 行距: 固定值 20 磅"/>
    <w:basedOn w:val="4"/>
    <w:qFormat/>
    <w:uiPriority w:val="0"/>
    <w:pPr>
      <w:tabs>
        <w:tab w:val="clear" w:pos="1440"/>
      </w:tabs>
      <w:spacing w:before="120" w:after="120" w:line="400" w:lineRule="exact"/>
      <w:ind w:left="0" w:firstLine="0"/>
      <w:jc w:val="center"/>
    </w:pPr>
    <w:rPr>
      <w:rFonts w:ascii="黑体" w:hAnsi="黑体" w:eastAsia="黑体" w:cs="宋体"/>
      <w:b w:val="0"/>
      <w:bCs w:val="0"/>
      <w:sz w:val="32"/>
      <w:szCs w:val="20"/>
    </w:rPr>
  </w:style>
  <w:style w:type="paragraph" w:customStyle="1" w:styleId="431">
    <w:name w:val="样式 标题 3 + (中文) 黑体 小四 非加粗 段前: 7.8 磅 段后: 0 磅 行距: 固定值 20 磅"/>
    <w:basedOn w:val="2"/>
    <w:link w:val="433"/>
    <w:qFormat/>
    <w:uiPriority w:val="0"/>
    <w:pPr>
      <w:spacing w:before="0" w:after="0" w:line="400" w:lineRule="exact"/>
    </w:pPr>
    <w:rPr>
      <w:rFonts w:eastAsia="黑体" w:cs="宋体"/>
      <w:b w:val="0"/>
      <w:bCs w:val="0"/>
      <w:sz w:val="24"/>
      <w:szCs w:val="20"/>
    </w:rPr>
  </w:style>
  <w:style w:type="paragraph" w:customStyle="1" w:styleId="432">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character" w:customStyle="1" w:styleId="433">
    <w:name w:val="样式 标题 3 + (中文) 黑体 小四 非加粗 段前: 7.8 磅 段后: 0 磅 行距: 固定值 20 磅 Char Char"/>
    <w:link w:val="431"/>
    <w:qFormat/>
    <w:uiPriority w:val="0"/>
    <w:rPr>
      <w:rFonts w:eastAsia="黑体" w:cs="宋体"/>
      <w:kern w:val="2"/>
      <w:sz w:val="24"/>
    </w:rPr>
  </w:style>
  <w:style w:type="paragraph" w:customStyle="1" w:styleId="434">
    <w:name w:val="修订2"/>
    <w:hidden/>
    <w:unhideWhenUsed/>
    <w:qFormat/>
    <w:uiPriority w:val="99"/>
    <w:rPr>
      <w:rFonts w:ascii="Times New Roman" w:hAnsi="Times New Roman" w:eastAsia="宋体" w:cs="Times New Roman"/>
      <w:kern w:val="2"/>
      <w:sz w:val="21"/>
      <w:szCs w:val="24"/>
      <w:lang w:val="en-US" w:eastAsia="zh-CN" w:bidi="ar-SA"/>
    </w:rPr>
  </w:style>
  <w:style w:type="character" w:customStyle="1" w:styleId="435">
    <w:name w:val="refresh"/>
    <w:basedOn w:val="75"/>
    <w:qFormat/>
    <w:uiPriority w:val="0"/>
  </w:style>
  <w:style w:type="character" w:customStyle="1" w:styleId="436">
    <w:name w:val="mod"/>
    <w:basedOn w:val="75"/>
    <w:qFormat/>
    <w:uiPriority w:val="0"/>
  </w:style>
  <w:style w:type="character" w:customStyle="1" w:styleId="437">
    <w:name w:val="error"/>
    <w:basedOn w:val="75"/>
    <w:qFormat/>
    <w:uiPriority w:val="0"/>
    <w:rPr>
      <w:color w:val="CC0000"/>
    </w:rPr>
  </w:style>
  <w:style w:type="character" w:customStyle="1" w:styleId="438">
    <w:name w:val="add"/>
    <w:basedOn w:val="75"/>
    <w:qFormat/>
    <w:uiPriority w:val="0"/>
  </w:style>
  <w:style w:type="character" w:customStyle="1" w:styleId="439">
    <w:name w:val="pagebanner"/>
    <w:basedOn w:val="75"/>
    <w:qFormat/>
    <w:uiPriority w:val="0"/>
  </w:style>
  <w:style w:type="character" w:customStyle="1" w:styleId="440">
    <w:name w:val="del"/>
    <w:basedOn w:val="75"/>
    <w:qFormat/>
    <w:uiPriority w:val="0"/>
  </w:style>
  <w:style w:type="character" w:customStyle="1" w:styleId="441">
    <w:name w:val="morewin"/>
    <w:basedOn w:val="75"/>
    <w:qFormat/>
    <w:uiPriority w:val="0"/>
  </w:style>
  <w:style w:type="character" w:customStyle="1" w:styleId="442">
    <w:name w:val="label"/>
    <w:basedOn w:val="75"/>
    <w:qFormat/>
    <w:uiPriority w:val="0"/>
  </w:style>
  <w:style w:type="character" w:customStyle="1" w:styleId="443">
    <w:name w:val="pagelinks"/>
    <w:basedOn w:val="75"/>
    <w:qFormat/>
    <w:uiPriority w:val="0"/>
  </w:style>
  <w:style w:type="character" w:customStyle="1" w:styleId="444">
    <w:name w:val="open2"/>
    <w:basedOn w:val="75"/>
    <w:qFormat/>
    <w:uiPriority w:val="0"/>
  </w:style>
  <w:style w:type="character" w:customStyle="1" w:styleId="445">
    <w:name w:val="apple-converted-space"/>
    <w:basedOn w:val="75"/>
    <w:qFormat/>
    <w:uiPriority w:val="0"/>
  </w:style>
  <w:style w:type="paragraph" w:customStyle="1" w:styleId="446">
    <w:name w:val="Level 1"/>
    <w:basedOn w:val="1"/>
    <w:qFormat/>
    <w:uiPriority w:val="0"/>
    <w:pPr>
      <w:widowControl/>
      <w:tabs>
        <w:tab w:val="left" w:pos="403"/>
      </w:tabs>
      <w:ind w:left="420" w:hanging="420"/>
      <w:jc w:val="left"/>
    </w:pPr>
    <w:rPr>
      <w:rFonts w:eastAsia="PMingLiU"/>
      <w:kern w:val="0"/>
      <w:sz w:val="24"/>
      <w:szCs w:val="20"/>
      <w:lang w:eastAsia="en-US"/>
    </w:rPr>
  </w:style>
  <w:style w:type="paragraph" w:customStyle="1" w:styleId="447">
    <w:name w:val="*正文"/>
    <w:basedOn w:val="1"/>
    <w:qFormat/>
    <w:uiPriority w:val="99"/>
    <w:pPr>
      <w:spacing w:line="360" w:lineRule="auto"/>
      <w:ind w:firstLine="200" w:firstLineChars="200"/>
    </w:pPr>
    <w:rPr>
      <w:rFonts w:ascii="宋体" w:hAnsi="宋体"/>
      <w:sz w:val="24"/>
    </w:rPr>
  </w:style>
  <w:style w:type="paragraph" w:customStyle="1" w:styleId="448">
    <w:name w:val="列出段落3"/>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header" Target="header1.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4097"/>
    <customShpInfo spid="_x0000_s4098"/>
    <customShpInfo spid="_x0000_s4099"/>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1DD275-9CE3-40B0-93D8-31C712D8121F}">
  <ds:schemaRefs/>
</ds:datastoreItem>
</file>

<file path=docProps/app.xml><?xml version="1.0" encoding="utf-8"?>
<Properties xmlns="http://schemas.openxmlformats.org/officeDocument/2006/extended-properties" xmlns:vt="http://schemas.openxmlformats.org/officeDocument/2006/docPropsVTypes">
  <Template>Normal</Template>
  <Company>zzz</Company>
  <Pages>62</Pages>
  <Words>24758</Words>
  <Characters>25768</Characters>
  <Lines>218</Lines>
  <Paragraphs>61</Paragraphs>
  <TotalTime>185</TotalTime>
  <ScaleCrop>false</ScaleCrop>
  <LinksUpToDate>false</LinksUpToDate>
  <CharactersWithSpaces>26466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2020-04-26T14:11:00Z</dcterms:created>
  <dc:creator>wmq</dc:creator>
  <cp:lastModifiedBy>亻士</cp:lastModifiedBy>
  <cp:lastPrinted>2018-03-16T01:37:00Z</cp:lastPrinted>
  <dcterms:modified xsi:type="dcterms:W3CDTF">2020-05-26T06:27:38Z</dcterms:modified>
  <dc:title>适用一般货物采购/非建筑设备货物采购含安装等伴随服务</dc:title>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