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both"/>
        <w:rPr>
          <w:rFonts w:hint="eastAsia" w:ascii="宋体" w:hAnsi="宋体" w:eastAsia="宋体" w:cs="宋体"/>
          <w:b/>
          <w:sz w:val="44"/>
          <w:szCs w:val="44"/>
          <w:lang w:val="en-US" w:eastAsia="zh-CN"/>
        </w:rPr>
      </w:pPr>
      <w:r>
        <w:rPr>
          <w:rFonts w:hint="eastAsia" w:ascii="宋体" w:hAnsi="宋体" w:cs="宋体"/>
          <w:b/>
          <w:sz w:val="44"/>
          <w:szCs w:val="44"/>
          <w:lang w:val="en-US" w:eastAsia="zh-CN"/>
        </w:rPr>
        <w:t>A包</w:t>
      </w:r>
    </w:p>
    <w:p>
      <w:pPr>
        <w:spacing w:beforeLines="50" w:afterLines="50" w:line="360" w:lineRule="auto"/>
        <w:jc w:val="center"/>
        <w:rPr>
          <w:rFonts w:ascii="宋体" w:hAnsi="宋体" w:cs="宋体"/>
          <w:b/>
          <w:sz w:val="44"/>
          <w:szCs w:val="44"/>
        </w:rPr>
      </w:pPr>
      <w:r>
        <w:rPr>
          <w:rFonts w:hint="eastAsia" w:ascii="宋体" w:hAnsi="宋体" w:cs="宋体"/>
          <w:b/>
          <w:sz w:val="44"/>
          <w:szCs w:val="44"/>
        </w:rPr>
        <w:t>第五部分  用户需求书</w:t>
      </w:r>
    </w:p>
    <w:p>
      <w:pPr>
        <w:keepNext/>
        <w:keepLines/>
        <w:widowControl w:val="0"/>
        <w:numPr>
          <w:ilvl w:val="0"/>
          <w:numId w:val="1"/>
        </w:numPr>
        <w:spacing w:before="260" w:after="260" w:line="413" w:lineRule="auto"/>
        <w:ind w:left="750" w:hanging="750"/>
        <w:jc w:val="both"/>
        <w:outlineLvl w:val="1"/>
        <w:rPr>
          <w:rFonts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项目概况</w:t>
      </w:r>
    </w:p>
    <w:p>
      <w:pPr>
        <w:spacing w:line="440" w:lineRule="exact"/>
        <w:ind w:firstLine="480" w:firstLineChars="200"/>
        <w:rPr>
          <w:rFonts w:ascii="宋体" w:hAnsi="宋体" w:cs="宋体"/>
          <w:bCs/>
          <w:sz w:val="24"/>
        </w:rPr>
      </w:pPr>
      <w:r>
        <w:rPr>
          <w:rFonts w:hint="eastAsia" w:ascii="宋体" w:hAnsi="宋体" w:cs="宋体"/>
          <w:bCs/>
          <w:sz w:val="24"/>
        </w:rPr>
        <w:t>24小时</w:t>
      </w:r>
      <w:r>
        <w:rPr>
          <w:rFonts w:ascii="宋体" w:hAnsi="宋体" w:cs="宋体"/>
          <w:bCs/>
          <w:sz w:val="24"/>
        </w:rPr>
        <w:t>在线办理不动产登记业务项目，以海口市一体化政务服务平台</w:t>
      </w:r>
      <w:r>
        <w:rPr>
          <w:rFonts w:hint="eastAsia" w:ascii="宋体" w:hAnsi="宋体" w:cs="宋体"/>
          <w:bCs/>
          <w:sz w:val="24"/>
        </w:rPr>
        <w:t>作为</w:t>
      </w:r>
      <w:r>
        <w:rPr>
          <w:rFonts w:ascii="宋体" w:hAnsi="宋体" w:cs="宋体"/>
          <w:bCs/>
          <w:sz w:val="24"/>
        </w:rPr>
        <w:t>公众互联网统一</w:t>
      </w:r>
      <w:r>
        <w:rPr>
          <w:rFonts w:hint="eastAsia" w:ascii="宋体" w:hAnsi="宋体" w:cs="宋体"/>
          <w:bCs/>
          <w:sz w:val="24"/>
        </w:rPr>
        <w:t>入口</w:t>
      </w:r>
      <w:r>
        <w:rPr>
          <w:rFonts w:ascii="宋体" w:hAnsi="宋体" w:cs="宋体"/>
          <w:bCs/>
          <w:sz w:val="24"/>
        </w:rPr>
        <w:t>，衔接身份认证</w:t>
      </w:r>
      <w:r>
        <w:rPr>
          <w:rFonts w:hint="eastAsia" w:ascii="宋体" w:hAnsi="宋体" w:cs="宋体"/>
          <w:bCs/>
          <w:sz w:val="24"/>
        </w:rPr>
        <w:t>系统、海口市</w:t>
      </w:r>
      <w:r>
        <w:rPr>
          <w:rFonts w:ascii="宋体" w:hAnsi="宋体" w:cs="宋体"/>
          <w:bCs/>
          <w:sz w:val="24"/>
        </w:rPr>
        <w:t>住建局网签信息系统、</w:t>
      </w:r>
      <w:r>
        <w:rPr>
          <w:rFonts w:hint="eastAsia" w:ascii="宋体" w:hAnsi="宋体" w:cs="宋体"/>
          <w:bCs/>
          <w:sz w:val="24"/>
        </w:rPr>
        <w:t>海口市自然资源和规划局不动产</w:t>
      </w:r>
      <w:r>
        <w:rPr>
          <w:rFonts w:ascii="宋体" w:hAnsi="宋体" w:cs="宋体"/>
          <w:bCs/>
          <w:sz w:val="24"/>
        </w:rPr>
        <w:t>系统、</w:t>
      </w:r>
      <w:r>
        <w:rPr>
          <w:rFonts w:hint="eastAsia" w:ascii="宋体" w:hAnsi="宋体" w:cs="宋体"/>
          <w:bCs/>
          <w:sz w:val="24"/>
        </w:rPr>
        <w:t>海南省</w:t>
      </w:r>
      <w:r>
        <w:rPr>
          <w:rFonts w:ascii="宋体" w:hAnsi="宋体" w:cs="宋体"/>
          <w:bCs/>
          <w:sz w:val="24"/>
        </w:rPr>
        <w:t>税务局金税三期</w:t>
      </w:r>
      <w:r>
        <w:rPr>
          <w:rFonts w:hint="eastAsia" w:ascii="宋体" w:hAnsi="宋体" w:cs="宋体"/>
          <w:bCs/>
          <w:sz w:val="24"/>
        </w:rPr>
        <w:t>核心</w:t>
      </w:r>
      <w:r>
        <w:rPr>
          <w:rFonts w:ascii="宋体" w:hAnsi="宋体" w:cs="宋体"/>
          <w:bCs/>
          <w:sz w:val="24"/>
        </w:rPr>
        <w:t>征管系统、二手房评估价格系统</w:t>
      </w:r>
      <w:r>
        <w:rPr>
          <w:rFonts w:hint="eastAsia" w:ascii="宋体" w:hAnsi="宋体" w:cs="宋体"/>
          <w:bCs/>
          <w:sz w:val="24"/>
        </w:rPr>
        <w:t>、税控</w:t>
      </w:r>
      <w:r>
        <w:rPr>
          <w:rFonts w:ascii="宋体" w:hAnsi="宋体" w:cs="宋体"/>
          <w:bCs/>
          <w:sz w:val="24"/>
        </w:rPr>
        <w:t>开票</w:t>
      </w:r>
      <w:r>
        <w:rPr>
          <w:rFonts w:hint="eastAsia" w:ascii="宋体" w:hAnsi="宋体" w:cs="宋体"/>
          <w:bCs/>
          <w:sz w:val="24"/>
        </w:rPr>
        <w:t>系统</w:t>
      </w:r>
      <w:r>
        <w:rPr>
          <w:rFonts w:ascii="宋体" w:hAnsi="宋体" w:cs="宋体"/>
          <w:bCs/>
          <w:sz w:val="24"/>
        </w:rPr>
        <w:t>。</w:t>
      </w:r>
      <w:r>
        <w:rPr>
          <w:rFonts w:hint="eastAsia" w:ascii="宋体" w:hAnsi="宋体" w:cs="宋体"/>
          <w:bCs/>
          <w:sz w:val="24"/>
        </w:rPr>
        <w:t>通过跨部门信息共享，打破各部门之间的“信息孤岛”，纳税人只要动动手指，在网上或手机上输入身份证号及合同编号，经过实名验证，就可随时随地在网上登录，将身份证、户口本、结婚证、房产证、购房发票等资料拍照上传，由系统自动审核（或审核人员线下审核），再使用多元化缴税，完成缴税后，将完税信息和产权申请受理信息发送给不动产登记部门，实现房产交易申报税款缴纳全程网上办理。</w:t>
      </w:r>
    </w:p>
    <w:p>
      <w:pPr>
        <w:keepNext/>
        <w:keepLines/>
        <w:widowControl w:val="0"/>
        <w:numPr>
          <w:ilvl w:val="0"/>
          <w:numId w:val="1"/>
        </w:numPr>
        <w:spacing w:before="260" w:after="260" w:line="413" w:lineRule="auto"/>
        <w:ind w:left="750" w:hanging="750"/>
        <w:jc w:val="both"/>
        <w:outlineLvl w:val="1"/>
        <w:rPr>
          <w:rFonts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软件</w:t>
      </w:r>
      <w:r>
        <w:rPr>
          <w:rFonts w:ascii="宋体" w:hAnsi="宋体" w:eastAsia="宋体" w:cs="宋体"/>
          <w:b/>
          <w:bCs/>
          <w:kern w:val="2"/>
          <w:sz w:val="36"/>
          <w:szCs w:val="36"/>
          <w:lang w:val="en-US" w:eastAsia="zh-CN" w:bidi="ar-SA"/>
        </w:rPr>
        <w:t>部分需求</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增量房网签信息采集</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本功能用于购买增量房的纳税人，通过输入纳税人识别号查询纳税人在住建局的增量房网签信息。</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操作人员进入相关功能页面后，输入纳税人识别号，点击查询可获取住建局网签数据，操作人员根据住建局返回的网签数据进行增量房销售信息采集。</w:t>
      </w:r>
    </w:p>
    <w:p>
      <w:pPr>
        <w:rPr>
          <w:rFonts w:ascii="宋体" w:hAnsi="宋体" w:cs="宋体"/>
        </w:rPr>
      </w:pPr>
      <w:r>
        <w:rPr>
          <w:rFonts w:hint="eastAsia" w:ascii="宋体" w:hAnsi="宋体" w:cs="宋体"/>
          <w:szCs w:val="20"/>
        </w:rPr>
        <w:t>3、业务流程</w:t>
      </w:r>
    </w:p>
    <w:p>
      <w:pPr>
        <w:jc w:val="center"/>
        <w:rPr>
          <w:rFonts w:ascii="Times New Roman" w:hAnsi="Times New Roman" w:cs="Times New Roman"/>
        </w:rPr>
      </w:pPr>
      <w:r>
        <w:rPr>
          <w:rFonts w:hint="eastAsia" w:ascii="宋体" w:hAnsi="宋体" w:cs="宋体"/>
          <w:szCs w:val="20"/>
        </w:rPr>
        <w:drawing>
          <wp:inline distT="0" distB="0" distL="114300" distR="114300">
            <wp:extent cx="5114925" cy="4324350"/>
            <wp:effectExtent l="0" t="0" r="9525" b="0"/>
            <wp:docPr id="26" name="图片 26" descr="增量房网签信息采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增量房网签信息采集"/>
                    <pic:cNvPicPr>
                      <a:picLocks noChangeAspect="1"/>
                    </pic:cNvPicPr>
                  </pic:nvPicPr>
                  <pic:blipFill>
                    <a:blip r:embed="rId5"/>
                    <a:stretch>
                      <a:fillRect/>
                    </a:stretch>
                  </pic:blipFill>
                  <pic:spPr>
                    <a:xfrm>
                      <a:off x="0" y="0"/>
                      <a:ext cx="5114925" cy="4324350"/>
                    </a:xfrm>
                    <a:prstGeom prst="rect">
                      <a:avLst/>
                    </a:prstGeom>
                    <a:noFill/>
                    <a:ln w="9525">
                      <a:noFill/>
                    </a:ln>
                  </pic:spPr>
                </pic:pic>
              </a:graphicData>
            </a:graphic>
          </wp:inline>
        </w:drawing>
      </w:r>
    </w:p>
    <w:p>
      <w:pPr>
        <w:jc w:val="center"/>
        <w:rPr>
          <w:rFonts w:ascii="Times New Roman" w:hAnsi="Times New Roman" w:cs="Times New Roman"/>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6</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1）增量房网签信息提取、信息列表显示</w:t>
      </w:r>
    </w:p>
    <w:p>
      <w:pPr>
        <w:rPr>
          <w:rFonts w:ascii="宋体" w:hAnsi="宋体" w:cs="宋体"/>
        </w:rPr>
      </w:pPr>
      <w:r>
        <w:rPr>
          <w:rFonts w:hint="eastAsia" w:ascii="宋体" w:hAnsi="宋体" w:cs="宋体"/>
          <w:szCs w:val="20"/>
        </w:rPr>
        <w:t>获取住建局增量房网签数据，并将获取的数据在前台页面进行列表显示。</w:t>
      </w:r>
    </w:p>
    <w:p>
      <w:pPr>
        <w:rPr>
          <w:rFonts w:ascii="宋体" w:hAnsi="宋体" w:cs="宋体"/>
        </w:rPr>
      </w:pPr>
      <w:r>
        <w:rPr>
          <w:rFonts w:hint="eastAsia" w:ascii="宋体" w:hAnsi="宋体" w:cs="宋体"/>
          <w:szCs w:val="20"/>
        </w:rPr>
        <w:t>2）共有人信息采集和份额确认</w:t>
      </w:r>
    </w:p>
    <w:p>
      <w:pPr>
        <w:rPr>
          <w:rFonts w:ascii="宋体" w:hAnsi="宋体" w:cs="宋体"/>
        </w:rPr>
      </w:pPr>
      <w:r>
        <w:rPr>
          <w:rFonts w:hint="eastAsia" w:ascii="宋体" w:hAnsi="宋体" w:cs="宋体"/>
          <w:szCs w:val="20"/>
        </w:rPr>
        <w:t>获取住建局增量房网签数据中的共有信息与不动产房屋交易份额。</w:t>
      </w:r>
    </w:p>
    <w:p>
      <w:pPr>
        <w:rPr>
          <w:rFonts w:ascii="宋体" w:hAnsi="宋体" w:cs="宋体"/>
        </w:rPr>
      </w:pPr>
      <w:r>
        <w:rPr>
          <w:rFonts w:hint="eastAsia" w:ascii="宋体" w:hAnsi="宋体" w:cs="宋体"/>
          <w:szCs w:val="20"/>
        </w:rPr>
        <w:t>3）家庭成员信息获取及显示</w:t>
      </w:r>
    </w:p>
    <w:p>
      <w:pPr>
        <w:rPr>
          <w:rFonts w:ascii="宋体" w:hAnsi="宋体" w:cs="宋体"/>
        </w:rPr>
      </w:pPr>
      <w:r>
        <w:rPr>
          <w:rFonts w:hint="eastAsia" w:ascii="宋体" w:hAnsi="宋体" w:cs="宋体"/>
          <w:szCs w:val="20"/>
        </w:rPr>
        <w:t>根据不动产买卖双方，获取买卖双方家庭成员信息并展示。</w:t>
      </w:r>
    </w:p>
    <w:p>
      <w:pPr>
        <w:rPr>
          <w:rFonts w:ascii="宋体" w:hAnsi="宋体" w:cs="宋体"/>
        </w:rPr>
      </w:pPr>
      <w:r>
        <w:rPr>
          <w:rFonts w:hint="eastAsia" w:ascii="宋体" w:hAnsi="宋体" w:cs="宋体"/>
          <w:szCs w:val="20"/>
        </w:rPr>
        <w:t>4）家庭成员婚姻信息获取及显示</w:t>
      </w:r>
    </w:p>
    <w:p>
      <w:pPr>
        <w:rPr>
          <w:rFonts w:ascii="宋体" w:hAnsi="宋体" w:cs="宋体"/>
        </w:rPr>
      </w:pPr>
      <w:r>
        <w:rPr>
          <w:rFonts w:hint="eastAsia" w:ascii="宋体" w:hAnsi="宋体" w:cs="宋体"/>
          <w:szCs w:val="20"/>
        </w:rPr>
        <w:t>查询家庭成员婚姻状况并展示。</w:t>
      </w:r>
    </w:p>
    <w:p>
      <w:pPr>
        <w:rPr>
          <w:rFonts w:ascii="宋体" w:hAnsi="宋体" w:cs="宋体"/>
        </w:rPr>
      </w:pPr>
      <w:r>
        <w:rPr>
          <w:rFonts w:hint="eastAsia" w:ascii="宋体" w:hAnsi="宋体" w:cs="宋体"/>
          <w:szCs w:val="20"/>
        </w:rPr>
        <w:t>5）电子档案信息调阅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6）采集信息作废</w:t>
      </w:r>
    </w:p>
    <w:p>
      <w:pPr>
        <w:rPr>
          <w:rFonts w:ascii="宋体" w:hAnsi="宋体" w:cs="宋体"/>
        </w:rPr>
      </w:pPr>
      <w:r>
        <w:rPr>
          <w:rFonts w:hint="eastAsia" w:ascii="宋体" w:hAnsi="宋体" w:cs="宋体"/>
          <w:szCs w:val="20"/>
        </w:rPr>
        <w:t>支持对已采集未申报的网签数据提供作废功能。</w:t>
      </w:r>
    </w:p>
    <w:p>
      <w:pPr>
        <w:rPr>
          <w:rFonts w:ascii="宋体" w:hAnsi="宋体" w:cs="宋体"/>
        </w:rPr>
      </w:pPr>
      <w:r>
        <w:rPr>
          <w:rFonts w:hint="eastAsia" w:ascii="宋体" w:hAnsi="宋体" w:cs="宋体"/>
          <w:szCs w:val="20"/>
        </w:rPr>
        <w:t>7）与增量房申报模块跳转及信息交互</w:t>
      </w:r>
    </w:p>
    <w:p>
      <w:pPr>
        <w:rPr>
          <w:rFonts w:ascii="宋体" w:hAnsi="宋体" w:cs="宋体"/>
        </w:rPr>
      </w:pPr>
      <w:r>
        <w:rPr>
          <w:rFonts w:hint="eastAsia" w:ascii="宋体" w:hAnsi="宋体" w:cs="宋体"/>
          <w:szCs w:val="20"/>
        </w:rPr>
        <w:t>增量房网签信息采集完成后，自动跳转至增量房申报模块，同时将已采集的网签数据传递。</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1）个人增量房交易申报</w:t>
      </w:r>
    </w:p>
    <w:p>
      <w:pPr>
        <w:rPr>
          <w:rFonts w:ascii="宋体" w:hAnsi="宋体" w:cs="宋体"/>
        </w:rPr>
      </w:pPr>
      <w:r>
        <w:rPr>
          <w:rFonts w:hint="eastAsia" w:ascii="宋体" w:hAnsi="宋体" w:cs="宋体"/>
          <w:szCs w:val="20"/>
        </w:rPr>
        <w:t>通过增量房网签信息采集功能从住建系统获取个人的增量房网签信息（包含房源信息、开发商信息、买方信息等），为个人增量房房产交易申报提供基础信息支持。</w:t>
      </w:r>
    </w:p>
    <w:p>
      <w:pPr>
        <w:rPr>
          <w:rFonts w:ascii="宋体" w:hAnsi="宋体" w:cs="宋体"/>
        </w:rPr>
      </w:pPr>
      <w:r>
        <w:rPr>
          <w:rFonts w:hint="eastAsia" w:ascii="宋体" w:hAnsi="宋体" w:cs="宋体"/>
          <w:szCs w:val="20"/>
        </w:rPr>
        <w:t>2）企业增量房申报</w:t>
      </w:r>
    </w:p>
    <w:p>
      <w:pPr>
        <w:rPr>
          <w:rFonts w:ascii="宋体" w:hAnsi="宋体" w:cs="宋体"/>
        </w:rPr>
      </w:pPr>
      <w:r>
        <w:rPr>
          <w:rFonts w:hint="eastAsia" w:ascii="宋体" w:hAnsi="宋体" w:cs="宋体"/>
          <w:szCs w:val="20"/>
        </w:rPr>
        <w:t>通过增量房网签信息采集功能从住建系统获取企业的增量房网签信息（包含房源信息、开发商信息、买方信息、卖方信息、合同信息等），为企业增量房房产交易申报提供基础信息支持。</w:t>
      </w:r>
    </w:p>
    <w:p>
      <w:pPr>
        <w:rPr>
          <w:rFonts w:ascii="宋体" w:hAnsi="宋体" w:cs="宋体"/>
        </w:rPr>
      </w:pPr>
      <w:r>
        <w:rPr>
          <w:rFonts w:hint="eastAsia" w:ascii="宋体" w:hAnsi="宋体" w:cs="宋体"/>
          <w:szCs w:val="20"/>
        </w:rPr>
        <w:t>3）增量房交易办税审核</w:t>
      </w:r>
    </w:p>
    <w:p>
      <w:pPr>
        <w:rPr>
          <w:rFonts w:ascii="Times New Roman" w:hAnsi="Times New Roman" w:cs="Times New Roman"/>
        </w:rPr>
      </w:pPr>
      <w:r>
        <w:rPr>
          <w:rFonts w:hint="eastAsia" w:ascii="宋体" w:hAnsi="宋体" w:cs="宋体"/>
          <w:szCs w:val="20"/>
        </w:rPr>
        <w:t>通过增量房网签信息采集功能从住建系统获取增量房网签信息（包含房源信息、开发商信息、买方信息、卖方信息、合同信息等），为增量房交易办税审核提供基础信息支持。</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存量房网签信息采集</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本功能用于购买存量房的纳税人，通过输入纳税人识别号查询纳税人在海口市住房和城乡建设局的存量房网签信息。</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操作人员进入相关功能页面后，输入纳税人识别号，点击查询可获取海口市住房和城乡建设局存量房网签数据，操作人员根据海口市住房和城乡建设局返回的存量房网签数据进行存量房网签信息采集。</w:t>
      </w:r>
    </w:p>
    <w:p>
      <w:pPr>
        <w:rPr>
          <w:rFonts w:ascii="宋体" w:hAnsi="宋体" w:cs="宋体"/>
        </w:rPr>
      </w:pPr>
      <w:r>
        <w:rPr>
          <w:rFonts w:hint="eastAsia" w:ascii="宋体" w:hAnsi="宋体" w:cs="宋体"/>
          <w:szCs w:val="20"/>
        </w:rPr>
        <w:t>3、业务流程</w:t>
      </w:r>
    </w:p>
    <w:p>
      <w:pPr>
        <w:jc w:val="center"/>
        <w:rPr>
          <w:rFonts w:ascii="Times New Roman" w:hAnsi="Times New Roman" w:cs="Times New Roman"/>
        </w:rPr>
      </w:pPr>
      <w:r>
        <w:rPr>
          <w:rFonts w:hint="eastAsia" w:ascii="宋体" w:hAnsi="宋体" w:cs="宋体"/>
          <w:szCs w:val="20"/>
        </w:rPr>
        <w:drawing>
          <wp:inline distT="0" distB="0" distL="114300" distR="114300">
            <wp:extent cx="5143500" cy="4333875"/>
            <wp:effectExtent l="0" t="0" r="0" b="9525"/>
            <wp:docPr id="27" name="图片 27" descr="存量房网签信息采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存量房网签信息采集"/>
                    <pic:cNvPicPr>
                      <a:picLocks noChangeAspect="1"/>
                    </pic:cNvPicPr>
                  </pic:nvPicPr>
                  <pic:blipFill>
                    <a:blip r:embed="rId6"/>
                    <a:stretch>
                      <a:fillRect/>
                    </a:stretch>
                  </pic:blipFill>
                  <pic:spPr>
                    <a:xfrm>
                      <a:off x="0" y="0"/>
                      <a:ext cx="5143500" cy="4333875"/>
                    </a:xfrm>
                    <a:prstGeom prst="rect">
                      <a:avLst/>
                    </a:prstGeom>
                    <a:noFill/>
                    <a:ln w="9525">
                      <a:noFill/>
                    </a:ln>
                  </pic:spPr>
                </pic:pic>
              </a:graphicData>
            </a:graphic>
          </wp:inline>
        </w:drawing>
      </w:r>
    </w:p>
    <w:p>
      <w:pPr>
        <w:jc w:val="center"/>
        <w:rPr>
          <w:rFonts w:ascii="黑体" w:hAnsi="宋体" w:eastAsia="黑体" w:cs="黑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7</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1）存量房网签信息提取、信息列表显示</w:t>
      </w:r>
    </w:p>
    <w:p>
      <w:pPr>
        <w:rPr>
          <w:rFonts w:ascii="宋体" w:hAnsi="宋体" w:cs="宋体"/>
        </w:rPr>
      </w:pPr>
      <w:r>
        <w:rPr>
          <w:rFonts w:hint="eastAsia" w:ascii="宋体" w:hAnsi="宋体" w:cs="宋体"/>
          <w:szCs w:val="20"/>
        </w:rPr>
        <w:t>获取住建局存量房网签数据，并将获取的数据在前台页面进行列表显示。</w:t>
      </w:r>
    </w:p>
    <w:p>
      <w:pPr>
        <w:rPr>
          <w:rFonts w:ascii="宋体" w:hAnsi="宋体" w:cs="宋体"/>
        </w:rPr>
      </w:pPr>
      <w:r>
        <w:rPr>
          <w:rFonts w:hint="eastAsia" w:ascii="宋体" w:hAnsi="宋体" w:cs="宋体"/>
          <w:szCs w:val="20"/>
        </w:rPr>
        <w:t>2）共有人信息采集和份额确认</w:t>
      </w:r>
    </w:p>
    <w:p>
      <w:pPr>
        <w:rPr>
          <w:rFonts w:ascii="宋体" w:hAnsi="宋体" w:cs="宋体"/>
        </w:rPr>
      </w:pPr>
      <w:r>
        <w:rPr>
          <w:rFonts w:hint="eastAsia" w:ascii="宋体" w:hAnsi="宋体" w:cs="宋体"/>
          <w:szCs w:val="20"/>
        </w:rPr>
        <w:t>获取住建局存量房网签数据中的共有信息与不动产房屋交易份额。</w:t>
      </w:r>
    </w:p>
    <w:p>
      <w:pPr>
        <w:rPr>
          <w:rFonts w:ascii="宋体" w:hAnsi="宋体" w:cs="宋体"/>
        </w:rPr>
      </w:pPr>
      <w:r>
        <w:rPr>
          <w:rFonts w:hint="eastAsia" w:ascii="宋体" w:hAnsi="宋体" w:cs="宋体"/>
          <w:szCs w:val="20"/>
        </w:rPr>
        <w:t>3）家庭成员信息获取及显示</w:t>
      </w:r>
    </w:p>
    <w:p>
      <w:pPr>
        <w:rPr>
          <w:rFonts w:ascii="宋体" w:hAnsi="宋体" w:cs="宋体"/>
        </w:rPr>
      </w:pPr>
      <w:r>
        <w:rPr>
          <w:rFonts w:hint="eastAsia" w:ascii="宋体" w:hAnsi="宋体" w:cs="宋体"/>
          <w:szCs w:val="20"/>
        </w:rPr>
        <w:t>根据不动产买卖双方，获取买卖双方家庭成员信息并展示。</w:t>
      </w:r>
    </w:p>
    <w:p>
      <w:pPr>
        <w:rPr>
          <w:rFonts w:ascii="宋体" w:hAnsi="宋体" w:cs="宋体"/>
        </w:rPr>
      </w:pPr>
      <w:r>
        <w:rPr>
          <w:rFonts w:hint="eastAsia" w:ascii="宋体" w:hAnsi="宋体" w:cs="宋体"/>
          <w:szCs w:val="20"/>
        </w:rPr>
        <w:t>4）家庭成员婚姻信息获取及显示</w:t>
      </w:r>
    </w:p>
    <w:p>
      <w:pPr>
        <w:rPr>
          <w:rFonts w:ascii="宋体" w:hAnsi="宋体" w:cs="宋体"/>
        </w:rPr>
      </w:pPr>
      <w:r>
        <w:rPr>
          <w:rFonts w:hint="eastAsia" w:ascii="宋体" w:hAnsi="宋体" w:cs="宋体"/>
          <w:szCs w:val="20"/>
        </w:rPr>
        <w:t>查询家庭成员婚姻状况并展示。</w:t>
      </w:r>
    </w:p>
    <w:p>
      <w:pPr>
        <w:rPr>
          <w:rFonts w:ascii="宋体" w:hAnsi="宋体" w:cs="宋体"/>
        </w:rPr>
      </w:pPr>
      <w:r>
        <w:rPr>
          <w:rFonts w:hint="eastAsia" w:ascii="宋体" w:hAnsi="宋体" w:cs="宋体"/>
          <w:szCs w:val="20"/>
        </w:rPr>
        <w:t>5）电子档案信息调阅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6）采集信息作废</w:t>
      </w:r>
    </w:p>
    <w:p>
      <w:pPr>
        <w:rPr>
          <w:rFonts w:ascii="宋体" w:hAnsi="宋体" w:cs="宋体"/>
        </w:rPr>
      </w:pPr>
      <w:r>
        <w:rPr>
          <w:rFonts w:hint="eastAsia" w:ascii="宋体" w:hAnsi="宋体" w:cs="宋体"/>
          <w:szCs w:val="20"/>
        </w:rPr>
        <w:t>支持对已采集未申报的网签数据提供作废功能。</w:t>
      </w:r>
    </w:p>
    <w:p>
      <w:pPr>
        <w:rPr>
          <w:rFonts w:ascii="宋体" w:hAnsi="宋体" w:cs="宋体"/>
        </w:rPr>
      </w:pPr>
      <w:r>
        <w:rPr>
          <w:rFonts w:hint="eastAsia" w:ascii="宋体" w:hAnsi="宋体" w:cs="宋体"/>
          <w:szCs w:val="20"/>
        </w:rPr>
        <w:t>7）买方交易比例采集及显示</w:t>
      </w:r>
    </w:p>
    <w:p>
      <w:pPr>
        <w:rPr>
          <w:rFonts w:ascii="宋体" w:hAnsi="宋体" w:cs="宋体"/>
        </w:rPr>
      </w:pPr>
      <w:r>
        <w:rPr>
          <w:rFonts w:hint="eastAsia" w:ascii="宋体" w:hAnsi="宋体" w:cs="宋体"/>
          <w:szCs w:val="20"/>
        </w:rPr>
        <w:t>获取买方网签信息的中的交易比例并展示。</w:t>
      </w:r>
    </w:p>
    <w:p>
      <w:pPr>
        <w:rPr>
          <w:rFonts w:ascii="宋体" w:hAnsi="宋体" w:cs="宋体"/>
        </w:rPr>
      </w:pPr>
      <w:r>
        <w:rPr>
          <w:rFonts w:hint="eastAsia" w:ascii="宋体" w:hAnsi="宋体" w:cs="宋体"/>
          <w:szCs w:val="20"/>
        </w:rPr>
        <w:t>8）卖方交易比例采集及显示</w:t>
      </w:r>
    </w:p>
    <w:p>
      <w:pPr>
        <w:rPr>
          <w:rFonts w:ascii="宋体" w:hAnsi="宋体" w:cs="宋体"/>
        </w:rPr>
      </w:pPr>
      <w:r>
        <w:rPr>
          <w:rFonts w:hint="eastAsia" w:ascii="宋体" w:hAnsi="宋体" w:cs="宋体"/>
          <w:szCs w:val="20"/>
        </w:rPr>
        <w:t>获取卖方网签信息的中的交易比例并展示。</w:t>
      </w:r>
    </w:p>
    <w:p>
      <w:pPr>
        <w:rPr>
          <w:rFonts w:ascii="宋体" w:hAnsi="宋体" w:cs="宋体"/>
        </w:rPr>
      </w:pPr>
      <w:r>
        <w:rPr>
          <w:rFonts w:hint="eastAsia" w:ascii="宋体" w:hAnsi="宋体" w:cs="宋体"/>
          <w:szCs w:val="20"/>
        </w:rPr>
        <w:t>9）与存量房申报模块跳转及信息交互</w:t>
      </w:r>
    </w:p>
    <w:p>
      <w:pPr>
        <w:rPr>
          <w:rFonts w:ascii="宋体" w:hAnsi="宋体" w:cs="宋体"/>
        </w:rPr>
      </w:pPr>
      <w:r>
        <w:rPr>
          <w:rFonts w:hint="eastAsia" w:ascii="宋体" w:hAnsi="宋体" w:cs="宋体"/>
          <w:szCs w:val="20"/>
        </w:rPr>
        <w:t>存量房网签信息采集完成后，自动跳转至存量房申报模块，同时将已采集的网签数据传递。</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1）个人存量房申报</w:t>
      </w:r>
    </w:p>
    <w:p>
      <w:pPr>
        <w:rPr>
          <w:rFonts w:ascii="宋体" w:hAnsi="宋体" w:cs="宋体"/>
        </w:rPr>
      </w:pPr>
      <w:r>
        <w:rPr>
          <w:rFonts w:hint="eastAsia" w:ascii="宋体" w:hAnsi="宋体" w:cs="宋体"/>
          <w:szCs w:val="20"/>
        </w:rPr>
        <w:t>通过存量房网签信息采集功能从住建系统获取个人的存量房网签信息（包含房源信息、开发商信息、买方信息等），为个人存量房房产交易申报提供基础信息支持。</w:t>
      </w:r>
    </w:p>
    <w:p>
      <w:pPr>
        <w:rPr>
          <w:rFonts w:ascii="宋体" w:hAnsi="宋体" w:cs="宋体"/>
        </w:rPr>
      </w:pPr>
      <w:r>
        <w:rPr>
          <w:rFonts w:hint="eastAsia" w:ascii="宋体" w:hAnsi="宋体" w:cs="宋体"/>
          <w:szCs w:val="20"/>
        </w:rPr>
        <w:t>2）企业存量房申报</w:t>
      </w:r>
    </w:p>
    <w:p>
      <w:pPr>
        <w:rPr>
          <w:rFonts w:ascii="宋体" w:hAnsi="宋体" w:cs="宋体"/>
        </w:rPr>
      </w:pPr>
      <w:r>
        <w:rPr>
          <w:rFonts w:hint="eastAsia" w:ascii="宋体" w:hAnsi="宋体" w:cs="宋体"/>
          <w:szCs w:val="20"/>
        </w:rPr>
        <w:t>通过存量房网签信息采集功能从住建系统获取企业的存量房网签信息（包含房源信息、开发商信息、买方信息等），为企业存量房房产交易申报提供基础信息支持。</w:t>
      </w:r>
    </w:p>
    <w:p>
      <w:pPr>
        <w:rPr>
          <w:rFonts w:ascii="宋体" w:hAnsi="宋体" w:cs="宋体"/>
        </w:rPr>
      </w:pPr>
      <w:r>
        <w:rPr>
          <w:rFonts w:hint="eastAsia" w:ascii="宋体" w:hAnsi="宋体" w:cs="宋体"/>
          <w:szCs w:val="20"/>
        </w:rPr>
        <w:t>3）存量房交易办税审核</w:t>
      </w:r>
    </w:p>
    <w:p>
      <w:pPr>
        <w:rPr>
          <w:rFonts w:ascii="宋体" w:hAnsi="宋体" w:cs="宋体"/>
        </w:rPr>
      </w:pPr>
      <w:r>
        <w:rPr>
          <w:rFonts w:hint="eastAsia" w:ascii="宋体" w:hAnsi="宋体" w:cs="宋体"/>
          <w:szCs w:val="20"/>
        </w:rPr>
        <w:t>通过存量房网签信息采集功能从住建系统获取存量房网签信息（包含房源信息、开发商信息、买方信息、卖方信息、合同信息等），为存量房交易办税审核提供基础信息支持。</w:t>
      </w:r>
    </w:p>
    <w:p>
      <w:pPr>
        <w:rPr>
          <w:rFonts w:ascii="宋体" w:hAnsi="宋体" w:cs="宋体"/>
        </w:rPr>
      </w:pPr>
      <w:r>
        <w:rPr>
          <w:rFonts w:hint="eastAsia" w:ascii="宋体" w:hAnsi="宋体" w:cs="宋体"/>
          <w:szCs w:val="20"/>
        </w:rPr>
        <w:t>4）存量房经济适用房申报</w:t>
      </w:r>
    </w:p>
    <w:p>
      <w:pPr>
        <w:rPr>
          <w:rFonts w:ascii="宋体" w:hAnsi="宋体" w:cs="宋体"/>
        </w:rPr>
      </w:pPr>
      <w:r>
        <w:rPr>
          <w:rFonts w:hint="eastAsia" w:ascii="宋体" w:hAnsi="宋体" w:cs="宋体"/>
          <w:szCs w:val="20"/>
        </w:rPr>
        <w:t>通过存量房网签信息采集功能从住建系统获取存量房网签信息（包含房源信息、开发商信息、买方信息、卖方信息、合同信息等），为存量房经济适用房申报提供基础信息支持。</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个人增量房交易申报功能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本功能适用于已做过增量房网签信息采集，需要向税务机关进行增量房交易申报的自然人。</w:t>
      </w:r>
    </w:p>
    <w:p>
      <w:pPr>
        <w:rPr>
          <w:rFonts w:ascii="宋体" w:hAnsi="宋体" w:cs="宋体"/>
        </w:rPr>
      </w:pPr>
      <w:r>
        <w:rPr>
          <w:rFonts w:hint="eastAsia" w:ascii="宋体" w:hAnsi="宋体" w:cs="宋体"/>
          <w:szCs w:val="20"/>
        </w:rPr>
        <w:t>2、功能概述</w:t>
      </w:r>
    </w:p>
    <w:p>
      <w:pPr>
        <w:numPr>
          <w:ilvl w:val="2"/>
          <w:numId w:val="3"/>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操作人员输入证件号码、备案合同编号，获取已采集的增量房网签信息。</w:t>
      </w:r>
    </w:p>
    <w:p>
      <w:pPr>
        <w:numPr>
          <w:ilvl w:val="2"/>
          <w:numId w:val="3"/>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3"/>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3"/>
        </w:numPr>
        <w:spacing w:line="360" w:lineRule="auto"/>
        <w:ind w:left="0" w:firstLine="420" w:firstLineChars="200"/>
        <w:rPr>
          <w:rFonts w:ascii="宋体" w:hAnsi="宋体" w:cs="宋体"/>
        </w:rPr>
      </w:pPr>
      <w:r>
        <w:rPr>
          <w:rFonts w:hint="eastAsia" w:ascii="宋体" w:hAnsi="宋体" w:cs="宋体"/>
          <w:szCs w:val="20"/>
        </w:rPr>
        <w:t>签订诚信承诺书。</w:t>
      </w:r>
    </w:p>
    <w:p>
      <w:pPr>
        <w:numPr>
          <w:ilvl w:val="2"/>
          <w:numId w:val="3"/>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jc w:val="center"/>
        <w:rPr>
          <w:rFonts w:ascii="Times New Roman" w:hAnsi="Times New Roman" w:cs="Times New Roman"/>
        </w:rPr>
      </w:pPr>
      <w:r>
        <w:rPr>
          <w:rFonts w:hint="eastAsia" w:ascii="宋体" w:hAnsi="宋体" w:cs="宋体"/>
          <w:szCs w:val="20"/>
        </w:rPr>
        <w:drawing>
          <wp:inline distT="0" distB="0" distL="114300" distR="114300">
            <wp:extent cx="5267325" cy="3657600"/>
            <wp:effectExtent l="0" t="0" r="9525" b="0"/>
            <wp:docPr id="3" name="图片 3" descr="个人增量房交易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个人增量房交易申报"/>
                    <pic:cNvPicPr>
                      <a:picLocks noChangeAspect="1"/>
                    </pic:cNvPicPr>
                  </pic:nvPicPr>
                  <pic:blipFill>
                    <a:blip r:embed="rId7"/>
                    <a:stretch>
                      <a:fillRect/>
                    </a:stretch>
                  </pic:blipFill>
                  <pic:spPr>
                    <a:xfrm>
                      <a:off x="0" y="0"/>
                      <a:ext cx="5267325" cy="3657600"/>
                    </a:xfrm>
                    <a:prstGeom prst="rect">
                      <a:avLst/>
                    </a:prstGeom>
                    <a:noFill/>
                    <a:ln w="9525">
                      <a:noFill/>
                    </a:ln>
                  </pic:spPr>
                </pic:pic>
              </a:graphicData>
            </a:graphic>
          </wp:inline>
        </w:drawing>
      </w:r>
    </w:p>
    <w:p>
      <w:pPr>
        <w:jc w:val="center"/>
        <w:rPr>
          <w:rFonts w:ascii="黑体" w:hAnsi="宋体" w:eastAsia="黑体" w:cs="黑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8</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1）与增量房网签信息采集界面信息交互</w:t>
      </w:r>
    </w:p>
    <w:p>
      <w:pPr>
        <w:rPr>
          <w:rFonts w:ascii="宋体" w:hAnsi="宋体" w:cs="宋体"/>
        </w:rPr>
      </w:pPr>
      <w:r>
        <w:rPr>
          <w:rFonts w:hint="eastAsia" w:ascii="宋体" w:hAnsi="宋体" w:cs="宋体"/>
          <w:szCs w:val="20"/>
        </w:rPr>
        <w:t>通过查询条件设置，可以查询已采集的增量房网签信息。选择确定后将增量房网签信息填入相应的数据项中。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3）个人增量房交易税款计算</w:t>
      </w:r>
    </w:p>
    <w:p>
      <w:pPr>
        <w:rPr>
          <w:rFonts w:ascii="宋体" w:hAnsi="宋体" w:cs="宋体"/>
        </w:rPr>
      </w:pPr>
      <w:r>
        <w:rPr>
          <w:rFonts w:hint="eastAsia" w:ascii="宋体" w:hAnsi="宋体" w:cs="宋体"/>
          <w:szCs w:val="20"/>
        </w:rPr>
        <w:t>计算个人增量房交易中应缴纳税款。</w:t>
      </w:r>
    </w:p>
    <w:p>
      <w:pPr>
        <w:rPr>
          <w:rFonts w:ascii="宋体" w:hAnsi="宋体" w:cs="宋体"/>
        </w:rPr>
      </w:pPr>
      <w:r>
        <w:rPr>
          <w:rFonts w:hint="eastAsia" w:ascii="宋体" w:hAnsi="宋体" w:cs="宋体"/>
          <w:szCs w:val="20"/>
        </w:rPr>
        <w:t>4）申报信息作废</w:t>
      </w:r>
    </w:p>
    <w:p>
      <w:pPr>
        <w:rPr>
          <w:rFonts w:ascii="宋体" w:hAnsi="宋体" w:cs="宋体"/>
        </w:rPr>
      </w:pPr>
      <w:r>
        <w:rPr>
          <w:rFonts w:hint="eastAsia" w:ascii="宋体" w:hAnsi="宋体" w:cs="宋体"/>
          <w:szCs w:val="20"/>
        </w:rPr>
        <w:t>针对已申报未交款的个人增量房交易申报，提供申报作废支持。</w:t>
      </w:r>
    </w:p>
    <w:p>
      <w:pPr>
        <w:rPr>
          <w:rFonts w:ascii="宋体" w:hAnsi="宋体" w:cs="宋体"/>
        </w:rPr>
      </w:pPr>
      <w:r>
        <w:rPr>
          <w:rFonts w:hint="eastAsia" w:ascii="宋体" w:hAnsi="宋体" w:cs="宋体"/>
          <w:szCs w:val="20"/>
        </w:rPr>
        <w:t>5）税款计算确认与快捷缴款功能衔接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1）通过接口方式获取民政系统婚姻状况</w:t>
      </w:r>
    </w:p>
    <w:p>
      <w:pPr>
        <w:rPr>
          <w:rFonts w:ascii="宋体" w:hAnsi="宋体" w:cs="宋体"/>
        </w:rPr>
      </w:pPr>
      <w:r>
        <w:rPr>
          <w:rFonts w:hint="eastAsia" w:ascii="宋体" w:hAnsi="宋体" w:cs="宋体"/>
          <w:szCs w:val="20"/>
        </w:rPr>
        <w:t>2）通过接口方式获取公安系统户籍信息</w:t>
      </w:r>
    </w:p>
    <w:p>
      <w:pPr>
        <w:rPr>
          <w:rFonts w:ascii="宋体" w:hAnsi="宋体" w:cs="宋体"/>
        </w:rPr>
      </w:pPr>
      <w:r>
        <w:rPr>
          <w:rFonts w:hint="eastAsia" w:ascii="宋体" w:hAnsi="宋体" w:cs="宋体"/>
          <w:szCs w:val="20"/>
        </w:rPr>
        <w:t>3）通过接口方式获取自然资源与规划系统房屋套次信息</w:t>
      </w:r>
    </w:p>
    <w:p>
      <w:pPr>
        <w:rPr>
          <w:rFonts w:ascii="宋体" w:hAnsi="宋体" w:cs="宋体"/>
        </w:rPr>
      </w:pPr>
      <w:r>
        <w:rPr>
          <w:rFonts w:hint="eastAsia" w:ascii="宋体" w:hAnsi="宋体" w:cs="宋体"/>
          <w:szCs w:val="20"/>
        </w:rPr>
        <w:t>4）过接口方式获取住建系统房屋套次信息</w:t>
      </w:r>
    </w:p>
    <w:p>
      <w:pPr>
        <w:rPr>
          <w:rFonts w:ascii="宋体" w:hAnsi="宋体" w:cs="宋体"/>
        </w:rPr>
      </w:pPr>
      <w:r>
        <w:rPr>
          <w:rFonts w:hint="eastAsia" w:ascii="宋体" w:hAnsi="宋体" w:cs="宋体"/>
          <w:szCs w:val="20"/>
        </w:rPr>
        <w:t>5）快捷缴款</w:t>
      </w:r>
    </w:p>
    <w:p>
      <w:pPr>
        <w:rPr>
          <w:rFonts w:ascii="宋体" w:hAnsi="宋体" w:cs="宋体"/>
        </w:rPr>
      </w:pPr>
      <w:r>
        <w:rPr>
          <w:rFonts w:hint="eastAsia" w:ascii="宋体" w:hAnsi="宋体" w:cs="宋体"/>
          <w:szCs w:val="20"/>
        </w:rPr>
        <w:t>申报完成后，系统通过和金三系统的接口将申报的数据存储在金三系统，并产生应缴纳的税款信息。通过快捷缴款功能调取金三系统的应缴纳的税款信息（纳税人名称、纳税人识别号、登记序号以及应缴税款）进行税款缴纳。</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个人存量房交易申报功能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本功能用于已做过存量房网签信息采集，需要向税务机关进行存量房交易申报的自然人。</w:t>
      </w:r>
    </w:p>
    <w:p>
      <w:pPr>
        <w:rPr>
          <w:rFonts w:ascii="宋体" w:hAnsi="宋体" w:cs="宋体"/>
        </w:rPr>
      </w:pPr>
      <w:r>
        <w:rPr>
          <w:rFonts w:hint="eastAsia" w:ascii="宋体" w:hAnsi="宋体" w:cs="宋体"/>
          <w:szCs w:val="20"/>
        </w:rPr>
        <w:t>2、功能概述</w:t>
      </w:r>
    </w:p>
    <w:p>
      <w:pPr>
        <w:numPr>
          <w:ilvl w:val="2"/>
          <w:numId w:val="4"/>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操作人员输入证件号码、备案合同编号，获取已采集的存量房网签信息。</w:t>
      </w:r>
    </w:p>
    <w:p>
      <w:pPr>
        <w:numPr>
          <w:ilvl w:val="2"/>
          <w:numId w:val="4"/>
        </w:numPr>
        <w:spacing w:line="360" w:lineRule="auto"/>
        <w:ind w:left="0" w:firstLine="420" w:firstLineChars="200"/>
        <w:rPr>
          <w:rFonts w:ascii="宋体" w:hAnsi="宋体" w:cs="宋体"/>
        </w:rPr>
      </w:pPr>
      <w:r>
        <w:rPr>
          <w:rFonts w:hint="eastAsia" w:ascii="宋体" w:hAnsi="宋体" w:cs="宋体"/>
          <w:szCs w:val="20"/>
        </w:rPr>
        <w:t>从评估系统获取评估价格。</w:t>
      </w:r>
    </w:p>
    <w:p>
      <w:pPr>
        <w:numPr>
          <w:ilvl w:val="2"/>
          <w:numId w:val="4"/>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4"/>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4"/>
        </w:numPr>
        <w:spacing w:line="360" w:lineRule="auto"/>
        <w:ind w:left="0" w:firstLine="420" w:firstLineChars="200"/>
        <w:rPr>
          <w:rFonts w:ascii="宋体" w:hAnsi="宋体" w:cs="宋体"/>
        </w:rPr>
      </w:pPr>
      <w:r>
        <w:rPr>
          <w:rFonts w:hint="eastAsia" w:ascii="宋体" w:hAnsi="宋体" w:cs="宋体"/>
          <w:szCs w:val="20"/>
        </w:rPr>
        <w:t>买卖双方签订诚信承诺书。</w:t>
      </w:r>
    </w:p>
    <w:p>
      <w:pPr>
        <w:numPr>
          <w:ilvl w:val="2"/>
          <w:numId w:val="4"/>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jc w:val="center"/>
        <w:rPr>
          <w:rFonts w:ascii="Times New Roman" w:hAnsi="Times New Roman" w:cs="Times New Roman"/>
        </w:rPr>
      </w:pPr>
      <w:r>
        <w:rPr>
          <w:rFonts w:hint="eastAsia" w:ascii="宋体" w:hAnsi="宋体" w:cs="宋体"/>
          <w:szCs w:val="20"/>
        </w:rPr>
        <w:drawing>
          <wp:inline distT="0" distB="0" distL="114300" distR="114300">
            <wp:extent cx="5267325" cy="3705225"/>
            <wp:effectExtent l="0" t="0" r="9525" b="9525"/>
            <wp:docPr id="4" name="图片 4" descr="个人存量房交易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个人存量房交易申报"/>
                    <pic:cNvPicPr>
                      <a:picLocks noChangeAspect="1"/>
                    </pic:cNvPicPr>
                  </pic:nvPicPr>
                  <pic:blipFill>
                    <a:blip r:embed="rId8"/>
                    <a:stretch>
                      <a:fillRect/>
                    </a:stretch>
                  </pic:blipFill>
                  <pic:spPr>
                    <a:xfrm>
                      <a:off x="0" y="0"/>
                      <a:ext cx="5267325" cy="3705225"/>
                    </a:xfrm>
                    <a:prstGeom prst="rect">
                      <a:avLst/>
                    </a:prstGeom>
                    <a:noFill/>
                    <a:ln w="9525">
                      <a:noFill/>
                    </a:ln>
                  </pic:spPr>
                </pic:pic>
              </a:graphicData>
            </a:graphic>
          </wp:inline>
        </w:drawing>
      </w:r>
    </w:p>
    <w:p>
      <w:pPr>
        <w:jc w:val="center"/>
        <w:rPr>
          <w:rFonts w:ascii="黑体" w:hAnsi="宋体" w:eastAsia="黑体" w:cs="黑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8</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1）与存量房网签信息采集界面信息交互</w:t>
      </w:r>
    </w:p>
    <w:p>
      <w:pPr>
        <w:rPr>
          <w:rFonts w:ascii="宋体" w:hAnsi="宋体" w:cs="宋体"/>
        </w:rPr>
      </w:pPr>
      <w:r>
        <w:rPr>
          <w:rFonts w:hint="eastAsia" w:ascii="宋体" w:hAnsi="宋体" w:cs="宋体"/>
          <w:szCs w:val="20"/>
        </w:rPr>
        <w:t>通过查询条件设置，可以查询已采集的增量房网签信息。选择确定后将增量房网签信息填入相应的数据项中。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3）个人存量房交易税款计算</w:t>
      </w:r>
    </w:p>
    <w:p>
      <w:pPr>
        <w:rPr>
          <w:rFonts w:ascii="宋体" w:hAnsi="宋体" w:cs="宋体"/>
        </w:rPr>
      </w:pPr>
      <w:r>
        <w:rPr>
          <w:rFonts w:hint="eastAsia" w:ascii="宋体" w:hAnsi="宋体" w:cs="宋体"/>
          <w:szCs w:val="20"/>
        </w:rPr>
        <w:t>计算个人存量房交易中应缴纳税款。</w:t>
      </w:r>
    </w:p>
    <w:p>
      <w:pPr>
        <w:rPr>
          <w:rFonts w:ascii="宋体" w:hAnsi="宋体" w:cs="宋体"/>
        </w:rPr>
      </w:pPr>
      <w:r>
        <w:rPr>
          <w:rFonts w:hint="eastAsia" w:ascii="宋体" w:hAnsi="宋体" w:cs="宋体"/>
          <w:szCs w:val="20"/>
        </w:rPr>
        <w:t>4）房屋信息评估价格获取与显示</w:t>
      </w:r>
    </w:p>
    <w:p>
      <w:pPr>
        <w:rPr>
          <w:rFonts w:ascii="宋体" w:hAnsi="宋体" w:cs="宋体"/>
        </w:rPr>
      </w:pPr>
      <w:r>
        <w:rPr>
          <w:rFonts w:hint="eastAsia" w:ascii="宋体" w:hAnsi="宋体" w:cs="宋体"/>
          <w:szCs w:val="20"/>
        </w:rPr>
        <w:t>获取评估系统的评估价格，并展示。</w:t>
      </w:r>
    </w:p>
    <w:p>
      <w:pPr>
        <w:rPr>
          <w:rFonts w:ascii="宋体" w:hAnsi="宋体" w:cs="宋体"/>
        </w:rPr>
      </w:pPr>
      <w:r>
        <w:rPr>
          <w:rFonts w:hint="eastAsia" w:ascii="宋体" w:hAnsi="宋体" w:cs="宋体"/>
          <w:szCs w:val="20"/>
        </w:rPr>
        <w:t>5）个人所得税扣除信息采集与计算</w:t>
      </w:r>
    </w:p>
    <w:p>
      <w:pPr>
        <w:rPr>
          <w:rFonts w:ascii="宋体" w:hAnsi="宋体" w:cs="宋体"/>
        </w:rPr>
      </w:pPr>
      <w:r>
        <w:rPr>
          <w:rFonts w:hint="eastAsia" w:ascii="宋体" w:hAnsi="宋体" w:cs="宋体"/>
          <w:szCs w:val="20"/>
        </w:rPr>
        <w:t>采集个人所得税扣除相关数据，并计算个人所得税扣除额。</w:t>
      </w:r>
    </w:p>
    <w:p>
      <w:pPr>
        <w:rPr>
          <w:rFonts w:ascii="宋体" w:hAnsi="宋体" w:cs="宋体"/>
        </w:rPr>
      </w:pPr>
      <w:r>
        <w:rPr>
          <w:rFonts w:hint="eastAsia" w:ascii="宋体" w:hAnsi="宋体" w:cs="宋体"/>
          <w:szCs w:val="20"/>
        </w:rPr>
        <w:t>6）土地增值税扣除信息采集与计算</w:t>
      </w:r>
    </w:p>
    <w:p>
      <w:pPr>
        <w:rPr>
          <w:rFonts w:ascii="宋体" w:hAnsi="宋体" w:cs="宋体"/>
        </w:rPr>
      </w:pPr>
      <w:r>
        <w:rPr>
          <w:rFonts w:hint="eastAsia" w:ascii="宋体" w:hAnsi="宋体" w:cs="宋体"/>
          <w:szCs w:val="20"/>
        </w:rPr>
        <w:t>采集土地增值税扣除相关数据，并计算个人所得税扣除额</w:t>
      </w:r>
    </w:p>
    <w:p>
      <w:pPr>
        <w:rPr>
          <w:rFonts w:ascii="宋体" w:hAnsi="宋体" w:cs="宋体"/>
        </w:rPr>
      </w:pPr>
      <w:r>
        <w:rPr>
          <w:rFonts w:hint="eastAsia" w:ascii="宋体" w:hAnsi="宋体" w:cs="宋体"/>
          <w:szCs w:val="20"/>
        </w:rPr>
        <w:t>7）卖方上一次取得房屋相关信息采集与计算</w:t>
      </w:r>
    </w:p>
    <w:p>
      <w:pPr>
        <w:rPr>
          <w:rFonts w:ascii="宋体" w:hAnsi="宋体" w:cs="宋体"/>
        </w:rPr>
      </w:pPr>
      <w:r>
        <w:rPr>
          <w:rFonts w:hint="eastAsia" w:ascii="宋体" w:hAnsi="宋体" w:cs="宋体"/>
          <w:szCs w:val="20"/>
        </w:rPr>
        <w:t>采集卖方上一次取得房屋相关信息。</w:t>
      </w:r>
    </w:p>
    <w:p>
      <w:pPr>
        <w:rPr>
          <w:rFonts w:ascii="宋体" w:hAnsi="宋体" w:cs="宋体"/>
        </w:rPr>
      </w:pPr>
      <w:r>
        <w:rPr>
          <w:rFonts w:hint="eastAsia" w:ascii="宋体" w:hAnsi="宋体" w:cs="宋体"/>
          <w:szCs w:val="20"/>
        </w:rPr>
        <w:t>8）卖方相关应缴纳税款计算</w:t>
      </w:r>
    </w:p>
    <w:p>
      <w:pPr>
        <w:rPr>
          <w:rFonts w:ascii="宋体" w:hAnsi="宋体" w:cs="宋体"/>
        </w:rPr>
      </w:pPr>
      <w:r>
        <w:rPr>
          <w:rFonts w:hint="eastAsia" w:ascii="宋体" w:hAnsi="宋体" w:cs="宋体"/>
          <w:szCs w:val="20"/>
        </w:rPr>
        <w:t>计算卖方应缴纳税款。</w:t>
      </w:r>
    </w:p>
    <w:p>
      <w:pPr>
        <w:rPr>
          <w:rFonts w:ascii="宋体" w:hAnsi="宋体" w:cs="宋体"/>
        </w:rPr>
      </w:pPr>
      <w:r>
        <w:rPr>
          <w:rFonts w:hint="eastAsia" w:ascii="宋体" w:hAnsi="宋体" w:cs="宋体"/>
          <w:szCs w:val="20"/>
        </w:rPr>
        <w:t>9）买方相关应缴纳税款计算</w:t>
      </w:r>
    </w:p>
    <w:p>
      <w:pPr>
        <w:rPr>
          <w:rFonts w:ascii="宋体" w:hAnsi="宋体" w:cs="宋体"/>
        </w:rPr>
      </w:pPr>
      <w:r>
        <w:rPr>
          <w:rFonts w:hint="eastAsia" w:ascii="宋体" w:hAnsi="宋体" w:cs="宋体"/>
          <w:szCs w:val="20"/>
        </w:rPr>
        <w:t>计算买方应缴纳税款。</w:t>
      </w:r>
    </w:p>
    <w:p>
      <w:pPr>
        <w:rPr>
          <w:rFonts w:ascii="宋体" w:hAnsi="宋体" w:cs="宋体"/>
        </w:rPr>
      </w:pPr>
      <w:r>
        <w:rPr>
          <w:rFonts w:hint="eastAsia" w:ascii="宋体" w:hAnsi="宋体" w:cs="宋体"/>
          <w:szCs w:val="20"/>
        </w:rPr>
        <w:t>10）申报信息作废</w:t>
      </w:r>
    </w:p>
    <w:p>
      <w:pPr>
        <w:rPr>
          <w:rFonts w:ascii="宋体" w:hAnsi="宋体" w:cs="宋体"/>
        </w:rPr>
      </w:pPr>
      <w:r>
        <w:rPr>
          <w:rFonts w:hint="eastAsia" w:ascii="宋体" w:hAnsi="宋体" w:cs="宋体"/>
          <w:szCs w:val="20"/>
        </w:rPr>
        <w:t>针对已申报未交款的个人存量房交易申报，提供申报作废支持。</w:t>
      </w:r>
    </w:p>
    <w:p>
      <w:pPr>
        <w:rPr>
          <w:rFonts w:ascii="宋体" w:hAnsi="宋体" w:cs="宋体"/>
        </w:rPr>
      </w:pPr>
      <w:r>
        <w:rPr>
          <w:rFonts w:hint="eastAsia" w:ascii="宋体" w:hAnsi="宋体" w:cs="宋体"/>
          <w:szCs w:val="20"/>
        </w:rPr>
        <w:t>11）税款计算确认与快捷缴款功能衔接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autoSpaceDE w:val="0"/>
        <w:autoSpaceDN w:val="0"/>
        <w:adjustRightInd w:val="0"/>
        <w:rPr>
          <w:rFonts w:ascii="宋体" w:hAnsi="Times New Roman" w:cs="宋体"/>
          <w:lang w:val="zh-CN"/>
        </w:rPr>
      </w:pPr>
      <w:r>
        <w:rPr>
          <w:rFonts w:hint="eastAsia" w:ascii="宋体" w:hAnsi="Times New Roman" w:cs="宋体"/>
          <w:lang w:val="zh-CN"/>
        </w:rPr>
        <w:t>1）通过接口方式获取民政局婚姻状况</w:t>
      </w:r>
    </w:p>
    <w:p>
      <w:pPr>
        <w:autoSpaceDE w:val="0"/>
        <w:autoSpaceDN w:val="0"/>
        <w:adjustRightInd w:val="0"/>
        <w:rPr>
          <w:rFonts w:ascii="宋体" w:hAnsi="Times New Roman" w:cs="宋体"/>
          <w:lang w:val="zh-CN"/>
        </w:rPr>
      </w:pPr>
      <w:r>
        <w:rPr>
          <w:rFonts w:hint="eastAsia" w:ascii="宋体" w:hAnsi="Times New Roman" w:cs="宋体"/>
          <w:lang w:val="zh-CN"/>
        </w:rPr>
        <w:t>2）通过接口方式获取公安局户籍信息</w:t>
      </w:r>
    </w:p>
    <w:p>
      <w:pPr>
        <w:autoSpaceDE w:val="0"/>
        <w:autoSpaceDN w:val="0"/>
        <w:adjustRightInd w:val="0"/>
        <w:rPr>
          <w:rFonts w:ascii="宋体" w:hAnsi="Times New Roman" w:cs="宋体"/>
          <w:lang w:val="zh-CN"/>
        </w:rPr>
      </w:pPr>
      <w:r>
        <w:rPr>
          <w:rFonts w:hint="eastAsia" w:ascii="宋体" w:hAnsi="Times New Roman" w:cs="宋体"/>
          <w:lang w:val="zh-CN"/>
        </w:rPr>
        <w:t>3）通过接口方式获取自然资源与规划局房屋套次信息</w:t>
      </w:r>
    </w:p>
    <w:p>
      <w:pPr>
        <w:rPr>
          <w:rFonts w:ascii="宋体" w:hAnsi="Times New Roman" w:cs="宋体"/>
          <w:lang w:val="zh-CN"/>
        </w:rPr>
      </w:pPr>
      <w:r>
        <w:rPr>
          <w:rFonts w:hint="eastAsia" w:ascii="宋体" w:hAnsi="Times New Roman" w:cs="宋体"/>
          <w:lang w:val="zh-CN"/>
        </w:rPr>
        <w:t>4）通过接口方式获取住建局房屋套次信息</w:t>
      </w:r>
    </w:p>
    <w:p>
      <w:pPr>
        <w:rPr>
          <w:rFonts w:ascii="宋体" w:hAnsi="宋体" w:cs="宋体"/>
        </w:rPr>
      </w:pPr>
      <w:r>
        <w:rPr>
          <w:rFonts w:hint="eastAsia" w:ascii="宋体" w:hAnsi="Times New Roman" w:cs="宋体"/>
          <w:lang w:val="zh-CN"/>
        </w:rPr>
        <w:t>5）通过接口方式获取评估系统评估价格信息</w:t>
      </w:r>
    </w:p>
    <w:p>
      <w:pPr>
        <w:rPr>
          <w:rFonts w:ascii="宋体" w:hAnsi="宋体" w:cs="宋体"/>
        </w:rPr>
      </w:pPr>
      <w:r>
        <w:rPr>
          <w:rFonts w:hint="eastAsia" w:ascii="宋体" w:hAnsi="宋体" w:cs="宋体"/>
          <w:szCs w:val="20"/>
        </w:rPr>
        <w:t>6）快捷缴款</w:t>
      </w:r>
    </w:p>
    <w:p>
      <w:pPr>
        <w:rPr>
          <w:rFonts w:ascii="宋体" w:hAnsi="宋体" w:cs="宋体"/>
        </w:rPr>
      </w:pPr>
      <w:r>
        <w:rPr>
          <w:rFonts w:hint="eastAsia" w:ascii="宋体" w:hAnsi="宋体" w:cs="宋体"/>
          <w:szCs w:val="20"/>
        </w:rPr>
        <w:t>申报完成后，系统通过金三系统的接口将申报的数据存储在金三系统，并产生应缴纳的税款信息。通过快捷缴款功能调取金三系统的应缴纳的税款信息（纳税人名称、纳税人识别号、登记序号以及应缴税款）进行税款缴纳。</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企业增量房交易申报功能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本功能用于已做过增量房网签信息采集，需要向税务机关进行增量房交易申报的企业。</w:t>
      </w:r>
    </w:p>
    <w:p>
      <w:pPr>
        <w:rPr>
          <w:rFonts w:ascii="宋体" w:hAnsi="宋体" w:cs="宋体"/>
        </w:rPr>
      </w:pPr>
      <w:r>
        <w:rPr>
          <w:rFonts w:hint="eastAsia" w:ascii="宋体" w:hAnsi="宋体" w:cs="宋体"/>
          <w:szCs w:val="20"/>
        </w:rPr>
        <w:t>2、功能概述</w:t>
      </w:r>
    </w:p>
    <w:p>
      <w:pPr>
        <w:numPr>
          <w:ilvl w:val="2"/>
          <w:numId w:val="5"/>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操作人员输入证件号码、备案合同编号，获取已采集的增量房网签信息。</w:t>
      </w:r>
    </w:p>
    <w:p>
      <w:pPr>
        <w:numPr>
          <w:ilvl w:val="2"/>
          <w:numId w:val="5"/>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5"/>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5"/>
        </w:numPr>
        <w:spacing w:line="360" w:lineRule="auto"/>
        <w:ind w:left="0" w:firstLine="420" w:firstLineChars="200"/>
        <w:rPr>
          <w:rFonts w:ascii="宋体" w:hAnsi="宋体" w:cs="宋体"/>
        </w:rPr>
      </w:pPr>
      <w:r>
        <w:rPr>
          <w:rFonts w:hint="eastAsia" w:ascii="宋体" w:hAnsi="宋体" w:cs="宋体"/>
          <w:szCs w:val="20"/>
        </w:rPr>
        <w:t>签订诚信承诺书。</w:t>
      </w:r>
    </w:p>
    <w:p>
      <w:pPr>
        <w:numPr>
          <w:ilvl w:val="2"/>
          <w:numId w:val="5"/>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jc w:val="center"/>
        <w:rPr>
          <w:rFonts w:ascii="Times New Roman" w:hAnsi="Times New Roman" w:cs="Times New Roman"/>
        </w:rPr>
      </w:pPr>
      <w:r>
        <w:rPr>
          <w:rFonts w:hint="eastAsia" w:ascii="宋体" w:hAnsi="宋体" w:cs="宋体"/>
          <w:szCs w:val="20"/>
        </w:rPr>
        <w:drawing>
          <wp:inline distT="0" distB="0" distL="114300" distR="114300">
            <wp:extent cx="5267325" cy="3295650"/>
            <wp:effectExtent l="0" t="0" r="9525" b="0"/>
            <wp:docPr id="5" name="图片 5" descr="企业增量房交易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企业增量房交易申报"/>
                    <pic:cNvPicPr>
                      <a:picLocks noChangeAspect="1"/>
                    </pic:cNvPicPr>
                  </pic:nvPicPr>
                  <pic:blipFill>
                    <a:blip r:embed="rId9"/>
                    <a:stretch>
                      <a:fillRect/>
                    </a:stretch>
                  </pic:blipFill>
                  <pic:spPr>
                    <a:xfrm>
                      <a:off x="0" y="0"/>
                      <a:ext cx="5267325" cy="329565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10</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1）与增量房网签信息采集界面信息交互</w:t>
      </w:r>
    </w:p>
    <w:p>
      <w:pPr>
        <w:rPr>
          <w:rFonts w:ascii="宋体" w:hAnsi="宋体" w:cs="宋体"/>
        </w:rPr>
      </w:pPr>
      <w:r>
        <w:rPr>
          <w:rFonts w:hint="eastAsia" w:ascii="宋体" w:hAnsi="宋体" w:cs="宋体"/>
          <w:szCs w:val="20"/>
        </w:rPr>
        <w:t>通过查询条件设置，可以查询已采集的增量房网签信息。选择确定后将增量房网签信息填入相应的数据项中。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3）企业增量房交易税款计算</w:t>
      </w:r>
    </w:p>
    <w:p>
      <w:pPr>
        <w:rPr>
          <w:rFonts w:ascii="宋体" w:hAnsi="宋体" w:cs="宋体"/>
        </w:rPr>
      </w:pPr>
      <w:r>
        <w:rPr>
          <w:rFonts w:hint="eastAsia" w:ascii="宋体" w:hAnsi="宋体" w:cs="宋体"/>
          <w:szCs w:val="20"/>
        </w:rPr>
        <w:t>计算企业增量房交易中应缴纳税款。</w:t>
      </w:r>
    </w:p>
    <w:p>
      <w:pPr>
        <w:rPr>
          <w:rFonts w:ascii="宋体" w:hAnsi="宋体" w:cs="宋体"/>
        </w:rPr>
      </w:pPr>
      <w:r>
        <w:rPr>
          <w:rFonts w:hint="eastAsia" w:ascii="宋体" w:hAnsi="宋体" w:cs="宋体"/>
          <w:szCs w:val="20"/>
        </w:rPr>
        <w:t>4）申报信息作废</w:t>
      </w:r>
    </w:p>
    <w:p>
      <w:pPr>
        <w:rPr>
          <w:rFonts w:ascii="宋体" w:hAnsi="宋体" w:cs="宋体"/>
        </w:rPr>
      </w:pPr>
      <w:r>
        <w:rPr>
          <w:rFonts w:hint="eastAsia" w:ascii="宋体" w:hAnsi="宋体" w:cs="宋体"/>
          <w:szCs w:val="20"/>
        </w:rPr>
        <w:t>针对已申报未交款的个人增量房交易申报，提供申报作废支持。</w:t>
      </w:r>
    </w:p>
    <w:p>
      <w:pPr>
        <w:rPr>
          <w:rFonts w:ascii="宋体" w:hAnsi="宋体" w:cs="宋体"/>
        </w:rPr>
      </w:pPr>
      <w:r>
        <w:rPr>
          <w:rFonts w:hint="eastAsia" w:ascii="宋体" w:hAnsi="宋体" w:cs="宋体"/>
          <w:szCs w:val="20"/>
        </w:rPr>
        <w:t>5）税款计算确认与快捷缴款功能衔接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快捷缴款：申报完成后，系统通过金三系统的接口将申报的数据存储在金三系统，并产生应缴纳的税款信息。通过快捷缴款功能调取金三系统的应缴纳的税款信息（纳税人名称、纳税人识别号、登记序号以及应缴税款）进行税款缴纳。</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企业存量房交易申报功能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本功能用于已做过网签信息采集，需要向税务机关进行存量房交易申报的企业。</w:t>
      </w:r>
    </w:p>
    <w:p>
      <w:pPr>
        <w:rPr>
          <w:rFonts w:ascii="宋体" w:hAnsi="宋体" w:cs="宋体"/>
        </w:rPr>
      </w:pPr>
      <w:r>
        <w:rPr>
          <w:rFonts w:hint="eastAsia" w:ascii="宋体" w:hAnsi="宋体" w:cs="宋体"/>
          <w:szCs w:val="20"/>
        </w:rPr>
        <w:t>2、功能概述</w:t>
      </w:r>
    </w:p>
    <w:p>
      <w:pPr>
        <w:numPr>
          <w:ilvl w:val="2"/>
          <w:numId w:val="6"/>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操作人员输入证件号码、备案合同编号，获取已采集的存量房网签信息。</w:t>
      </w:r>
    </w:p>
    <w:p>
      <w:pPr>
        <w:numPr>
          <w:ilvl w:val="2"/>
          <w:numId w:val="6"/>
        </w:numPr>
        <w:spacing w:line="360" w:lineRule="auto"/>
        <w:ind w:left="0" w:firstLine="420" w:firstLineChars="200"/>
        <w:rPr>
          <w:rFonts w:ascii="宋体" w:hAnsi="宋体" w:cs="宋体"/>
        </w:rPr>
      </w:pPr>
      <w:r>
        <w:rPr>
          <w:rFonts w:hint="eastAsia" w:ascii="宋体" w:hAnsi="宋体" w:cs="宋体"/>
          <w:szCs w:val="20"/>
        </w:rPr>
        <w:t>从评估系统获取评估价格。</w:t>
      </w:r>
    </w:p>
    <w:p>
      <w:pPr>
        <w:numPr>
          <w:ilvl w:val="2"/>
          <w:numId w:val="6"/>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6"/>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6"/>
        </w:numPr>
        <w:spacing w:line="360" w:lineRule="auto"/>
        <w:ind w:left="0" w:firstLine="420" w:firstLineChars="200"/>
        <w:rPr>
          <w:rFonts w:ascii="宋体" w:hAnsi="宋体" w:cs="宋体"/>
        </w:rPr>
      </w:pPr>
      <w:r>
        <w:rPr>
          <w:rFonts w:hint="eastAsia" w:ascii="宋体" w:hAnsi="宋体" w:cs="宋体"/>
          <w:szCs w:val="20"/>
        </w:rPr>
        <w:t>买卖双方签订诚信承诺书。</w:t>
      </w:r>
    </w:p>
    <w:p>
      <w:pPr>
        <w:numPr>
          <w:ilvl w:val="2"/>
          <w:numId w:val="6"/>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jc w:val="center"/>
        <w:rPr>
          <w:rFonts w:ascii="Times New Roman" w:hAnsi="Times New Roman" w:cs="Times New Roman"/>
        </w:rPr>
      </w:pPr>
      <w:r>
        <w:rPr>
          <w:rFonts w:hint="eastAsia" w:ascii="宋体" w:hAnsi="宋体" w:cs="宋体"/>
          <w:szCs w:val="20"/>
        </w:rPr>
        <w:drawing>
          <wp:inline distT="0" distB="0" distL="114300" distR="114300">
            <wp:extent cx="5267325" cy="3133725"/>
            <wp:effectExtent l="0" t="0" r="9525" b="9525"/>
            <wp:docPr id="6" name="图片 6" descr="企业存量房房产交易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企业存量房房产交易申报"/>
                    <pic:cNvPicPr>
                      <a:picLocks noChangeAspect="1"/>
                    </pic:cNvPicPr>
                  </pic:nvPicPr>
                  <pic:blipFill>
                    <a:blip r:embed="rId10"/>
                    <a:stretch>
                      <a:fillRect/>
                    </a:stretch>
                  </pic:blipFill>
                  <pic:spPr>
                    <a:xfrm>
                      <a:off x="0" y="0"/>
                      <a:ext cx="5267325" cy="3133725"/>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10</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1）与存量房网签信息采集界面信息交互</w:t>
      </w:r>
    </w:p>
    <w:p>
      <w:pPr>
        <w:rPr>
          <w:rFonts w:ascii="宋体" w:hAnsi="宋体" w:cs="宋体"/>
        </w:rPr>
      </w:pPr>
      <w:r>
        <w:rPr>
          <w:rFonts w:hint="eastAsia" w:ascii="宋体" w:hAnsi="宋体" w:cs="宋体"/>
          <w:szCs w:val="20"/>
        </w:rPr>
        <w:t>通过查询条件设置，可以查询已采集的存量房网签信息。选择确定后将存量房网签信息填入相应的数据项中。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3）企业存量房交易税款计算</w:t>
      </w:r>
    </w:p>
    <w:p>
      <w:pPr>
        <w:rPr>
          <w:rFonts w:ascii="宋体" w:hAnsi="宋体" w:cs="宋体"/>
        </w:rPr>
      </w:pPr>
      <w:r>
        <w:rPr>
          <w:rFonts w:hint="eastAsia" w:ascii="宋体" w:hAnsi="宋体" w:cs="宋体"/>
          <w:szCs w:val="20"/>
        </w:rPr>
        <w:t>计算企业存量房交易中应缴纳税款。</w:t>
      </w:r>
    </w:p>
    <w:p>
      <w:pPr>
        <w:rPr>
          <w:rFonts w:ascii="宋体" w:hAnsi="宋体" w:cs="宋体"/>
        </w:rPr>
      </w:pPr>
      <w:r>
        <w:rPr>
          <w:rFonts w:hint="eastAsia" w:ascii="宋体" w:hAnsi="宋体" w:cs="宋体"/>
          <w:szCs w:val="20"/>
        </w:rPr>
        <w:t>4）房屋信息评估价格获取与显示</w:t>
      </w:r>
    </w:p>
    <w:p>
      <w:pPr>
        <w:rPr>
          <w:rFonts w:ascii="宋体" w:hAnsi="宋体" w:cs="宋体"/>
        </w:rPr>
      </w:pPr>
      <w:r>
        <w:rPr>
          <w:rFonts w:hint="eastAsia" w:ascii="宋体" w:hAnsi="宋体" w:cs="宋体"/>
          <w:szCs w:val="20"/>
        </w:rPr>
        <w:t>获取评估系统的评估价格，并展示。</w:t>
      </w:r>
    </w:p>
    <w:p>
      <w:pPr>
        <w:rPr>
          <w:rFonts w:ascii="宋体" w:hAnsi="宋体" w:cs="宋体"/>
        </w:rPr>
      </w:pPr>
      <w:r>
        <w:rPr>
          <w:rFonts w:hint="eastAsia" w:ascii="宋体" w:hAnsi="宋体" w:cs="宋体"/>
          <w:szCs w:val="20"/>
        </w:rPr>
        <w:t>5）个人所得税扣除信息采集与计算</w:t>
      </w:r>
    </w:p>
    <w:p>
      <w:pPr>
        <w:rPr>
          <w:rFonts w:ascii="宋体" w:hAnsi="宋体" w:cs="宋体"/>
        </w:rPr>
      </w:pPr>
      <w:r>
        <w:rPr>
          <w:rFonts w:hint="eastAsia" w:ascii="宋体" w:hAnsi="宋体" w:cs="宋体"/>
          <w:szCs w:val="20"/>
        </w:rPr>
        <w:t>采集个人所得税扣除相关数据，并计算个人所得税扣除额</w:t>
      </w:r>
    </w:p>
    <w:p>
      <w:pPr>
        <w:rPr>
          <w:rFonts w:ascii="宋体" w:hAnsi="宋体" w:cs="宋体"/>
        </w:rPr>
      </w:pPr>
      <w:r>
        <w:rPr>
          <w:rFonts w:hint="eastAsia" w:ascii="宋体" w:hAnsi="宋体" w:cs="宋体"/>
          <w:szCs w:val="20"/>
        </w:rPr>
        <w:t>6）土地增值税扣除信息采集与计算</w:t>
      </w:r>
    </w:p>
    <w:p>
      <w:pPr>
        <w:rPr>
          <w:rFonts w:ascii="宋体" w:hAnsi="宋体" w:cs="宋体"/>
        </w:rPr>
      </w:pPr>
      <w:r>
        <w:rPr>
          <w:rFonts w:hint="eastAsia" w:ascii="宋体" w:hAnsi="宋体" w:cs="宋体"/>
          <w:szCs w:val="20"/>
        </w:rPr>
        <w:t>采集土地增值税扣除相关数据，并计算个人所得税扣除额</w:t>
      </w:r>
    </w:p>
    <w:p>
      <w:pPr>
        <w:rPr>
          <w:rFonts w:ascii="宋体" w:hAnsi="宋体" w:cs="宋体"/>
        </w:rPr>
      </w:pPr>
      <w:r>
        <w:rPr>
          <w:rFonts w:hint="eastAsia" w:ascii="宋体" w:hAnsi="宋体" w:cs="宋体"/>
          <w:szCs w:val="20"/>
        </w:rPr>
        <w:t>7）卖方上一次取得房屋相关信息采集与计算</w:t>
      </w:r>
    </w:p>
    <w:p>
      <w:pPr>
        <w:rPr>
          <w:rFonts w:ascii="宋体" w:hAnsi="宋体" w:cs="宋体"/>
        </w:rPr>
      </w:pPr>
      <w:r>
        <w:rPr>
          <w:rFonts w:hint="eastAsia" w:ascii="宋体" w:hAnsi="宋体" w:cs="宋体"/>
          <w:szCs w:val="20"/>
        </w:rPr>
        <w:t>采集卖方上一次取得房屋相关信息。</w:t>
      </w:r>
    </w:p>
    <w:p>
      <w:pPr>
        <w:rPr>
          <w:rFonts w:ascii="宋体" w:hAnsi="宋体" w:cs="宋体"/>
        </w:rPr>
      </w:pPr>
      <w:r>
        <w:rPr>
          <w:rFonts w:hint="eastAsia" w:ascii="宋体" w:hAnsi="宋体" w:cs="宋体"/>
          <w:szCs w:val="20"/>
        </w:rPr>
        <w:t>8）卖方相关应缴纳税款计算</w:t>
      </w:r>
    </w:p>
    <w:p>
      <w:pPr>
        <w:rPr>
          <w:rFonts w:ascii="宋体" w:hAnsi="宋体" w:cs="宋体"/>
        </w:rPr>
      </w:pPr>
      <w:r>
        <w:rPr>
          <w:rFonts w:hint="eastAsia" w:ascii="宋体" w:hAnsi="宋体" w:cs="宋体"/>
          <w:szCs w:val="20"/>
        </w:rPr>
        <w:t>计算卖方应缴纳税款。</w:t>
      </w:r>
    </w:p>
    <w:p>
      <w:pPr>
        <w:rPr>
          <w:rFonts w:ascii="宋体" w:hAnsi="宋体" w:cs="宋体"/>
        </w:rPr>
      </w:pPr>
      <w:r>
        <w:rPr>
          <w:rFonts w:hint="eastAsia" w:ascii="宋体" w:hAnsi="宋体" w:cs="宋体"/>
          <w:szCs w:val="20"/>
        </w:rPr>
        <w:t>9）买方相关应缴纳税款计算</w:t>
      </w:r>
    </w:p>
    <w:p>
      <w:pPr>
        <w:rPr>
          <w:rFonts w:ascii="宋体" w:hAnsi="宋体" w:cs="宋体"/>
        </w:rPr>
      </w:pPr>
      <w:r>
        <w:rPr>
          <w:rFonts w:hint="eastAsia" w:ascii="宋体" w:hAnsi="宋体" w:cs="宋体"/>
          <w:szCs w:val="20"/>
        </w:rPr>
        <w:t>计算买方应缴纳税款。</w:t>
      </w:r>
    </w:p>
    <w:p>
      <w:pPr>
        <w:rPr>
          <w:rFonts w:ascii="宋体" w:hAnsi="宋体" w:cs="宋体"/>
        </w:rPr>
      </w:pPr>
      <w:r>
        <w:rPr>
          <w:rFonts w:hint="eastAsia" w:ascii="宋体" w:hAnsi="宋体" w:cs="宋体"/>
          <w:szCs w:val="20"/>
        </w:rPr>
        <w:t>10）申报信息作废</w:t>
      </w:r>
    </w:p>
    <w:p>
      <w:pPr>
        <w:rPr>
          <w:rFonts w:ascii="宋体" w:hAnsi="宋体" w:cs="宋体"/>
        </w:rPr>
      </w:pPr>
      <w:r>
        <w:rPr>
          <w:rFonts w:hint="eastAsia" w:ascii="宋体" w:hAnsi="宋体" w:cs="宋体"/>
          <w:szCs w:val="20"/>
        </w:rPr>
        <w:t>针对已申报未交款的企业存量房交易申报，提供申报作废支持。</w:t>
      </w:r>
    </w:p>
    <w:p>
      <w:pPr>
        <w:rPr>
          <w:rFonts w:ascii="宋体" w:hAnsi="宋体" w:cs="宋体"/>
        </w:rPr>
      </w:pPr>
      <w:r>
        <w:rPr>
          <w:rFonts w:hint="eastAsia" w:ascii="宋体" w:hAnsi="宋体" w:cs="宋体"/>
          <w:szCs w:val="20"/>
        </w:rPr>
        <w:t>11）税款计算确认与快捷缴款功能衔接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autoSpaceDE w:val="0"/>
        <w:autoSpaceDN w:val="0"/>
        <w:adjustRightInd w:val="0"/>
        <w:rPr>
          <w:rFonts w:ascii="宋体" w:hAnsi="宋体" w:cs="宋体"/>
        </w:rPr>
      </w:pPr>
      <w:r>
        <w:rPr>
          <w:rFonts w:hint="eastAsia" w:ascii="宋体" w:hAnsi="Times New Roman" w:cs="宋体"/>
          <w:lang w:val="zh-CN"/>
        </w:rPr>
        <w:t>1）通过接口方式获取评估系统评估价格信息</w:t>
      </w:r>
    </w:p>
    <w:p>
      <w:pPr>
        <w:rPr>
          <w:rFonts w:ascii="Times New Roman" w:hAnsi="Times New Roman" w:cs="Times New Roman"/>
        </w:rPr>
      </w:pPr>
      <w:r>
        <w:rPr>
          <w:rFonts w:hint="eastAsia" w:ascii="宋体" w:hAnsi="宋体" w:cs="宋体"/>
          <w:szCs w:val="20"/>
        </w:rPr>
        <w:t>2</w:t>
      </w:r>
      <w:r>
        <w:rPr>
          <w:rFonts w:hint="eastAsia" w:ascii="宋体" w:hAnsi="Times New Roman" w:cs="宋体"/>
          <w:lang w:val="zh-CN"/>
        </w:rPr>
        <w:t>）</w:t>
      </w:r>
      <w:r>
        <w:rPr>
          <w:rFonts w:hint="eastAsia" w:ascii="宋体" w:hAnsi="宋体" w:cs="宋体"/>
          <w:szCs w:val="20"/>
        </w:rPr>
        <w:t>快捷缴款：申报完成后，系统通过金三系统的接口将申报的数据存储在金三系统，并产生应缴纳的税款信息。通过快捷缴款功能调取金三系统的应缴纳的税款信息（纳税人名称、纳税人识别号、登记序号以及应缴税款）进行税款缴纳。</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存量房经济适用房申报功能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本功能用于需要向税务机关进行存量房经济适用房申报的纳税人。</w:t>
      </w:r>
    </w:p>
    <w:p>
      <w:pPr>
        <w:rPr>
          <w:rFonts w:ascii="宋体" w:hAnsi="宋体" w:cs="宋体"/>
        </w:rPr>
      </w:pPr>
      <w:r>
        <w:rPr>
          <w:rFonts w:hint="eastAsia" w:ascii="宋体" w:hAnsi="宋体" w:cs="宋体"/>
          <w:szCs w:val="20"/>
        </w:rPr>
        <w:t>2、功能概述</w:t>
      </w:r>
    </w:p>
    <w:p>
      <w:pPr>
        <w:numPr>
          <w:ilvl w:val="2"/>
          <w:numId w:val="7"/>
        </w:numPr>
        <w:spacing w:line="360" w:lineRule="auto"/>
        <w:ind w:left="0" w:firstLine="420" w:firstLineChars="200"/>
        <w:rPr>
          <w:rFonts w:ascii="宋体" w:hAnsi="宋体" w:cs="宋体"/>
        </w:rPr>
      </w:pPr>
      <w:r>
        <w:rPr>
          <w:rFonts w:hint="eastAsia" w:ascii="宋体" w:hAnsi="宋体" w:cs="宋体"/>
          <w:szCs w:val="20"/>
        </w:rPr>
        <w:t>操作人员输入证件号码、备案合同编号，获取已采集的存量房网签信息</w:t>
      </w:r>
    </w:p>
    <w:p>
      <w:pPr>
        <w:numPr>
          <w:ilvl w:val="2"/>
          <w:numId w:val="7"/>
        </w:numPr>
        <w:spacing w:line="360" w:lineRule="auto"/>
        <w:ind w:left="0" w:firstLine="420" w:firstLineChars="200"/>
        <w:rPr>
          <w:rFonts w:ascii="宋体" w:hAnsi="宋体" w:cs="宋体"/>
        </w:rPr>
      </w:pPr>
      <w:r>
        <w:rPr>
          <w:rFonts w:hint="eastAsia" w:ascii="宋体" w:hAnsi="宋体" w:cs="宋体"/>
          <w:szCs w:val="20"/>
        </w:rPr>
        <w:t>从评估系统获取评估价格。</w:t>
      </w:r>
    </w:p>
    <w:p>
      <w:pPr>
        <w:numPr>
          <w:ilvl w:val="2"/>
          <w:numId w:val="7"/>
        </w:numPr>
        <w:spacing w:line="360" w:lineRule="auto"/>
        <w:ind w:left="0" w:firstLine="420" w:firstLineChars="200"/>
        <w:rPr>
          <w:rFonts w:ascii="宋体" w:hAnsi="宋体" w:cs="宋体"/>
        </w:rPr>
      </w:pPr>
      <w:r>
        <w:rPr>
          <w:rFonts w:hint="eastAsia" w:ascii="宋体" w:hAnsi="宋体" w:cs="宋体"/>
          <w:szCs w:val="20"/>
        </w:rPr>
        <w:t>当该笔申报信息满足自动计税逻辑时，则根据自动计税逻辑计算出应缴纳的税款信息，通过短信平台发送计税结果。</w:t>
      </w:r>
    </w:p>
    <w:p>
      <w:pPr>
        <w:numPr>
          <w:ilvl w:val="2"/>
          <w:numId w:val="7"/>
        </w:numPr>
        <w:spacing w:line="360" w:lineRule="auto"/>
        <w:ind w:left="0" w:firstLine="420" w:firstLineChars="200"/>
        <w:rPr>
          <w:rFonts w:ascii="宋体" w:hAnsi="宋体" w:cs="宋体"/>
        </w:rPr>
      </w:pPr>
      <w:r>
        <w:rPr>
          <w:rFonts w:hint="eastAsia" w:ascii="宋体" w:hAnsi="宋体" w:cs="宋体"/>
          <w:szCs w:val="20"/>
        </w:rPr>
        <w:t>当该笔申报信息不满足自动计税逻辑时，则转由人工计税，待人工计税产生应缴纳的税款信息时，通过短信平台发送计税结果。</w:t>
      </w:r>
    </w:p>
    <w:p>
      <w:pPr>
        <w:numPr>
          <w:ilvl w:val="2"/>
          <w:numId w:val="7"/>
        </w:numPr>
        <w:spacing w:line="360" w:lineRule="auto"/>
        <w:ind w:left="0" w:firstLine="420" w:firstLineChars="200"/>
        <w:rPr>
          <w:rFonts w:ascii="宋体" w:hAnsi="宋体" w:cs="宋体"/>
        </w:rPr>
      </w:pPr>
      <w:r>
        <w:rPr>
          <w:rFonts w:hint="eastAsia" w:ascii="宋体" w:hAnsi="宋体" w:cs="宋体"/>
          <w:szCs w:val="20"/>
        </w:rPr>
        <w:t>买卖双方签订诚信承诺书。</w:t>
      </w:r>
    </w:p>
    <w:p>
      <w:pPr>
        <w:numPr>
          <w:ilvl w:val="2"/>
          <w:numId w:val="7"/>
        </w:numPr>
        <w:spacing w:line="360" w:lineRule="auto"/>
        <w:ind w:left="0" w:firstLine="420" w:firstLineChars="200"/>
        <w:rPr>
          <w:rFonts w:ascii="宋体" w:hAnsi="宋体" w:cs="宋体"/>
        </w:rPr>
      </w:pPr>
      <w:r>
        <w:rPr>
          <w:rFonts w:hint="eastAsia" w:ascii="宋体" w:hAnsi="宋体" w:cs="宋体"/>
          <w:szCs w:val="20"/>
        </w:rPr>
        <w:t>确认申报。</w:t>
      </w:r>
    </w:p>
    <w:p>
      <w:pPr>
        <w:rPr>
          <w:rFonts w:ascii="宋体" w:hAnsi="宋体" w:cs="宋体"/>
        </w:rPr>
      </w:pPr>
      <w:r>
        <w:rPr>
          <w:rFonts w:hint="eastAsia" w:ascii="宋体" w:hAnsi="宋体" w:cs="宋体"/>
          <w:szCs w:val="20"/>
        </w:rPr>
        <w:t>3、业务流程</w:t>
      </w:r>
    </w:p>
    <w:p>
      <w:pPr>
        <w:widowControl/>
        <w:spacing w:before="100" w:beforeAutospacing="1" w:after="100" w:afterAutospacing="1"/>
        <w:jc w:val="center"/>
        <w:rPr>
          <w:rFonts w:ascii="宋体" w:hAnsi="宋体" w:eastAsia="宋体" w:cs="宋体"/>
          <w:color w:val="000000"/>
          <w:kern w:val="0"/>
          <w:sz w:val="24"/>
          <w:szCs w:val="24"/>
          <w:lang w:val="en-US" w:eastAsia="zh-CN" w:bidi="ar-SA"/>
        </w:rPr>
      </w:pPr>
      <w:r>
        <w:rPr>
          <w:rFonts w:hint="eastAsia" w:ascii="宋体" w:hAnsi="宋体" w:eastAsia="仿宋" w:cs="宋体"/>
          <w:color w:val="000000"/>
          <w:kern w:val="0"/>
          <w:sz w:val="28"/>
          <w:szCs w:val="20"/>
          <w:lang w:val="en-US" w:eastAsia="zh-CN" w:bidi="ar-SA"/>
        </w:rPr>
        <w:drawing>
          <wp:inline distT="0" distB="0" distL="114300" distR="114300">
            <wp:extent cx="5267325" cy="3581400"/>
            <wp:effectExtent l="0" t="0" r="9525" b="0"/>
            <wp:docPr id="7" name="图片 7" descr="存量房经济适用房申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存量房经济适用房申报"/>
                    <pic:cNvPicPr>
                      <a:picLocks noChangeAspect="1"/>
                    </pic:cNvPicPr>
                  </pic:nvPicPr>
                  <pic:blipFill>
                    <a:blip r:embed="rId11"/>
                    <a:stretch>
                      <a:fillRect/>
                    </a:stretch>
                  </pic:blipFill>
                  <pic:spPr>
                    <a:xfrm>
                      <a:off x="0" y="0"/>
                      <a:ext cx="5267325" cy="35814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11</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1）与存量房网签信息采集界面信息交互</w:t>
      </w:r>
    </w:p>
    <w:p>
      <w:pPr>
        <w:rPr>
          <w:rFonts w:ascii="宋体" w:hAnsi="宋体" w:cs="宋体"/>
        </w:rPr>
      </w:pPr>
      <w:r>
        <w:rPr>
          <w:rFonts w:hint="eastAsia" w:ascii="宋体" w:hAnsi="宋体" w:cs="宋体"/>
          <w:szCs w:val="20"/>
        </w:rPr>
        <w:t>通过查询条件设置，可以查询已采集的存量房网签信息。选择确定后将存量房网签信息填入相应的数据项中。</w:t>
      </w:r>
    </w:p>
    <w:p>
      <w:pPr>
        <w:rPr>
          <w:rFonts w:ascii="宋体" w:hAnsi="宋体" w:cs="宋体"/>
        </w:rPr>
      </w:pPr>
      <w:r>
        <w:rPr>
          <w:rFonts w:hint="eastAsia" w:ascii="宋体" w:hAnsi="宋体" w:cs="宋体"/>
          <w:szCs w:val="20"/>
        </w:rPr>
        <w:t>2）电子档案信息调阅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3）存量房交易税款计算</w:t>
      </w:r>
    </w:p>
    <w:p>
      <w:pPr>
        <w:rPr>
          <w:rFonts w:ascii="宋体" w:hAnsi="宋体" w:cs="宋体"/>
        </w:rPr>
      </w:pPr>
      <w:r>
        <w:rPr>
          <w:rFonts w:hint="eastAsia" w:ascii="宋体" w:hAnsi="宋体" w:cs="宋体"/>
          <w:szCs w:val="20"/>
        </w:rPr>
        <w:t>计算存量房交易中应缴纳税款。</w:t>
      </w:r>
    </w:p>
    <w:p>
      <w:pPr>
        <w:rPr>
          <w:rFonts w:ascii="宋体" w:hAnsi="宋体" w:cs="宋体"/>
        </w:rPr>
      </w:pPr>
      <w:r>
        <w:rPr>
          <w:rFonts w:hint="eastAsia" w:ascii="宋体" w:hAnsi="宋体" w:cs="宋体"/>
          <w:szCs w:val="20"/>
        </w:rPr>
        <w:t>4）房屋信息评估价格获取与显示</w:t>
      </w:r>
    </w:p>
    <w:p>
      <w:pPr>
        <w:rPr>
          <w:rFonts w:ascii="宋体" w:hAnsi="宋体" w:cs="宋体"/>
        </w:rPr>
      </w:pPr>
      <w:r>
        <w:rPr>
          <w:rFonts w:hint="eastAsia" w:ascii="宋体" w:hAnsi="宋体" w:cs="宋体"/>
          <w:szCs w:val="20"/>
        </w:rPr>
        <w:t>获取评估系统的评估价格，并展示。</w:t>
      </w:r>
    </w:p>
    <w:p>
      <w:pPr>
        <w:rPr>
          <w:rFonts w:ascii="宋体" w:hAnsi="宋体" w:cs="宋体"/>
        </w:rPr>
      </w:pPr>
      <w:r>
        <w:rPr>
          <w:rFonts w:hint="eastAsia" w:ascii="宋体" w:hAnsi="宋体" w:cs="宋体"/>
          <w:szCs w:val="20"/>
        </w:rPr>
        <w:t>5）个人所得税扣除信息采集与计算</w:t>
      </w:r>
    </w:p>
    <w:p>
      <w:pPr>
        <w:rPr>
          <w:rFonts w:ascii="宋体" w:hAnsi="宋体" w:cs="宋体"/>
        </w:rPr>
      </w:pPr>
      <w:r>
        <w:rPr>
          <w:rFonts w:hint="eastAsia" w:ascii="宋体" w:hAnsi="宋体" w:cs="宋体"/>
          <w:szCs w:val="20"/>
        </w:rPr>
        <w:t>采集个人所得税扣除相关数据，并计算个人所得税扣除额</w:t>
      </w:r>
    </w:p>
    <w:p>
      <w:pPr>
        <w:rPr>
          <w:rFonts w:ascii="宋体" w:hAnsi="宋体" w:cs="宋体"/>
        </w:rPr>
      </w:pPr>
      <w:r>
        <w:rPr>
          <w:rFonts w:hint="eastAsia" w:ascii="宋体" w:hAnsi="宋体" w:cs="宋体"/>
          <w:szCs w:val="20"/>
        </w:rPr>
        <w:t>6）土地增值税扣除信息采集与计算</w:t>
      </w:r>
    </w:p>
    <w:p>
      <w:pPr>
        <w:rPr>
          <w:rFonts w:ascii="宋体" w:hAnsi="宋体" w:cs="宋体"/>
        </w:rPr>
      </w:pPr>
      <w:r>
        <w:rPr>
          <w:rFonts w:hint="eastAsia" w:ascii="宋体" w:hAnsi="宋体" w:cs="宋体"/>
          <w:szCs w:val="20"/>
        </w:rPr>
        <w:t>采集土地增值税扣除相关数据，并计算个人所得税扣除额</w:t>
      </w:r>
    </w:p>
    <w:p>
      <w:pPr>
        <w:rPr>
          <w:rFonts w:ascii="宋体" w:hAnsi="宋体" w:cs="宋体"/>
        </w:rPr>
      </w:pPr>
      <w:r>
        <w:rPr>
          <w:rFonts w:hint="eastAsia" w:ascii="宋体" w:hAnsi="宋体" w:cs="宋体"/>
          <w:szCs w:val="20"/>
        </w:rPr>
        <w:t>7）卖方上一次取得房屋相关信息采集与计算</w:t>
      </w:r>
    </w:p>
    <w:p>
      <w:pPr>
        <w:rPr>
          <w:rFonts w:ascii="宋体" w:hAnsi="宋体" w:cs="宋体"/>
        </w:rPr>
      </w:pPr>
      <w:r>
        <w:rPr>
          <w:rFonts w:hint="eastAsia" w:ascii="宋体" w:hAnsi="宋体" w:cs="宋体"/>
          <w:szCs w:val="20"/>
        </w:rPr>
        <w:t>采集卖方上一次取得房屋相关信息。</w:t>
      </w:r>
    </w:p>
    <w:p>
      <w:pPr>
        <w:rPr>
          <w:rFonts w:ascii="宋体" w:hAnsi="宋体" w:cs="宋体"/>
        </w:rPr>
      </w:pPr>
      <w:r>
        <w:rPr>
          <w:rFonts w:hint="eastAsia" w:ascii="宋体" w:hAnsi="宋体" w:cs="宋体"/>
          <w:szCs w:val="20"/>
        </w:rPr>
        <w:t>8）卖方相关应缴纳税款计算</w:t>
      </w:r>
    </w:p>
    <w:p>
      <w:pPr>
        <w:rPr>
          <w:rFonts w:ascii="宋体" w:hAnsi="宋体" w:cs="宋体"/>
        </w:rPr>
      </w:pPr>
      <w:r>
        <w:rPr>
          <w:rFonts w:hint="eastAsia" w:ascii="宋体" w:hAnsi="宋体" w:cs="宋体"/>
          <w:szCs w:val="20"/>
        </w:rPr>
        <w:t>计算卖方应缴纳税款。</w:t>
      </w:r>
    </w:p>
    <w:p>
      <w:pPr>
        <w:rPr>
          <w:rFonts w:ascii="宋体" w:hAnsi="宋体" w:cs="宋体"/>
        </w:rPr>
      </w:pPr>
      <w:r>
        <w:rPr>
          <w:rFonts w:hint="eastAsia" w:ascii="宋体" w:hAnsi="宋体" w:cs="宋体"/>
          <w:szCs w:val="20"/>
        </w:rPr>
        <w:t>9）买方相关应缴纳税款计算</w:t>
      </w:r>
    </w:p>
    <w:p>
      <w:pPr>
        <w:rPr>
          <w:rFonts w:ascii="宋体" w:hAnsi="宋体" w:cs="宋体"/>
        </w:rPr>
      </w:pPr>
      <w:r>
        <w:rPr>
          <w:rFonts w:hint="eastAsia" w:ascii="宋体" w:hAnsi="宋体" w:cs="宋体"/>
          <w:szCs w:val="20"/>
        </w:rPr>
        <w:t>计算买方应缴纳税款。</w:t>
      </w:r>
    </w:p>
    <w:p>
      <w:pPr>
        <w:rPr>
          <w:rFonts w:ascii="宋体" w:hAnsi="宋体" w:cs="宋体"/>
        </w:rPr>
      </w:pPr>
      <w:r>
        <w:rPr>
          <w:rFonts w:hint="eastAsia" w:ascii="宋体" w:hAnsi="宋体" w:cs="宋体"/>
          <w:szCs w:val="20"/>
        </w:rPr>
        <w:t>10）申报信息作废</w:t>
      </w:r>
    </w:p>
    <w:p>
      <w:pPr>
        <w:rPr>
          <w:rFonts w:ascii="宋体" w:hAnsi="宋体" w:cs="宋体"/>
        </w:rPr>
      </w:pPr>
      <w:r>
        <w:rPr>
          <w:rFonts w:hint="eastAsia" w:ascii="宋体" w:hAnsi="宋体" w:cs="宋体"/>
          <w:szCs w:val="20"/>
        </w:rPr>
        <w:t>针对已申报未交款的存量房经济适用房申报，提供申报作废支持。</w:t>
      </w:r>
    </w:p>
    <w:p>
      <w:pPr>
        <w:rPr>
          <w:rFonts w:ascii="宋体" w:hAnsi="宋体" w:cs="宋体"/>
        </w:rPr>
      </w:pPr>
      <w:r>
        <w:rPr>
          <w:rFonts w:hint="eastAsia" w:ascii="宋体" w:hAnsi="宋体" w:cs="宋体"/>
          <w:szCs w:val="20"/>
        </w:rPr>
        <w:t>11）税款计算确认与快捷缴款功能衔接</w:t>
      </w:r>
    </w:p>
    <w:p>
      <w:pPr>
        <w:rPr>
          <w:rFonts w:ascii="宋体" w:hAnsi="宋体" w:cs="宋体"/>
        </w:rPr>
      </w:pPr>
      <w:r>
        <w:rPr>
          <w:rFonts w:hint="eastAsia" w:ascii="宋体" w:hAnsi="宋体" w:cs="宋体"/>
          <w:szCs w:val="20"/>
        </w:rPr>
        <w:t>确认税款计算正确后，可直接跳转快捷缴款功能，快速缴税。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1）通过接口方式获取民政局婚姻信息；</w:t>
      </w:r>
    </w:p>
    <w:p>
      <w:pPr>
        <w:rPr>
          <w:rFonts w:ascii="宋体" w:hAnsi="宋体" w:cs="宋体"/>
        </w:rPr>
      </w:pPr>
      <w:r>
        <w:rPr>
          <w:rFonts w:hint="eastAsia" w:ascii="宋体" w:hAnsi="宋体" w:cs="宋体"/>
          <w:szCs w:val="20"/>
        </w:rPr>
        <w:t>2）通过接口方式获取公安局户籍信息；</w:t>
      </w:r>
    </w:p>
    <w:p>
      <w:pPr>
        <w:rPr>
          <w:rFonts w:ascii="宋体" w:hAnsi="宋体" w:cs="宋体"/>
        </w:rPr>
      </w:pPr>
      <w:r>
        <w:rPr>
          <w:rFonts w:hint="eastAsia" w:ascii="宋体" w:hAnsi="宋体" w:cs="宋体"/>
          <w:szCs w:val="20"/>
        </w:rPr>
        <w:t>3）通过接口方式获取自然资源与规划局房屋套次信息</w:t>
      </w:r>
    </w:p>
    <w:p>
      <w:pPr>
        <w:rPr>
          <w:rFonts w:ascii="宋体" w:hAnsi="宋体" w:cs="宋体"/>
        </w:rPr>
      </w:pPr>
      <w:r>
        <w:rPr>
          <w:rFonts w:hint="eastAsia" w:ascii="宋体" w:hAnsi="宋体" w:cs="宋体"/>
          <w:szCs w:val="20"/>
        </w:rPr>
        <w:t>4）通过接口方式获取住建局房屋套次信息；</w:t>
      </w:r>
    </w:p>
    <w:p>
      <w:pPr>
        <w:rPr>
          <w:rFonts w:ascii="宋体" w:hAnsi="宋体" w:cs="宋体"/>
        </w:rPr>
      </w:pPr>
      <w:r>
        <w:rPr>
          <w:rFonts w:hint="eastAsia" w:ascii="宋体" w:hAnsi="宋体" w:cs="宋体"/>
          <w:szCs w:val="20"/>
        </w:rPr>
        <w:t>5）</w:t>
      </w:r>
      <w:r>
        <w:rPr>
          <w:rFonts w:hint="eastAsia" w:ascii="宋体" w:hAnsi="Times New Roman" w:cs="宋体"/>
          <w:lang w:val="zh-CN"/>
        </w:rPr>
        <w:t>通过接口方式获取评估系统评估价格信息；</w:t>
      </w:r>
    </w:p>
    <w:p>
      <w:pPr>
        <w:rPr>
          <w:rFonts w:ascii="宋体" w:hAnsi="宋体" w:cs="宋体"/>
        </w:rPr>
      </w:pPr>
      <w:r>
        <w:rPr>
          <w:rFonts w:hint="eastAsia" w:ascii="宋体" w:hAnsi="宋体" w:cs="宋体"/>
          <w:szCs w:val="20"/>
        </w:rPr>
        <w:t>6）快捷缴款</w:t>
      </w:r>
    </w:p>
    <w:p>
      <w:pPr>
        <w:rPr>
          <w:rFonts w:ascii="Times New Roman" w:hAnsi="Times New Roman" w:cs="Times New Roman"/>
        </w:rPr>
      </w:pPr>
      <w:r>
        <w:rPr>
          <w:rFonts w:hint="eastAsia" w:ascii="宋体" w:hAnsi="宋体" w:cs="宋体"/>
          <w:szCs w:val="20"/>
        </w:rPr>
        <w:t>申报完成后，系统通过金三系统的接口将申报的数据存储在金三系统，并产生应缴纳的税款信息。通过快捷缴款功能调取金三系统的应缴纳的税款信息（纳税人名称、纳税人识别号、登记序号以及应缴税款）进行税款缴纳。</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增量房交易办税审核功能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本功能用于纳税人发起增量房交易申报，不满足自动审核条件，需税务机关进行人工审核的情况。</w:t>
      </w:r>
    </w:p>
    <w:p>
      <w:pPr>
        <w:rPr>
          <w:rFonts w:ascii="宋体" w:hAnsi="宋体" w:cs="宋体"/>
        </w:rPr>
      </w:pPr>
      <w:r>
        <w:rPr>
          <w:rFonts w:hint="eastAsia" w:ascii="宋体" w:hAnsi="宋体" w:cs="宋体"/>
          <w:szCs w:val="20"/>
        </w:rPr>
        <w:t>2、功能概述</w:t>
      </w:r>
    </w:p>
    <w:p>
      <w:pPr>
        <w:numPr>
          <w:ilvl w:val="2"/>
          <w:numId w:val="8"/>
        </w:numPr>
        <w:spacing w:line="360" w:lineRule="auto"/>
        <w:ind w:left="0" w:firstLine="420" w:firstLineChars="200"/>
        <w:rPr>
          <w:rFonts w:ascii="宋体" w:hAnsi="宋体" w:cs="宋体"/>
        </w:rPr>
      </w:pPr>
      <w:r>
        <w:rPr>
          <w:rFonts w:hint="eastAsia" w:ascii="宋体" w:hAnsi="宋体" w:cs="宋体"/>
          <w:szCs w:val="20"/>
        </w:rPr>
        <w:t>纳税人发起增量房交易申报，并且不满足自动审核条件，需人工审核。</w:t>
      </w:r>
    </w:p>
    <w:p>
      <w:pPr>
        <w:numPr>
          <w:ilvl w:val="2"/>
          <w:numId w:val="8"/>
        </w:numPr>
        <w:spacing w:line="360" w:lineRule="auto"/>
        <w:ind w:left="0" w:firstLine="420" w:firstLineChars="200"/>
        <w:rPr>
          <w:rFonts w:ascii="宋体" w:hAnsi="宋体" w:cs="宋体"/>
        </w:rPr>
      </w:pPr>
      <w:r>
        <w:rPr>
          <w:rFonts w:hint="eastAsia" w:ascii="宋体" w:hAnsi="宋体" w:cs="宋体"/>
          <w:szCs w:val="20"/>
        </w:rPr>
        <w:t>人工审核不通过，则重新采集增量房网签信息。</w:t>
      </w:r>
    </w:p>
    <w:p>
      <w:pPr>
        <w:numPr>
          <w:ilvl w:val="2"/>
          <w:numId w:val="8"/>
        </w:numPr>
        <w:spacing w:line="360" w:lineRule="auto"/>
        <w:ind w:left="0" w:firstLine="420" w:firstLineChars="200"/>
        <w:rPr>
          <w:rFonts w:ascii="宋体" w:hAnsi="宋体" w:cs="宋体"/>
        </w:rPr>
      </w:pPr>
      <w:r>
        <w:rPr>
          <w:rFonts w:hint="eastAsia" w:ascii="宋体" w:hAnsi="宋体" w:cs="宋体"/>
          <w:szCs w:val="20"/>
        </w:rPr>
        <w:t>人工审核通过，则返回增量房交易信息，并计税。</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hint="eastAsia" w:ascii="宋体" w:hAnsi="宋体" w:eastAsia="仿宋" w:cs="宋体"/>
          <w:color w:val="000000"/>
          <w:kern w:val="0"/>
          <w:sz w:val="28"/>
          <w:szCs w:val="20"/>
          <w:lang w:val="en-US" w:eastAsia="zh-CN" w:bidi="ar-SA"/>
        </w:rPr>
        <w:drawing>
          <wp:inline distT="0" distB="0" distL="114300" distR="114300">
            <wp:extent cx="5191125" cy="4362450"/>
            <wp:effectExtent l="0" t="0" r="9525" b="0"/>
            <wp:docPr id="8" name="图片 8" descr="增量房交易办税审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增量房交易办税审核"/>
                    <pic:cNvPicPr>
                      <a:picLocks noChangeAspect="1"/>
                    </pic:cNvPicPr>
                  </pic:nvPicPr>
                  <pic:blipFill>
                    <a:blip r:embed="rId12"/>
                    <a:stretch>
                      <a:fillRect/>
                    </a:stretch>
                  </pic:blipFill>
                  <pic:spPr>
                    <a:xfrm>
                      <a:off x="0" y="0"/>
                      <a:ext cx="5191125" cy="436245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12</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1）个人增量房交易申报审核</w:t>
      </w:r>
    </w:p>
    <w:p>
      <w:pPr>
        <w:rPr>
          <w:rFonts w:ascii="宋体" w:hAnsi="宋体" w:cs="宋体"/>
        </w:rPr>
      </w:pPr>
      <w:r>
        <w:rPr>
          <w:rFonts w:hint="eastAsia" w:ascii="宋体" w:hAnsi="宋体" w:cs="宋体"/>
          <w:szCs w:val="20"/>
        </w:rPr>
        <w:t>针对个人不满足自动审核条件时，可通过该功能查询进入人工审核。</w:t>
      </w:r>
    </w:p>
    <w:p>
      <w:pPr>
        <w:rPr>
          <w:rFonts w:ascii="宋体" w:hAnsi="宋体" w:cs="宋体"/>
        </w:rPr>
      </w:pPr>
      <w:r>
        <w:rPr>
          <w:rFonts w:hint="eastAsia" w:ascii="宋体" w:hAnsi="宋体" w:cs="宋体"/>
          <w:szCs w:val="20"/>
        </w:rPr>
        <w:t>2）企业增量房交易申报审核</w:t>
      </w:r>
    </w:p>
    <w:p>
      <w:pPr>
        <w:rPr>
          <w:rFonts w:ascii="宋体" w:hAnsi="宋体" w:cs="宋体"/>
        </w:rPr>
      </w:pPr>
      <w:r>
        <w:rPr>
          <w:rFonts w:hint="eastAsia" w:ascii="宋体" w:hAnsi="宋体" w:cs="宋体"/>
          <w:szCs w:val="20"/>
        </w:rPr>
        <w:t>针对企业不满足自动审核条件时，可通过该功能查询进入人工审核。</w:t>
      </w:r>
    </w:p>
    <w:p>
      <w:pPr>
        <w:rPr>
          <w:rFonts w:ascii="宋体" w:hAnsi="宋体" w:cs="宋体"/>
        </w:rPr>
      </w:pPr>
      <w:r>
        <w:rPr>
          <w:rFonts w:hint="eastAsia" w:ascii="宋体" w:hAnsi="宋体" w:cs="宋体"/>
          <w:szCs w:val="20"/>
        </w:rPr>
        <w:t>3）电子档案信息调阅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1）增量房交易申报</w:t>
      </w:r>
    </w:p>
    <w:p>
      <w:pPr>
        <w:rPr>
          <w:rFonts w:ascii="宋体" w:hAnsi="宋体" w:cs="宋体"/>
        </w:rPr>
      </w:pPr>
      <w:r>
        <w:rPr>
          <w:rFonts w:hint="eastAsia" w:ascii="宋体" w:hAnsi="宋体" w:cs="宋体"/>
          <w:szCs w:val="20"/>
        </w:rPr>
        <w:t>对于增量交易申报时，自动审核未通过的申报信息（包含房屋信息、买方信息、卖方信息、税费信息等）进行人工审核操作。</w:t>
      </w:r>
    </w:p>
    <w:p>
      <w:pPr>
        <w:rPr>
          <w:rFonts w:ascii="宋体" w:hAnsi="宋体" w:cs="宋体"/>
        </w:rPr>
      </w:pPr>
      <w:r>
        <w:rPr>
          <w:rFonts w:hint="eastAsia" w:ascii="宋体" w:hAnsi="宋体" w:cs="宋体"/>
          <w:szCs w:val="20"/>
        </w:rPr>
        <w:t>2）增量房网签信息采集</w:t>
      </w:r>
    </w:p>
    <w:p>
      <w:pPr>
        <w:rPr>
          <w:rFonts w:ascii="宋体" w:hAnsi="宋体" w:cs="宋体"/>
        </w:rPr>
      </w:pPr>
      <w:r>
        <w:rPr>
          <w:rFonts w:hint="eastAsia" w:ascii="宋体" w:hAnsi="宋体" w:cs="宋体"/>
          <w:szCs w:val="20"/>
        </w:rPr>
        <w:t>对于人工审核未通过的申报信息，需要重新进行增量房网签信息采集。</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存量房交易办税审核功能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本功能用于纳税人发起存量房交易申报，不满足自动审核条件，需税务机关进行人工审核的情况。</w:t>
      </w:r>
    </w:p>
    <w:p>
      <w:pPr>
        <w:rPr>
          <w:rFonts w:ascii="宋体" w:hAnsi="宋体" w:cs="宋体"/>
        </w:rPr>
      </w:pPr>
      <w:r>
        <w:rPr>
          <w:rFonts w:hint="eastAsia" w:ascii="宋体" w:hAnsi="宋体" w:cs="宋体"/>
          <w:szCs w:val="20"/>
        </w:rPr>
        <w:t>2、功能概述</w:t>
      </w:r>
    </w:p>
    <w:p>
      <w:pPr>
        <w:numPr>
          <w:ilvl w:val="2"/>
          <w:numId w:val="9"/>
        </w:numPr>
        <w:spacing w:line="360" w:lineRule="auto"/>
        <w:ind w:left="0" w:firstLine="420" w:firstLineChars="200"/>
        <w:rPr>
          <w:rFonts w:ascii="宋体" w:hAnsi="宋体" w:cs="宋体"/>
        </w:rPr>
      </w:pPr>
      <w:r>
        <w:rPr>
          <w:rFonts w:hint="eastAsia" w:ascii="宋体" w:hAnsi="宋体" w:cs="宋体"/>
          <w:szCs w:val="20"/>
        </w:rPr>
        <w:t>纳税人发起存量房交易申报，并且不满足自动审核条件，需人工审核。</w:t>
      </w:r>
    </w:p>
    <w:p>
      <w:pPr>
        <w:numPr>
          <w:ilvl w:val="2"/>
          <w:numId w:val="9"/>
        </w:numPr>
        <w:spacing w:line="360" w:lineRule="auto"/>
        <w:ind w:left="0" w:firstLine="420" w:firstLineChars="200"/>
        <w:rPr>
          <w:rFonts w:ascii="宋体" w:hAnsi="宋体" w:cs="宋体"/>
        </w:rPr>
      </w:pPr>
      <w:r>
        <w:rPr>
          <w:rFonts w:hint="eastAsia" w:ascii="宋体" w:hAnsi="宋体" w:cs="宋体"/>
          <w:szCs w:val="20"/>
        </w:rPr>
        <w:t>人工审核不通过，则重新采集增量房网签信息。</w:t>
      </w:r>
    </w:p>
    <w:p>
      <w:pPr>
        <w:numPr>
          <w:ilvl w:val="2"/>
          <w:numId w:val="9"/>
        </w:numPr>
        <w:spacing w:line="360" w:lineRule="auto"/>
        <w:ind w:left="0" w:firstLine="420" w:firstLineChars="200"/>
        <w:rPr>
          <w:rFonts w:ascii="宋体" w:hAnsi="宋体" w:cs="宋体"/>
        </w:rPr>
      </w:pPr>
      <w:r>
        <w:rPr>
          <w:rFonts w:hint="eastAsia" w:ascii="宋体" w:hAnsi="宋体" w:cs="宋体"/>
          <w:szCs w:val="20"/>
        </w:rPr>
        <w:t>人工审核通过，则返回增量房交易信息，并计税。</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hint="eastAsia" w:ascii="宋体" w:hAnsi="宋体" w:eastAsia="仿宋" w:cs="宋体"/>
          <w:color w:val="000000"/>
          <w:kern w:val="0"/>
          <w:sz w:val="28"/>
          <w:szCs w:val="20"/>
          <w:lang w:val="en-US" w:eastAsia="zh-CN" w:bidi="ar-SA"/>
        </w:rPr>
        <w:drawing>
          <wp:inline distT="0" distB="0" distL="114300" distR="114300">
            <wp:extent cx="5229225" cy="4371975"/>
            <wp:effectExtent l="0" t="0" r="9525" b="9525"/>
            <wp:docPr id="9" name="图片 9" descr="存量房交易办税审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存量房交易办税审核"/>
                    <pic:cNvPicPr>
                      <a:picLocks noChangeAspect="1"/>
                    </pic:cNvPicPr>
                  </pic:nvPicPr>
                  <pic:blipFill>
                    <a:blip r:embed="rId13"/>
                    <a:stretch>
                      <a:fillRect/>
                    </a:stretch>
                  </pic:blipFill>
                  <pic:spPr>
                    <a:xfrm>
                      <a:off x="0" y="0"/>
                      <a:ext cx="5229225" cy="4371975"/>
                    </a:xfrm>
                    <a:prstGeom prst="rect">
                      <a:avLst/>
                    </a:prstGeom>
                    <a:noFill/>
                    <a:ln w="9525">
                      <a:noFill/>
                    </a:ln>
                  </pic:spPr>
                </pic:pic>
              </a:graphicData>
            </a:graphic>
          </wp:inline>
        </w:drawing>
      </w:r>
    </w:p>
    <w:p>
      <w:pPr>
        <w:jc w:val="center"/>
        <w:rPr>
          <w:rFonts w:ascii="Times New Roman" w:hAnsi="Times New Roman" w:cs="Times New Roman"/>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14</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1）个人存量房交易申报审核</w:t>
      </w:r>
    </w:p>
    <w:p>
      <w:pPr>
        <w:rPr>
          <w:rFonts w:ascii="宋体" w:hAnsi="宋体" w:cs="宋体"/>
        </w:rPr>
      </w:pPr>
      <w:r>
        <w:rPr>
          <w:rFonts w:hint="eastAsia" w:ascii="宋体" w:hAnsi="宋体" w:cs="宋体"/>
          <w:szCs w:val="20"/>
        </w:rPr>
        <w:t>针对个人不满足个人存量房交易申报自动审核条件时，可通过该功能查询进入人工审核。</w:t>
      </w:r>
    </w:p>
    <w:p>
      <w:pPr>
        <w:rPr>
          <w:rFonts w:ascii="宋体" w:hAnsi="宋体" w:cs="宋体"/>
        </w:rPr>
      </w:pPr>
      <w:r>
        <w:rPr>
          <w:rFonts w:hint="eastAsia" w:ascii="宋体" w:hAnsi="宋体" w:cs="宋体"/>
          <w:szCs w:val="20"/>
        </w:rPr>
        <w:t>2）企业存增量房交易申报审核</w:t>
      </w:r>
    </w:p>
    <w:p>
      <w:pPr>
        <w:rPr>
          <w:rFonts w:ascii="宋体" w:hAnsi="宋体" w:cs="宋体"/>
        </w:rPr>
      </w:pPr>
      <w:r>
        <w:rPr>
          <w:rFonts w:hint="eastAsia" w:ascii="宋体" w:hAnsi="宋体" w:cs="宋体"/>
          <w:szCs w:val="20"/>
        </w:rPr>
        <w:t>针对企业不满足企业存增量房交易自动审核条件时，可通过该功能查询进入人工审核。</w:t>
      </w:r>
    </w:p>
    <w:p>
      <w:pPr>
        <w:rPr>
          <w:rFonts w:ascii="宋体" w:hAnsi="宋体" w:cs="宋体"/>
        </w:rPr>
      </w:pPr>
      <w:r>
        <w:rPr>
          <w:rFonts w:hint="eastAsia" w:ascii="宋体" w:hAnsi="宋体" w:cs="宋体"/>
          <w:szCs w:val="20"/>
        </w:rPr>
        <w:t xml:space="preserve">3）存量房经济适用房申报审核 </w:t>
      </w:r>
    </w:p>
    <w:p>
      <w:pPr>
        <w:rPr>
          <w:rFonts w:ascii="宋体" w:hAnsi="宋体" w:cs="宋体"/>
        </w:rPr>
      </w:pPr>
      <w:r>
        <w:rPr>
          <w:rFonts w:hint="eastAsia" w:ascii="宋体" w:hAnsi="宋体" w:cs="宋体"/>
          <w:szCs w:val="20"/>
        </w:rPr>
        <w:t>针对存量房经济适用房申报不满足自动审核条件时，可通过该功能查询进入人工审核。</w:t>
      </w:r>
    </w:p>
    <w:p>
      <w:pPr>
        <w:rPr>
          <w:rFonts w:ascii="宋体" w:hAnsi="宋体" w:cs="宋体"/>
        </w:rPr>
      </w:pPr>
      <w:r>
        <w:rPr>
          <w:rFonts w:hint="eastAsia" w:ascii="宋体" w:hAnsi="宋体" w:cs="宋体"/>
          <w:szCs w:val="20"/>
        </w:rPr>
        <w:t>4）电子档案信息调阅</w:t>
      </w:r>
    </w:p>
    <w:p>
      <w:pPr>
        <w:rPr>
          <w:rFonts w:ascii="宋体" w:hAnsi="宋体" w:cs="宋体"/>
        </w:rPr>
      </w:pPr>
      <w:r>
        <w:rPr>
          <w:rFonts w:hint="eastAsia" w:ascii="宋体" w:hAnsi="宋体" w:cs="宋体"/>
          <w:szCs w:val="20"/>
        </w:rPr>
        <w:t>提供电子档案信息查询功能。</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1）存量房交易申报</w:t>
      </w:r>
    </w:p>
    <w:p>
      <w:pPr>
        <w:rPr>
          <w:rFonts w:ascii="宋体" w:hAnsi="宋体" w:cs="宋体"/>
        </w:rPr>
      </w:pPr>
      <w:r>
        <w:rPr>
          <w:rFonts w:hint="eastAsia" w:ascii="宋体" w:hAnsi="宋体" w:cs="宋体"/>
          <w:szCs w:val="20"/>
        </w:rPr>
        <w:t>对于存量交易申报时，自动审核未通过的申报信息（包含房屋信息、买方信息、卖方信息、税费信息等）进行人工审核操作。</w:t>
      </w:r>
    </w:p>
    <w:p>
      <w:pPr>
        <w:rPr>
          <w:rFonts w:ascii="宋体" w:hAnsi="宋体" w:cs="宋体"/>
        </w:rPr>
      </w:pPr>
      <w:r>
        <w:rPr>
          <w:rFonts w:hint="eastAsia" w:ascii="宋体" w:hAnsi="宋体" w:cs="宋体"/>
          <w:szCs w:val="20"/>
        </w:rPr>
        <w:t>2）存量房网签信息采集</w:t>
      </w:r>
    </w:p>
    <w:p>
      <w:pPr>
        <w:rPr>
          <w:rFonts w:ascii="宋体" w:hAnsi="宋体" w:cs="宋体"/>
        </w:rPr>
      </w:pPr>
      <w:r>
        <w:rPr>
          <w:rFonts w:hint="eastAsia" w:ascii="宋体" w:hAnsi="宋体" w:cs="宋体"/>
          <w:szCs w:val="20"/>
        </w:rPr>
        <w:t>对于人工审核未通过的申报信息，需要重新进行存量房网签信息采集。</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快捷缴款功能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纳税人增量房、存量房房产交易申报完成，并产生应纳税款，可通过快捷缴纳功能完成税款缴纳操作。</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快捷缴款功能共设计有三种缴款方式：</w:t>
      </w:r>
    </w:p>
    <w:p>
      <w:pPr>
        <w:rPr>
          <w:rFonts w:ascii="宋体" w:hAnsi="宋体" w:cs="宋体"/>
        </w:rPr>
      </w:pPr>
      <w:r>
        <w:rPr>
          <w:rFonts w:hint="eastAsia" w:ascii="宋体" w:hAnsi="宋体" w:cs="宋体"/>
          <w:szCs w:val="20"/>
        </w:rPr>
        <w:t>1）银联快捷缴款</w:t>
      </w:r>
    </w:p>
    <w:p>
      <w:pPr>
        <w:rPr>
          <w:rFonts w:ascii="宋体" w:hAnsi="宋体" w:cs="宋体"/>
        </w:rPr>
      </w:pPr>
      <w:r>
        <w:rPr>
          <w:rFonts w:hint="eastAsia" w:ascii="宋体" w:hAnsi="宋体" w:cs="宋体"/>
          <w:szCs w:val="20"/>
        </w:rPr>
        <w:t>通过开通快捷支付的银联卡缴纳税款。</w:t>
      </w:r>
    </w:p>
    <w:p>
      <w:pPr>
        <w:rPr>
          <w:rFonts w:ascii="宋体" w:hAnsi="宋体" w:cs="宋体"/>
        </w:rPr>
      </w:pPr>
      <w:r>
        <w:rPr>
          <w:rFonts w:hint="eastAsia" w:ascii="宋体" w:hAnsi="宋体" w:cs="宋体"/>
          <w:szCs w:val="20"/>
        </w:rPr>
        <w:t>2）三方协议缴款（仅适用于个体户，单位纳税人）</w:t>
      </w:r>
    </w:p>
    <w:p>
      <w:pPr>
        <w:rPr>
          <w:rFonts w:ascii="宋体" w:hAnsi="宋体" w:cs="宋体"/>
        </w:rPr>
      </w:pPr>
      <w:r>
        <w:rPr>
          <w:rFonts w:hint="eastAsia" w:ascii="宋体" w:hAnsi="宋体" w:cs="宋体"/>
          <w:szCs w:val="20"/>
        </w:rPr>
        <w:t>需与税务局、银行签订并通过的三方协议，使用三方协议缴纳税款。</w:t>
      </w:r>
    </w:p>
    <w:p>
      <w:pPr>
        <w:rPr>
          <w:rFonts w:ascii="宋体" w:hAnsi="宋体" w:cs="宋体"/>
        </w:rPr>
      </w:pPr>
      <w:r>
        <w:rPr>
          <w:rFonts w:hint="eastAsia" w:ascii="宋体" w:hAnsi="宋体" w:cs="宋体"/>
          <w:szCs w:val="20"/>
        </w:rPr>
        <w:t>3）第三方支付缴款</w:t>
      </w:r>
    </w:p>
    <w:p>
      <w:pPr>
        <w:rPr>
          <w:rFonts w:ascii="宋体" w:hAnsi="宋体" w:cs="宋体"/>
        </w:rPr>
      </w:pPr>
      <w:r>
        <w:rPr>
          <w:rFonts w:hint="eastAsia" w:ascii="宋体" w:hAnsi="宋体" w:cs="宋体"/>
          <w:szCs w:val="20"/>
        </w:rPr>
        <w:t>通过第三方支付缴纳税款。</w:t>
      </w:r>
    </w:p>
    <w:p>
      <w:pPr>
        <w:rPr>
          <w:rFonts w:ascii="宋体" w:hAnsi="宋体" w:cs="宋体"/>
        </w:rPr>
      </w:pPr>
      <w:r>
        <w:rPr>
          <w:rFonts w:hint="eastAsia" w:ascii="宋体" w:hAnsi="宋体" w:cs="宋体"/>
          <w:szCs w:val="20"/>
        </w:rPr>
        <w:t>3、业务流程</w:t>
      </w:r>
    </w:p>
    <w:p>
      <w:pPr>
        <w:jc w:val="center"/>
        <w:rPr>
          <w:rFonts w:ascii="Times New Roman" w:hAnsi="Times New Roman" w:cs="Times New Roman"/>
        </w:rPr>
      </w:pPr>
      <w:r>
        <w:rPr>
          <w:rFonts w:hint="eastAsia" w:ascii="宋体" w:hAnsi="宋体" w:cs="宋体"/>
          <w:szCs w:val="20"/>
        </w:rPr>
        <w:drawing>
          <wp:inline distT="0" distB="0" distL="114300" distR="114300">
            <wp:extent cx="5143500" cy="4410075"/>
            <wp:effectExtent l="0" t="0" r="0" b="9525"/>
            <wp:docPr id="10" name="图片 10" descr="快速缴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快速缴款"/>
                    <pic:cNvPicPr>
                      <a:picLocks noChangeAspect="1"/>
                    </pic:cNvPicPr>
                  </pic:nvPicPr>
                  <pic:blipFill>
                    <a:blip r:embed="rId14"/>
                    <a:stretch>
                      <a:fillRect/>
                    </a:stretch>
                  </pic:blipFill>
                  <pic:spPr>
                    <a:xfrm>
                      <a:off x="0" y="0"/>
                      <a:ext cx="5143500" cy="4410075"/>
                    </a:xfrm>
                    <a:prstGeom prst="rect">
                      <a:avLst/>
                    </a:prstGeom>
                    <a:noFill/>
                    <a:ln w="9525">
                      <a:noFill/>
                    </a:ln>
                  </pic:spPr>
                </pic:pic>
              </a:graphicData>
            </a:graphic>
          </wp:inline>
        </w:drawing>
      </w:r>
    </w:p>
    <w:p>
      <w:pPr>
        <w:jc w:val="center"/>
        <w:rPr>
          <w:rFonts w:ascii="Times New Roman" w:hAnsi="Times New Roman" w:cs="Times New Roman"/>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14</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1）个人增量房交易申报税款功能衔接</w:t>
      </w:r>
    </w:p>
    <w:p>
      <w:pPr>
        <w:rPr>
          <w:rFonts w:ascii="宋体" w:hAnsi="宋体" w:cs="宋体"/>
        </w:rPr>
      </w:pPr>
      <w:r>
        <w:rPr>
          <w:rFonts w:hint="eastAsia" w:ascii="宋体" w:hAnsi="宋体" w:cs="宋体"/>
          <w:szCs w:val="20"/>
        </w:rPr>
        <w:t>个人增量房交易完成并产生税款后，可跳转至快捷缴税功能。</w:t>
      </w:r>
    </w:p>
    <w:p>
      <w:pPr>
        <w:rPr>
          <w:rFonts w:ascii="宋体" w:hAnsi="宋体" w:cs="宋体"/>
        </w:rPr>
      </w:pPr>
      <w:r>
        <w:rPr>
          <w:rFonts w:hint="eastAsia" w:ascii="宋体" w:hAnsi="宋体" w:cs="宋体"/>
          <w:szCs w:val="20"/>
        </w:rPr>
        <w:t>2）企业增量房交易申报税款功能衔接</w:t>
      </w:r>
    </w:p>
    <w:p>
      <w:pPr>
        <w:rPr>
          <w:rFonts w:ascii="宋体" w:hAnsi="宋体" w:cs="宋体"/>
        </w:rPr>
      </w:pPr>
      <w:r>
        <w:rPr>
          <w:rFonts w:hint="eastAsia" w:ascii="宋体" w:hAnsi="宋体" w:cs="宋体"/>
          <w:szCs w:val="20"/>
        </w:rPr>
        <w:t>企业增量房交易完成并产生税款后，可跳转至快捷缴税功能。</w:t>
      </w:r>
    </w:p>
    <w:p>
      <w:pPr>
        <w:rPr>
          <w:rFonts w:ascii="宋体" w:hAnsi="宋体" w:cs="宋体"/>
        </w:rPr>
      </w:pPr>
      <w:r>
        <w:rPr>
          <w:rFonts w:hint="eastAsia" w:ascii="宋体" w:hAnsi="宋体" w:cs="宋体"/>
          <w:szCs w:val="20"/>
        </w:rPr>
        <w:t>3）企业存量房交易申报税款功能衔接</w:t>
      </w:r>
    </w:p>
    <w:p>
      <w:pPr>
        <w:rPr>
          <w:rFonts w:ascii="宋体" w:hAnsi="宋体" w:cs="宋体"/>
        </w:rPr>
      </w:pPr>
      <w:r>
        <w:rPr>
          <w:rFonts w:hint="eastAsia" w:ascii="宋体" w:hAnsi="宋体" w:cs="宋体"/>
          <w:szCs w:val="20"/>
        </w:rPr>
        <w:t>个人增量房交易完成并产生税款后，可跳转至快捷缴税功能</w:t>
      </w:r>
    </w:p>
    <w:p>
      <w:pPr>
        <w:rPr>
          <w:rFonts w:ascii="宋体" w:hAnsi="宋体" w:cs="宋体"/>
        </w:rPr>
      </w:pPr>
      <w:r>
        <w:rPr>
          <w:rFonts w:hint="eastAsia" w:ascii="宋体" w:hAnsi="宋体" w:cs="宋体"/>
          <w:szCs w:val="20"/>
        </w:rPr>
        <w:t>4）存量房经济适用房申报功能</w:t>
      </w:r>
    </w:p>
    <w:p>
      <w:pPr>
        <w:rPr>
          <w:rFonts w:ascii="宋体" w:hAnsi="宋体" w:cs="宋体"/>
        </w:rPr>
      </w:pPr>
      <w:r>
        <w:rPr>
          <w:rFonts w:hint="eastAsia" w:ascii="宋体" w:hAnsi="宋体" w:cs="宋体"/>
          <w:szCs w:val="20"/>
        </w:rPr>
        <w:t>针对存量房经济适用房申报不满足自动审核条件时，可通过该功能查询进入人工审核。</w:t>
      </w:r>
    </w:p>
    <w:p>
      <w:pPr>
        <w:rPr>
          <w:rFonts w:ascii="宋体" w:hAnsi="宋体" w:cs="宋体"/>
        </w:rPr>
      </w:pPr>
      <w:r>
        <w:rPr>
          <w:rFonts w:hint="eastAsia" w:ascii="宋体" w:hAnsi="宋体" w:cs="宋体"/>
          <w:szCs w:val="20"/>
        </w:rPr>
        <w:t>5）与缴款与缴款方式渠道对接（银联缴款）</w:t>
      </w:r>
    </w:p>
    <w:p>
      <w:pPr>
        <w:rPr>
          <w:rFonts w:ascii="宋体" w:hAnsi="宋体" w:cs="宋体"/>
        </w:rPr>
      </w:pPr>
      <w:r>
        <w:rPr>
          <w:rFonts w:hint="eastAsia" w:ascii="宋体" w:hAnsi="宋体" w:cs="宋体"/>
          <w:szCs w:val="20"/>
        </w:rPr>
        <w:t>根据选择的银联缴款方式开通该渠道提供缴款服务。</w:t>
      </w:r>
    </w:p>
    <w:p>
      <w:pPr>
        <w:rPr>
          <w:rFonts w:ascii="宋体" w:hAnsi="宋体" w:cs="宋体"/>
        </w:rPr>
      </w:pPr>
      <w:r>
        <w:rPr>
          <w:rFonts w:hint="eastAsia" w:ascii="宋体" w:hAnsi="宋体" w:cs="宋体"/>
          <w:szCs w:val="20"/>
        </w:rPr>
        <w:t>6）与缴款方式渠道对接（三方协议缴款）</w:t>
      </w:r>
    </w:p>
    <w:p>
      <w:pPr>
        <w:rPr>
          <w:rFonts w:ascii="宋体" w:hAnsi="宋体" w:cs="宋体"/>
        </w:rPr>
      </w:pPr>
      <w:r>
        <w:rPr>
          <w:rFonts w:hint="eastAsia" w:ascii="宋体" w:hAnsi="宋体" w:cs="宋体"/>
          <w:szCs w:val="20"/>
        </w:rPr>
        <w:t>根据选择的三方协议缴款方式开通该渠道提供缴款服务。</w:t>
      </w:r>
    </w:p>
    <w:p>
      <w:pPr>
        <w:rPr>
          <w:rFonts w:ascii="宋体" w:hAnsi="宋体" w:cs="宋体"/>
        </w:rPr>
      </w:pPr>
      <w:r>
        <w:rPr>
          <w:rFonts w:hint="eastAsia" w:ascii="宋体" w:hAnsi="宋体" w:cs="宋体"/>
          <w:szCs w:val="20"/>
        </w:rPr>
        <w:t>5、关联业务</w:t>
      </w:r>
    </w:p>
    <w:p>
      <w:pPr>
        <w:rPr>
          <w:rFonts w:ascii="Times New Roman" w:hAnsi="Times New Roman" w:cs="Times New Roman"/>
        </w:rPr>
      </w:pPr>
      <w:r>
        <w:rPr>
          <w:rFonts w:hint="eastAsia" w:ascii="宋体" w:hAnsi="宋体" w:cs="宋体"/>
          <w:szCs w:val="20"/>
        </w:rPr>
        <w:t>房产交易申报：包含增量房交易申报、存量房交易申报，由房产交易申报功能调用金三系统接口，获取应缴税费信息（包括纳税人名称、纳税人识别号、登记序号、应缴税费信息等）。</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缴款异常处理功能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本功能用于进行税款缴纳时出现缴款失败的情况，对缴款失败的税款信息进行异常处理。</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1）获取缴款异常信息。</w:t>
      </w:r>
    </w:p>
    <w:p>
      <w:pPr>
        <w:rPr>
          <w:rFonts w:ascii="宋体" w:hAnsi="宋体" w:cs="宋体"/>
        </w:rPr>
      </w:pPr>
      <w:r>
        <w:rPr>
          <w:rFonts w:hint="eastAsia" w:ascii="宋体" w:hAnsi="宋体" w:cs="宋体"/>
          <w:szCs w:val="20"/>
        </w:rPr>
        <w:t>2）根据缴款方式，向外部门发送异常处理请求。</w:t>
      </w:r>
    </w:p>
    <w:p>
      <w:pPr>
        <w:rPr>
          <w:rFonts w:ascii="宋体" w:hAnsi="宋体" w:cs="宋体"/>
        </w:rPr>
      </w:pPr>
      <w:r>
        <w:rPr>
          <w:rFonts w:hint="eastAsia" w:ascii="宋体" w:hAnsi="宋体" w:cs="宋体"/>
          <w:szCs w:val="20"/>
        </w:rPr>
        <w:t>3）外部门返回异常处理成功信息。</w:t>
      </w:r>
    </w:p>
    <w:p>
      <w:pPr>
        <w:rPr>
          <w:rFonts w:ascii="宋体" w:hAnsi="宋体" w:cs="宋体"/>
        </w:rPr>
      </w:pPr>
      <w:r>
        <w:rPr>
          <w:rFonts w:hint="eastAsia" w:ascii="宋体" w:hAnsi="宋体" w:cs="宋体"/>
          <w:szCs w:val="20"/>
        </w:rPr>
        <w:t>3、业务流程</w:t>
      </w:r>
    </w:p>
    <w:p>
      <w:pPr>
        <w:jc w:val="center"/>
        <w:rPr>
          <w:rFonts w:ascii="宋体" w:hAnsi="宋体" w:cs="宋体"/>
        </w:rPr>
      </w:pPr>
      <w:r>
        <w:rPr>
          <w:rFonts w:hint="eastAsia" w:ascii="宋体" w:hAnsi="宋体" w:cs="宋体"/>
          <w:szCs w:val="20"/>
        </w:rPr>
        <w:drawing>
          <wp:inline distT="0" distB="0" distL="114300" distR="114300">
            <wp:extent cx="5191125" cy="4257675"/>
            <wp:effectExtent l="0" t="0" r="9525" b="9525"/>
            <wp:docPr id="11" name="图片 11" descr="缴款异常处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缴款异常处理"/>
                    <pic:cNvPicPr>
                      <a:picLocks noChangeAspect="1"/>
                    </pic:cNvPicPr>
                  </pic:nvPicPr>
                  <pic:blipFill>
                    <a:blip r:embed="rId15"/>
                    <a:stretch>
                      <a:fillRect/>
                    </a:stretch>
                  </pic:blipFill>
                  <pic:spPr>
                    <a:xfrm>
                      <a:off x="0" y="0"/>
                      <a:ext cx="5191125" cy="4257675"/>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15</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1）缴款出现异常处理</w:t>
      </w:r>
    </w:p>
    <w:p>
      <w:pPr>
        <w:rPr>
          <w:rFonts w:ascii="宋体" w:hAnsi="宋体" w:cs="宋体"/>
        </w:rPr>
      </w:pPr>
      <w:r>
        <w:rPr>
          <w:rFonts w:hint="eastAsia" w:ascii="宋体" w:hAnsi="宋体" w:cs="宋体"/>
          <w:szCs w:val="20"/>
        </w:rPr>
        <w:t>当缴款出现异常情况时，通过该功能模块完成缴款异常处理。</w:t>
      </w:r>
    </w:p>
    <w:p>
      <w:pPr>
        <w:rPr>
          <w:rFonts w:ascii="宋体" w:hAnsi="宋体" w:cs="宋体"/>
        </w:rPr>
      </w:pPr>
      <w:r>
        <w:rPr>
          <w:rFonts w:hint="eastAsia" w:ascii="宋体" w:hAnsi="宋体" w:cs="宋体"/>
          <w:szCs w:val="20"/>
        </w:rPr>
        <w:t>2）再次进行缴款功能衔接</w:t>
      </w:r>
    </w:p>
    <w:p>
      <w:pPr>
        <w:rPr>
          <w:rFonts w:ascii="宋体" w:hAnsi="宋体" w:cs="宋体"/>
        </w:rPr>
      </w:pPr>
      <w:r>
        <w:rPr>
          <w:rFonts w:hint="eastAsia" w:ascii="宋体" w:hAnsi="宋体" w:cs="宋体"/>
          <w:szCs w:val="20"/>
        </w:rPr>
        <w:t>缴款异常处理完毕后，可再次发起扣款。</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快捷缴款：由快捷缴款功能成发起缴款，产生缴款失败异常。再通过调用金三系统接口，获取缴款失败异常信息（包括电子税票号码、异常原因、开票日期、扣款返回信息等）。并将税款异常处理信息存储在金三系统中。</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税收完税证明打印功能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本功能用于房产交易申报完成后，已缴纳税款的纳税人，可在此功能模块开具和打印税收完税证明。</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1）查询已缴款的税款缴纳信息。</w:t>
      </w:r>
    </w:p>
    <w:p>
      <w:pPr>
        <w:rPr>
          <w:rFonts w:ascii="宋体" w:hAnsi="宋体" w:cs="宋体"/>
        </w:rPr>
      </w:pPr>
      <w:r>
        <w:rPr>
          <w:rFonts w:hint="eastAsia" w:ascii="宋体" w:hAnsi="宋体" w:cs="宋体"/>
          <w:szCs w:val="20"/>
        </w:rPr>
        <w:t>2）选择需要开具税收完税证明的税款信息，并点击开具。</w:t>
      </w:r>
    </w:p>
    <w:p>
      <w:pPr>
        <w:rPr>
          <w:rFonts w:ascii="宋体" w:hAnsi="宋体" w:cs="宋体"/>
        </w:rPr>
      </w:pPr>
      <w:r>
        <w:rPr>
          <w:rFonts w:hint="eastAsia" w:ascii="宋体" w:hAnsi="宋体" w:cs="宋体"/>
          <w:szCs w:val="20"/>
        </w:rPr>
        <w:t>3）打印税收完税证明。</w:t>
      </w:r>
    </w:p>
    <w:p>
      <w:pPr>
        <w:rPr>
          <w:rFonts w:ascii="宋体" w:hAnsi="宋体" w:cs="宋体"/>
        </w:rPr>
      </w:pPr>
      <w:r>
        <w:rPr>
          <w:rFonts w:hint="eastAsia" w:ascii="宋体" w:hAnsi="宋体" w:cs="宋体"/>
          <w:szCs w:val="20"/>
        </w:rPr>
        <w:t>3、业务流程</w:t>
      </w:r>
    </w:p>
    <w:p>
      <w:pPr>
        <w:jc w:val="center"/>
        <w:rPr>
          <w:rFonts w:ascii="Times New Roman" w:hAnsi="Times New Roman" w:cs="Times New Roman"/>
        </w:rPr>
      </w:pPr>
      <w:r>
        <w:rPr>
          <w:rFonts w:ascii="Times New Roman" w:hAnsi="Times New Roman" w:cs="Times New Roman"/>
          <w:szCs w:val="20"/>
        </w:rPr>
        <w:drawing>
          <wp:inline distT="0" distB="0" distL="114300" distR="114300">
            <wp:extent cx="2543175" cy="477202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r:link="rId17"/>
                    <a:stretch>
                      <a:fillRect/>
                    </a:stretch>
                  </pic:blipFill>
                  <pic:spPr>
                    <a:xfrm>
                      <a:off x="0" y="0"/>
                      <a:ext cx="2543175" cy="4772025"/>
                    </a:xfrm>
                    <a:prstGeom prst="rect">
                      <a:avLst/>
                    </a:prstGeom>
                    <a:noFill/>
                    <a:ln w="9525">
                      <a:noFill/>
                    </a:ln>
                  </pic:spPr>
                </pic:pic>
              </a:graphicData>
            </a:graphic>
          </wp:inline>
        </w:drawing>
      </w:r>
    </w:p>
    <w:p>
      <w:pPr>
        <w:jc w:val="center"/>
        <w:rPr>
          <w:rFonts w:ascii="Times New Roman" w:hAnsi="Times New Roman" w:cs="Times New Roman"/>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16</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1）成功缴款信息查询</w:t>
      </w:r>
    </w:p>
    <w:p>
      <w:pPr>
        <w:rPr>
          <w:rFonts w:ascii="宋体" w:hAnsi="宋体" w:cs="宋体"/>
        </w:rPr>
      </w:pPr>
      <w:r>
        <w:rPr>
          <w:rFonts w:hint="eastAsia" w:ascii="宋体" w:hAnsi="宋体" w:cs="宋体"/>
          <w:szCs w:val="20"/>
        </w:rPr>
        <w:t>查询满足打印税收完税证明数据。</w:t>
      </w:r>
    </w:p>
    <w:p>
      <w:pPr>
        <w:rPr>
          <w:rFonts w:ascii="宋体" w:hAnsi="宋体" w:cs="宋体"/>
        </w:rPr>
      </w:pPr>
      <w:r>
        <w:rPr>
          <w:rFonts w:hint="eastAsia" w:ascii="宋体" w:hAnsi="宋体" w:cs="宋体"/>
          <w:szCs w:val="20"/>
        </w:rPr>
        <w:t>2）完税证明模板开发</w:t>
      </w:r>
    </w:p>
    <w:p>
      <w:pPr>
        <w:rPr>
          <w:rFonts w:ascii="宋体" w:hAnsi="宋体" w:cs="宋体"/>
        </w:rPr>
      </w:pPr>
      <w:r>
        <w:rPr>
          <w:rFonts w:hint="eastAsia" w:ascii="宋体" w:hAnsi="宋体" w:cs="宋体"/>
          <w:szCs w:val="20"/>
        </w:rPr>
        <w:t>确认完税证明模板，根据模板确定开发内容。</w:t>
      </w:r>
    </w:p>
    <w:p>
      <w:pPr>
        <w:rPr>
          <w:rFonts w:ascii="宋体" w:hAnsi="宋体" w:cs="宋体"/>
        </w:rPr>
      </w:pPr>
      <w:r>
        <w:rPr>
          <w:rFonts w:hint="eastAsia" w:ascii="宋体" w:hAnsi="宋体" w:cs="宋体"/>
          <w:szCs w:val="20"/>
        </w:rPr>
        <w:t>3）完税证明模板打印功能</w:t>
      </w:r>
    </w:p>
    <w:p>
      <w:pPr>
        <w:rPr>
          <w:rFonts w:ascii="宋体" w:hAnsi="宋体" w:cs="宋体"/>
        </w:rPr>
      </w:pPr>
      <w:r>
        <w:rPr>
          <w:rFonts w:hint="eastAsia" w:ascii="宋体" w:hAnsi="宋体" w:cs="宋体"/>
          <w:szCs w:val="20"/>
        </w:rPr>
        <w:t>打印税收完税证明。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快捷缴款：通过快捷缴款功能完成房产交易申报缴款操作，缴款成功后通过本功能调用金三系统接口，获取已缴纳房产交易税款信息（包含房源编号、税款所属期、缴款日期、入库日期等）。</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税收完税证明补打功能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本功能用于房产交易申报完成后，已缴纳税款的纳税人，打印税收完税证明失败，可在此模块进行补打。</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1）查询打印税收完税证明的信息。</w:t>
      </w:r>
    </w:p>
    <w:p>
      <w:pPr>
        <w:rPr>
          <w:rFonts w:ascii="宋体" w:hAnsi="宋体" w:cs="宋体"/>
        </w:rPr>
      </w:pPr>
      <w:r>
        <w:rPr>
          <w:rFonts w:hint="eastAsia" w:ascii="宋体" w:hAnsi="宋体" w:cs="宋体"/>
          <w:szCs w:val="20"/>
        </w:rPr>
        <w:t>2）选择需要补打的完税证明进行补打。</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2543175" cy="43053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8" r:link="rId19"/>
                    <a:stretch>
                      <a:fillRect/>
                    </a:stretch>
                  </pic:blipFill>
                  <pic:spPr>
                    <a:xfrm>
                      <a:off x="0" y="0"/>
                      <a:ext cx="2543175" cy="4305300"/>
                    </a:xfrm>
                    <a:prstGeom prst="rect">
                      <a:avLst/>
                    </a:prstGeom>
                    <a:noFill/>
                    <a:ln w="9525">
                      <a:noFill/>
                    </a:ln>
                  </pic:spPr>
                </pic:pic>
              </a:graphicData>
            </a:graphic>
          </wp:inline>
        </w:drawing>
      </w:r>
    </w:p>
    <w:p>
      <w:pPr>
        <w:jc w:val="center"/>
        <w:rPr>
          <w:rFonts w:ascii="Times New Roman" w:hAnsi="Times New Roman" w:cs="Times New Roman"/>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17</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1）完税证明作废</w:t>
      </w:r>
    </w:p>
    <w:p>
      <w:pPr>
        <w:rPr>
          <w:rFonts w:ascii="宋体" w:hAnsi="宋体" w:cs="宋体"/>
        </w:rPr>
      </w:pPr>
      <w:r>
        <w:rPr>
          <w:rFonts w:hint="eastAsia" w:ascii="宋体" w:hAnsi="宋体" w:cs="宋体"/>
          <w:szCs w:val="20"/>
        </w:rPr>
        <w:t>查询满足作废条件的税收完税证明数据。</w:t>
      </w:r>
    </w:p>
    <w:p>
      <w:pPr>
        <w:rPr>
          <w:rFonts w:ascii="宋体" w:hAnsi="宋体" w:cs="宋体"/>
        </w:rPr>
      </w:pPr>
      <w:r>
        <w:rPr>
          <w:rFonts w:hint="eastAsia" w:ascii="宋体" w:hAnsi="宋体" w:cs="宋体"/>
          <w:szCs w:val="20"/>
        </w:rPr>
        <w:t>2）成功缴款信息查询</w:t>
      </w:r>
    </w:p>
    <w:p>
      <w:pPr>
        <w:rPr>
          <w:rFonts w:ascii="宋体" w:hAnsi="宋体" w:cs="宋体"/>
        </w:rPr>
      </w:pPr>
      <w:r>
        <w:rPr>
          <w:rFonts w:hint="eastAsia" w:ascii="宋体" w:hAnsi="宋体" w:cs="宋体"/>
          <w:szCs w:val="20"/>
        </w:rPr>
        <w:t>查询满足打印税收完税证明数据。</w:t>
      </w:r>
    </w:p>
    <w:p>
      <w:pPr>
        <w:rPr>
          <w:rFonts w:ascii="宋体" w:hAnsi="宋体" w:cs="宋体"/>
        </w:rPr>
      </w:pPr>
      <w:r>
        <w:rPr>
          <w:rFonts w:hint="eastAsia" w:ascii="宋体" w:hAnsi="宋体" w:cs="宋体"/>
          <w:szCs w:val="20"/>
        </w:rPr>
        <w:t>3）完税证明模板开发</w:t>
      </w:r>
    </w:p>
    <w:p>
      <w:pPr>
        <w:rPr>
          <w:rFonts w:ascii="宋体" w:hAnsi="宋体" w:cs="宋体"/>
        </w:rPr>
      </w:pPr>
      <w:r>
        <w:rPr>
          <w:rFonts w:hint="eastAsia" w:ascii="宋体" w:hAnsi="宋体" w:cs="宋体"/>
          <w:szCs w:val="20"/>
        </w:rPr>
        <w:t>确认完税证明模板，根据模板确定开发内容。</w:t>
      </w:r>
    </w:p>
    <w:p>
      <w:pPr>
        <w:rPr>
          <w:rFonts w:ascii="宋体" w:hAnsi="宋体" w:cs="宋体"/>
        </w:rPr>
      </w:pPr>
      <w:r>
        <w:rPr>
          <w:rFonts w:hint="eastAsia" w:ascii="宋体" w:hAnsi="宋体" w:cs="宋体"/>
          <w:szCs w:val="20"/>
        </w:rPr>
        <w:t>4）完税证明模板打印功能</w:t>
      </w:r>
    </w:p>
    <w:p>
      <w:pPr>
        <w:rPr>
          <w:rFonts w:ascii="宋体" w:hAnsi="宋体" w:cs="宋体"/>
        </w:rPr>
      </w:pPr>
      <w:r>
        <w:rPr>
          <w:rFonts w:hint="eastAsia" w:ascii="宋体" w:hAnsi="宋体" w:cs="宋体"/>
          <w:szCs w:val="20"/>
        </w:rPr>
        <w:t>打印税收完税证明。</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税收完税证明打印：通过税收完税证明打印功能，生成完税证明打印数据，通过本功能模块调用金三系统接口，查询已打印的税收完税证明信息。</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电子发票开具</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本功能用于房产交易申报完成后，已缴纳税款的纳税人，可在此功能模块开具电子发票。</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1）查询房产交易和税款缴纳信息。</w:t>
      </w:r>
    </w:p>
    <w:p>
      <w:pPr>
        <w:rPr>
          <w:rFonts w:ascii="宋体" w:hAnsi="宋体" w:cs="宋体"/>
        </w:rPr>
      </w:pPr>
      <w:r>
        <w:rPr>
          <w:rFonts w:hint="eastAsia" w:ascii="宋体" w:hAnsi="宋体" w:cs="宋体"/>
          <w:szCs w:val="20"/>
        </w:rPr>
        <w:t>2）选择税款缴纳信息开具电子发票。</w:t>
      </w:r>
    </w:p>
    <w:p>
      <w:pPr>
        <w:rPr>
          <w:rFonts w:ascii="宋体" w:hAnsi="宋体" w:cs="宋体"/>
        </w:rPr>
      </w:pPr>
      <w:r>
        <w:rPr>
          <w:rFonts w:hint="eastAsia" w:ascii="宋体" w:hAnsi="宋体" w:cs="宋体"/>
          <w:szCs w:val="20"/>
        </w:rPr>
        <w:t>3）写入开具信息。</w:t>
      </w:r>
    </w:p>
    <w:p>
      <w:pPr>
        <w:rPr>
          <w:rFonts w:ascii="宋体" w:hAnsi="宋体" w:cs="宋体"/>
        </w:rPr>
      </w:pPr>
      <w:r>
        <w:rPr>
          <w:rFonts w:hint="eastAsia" w:ascii="宋体" w:hAnsi="宋体" w:cs="宋体"/>
          <w:szCs w:val="20"/>
        </w:rPr>
        <w:t>4）向税控系统发送电子发票写盘请求。</w:t>
      </w:r>
    </w:p>
    <w:p>
      <w:pPr>
        <w:rPr>
          <w:rFonts w:ascii="宋体" w:hAnsi="宋体" w:cs="宋体"/>
        </w:rPr>
      </w:pPr>
      <w:r>
        <w:rPr>
          <w:rFonts w:hint="eastAsia" w:ascii="宋体" w:hAnsi="宋体" w:cs="宋体"/>
          <w:szCs w:val="20"/>
        </w:rPr>
        <w:t>5）税控系统回写成功。</w:t>
      </w:r>
    </w:p>
    <w:p>
      <w:pPr>
        <w:rPr>
          <w:rFonts w:ascii="宋体" w:hAnsi="宋体" w:cs="宋体"/>
        </w:rPr>
      </w:pPr>
      <w:r>
        <w:rPr>
          <w:rFonts w:hint="eastAsia" w:ascii="宋体" w:hAnsi="宋体" w:cs="宋体"/>
          <w:szCs w:val="20"/>
        </w:rPr>
        <w:t>6）开具成功。</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3905250" cy="531495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0" r:link="rId21"/>
                    <a:stretch>
                      <a:fillRect/>
                    </a:stretch>
                  </pic:blipFill>
                  <pic:spPr>
                    <a:xfrm>
                      <a:off x="0" y="0"/>
                      <a:ext cx="3905250" cy="5314950"/>
                    </a:xfrm>
                    <a:prstGeom prst="rect">
                      <a:avLst/>
                    </a:prstGeom>
                    <a:noFill/>
                    <a:ln w="9525">
                      <a:noFill/>
                    </a:ln>
                  </pic:spPr>
                </pic:pic>
              </a:graphicData>
            </a:graphic>
          </wp:inline>
        </w:drawing>
      </w:r>
    </w:p>
    <w:p>
      <w:pPr>
        <w:jc w:val="center"/>
        <w:rPr>
          <w:rFonts w:ascii="Times New Roman" w:hAnsi="Times New Roman" w:cs="Times New Roman"/>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18</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1）完税信息查阅</w:t>
      </w:r>
    </w:p>
    <w:p>
      <w:pPr>
        <w:rPr>
          <w:rFonts w:ascii="宋体" w:hAnsi="宋体" w:cs="宋体"/>
        </w:rPr>
      </w:pPr>
      <w:r>
        <w:rPr>
          <w:rFonts w:hint="eastAsia" w:ascii="宋体" w:hAnsi="宋体" w:cs="宋体"/>
          <w:szCs w:val="20"/>
        </w:rPr>
        <w:t>查询相应的税款信息是否已完税。</w:t>
      </w:r>
    </w:p>
    <w:p>
      <w:pPr>
        <w:rPr>
          <w:rFonts w:ascii="宋体" w:hAnsi="宋体" w:cs="宋体"/>
        </w:rPr>
      </w:pPr>
      <w:r>
        <w:rPr>
          <w:rFonts w:hint="eastAsia" w:ascii="宋体" w:hAnsi="宋体" w:cs="宋体"/>
          <w:szCs w:val="20"/>
        </w:rPr>
        <w:t>2）电子发票开具及打印</w:t>
      </w:r>
    </w:p>
    <w:p>
      <w:pPr>
        <w:rPr>
          <w:rFonts w:ascii="宋体" w:hAnsi="宋体" w:cs="宋体"/>
        </w:rPr>
      </w:pPr>
      <w:r>
        <w:rPr>
          <w:rFonts w:hint="eastAsia" w:ascii="宋体" w:hAnsi="宋体" w:cs="宋体"/>
          <w:szCs w:val="20"/>
        </w:rPr>
        <w:t>开具电子发票并打印。</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1）税款缴纳</w:t>
      </w:r>
    </w:p>
    <w:p>
      <w:pPr>
        <w:rPr>
          <w:rFonts w:ascii="宋体" w:hAnsi="宋体" w:cs="宋体"/>
        </w:rPr>
      </w:pPr>
      <w:r>
        <w:rPr>
          <w:rFonts w:hint="eastAsia" w:ascii="宋体" w:hAnsi="宋体" w:cs="宋体"/>
          <w:szCs w:val="20"/>
        </w:rPr>
        <w:t>通过金三系统接口，获取满足开具电子发票的房产交易税款缴纳数据。并将电子发票开具信息（包括发票代码、发票号码、开具期、开具金额）存储在金三系统中。</w:t>
      </w:r>
    </w:p>
    <w:p>
      <w:pPr>
        <w:rPr>
          <w:rFonts w:ascii="宋体" w:hAnsi="宋体" w:cs="宋体"/>
        </w:rPr>
      </w:pPr>
      <w:r>
        <w:rPr>
          <w:rFonts w:hint="eastAsia" w:ascii="宋体" w:hAnsi="宋体" w:cs="宋体"/>
          <w:szCs w:val="20"/>
        </w:rPr>
        <w:t>2）税控系统</w:t>
      </w:r>
    </w:p>
    <w:p>
      <w:pPr>
        <w:rPr>
          <w:rFonts w:ascii="Times New Roman" w:hAnsi="Times New Roman" w:cs="Times New Roman"/>
        </w:rPr>
      </w:pPr>
      <w:r>
        <w:rPr>
          <w:rFonts w:hint="eastAsia" w:ascii="宋体" w:hAnsi="宋体" w:cs="宋体"/>
          <w:szCs w:val="20"/>
        </w:rPr>
        <w:t>通过税控系统接口，获取发票信息（包括发票代码、发票号码、开具日期、开具金额）。</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完税信息传递功能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本功能用于房产交易申报完成且已缴纳税款的完税信息传递至其他相关部门。</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1）税务部门传送完税信息。</w:t>
      </w:r>
    </w:p>
    <w:p>
      <w:pPr>
        <w:rPr>
          <w:rFonts w:ascii="宋体" w:hAnsi="宋体" w:cs="宋体"/>
        </w:rPr>
      </w:pPr>
      <w:r>
        <w:rPr>
          <w:rFonts w:hint="eastAsia" w:ascii="宋体" w:hAnsi="宋体" w:cs="宋体"/>
          <w:szCs w:val="20"/>
        </w:rPr>
        <w:t>2）自然资源和规划局接收完税信息。</w:t>
      </w:r>
    </w:p>
    <w:p>
      <w:pPr>
        <w:rPr>
          <w:rFonts w:ascii="宋体" w:hAnsi="宋体" w:cs="宋体"/>
        </w:rPr>
      </w:pPr>
      <w:r>
        <w:rPr>
          <w:rFonts w:hint="eastAsia" w:ascii="宋体" w:hAnsi="宋体" w:cs="宋体"/>
          <w:szCs w:val="20"/>
        </w:rPr>
        <w:t>3）自然资源和规划局返回接收成功信息。</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4800600" cy="4352925"/>
            <wp:effectExtent l="0" t="0" r="0" b="9525"/>
            <wp:docPr id="15" name="图片 15" descr="完税信息传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完税信息传递"/>
                    <pic:cNvPicPr>
                      <a:picLocks noChangeAspect="1"/>
                    </pic:cNvPicPr>
                  </pic:nvPicPr>
                  <pic:blipFill>
                    <a:blip r:embed="rId22"/>
                    <a:stretch>
                      <a:fillRect/>
                    </a:stretch>
                  </pic:blipFill>
                  <pic:spPr>
                    <a:xfrm>
                      <a:off x="0" y="0"/>
                      <a:ext cx="4800600" cy="4352925"/>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19</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1）房屋合同与买卖双方完税信息查询</w:t>
      </w:r>
    </w:p>
    <w:p>
      <w:pPr>
        <w:rPr>
          <w:rFonts w:ascii="宋体" w:hAnsi="宋体" w:cs="宋体"/>
        </w:rPr>
      </w:pPr>
      <w:r>
        <w:rPr>
          <w:rFonts w:hint="eastAsia" w:ascii="宋体" w:hAnsi="宋体" w:cs="宋体"/>
          <w:szCs w:val="20"/>
        </w:rPr>
        <w:t>查询房产交易申报买卖双方是否完税。</w:t>
      </w:r>
    </w:p>
    <w:p>
      <w:pPr>
        <w:rPr>
          <w:rFonts w:ascii="宋体" w:hAnsi="宋体" w:cs="宋体"/>
        </w:rPr>
      </w:pPr>
      <w:r>
        <w:rPr>
          <w:rFonts w:hint="eastAsia" w:ascii="宋体" w:hAnsi="宋体" w:cs="宋体"/>
          <w:szCs w:val="20"/>
        </w:rPr>
        <w:t>2）完税信息传递功能开发</w:t>
      </w:r>
    </w:p>
    <w:p>
      <w:pPr>
        <w:rPr>
          <w:rFonts w:ascii="宋体" w:hAnsi="宋体" w:cs="宋体"/>
        </w:rPr>
      </w:pPr>
      <w:r>
        <w:rPr>
          <w:rFonts w:hint="eastAsia" w:ascii="宋体" w:hAnsi="宋体" w:cs="宋体"/>
          <w:szCs w:val="20"/>
        </w:rPr>
        <w:t>提供可供自然资源和规划局查询完税信息的功能。</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1）房产交易申报</w:t>
      </w:r>
    </w:p>
    <w:p>
      <w:pPr>
        <w:rPr>
          <w:rFonts w:ascii="宋体" w:hAnsi="宋体" w:cs="宋体"/>
        </w:rPr>
      </w:pPr>
      <w:r>
        <w:rPr>
          <w:rFonts w:hint="eastAsia" w:ascii="宋体" w:hAnsi="宋体" w:cs="宋体"/>
          <w:szCs w:val="20"/>
        </w:rPr>
        <w:t>包含增量房交易申报、存量房交易申报，由房产交易申报功能调用金三系统接口，获取应缴税费信息（包括纳税人名称、纳税人识别号、登记序号、应缴税费信息等）。</w:t>
      </w:r>
    </w:p>
    <w:p>
      <w:pPr>
        <w:rPr>
          <w:rFonts w:ascii="宋体" w:hAnsi="宋体" w:cs="宋体"/>
        </w:rPr>
      </w:pPr>
      <w:r>
        <w:rPr>
          <w:rFonts w:hint="eastAsia" w:ascii="宋体" w:hAnsi="宋体" w:cs="宋体"/>
          <w:szCs w:val="20"/>
        </w:rPr>
        <w:t>2）税款缴纳</w:t>
      </w:r>
    </w:p>
    <w:p>
      <w:pPr>
        <w:rPr>
          <w:rFonts w:ascii="宋体" w:hAnsi="宋体" w:cs="宋体"/>
        </w:rPr>
      </w:pPr>
      <w:r>
        <w:rPr>
          <w:rFonts w:hint="eastAsia" w:ascii="宋体" w:hAnsi="宋体" w:cs="宋体"/>
          <w:szCs w:val="20"/>
        </w:rPr>
        <w:t>通过金三系统接口，获已完成税款缴纳的房产交易申报信息（包含电子</w:t>
      </w:r>
      <w:r>
        <w:rPr>
          <w:rFonts w:hint="eastAsia" w:ascii="宋体" w:hAnsi="宋体" w:cs="宋体"/>
          <w:szCs w:val="20"/>
        </w:rPr>
        <w:tab/>
      </w:r>
      <w:r>
        <w:rPr>
          <w:rFonts w:hint="eastAsia" w:ascii="宋体" w:hAnsi="宋体" w:cs="宋体"/>
          <w:szCs w:val="20"/>
        </w:rPr>
        <w:t>税票号码、缴款日期、入库日期、税款属期等）。</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产权办理受理功能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税务部门办理完成税款缴纳后，将完税信息及房产交易流程信息推送到自然资源和规划局，自然资源和规划局收到待办数据后，即可在系统中进行产权受理，纳税人可随时查询办理进度，办理完成后，短信或其他方式通知纳税人领取产权证书。</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1）税务部门推送完税信息及房产交易流程信息至自然资源和规划局部门。</w:t>
      </w:r>
    </w:p>
    <w:p>
      <w:pPr>
        <w:rPr>
          <w:rFonts w:ascii="宋体" w:hAnsi="宋体" w:cs="宋体"/>
        </w:rPr>
      </w:pPr>
      <w:r>
        <w:rPr>
          <w:rFonts w:hint="eastAsia" w:ascii="宋体" w:hAnsi="宋体" w:cs="宋体"/>
          <w:szCs w:val="20"/>
        </w:rPr>
        <w:t>2）自然资源和规划局接收完税信息及房产交易流程信息。</w:t>
      </w:r>
    </w:p>
    <w:p>
      <w:pPr>
        <w:rPr>
          <w:rFonts w:ascii="宋体" w:hAnsi="宋体" w:cs="宋体"/>
        </w:rPr>
      </w:pPr>
      <w:r>
        <w:rPr>
          <w:rFonts w:hint="eastAsia" w:ascii="宋体" w:hAnsi="宋体" w:cs="宋体"/>
          <w:szCs w:val="20"/>
        </w:rPr>
        <w:t>3）自然资源和规划局进行产权受理。</w:t>
      </w:r>
    </w:p>
    <w:p>
      <w:pPr>
        <w:rPr>
          <w:rFonts w:ascii="宋体" w:hAnsi="宋体" w:cs="宋体"/>
        </w:rPr>
      </w:pPr>
      <w:r>
        <w:rPr>
          <w:rFonts w:hint="eastAsia" w:ascii="宋体" w:hAnsi="宋体" w:cs="宋体"/>
          <w:szCs w:val="20"/>
        </w:rPr>
        <w:t>4）自然资源和规划局产权办理未完成，纳税人可随时查询办理进度。</w:t>
      </w:r>
    </w:p>
    <w:p>
      <w:pPr>
        <w:rPr>
          <w:rFonts w:ascii="宋体" w:hAnsi="宋体" w:cs="宋体"/>
        </w:rPr>
      </w:pPr>
      <w:r>
        <w:rPr>
          <w:rFonts w:hint="eastAsia" w:ascii="宋体" w:hAnsi="宋体" w:cs="宋体"/>
          <w:szCs w:val="20"/>
        </w:rPr>
        <w:t>5）自然资源和规划局产权办理完成，短信或其他方式通知纳税人。</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hint="eastAsia" w:ascii="宋体" w:hAnsi="宋体" w:eastAsia="仿宋" w:cs="宋体"/>
          <w:color w:val="000000"/>
          <w:kern w:val="0"/>
          <w:sz w:val="28"/>
          <w:szCs w:val="20"/>
          <w:lang w:val="en-US" w:eastAsia="zh-CN" w:bidi="ar-SA"/>
        </w:rPr>
        <w:drawing>
          <wp:inline distT="0" distB="0" distL="114300" distR="114300">
            <wp:extent cx="4876800" cy="4371975"/>
            <wp:effectExtent l="0" t="0" r="0" b="9525"/>
            <wp:docPr id="16" name="图片 16" descr="产权受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产权受理"/>
                    <pic:cNvPicPr>
                      <a:picLocks noChangeAspect="1"/>
                    </pic:cNvPicPr>
                  </pic:nvPicPr>
                  <pic:blipFill>
                    <a:blip r:embed="rId23"/>
                    <a:stretch>
                      <a:fillRect/>
                    </a:stretch>
                  </pic:blipFill>
                  <pic:spPr>
                    <a:xfrm>
                      <a:off x="0" y="0"/>
                      <a:ext cx="4876800" cy="4371975"/>
                    </a:xfrm>
                    <a:prstGeom prst="rect">
                      <a:avLst/>
                    </a:prstGeom>
                    <a:noFill/>
                    <a:ln w="9525">
                      <a:noFill/>
                    </a:ln>
                  </pic:spPr>
                </pic:pic>
              </a:graphicData>
            </a:graphic>
          </wp:inline>
        </w:drawing>
      </w:r>
    </w:p>
    <w:p>
      <w:pPr>
        <w:jc w:val="center"/>
        <w:rPr>
          <w:rFonts w:ascii="Times New Roman" w:hAnsi="Times New Roman" w:cs="Times New Roman"/>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20</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1）受理产权办理功能跳转</w:t>
      </w:r>
    </w:p>
    <w:p>
      <w:pPr>
        <w:rPr>
          <w:rFonts w:ascii="宋体" w:hAnsi="宋体" w:cs="宋体"/>
        </w:rPr>
      </w:pPr>
      <w:r>
        <w:rPr>
          <w:rFonts w:hint="eastAsia" w:ascii="宋体" w:hAnsi="宋体" w:cs="宋体"/>
          <w:szCs w:val="20"/>
        </w:rPr>
        <w:t>跳转至自然资源和规划局产权办理受理功能界面。</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1）房产交易申报</w:t>
      </w:r>
    </w:p>
    <w:p>
      <w:pPr>
        <w:rPr>
          <w:rFonts w:ascii="宋体" w:hAnsi="宋体" w:cs="宋体"/>
        </w:rPr>
      </w:pPr>
      <w:r>
        <w:rPr>
          <w:rFonts w:hint="eastAsia" w:ascii="宋体" w:hAnsi="宋体" w:cs="宋体"/>
          <w:szCs w:val="20"/>
        </w:rPr>
        <w:t>通过调用金三系统接口，查询房产交易买卖双方信息。</w:t>
      </w:r>
    </w:p>
    <w:p>
      <w:pPr>
        <w:rPr>
          <w:rFonts w:ascii="宋体" w:hAnsi="宋体" w:cs="宋体"/>
        </w:rPr>
      </w:pPr>
      <w:r>
        <w:rPr>
          <w:rFonts w:ascii="Times New Roman" w:hAnsi="Times New Roman" w:cs="Times New Roman"/>
          <w:szCs w:val="20"/>
        </w:rPr>
        <w:t>2</w:t>
      </w:r>
      <w:r>
        <w:rPr>
          <w:rFonts w:hint="eastAsia" w:ascii="宋体" w:hAnsi="宋体" w:cs="宋体"/>
          <w:szCs w:val="20"/>
        </w:rPr>
        <w:t>）税款缴纳</w:t>
      </w:r>
    </w:p>
    <w:p>
      <w:pPr>
        <w:rPr>
          <w:rFonts w:ascii="宋体" w:hAnsi="宋体" w:cs="宋体"/>
        </w:rPr>
      </w:pPr>
      <w:r>
        <w:rPr>
          <w:rFonts w:hint="eastAsia" w:ascii="宋体" w:hAnsi="宋体" w:cs="宋体"/>
          <w:szCs w:val="20"/>
        </w:rPr>
        <w:t>通过调用金三提供接口，查询该笔房产交易产生的税款信息，确认买卖双方是否完税。</w:t>
      </w:r>
    </w:p>
    <w:p>
      <w:pPr>
        <w:rPr>
          <w:rFonts w:ascii="宋体" w:hAnsi="宋体" w:cs="宋体"/>
        </w:rPr>
      </w:pPr>
      <w:r>
        <w:rPr>
          <w:rFonts w:hint="eastAsia" w:ascii="宋体" w:hAnsi="宋体" w:cs="宋体"/>
          <w:szCs w:val="20"/>
        </w:rPr>
        <w:t>3）电子发票信息</w:t>
      </w:r>
    </w:p>
    <w:p>
      <w:pPr>
        <w:rPr>
          <w:rFonts w:ascii="Times New Roman" w:hAnsi="Times New Roman" w:cs="Times New Roman"/>
        </w:rPr>
      </w:pPr>
      <w:r>
        <w:rPr>
          <w:rFonts w:hint="eastAsia" w:ascii="宋体" w:hAnsi="宋体" w:cs="宋体"/>
          <w:szCs w:val="20"/>
        </w:rPr>
        <w:t>通过调用金三系统接口，查询房产交易电子发票开具信息情况，确定电子发票开具后方可进行产权办理业务。</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增量房交易办理查询功能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本功能用于查询增量房交易办理情况。</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1）操作人员输入增量房交易办理查询条件。</w:t>
      </w:r>
    </w:p>
    <w:p>
      <w:pPr>
        <w:rPr>
          <w:rFonts w:ascii="宋体" w:hAnsi="宋体" w:cs="宋体"/>
        </w:rPr>
      </w:pPr>
      <w:r>
        <w:rPr>
          <w:rFonts w:hint="eastAsia" w:ascii="宋体" w:hAnsi="宋体" w:cs="宋体"/>
          <w:szCs w:val="20"/>
        </w:rPr>
        <w:t>2）获得增量房交易办理情况。</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2543175" cy="4305300"/>
            <wp:effectExtent l="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4" r:link="rId25"/>
                    <a:stretch>
                      <a:fillRect/>
                    </a:stretch>
                  </pic:blipFill>
                  <pic:spPr>
                    <a:xfrm>
                      <a:off x="0" y="0"/>
                      <a:ext cx="2543175" cy="4305300"/>
                    </a:xfrm>
                    <a:prstGeom prst="rect">
                      <a:avLst/>
                    </a:prstGeom>
                    <a:noFill/>
                    <a:ln w="9525">
                      <a:noFill/>
                    </a:ln>
                  </pic:spPr>
                </pic:pic>
              </a:graphicData>
            </a:graphic>
          </wp:inline>
        </w:drawing>
      </w:r>
    </w:p>
    <w:p>
      <w:pPr>
        <w:jc w:val="center"/>
        <w:rPr>
          <w:rFonts w:ascii="Times New Roman" w:hAnsi="Times New Roman" w:cs="Times New Roman"/>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21</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1）增量房销售信息采集</w:t>
      </w:r>
    </w:p>
    <w:p>
      <w:pPr>
        <w:rPr>
          <w:rFonts w:ascii="宋体" w:hAnsi="宋体" w:cs="宋体"/>
        </w:rPr>
      </w:pPr>
      <w:r>
        <w:rPr>
          <w:rFonts w:hint="eastAsia" w:ascii="宋体" w:hAnsi="宋体" w:cs="宋体"/>
          <w:szCs w:val="20"/>
        </w:rPr>
        <w:t>提供增量房销售信息采集数据，对数据查询提供支持。</w:t>
      </w:r>
    </w:p>
    <w:p>
      <w:pPr>
        <w:rPr>
          <w:rFonts w:ascii="宋体" w:hAnsi="宋体" w:cs="宋体"/>
        </w:rPr>
      </w:pPr>
      <w:r>
        <w:rPr>
          <w:rFonts w:hint="eastAsia" w:ascii="宋体" w:hAnsi="宋体" w:cs="宋体"/>
          <w:szCs w:val="20"/>
        </w:rPr>
        <w:t>2）个人增量房交易申报</w:t>
      </w:r>
    </w:p>
    <w:p>
      <w:pPr>
        <w:rPr>
          <w:rFonts w:ascii="宋体" w:hAnsi="宋体" w:cs="宋体"/>
        </w:rPr>
      </w:pPr>
      <w:r>
        <w:rPr>
          <w:rFonts w:hint="eastAsia" w:ascii="宋体" w:hAnsi="宋体" w:cs="宋体"/>
          <w:szCs w:val="20"/>
        </w:rPr>
        <w:t>提供个人增量房交易申报数据，对数据查询提供支持。</w:t>
      </w:r>
    </w:p>
    <w:p>
      <w:pPr>
        <w:rPr>
          <w:rFonts w:ascii="宋体" w:hAnsi="宋体" w:cs="宋体"/>
        </w:rPr>
      </w:pPr>
      <w:r>
        <w:rPr>
          <w:rFonts w:hint="eastAsia" w:ascii="宋体" w:hAnsi="宋体" w:cs="宋体"/>
          <w:szCs w:val="20"/>
        </w:rPr>
        <w:t>3）缴款情况</w:t>
      </w:r>
    </w:p>
    <w:p>
      <w:pPr>
        <w:rPr>
          <w:rFonts w:ascii="Times New Roman" w:hAnsi="Times New Roman" w:cs="Times New Roman"/>
        </w:rPr>
      </w:pPr>
      <w:r>
        <w:rPr>
          <w:rFonts w:hint="eastAsia" w:ascii="宋体" w:hAnsi="宋体" w:cs="宋体"/>
          <w:szCs w:val="20"/>
        </w:rPr>
        <w:t>提供增量房交易缴款数据，对数据查询提供支持。</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存量房交易办理查询功能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本功能用于查询存量房交易办理情况。</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1）操作人员输入存量房交易办理查询条件。</w:t>
      </w:r>
    </w:p>
    <w:p>
      <w:pPr>
        <w:rPr>
          <w:rFonts w:ascii="宋体" w:hAnsi="宋体" w:cs="宋体"/>
        </w:rPr>
      </w:pPr>
      <w:r>
        <w:rPr>
          <w:rFonts w:hint="eastAsia" w:ascii="宋体" w:hAnsi="宋体" w:cs="宋体"/>
          <w:szCs w:val="20"/>
        </w:rPr>
        <w:t>2）获得存量房交易办理情况。</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2543175" cy="4305300"/>
            <wp:effectExtent l="0" t="0" r="952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6" r:link="rId27"/>
                    <a:stretch>
                      <a:fillRect/>
                    </a:stretch>
                  </pic:blipFill>
                  <pic:spPr>
                    <a:xfrm>
                      <a:off x="0" y="0"/>
                      <a:ext cx="2543175" cy="43053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22</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1）存量房销售信息采集</w:t>
      </w:r>
    </w:p>
    <w:p>
      <w:pPr>
        <w:rPr>
          <w:rFonts w:ascii="宋体" w:hAnsi="宋体" w:cs="宋体"/>
        </w:rPr>
      </w:pPr>
      <w:r>
        <w:rPr>
          <w:rFonts w:hint="eastAsia" w:ascii="宋体" w:hAnsi="宋体" w:cs="宋体"/>
          <w:szCs w:val="20"/>
        </w:rPr>
        <w:t>提供存量房销售信息采集数据，对数据查询提供支持。</w:t>
      </w:r>
    </w:p>
    <w:p>
      <w:pPr>
        <w:rPr>
          <w:rFonts w:ascii="宋体" w:hAnsi="宋体" w:cs="宋体"/>
        </w:rPr>
      </w:pPr>
      <w:r>
        <w:rPr>
          <w:rFonts w:hint="eastAsia" w:ascii="宋体" w:hAnsi="宋体" w:cs="宋体"/>
          <w:szCs w:val="20"/>
        </w:rPr>
        <w:t>2）个人存量房交易申报</w:t>
      </w:r>
    </w:p>
    <w:p>
      <w:pPr>
        <w:rPr>
          <w:rFonts w:ascii="宋体" w:hAnsi="宋体" w:cs="宋体"/>
        </w:rPr>
      </w:pPr>
      <w:r>
        <w:rPr>
          <w:rFonts w:hint="eastAsia" w:ascii="宋体" w:hAnsi="宋体" w:cs="宋体"/>
          <w:szCs w:val="20"/>
        </w:rPr>
        <w:t>提供个人存量房交易申报数据，对数据查询提供支持。</w:t>
      </w:r>
    </w:p>
    <w:p>
      <w:pPr>
        <w:rPr>
          <w:rFonts w:ascii="宋体" w:hAnsi="宋体" w:cs="宋体"/>
        </w:rPr>
      </w:pPr>
      <w:r>
        <w:rPr>
          <w:rFonts w:hint="eastAsia" w:ascii="宋体" w:hAnsi="宋体" w:cs="宋体"/>
          <w:szCs w:val="20"/>
        </w:rPr>
        <w:t>3）企业存量房交易申报</w:t>
      </w:r>
    </w:p>
    <w:p>
      <w:pPr>
        <w:rPr>
          <w:rFonts w:ascii="宋体" w:hAnsi="宋体" w:cs="宋体"/>
        </w:rPr>
      </w:pPr>
      <w:r>
        <w:rPr>
          <w:rFonts w:hint="eastAsia" w:ascii="宋体" w:hAnsi="宋体" w:cs="宋体"/>
          <w:szCs w:val="20"/>
        </w:rPr>
        <w:t>提供业存量房交易申报数据，对数据查询提供支持。</w:t>
      </w:r>
    </w:p>
    <w:p>
      <w:pPr>
        <w:rPr>
          <w:rFonts w:ascii="宋体" w:hAnsi="宋体" w:cs="宋体"/>
        </w:rPr>
      </w:pPr>
      <w:r>
        <w:rPr>
          <w:rFonts w:hint="eastAsia" w:ascii="宋体" w:hAnsi="宋体" w:cs="宋体"/>
          <w:szCs w:val="20"/>
        </w:rPr>
        <w:t>4）缴款情况</w:t>
      </w:r>
    </w:p>
    <w:p>
      <w:pPr>
        <w:rPr>
          <w:rFonts w:ascii="宋体" w:hAnsi="宋体" w:cs="宋体"/>
        </w:rPr>
      </w:pPr>
      <w:r>
        <w:rPr>
          <w:rFonts w:hint="eastAsia" w:ascii="宋体" w:hAnsi="宋体" w:cs="宋体"/>
          <w:szCs w:val="20"/>
        </w:rPr>
        <w:t>提供业存量房交易缴款数据，对数据查询提供支持。</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增量房住房情况查询功能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本功能用于查询增量房住房情况信息。</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1）操作人员输入增量房住房情况查询条件。</w:t>
      </w:r>
    </w:p>
    <w:p>
      <w:pPr>
        <w:rPr>
          <w:rFonts w:ascii="宋体" w:hAnsi="宋体" w:cs="宋体"/>
        </w:rPr>
      </w:pPr>
      <w:r>
        <w:rPr>
          <w:rFonts w:hint="eastAsia" w:ascii="宋体" w:hAnsi="宋体" w:cs="宋体"/>
          <w:szCs w:val="20"/>
        </w:rPr>
        <w:t>2）获得增量房住房情况。</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2543175" cy="43053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8" r:link="rId29"/>
                    <a:stretch>
                      <a:fillRect/>
                    </a:stretch>
                  </pic:blipFill>
                  <pic:spPr>
                    <a:xfrm>
                      <a:off x="0" y="0"/>
                      <a:ext cx="2543175" cy="43053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23</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1）增量房销售信息采集</w:t>
      </w:r>
    </w:p>
    <w:p>
      <w:pPr>
        <w:rPr>
          <w:rFonts w:ascii="宋体" w:hAnsi="宋体" w:cs="宋体"/>
        </w:rPr>
      </w:pPr>
      <w:r>
        <w:rPr>
          <w:rFonts w:hint="eastAsia" w:ascii="宋体" w:hAnsi="宋体" w:cs="宋体"/>
          <w:szCs w:val="20"/>
        </w:rPr>
        <w:t>提供增量房销售信息采集数据，对数据查询提供支持。</w:t>
      </w:r>
    </w:p>
    <w:p>
      <w:pPr>
        <w:rPr>
          <w:rFonts w:ascii="宋体" w:hAnsi="宋体" w:cs="宋体"/>
        </w:rPr>
      </w:pPr>
      <w:r>
        <w:rPr>
          <w:rFonts w:hint="eastAsia" w:ascii="宋体" w:hAnsi="宋体" w:cs="宋体"/>
          <w:szCs w:val="20"/>
        </w:rPr>
        <w:t>2）个人增量房交易申报</w:t>
      </w:r>
    </w:p>
    <w:p>
      <w:pPr>
        <w:rPr>
          <w:rFonts w:ascii="宋体" w:hAnsi="宋体" w:cs="宋体"/>
        </w:rPr>
      </w:pPr>
      <w:r>
        <w:rPr>
          <w:rFonts w:hint="eastAsia" w:ascii="宋体" w:hAnsi="宋体" w:cs="宋体"/>
          <w:szCs w:val="20"/>
        </w:rPr>
        <w:t>提供个人增量房交易申报数据，对数据查询提供支持。</w:t>
      </w:r>
    </w:p>
    <w:p>
      <w:pPr>
        <w:rPr>
          <w:rFonts w:ascii="宋体" w:hAnsi="宋体" w:cs="宋体"/>
        </w:rPr>
      </w:pPr>
      <w:r>
        <w:rPr>
          <w:rFonts w:hint="eastAsia" w:ascii="宋体" w:hAnsi="宋体" w:cs="宋体"/>
          <w:szCs w:val="20"/>
        </w:rPr>
        <w:t>3）企业增量房交易申报</w:t>
      </w:r>
    </w:p>
    <w:p>
      <w:pPr>
        <w:rPr>
          <w:rFonts w:ascii="宋体" w:hAnsi="宋体" w:cs="宋体"/>
        </w:rPr>
      </w:pPr>
      <w:r>
        <w:rPr>
          <w:rFonts w:hint="eastAsia" w:ascii="宋体" w:hAnsi="宋体" w:cs="宋体"/>
          <w:szCs w:val="20"/>
        </w:rPr>
        <w:t>提供业增量房交易申报数据，对数据查询提供支持。</w:t>
      </w:r>
    </w:p>
    <w:p>
      <w:pPr>
        <w:rPr>
          <w:rFonts w:ascii="宋体" w:hAnsi="宋体" w:cs="宋体"/>
        </w:rPr>
      </w:pPr>
      <w:r>
        <w:rPr>
          <w:rFonts w:hint="eastAsia" w:ascii="宋体" w:hAnsi="宋体" w:cs="宋体"/>
          <w:szCs w:val="20"/>
        </w:rPr>
        <w:t>4）缴款情况</w:t>
      </w:r>
    </w:p>
    <w:p>
      <w:pPr>
        <w:rPr>
          <w:rFonts w:ascii="宋体" w:hAnsi="宋体" w:cs="宋体"/>
        </w:rPr>
      </w:pPr>
      <w:r>
        <w:rPr>
          <w:rFonts w:hint="eastAsia" w:ascii="宋体" w:hAnsi="宋体" w:cs="宋体"/>
          <w:szCs w:val="20"/>
        </w:rPr>
        <w:t>提供增量房交易缴款数据，对数据查询提供支持。</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存量房住房情况查询功能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本功能用于查询存量房住房情况信息。</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1）操作人员输入存量房住房情况查询条件。</w:t>
      </w:r>
    </w:p>
    <w:p>
      <w:pPr>
        <w:rPr>
          <w:rFonts w:ascii="宋体" w:hAnsi="宋体" w:cs="宋体"/>
        </w:rPr>
      </w:pPr>
      <w:r>
        <w:rPr>
          <w:rFonts w:hint="eastAsia" w:ascii="宋体" w:hAnsi="宋体" w:cs="宋体"/>
          <w:szCs w:val="20"/>
        </w:rPr>
        <w:t>2）获得存量房住房情况。</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2543175" cy="4305300"/>
            <wp:effectExtent l="0" t="0" r="952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30" r:link="rId31"/>
                    <a:stretch>
                      <a:fillRect/>
                    </a:stretch>
                  </pic:blipFill>
                  <pic:spPr>
                    <a:xfrm>
                      <a:off x="0" y="0"/>
                      <a:ext cx="2543175" cy="4305300"/>
                    </a:xfrm>
                    <a:prstGeom prst="rect">
                      <a:avLst/>
                    </a:prstGeom>
                    <a:noFill/>
                    <a:ln w="9525">
                      <a:noFill/>
                    </a:ln>
                  </pic:spPr>
                </pic:pic>
              </a:graphicData>
            </a:graphic>
          </wp:inline>
        </w:drawing>
      </w:r>
    </w:p>
    <w:p>
      <w:pPr>
        <w:jc w:val="center"/>
        <w:rPr>
          <w:rFonts w:ascii="Times New Roman" w:hAnsi="Times New Roman" w:cs="Times New Roman"/>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24</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1）存量房销售信息采集</w:t>
      </w:r>
    </w:p>
    <w:p>
      <w:pPr>
        <w:rPr>
          <w:rFonts w:ascii="宋体" w:hAnsi="宋体" w:cs="宋体"/>
        </w:rPr>
      </w:pPr>
      <w:r>
        <w:rPr>
          <w:rFonts w:hint="eastAsia" w:ascii="宋体" w:hAnsi="宋体" w:cs="宋体"/>
          <w:szCs w:val="20"/>
        </w:rPr>
        <w:t>提供存量房销售信息采集数据，对数据查询提供支持。</w:t>
      </w:r>
    </w:p>
    <w:p>
      <w:pPr>
        <w:rPr>
          <w:rFonts w:ascii="宋体" w:hAnsi="宋体" w:cs="宋体"/>
        </w:rPr>
      </w:pPr>
      <w:r>
        <w:rPr>
          <w:rFonts w:hint="eastAsia" w:ascii="宋体" w:hAnsi="宋体" w:cs="宋体"/>
          <w:szCs w:val="20"/>
        </w:rPr>
        <w:t>2）个人存量房交易申报</w:t>
      </w:r>
    </w:p>
    <w:p>
      <w:pPr>
        <w:rPr>
          <w:rFonts w:ascii="宋体" w:hAnsi="宋体" w:cs="宋体"/>
        </w:rPr>
      </w:pPr>
      <w:r>
        <w:rPr>
          <w:rFonts w:hint="eastAsia" w:ascii="宋体" w:hAnsi="宋体" w:cs="宋体"/>
          <w:szCs w:val="20"/>
        </w:rPr>
        <w:t>提供个人存量房交易申报数据，对数据查询提供支持。</w:t>
      </w:r>
    </w:p>
    <w:p>
      <w:pPr>
        <w:rPr>
          <w:rFonts w:ascii="宋体" w:hAnsi="宋体" w:cs="宋体"/>
        </w:rPr>
      </w:pPr>
      <w:r>
        <w:rPr>
          <w:rFonts w:hint="eastAsia" w:ascii="宋体" w:hAnsi="宋体" w:cs="宋体"/>
          <w:szCs w:val="20"/>
        </w:rPr>
        <w:t>3）企业存量房交易申报</w:t>
      </w:r>
    </w:p>
    <w:p>
      <w:pPr>
        <w:rPr>
          <w:rFonts w:ascii="宋体" w:hAnsi="宋体" w:cs="宋体"/>
        </w:rPr>
      </w:pPr>
      <w:r>
        <w:rPr>
          <w:rFonts w:hint="eastAsia" w:ascii="宋体" w:hAnsi="宋体" w:cs="宋体"/>
          <w:szCs w:val="20"/>
        </w:rPr>
        <w:t>提供业存量房交易申报数据，对数据查询提供支持。</w:t>
      </w:r>
    </w:p>
    <w:p>
      <w:pPr>
        <w:rPr>
          <w:rFonts w:ascii="宋体" w:hAnsi="宋体" w:cs="宋体"/>
        </w:rPr>
      </w:pPr>
      <w:r>
        <w:rPr>
          <w:rFonts w:hint="eastAsia" w:ascii="宋体" w:hAnsi="宋体" w:cs="宋体"/>
          <w:szCs w:val="20"/>
        </w:rPr>
        <w:t>4）缴款情况</w:t>
      </w:r>
    </w:p>
    <w:p>
      <w:pPr>
        <w:rPr>
          <w:rFonts w:ascii="Times New Roman" w:hAnsi="Times New Roman" w:cs="Times New Roman"/>
        </w:rPr>
      </w:pPr>
      <w:r>
        <w:rPr>
          <w:rFonts w:hint="eastAsia" w:ascii="宋体" w:hAnsi="宋体" w:cs="宋体"/>
          <w:szCs w:val="20"/>
        </w:rPr>
        <w:t>提供存量房交易缴款数据，对数据查询提供支持。</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个人房屋交易查询功能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本功能用于查询自然人的房屋交易情况。</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1）操作人员输入个人房屋交易查询条件。</w:t>
      </w:r>
    </w:p>
    <w:p>
      <w:pPr>
        <w:rPr>
          <w:rFonts w:ascii="宋体" w:hAnsi="宋体" w:cs="宋体"/>
        </w:rPr>
      </w:pPr>
      <w:r>
        <w:rPr>
          <w:rFonts w:hint="eastAsia" w:ascii="宋体" w:hAnsi="宋体" w:cs="宋体"/>
          <w:szCs w:val="20"/>
        </w:rPr>
        <w:t>2）获得个人房屋交易情况。</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2543175" cy="4305300"/>
            <wp:effectExtent l="0" t="0" r="952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32" r:link="rId33"/>
                    <a:stretch>
                      <a:fillRect/>
                    </a:stretch>
                  </pic:blipFill>
                  <pic:spPr>
                    <a:xfrm>
                      <a:off x="0" y="0"/>
                      <a:ext cx="2543175" cy="43053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25</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1）个人增量房交易申报</w:t>
      </w:r>
    </w:p>
    <w:p>
      <w:pPr>
        <w:rPr>
          <w:rFonts w:ascii="宋体" w:hAnsi="宋体" w:cs="宋体"/>
        </w:rPr>
      </w:pPr>
      <w:r>
        <w:rPr>
          <w:rFonts w:hint="eastAsia" w:ascii="宋体" w:hAnsi="宋体" w:cs="宋体"/>
          <w:szCs w:val="20"/>
        </w:rPr>
        <w:t>提供个人增量房交易申报数据，对数据查询提供支持。</w:t>
      </w:r>
    </w:p>
    <w:p>
      <w:pPr>
        <w:rPr>
          <w:rFonts w:ascii="宋体" w:hAnsi="宋体" w:cs="宋体"/>
        </w:rPr>
      </w:pPr>
      <w:r>
        <w:rPr>
          <w:rFonts w:hint="eastAsia" w:ascii="宋体" w:hAnsi="宋体" w:cs="宋体"/>
          <w:szCs w:val="20"/>
        </w:rPr>
        <w:t>2）个人存量房交易申报</w:t>
      </w:r>
    </w:p>
    <w:p>
      <w:pPr>
        <w:rPr>
          <w:rFonts w:ascii="宋体" w:hAnsi="宋体" w:cs="宋体"/>
        </w:rPr>
      </w:pPr>
      <w:r>
        <w:rPr>
          <w:rFonts w:hint="eastAsia" w:ascii="宋体" w:hAnsi="宋体" w:cs="宋体"/>
          <w:szCs w:val="20"/>
        </w:rPr>
        <w:t>提供个人存量房交易申报数据，对数据查询提供支持。</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企业房屋交易查询功能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本功能用于查询企业的房屋交易情况。</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1）操作人员输入企业房屋交易查询条件。</w:t>
      </w:r>
    </w:p>
    <w:p>
      <w:pPr>
        <w:rPr>
          <w:rFonts w:ascii="宋体" w:hAnsi="宋体" w:cs="宋体"/>
        </w:rPr>
      </w:pPr>
      <w:r>
        <w:rPr>
          <w:rFonts w:hint="eastAsia" w:ascii="宋体" w:hAnsi="宋体" w:cs="宋体"/>
          <w:szCs w:val="20"/>
        </w:rPr>
        <w:t>2）获得企业房屋交易情况。</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2543175" cy="43053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34" r:link="rId35"/>
                    <a:stretch>
                      <a:fillRect/>
                    </a:stretch>
                  </pic:blipFill>
                  <pic:spPr>
                    <a:xfrm>
                      <a:off x="0" y="0"/>
                      <a:ext cx="2543175" cy="4305300"/>
                    </a:xfrm>
                    <a:prstGeom prst="rect">
                      <a:avLst/>
                    </a:prstGeom>
                    <a:noFill/>
                    <a:ln w="9525">
                      <a:noFill/>
                    </a:ln>
                  </pic:spPr>
                </pic:pic>
              </a:graphicData>
            </a:graphic>
          </wp:inline>
        </w:drawing>
      </w:r>
    </w:p>
    <w:p>
      <w:pPr>
        <w:jc w:val="center"/>
        <w:rPr>
          <w:rFonts w:ascii="宋体" w:hAnsi="宋体" w:cs="宋体"/>
        </w:rPr>
      </w:pPr>
      <w:r>
        <w:rPr>
          <w:rFonts w:hint="eastAsia" w:ascii="黑体" w:hAnsi="宋体" w:eastAsia="黑体" w:cs="黑体"/>
        </w:rPr>
        <w:t xml:space="preserve">图 </w:t>
      </w:r>
      <w:r>
        <w:rPr>
          <w:rFonts w:hint="eastAsia" w:ascii="黑体" w:hAnsi="宋体" w:eastAsia="黑体" w:cs="黑体"/>
        </w:rPr>
        <w:fldChar w:fldCharType="begin"/>
      </w:r>
      <w:r>
        <w:rPr>
          <w:rFonts w:hint="eastAsia" w:ascii="黑体" w:hAnsi="宋体" w:eastAsia="黑体" w:cs="黑体"/>
        </w:rPr>
        <w:instrText xml:space="preserve"> STYLEREF 1 \s </w:instrText>
      </w:r>
      <w:r>
        <w:rPr>
          <w:rFonts w:hint="eastAsia" w:ascii="黑体" w:hAnsi="宋体" w:eastAsia="黑体" w:cs="黑体"/>
        </w:rPr>
        <w:fldChar w:fldCharType="separate"/>
      </w:r>
      <w:r>
        <w:rPr>
          <w:rFonts w:hint="eastAsia" w:ascii="黑体" w:hAnsi="宋体" w:eastAsia="黑体" w:cs="黑体"/>
        </w:rPr>
        <w:t>5</w:t>
      </w:r>
      <w:r>
        <w:rPr>
          <w:rFonts w:hint="eastAsia" w:ascii="黑体" w:hAnsi="宋体" w:eastAsia="黑体" w:cs="黑体"/>
        </w:rPr>
        <w:fldChar w:fldCharType="end"/>
      </w:r>
      <w:r>
        <w:rPr>
          <w:rFonts w:hint="eastAsia" w:ascii="黑体" w:hAnsi="宋体" w:eastAsia="黑体" w:cs="黑体"/>
        </w:rPr>
        <w:noBreakHyphen/>
      </w:r>
      <w:r>
        <w:rPr>
          <w:rFonts w:hint="eastAsia" w:ascii="黑体" w:hAnsi="宋体" w:eastAsia="黑体" w:cs="黑体"/>
        </w:rPr>
        <w:fldChar w:fldCharType="begin"/>
      </w:r>
      <w:r>
        <w:rPr>
          <w:rFonts w:hint="eastAsia" w:ascii="黑体" w:hAnsi="宋体" w:eastAsia="黑体" w:cs="黑体"/>
        </w:rPr>
        <w:instrText xml:space="preserve"> SEQ 图表 \* ARABIC \s 1 </w:instrText>
      </w:r>
      <w:r>
        <w:rPr>
          <w:rFonts w:hint="eastAsia" w:ascii="黑体" w:hAnsi="宋体" w:eastAsia="黑体" w:cs="黑体"/>
        </w:rPr>
        <w:fldChar w:fldCharType="separate"/>
      </w:r>
      <w:r>
        <w:rPr>
          <w:rFonts w:hint="eastAsia" w:ascii="黑体" w:hAnsi="宋体" w:eastAsia="黑体" w:cs="黑体"/>
        </w:rPr>
        <w:t>26</w:t>
      </w:r>
      <w:r>
        <w:rPr>
          <w:rFonts w:hint="eastAsia" w:ascii="黑体" w:hAnsi="宋体" w:eastAsia="黑体" w:cs="黑体"/>
        </w:rPr>
        <w:fldChar w:fldCharType="end"/>
      </w:r>
      <w:r>
        <w:rPr>
          <w:rFonts w:hint="eastAsia" w:ascii="黑体" w:hAnsi="宋体" w:eastAsia="黑体" w:cs="黑体"/>
        </w:rPr>
        <w:t>：功能业务流程图</w:t>
      </w:r>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2）查询结果显示、导出功能、电子档案调阅</w:t>
      </w:r>
    </w:p>
    <w:p>
      <w:pPr>
        <w:rPr>
          <w:rFonts w:ascii="宋体" w:hAnsi="宋体" w:cs="宋体"/>
        </w:rPr>
      </w:pPr>
      <w:r>
        <w:rPr>
          <w:rFonts w:hint="eastAsia" w:ascii="宋体" w:hAnsi="宋体" w:cs="宋体"/>
          <w:szCs w:val="20"/>
        </w:rPr>
        <w:t>展示查询结果，并支持查询结果导出与电子档案调阅。</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1）企业增量房交易申报</w:t>
      </w:r>
    </w:p>
    <w:p>
      <w:pPr>
        <w:rPr>
          <w:rFonts w:ascii="宋体" w:hAnsi="宋体" w:cs="宋体"/>
        </w:rPr>
      </w:pPr>
      <w:r>
        <w:rPr>
          <w:rFonts w:hint="eastAsia" w:ascii="宋体" w:hAnsi="宋体" w:cs="宋体"/>
          <w:szCs w:val="20"/>
        </w:rPr>
        <w:t>提供企业增量房交易申报数据，对数据查询提供支持。</w:t>
      </w:r>
    </w:p>
    <w:p>
      <w:pPr>
        <w:rPr>
          <w:rFonts w:ascii="宋体" w:hAnsi="宋体" w:cs="宋体"/>
        </w:rPr>
      </w:pPr>
      <w:r>
        <w:rPr>
          <w:rFonts w:hint="eastAsia" w:ascii="宋体" w:hAnsi="宋体" w:cs="宋体"/>
          <w:szCs w:val="20"/>
        </w:rPr>
        <w:t>2）企业存量房交易申报</w:t>
      </w:r>
    </w:p>
    <w:p>
      <w:pPr>
        <w:rPr>
          <w:rFonts w:ascii="宋体" w:hAnsi="宋体" w:cs="宋体"/>
        </w:rPr>
      </w:pPr>
      <w:r>
        <w:rPr>
          <w:rFonts w:hint="eastAsia" w:ascii="宋体" w:hAnsi="宋体" w:cs="宋体"/>
          <w:szCs w:val="20"/>
        </w:rPr>
        <w:t>提供企业存量房交易申报数据，对数据查询提供支持。</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综合查询统计功能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本功能用于对房屋交易情况进行综合查询统计。</w:t>
      </w:r>
    </w:p>
    <w:p>
      <w:pPr>
        <w:rPr>
          <w:rFonts w:ascii="宋体" w:hAnsi="宋体" w:cs="宋体"/>
        </w:rPr>
      </w:pPr>
      <w:r>
        <w:rPr>
          <w:rFonts w:hint="eastAsia" w:ascii="宋体" w:hAnsi="宋体" w:cs="宋体"/>
          <w:szCs w:val="20"/>
        </w:rPr>
        <w:t>2、功能概述</w:t>
      </w:r>
    </w:p>
    <w:p>
      <w:pPr>
        <w:rPr>
          <w:rFonts w:ascii="宋体" w:hAnsi="宋体" w:cs="宋体"/>
        </w:rPr>
      </w:pPr>
      <w:r>
        <w:rPr>
          <w:rFonts w:hint="eastAsia" w:ascii="宋体" w:hAnsi="宋体" w:cs="宋体"/>
          <w:szCs w:val="20"/>
        </w:rPr>
        <w:t>1）操作人员输入综合查询统计查询条件。</w:t>
      </w:r>
    </w:p>
    <w:p>
      <w:pPr>
        <w:rPr>
          <w:rFonts w:ascii="宋体" w:hAnsi="宋体" w:cs="宋体"/>
        </w:rPr>
      </w:pPr>
      <w:r>
        <w:rPr>
          <w:rFonts w:hint="eastAsia" w:ascii="宋体" w:hAnsi="宋体" w:cs="宋体"/>
          <w:szCs w:val="20"/>
        </w:rPr>
        <w:t>2）获得查询结果。</w:t>
      </w:r>
    </w:p>
    <w:p>
      <w:pPr>
        <w:rPr>
          <w:rFonts w:ascii="宋体" w:hAnsi="宋体" w:cs="宋体"/>
        </w:rPr>
      </w:pPr>
      <w:r>
        <w:rPr>
          <w:rFonts w:hint="eastAsia" w:ascii="宋体" w:hAnsi="宋体" w:cs="宋体"/>
          <w:szCs w:val="20"/>
        </w:rPr>
        <w:t>3）查询结果支持导出。</w:t>
      </w:r>
    </w:p>
    <w:p>
      <w:pPr>
        <w:rPr>
          <w:rFonts w:ascii="宋体" w:hAnsi="宋体" w:cs="宋体"/>
        </w:rPr>
      </w:pPr>
      <w:r>
        <w:rPr>
          <w:rFonts w:hint="eastAsia" w:ascii="宋体" w:hAnsi="宋体" w:cs="宋体"/>
          <w:szCs w:val="20"/>
        </w:rPr>
        <w:t>3、业务流程</w:t>
      </w:r>
    </w:p>
    <w:p>
      <w:pPr>
        <w:widowControl/>
        <w:spacing w:before="100" w:beforeAutospacing="1" w:after="100" w:afterAutospacing="1"/>
        <w:ind w:left="-2" w:leftChars="-1" w:firstLine="2"/>
        <w:jc w:val="center"/>
        <w:rPr>
          <w:rFonts w:ascii="宋体" w:hAnsi="宋体" w:eastAsia="宋体" w:cs="宋体"/>
          <w:color w:val="000000"/>
          <w:kern w:val="0"/>
          <w:sz w:val="24"/>
          <w:szCs w:val="24"/>
          <w:lang w:val="en-US" w:eastAsia="zh-CN" w:bidi="ar-SA"/>
        </w:rPr>
      </w:pPr>
      <w:r>
        <w:rPr>
          <w:rFonts w:ascii="宋体" w:hAnsi="宋体" w:eastAsia="仿宋" w:cs="宋体"/>
          <w:color w:val="000000"/>
          <w:kern w:val="0"/>
          <w:sz w:val="28"/>
          <w:szCs w:val="20"/>
          <w:lang w:val="en-US" w:eastAsia="zh-CN" w:bidi="ar-SA"/>
        </w:rPr>
        <w:drawing>
          <wp:inline distT="0" distB="0" distL="114300" distR="114300">
            <wp:extent cx="3438525" cy="4305300"/>
            <wp:effectExtent l="0" t="0" r="952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36" r:link="rId37"/>
                    <a:stretch>
                      <a:fillRect/>
                    </a:stretch>
                  </pic:blipFill>
                  <pic:spPr>
                    <a:xfrm>
                      <a:off x="0" y="0"/>
                      <a:ext cx="3438525" cy="4305300"/>
                    </a:xfrm>
                    <a:prstGeom prst="rect">
                      <a:avLst/>
                    </a:prstGeom>
                    <a:noFill/>
                    <a:ln w="9525">
                      <a:noFill/>
                    </a:ln>
                  </pic:spPr>
                </pic:pic>
              </a:graphicData>
            </a:graphic>
          </wp:inline>
        </w:drawing>
      </w:r>
    </w:p>
    <w:p>
      <w:pPr>
        <w:jc w:val="center"/>
        <w:rPr>
          <w:rFonts w:ascii="宋体" w:hAnsi="宋体" w:cs="宋体"/>
        </w:rPr>
      </w:pPr>
      <w:bookmarkStart w:id="0" w:name="_Hlk24280052"/>
      <w:r>
        <w:rPr>
          <w:rFonts w:hint="eastAsia" w:ascii="黑体" w:hAnsi="宋体" w:eastAsia="黑体" w:cs="黑体"/>
        </w:rPr>
        <w:t xml:space="preserve">图 </w:t>
      </w:r>
      <w:r>
        <w:rPr>
          <w:rFonts w:ascii="Times New Roman" w:hAnsi="Times New Roman" w:cs="Times New Roman"/>
          <w:szCs w:val="20"/>
        </w:rPr>
        <w:fldChar w:fldCharType="begin"/>
      </w:r>
      <w:r>
        <w:rPr>
          <w:rFonts w:hint="eastAsia" w:ascii="黑体" w:hAnsi="宋体" w:eastAsia="黑体" w:cs="黑体"/>
        </w:rPr>
        <w:instrText xml:space="preserve"> STYLEREF 1 \s </w:instrText>
      </w:r>
      <w:r>
        <w:rPr>
          <w:rFonts w:ascii="黑体" w:hAnsi="宋体" w:eastAsia="黑体" w:cs="黑体"/>
        </w:rPr>
        <w:fldChar w:fldCharType="separate"/>
      </w:r>
      <w:r>
        <w:rPr>
          <w:rFonts w:hint="eastAsia" w:ascii="黑体" w:hAnsi="宋体" w:eastAsia="黑体" w:cs="黑体"/>
        </w:rPr>
        <w:t>5</w:t>
      </w:r>
      <w:r>
        <w:rPr>
          <w:rFonts w:ascii="Times New Roman" w:hAnsi="Times New Roman" w:cs="Times New Roman"/>
          <w:szCs w:val="20"/>
        </w:rPr>
        <w:fldChar w:fldCharType="end"/>
      </w:r>
      <w:r>
        <w:rPr>
          <w:rFonts w:hint="eastAsia" w:ascii="黑体" w:hAnsi="宋体" w:eastAsia="黑体" w:cs="黑体"/>
        </w:rPr>
        <w:noBreakHyphen/>
      </w:r>
      <w:r>
        <w:rPr>
          <w:rFonts w:ascii="Times New Roman" w:hAnsi="Times New Roman" w:cs="Times New Roman"/>
          <w:szCs w:val="20"/>
        </w:rPr>
        <w:fldChar w:fldCharType="begin"/>
      </w:r>
      <w:r>
        <w:rPr>
          <w:rFonts w:hint="eastAsia" w:ascii="黑体" w:hAnsi="宋体" w:eastAsia="黑体" w:cs="黑体"/>
        </w:rPr>
        <w:instrText xml:space="preserve"> SEQ 图表 \* ARABIC \s 1 </w:instrText>
      </w:r>
      <w:r>
        <w:rPr>
          <w:rFonts w:ascii="黑体" w:hAnsi="宋体" w:eastAsia="黑体" w:cs="黑体"/>
        </w:rPr>
        <w:fldChar w:fldCharType="separate"/>
      </w:r>
      <w:r>
        <w:rPr>
          <w:rFonts w:hint="eastAsia" w:ascii="黑体" w:hAnsi="宋体" w:eastAsia="黑体" w:cs="黑体"/>
        </w:rPr>
        <w:t>27</w:t>
      </w:r>
      <w:r>
        <w:rPr>
          <w:rFonts w:ascii="Times New Roman" w:hAnsi="Times New Roman" w:cs="Times New Roman"/>
          <w:szCs w:val="20"/>
        </w:rPr>
        <w:fldChar w:fldCharType="end"/>
      </w:r>
      <w:r>
        <w:rPr>
          <w:rFonts w:hint="eastAsia" w:ascii="黑体" w:hAnsi="宋体" w:eastAsia="黑体" w:cs="黑体"/>
        </w:rPr>
        <w:t>：功能业务流程图</w:t>
      </w:r>
      <w:bookmarkEnd w:id="0"/>
    </w:p>
    <w:p>
      <w:pPr>
        <w:rPr>
          <w:rFonts w:ascii="宋体" w:hAnsi="宋体" w:cs="宋体"/>
        </w:rPr>
      </w:pPr>
      <w:r>
        <w:rPr>
          <w:rFonts w:hint="eastAsia" w:ascii="宋体" w:hAnsi="宋体" w:cs="宋体"/>
          <w:szCs w:val="20"/>
        </w:rPr>
        <w:t>4、系统功能</w:t>
      </w:r>
    </w:p>
    <w:p>
      <w:pPr>
        <w:rPr>
          <w:rFonts w:ascii="宋体" w:hAnsi="宋体" w:cs="宋体"/>
        </w:rPr>
      </w:pPr>
      <w:r>
        <w:rPr>
          <w:rFonts w:hint="eastAsia" w:ascii="宋体" w:hAnsi="宋体" w:cs="宋体"/>
          <w:szCs w:val="20"/>
        </w:rPr>
        <w:t>1）查询条件确认及界面数据项显示</w:t>
      </w:r>
    </w:p>
    <w:p>
      <w:pPr>
        <w:rPr>
          <w:rFonts w:ascii="宋体" w:hAnsi="宋体" w:cs="宋体"/>
        </w:rPr>
      </w:pPr>
      <w:r>
        <w:rPr>
          <w:rFonts w:hint="eastAsia" w:ascii="宋体" w:hAnsi="宋体" w:cs="宋体"/>
          <w:szCs w:val="20"/>
        </w:rPr>
        <w:t>显示查询条件，根据查询条件查询数据。</w:t>
      </w:r>
    </w:p>
    <w:p>
      <w:pPr>
        <w:rPr>
          <w:rFonts w:ascii="宋体" w:hAnsi="宋体" w:cs="宋体"/>
        </w:rPr>
      </w:pPr>
      <w:r>
        <w:rPr>
          <w:rFonts w:hint="eastAsia" w:ascii="宋体" w:hAnsi="宋体" w:cs="宋体"/>
          <w:szCs w:val="20"/>
        </w:rPr>
        <w:t>2）查询结果显示、导出功能、报表生成</w:t>
      </w:r>
    </w:p>
    <w:p>
      <w:pPr>
        <w:rPr>
          <w:rFonts w:ascii="宋体" w:hAnsi="宋体" w:cs="宋体"/>
        </w:rPr>
      </w:pPr>
      <w:r>
        <w:rPr>
          <w:rFonts w:hint="eastAsia" w:ascii="宋体" w:hAnsi="宋体" w:cs="宋体"/>
          <w:szCs w:val="20"/>
        </w:rPr>
        <w:t>展示查询结果，并支持查询结果导出与报表生成。</w:t>
      </w:r>
    </w:p>
    <w:p>
      <w:pPr>
        <w:rPr>
          <w:rFonts w:ascii="宋体" w:hAnsi="宋体" w:cs="宋体"/>
        </w:rPr>
      </w:pPr>
      <w:r>
        <w:rPr>
          <w:rFonts w:hint="eastAsia" w:ascii="宋体" w:hAnsi="宋体" w:cs="宋体"/>
          <w:szCs w:val="20"/>
        </w:rPr>
        <w:t>5、关联业务</w:t>
      </w:r>
    </w:p>
    <w:p>
      <w:pPr>
        <w:rPr>
          <w:rFonts w:ascii="宋体" w:hAnsi="宋体" w:cs="宋体"/>
        </w:rPr>
      </w:pPr>
      <w:r>
        <w:rPr>
          <w:rFonts w:hint="eastAsia" w:ascii="宋体" w:hAnsi="宋体" w:cs="宋体"/>
          <w:szCs w:val="20"/>
        </w:rPr>
        <w:t>无</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人员配置功能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本功能用于系统对使用人员的功能权限配置，包括角色维护等。</w:t>
      </w:r>
    </w:p>
    <w:p>
      <w:pPr>
        <w:rPr>
          <w:rFonts w:ascii="宋体" w:hAnsi="宋体" w:cs="宋体"/>
        </w:rPr>
      </w:pPr>
      <w:r>
        <w:rPr>
          <w:rFonts w:hint="eastAsia" w:ascii="宋体" w:hAnsi="宋体" w:cs="宋体"/>
          <w:szCs w:val="20"/>
        </w:rPr>
        <w:t>2、系统功能</w:t>
      </w:r>
    </w:p>
    <w:p>
      <w:pPr>
        <w:rPr>
          <w:rFonts w:ascii="宋体" w:hAnsi="宋体" w:cs="宋体"/>
        </w:rPr>
      </w:pPr>
      <w:r>
        <w:rPr>
          <w:rFonts w:hint="eastAsia" w:ascii="宋体" w:hAnsi="宋体" w:cs="宋体"/>
          <w:szCs w:val="20"/>
        </w:rPr>
        <w:t>1）机构人员显示</w:t>
      </w:r>
    </w:p>
    <w:p>
      <w:pPr>
        <w:rPr>
          <w:rFonts w:ascii="宋体" w:hAnsi="宋体" w:cs="宋体"/>
        </w:rPr>
      </w:pPr>
      <w:r>
        <w:rPr>
          <w:rFonts w:hint="eastAsia" w:ascii="宋体" w:hAnsi="宋体" w:cs="宋体"/>
          <w:szCs w:val="20"/>
        </w:rPr>
        <w:t>显示机构下所有的税务人员信息。</w:t>
      </w:r>
    </w:p>
    <w:p>
      <w:pPr>
        <w:rPr>
          <w:rFonts w:ascii="宋体" w:hAnsi="宋体" w:cs="宋体"/>
        </w:rPr>
      </w:pPr>
      <w:r>
        <w:rPr>
          <w:rFonts w:hint="eastAsia" w:ascii="宋体" w:hAnsi="宋体" w:cs="宋体"/>
          <w:szCs w:val="20"/>
        </w:rPr>
        <w:t>2）人员的功能权限配置，包括角色维护</w:t>
      </w:r>
    </w:p>
    <w:p>
      <w:pPr>
        <w:rPr>
          <w:rFonts w:ascii="宋体" w:hAnsi="宋体" w:cs="宋体"/>
        </w:rPr>
      </w:pPr>
      <w:r>
        <w:rPr>
          <w:rFonts w:hint="eastAsia" w:ascii="宋体" w:hAnsi="宋体" w:cs="宋体"/>
          <w:szCs w:val="20"/>
        </w:rPr>
        <w:t>对显示的税务人员的功能、角色进行维护。</w:t>
      </w:r>
    </w:p>
    <w:p>
      <w:pPr>
        <w:rPr>
          <w:rFonts w:ascii="宋体" w:hAnsi="宋体" w:cs="宋体"/>
        </w:rPr>
      </w:pPr>
      <w:r>
        <w:rPr>
          <w:rFonts w:hint="eastAsia" w:ascii="宋体" w:hAnsi="宋体" w:cs="宋体"/>
          <w:szCs w:val="20"/>
        </w:rPr>
        <w:t>3）人员数据与金三系统同步</w:t>
      </w:r>
    </w:p>
    <w:p>
      <w:pPr>
        <w:rPr>
          <w:rFonts w:ascii="宋体" w:hAnsi="宋体" w:cs="宋体"/>
        </w:rPr>
      </w:pPr>
      <w:r>
        <w:rPr>
          <w:rFonts w:hint="eastAsia" w:ascii="宋体" w:hAnsi="宋体" w:cs="宋体"/>
          <w:szCs w:val="20"/>
        </w:rPr>
        <w:t>维护后的人员信息，与金三系统进行同步。</w:t>
      </w:r>
    </w:p>
    <w:p>
      <w:pPr>
        <w:rPr>
          <w:rFonts w:ascii="宋体" w:hAnsi="宋体" w:cs="宋体"/>
        </w:rPr>
      </w:pPr>
      <w:r>
        <w:rPr>
          <w:rFonts w:hint="eastAsia" w:ascii="宋体" w:hAnsi="宋体" w:cs="宋体"/>
          <w:szCs w:val="20"/>
        </w:rPr>
        <w:t>3、关联业务</w:t>
      </w:r>
    </w:p>
    <w:p>
      <w:pPr>
        <w:rPr>
          <w:rFonts w:ascii="宋体" w:hAnsi="宋体" w:cs="宋体"/>
        </w:rPr>
      </w:pPr>
      <w:r>
        <w:rPr>
          <w:rFonts w:hint="eastAsia" w:ascii="宋体" w:hAnsi="宋体" w:cs="宋体"/>
          <w:szCs w:val="20"/>
        </w:rPr>
        <w:t>无。</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岗位配置功能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本功能用于系统对岗位的功能权限配置，包括岗位维护，机构岗位维护，机构岗位人员维护等。</w:t>
      </w:r>
    </w:p>
    <w:p>
      <w:pPr>
        <w:rPr>
          <w:rFonts w:ascii="宋体" w:hAnsi="宋体" w:cs="宋体"/>
        </w:rPr>
      </w:pPr>
      <w:r>
        <w:rPr>
          <w:rFonts w:hint="eastAsia" w:ascii="宋体" w:hAnsi="宋体" w:cs="宋体"/>
          <w:szCs w:val="20"/>
        </w:rPr>
        <w:t>2、系统功能</w:t>
      </w:r>
    </w:p>
    <w:p>
      <w:pPr>
        <w:rPr>
          <w:rFonts w:ascii="宋体" w:hAnsi="宋体" w:cs="宋体"/>
        </w:rPr>
      </w:pPr>
      <w:r>
        <w:rPr>
          <w:rFonts w:hint="eastAsia" w:ascii="宋体" w:hAnsi="宋体" w:cs="宋体"/>
          <w:szCs w:val="20"/>
        </w:rPr>
        <w:t>1）机构岗位显示</w:t>
      </w:r>
    </w:p>
    <w:p>
      <w:pPr>
        <w:rPr>
          <w:rFonts w:ascii="宋体" w:hAnsi="宋体" w:cs="宋体"/>
        </w:rPr>
      </w:pPr>
      <w:r>
        <w:rPr>
          <w:rFonts w:hint="eastAsia" w:ascii="宋体" w:hAnsi="宋体" w:cs="宋体"/>
          <w:szCs w:val="20"/>
        </w:rPr>
        <w:t>显示机构下所有的岗位信息。</w:t>
      </w:r>
    </w:p>
    <w:p>
      <w:pPr>
        <w:rPr>
          <w:rFonts w:ascii="宋体" w:hAnsi="宋体" w:cs="宋体"/>
        </w:rPr>
      </w:pPr>
      <w:r>
        <w:rPr>
          <w:rFonts w:hint="eastAsia" w:ascii="宋体" w:hAnsi="宋体" w:cs="宋体"/>
          <w:szCs w:val="20"/>
        </w:rPr>
        <w:t>2）岗位维护，机构岗位维护，机构岗位人员维护</w:t>
      </w:r>
    </w:p>
    <w:p>
      <w:pPr>
        <w:rPr>
          <w:rFonts w:ascii="宋体" w:hAnsi="宋体" w:cs="宋体"/>
        </w:rPr>
      </w:pPr>
      <w:r>
        <w:rPr>
          <w:rFonts w:hint="eastAsia" w:ascii="宋体" w:hAnsi="宋体" w:cs="宋体"/>
          <w:szCs w:val="20"/>
        </w:rPr>
        <w:t>可对显示的岗位进行系统功能授权、对机构授权可使用岗位、维护机构</w:t>
      </w:r>
      <w:r>
        <w:rPr>
          <w:rFonts w:hint="eastAsia" w:ascii="宋体" w:hAnsi="宋体" w:cs="宋体"/>
          <w:szCs w:val="20"/>
        </w:rPr>
        <w:tab/>
      </w:r>
      <w:r>
        <w:rPr>
          <w:rFonts w:hint="eastAsia" w:ascii="宋体" w:hAnsi="宋体" w:cs="宋体"/>
          <w:szCs w:val="20"/>
        </w:rPr>
        <w:t>岗位与税务人员的对应关系。</w:t>
      </w:r>
    </w:p>
    <w:p>
      <w:pPr>
        <w:rPr>
          <w:rFonts w:ascii="宋体" w:hAnsi="宋体" w:cs="宋体"/>
        </w:rPr>
      </w:pPr>
      <w:r>
        <w:rPr>
          <w:rFonts w:hint="eastAsia" w:ascii="宋体" w:hAnsi="宋体" w:cs="宋体"/>
          <w:szCs w:val="20"/>
        </w:rPr>
        <w:t>3）岗位数据与金三数据同步</w:t>
      </w:r>
    </w:p>
    <w:p>
      <w:pPr>
        <w:rPr>
          <w:rFonts w:ascii="宋体" w:hAnsi="宋体" w:cs="宋体"/>
        </w:rPr>
      </w:pPr>
      <w:r>
        <w:rPr>
          <w:rFonts w:hint="eastAsia" w:ascii="宋体" w:hAnsi="宋体" w:cs="宋体"/>
          <w:szCs w:val="20"/>
        </w:rPr>
        <w:t>维护后的岗位信息，与金三系统进行同步。</w:t>
      </w:r>
    </w:p>
    <w:p>
      <w:pPr>
        <w:rPr>
          <w:rFonts w:ascii="宋体" w:hAnsi="宋体" w:cs="宋体"/>
        </w:rPr>
      </w:pPr>
      <w:r>
        <w:rPr>
          <w:rFonts w:hint="eastAsia" w:ascii="宋体" w:hAnsi="宋体" w:cs="宋体"/>
          <w:szCs w:val="20"/>
        </w:rPr>
        <w:t>3、关联业务</w:t>
      </w:r>
    </w:p>
    <w:p>
      <w:pPr>
        <w:rPr>
          <w:rFonts w:ascii="宋体" w:hAnsi="宋体" w:cs="宋体"/>
        </w:rPr>
      </w:pPr>
      <w:r>
        <w:rPr>
          <w:rFonts w:hint="eastAsia" w:ascii="宋体" w:hAnsi="宋体" w:cs="宋体"/>
          <w:szCs w:val="20"/>
        </w:rPr>
        <w:t>无。</w:t>
      </w:r>
    </w:p>
    <w:p>
      <w:pPr>
        <w:keepNext/>
        <w:keepLines/>
        <w:widowControl w:val="0"/>
        <w:numPr>
          <w:ilvl w:val="1"/>
          <w:numId w:val="2"/>
        </w:numPr>
        <w:spacing w:before="260" w:after="260" w:line="416" w:lineRule="auto"/>
        <w:ind w:left="992" w:hanging="567"/>
        <w:jc w:val="both"/>
        <w:outlineLvl w:val="1"/>
        <w:rPr>
          <w:rFonts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机关配置功能</w:t>
      </w:r>
    </w:p>
    <w:p>
      <w:pPr>
        <w:rPr>
          <w:rFonts w:ascii="宋体" w:hAnsi="宋体" w:cs="宋体"/>
        </w:rPr>
      </w:pPr>
      <w:r>
        <w:rPr>
          <w:rFonts w:hint="eastAsia" w:ascii="宋体" w:hAnsi="宋体" w:cs="宋体"/>
          <w:szCs w:val="20"/>
        </w:rPr>
        <w:t>1、业务概述</w:t>
      </w:r>
    </w:p>
    <w:p>
      <w:pPr>
        <w:rPr>
          <w:rFonts w:ascii="宋体" w:hAnsi="宋体" w:cs="宋体"/>
        </w:rPr>
      </w:pPr>
      <w:r>
        <w:rPr>
          <w:rFonts w:hint="eastAsia" w:ascii="宋体" w:hAnsi="宋体" w:cs="宋体"/>
          <w:szCs w:val="20"/>
        </w:rPr>
        <w:t>本功能用于系统对机关的功能权限配置包括，职能树维护，机构岗位职能树维护，机构岗位规则维护。</w:t>
      </w:r>
    </w:p>
    <w:p>
      <w:pPr>
        <w:rPr>
          <w:rFonts w:ascii="宋体" w:hAnsi="宋体" w:cs="宋体"/>
        </w:rPr>
      </w:pPr>
      <w:r>
        <w:rPr>
          <w:rFonts w:hint="eastAsia" w:ascii="宋体" w:hAnsi="宋体" w:cs="宋体"/>
          <w:szCs w:val="20"/>
        </w:rPr>
        <w:t>2、系统功能</w:t>
      </w:r>
    </w:p>
    <w:p>
      <w:pPr>
        <w:rPr>
          <w:rFonts w:ascii="宋体" w:hAnsi="宋体" w:cs="宋体"/>
        </w:rPr>
      </w:pPr>
      <w:r>
        <w:rPr>
          <w:rFonts w:hint="eastAsia" w:ascii="宋体" w:hAnsi="宋体" w:cs="宋体"/>
          <w:szCs w:val="20"/>
        </w:rPr>
        <w:t>1）职能树维护，机构岗位职能树维护，机构岗位规则维护</w:t>
      </w:r>
    </w:p>
    <w:p>
      <w:pPr>
        <w:rPr>
          <w:rFonts w:ascii="宋体" w:hAnsi="宋体" w:cs="宋体"/>
        </w:rPr>
      </w:pPr>
      <w:r>
        <w:rPr>
          <w:rFonts w:hint="eastAsia" w:ascii="宋体" w:hAnsi="宋体" w:cs="宋体"/>
          <w:szCs w:val="20"/>
        </w:rPr>
        <w:t>维护机关的职能树结构、机构岗位职能权限维护与机构岗位规则维护。</w:t>
      </w:r>
    </w:p>
    <w:p>
      <w:pPr>
        <w:rPr>
          <w:rFonts w:ascii="宋体" w:hAnsi="宋体" w:cs="宋体"/>
        </w:rPr>
      </w:pPr>
      <w:r>
        <w:rPr>
          <w:rFonts w:hint="eastAsia" w:ascii="宋体" w:hAnsi="宋体" w:cs="宋体"/>
          <w:szCs w:val="20"/>
        </w:rPr>
        <w:t>2）岗位数据与金三数据同步</w:t>
      </w:r>
    </w:p>
    <w:p>
      <w:pPr>
        <w:rPr>
          <w:rFonts w:ascii="宋体" w:hAnsi="宋体" w:cs="宋体"/>
        </w:rPr>
      </w:pPr>
      <w:r>
        <w:rPr>
          <w:rFonts w:hint="eastAsia" w:ascii="宋体" w:hAnsi="宋体" w:cs="宋体"/>
          <w:szCs w:val="20"/>
        </w:rPr>
        <w:t>维护后的岗位信息，与金三系统进行同步。</w:t>
      </w:r>
    </w:p>
    <w:p>
      <w:pPr>
        <w:rPr>
          <w:rFonts w:ascii="宋体" w:hAnsi="宋体" w:cs="宋体"/>
        </w:rPr>
      </w:pPr>
      <w:r>
        <w:rPr>
          <w:rFonts w:hint="eastAsia" w:ascii="宋体" w:hAnsi="宋体" w:cs="宋体"/>
          <w:szCs w:val="20"/>
        </w:rPr>
        <w:t>3、关联业务</w:t>
      </w:r>
    </w:p>
    <w:p>
      <w:pPr>
        <w:rPr>
          <w:rFonts w:ascii="宋体" w:hAnsi="宋体" w:cs="宋体"/>
        </w:rPr>
      </w:pPr>
      <w:r>
        <w:rPr>
          <w:rFonts w:hint="eastAsia" w:ascii="宋体" w:hAnsi="宋体" w:cs="宋体"/>
          <w:szCs w:val="20"/>
        </w:rPr>
        <w:t>无。</w:t>
      </w:r>
    </w:p>
    <w:p>
      <w:pPr>
        <w:rPr>
          <w:rFonts w:ascii="Times New Roman" w:hAnsi="Times New Roman" w:cs="Times New Roman"/>
        </w:rPr>
      </w:pPr>
    </w:p>
    <w:p>
      <w:pPr>
        <w:keepNext/>
        <w:keepLines/>
        <w:widowControl w:val="0"/>
        <w:numPr>
          <w:ilvl w:val="0"/>
          <w:numId w:val="1"/>
        </w:numPr>
        <w:spacing w:before="260" w:after="260" w:line="413" w:lineRule="auto"/>
        <w:ind w:left="750" w:hanging="750"/>
        <w:jc w:val="both"/>
        <w:outlineLvl w:val="1"/>
        <w:rPr>
          <w:rFonts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硬件</w:t>
      </w:r>
      <w:r>
        <w:rPr>
          <w:rFonts w:ascii="宋体" w:hAnsi="宋体" w:eastAsia="宋体" w:cs="宋体"/>
          <w:b/>
          <w:bCs/>
          <w:kern w:val="2"/>
          <w:sz w:val="36"/>
          <w:szCs w:val="36"/>
          <w:lang w:val="en-US" w:eastAsia="zh-CN" w:bidi="ar-SA"/>
        </w:rPr>
        <w:t>部分需求</w:t>
      </w:r>
    </w:p>
    <w:p>
      <w:pPr>
        <w:widowControl w:val="0"/>
        <w:ind w:left="420" w:firstLine="0" w:firstLineChars="0"/>
        <w:jc w:val="both"/>
        <w:rPr>
          <w:rFonts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本项目硬件及软件部分数量如下：</w:t>
      </w:r>
    </w:p>
    <w:p>
      <w:pPr>
        <w:widowControl w:val="0"/>
        <w:ind w:left="420" w:firstLine="0" w:firstLineChars="0"/>
        <w:jc w:val="both"/>
        <w:rPr>
          <w:rFonts w:ascii="宋体" w:hAnsi="宋体" w:eastAsia="宋体" w:cs="Times New Roman"/>
          <w:kern w:val="2"/>
          <w:sz w:val="21"/>
          <w:szCs w:val="22"/>
          <w:lang w:val="en-US" w:eastAsia="zh-CN" w:bidi="ar-SA"/>
        </w:rPr>
      </w:pPr>
      <w:r>
        <w:rPr>
          <w:rFonts w:hint="eastAsia" w:ascii="宋体" w:hAnsi="宋体" w:eastAsia="宋体" w:cs="Times New Roman"/>
          <w:kern w:val="2"/>
          <w:sz w:val="21"/>
          <w:szCs w:val="22"/>
          <w:lang w:val="en-US" w:eastAsia="zh-CN" w:bidi="ar-SA"/>
        </w:rPr>
        <w:t>2台微信应用服务器、4台中继应用服务器、2台前置数据库服务器、2台外网ESB服务器、1台电子档案文件存储服务器、2台税务端应用服务器、2台税务端数据库服务器、2台内网ESB服务器、2套税控开票服务器、2套金税盘（服务器版）、2套报税盘、1套数据库、1套中间件。详细的参数如下表：</w:t>
      </w:r>
    </w:p>
    <w:p>
      <w:pPr>
        <w:widowControl w:val="0"/>
        <w:ind w:left="420" w:firstLine="0" w:firstLineChars="0"/>
        <w:contextualSpacing/>
        <w:jc w:val="both"/>
        <w:rPr>
          <w:rFonts w:ascii="Times New Roman" w:hAnsi="Times New Roman" w:eastAsia="仿宋" w:cs="Times New Roman"/>
          <w:kern w:val="2"/>
          <w:sz w:val="21"/>
          <w:szCs w:val="21"/>
          <w:lang w:val="en-US" w:eastAsia="zh-CN" w:bidi="ar-SA"/>
        </w:rPr>
      </w:pPr>
    </w:p>
    <w:tbl>
      <w:tblPr>
        <w:tblStyle w:val="7"/>
        <w:tblW w:w="9102" w:type="dxa"/>
        <w:tblInd w:w="93" w:type="dxa"/>
        <w:tblLayout w:type="fixed"/>
        <w:tblCellMar>
          <w:top w:w="15" w:type="dxa"/>
          <w:left w:w="15" w:type="dxa"/>
          <w:bottom w:w="15" w:type="dxa"/>
          <w:right w:w="15" w:type="dxa"/>
        </w:tblCellMar>
      </w:tblPr>
      <w:tblGrid>
        <w:gridCol w:w="526"/>
        <w:gridCol w:w="910"/>
        <w:gridCol w:w="1404"/>
        <w:gridCol w:w="6262"/>
      </w:tblGrid>
      <w:tr>
        <w:tblPrEx>
          <w:tblCellMar>
            <w:top w:w="15" w:type="dxa"/>
            <w:left w:w="15" w:type="dxa"/>
            <w:bottom w:w="15" w:type="dxa"/>
            <w:right w:w="15" w:type="dxa"/>
          </w:tblCellMar>
        </w:tblPrEx>
        <w:trPr>
          <w:trHeight w:val="900" w:hRule="atLeast"/>
        </w:trPr>
        <w:tc>
          <w:tcPr>
            <w:tcW w:w="9102"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sz w:val="28"/>
                <w:szCs w:val="28"/>
              </w:rPr>
            </w:pPr>
            <w:r>
              <w:rPr>
                <w:rFonts w:hint="eastAsia" w:ascii="宋体" w:hAnsi="宋体" w:cs="Times New Roman"/>
                <w:kern w:val="0"/>
              </w:rPr>
              <w:t>注明：投标文件需逐条响应是否满足，标有★的指标为关键性指标项，必须满足指标，如不满足招标要求，将视为无效投标处理；标有▲的指标为重要指标项, 不满足将导致技术评分中加重扣分。</w:t>
            </w:r>
          </w:p>
        </w:tc>
      </w:tr>
      <w:tr>
        <w:tblPrEx>
          <w:tblCellMar>
            <w:top w:w="15" w:type="dxa"/>
            <w:left w:w="15" w:type="dxa"/>
            <w:bottom w:w="15" w:type="dxa"/>
            <w:right w:w="15" w:type="dxa"/>
          </w:tblCellMar>
        </w:tblPrEx>
        <w:trPr>
          <w:trHeight w:val="330" w:hRule="atLeast"/>
        </w:trPr>
        <w:tc>
          <w:tcPr>
            <w:tcW w:w="526" w:type="dxa"/>
            <w:tcBorders>
              <w:top w:val="single" w:color="000000" w:sz="4" w:space="0"/>
              <w:left w:val="single" w:color="000000" w:sz="4" w:space="0"/>
              <w:bottom w:val="single" w:color="000000" w:sz="4" w:space="0"/>
              <w:right w:val="single" w:color="000000" w:sz="4" w:space="0"/>
            </w:tcBorders>
            <w:shd w:val="clear" w:color="auto" w:fill="BFBFBF"/>
            <w:vAlign w:val="center"/>
          </w:tcPr>
          <w:p>
            <w:pPr>
              <w:widowControl/>
              <w:ind w:firstLine="482"/>
              <w:jc w:val="center"/>
              <w:rPr>
                <w:rFonts w:ascii="宋体" w:hAnsi="宋体" w:cs="Times New Roman"/>
                <w:b/>
                <w:bCs/>
                <w:kern w:val="0"/>
              </w:rPr>
            </w:pPr>
            <w:r>
              <w:rPr>
                <w:rFonts w:hint="eastAsia" w:ascii="宋体" w:hAnsi="宋体" w:cs="Times New Roman"/>
                <w:b/>
                <w:bCs/>
                <w:kern w:val="0"/>
              </w:rPr>
              <w:t>序号</w:t>
            </w:r>
          </w:p>
        </w:tc>
        <w:tc>
          <w:tcPr>
            <w:tcW w:w="910" w:type="dxa"/>
            <w:tcBorders>
              <w:top w:val="single" w:color="000000" w:sz="4" w:space="0"/>
              <w:left w:val="nil"/>
              <w:bottom w:val="single" w:color="000000" w:sz="4" w:space="0"/>
              <w:right w:val="single" w:color="000000" w:sz="4" w:space="0"/>
            </w:tcBorders>
            <w:shd w:val="clear" w:color="auto" w:fill="BFBFBF"/>
            <w:vAlign w:val="center"/>
          </w:tcPr>
          <w:p>
            <w:pPr>
              <w:widowControl/>
              <w:ind w:firstLine="482"/>
              <w:jc w:val="center"/>
              <w:rPr>
                <w:rFonts w:ascii="宋体" w:hAnsi="宋体" w:cs="Times New Roman"/>
                <w:b/>
                <w:bCs/>
                <w:kern w:val="0"/>
              </w:rPr>
            </w:pPr>
            <w:r>
              <w:rPr>
                <w:rFonts w:hint="eastAsia" w:ascii="宋体" w:hAnsi="宋体" w:cs="Times New Roman"/>
                <w:b/>
                <w:bCs/>
                <w:kern w:val="0"/>
              </w:rPr>
              <w:t>设备名称</w:t>
            </w:r>
          </w:p>
        </w:tc>
        <w:tc>
          <w:tcPr>
            <w:tcW w:w="1404" w:type="dxa"/>
            <w:tcBorders>
              <w:top w:val="single" w:color="000000" w:sz="4" w:space="0"/>
              <w:left w:val="nil"/>
              <w:bottom w:val="single" w:color="000000" w:sz="4" w:space="0"/>
              <w:right w:val="single" w:color="000000" w:sz="4" w:space="0"/>
            </w:tcBorders>
            <w:shd w:val="clear" w:color="auto" w:fill="BFBFBF"/>
            <w:vAlign w:val="center"/>
          </w:tcPr>
          <w:p>
            <w:pPr>
              <w:widowControl/>
              <w:ind w:firstLine="482"/>
              <w:jc w:val="center"/>
              <w:rPr>
                <w:rFonts w:ascii="宋体" w:hAnsi="宋体" w:cs="Times New Roman"/>
                <w:b/>
                <w:bCs/>
                <w:kern w:val="0"/>
              </w:rPr>
            </w:pPr>
            <w:r>
              <w:rPr>
                <w:rFonts w:hint="eastAsia" w:ascii="宋体" w:hAnsi="宋体" w:cs="Times New Roman"/>
                <w:b/>
                <w:bCs/>
                <w:kern w:val="0"/>
              </w:rPr>
              <w:t>技术指标</w:t>
            </w:r>
          </w:p>
        </w:tc>
        <w:tc>
          <w:tcPr>
            <w:tcW w:w="6262" w:type="dxa"/>
            <w:tcBorders>
              <w:top w:val="single" w:color="000000" w:sz="4" w:space="0"/>
              <w:left w:val="nil"/>
              <w:bottom w:val="single" w:color="000000" w:sz="4" w:space="0"/>
              <w:right w:val="single" w:color="000000" w:sz="4" w:space="0"/>
            </w:tcBorders>
            <w:shd w:val="clear" w:color="auto" w:fill="BFBFBF"/>
            <w:vAlign w:val="center"/>
          </w:tcPr>
          <w:p>
            <w:pPr>
              <w:widowControl/>
              <w:ind w:firstLine="482"/>
              <w:jc w:val="center"/>
              <w:rPr>
                <w:rFonts w:ascii="宋体" w:hAnsi="宋体" w:cs="Times New Roman"/>
                <w:b/>
                <w:bCs/>
                <w:kern w:val="0"/>
              </w:rPr>
            </w:pPr>
            <w:r>
              <w:rPr>
                <w:rFonts w:hint="eastAsia" w:ascii="宋体" w:hAnsi="宋体" w:cs="Times New Roman"/>
                <w:b/>
                <w:bCs/>
                <w:kern w:val="0"/>
              </w:rPr>
              <w:t>招标参数</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1</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微信应用服务器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配置32GB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 xml:space="preserve">提供安全防护软件，该软件与服务器同一品牌，且具有如下功能：  </w:t>
            </w:r>
            <w:r>
              <w:rPr>
                <w:rFonts w:hint="eastAsia" w:ascii="宋体" w:hAnsi="宋体" w:cs="Times New Roman"/>
                <w:kern w:val="0"/>
              </w:rPr>
              <w:br w:type="textWrapping"/>
            </w:r>
            <w:r>
              <w:rPr>
                <w:rFonts w:hint="eastAsia" w:ascii="宋体" w:hAnsi="宋体" w:cs="Times New Roman"/>
                <w:kern w:val="0"/>
              </w:rPr>
              <w:t xml:space="preserve">1) 服务器优化功能，提升服务器主机系统安全；                                                                                                       </w:t>
            </w:r>
            <w:r>
              <w:rPr>
                <w:rFonts w:hint="eastAsia" w:ascii="宋体" w:hAnsi="宋体" w:cs="Times New Roman"/>
                <w:kern w:val="0"/>
              </w:rPr>
              <w:br w:type="textWrapping"/>
            </w:r>
            <w:r>
              <w:rPr>
                <w:rFonts w:hint="eastAsia" w:ascii="宋体" w:hAnsi="宋体" w:cs="Times New Roman"/>
                <w:kern w:val="0"/>
              </w:rPr>
              <w:t>2) 网络防火墙功能，三层防护层层过滤，为服务器网络安全保驾护航；</w:t>
            </w:r>
            <w:r>
              <w:rPr>
                <w:rFonts w:hint="eastAsia" w:ascii="宋体" w:hAnsi="宋体" w:cs="Times New Roman"/>
                <w:kern w:val="0"/>
              </w:rPr>
              <w:br w:type="textWrapping"/>
            </w:r>
            <w:r>
              <w:rPr>
                <w:rFonts w:hint="eastAsia" w:ascii="宋体" w:hAnsi="宋体" w:cs="Times New Roman"/>
                <w:kern w:val="0"/>
              </w:rPr>
              <w:t>3) 数据保护功能，防止数据恶意窃取及篡改；</w:t>
            </w:r>
            <w:r>
              <w:rPr>
                <w:rFonts w:hint="eastAsia" w:ascii="宋体" w:hAnsi="宋体" w:cs="Times New Roman"/>
                <w:kern w:val="0"/>
              </w:rPr>
              <w:br w:type="textWrapping"/>
            </w:r>
            <w:r>
              <w:rPr>
                <w:rFonts w:hint="eastAsia" w:ascii="宋体" w:hAnsi="宋体" w:cs="Times New Roman"/>
                <w:kern w:val="0"/>
              </w:rPr>
              <w:t>4) 日志审计功能，防护日志记录服务器被攻击情况；</w:t>
            </w:r>
            <w:r>
              <w:rPr>
                <w:rFonts w:hint="eastAsia" w:ascii="宋体" w:hAnsi="宋体" w:cs="Times New Roman"/>
                <w:kern w:val="0"/>
              </w:rPr>
              <w:br w:type="textWrapping"/>
            </w:r>
            <w:r>
              <w:rPr>
                <w:rFonts w:hint="eastAsia" w:ascii="宋体" w:hAnsi="宋体" w:cs="Times New Roman"/>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设备厂商提供免费现场安装调试服务，提供三年保修，三年免费上门服务，7X24技术支持，提供设备厂商针对本项目的售后服务承诺函（加盖制造厂商公章）</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2</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中继应用服务器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 xml:space="preserve">提供安全防护软件，该软件与服务器同一品牌，且具有如下功能：  </w:t>
            </w:r>
            <w:r>
              <w:rPr>
                <w:rFonts w:hint="eastAsia" w:ascii="宋体" w:hAnsi="宋体" w:cs="Times New Roman"/>
                <w:kern w:val="0"/>
              </w:rPr>
              <w:br w:type="textWrapping"/>
            </w:r>
            <w:r>
              <w:rPr>
                <w:rFonts w:hint="eastAsia" w:ascii="宋体" w:hAnsi="宋体" w:cs="Times New Roman"/>
                <w:kern w:val="0"/>
              </w:rPr>
              <w:t xml:space="preserve">1) 服务器优化功能，提升服务器主机系统安全；                                                                                                       </w:t>
            </w:r>
            <w:r>
              <w:rPr>
                <w:rFonts w:hint="eastAsia" w:ascii="宋体" w:hAnsi="宋体" w:cs="Times New Roman"/>
                <w:kern w:val="0"/>
              </w:rPr>
              <w:br w:type="textWrapping"/>
            </w:r>
            <w:r>
              <w:rPr>
                <w:rFonts w:hint="eastAsia" w:ascii="宋体" w:hAnsi="宋体" w:cs="Times New Roman"/>
                <w:kern w:val="0"/>
              </w:rPr>
              <w:t>2) 网络防火墙功能，三层防护层层过滤，为服务器网络安全保驾护航；</w:t>
            </w:r>
            <w:r>
              <w:rPr>
                <w:rFonts w:hint="eastAsia" w:ascii="宋体" w:hAnsi="宋体" w:cs="Times New Roman"/>
                <w:kern w:val="0"/>
              </w:rPr>
              <w:br w:type="textWrapping"/>
            </w:r>
            <w:r>
              <w:rPr>
                <w:rFonts w:hint="eastAsia" w:ascii="宋体" w:hAnsi="宋体" w:cs="Times New Roman"/>
                <w:kern w:val="0"/>
              </w:rPr>
              <w:t>3) 数据保护功能，防止数据恶意窃取及篡改；</w:t>
            </w:r>
            <w:r>
              <w:rPr>
                <w:rFonts w:hint="eastAsia" w:ascii="宋体" w:hAnsi="宋体" w:cs="Times New Roman"/>
                <w:kern w:val="0"/>
              </w:rPr>
              <w:br w:type="textWrapping"/>
            </w:r>
            <w:r>
              <w:rPr>
                <w:rFonts w:hint="eastAsia" w:ascii="宋体" w:hAnsi="宋体" w:cs="Times New Roman"/>
                <w:kern w:val="0"/>
              </w:rPr>
              <w:t>4) 日志审计功能，防护日志记录服务器被攻击情况；</w:t>
            </w:r>
            <w:r>
              <w:rPr>
                <w:rFonts w:hint="eastAsia" w:ascii="宋体" w:hAnsi="宋体" w:cs="Times New Roman"/>
                <w:kern w:val="0"/>
              </w:rPr>
              <w:br w:type="textWrapping"/>
            </w:r>
            <w:r>
              <w:rPr>
                <w:rFonts w:hint="eastAsia" w:ascii="宋体" w:hAnsi="宋体" w:cs="Times New Roman"/>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设备厂商提供免费现场安装调试服务，提供三年保修，三年免费上门服务，7X24技术支持，提供设备厂商针对本项目的售后服务承诺函（加盖制造厂商公章）</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3</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前置数据库服务器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24个内存插槽，最大可支持≥3TB内存容量，支持内存ECC保护、内存镜像、内存热备，支持NVDIMM和NVDIMM-N内存可实现意外断电时内存数据不丢失，最大可支持12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配置2块600GB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最大支持≥24个外置热插拔硬盘，可支持SAS、SATA、SSD硬盘混插，可选支持8个NVMe U.2 SSD，可选支持2个M.2 SSD，可支持硬RAID1，可选支持≥4个后置热插拔2.5寸硬盘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标配≥2个PCI-E3.0扩展插槽，最大支持≥10个PCI-E 3.0插槽，其中最大支持5个全高PCI-E插槽，3个半高PCI-E插槽，2个内置专用插槽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HBA卡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配置1块16Gb 双口HBA卡（含2个SFP多模模块，配2条3米多模光纤线缆）</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▲硬件监控屏</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可选双按键监控屏，可以显示服务器信息，CPU温度、风扇转速、当前使用功率等状态，管理接口 IP 地址，监控服务器工作状态，显示硬件故障报警，快速定位故障部件，迅速排查故障，降低宕机损失</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服务器导航软件</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集成磁盘擦除、本地和远程备份还原、Raid配置、虚拟磁盘管理、无人值守安装操作系统、智能驱动安装等功能；并提供原厂商计算机软件著作权登记证书，提供复印件并加盖原厂投标专用章</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安全模块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可同时支持TCM和TPM安全模块</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通过SUSE、Windows 、Vmware、Rehat、Oracle Linux、中标麒麟等主流OS厂商的兼容性测试并提供相关官网链接及截图证明（加盖服务器设备厂商公章）；</w:t>
            </w:r>
            <w:r>
              <w:rPr>
                <w:rFonts w:hint="eastAsia" w:ascii="宋体" w:hAnsi="宋体" w:cs="Times New Roman"/>
                <w:kern w:val="0"/>
              </w:rPr>
              <w:br w:type="textWrapping"/>
            </w:r>
            <w:r>
              <w:rPr>
                <w:rFonts w:hint="eastAsia" w:ascii="宋体" w:hAnsi="宋体" w:cs="Times New Roman"/>
                <w:kern w:val="0"/>
              </w:rPr>
              <w:t>通过VMware vSphere&amp;VSAN认证，提供VMware官网认证链接及截图证明（加盖服务器设备厂商公章）；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▲产品性能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通过TPC Benchmark Express-BigBench(TPCx-BB) 大数据测试，测试性能≥3000 BBQpm@30000，价格性能比≥300 $/BBQpm@30000；提供TPC官网链接及截图证明（加盖服务器制造厂商公章）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▲可靠性测试报告</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提供CMA及CNAS认证的国家第三方检验中心出具的GB/T 9813环境适用性（可靠性）测试报告；提供CNAS认证的第三方检测机构出具的可靠性鉴定试验测试报告，符合GJB899A-2009要求的可靠性鉴定和验收试验，提供以上测试报告复印件（加盖服务器制造厂商公章）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 xml:space="preserve">提供安全防护软件，该软件与服务器同一品牌，且具有如下功能：  </w:t>
            </w:r>
            <w:r>
              <w:rPr>
                <w:rFonts w:hint="eastAsia" w:ascii="宋体" w:hAnsi="宋体" w:cs="Times New Roman"/>
                <w:kern w:val="0"/>
              </w:rPr>
              <w:br w:type="textWrapping"/>
            </w:r>
            <w:r>
              <w:rPr>
                <w:rFonts w:hint="eastAsia" w:ascii="宋体" w:hAnsi="宋体" w:cs="Times New Roman"/>
                <w:kern w:val="0"/>
              </w:rPr>
              <w:t xml:space="preserve">1) 服务器优化功能，提升服务器主机系统安全；                                                                                                       </w:t>
            </w:r>
            <w:r>
              <w:rPr>
                <w:rFonts w:hint="eastAsia" w:ascii="宋体" w:hAnsi="宋体" w:cs="Times New Roman"/>
                <w:kern w:val="0"/>
              </w:rPr>
              <w:br w:type="textWrapping"/>
            </w:r>
            <w:r>
              <w:rPr>
                <w:rFonts w:hint="eastAsia" w:ascii="宋体" w:hAnsi="宋体" w:cs="Times New Roman"/>
                <w:kern w:val="0"/>
              </w:rPr>
              <w:t>2) 网络防火墙功能，三层防护层层过滤，为服务器网络安全保驾护航；</w:t>
            </w:r>
            <w:r>
              <w:rPr>
                <w:rFonts w:hint="eastAsia" w:ascii="宋体" w:hAnsi="宋体" w:cs="Times New Roman"/>
                <w:kern w:val="0"/>
              </w:rPr>
              <w:br w:type="textWrapping"/>
            </w:r>
            <w:r>
              <w:rPr>
                <w:rFonts w:hint="eastAsia" w:ascii="宋体" w:hAnsi="宋体" w:cs="Times New Roman"/>
                <w:kern w:val="0"/>
              </w:rPr>
              <w:t>3) 数据保护功能，防止数据恶意窃取及篡改；</w:t>
            </w:r>
            <w:r>
              <w:rPr>
                <w:rFonts w:hint="eastAsia" w:ascii="宋体" w:hAnsi="宋体" w:cs="Times New Roman"/>
                <w:kern w:val="0"/>
              </w:rPr>
              <w:br w:type="textWrapping"/>
            </w:r>
            <w:r>
              <w:rPr>
                <w:rFonts w:hint="eastAsia" w:ascii="宋体" w:hAnsi="宋体" w:cs="Times New Roman"/>
                <w:kern w:val="0"/>
              </w:rPr>
              <w:t>4) 日志审计功能，防护日志记录服务器被攻击情况；</w:t>
            </w:r>
            <w:r>
              <w:rPr>
                <w:rFonts w:hint="eastAsia" w:ascii="宋体" w:hAnsi="宋体" w:cs="Times New Roman"/>
                <w:kern w:val="0"/>
              </w:rPr>
              <w:br w:type="textWrapping"/>
            </w:r>
            <w:r>
              <w:rPr>
                <w:rFonts w:hint="eastAsia" w:ascii="宋体" w:hAnsi="宋体" w:cs="Times New Roman"/>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设备厂商提供免费现场安装调试服务，提供三年保修，三年免费上门服务，7X24技术支持，提供设备厂商针对本项目的售后服务承诺函（加盖制造厂商公章）</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4</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外网ESB服务器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 xml:space="preserve">提供安全防护软件，该软件与服务器同一品牌，且具有如下功能：  </w:t>
            </w:r>
            <w:r>
              <w:rPr>
                <w:rFonts w:hint="eastAsia" w:ascii="宋体" w:hAnsi="宋体" w:cs="Times New Roman"/>
                <w:kern w:val="0"/>
              </w:rPr>
              <w:br w:type="textWrapping"/>
            </w:r>
            <w:r>
              <w:rPr>
                <w:rFonts w:hint="eastAsia" w:ascii="宋体" w:hAnsi="宋体" w:cs="Times New Roman"/>
                <w:kern w:val="0"/>
              </w:rPr>
              <w:t xml:space="preserve">1) 服务器优化功能，提升服务器主机系统安全；                                                                                                       </w:t>
            </w:r>
            <w:r>
              <w:rPr>
                <w:rFonts w:hint="eastAsia" w:ascii="宋体" w:hAnsi="宋体" w:cs="Times New Roman"/>
                <w:kern w:val="0"/>
              </w:rPr>
              <w:br w:type="textWrapping"/>
            </w:r>
            <w:r>
              <w:rPr>
                <w:rFonts w:hint="eastAsia" w:ascii="宋体" w:hAnsi="宋体" w:cs="Times New Roman"/>
                <w:kern w:val="0"/>
              </w:rPr>
              <w:t>2) 网络防火墙功能，三层防护层层过滤，为服务器网络安全保驾护航；</w:t>
            </w:r>
            <w:r>
              <w:rPr>
                <w:rFonts w:hint="eastAsia" w:ascii="宋体" w:hAnsi="宋体" w:cs="Times New Roman"/>
                <w:kern w:val="0"/>
              </w:rPr>
              <w:br w:type="textWrapping"/>
            </w:r>
            <w:r>
              <w:rPr>
                <w:rFonts w:hint="eastAsia" w:ascii="宋体" w:hAnsi="宋体" w:cs="Times New Roman"/>
                <w:kern w:val="0"/>
              </w:rPr>
              <w:t>3) 数据保护功能，防止数据恶意窃取及篡改；</w:t>
            </w:r>
            <w:r>
              <w:rPr>
                <w:rFonts w:hint="eastAsia" w:ascii="宋体" w:hAnsi="宋体" w:cs="Times New Roman"/>
                <w:kern w:val="0"/>
              </w:rPr>
              <w:br w:type="textWrapping"/>
            </w:r>
            <w:r>
              <w:rPr>
                <w:rFonts w:hint="eastAsia" w:ascii="宋体" w:hAnsi="宋体" w:cs="Times New Roman"/>
                <w:kern w:val="0"/>
              </w:rPr>
              <w:t>4) 日志审计功能，防护日志记录服务器被攻击情况；</w:t>
            </w:r>
            <w:r>
              <w:rPr>
                <w:rFonts w:hint="eastAsia" w:ascii="宋体" w:hAnsi="宋体" w:cs="Times New Roman"/>
                <w:kern w:val="0"/>
              </w:rPr>
              <w:br w:type="textWrapping"/>
            </w:r>
            <w:r>
              <w:rPr>
                <w:rFonts w:hint="eastAsia" w:ascii="宋体" w:hAnsi="宋体" w:cs="Times New Roman"/>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设备厂商提供免费现场安装调试服务，提供三年保修，三年免费上门服务，7X24技术支持，提供设备厂商针对本项目的售后服务承诺函（加盖制造厂商公章原件）</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5</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电子档案文件存储服务器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配置1颗Intel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配置16GB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配置3块1TB 3.5寸 7.2Krpm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标配≥1个PCI-E3.0扩展插槽，最大可扩展支持≥6个PCI-E3.0扩展插槽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 xml:space="preserve">提供安全防护软件，该软件与服务器同一品牌，且具有如下功能：  </w:t>
            </w:r>
            <w:r>
              <w:rPr>
                <w:rFonts w:hint="eastAsia" w:ascii="宋体" w:hAnsi="宋体" w:cs="Times New Roman"/>
                <w:kern w:val="0"/>
              </w:rPr>
              <w:br w:type="textWrapping"/>
            </w:r>
            <w:r>
              <w:rPr>
                <w:rFonts w:hint="eastAsia" w:ascii="宋体" w:hAnsi="宋体" w:cs="Times New Roman"/>
                <w:kern w:val="0"/>
              </w:rPr>
              <w:t xml:space="preserve">1) 服务器优化功能，提升服务器主机系统安全；                                                                                                       </w:t>
            </w:r>
            <w:r>
              <w:rPr>
                <w:rFonts w:hint="eastAsia" w:ascii="宋体" w:hAnsi="宋体" w:cs="Times New Roman"/>
                <w:kern w:val="0"/>
              </w:rPr>
              <w:br w:type="textWrapping"/>
            </w:r>
            <w:r>
              <w:rPr>
                <w:rFonts w:hint="eastAsia" w:ascii="宋体" w:hAnsi="宋体" w:cs="Times New Roman"/>
                <w:kern w:val="0"/>
              </w:rPr>
              <w:t>2) 网络防火墙功能，三层防护层层过滤，为服务器网络安全保驾护航；</w:t>
            </w:r>
            <w:r>
              <w:rPr>
                <w:rFonts w:hint="eastAsia" w:ascii="宋体" w:hAnsi="宋体" w:cs="Times New Roman"/>
                <w:kern w:val="0"/>
              </w:rPr>
              <w:br w:type="textWrapping"/>
            </w:r>
            <w:r>
              <w:rPr>
                <w:rFonts w:hint="eastAsia" w:ascii="宋体" w:hAnsi="宋体" w:cs="Times New Roman"/>
                <w:kern w:val="0"/>
              </w:rPr>
              <w:t>3) 数据保护功能，防止数据恶意窃取及篡改；</w:t>
            </w:r>
            <w:r>
              <w:rPr>
                <w:rFonts w:hint="eastAsia" w:ascii="宋体" w:hAnsi="宋体" w:cs="Times New Roman"/>
                <w:kern w:val="0"/>
              </w:rPr>
              <w:br w:type="textWrapping"/>
            </w:r>
            <w:r>
              <w:rPr>
                <w:rFonts w:hint="eastAsia" w:ascii="宋体" w:hAnsi="宋体" w:cs="Times New Roman"/>
                <w:kern w:val="0"/>
              </w:rPr>
              <w:t>4) 日志审计功能，防护日志记录服务器被攻击情况；</w:t>
            </w:r>
            <w:r>
              <w:rPr>
                <w:rFonts w:hint="eastAsia" w:ascii="宋体" w:hAnsi="宋体" w:cs="Times New Roman"/>
                <w:kern w:val="0"/>
              </w:rPr>
              <w:br w:type="textWrapping"/>
            </w:r>
            <w:r>
              <w:rPr>
                <w:rFonts w:hint="eastAsia" w:ascii="宋体" w:hAnsi="宋体" w:cs="Times New Roman"/>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设备厂商提供免费现场安装调试服务，提供三年保修，三年免费上门服务，7X24技术支持，提供设备厂商针对本项目的售后服务承诺函（加盖制造厂商公章原件）</w:t>
            </w:r>
          </w:p>
        </w:tc>
      </w:tr>
      <w:tr>
        <w:tblPrEx>
          <w:tblCellMar>
            <w:top w:w="15" w:type="dxa"/>
            <w:left w:w="15" w:type="dxa"/>
            <w:bottom w:w="15" w:type="dxa"/>
            <w:right w:w="15" w:type="dxa"/>
          </w:tblCellMar>
        </w:tblPrEx>
        <w:trPr>
          <w:trHeight w:val="330" w:hRule="atLeast"/>
        </w:trPr>
        <w:tc>
          <w:tcPr>
            <w:tcW w:w="526"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6</w:t>
            </w:r>
          </w:p>
        </w:tc>
        <w:tc>
          <w:tcPr>
            <w:tcW w:w="910" w:type="dxa"/>
            <w:vMerge w:val="restart"/>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税务端应用服务器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 xml:space="preserve">提供安全防护软件，该软件与服务器同一品牌，且具有如下功能：  </w:t>
            </w:r>
            <w:r>
              <w:rPr>
                <w:rFonts w:hint="eastAsia" w:ascii="宋体" w:hAnsi="宋体" w:cs="Times New Roman"/>
                <w:kern w:val="0"/>
              </w:rPr>
              <w:br w:type="textWrapping"/>
            </w:r>
            <w:r>
              <w:rPr>
                <w:rFonts w:hint="eastAsia" w:ascii="宋体" w:hAnsi="宋体" w:cs="Times New Roman"/>
                <w:kern w:val="0"/>
              </w:rPr>
              <w:t xml:space="preserve">1) 服务器优化功能，提升服务器主机系统安全；                                                                                                       </w:t>
            </w:r>
            <w:r>
              <w:rPr>
                <w:rFonts w:hint="eastAsia" w:ascii="宋体" w:hAnsi="宋体" w:cs="Times New Roman"/>
                <w:kern w:val="0"/>
              </w:rPr>
              <w:br w:type="textWrapping"/>
            </w:r>
            <w:r>
              <w:rPr>
                <w:rFonts w:hint="eastAsia" w:ascii="宋体" w:hAnsi="宋体" w:cs="Times New Roman"/>
                <w:kern w:val="0"/>
              </w:rPr>
              <w:t>2) 网络防火墙功能，三层防护层层过滤，为服务器网络安全保驾护航；</w:t>
            </w:r>
            <w:r>
              <w:rPr>
                <w:rFonts w:hint="eastAsia" w:ascii="宋体" w:hAnsi="宋体" w:cs="Times New Roman"/>
                <w:kern w:val="0"/>
              </w:rPr>
              <w:br w:type="textWrapping"/>
            </w:r>
            <w:r>
              <w:rPr>
                <w:rFonts w:hint="eastAsia" w:ascii="宋体" w:hAnsi="宋体" w:cs="Times New Roman"/>
                <w:kern w:val="0"/>
              </w:rPr>
              <w:t>3) 数据保护功能，防止数据恶意窃取及篡改；</w:t>
            </w:r>
            <w:r>
              <w:rPr>
                <w:rFonts w:hint="eastAsia" w:ascii="宋体" w:hAnsi="宋体" w:cs="Times New Roman"/>
                <w:kern w:val="0"/>
              </w:rPr>
              <w:br w:type="textWrapping"/>
            </w:r>
            <w:r>
              <w:rPr>
                <w:rFonts w:hint="eastAsia" w:ascii="宋体" w:hAnsi="宋体" w:cs="Times New Roman"/>
                <w:kern w:val="0"/>
              </w:rPr>
              <w:t>4) 日志审计功能，防护日志记录服务器被攻击情况；</w:t>
            </w:r>
            <w:r>
              <w:rPr>
                <w:rFonts w:hint="eastAsia" w:ascii="宋体" w:hAnsi="宋体" w:cs="Times New Roman"/>
                <w:kern w:val="0"/>
              </w:rPr>
              <w:br w:type="textWrapping"/>
            </w:r>
            <w:r>
              <w:rPr>
                <w:rFonts w:hint="eastAsia" w:ascii="宋体" w:hAnsi="宋体" w:cs="Times New Roman"/>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nil"/>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设备厂商提供免费现场安装调试服务，提供三年保修，三年免费上门服务，7X24技术支持，提供设备厂商针对本项目的售后服务承诺函（加盖制造厂商公章原件）</w:t>
            </w:r>
          </w:p>
        </w:tc>
      </w:tr>
      <w:tr>
        <w:tblPrEx>
          <w:tblCellMar>
            <w:top w:w="15" w:type="dxa"/>
            <w:left w:w="15" w:type="dxa"/>
            <w:bottom w:w="15" w:type="dxa"/>
            <w:right w:w="15" w:type="dxa"/>
          </w:tblCellMar>
        </w:tblPrEx>
        <w:trPr>
          <w:trHeight w:val="330" w:hRule="atLeast"/>
        </w:trPr>
        <w:tc>
          <w:tcPr>
            <w:tcW w:w="525" w:type="dxa"/>
            <w:vMerge w:val="restart"/>
            <w:tcBorders>
              <w:top w:val="single" w:color="000000" w:sz="4" w:space="0"/>
              <w:left w:val="single" w:color="000000" w:sz="4"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7</w:t>
            </w:r>
          </w:p>
        </w:tc>
        <w:tc>
          <w:tcPr>
            <w:tcW w:w="900" w:type="dxa"/>
            <w:vMerge w:val="restart"/>
            <w:tcBorders>
              <w:top w:val="single" w:color="000000" w:sz="4"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r>
              <w:rPr>
                <w:rFonts w:hint="eastAsia" w:ascii="宋体" w:hAnsi="宋体" w:cs="Times New Roman"/>
                <w:kern w:val="0"/>
              </w:rPr>
              <w:t>税务端数据库服务器</w:t>
            </w:r>
          </w:p>
        </w:tc>
        <w:tc>
          <w:tcPr>
            <w:tcW w:w="1404" w:type="dxa"/>
            <w:tcBorders>
              <w:top w:val="single" w:color="000000" w:sz="4"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★品牌要求</w:t>
            </w:r>
          </w:p>
        </w:tc>
        <w:tc>
          <w:tcPr>
            <w:tcW w:w="6262" w:type="dxa"/>
            <w:tcBorders>
              <w:top w:val="single" w:color="000000" w:sz="4"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机箱</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★处理器</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★内存</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▲内存扩展性及特征</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24个内存插槽，最大可支持≥3TB内存容量，支持内存ECC保护、内存镜像、内存热备，支持NVDIMM和NVDIMM-N内存可实现意外断电时内存数据不丢失，最大可支持12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硬盘</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配置2块600GB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▲存储扩展性</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最大支持≥24个外置热插拔硬盘，可支持SAS、SATA、SSD硬盘混插，可选支持8个NVMe U.2 SSD，可选支持2个M.2 SSD，可支持硬RAID1，可选支持≥4个后置热插拔2.5寸硬盘</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▲RAID控制器</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扩展插槽</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标配≥2个PCI-E3.0扩展插槽，最大支持≥10个PCI-E 3.0插槽，其中最大支持5个全高PCI-E插槽，3个半高PCI-E插槽，2个内置专用插槽</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网络控制器</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HBA卡</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配置1块16Gb 双口HBA卡（含2个SFP多模模块，配2条3米多模光纤线缆）</w:t>
            </w:r>
          </w:p>
        </w:tc>
      </w:tr>
      <w:tr>
        <w:tblPrEx>
          <w:tblCellMar>
            <w:top w:w="15" w:type="dxa"/>
            <w:left w:w="15" w:type="dxa"/>
            <w:bottom w:w="15" w:type="dxa"/>
            <w:right w:w="15" w:type="dxa"/>
          </w:tblCellMar>
        </w:tblPrEx>
        <w:trPr>
          <w:trHeight w:val="132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管理功能</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▲硬件监控屏</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可选双按键监控屏，可以显示服务器信息，CPU温度、风扇转速、当前使用功率等状态，管理接口 IP 地址，监控服务器工作状态，显示硬件故障报警，快速定位故障部件，迅速排查故障，降低宕机损失</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▲服务器导航软件</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集成磁盘擦除、本地和远程备份还原、Raid配置、虚拟磁盘管理、无人值守安装操作系统、智能驱动安装等功能；并提供原厂商计算机软件著作权登记证书，提供复印件并加盖原厂投标专用章</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安全模块</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可同时支持TCM和TPM安全模块</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 xml:space="preserve"> ▲SD卡</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 xml:space="preserve"> ▲电源模块</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132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▲软件兼容性</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通过SUSE、Windows 、Vmware、Rehat、Oracle Linux、中标麒麟等主流OS厂商的兼容性测试并提供相关官网链接及截图证明（加盖服务器设备厂商公章）；</w:t>
            </w:r>
            <w:r>
              <w:rPr>
                <w:rFonts w:hint="eastAsia" w:ascii="宋体" w:hAnsi="宋体" w:cs="Times New Roman"/>
                <w:kern w:val="0"/>
              </w:rPr>
              <w:br w:type="textWrapping"/>
            </w:r>
            <w:r>
              <w:rPr>
                <w:rFonts w:hint="eastAsia" w:ascii="宋体" w:hAnsi="宋体" w:cs="Times New Roman"/>
                <w:kern w:val="0"/>
              </w:rPr>
              <w:t>通过VMware vSphere&amp;VSAN认证，提供VMware官网认证链接及截图证明（加盖服务器设备厂商公章）；</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▲产品性能</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通过TPC Benchmark Express-BigBench(TPCx-BB) 大数据测试，测试性能≥3000 BBQpm@30000，价格性能比≥300 $/BBQpm@30000；提供TPC官网链接及截图证明（加盖服务器制造厂商公章）</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▲可靠性测试报告</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提供CMA及CNAS认证的国家第三方检验中心出具的GB/T 9813环境适用性（可靠性）测试报告；提供CNAS认证的第三方检测机构出具的可靠性鉴定试验测试报告，符合GJB899A-2009要求的可靠性鉴定和验收试验，提供以上测试报告复印件（加盖服务器制造厂商公章）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▲安全防护功能</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 xml:space="preserve">提供安全防护软件，该软件与服务器同一品牌，且具有如下功能：  </w:t>
            </w:r>
            <w:r>
              <w:rPr>
                <w:rFonts w:hint="eastAsia" w:ascii="宋体" w:hAnsi="宋体" w:cs="Times New Roman"/>
                <w:kern w:val="0"/>
              </w:rPr>
              <w:br w:type="textWrapping"/>
            </w:r>
            <w:r>
              <w:rPr>
                <w:rFonts w:hint="eastAsia" w:ascii="宋体" w:hAnsi="宋体" w:cs="Times New Roman"/>
                <w:kern w:val="0"/>
              </w:rPr>
              <w:t xml:space="preserve">1) 服务器优化功能，提升服务器主机系统安全；                                                                                                       </w:t>
            </w:r>
            <w:r>
              <w:rPr>
                <w:rFonts w:hint="eastAsia" w:ascii="宋体" w:hAnsi="宋体" w:cs="Times New Roman"/>
                <w:kern w:val="0"/>
              </w:rPr>
              <w:br w:type="textWrapping"/>
            </w:r>
            <w:r>
              <w:rPr>
                <w:rFonts w:hint="eastAsia" w:ascii="宋体" w:hAnsi="宋体" w:cs="Times New Roman"/>
                <w:kern w:val="0"/>
              </w:rPr>
              <w:t>2) 网络防火墙功能，三层防护层层过滤，为服务器网络安全保驾护航；</w:t>
            </w:r>
            <w:r>
              <w:rPr>
                <w:rFonts w:hint="eastAsia" w:ascii="宋体" w:hAnsi="宋体" w:cs="Times New Roman"/>
                <w:kern w:val="0"/>
              </w:rPr>
              <w:br w:type="textWrapping"/>
            </w:r>
            <w:r>
              <w:rPr>
                <w:rFonts w:hint="eastAsia" w:ascii="宋体" w:hAnsi="宋体" w:cs="Times New Roman"/>
                <w:kern w:val="0"/>
              </w:rPr>
              <w:t>3) 数据保护功能，防止数据恶意窃取及篡改；</w:t>
            </w:r>
            <w:r>
              <w:rPr>
                <w:rFonts w:hint="eastAsia" w:ascii="宋体" w:hAnsi="宋体" w:cs="Times New Roman"/>
                <w:kern w:val="0"/>
              </w:rPr>
              <w:br w:type="textWrapping"/>
            </w:r>
            <w:r>
              <w:rPr>
                <w:rFonts w:hint="eastAsia" w:ascii="宋体" w:hAnsi="宋体" w:cs="Times New Roman"/>
                <w:kern w:val="0"/>
              </w:rPr>
              <w:t>4) 日志审计功能，防护日志记录服务器被攻击情况；</w:t>
            </w:r>
            <w:r>
              <w:rPr>
                <w:rFonts w:hint="eastAsia" w:ascii="宋体" w:hAnsi="宋体" w:cs="Times New Roman"/>
                <w:kern w:val="0"/>
              </w:rPr>
              <w:br w:type="textWrapping"/>
            </w:r>
            <w:r>
              <w:rPr>
                <w:rFonts w:hint="eastAsia" w:ascii="宋体" w:hAnsi="宋体" w:cs="Times New Roman"/>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6"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▲制造厂商资质</w:t>
            </w:r>
          </w:p>
        </w:tc>
        <w:tc>
          <w:tcPr>
            <w:tcW w:w="6262" w:type="dxa"/>
            <w:tcBorders>
              <w:top w:val="single" w:color="000000" w:sz="6" w:space="0"/>
              <w:left w:val="single" w:color="000000" w:sz="6" w:space="0"/>
              <w:bottom w:val="single" w:color="000000" w:sz="6"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6" w:space="0"/>
              <w:left w:val="single" w:color="000000" w:sz="4" w:space="0"/>
              <w:bottom w:val="single" w:color="000000" w:sz="4" w:space="0"/>
              <w:right w:val="single" w:color="000000" w:sz="6" w:space="0"/>
            </w:tcBorders>
            <w:vAlign w:val="center"/>
          </w:tcPr>
          <w:p>
            <w:pPr>
              <w:widowControl/>
              <w:jc w:val="left"/>
              <w:rPr>
                <w:rFonts w:ascii="宋体" w:hAnsi="宋体" w:cs="Times New Roman"/>
                <w:kern w:val="0"/>
              </w:rPr>
            </w:pPr>
          </w:p>
        </w:tc>
        <w:tc>
          <w:tcPr>
            <w:tcW w:w="910" w:type="dxa"/>
            <w:vMerge w:val="continue"/>
            <w:tcBorders>
              <w:top w:val="single" w:color="000000" w:sz="6" w:space="0"/>
              <w:left w:val="single" w:color="000000" w:sz="6" w:space="0"/>
              <w:bottom w:val="single" w:color="000000" w:sz="4" w:space="0"/>
              <w:right w:val="single" w:color="000000" w:sz="6" w:space="0"/>
            </w:tcBorders>
            <w:vAlign w:val="center"/>
          </w:tcPr>
          <w:p>
            <w:pPr>
              <w:widowControl/>
              <w:jc w:val="left"/>
              <w:rPr>
                <w:rFonts w:ascii="宋体" w:hAnsi="宋体" w:cs="Times New Roman"/>
                <w:kern w:val="0"/>
              </w:rPr>
            </w:pPr>
          </w:p>
        </w:tc>
        <w:tc>
          <w:tcPr>
            <w:tcW w:w="1404" w:type="dxa"/>
            <w:tcBorders>
              <w:top w:val="single" w:color="000000" w:sz="6" w:space="0"/>
              <w:left w:val="single" w:color="000000" w:sz="6" w:space="0"/>
              <w:bottom w:val="single" w:color="000000" w:sz="4" w:space="0"/>
              <w:right w:val="single" w:color="000000" w:sz="6" w:space="0"/>
            </w:tcBorders>
            <w:vAlign w:val="center"/>
          </w:tcPr>
          <w:p>
            <w:pPr>
              <w:widowControl/>
              <w:jc w:val="center"/>
              <w:rPr>
                <w:rFonts w:ascii="宋体" w:hAnsi="宋体" w:cs="Times New Roman"/>
                <w:kern w:val="0"/>
              </w:rPr>
            </w:pPr>
            <w:r>
              <w:rPr>
                <w:rFonts w:hint="eastAsia" w:ascii="宋体" w:hAnsi="宋体" w:cs="Times New Roman"/>
                <w:kern w:val="0"/>
              </w:rPr>
              <w:t>★服务</w:t>
            </w:r>
          </w:p>
        </w:tc>
        <w:tc>
          <w:tcPr>
            <w:tcW w:w="6262" w:type="dxa"/>
            <w:tcBorders>
              <w:top w:val="single" w:color="000000" w:sz="6" w:space="0"/>
              <w:left w:val="single" w:color="000000" w:sz="6" w:space="0"/>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设备厂商提供免费现场安装调试服务，提供三年保修，三年免费上门服务，7X24技术支持，提供设备厂商针对本项目的售后服务承诺函（加盖制造厂商公章）</w:t>
            </w:r>
          </w:p>
        </w:tc>
      </w:tr>
      <w:tr>
        <w:tblPrEx>
          <w:tblCellMar>
            <w:top w:w="15" w:type="dxa"/>
            <w:left w:w="15" w:type="dxa"/>
            <w:bottom w:w="15" w:type="dxa"/>
            <w:right w:w="15" w:type="dxa"/>
          </w:tblCellMar>
        </w:tblPrEx>
        <w:trPr>
          <w:trHeight w:val="330" w:hRule="atLeast"/>
        </w:trPr>
        <w:tc>
          <w:tcPr>
            <w:tcW w:w="5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8</w:t>
            </w:r>
          </w:p>
        </w:tc>
        <w:tc>
          <w:tcPr>
            <w:tcW w:w="910" w:type="dxa"/>
            <w:vMerge w:val="restart"/>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内网ESB服务器</w:t>
            </w: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★品牌要求</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国产知名服务器品牌</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机箱</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2U标准机架式，配套原厂上架滑轨</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★处理器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配置2颗Intel Xeon 4210可扩展处理器（10核，2.2GHz主频，13.75M L3 Cache，9.6UPI）</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配置64GB DDR4 2666MHz ECC内存</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▲内存扩展性及特征</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最大支持≥16个内存插槽，最大可支持≥2TB 内存扩展，支持内存ECC保护、内存镜像、内存热备，支持NVDIMM和NVDIMM-N内存可实现意外断电时内存数据不丢失，最大可支持4根英特尔®傲腾™数据中心级持久内存（DCPMM）</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硬盘</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配置3块300GB 2.5寸 10Krpm 12Gb 热插拔SAS硬盘</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▲存储扩展性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最大支持≥12个外置热插拔硬盘，可支持SAS、SATA、SSD硬盘混插，可选支持8个NVMe U.2 SSD，可选支持2个M.2 SSD，可支持硬RAID1，可选支持≥2个后置热插拔2.5寸硬盘位</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▲RAID控制器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配置独立的2GB Cache 12Gb SAS RAID卡，不占用标准PCI-E插槽，支持RAID0/1/5/10/50，支持电容掉电保护，提供RAID状态迁移、RAID配置记忆等功能</w:t>
            </w:r>
          </w:p>
        </w:tc>
      </w:tr>
      <w:tr>
        <w:tblPrEx>
          <w:tblCellMar>
            <w:top w:w="15" w:type="dxa"/>
            <w:left w:w="15" w:type="dxa"/>
            <w:bottom w:w="15" w:type="dxa"/>
            <w:right w:w="15" w:type="dxa"/>
          </w:tblCellMar>
        </w:tblPrEx>
        <w:trPr>
          <w:trHeight w:val="33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扩展插槽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标配≥4个PCI-E3.0扩展插槽，最大可扩展支持≥6个PCI-E3.0扩展插槽</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网络控制器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配置2个千兆以太网接口（RJ45接口），支持NCSI、网络唤醒，网络冗余，负载均衡等网络高级特性</w:t>
            </w:r>
          </w:p>
        </w:tc>
      </w:tr>
      <w:tr>
        <w:tblPrEx>
          <w:tblCellMar>
            <w:top w:w="15" w:type="dxa"/>
            <w:left w:w="15" w:type="dxa"/>
            <w:bottom w:w="15" w:type="dxa"/>
            <w:right w:w="15" w:type="dxa"/>
          </w:tblCellMar>
        </w:tblPrEx>
        <w:trPr>
          <w:trHeight w:val="132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管理功能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集成系统管理芯片，提供iKVM和KVM Over IP高级管理功能，本地固件更新、错误日志，提供系统状况的可视显示；配置独立的远程管理控制端口，支持远程监控图形界面, 可实现与操作系统无关的远程对服务器的完全控制，包括远程的开机、关机、重启、虚拟设备挂载等操作；可实现监控服务器内部主要部件的状态，包括CPU、内存、硬盘、风扇、电源</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▲SD卡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主板支持SD卡插槽，可实现存储系统日志及BMC日志，并提供功能截图证明（加盖制造厂商公章）</w:t>
            </w:r>
          </w:p>
        </w:tc>
      </w:tr>
      <w:tr>
        <w:tblPrEx>
          <w:tblCellMar>
            <w:top w:w="15" w:type="dxa"/>
            <w:left w:w="15" w:type="dxa"/>
            <w:bottom w:w="15" w:type="dxa"/>
            <w:right w:w="15" w:type="dxa"/>
          </w:tblCellMar>
        </w:tblPrEx>
        <w:trPr>
          <w:trHeight w:val="99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 xml:space="preserve"> ▲电源模块</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配置热插拔铂金1+1冗余电源，单个电源功率≥550W；提供服务器电源认证，并加盖原厂商公章；支持400W BBU电池单元，提供二次备援功能支持400W BBU电池单元，提供二次备援功能，并提供支持该配置证明文件（加盖制造厂商公章）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▲软件兼容性</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通过SUSE、Windows 、Vmware、Rehat、Oracle Linux、中标麒麟等主流OS厂商的兼容性测试并提供相关官网链接及截图证明（加盖服务器设备制造厂商公章）</w:t>
            </w:r>
          </w:p>
        </w:tc>
      </w:tr>
      <w:tr>
        <w:tblPrEx>
          <w:tblCellMar>
            <w:top w:w="15" w:type="dxa"/>
            <w:left w:w="15" w:type="dxa"/>
            <w:bottom w:w="15" w:type="dxa"/>
            <w:right w:w="15" w:type="dxa"/>
          </w:tblCellMar>
        </w:tblPrEx>
        <w:trPr>
          <w:trHeight w:val="198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▲安全防护功能</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 xml:space="preserve">提供安全防护软件，该软件与服务器同一品牌，且具有如下功能：  </w:t>
            </w:r>
            <w:r>
              <w:rPr>
                <w:rFonts w:hint="eastAsia" w:ascii="宋体" w:hAnsi="宋体" w:cs="Times New Roman"/>
                <w:kern w:val="0"/>
              </w:rPr>
              <w:br w:type="textWrapping"/>
            </w:r>
            <w:r>
              <w:rPr>
                <w:rFonts w:hint="eastAsia" w:ascii="宋体" w:hAnsi="宋体" w:cs="Times New Roman"/>
                <w:kern w:val="0"/>
              </w:rPr>
              <w:t xml:space="preserve">1) 服务器优化功能，提升服务器主机系统安全；                                                                                                       </w:t>
            </w:r>
            <w:r>
              <w:rPr>
                <w:rFonts w:hint="eastAsia" w:ascii="宋体" w:hAnsi="宋体" w:cs="Times New Roman"/>
                <w:kern w:val="0"/>
              </w:rPr>
              <w:br w:type="textWrapping"/>
            </w:r>
            <w:r>
              <w:rPr>
                <w:rFonts w:hint="eastAsia" w:ascii="宋体" w:hAnsi="宋体" w:cs="Times New Roman"/>
                <w:kern w:val="0"/>
              </w:rPr>
              <w:t>2) 网络防火墙功能，三层防护层层过滤，为服务器网络安全保驾护航；</w:t>
            </w:r>
            <w:r>
              <w:rPr>
                <w:rFonts w:hint="eastAsia" w:ascii="宋体" w:hAnsi="宋体" w:cs="Times New Roman"/>
                <w:kern w:val="0"/>
              </w:rPr>
              <w:br w:type="textWrapping"/>
            </w:r>
            <w:r>
              <w:rPr>
                <w:rFonts w:hint="eastAsia" w:ascii="宋体" w:hAnsi="宋体" w:cs="Times New Roman"/>
                <w:kern w:val="0"/>
              </w:rPr>
              <w:t>3) 数据保护功能，防止数据恶意窃取及篡改；</w:t>
            </w:r>
            <w:r>
              <w:rPr>
                <w:rFonts w:hint="eastAsia" w:ascii="宋体" w:hAnsi="宋体" w:cs="Times New Roman"/>
                <w:kern w:val="0"/>
              </w:rPr>
              <w:br w:type="textWrapping"/>
            </w:r>
            <w:r>
              <w:rPr>
                <w:rFonts w:hint="eastAsia" w:ascii="宋体" w:hAnsi="宋体" w:cs="Times New Roman"/>
                <w:kern w:val="0"/>
              </w:rPr>
              <w:t>4) 日志审计功能，防护日志记录服务器被攻击情况；</w:t>
            </w:r>
            <w:r>
              <w:rPr>
                <w:rFonts w:hint="eastAsia" w:ascii="宋体" w:hAnsi="宋体" w:cs="Times New Roman"/>
                <w:kern w:val="0"/>
              </w:rPr>
              <w:br w:type="textWrapping"/>
            </w:r>
            <w:r>
              <w:rPr>
                <w:rFonts w:hint="eastAsia" w:ascii="宋体" w:hAnsi="宋体" w:cs="Times New Roman"/>
                <w:kern w:val="0"/>
              </w:rPr>
              <w:t>提供软件主界面截图（加盖制造厂商公章）；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▲制造厂商资质</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要求服务器设备制造厂商已通过IS09001认证，ISO14001认证，ISO20000认证，ISO27001认证和OHSAS18001认证，投标时要求提供这以上五种认证证书复印件（加盖制造厂商公章）</w:t>
            </w:r>
          </w:p>
        </w:tc>
      </w:tr>
      <w:tr>
        <w:tblPrEx>
          <w:tblCellMar>
            <w:top w:w="15" w:type="dxa"/>
            <w:left w:w="15" w:type="dxa"/>
            <w:bottom w:w="15" w:type="dxa"/>
            <w:right w:w="15" w:type="dxa"/>
          </w:tblCellMar>
        </w:tblPrEx>
        <w:trPr>
          <w:trHeight w:val="660" w:hRule="atLeast"/>
        </w:trPr>
        <w:tc>
          <w:tcPr>
            <w:tcW w:w="91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Times New Roman"/>
                <w:kern w:val="0"/>
              </w:rPr>
            </w:pPr>
            <w:r>
              <w:rPr>
                <w:rFonts w:hint="eastAsia" w:ascii="宋体" w:hAnsi="宋体" w:cs="Times New Roman"/>
                <w:kern w:val="0"/>
              </w:rPr>
              <w:t>★服务</w:t>
            </w:r>
          </w:p>
        </w:tc>
        <w:tc>
          <w:tcPr>
            <w:tcW w:w="6262" w:type="dxa"/>
            <w:tcBorders>
              <w:top w:val="single" w:color="000000" w:sz="4" w:space="0"/>
              <w:left w:val="nil"/>
              <w:bottom w:val="single" w:color="000000" w:sz="4" w:space="0"/>
              <w:right w:val="single" w:color="000000" w:sz="4" w:space="0"/>
            </w:tcBorders>
            <w:vAlign w:val="center"/>
          </w:tcPr>
          <w:p>
            <w:pPr>
              <w:widowControl/>
              <w:jc w:val="left"/>
              <w:rPr>
                <w:rFonts w:ascii="宋体" w:hAnsi="宋体" w:cs="Times New Roman"/>
                <w:kern w:val="0"/>
              </w:rPr>
            </w:pPr>
            <w:r>
              <w:rPr>
                <w:rFonts w:hint="eastAsia" w:ascii="宋体" w:hAnsi="宋体" w:cs="Times New Roman"/>
                <w:kern w:val="0"/>
              </w:rPr>
              <w:t>设备厂商提供免费现场安装调试服务，提供三年保修，三年免费上门服务，7X24技术支持，提供设备厂商针对本项目的售后服务承诺函（加盖制造厂商公章原件）</w:t>
            </w: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kern w:val="0"/>
              </w:rPr>
              <w:t>税控开票服务器</w:t>
            </w:r>
          </w:p>
          <w:p>
            <w:pPr>
              <w:widowControl/>
              <w:jc w:val="left"/>
              <w:rPr>
                <w:rFonts w:ascii="宋体" w:hAnsi="宋体" w:cs="Times New Roman"/>
                <w:kern w:val="0"/>
              </w:rPr>
            </w:pP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cs="Times New Roman"/>
                <w:kern w:val="0"/>
              </w:rPr>
            </w:pPr>
          </w:p>
        </w:tc>
        <w:tc>
          <w:tcPr>
            <w:tcW w:w="6262"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kern w:val="0"/>
              </w:rPr>
              <w:t>税控专用服务器，开票速率大于等于2000张/秒，并发性能不少于200，税号个数支持20个，千兆以太网接口，每台支持20块盘，每盘支持200个终端</w:t>
            </w:r>
          </w:p>
          <w:p>
            <w:pPr>
              <w:widowControl/>
              <w:jc w:val="left"/>
              <w:rPr>
                <w:rFonts w:ascii="宋体" w:hAnsi="宋体" w:cs="Times New Roman"/>
                <w:kern w:val="0"/>
              </w:rPr>
            </w:pP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kern w:val="0"/>
              </w:rPr>
              <w:t>金锐盘（服务器版）</w:t>
            </w:r>
          </w:p>
          <w:p>
            <w:pPr>
              <w:ind w:firstLine="420"/>
              <w:rPr>
                <w:rFonts w:ascii="宋体" w:hAnsi="宋体" w:cs="Times New Roman"/>
                <w:kern w:val="0"/>
                <w:szCs w:val="21"/>
              </w:rPr>
            </w:pP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cs="Times New Roman"/>
                <w:kern w:val="0"/>
              </w:rPr>
            </w:pPr>
          </w:p>
        </w:tc>
        <w:tc>
          <w:tcPr>
            <w:tcW w:w="6262"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kern w:val="0"/>
              </w:rPr>
              <w:t>高性能大容量（1G）金税盘</w:t>
            </w:r>
          </w:p>
          <w:p>
            <w:pPr>
              <w:ind w:firstLine="420"/>
              <w:rPr>
                <w:rFonts w:ascii="宋体" w:hAnsi="宋体" w:cs="Times New Roman"/>
                <w:kern w:val="0"/>
                <w:szCs w:val="21"/>
              </w:rPr>
            </w:pP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kern w:val="0"/>
              </w:rPr>
              <w:t>报锐盘</w:t>
            </w:r>
          </w:p>
          <w:p>
            <w:pPr>
              <w:ind w:firstLine="420"/>
              <w:rPr>
                <w:rFonts w:ascii="宋体" w:hAnsi="宋体" w:cs="Times New Roman"/>
                <w:kern w:val="0"/>
                <w:szCs w:val="21"/>
              </w:rPr>
            </w:pP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cs="Times New Roman"/>
                <w:kern w:val="0"/>
              </w:rPr>
            </w:pPr>
          </w:p>
        </w:tc>
        <w:tc>
          <w:tcPr>
            <w:tcW w:w="6262"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kern w:val="0"/>
              </w:rPr>
              <w:t>用于领票、抄报税</w:t>
            </w:r>
          </w:p>
          <w:p>
            <w:pPr>
              <w:ind w:firstLine="420"/>
              <w:rPr>
                <w:rFonts w:ascii="宋体" w:hAnsi="宋体" w:cs="Times New Roman"/>
                <w:kern w:val="0"/>
                <w:szCs w:val="21"/>
              </w:rPr>
            </w:pP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color w:val="000000"/>
                <w:kern w:val="0"/>
              </w:rPr>
              <w:t>数据库</w:t>
            </w: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cs="Times New Roman"/>
                <w:kern w:val="0"/>
              </w:rPr>
            </w:pPr>
          </w:p>
        </w:tc>
        <w:tc>
          <w:tcPr>
            <w:tcW w:w="6262"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color w:val="000000"/>
                <w:kern w:val="0"/>
              </w:rPr>
              <w:t>Oracle 11G</w:t>
            </w:r>
          </w:p>
        </w:tc>
      </w:tr>
      <w:tr>
        <w:tblPrEx>
          <w:tblCellMar>
            <w:top w:w="15" w:type="dxa"/>
            <w:left w:w="15" w:type="dxa"/>
            <w:bottom w:w="15" w:type="dxa"/>
            <w:right w:w="15" w:type="dxa"/>
          </w:tblCellMar>
        </w:tblPrEx>
        <w:trPr>
          <w:trHeight w:val="660" w:hRule="atLeast"/>
        </w:trPr>
        <w:tc>
          <w:tcPr>
            <w:tcW w:w="52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Times New Roman"/>
                <w:kern w:val="0"/>
              </w:rPr>
            </w:pPr>
          </w:p>
        </w:tc>
        <w:tc>
          <w:tcPr>
            <w:tcW w:w="910"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color w:val="000000"/>
                <w:kern w:val="0"/>
              </w:rPr>
              <w:t>中件间</w:t>
            </w:r>
          </w:p>
        </w:tc>
        <w:tc>
          <w:tcPr>
            <w:tcW w:w="1404" w:type="dxa"/>
            <w:tcBorders>
              <w:top w:val="single" w:color="000000" w:sz="4" w:space="0"/>
              <w:left w:val="nil"/>
              <w:bottom w:val="single" w:color="000000" w:sz="4" w:space="0"/>
              <w:right w:val="single" w:color="000000" w:sz="4" w:space="0"/>
            </w:tcBorders>
            <w:vAlign w:val="center"/>
          </w:tcPr>
          <w:p>
            <w:pPr>
              <w:rPr>
                <w:rFonts w:ascii="宋体" w:hAnsi="宋体" w:cs="Times New Roman"/>
                <w:kern w:val="0"/>
              </w:rPr>
            </w:pPr>
          </w:p>
        </w:tc>
        <w:tc>
          <w:tcPr>
            <w:tcW w:w="6262" w:type="dxa"/>
            <w:tcBorders>
              <w:top w:val="single" w:color="000000" w:sz="4" w:space="0"/>
              <w:left w:val="nil"/>
              <w:bottom w:val="single" w:color="000000" w:sz="4" w:space="0"/>
              <w:right w:val="single" w:color="000000" w:sz="4" w:space="0"/>
            </w:tcBorders>
            <w:vAlign w:val="center"/>
          </w:tcPr>
          <w:p>
            <w:pPr>
              <w:rPr>
                <w:rFonts w:ascii="Times New Roman" w:hAnsi="Times New Roman" w:cs="Times New Roman"/>
              </w:rPr>
            </w:pPr>
            <w:r>
              <w:rPr>
                <w:rFonts w:hint="eastAsia" w:ascii="宋体" w:hAnsi="宋体" w:cs="Times New Roman"/>
                <w:color w:val="000000"/>
                <w:kern w:val="0"/>
              </w:rPr>
              <w:t>Weblogic 11g</w:t>
            </w:r>
          </w:p>
        </w:tc>
      </w:tr>
    </w:tbl>
    <w:p>
      <w:pPr>
        <w:rPr>
          <w:rFonts w:ascii="Times New Roman" w:hAnsi="Times New Roman" w:cs="Times New Roman"/>
        </w:rPr>
      </w:pPr>
    </w:p>
    <w:p>
      <w:pPr>
        <w:spacing w:line="420" w:lineRule="exact"/>
        <w:ind w:firstLine="480" w:firstLineChars="200"/>
        <w:rPr>
          <w:rFonts w:ascii="宋体" w:hAnsi="宋体" w:cs="宋体"/>
          <w:sz w:val="24"/>
        </w:rPr>
      </w:pPr>
    </w:p>
    <w:p>
      <w:pPr>
        <w:widowControl w:val="0"/>
        <w:ind w:firstLine="420" w:firstLineChars="200"/>
        <w:contextualSpacing/>
        <w:jc w:val="both"/>
        <w:rPr>
          <w:rFonts w:ascii="Times New Roman" w:hAnsi="Times New Roman" w:eastAsia="仿宋" w:cs="Times New Roman"/>
          <w:kern w:val="2"/>
          <w:sz w:val="21"/>
          <w:szCs w:val="22"/>
          <w:lang w:val="en-US" w:eastAsia="zh-CN" w:bidi="ar-SA"/>
        </w:rPr>
      </w:pPr>
    </w:p>
    <w:p>
      <w:pPr>
        <w:widowControl w:val="0"/>
        <w:ind w:firstLine="420" w:firstLineChars="200"/>
        <w:contextualSpacing/>
        <w:jc w:val="both"/>
        <w:rPr>
          <w:rFonts w:ascii="Times New Roman" w:hAnsi="Times New Roman" w:eastAsia="仿宋" w:cs="Times New Roman"/>
          <w:kern w:val="2"/>
          <w:sz w:val="21"/>
          <w:szCs w:val="22"/>
          <w:lang w:val="en-US" w:eastAsia="zh-CN" w:bidi="ar-SA"/>
        </w:rPr>
      </w:pPr>
    </w:p>
    <w:p>
      <w:pPr>
        <w:spacing w:line="560" w:lineRule="exact"/>
        <w:ind w:firstLine="482" w:firstLineChars="200"/>
        <w:rPr>
          <w:rFonts w:ascii="宋体" w:hAnsi="宋体" w:cs="宋体"/>
          <w:b/>
          <w:bCs/>
          <w:sz w:val="24"/>
        </w:rPr>
      </w:pPr>
      <w:bookmarkStart w:id="1" w:name="_Toc212454786"/>
      <w:bookmarkStart w:id="2" w:name="_Toc275871428"/>
      <w:bookmarkStart w:id="3" w:name="_Toc236480817"/>
      <w:bookmarkStart w:id="4" w:name="_Toc275871493"/>
      <w:bookmarkStart w:id="5" w:name="_Toc236131359"/>
      <w:bookmarkStart w:id="6" w:name="_Toc275954507"/>
      <w:bookmarkStart w:id="7" w:name="_Toc212456179"/>
      <w:bookmarkStart w:id="8" w:name="_Toc212530287"/>
      <w:bookmarkStart w:id="9" w:name="_Toc217720115"/>
      <w:bookmarkStart w:id="10" w:name="_Toc217720612"/>
      <w:bookmarkStart w:id="11" w:name="_Toc87515263"/>
      <w:bookmarkStart w:id="12" w:name="_Toc275770740"/>
      <w:bookmarkStart w:id="13" w:name="_Toc212526115"/>
      <w:bookmarkStart w:id="14" w:name="_Toc216833740"/>
      <w:bookmarkStart w:id="15" w:name="_Toc236480760"/>
      <w:bookmarkStart w:id="16" w:name="_Toc236131294"/>
      <w:r>
        <w:rPr>
          <w:rFonts w:hint="eastAsia" w:ascii="宋体" w:hAnsi="宋体" w:cs="宋体"/>
          <w:b/>
          <w:bCs/>
          <w:sz w:val="24"/>
        </w:rPr>
        <w:t>二、交付标准和要求：</w:t>
      </w:r>
    </w:p>
    <w:p>
      <w:pPr>
        <w:spacing w:line="440" w:lineRule="exact"/>
        <w:ind w:firstLine="480" w:firstLineChars="200"/>
        <w:rPr>
          <w:rFonts w:ascii="宋体" w:hAnsi="宋体" w:cs="宋体"/>
          <w:sz w:val="24"/>
        </w:rPr>
      </w:pPr>
      <w:r>
        <w:rPr>
          <w:rFonts w:hint="eastAsia" w:ascii="宋体" w:hAnsi="宋体" w:cs="宋体"/>
          <w:sz w:val="24"/>
        </w:rPr>
        <w:t>1、交付时间：合同签订生效之日起30天内。</w:t>
      </w:r>
    </w:p>
    <w:p>
      <w:pPr>
        <w:spacing w:line="440" w:lineRule="exact"/>
        <w:ind w:firstLine="480" w:firstLineChars="200"/>
        <w:rPr>
          <w:rFonts w:ascii="宋体" w:hAnsi="宋体" w:cs="宋体"/>
          <w:sz w:val="24"/>
        </w:rPr>
      </w:pPr>
      <w:r>
        <w:rPr>
          <w:rFonts w:hint="eastAsia" w:ascii="宋体" w:hAnsi="宋体" w:cs="宋体"/>
          <w:sz w:val="24"/>
        </w:rPr>
        <w:t xml:space="preserve">2、交付地点：用户指定地点。 </w:t>
      </w:r>
    </w:p>
    <w:p>
      <w:pPr>
        <w:spacing w:line="440" w:lineRule="exact"/>
        <w:ind w:firstLine="480" w:firstLineChars="200"/>
        <w:rPr>
          <w:rFonts w:hint="eastAsia" w:ascii="宋体" w:hAnsi="宋体" w:cs="宋体"/>
          <w:sz w:val="24"/>
        </w:rPr>
      </w:pPr>
      <w:r>
        <w:rPr>
          <w:rFonts w:hint="eastAsia" w:ascii="宋体" w:hAnsi="宋体" w:cs="宋体"/>
          <w:sz w:val="24"/>
        </w:rPr>
        <w:t>3、付款条件：采购双方签订合同时另行约定。</w:t>
      </w:r>
    </w:p>
    <w:p>
      <w:pPr>
        <w:spacing w:line="440" w:lineRule="exact"/>
        <w:ind w:firstLine="480" w:firstLineChars="200"/>
        <w:rPr>
          <w:rFonts w:hint="eastAsia" w:ascii="宋体" w:hAnsi="宋体" w:cs="宋体"/>
          <w:sz w:val="24"/>
        </w:rPr>
      </w:pPr>
      <w:r>
        <w:rPr>
          <w:rFonts w:hint="eastAsia" w:ascii="宋体" w:hAnsi="宋体" w:cs="宋体"/>
          <w:sz w:val="24"/>
        </w:rPr>
        <w:t>4、验收要求：按招标文件技术参数进行验收。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pStyle w:val="2"/>
        <w:rPr>
          <w:rFonts w:hint="eastAsia" w:ascii="宋体" w:hAnsi="宋体" w:cs="宋体"/>
          <w:sz w:val="24"/>
        </w:rPr>
      </w:pPr>
    </w:p>
    <w:p>
      <w:pPr>
        <w:spacing w:beforeLines="50" w:afterLines="50" w:line="360" w:lineRule="auto"/>
        <w:jc w:val="both"/>
        <w:rPr>
          <w:rFonts w:hint="eastAsia" w:ascii="宋体" w:hAnsi="宋体" w:eastAsia="宋体" w:cs="宋体"/>
          <w:b/>
          <w:color w:val="auto"/>
          <w:sz w:val="44"/>
          <w:szCs w:val="44"/>
          <w:lang w:val="en-US" w:eastAsia="zh-CN"/>
        </w:rPr>
      </w:pPr>
      <w:r>
        <w:rPr>
          <w:rFonts w:hint="eastAsia" w:ascii="宋体" w:hAnsi="宋体" w:cs="宋体"/>
          <w:b/>
          <w:color w:val="auto"/>
          <w:sz w:val="44"/>
          <w:szCs w:val="44"/>
          <w:lang w:val="en-US" w:eastAsia="zh-CN"/>
        </w:rPr>
        <w:t>B包</w:t>
      </w:r>
      <w:bookmarkStart w:id="30" w:name="_GoBack"/>
      <w:bookmarkEnd w:id="30"/>
    </w:p>
    <w:p>
      <w:pPr>
        <w:spacing w:beforeLines="50" w:afterLines="50" w:line="360" w:lineRule="auto"/>
        <w:jc w:val="center"/>
        <w:rPr>
          <w:rFonts w:ascii="宋体" w:hAnsi="宋体" w:cs="宋体"/>
          <w:b/>
          <w:color w:val="auto"/>
          <w:sz w:val="44"/>
          <w:szCs w:val="44"/>
        </w:rPr>
      </w:pPr>
      <w:r>
        <w:rPr>
          <w:rFonts w:hint="eastAsia" w:ascii="宋体" w:hAnsi="宋体" w:cs="宋体"/>
          <w:b/>
          <w:color w:val="auto"/>
          <w:sz w:val="44"/>
          <w:szCs w:val="44"/>
        </w:rPr>
        <w:t>第五部分  用户需求书</w:t>
      </w:r>
    </w:p>
    <w:p>
      <w:pPr>
        <w:spacing w:line="360" w:lineRule="auto"/>
        <w:ind w:firstLine="492" w:firstLineChars="175"/>
        <w:rPr>
          <w:rFonts w:hint="eastAsia" w:ascii="宋体" w:hAnsi="宋体" w:eastAsia="宋体" w:cs="宋体"/>
          <w:b/>
          <w:bCs/>
          <w:color w:val="auto"/>
          <w:sz w:val="28"/>
          <w:szCs w:val="28"/>
        </w:rPr>
      </w:pPr>
      <w:bookmarkStart w:id="17" w:name="_Toc345317709"/>
      <w:r>
        <w:rPr>
          <w:rFonts w:hint="eastAsia" w:ascii="宋体" w:hAnsi="宋体" w:eastAsia="宋体" w:cs="宋体"/>
          <w:b/>
          <w:bCs/>
          <w:color w:val="auto"/>
          <w:sz w:val="28"/>
          <w:szCs w:val="28"/>
        </w:rPr>
        <w:t>一 、项目概况</w:t>
      </w:r>
      <w:bookmarkEnd w:id="17"/>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采购项目名称：24小时在线办理不动产登记业务项目</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建设地点：国家税务总局海口市税务局</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项目业主：国家税务总局海口市税务局</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投资规模：3,879,176.00</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监理采购预算：</w:t>
      </w:r>
      <w:r>
        <w:rPr>
          <w:rFonts w:hint="eastAsia" w:ascii="宋体" w:hAnsi="宋体" w:eastAsia="宋体" w:cs="宋体"/>
          <w:color w:val="auto"/>
          <w:sz w:val="24"/>
          <w:szCs w:val="24"/>
          <w:lang w:val="en-US" w:eastAsia="zh-CN"/>
        </w:rPr>
        <w:t>96979.4</w:t>
      </w:r>
    </w:p>
    <w:p>
      <w:pPr>
        <w:widowControl w:val="0"/>
        <w:spacing w:line="360" w:lineRule="auto"/>
        <w:ind w:firstLine="480" w:firstLineChars="200"/>
        <w:jc w:val="both"/>
        <w:rPr>
          <w:rFonts w:hint="eastAsia" w:ascii="宋体" w:hAnsi="宋体" w:eastAsia="宋体" w:cs="宋体"/>
          <w:color w:val="auto"/>
          <w:kern w:val="2"/>
          <w:sz w:val="24"/>
          <w:szCs w:val="24"/>
          <w:shd w:val="clear" w:color="auto" w:fill="FFFFFF"/>
          <w:lang w:val="en-US" w:eastAsia="zh-CN" w:bidi="ar-SA"/>
        </w:rPr>
      </w:pPr>
      <w:r>
        <w:rPr>
          <w:rFonts w:hint="eastAsia" w:ascii="宋体" w:hAnsi="宋体" w:eastAsia="宋体" w:cs="宋体"/>
          <w:color w:val="auto"/>
          <w:kern w:val="2"/>
          <w:sz w:val="24"/>
          <w:szCs w:val="24"/>
          <w:lang w:val="en-US" w:eastAsia="zh-CN" w:bidi="ar-SA"/>
        </w:rPr>
        <w:t>项目概况：</w:t>
      </w:r>
    </w:p>
    <w:p>
      <w:pPr>
        <w:widowControl w:val="0"/>
        <w:spacing w:line="360" w:lineRule="auto"/>
        <w:ind w:firstLine="480" w:firstLineChars="200"/>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24小时在线办理不动产登记业务项目”以房产交易人为中心设计运行流程，联合海口市住建局、海口市自然资源和规划局、海口市税务局等部门打造的新模式，通过“数据跑腿”代替“纳税人跑路”，做到从传统窗口服务向线上平台服务的延伸，实现房产交易税收网上全流程办理，通过跨部门信息共享，打破各部门之间的“信息孤岛”，纳税人只要动动手指，在网上或手机上输入身份证号及合同编号，经过手机实时验证，就可随时随地在网上登录，将身份证、户口本、结婚证、房产证、购房发票等资料拍照上传，由系统自动审核（或审核人员线下审核），再使用多元化缴税，完成缴税后，将完税信息和产权申请受理信息发送给不动产登记部门，实现房产交易申报税款缴纳全程网上办理。</w:t>
      </w:r>
    </w:p>
    <w:p>
      <w:pPr>
        <w:spacing w:line="360" w:lineRule="auto"/>
        <w:ind w:firstLine="420" w:firstLineChars="175"/>
        <w:rPr>
          <w:rFonts w:hint="eastAsia" w:ascii="宋体" w:hAnsi="宋体" w:eastAsia="宋体" w:cs="宋体"/>
          <w:color w:val="auto"/>
          <w:sz w:val="24"/>
          <w:szCs w:val="24"/>
        </w:rPr>
      </w:pPr>
      <w:bookmarkStart w:id="18" w:name="_Toc286644863"/>
      <w:bookmarkStart w:id="19" w:name="_Toc291076973"/>
      <w:bookmarkStart w:id="20" w:name="_Toc209923089"/>
      <w:bookmarkStart w:id="21" w:name="_Toc345317710"/>
      <w:r>
        <w:rPr>
          <w:rFonts w:hint="eastAsia" w:ascii="宋体" w:hAnsi="宋体" w:eastAsia="宋体" w:cs="宋体"/>
          <w:color w:val="auto"/>
          <w:sz w:val="24"/>
          <w:szCs w:val="24"/>
        </w:rPr>
        <w:t>二 、监理咨询期限</w:t>
      </w:r>
      <w:bookmarkEnd w:id="18"/>
      <w:bookmarkEnd w:id="19"/>
      <w:bookmarkEnd w:id="20"/>
      <w:bookmarkEnd w:id="21"/>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监理周期：  6 个月。</w:t>
      </w:r>
    </w:p>
    <w:p>
      <w:pPr>
        <w:spacing w:line="360" w:lineRule="auto"/>
        <w:ind w:firstLine="420" w:firstLineChars="175"/>
        <w:rPr>
          <w:rFonts w:hint="eastAsia" w:ascii="宋体" w:hAnsi="宋体" w:eastAsia="宋体" w:cs="宋体"/>
          <w:color w:val="auto"/>
          <w:sz w:val="24"/>
          <w:szCs w:val="24"/>
        </w:rPr>
      </w:pPr>
      <w:bookmarkStart w:id="22" w:name="_Toc286644864"/>
      <w:bookmarkStart w:id="23" w:name="_Toc345317711"/>
      <w:bookmarkStart w:id="24" w:name="_Toc291076974"/>
      <w:r>
        <w:rPr>
          <w:rFonts w:hint="eastAsia" w:ascii="宋体" w:hAnsi="宋体" w:eastAsia="宋体" w:cs="宋体"/>
          <w:color w:val="auto"/>
          <w:sz w:val="24"/>
          <w:szCs w:val="24"/>
        </w:rPr>
        <w:t>三、监理技术标准与规范</w:t>
      </w:r>
      <w:bookmarkEnd w:id="22"/>
      <w:bookmarkEnd w:id="23"/>
      <w:bookmarkEnd w:id="24"/>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本项目必须符合国家关于信息系统工程监理方面现行的标准、规范、规程、办法、示例，以及海南省关于信息系统工程监理方面的文件、规定。</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投标人在信息系统工程监理工作中使用或参考下述标准、规范以外的技术标准、规范时，应征得业主或业主代表人的同意。</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在信息系统工程监理工作过程中，如果国家或有关部门颁布了新的技术标准和规范，则投标人应采用新的标准或规范进行监理。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投标人在监理工作中必须使用下述标准、规范：</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  《信息化工程监理规范 第1部分:总则》（GB/T 19668.1-2014）</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  《信息化工程监理规范 第2部分：通用布缆系统工程监理规范》（GB/T 19668.2-2017）</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  《信息化工程监理规范 第3部分：电子设备机房系统工程监理规范》（GB/T 19668.3-2017）</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《信息化工程监理规范 第4部分：计算机网络系统工程监理规范》（GB/T 19668.4-2017）</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《信息化工程监理规范 第5部分：软件工程监理规范》（GB/T 19668.5-2018）《信息系统工程监理暂行规定》</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《信息系统工程监理暂行规定》</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上述规范和标准如发生不一致时，则以要求最为严格的规范、规程或标准作为工作依据。</w:t>
      </w:r>
    </w:p>
    <w:p>
      <w:pPr>
        <w:spacing w:line="360" w:lineRule="auto"/>
        <w:ind w:firstLine="420" w:firstLineChars="175"/>
        <w:rPr>
          <w:rFonts w:hint="eastAsia" w:ascii="宋体" w:hAnsi="宋体" w:eastAsia="宋体" w:cs="宋体"/>
          <w:color w:val="auto"/>
          <w:sz w:val="24"/>
          <w:szCs w:val="24"/>
        </w:rPr>
      </w:pPr>
      <w:bookmarkStart w:id="25" w:name="_Toc291076975"/>
      <w:bookmarkStart w:id="26" w:name="_Toc286644865"/>
      <w:bookmarkStart w:id="27" w:name="_Toc345317712"/>
      <w:r>
        <w:rPr>
          <w:rFonts w:hint="eastAsia" w:ascii="宋体" w:hAnsi="宋体" w:eastAsia="宋体" w:cs="宋体"/>
          <w:color w:val="auto"/>
          <w:sz w:val="24"/>
          <w:szCs w:val="24"/>
        </w:rPr>
        <w:t>四、监理任务说明与监理范围</w:t>
      </w:r>
      <w:bookmarkEnd w:id="25"/>
      <w:bookmarkEnd w:id="26"/>
      <w:bookmarkEnd w:id="27"/>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（一）监理任务说明</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24小时在线办理不动产登记业务项目   </w:t>
      </w:r>
      <w:r>
        <w:rPr>
          <w:rFonts w:hint="eastAsia" w:ascii="宋体" w:hAnsi="宋体" w:eastAsia="宋体" w:cs="宋体"/>
          <w:color w:val="auto"/>
          <w:sz w:val="24"/>
          <w:szCs w:val="24"/>
        </w:rPr>
        <w:t>的施工准备阶段、施工阶段、施工验收阶段、运行维护阶段全过程监理咨询。</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（二）基本项目建设内容</w:t>
      </w:r>
    </w:p>
    <w:p>
      <w:pPr>
        <w:spacing w:line="360" w:lineRule="auto"/>
        <w:ind w:firstLine="420" w:firstLineChars="175"/>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本项目监理范围为24小时在线办理不动产登记业务项目的所有建设内容，即对本项目的A包进行建设跟踪，直至竣工验收,具体建设内容详见A包用户需求书。</w:t>
      </w:r>
    </w:p>
    <w:p>
      <w:pPr>
        <w:spacing w:line="360" w:lineRule="auto"/>
        <w:ind w:firstLine="420" w:firstLineChars="175"/>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具体建设项目如下：</w:t>
      </w:r>
    </w:p>
    <w:p>
      <w:pPr>
        <w:spacing w:line="360" w:lineRule="auto"/>
        <w:ind w:firstLine="420" w:firstLineChars="175"/>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本次项目24小时在线办理不动产登记业务项目主要包括增量房网签信息采集、存量房网签信息采集、个人增量房交易申报、个人存量房交易申报、企业增量房交易申报、企业存量房交易申报、存量房经济适用房申报、增量房交易办税审核、存量房交易办税审核等26个业务功能建设。</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（三）、监理范围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本项目监理范围包括以下几项要素。投标人需要根据要素提交完整的监理计划书。</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1．计划管理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2．人员管理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3．质量管理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4．成本管理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5．进度管理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6．变更与风险管理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7．合同管理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8．安全管理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9．外购和外包管理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10．知识产权管理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11．沟通与协调管理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12．评估与验收管理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13．文档管理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14．数据采集及质量管理</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监理过程要覆盖系统以下各阶段：</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（1)系统实施阶段；</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（2)初验阶段；</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（3)试运行阶段；</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（4)项目终验阶段。</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（四）、监理职责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本项目监理工作内容如下：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按照“四控制、三管理、一协调”的原则，确保项目在规定的时间内完成，并实现项目建设的目标，本项目监理工作内容包括：</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A、项目组织及技术实施方案的把关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 审核承建单位的总体实施方案；</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2) 审核项目建设过程中各种关键技术的构建落实；</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3) 审核承建单位的施工组织方案及投标人提交的《项目实施计划》；</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4) 审核承建单位的质量保证计划、质量控制体系(含质量控制的关键性节点)；</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5) 审核承建单位的原代码管理方案；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6) 审核承建单位的测试方案；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7) 审核承建单位的进度计划和进度控制节点。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B、工程质量控制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（1）系统集成质量的控制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系统集成方案的进程控制；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2) 关键设备、网管软件质量技术指标和系统功能符合招标要求的控制；</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  3) 对采购的硬件设备的质量进行检验、测试和验收；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 对设备安装、系统软件的安装调试进行验收；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5) 对系统集成进行总体验收。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（2）应用软件开发质量的控制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软件部署阶段性计划的审核和确认；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对应用软件的需求分析、概要设计、详细设计进行完整性审查并对数据移植、系统测试联调及系统验收阶段各阶段进行把关；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对承建单位的开发质量进行记录审核；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 源代码、应用程序及相关文档的移交验收等；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5) 知识产权的控制。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（3）人员培训的质量控制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审核确认承建单位的培训计划；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监督承建单位实施其培训计划，并征求用户的反馈意见；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监督审查考核工作，评估培训效果；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 审核确认承建单位的培训总结报告。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（4）项目进度控制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审核承建单位的进度分解计划，确认分解计划可以保证总体计划目标；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对项目实施进度进行实时跟踪，并要求承建单位对进度计划进行动态调整，以确保项目的阶段和总体进度目标的实现；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当项目建设目标偏离时，应及时指出，并提出对策建议，同时监督承建单位采取措施进行补救。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C  投资控制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通过对工程实施过程的有效控制，确保投资效益在招标控制范围内；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协助建设单位做好项目支付预算的现金流量表，将付款进度与工程质量与形象进度结合起来。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D  合同管理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跟踪检查合同的执行情况，确保承建单位按时履约；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对合同工期的延误和延期进行审核申报；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对合同变更、索赔等事宜进行审核并向承建单位报告；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 根据合同约定，审核承建单位提交的支付申请，协助报签付款凭证。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E  信息管理／工程文档管理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做好监理日记及工程大事记；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做好合同批复等各类往来文件的批复和存档；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做好项目协调会、技术专题会等各项会议纪要；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 管理好实施期间的各类、各方技术文档；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5) 做好项目周报；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6) 做好监理建议书和监理通知书存档；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7) 阶段性项目总结。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F  经业主委托，负责协调本项目所涉及的各承建单位之间的工作关系，并协调解决项目建设过程中的各类纠纷。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（六）、项目进行各阶段的监理任务：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（1）项目实施阶段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A.项目实施准备阶段的监理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协助业主审核开工申请，确定开工日期；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报告承包商设备订单的订购和运输情况；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报告项目实施条件准备情况；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 报告承包商项目实施前期的人员组织、施工设备到位情况。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B. 项目实施阶段的监理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工程材料、硬件设备、系统软件的质量、到货时间的审核；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网络系统工程、软件工程等实施阶段的质量、进度监理评测和验收。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C. 试运行阶段的监理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监查系统的调试和试运行情况，记录系统试运行数据；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对试运行期系统进行检测和或测试，做出检测或测试报告；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对试运行期间系统出现的质量问题进行记录，并责成有关单位解决。解决问题后，进行二次监测。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D. 验收阶段的监理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 在业主的主持下，进行系统验收；</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2) 协助业主，配合相关部门完成网络安全测评，并对安全测评报告进行签收。</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系统验收完毕进入保修阶段的审核与签发移交证书：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 核实已完成工程的数量、质量，报送业主做为支付工程价款的依据。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E. 工程结束后的移交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系统的设计方案、设计图纸的全部移交：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设备、软件、材料等的验收文档核实；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项目实施文档的移交；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 项目竣工文档的移交；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5) 项目的整体移交。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F. 文档管理及组织协调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监理方负责整理记录归档业主单位与承建单位来往的文件、合同、协议及会议记录、电话记录等各种文档。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(七)、监理要求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本项目监理人应以第三方立场对软件开发、测试、验收、实施进行过程监督和把关，以协助建设单位圆满完成本工程为目的，协调建设单位和承建单位的合作关系，确保监理工作的公正性、公平性、公开性。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1.软件开发阶段的监理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1)审核确认承建方实际到位的项目实施人员与承诺到位的工作人员的一致性；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2)对现场与异地开发人员的工作内容、进度进行审核、监督；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3)软件开发、实施和培训等实施阶段的质量、进度监理评测和验收。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2.试运行阶段的监理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1)监查系统的调试和试运行情况，记录系统试运行数据；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2)对试运行期系统进行检测和测试，做出检测或测试报告；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3)对试运行期间系统出现的质量问题进行记录，并责成有关单位解决。解决问题后，进行二次监测。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3.验收阶段的监理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1)协助建设单位准备分阶段验收以及系统整体验收的相关材料。</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2)协助业主向相关部门申报并完成系统安全测评。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3)系统验收完毕进入保修阶段的审核与签发移交证书。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4)核实已完成工程的数量、质量，报送建设单位作为支付工程价款的依据。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5)出具竣工验收报告，督促整理承包合同文件的技术档案资料。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4.项目文档的移交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1)系统的设计方案、开发、实施、培训文档以及源代码等全部文档的移交：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2)工程竣工文档的移交；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3)项目文档的整体移交。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5.文档管理及组织协调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监理方负责整理记录归档建设单位与承建单位来往的文件、合同、协议及会议记录、电话记录等各种文档。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 (八)、监理组织要求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 本项目要求监理单位建立不少于</w:t>
      </w:r>
      <w:r>
        <w:rPr>
          <w:rFonts w:hint="eastAsia" w:ascii="宋体" w:hAnsi="宋体" w:eastAsia="宋体" w:cs="宋体"/>
          <w:color w:val="auto"/>
          <w:sz w:val="24"/>
          <w:szCs w:val="24"/>
          <w:u w:val="single"/>
        </w:rPr>
        <w:t xml:space="preserve"> 2  </w:t>
      </w:r>
      <w:r>
        <w:rPr>
          <w:rFonts w:hint="eastAsia" w:ascii="宋体" w:hAnsi="宋体" w:eastAsia="宋体" w:cs="宋体"/>
          <w:color w:val="auto"/>
          <w:sz w:val="24"/>
          <w:szCs w:val="24"/>
        </w:rPr>
        <w:t xml:space="preserve">人的专职监理机构（监理组），实行总监理师（监理组长）负责制，全程驻现场监理，监理组各专业配置应合理，除具备信息系统监理师资质，同时应配备具有信息系统项目管理师或网络工程师或软件评测师等资质的人员。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2.监理单位应根据项目需要和响应文件承诺，配备满足软件开发监理工作所需要的人员、设备和工具；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3.监理过程中，监理组人员应按科学、认真的工作态度开展监理工作，并承担采购单位与承建单位的信息保密义务。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4.在采购单位本身未提出更换的情况下，监理单位不得以任何理由提出更换总监理师和其它驻场的监理工程师，否则监理单位将首先承担违约罚款。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(九)、监理人员要求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监理人员应遵守以下执业规定：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1) 以“守法、诚信、公正、科学”的准则执业，维护采购方与承建方的合法权益；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2) 遵守并执行有关项目建设的法律、法规、规范、标准和制度；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3) 认真履行监理合同规定的义务和职责；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4) 不收受采购单位与承建单位的礼品或礼金；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5) 不泄漏采购单位与承建单位的合同条款、业务资料、商业秘密以及其他需要保密的事项；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6) 坚持依据相关规则与规定，公正、独立地协调和处理与监理工作相关的争议问题。 </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 xml:space="preserve">以上人员要求，供应商必须在响应文件内提供详细的承诺文件，该承诺文件作为项目合同的重要组成部分。 </w:t>
      </w:r>
    </w:p>
    <w:p>
      <w:pPr>
        <w:spacing w:line="360" w:lineRule="auto"/>
        <w:ind w:firstLine="420" w:firstLineChars="175"/>
        <w:rPr>
          <w:rFonts w:hint="eastAsia" w:ascii="宋体" w:hAnsi="宋体" w:eastAsia="宋体" w:cs="宋体"/>
          <w:color w:val="auto"/>
          <w:sz w:val="24"/>
          <w:szCs w:val="24"/>
        </w:rPr>
      </w:pPr>
      <w:bookmarkStart w:id="28" w:name="_Toc345317713"/>
      <w:bookmarkStart w:id="29" w:name="_Toc209923093"/>
      <w:r>
        <w:rPr>
          <w:rFonts w:hint="eastAsia" w:ascii="宋体" w:hAnsi="宋体" w:eastAsia="宋体" w:cs="宋体"/>
          <w:color w:val="auto"/>
          <w:sz w:val="24"/>
          <w:szCs w:val="24"/>
        </w:rPr>
        <w:t>五    监理咨询大纲</w:t>
      </w:r>
      <w:bookmarkEnd w:id="28"/>
      <w:bookmarkEnd w:id="29"/>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1、  编制的程序与依据应符合国家相关政策、法规的要求；</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2、  监理咨询大纲的编制要求符合工程实际要求，对整个工程监理咨询工作具有指导性作用；</w:t>
      </w:r>
    </w:p>
    <w:p>
      <w:pPr>
        <w:spacing w:line="360" w:lineRule="auto"/>
        <w:ind w:firstLine="420" w:firstLineChars="175"/>
        <w:rPr>
          <w:rFonts w:hint="eastAsia" w:ascii="宋体" w:hAnsi="宋体" w:eastAsia="宋体" w:cs="宋体"/>
          <w:color w:val="auto"/>
          <w:sz w:val="24"/>
          <w:szCs w:val="24"/>
        </w:rPr>
      </w:pPr>
      <w:r>
        <w:rPr>
          <w:rFonts w:hint="eastAsia" w:ascii="宋体" w:hAnsi="宋体" w:eastAsia="宋体" w:cs="宋体"/>
          <w:color w:val="auto"/>
          <w:sz w:val="24"/>
          <w:szCs w:val="24"/>
        </w:rPr>
        <w:t>3、  监理咨询大纲的编写应明确监理咨询组织机构及工作目标，确定具体的监理咨询工作制度、程序、方法和措施。</w:t>
      </w:r>
    </w:p>
    <w:p>
      <w:pPr>
        <w:spacing w:line="560" w:lineRule="exact"/>
        <w:ind w:firstLine="562" w:firstLineChars="200"/>
        <w:rPr>
          <w:rFonts w:ascii="宋体" w:hAnsi="宋体" w:eastAsia="宋体" w:cs="宋体"/>
          <w:b/>
          <w:bCs/>
          <w:color w:val="auto"/>
          <w:sz w:val="28"/>
          <w:szCs w:val="28"/>
        </w:rPr>
      </w:pP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、交付标准和要求：</w:t>
      </w:r>
    </w:p>
    <w:p>
      <w:pPr>
        <w:spacing w:line="440" w:lineRule="exact"/>
        <w:ind w:firstLine="480" w:firstLineChars="200"/>
        <w:rPr>
          <w:rFonts w:ascii="宋体" w:hAnsi="宋体" w:cs="宋体"/>
          <w:color w:val="auto"/>
          <w:sz w:val="24"/>
        </w:rPr>
      </w:pPr>
      <w:r>
        <w:rPr>
          <w:rFonts w:hint="eastAsia" w:ascii="宋体" w:hAnsi="宋体" w:cs="宋体"/>
          <w:color w:val="auto"/>
          <w:sz w:val="24"/>
        </w:rPr>
        <w:t>1、交付时间：合同签订生效之日</w:t>
      </w:r>
      <w:r>
        <w:rPr>
          <w:rFonts w:hint="eastAsia" w:ascii="宋体" w:hAnsi="宋体" w:cs="宋体"/>
          <w:color w:val="auto"/>
          <w:sz w:val="24"/>
          <w:lang w:eastAsia="zh-CN"/>
        </w:rPr>
        <w:t>起</w:t>
      </w:r>
      <w:r>
        <w:rPr>
          <w:rFonts w:hint="eastAsia" w:ascii="宋体" w:hAnsi="宋体" w:cs="宋体"/>
          <w:color w:val="auto"/>
          <w:sz w:val="24"/>
          <w:lang w:val="en-US" w:eastAsia="zh-CN"/>
        </w:rPr>
        <w:t>30天内</w:t>
      </w:r>
      <w:r>
        <w:rPr>
          <w:rFonts w:hint="eastAsia" w:ascii="宋体" w:hAnsi="宋体" w:cs="宋体"/>
          <w:color w:val="auto"/>
          <w:sz w:val="24"/>
        </w:rPr>
        <w:t>。</w:t>
      </w:r>
    </w:p>
    <w:p>
      <w:pPr>
        <w:spacing w:line="440" w:lineRule="exact"/>
        <w:ind w:firstLine="480" w:firstLineChars="200"/>
        <w:rPr>
          <w:rFonts w:ascii="宋体" w:hAnsi="宋体" w:cs="宋体"/>
          <w:color w:val="auto"/>
          <w:sz w:val="24"/>
        </w:rPr>
      </w:pPr>
      <w:r>
        <w:rPr>
          <w:rFonts w:hint="eastAsia" w:ascii="宋体" w:hAnsi="宋体" w:cs="宋体"/>
          <w:color w:val="auto"/>
          <w:sz w:val="24"/>
        </w:rPr>
        <w:t xml:space="preserve">2、交付地点：用户指定地点。 </w:t>
      </w:r>
    </w:p>
    <w:p>
      <w:pPr>
        <w:spacing w:line="440" w:lineRule="exact"/>
        <w:ind w:firstLine="480" w:firstLineChars="200"/>
        <w:rPr>
          <w:rFonts w:ascii="宋体" w:hAnsi="宋体" w:cs="宋体"/>
          <w:color w:val="auto"/>
          <w:sz w:val="24"/>
        </w:rPr>
      </w:pPr>
      <w:r>
        <w:rPr>
          <w:rFonts w:hint="eastAsia" w:ascii="宋体" w:hAnsi="宋体" w:cs="宋体"/>
          <w:color w:val="auto"/>
          <w:sz w:val="24"/>
        </w:rPr>
        <w:t>3、付款条件：采购双方签订合同时另行约定。</w:t>
      </w:r>
    </w:p>
    <w:p>
      <w:pPr>
        <w:spacing w:line="440" w:lineRule="exact"/>
        <w:ind w:firstLine="480" w:firstLineChars="200"/>
        <w:rPr>
          <w:rFonts w:ascii="Times New Roman" w:hAnsi="宋体" w:cs="Times New Roman"/>
          <w:color w:val="auto"/>
          <w:sz w:val="24"/>
        </w:rPr>
      </w:pPr>
      <w:r>
        <w:rPr>
          <w:rFonts w:hint="eastAsia" w:ascii="宋体" w:hAnsi="宋体" w:cs="宋体"/>
          <w:color w:val="auto"/>
          <w:sz w:val="24"/>
        </w:rPr>
        <w:t>4、验收要求：按招标文件技术参数进行验收</w:t>
      </w:r>
    </w:p>
    <w:p>
      <w:pPr>
        <w:pStyle w:val="2"/>
        <w:ind w:left="0" w:leftChars="0" w:firstLine="0" w:firstLineChars="0"/>
        <w:rPr>
          <w:rFonts w:hint="eastAsia" w:ascii="宋体" w:hAnsi="宋体" w:cs="宋体"/>
          <w:sz w:val="24"/>
        </w:rPr>
      </w:pPr>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矩形 1"/>
              <wp:cNvGraphicFramePr/>
              <a:graphic xmlns:a="http://schemas.openxmlformats.org/drawingml/2006/main">
                <a:graphicData uri="http://schemas.microsoft.com/office/word/2010/wordprocessingShape">
                  <wps:wsp>
                    <wps:cNvSpPr/>
                    <wps:spPr>
                      <a:xfrm>
                        <a:off x="0" y="0"/>
                        <a:ext cx="1215390" cy="173990"/>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wps:txbx>
                    <wps:bodyPr lIns="0" tIns="0" rIns="0" bIns="0" upright="0"/>
                  </wps:wsp>
                </a:graphicData>
              </a:graphic>
            </wp:anchor>
          </w:drawing>
        </mc:Choice>
        <mc:Fallback>
          <w:pict>
            <v:rect id="_x0000_s1026"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gCzxNYAAAAEAQAADwAAAAAAAAABACAAAAAiAAAAZHJz&#10;L2Rvd25yZXYueG1sUEsBAhQAFAAAAAgAh07iQFnEPfyUAQAAFwMAAA4AAAAAAAAAAQAgAAAAJQEA&#10;AGRycy9lMm9Eb2MueG1sUEsFBgAAAAAGAAYAWQEAACsF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v:textbox>
            </v:rect>
          </w:pict>
        </mc:Fallback>
      </mc:AlternateContent>
    </w:r>
    <w:r>
      <w:drawing>
        <wp:inline distT="0" distB="0" distL="114300" distR="114300">
          <wp:extent cx="1524635" cy="532130"/>
          <wp:effectExtent l="0" t="0" r="18415" b="1270"/>
          <wp:docPr id="2" name="图片 1"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和信源"/>
                  <pic:cNvPicPr>
                    <a:picLocks noChangeAspect="1"/>
                  </pic:cNvPicPr>
                </pic:nvPicPr>
                <pic:blipFill>
                  <a:blip r:embed="rId1"/>
                  <a:stretch>
                    <a:fillRect/>
                  </a:stretch>
                </pic:blipFill>
                <pic:spPr>
                  <a:xfrm>
                    <a:off x="0" y="0"/>
                    <a:ext cx="1524635" cy="5321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5924"/>
    <w:multiLevelType w:val="multilevel"/>
    <w:tmpl w:val="26C05924"/>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27668BF"/>
    <w:multiLevelType w:val="multilevel"/>
    <w:tmpl w:val="427668BF"/>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5DC8D006"/>
    <w:multiLevelType w:val="multilevel"/>
    <w:tmpl w:val="5DC8D006"/>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3">
    <w:nsid w:val="5DC8D05E"/>
    <w:multiLevelType w:val="multilevel"/>
    <w:tmpl w:val="5DC8D05E"/>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4">
    <w:nsid w:val="5DC8D0AB"/>
    <w:multiLevelType w:val="multilevel"/>
    <w:tmpl w:val="5DC8D0AB"/>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5">
    <w:nsid w:val="5DC8D0D7"/>
    <w:multiLevelType w:val="multilevel"/>
    <w:tmpl w:val="5DC8D0D7"/>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6">
    <w:nsid w:val="5DC8D0F8"/>
    <w:multiLevelType w:val="multilevel"/>
    <w:tmpl w:val="5DC8D0F8"/>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7">
    <w:nsid w:val="5DC8D103"/>
    <w:multiLevelType w:val="multilevel"/>
    <w:tmpl w:val="5DC8D103"/>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abstractNum w:abstractNumId="8">
    <w:nsid w:val="5DC8D10E"/>
    <w:multiLevelType w:val="multilevel"/>
    <w:tmpl w:val="5DC8D10E"/>
    <w:lvl w:ilvl="0" w:tentative="0">
      <w:start w:val="1"/>
      <w:numFmt w:val="japaneseCounting"/>
      <w:lvlText w:val="%1、"/>
      <w:lvlJc w:val="left"/>
      <w:pPr>
        <w:ind w:left="960" w:hanging="480"/>
      </w:pPr>
      <w:rPr>
        <w:rFonts w:hint="default" w:ascii="Times New Roman" w:hAnsi="Times New Roman" w:cs="Times New Roman"/>
      </w:rPr>
    </w:lvl>
    <w:lvl w:ilvl="1" w:tentative="0">
      <w:start w:val="1"/>
      <w:numFmt w:val="lowerLetter"/>
      <w:lvlText w:val="%2)"/>
      <w:lvlJc w:val="left"/>
      <w:pPr>
        <w:ind w:left="1320" w:hanging="420"/>
      </w:pPr>
      <w:rPr>
        <w:rFonts w:hint="default" w:ascii="Times New Roman" w:hAnsi="Times New Roman" w:cs="Times New Roman"/>
      </w:rPr>
    </w:lvl>
    <w:lvl w:ilvl="2" w:tentative="0">
      <w:start w:val="1"/>
      <w:numFmt w:val="decimal"/>
      <w:suff w:val="space"/>
      <w:lvlText w:val="%3)"/>
      <w:lvlJc w:val="left"/>
      <w:pPr>
        <w:ind w:left="1740" w:hanging="420"/>
      </w:pPr>
    </w:lvl>
    <w:lvl w:ilvl="3" w:tentative="0">
      <w:start w:val="1"/>
      <w:numFmt w:val="decimal"/>
      <w:lvlText w:val="%4."/>
      <w:lvlJc w:val="left"/>
      <w:pPr>
        <w:ind w:left="2160" w:hanging="420"/>
      </w:pPr>
      <w:rPr>
        <w:rFonts w:hint="default" w:ascii="Times New Roman" w:hAnsi="Times New Roman" w:cs="Times New Roman"/>
      </w:rPr>
    </w:lvl>
    <w:lvl w:ilvl="4" w:tentative="0">
      <w:start w:val="1"/>
      <w:numFmt w:val="lowerLetter"/>
      <w:lvlText w:val="%5)"/>
      <w:lvlJc w:val="left"/>
      <w:pPr>
        <w:ind w:left="2580" w:hanging="420"/>
      </w:pPr>
      <w:rPr>
        <w:rFonts w:hint="default" w:ascii="Times New Roman" w:hAnsi="Times New Roman" w:cs="Times New Roman"/>
      </w:rPr>
    </w:lvl>
    <w:lvl w:ilvl="5" w:tentative="0">
      <w:start w:val="1"/>
      <w:numFmt w:val="lowerRoman"/>
      <w:lvlText w:val="%6."/>
      <w:lvlJc w:val="right"/>
      <w:pPr>
        <w:ind w:left="3000" w:hanging="420"/>
      </w:pPr>
      <w:rPr>
        <w:rFonts w:hint="default" w:ascii="Times New Roman" w:hAnsi="Times New Roman" w:cs="Times New Roman"/>
      </w:rPr>
    </w:lvl>
    <w:lvl w:ilvl="6" w:tentative="0">
      <w:start w:val="1"/>
      <w:numFmt w:val="decimal"/>
      <w:lvlText w:val="%7."/>
      <w:lvlJc w:val="left"/>
      <w:pPr>
        <w:ind w:left="3420" w:hanging="420"/>
      </w:pPr>
      <w:rPr>
        <w:rFonts w:hint="default" w:ascii="Times New Roman" w:hAnsi="Times New Roman" w:cs="Times New Roman"/>
      </w:rPr>
    </w:lvl>
    <w:lvl w:ilvl="7" w:tentative="0">
      <w:start w:val="1"/>
      <w:numFmt w:val="lowerLetter"/>
      <w:lvlText w:val="%8)"/>
      <w:lvlJc w:val="left"/>
      <w:pPr>
        <w:ind w:left="3840" w:hanging="420"/>
      </w:pPr>
      <w:rPr>
        <w:rFonts w:hint="default" w:ascii="Times New Roman" w:hAnsi="Times New Roman" w:cs="Times New Roman"/>
      </w:rPr>
    </w:lvl>
    <w:lvl w:ilvl="8" w:tentative="0">
      <w:start w:val="1"/>
      <w:numFmt w:val="lowerRoman"/>
      <w:lvlText w:val="%9."/>
      <w:lvlJc w:val="right"/>
      <w:pPr>
        <w:ind w:left="4260" w:hanging="420"/>
      </w:pPr>
      <w:rPr>
        <w:rFonts w:hint="default" w:ascii="Times New Roman" w:hAnsi="Times New Roman" w:cs="Times New Roman"/>
      </w:rPr>
    </w:lvl>
  </w:abstractNum>
  <w:num w:numId="1">
    <w:abstractNumId w:val="0"/>
  </w:num>
  <w:num w:numId="2">
    <w:abstractNumId w:val="1"/>
  </w:num>
  <w:num w:numId="3">
    <w:abstractNumId w:val="3"/>
  </w:num>
  <w:num w:numId="4">
    <w:abstractNumId w:val="5"/>
  </w:num>
  <w:num w:numId="5">
    <w:abstractNumId w:val="8"/>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67A58"/>
    <w:rsid w:val="7403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contextualSpacing/>
    </w:pPr>
    <w:rPr>
      <w:rFonts w:eastAsia="仿宋"/>
      <w:szCs w:val="2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customStyle="1" w:styleId="9">
    <w:name w:val="List Paragraph1"/>
    <w:basedOn w:val="1"/>
    <w:qFormat/>
    <w:uiPriority w:val="99"/>
    <w:pPr>
      <w:ind w:firstLine="420" w:firstLineChars="200"/>
    </w:pPr>
  </w:style>
  <w:style w:type="paragraph" w:styleId="10">
    <w:name w:val="List Paragraph"/>
    <w:basedOn w:val="1"/>
    <w:qFormat/>
    <w:uiPriority w:val="99"/>
    <w:pPr>
      <w:ind w:firstLine="420" w:firstLineChars="200"/>
    </w:pPr>
    <w:rPr>
      <w:rFonts w:ascii="Calibri" w:hAnsi="Calibri"/>
      <w:szCs w:val="22"/>
    </w:rPr>
  </w:style>
  <w:style w:type="paragraph" w:customStyle="1" w:styleId="11">
    <w:name w:val="my正文"/>
    <w:basedOn w:val="1"/>
    <w:qFormat/>
    <w:uiPriority w:val="0"/>
    <w:pPr>
      <w:spacing w:line="360" w:lineRule="auto"/>
      <w:ind w:firstLine="48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0" Type="http://schemas.openxmlformats.org/officeDocument/2006/relationships/fontTable" Target="fontTable.xml"/><Relationship Id="rId4" Type="http://schemas.openxmlformats.org/officeDocument/2006/relationships/theme" Target="theme/theme1.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file:///C:\Users\ADMINI~1\AppData\Local\Temp\ksohtml\wpsA037.tmp.png" TargetMode="External"/><Relationship Id="rId36" Type="http://schemas.openxmlformats.org/officeDocument/2006/relationships/image" Target="media/image24.png"/><Relationship Id="rId35" Type="http://schemas.openxmlformats.org/officeDocument/2006/relationships/image" Target="file:///C:\Users\ADMINI~1\AppData\Local\Temp\ksohtml\wpsA036.tmp.png" TargetMode="External"/><Relationship Id="rId34" Type="http://schemas.openxmlformats.org/officeDocument/2006/relationships/image" Target="media/image23.png"/><Relationship Id="rId33" Type="http://schemas.openxmlformats.org/officeDocument/2006/relationships/image" Target="file:///C:\Users\ADMINI~1\AppData\Local\Temp\ksohtml\wpsA035.tmp.png" TargetMode="External"/><Relationship Id="rId32" Type="http://schemas.openxmlformats.org/officeDocument/2006/relationships/image" Target="media/image22.png"/><Relationship Id="rId31" Type="http://schemas.openxmlformats.org/officeDocument/2006/relationships/image" Target="file:///C:\Users\ADMINI~1\AppData\Local\Temp\ksohtml\wpsA024.tmp.png" TargetMode="External"/><Relationship Id="rId30" Type="http://schemas.openxmlformats.org/officeDocument/2006/relationships/image" Target="media/image21.png"/><Relationship Id="rId3" Type="http://schemas.openxmlformats.org/officeDocument/2006/relationships/footer" Target="footer1.xml"/><Relationship Id="rId29" Type="http://schemas.openxmlformats.org/officeDocument/2006/relationships/image" Target="file:///C:\Users\ADMINI~1\AppData\Local\Temp\ksohtml\wpsA023.tmp.png" TargetMode="External"/><Relationship Id="rId28" Type="http://schemas.openxmlformats.org/officeDocument/2006/relationships/image" Target="media/image20.png"/><Relationship Id="rId27" Type="http://schemas.openxmlformats.org/officeDocument/2006/relationships/image" Target="file:///C:\Users\ADMINI~1\AppData\Local\Temp\ksohtml\wpsA022.tmp.png" TargetMode="External"/><Relationship Id="rId26" Type="http://schemas.openxmlformats.org/officeDocument/2006/relationships/image" Target="media/image19.png"/><Relationship Id="rId25" Type="http://schemas.openxmlformats.org/officeDocument/2006/relationships/image" Target="file:///C:\Users\ADMINI~1\AppData\Local\Temp\ksohtml\wpsA021.tmp.png" TargetMode="External"/><Relationship Id="rId24" Type="http://schemas.openxmlformats.org/officeDocument/2006/relationships/image" Target="media/image18.pn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file:///C:\Users\ADMINI~1\AppData\Local\Temp\ksohtml\wpsA00F.tmp.png" TargetMode="Externa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file:///C:\Users\ADMINI~1\AppData\Local\Temp\ksohtml\wpsA00E.tmp.png" TargetMode="External"/><Relationship Id="rId18" Type="http://schemas.openxmlformats.org/officeDocument/2006/relationships/image" Target="media/image14.png"/><Relationship Id="rId17" Type="http://schemas.openxmlformats.org/officeDocument/2006/relationships/image" Target="file:///C:\Users\ADMINI~1\AppData\Local\Temp\ksohtml\wps9FFD.tmp.png" TargetMode="External"/><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2020-07-15T07:06:00Z</dcterms:created>
  <dc:creator>Administrator</dc:creator>
  <cp:lastModifiedBy>Administrator</cp:lastModifiedBy>
  <dcterms:modified xsi:type="dcterms:W3CDTF">2020-07-15T07:15:45Z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