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62" w:rsidRDefault="00C10F62" w:rsidP="00C10F62">
      <w:pPr>
        <w:pStyle w:val="1"/>
        <w:spacing w:after="100" w:line="360" w:lineRule="auto"/>
        <w:jc w:val="center"/>
        <w:rPr>
          <w:sz w:val="36"/>
          <w:szCs w:val="36"/>
        </w:rPr>
      </w:pPr>
      <w:bookmarkStart w:id="0" w:name="_Toc13828"/>
      <w:bookmarkStart w:id="1" w:name="_Toc4289"/>
      <w:bookmarkStart w:id="2" w:name="_Toc32315"/>
      <w:bookmarkStart w:id="3" w:name="_Toc12669"/>
      <w:bookmarkStart w:id="4" w:name="_Toc26702"/>
      <w:bookmarkStart w:id="5" w:name="_GoBack"/>
      <w:r>
        <w:rPr>
          <w:rFonts w:hint="eastAsia"/>
          <w:sz w:val="36"/>
          <w:szCs w:val="36"/>
        </w:rPr>
        <w:t>第三章</w:t>
      </w:r>
      <w:bookmarkStart w:id="6" w:name="_Toc8629"/>
      <w:bookmarkStart w:id="7" w:name="_Toc457306207"/>
      <w:bookmarkEnd w:id="0"/>
      <w:bookmarkEnd w:id="1"/>
      <w:r>
        <w:rPr>
          <w:sz w:val="36"/>
          <w:szCs w:val="36"/>
        </w:rPr>
        <w:t xml:space="preserve">  </w:t>
      </w:r>
      <w:r>
        <w:rPr>
          <w:rFonts w:hint="eastAsia"/>
          <w:sz w:val="36"/>
          <w:szCs w:val="36"/>
        </w:rPr>
        <w:t>用户采购需求</w:t>
      </w:r>
      <w:bookmarkEnd w:id="2"/>
      <w:bookmarkEnd w:id="3"/>
      <w:bookmarkEnd w:id="4"/>
      <w:bookmarkEnd w:id="6"/>
      <w:bookmarkEnd w:id="7"/>
    </w:p>
    <w:p w:rsidR="00C10F62" w:rsidRDefault="00C10F62" w:rsidP="00C10F62">
      <w:pPr>
        <w:rPr>
          <w:rFonts w:ascii="宋体" w:hAnsi="宋体"/>
          <w:bCs/>
          <w:sz w:val="28"/>
          <w:szCs w:val="28"/>
          <w:lang w:eastAsia="x-none"/>
        </w:rPr>
      </w:pPr>
      <w:r>
        <w:rPr>
          <w:rFonts w:ascii="宋体" w:hAnsi="宋体" w:hint="eastAsia"/>
          <w:bCs/>
          <w:sz w:val="28"/>
          <w:szCs w:val="28"/>
          <w:lang w:val="x-none" w:eastAsia="x-none"/>
        </w:rPr>
        <w:t>一、项目背景及意义</w:t>
      </w:r>
    </w:p>
    <w:p w:rsidR="00C10F62" w:rsidRDefault="00C10F62" w:rsidP="00C10F62">
      <w:pPr>
        <w:ind w:firstLineChars="200" w:firstLine="480"/>
        <w:rPr>
          <w:rFonts w:ascii="宋体" w:hAnsi="宋体" w:hint="eastAsia"/>
          <w:bCs/>
          <w:sz w:val="24"/>
          <w:lang w:eastAsia="x-none"/>
        </w:rPr>
      </w:pPr>
      <w:r>
        <w:rPr>
          <w:rFonts w:ascii="宋体" w:hAnsi="宋体" w:hint="eastAsia"/>
          <w:bCs/>
          <w:sz w:val="24"/>
          <w:lang w:val="x-none" w:eastAsia="x-none"/>
        </w:rPr>
        <w:t>为贯彻落实习近平总书记“</w:t>
      </w:r>
      <w:r>
        <w:rPr>
          <w:rFonts w:ascii="宋体" w:hAnsi="宋体" w:hint="eastAsia"/>
          <w:bCs/>
          <w:sz w:val="24"/>
          <w:lang w:eastAsia="x-none"/>
        </w:rPr>
        <w:t>4</w:t>
      </w:r>
      <w:r>
        <w:rPr>
          <w:rFonts w:ascii="宋体" w:hAnsi="宋体" w:hint="eastAsia"/>
          <w:bCs/>
          <w:sz w:val="24"/>
          <w:lang w:val="x-none" w:eastAsia="x-none"/>
        </w:rPr>
        <w:t>·</w:t>
      </w:r>
      <w:r>
        <w:rPr>
          <w:rFonts w:ascii="宋体" w:hAnsi="宋体" w:hint="eastAsia"/>
          <w:bCs/>
          <w:sz w:val="24"/>
          <w:lang w:eastAsia="x-none"/>
        </w:rPr>
        <w:t>13</w:t>
      </w:r>
      <w:r>
        <w:rPr>
          <w:rFonts w:ascii="宋体" w:hAnsi="宋体" w:hint="eastAsia"/>
          <w:bCs/>
          <w:sz w:val="24"/>
          <w:lang w:val="x-none" w:eastAsia="x-none"/>
        </w:rPr>
        <w:t>”重要讲话、中央</w:t>
      </w:r>
      <w:r>
        <w:rPr>
          <w:rFonts w:ascii="宋体" w:hAnsi="宋体" w:hint="eastAsia"/>
          <w:bCs/>
          <w:sz w:val="24"/>
          <w:lang w:eastAsia="x-none"/>
        </w:rPr>
        <w:t>12</w:t>
      </w:r>
      <w:r>
        <w:rPr>
          <w:rFonts w:ascii="宋体" w:hAnsi="宋体" w:hint="eastAsia"/>
          <w:bCs/>
          <w:sz w:val="24"/>
          <w:lang w:val="x-none" w:eastAsia="x-none"/>
        </w:rPr>
        <w:t>号文件精神和省委七届四次全会精神，按照省委、省政府建设海南自由贸易试验区和中国特色自由贸易港的有关工作部署，</w:t>
      </w:r>
      <w:r>
        <w:rPr>
          <w:rFonts w:ascii="宋体" w:hAnsi="宋体" w:hint="eastAsia"/>
          <w:bCs/>
          <w:sz w:val="24"/>
          <w:lang w:eastAsia="x-none"/>
        </w:rPr>
        <w:t>2018</w:t>
      </w:r>
      <w:r>
        <w:rPr>
          <w:rFonts w:ascii="宋体" w:hAnsi="宋体" w:hint="eastAsia"/>
          <w:bCs/>
          <w:sz w:val="24"/>
          <w:lang w:val="x-none" w:eastAsia="x-none"/>
        </w:rPr>
        <w:t>年</w:t>
      </w:r>
      <w:r>
        <w:rPr>
          <w:rFonts w:ascii="宋体" w:hAnsi="宋体" w:hint="eastAsia"/>
          <w:bCs/>
          <w:sz w:val="24"/>
          <w:lang w:eastAsia="x-none"/>
        </w:rPr>
        <w:t>6</w:t>
      </w:r>
      <w:r>
        <w:rPr>
          <w:rFonts w:ascii="宋体" w:hAnsi="宋体" w:hint="eastAsia"/>
          <w:bCs/>
          <w:sz w:val="24"/>
          <w:lang w:val="x-none" w:eastAsia="x-none"/>
        </w:rPr>
        <w:t>月</w:t>
      </w:r>
      <w:r>
        <w:rPr>
          <w:rFonts w:ascii="宋体" w:hAnsi="宋体" w:hint="eastAsia"/>
          <w:bCs/>
          <w:sz w:val="24"/>
          <w:lang w:eastAsia="x-none"/>
        </w:rPr>
        <w:t>~10</w:t>
      </w:r>
      <w:r>
        <w:rPr>
          <w:rFonts w:ascii="宋体" w:hAnsi="宋体" w:hint="eastAsia"/>
          <w:bCs/>
          <w:sz w:val="24"/>
          <w:lang w:val="x-none" w:eastAsia="x-none"/>
        </w:rPr>
        <w:t>月，三亚市政府对“三亚城市核心区迎宾路两侧的凤凰海岸、月川、东岸、海罗四个实施单元进行城市设计方案进行国际征集及方案整合”，并已开展编制各单元控规，为接下来的分单元、分片区、分期分批开发建设提供了上位规划依据、奠定了扎实的基础。</w:t>
      </w:r>
    </w:p>
    <w:p w:rsidR="00C10F62" w:rsidRDefault="00C10F62" w:rsidP="00C10F62">
      <w:pPr>
        <w:ind w:firstLineChars="200" w:firstLine="480"/>
        <w:rPr>
          <w:rFonts w:ascii="宋体" w:hAnsi="宋体" w:hint="eastAsia"/>
          <w:bCs/>
          <w:sz w:val="24"/>
          <w:lang w:eastAsia="x-none"/>
        </w:rPr>
      </w:pPr>
      <w:r>
        <w:rPr>
          <w:rFonts w:ascii="宋体" w:hAnsi="宋体" w:hint="eastAsia"/>
          <w:bCs/>
          <w:sz w:val="24"/>
          <w:lang w:val="x-none" w:eastAsia="x-none"/>
        </w:rPr>
        <w:t>其中“三亚东岸单元东部区域”是首批重点实施区域，核心包括</w:t>
      </w:r>
      <w:r>
        <w:rPr>
          <w:rFonts w:ascii="宋体" w:hAnsi="宋体" w:hint="eastAsia"/>
          <w:bCs/>
          <w:sz w:val="24"/>
          <w:lang w:eastAsia="x-none"/>
        </w:rPr>
        <w:t>DA2-29-06A/B,DA2-29-07,DA2-39-02,DA2-40-01A\B,DA2-42-01,DA2-44-01</w:t>
      </w:r>
      <w:r>
        <w:rPr>
          <w:rFonts w:ascii="宋体" w:hAnsi="宋体" w:hint="eastAsia"/>
          <w:bCs/>
          <w:sz w:val="24"/>
          <w:lang w:val="x-none" w:eastAsia="x-none"/>
        </w:rPr>
        <w:t>，</w:t>
      </w:r>
      <w:r>
        <w:rPr>
          <w:rFonts w:ascii="宋体" w:hAnsi="宋体" w:hint="eastAsia"/>
          <w:bCs/>
          <w:sz w:val="24"/>
          <w:lang w:eastAsia="x-none"/>
        </w:rPr>
        <w:t>DA2-46-01A\B</w:t>
      </w:r>
      <w:r>
        <w:rPr>
          <w:rFonts w:ascii="宋体" w:hAnsi="宋体" w:hint="eastAsia"/>
          <w:bCs/>
          <w:sz w:val="24"/>
          <w:lang w:val="x-none" w:eastAsia="x-none"/>
        </w:rPr>
        <w:t>，</w:t>
      </w:r>
      <w:r>
        <w:rPr>
          <w:rFonts w:ascii="宋体" w:hAnsi="宋体" w:hint="eastAsia"/>
          <w:bCs/>
          <w:sz w:val="24"/>
          <w:lang w:eastAsia="x-none"/>
        </w:rPr>
        <w:t>DA2-47-01</w:t>
      </w:r>
      <w:r>
        <w:rPr>
          <w:rFonts w:ascii="宋体" w:hAnsi="宋体" w:hint="eastAsia"/>
          <w:bCs/>
          <w:sz w:val="24"/>
          <w:lang w:val="x-none" w:eastAsia="x-none"/>
        </w:rPr>
        <w:t>，</w:t>
      </w:r>
      <w:r>
        <w:rPr>
          <w:rFonts w:ascii="宋体" w:hAnsi="宋体" w:hint="eastAsia"/>
          <w:bCs/>
          <w:sz w:val="24"/>
          <w:lang w:eastAsia="x-none"/>
        </w:rPr>
        <w:t>DA2-52-03</w:t>
      </w:r>
      <w:r>
        <w:rPr>
          <w:rFonts w:ascii="宋体" w:hAnsi="宋体" w:hint="eastAsia"/>
          <w:bCs/>
          <w:sz w:val="24"/>
          <w:lang w:val="x-none" w:eastAsia="x-none"/>
        </w:rPr>
        <w:t>等共计</w:t>
      </w:r>
      <w:r>
        <w:rPr>
          <w:rFonts w:ascii="宋体" w:hAnsi="宋体" w:hint="eastAsia"/>
          <w:bCs/>
          <w:sz w:val="24"/>
          <w:lang w:eastAsia="x-none"/>
        </w:rPr>
        <w:t>12</w:t>
      </w:r>
      <w:r>
        <w:rPr>
          <w:rFonts w:ascii="宋体" w:hAnsi="宋体" w:hint="eastAsia"/>
          <w:bCs/>
          <w:sz w:val="24"/>
          <w:lang w:val="x-none" w:eastAsia="x-none"/>
        </w:rPr>
        <w:t>个新建地块，含已建街坊共计</w:t>
      </w:r>
      <w:r>
        <w:rPr>
          <w:rFonts w:ascii="宋体" w:hAnsi="宋体" w:hint="eastAsia"/>
          <w:bCs/>
          <w:sz w:val="24"/>
          <w:lang w:eastAsia="x-none"/>
        </w:rPr>
        <w:t>11</w:t>
      </w:r>
      <w:r>
        <w:rPr>
          <w:rFonts w:ascii="宋体" w:hAnsi="宋体" w:hint="eastAsia"/>
          <w:bCs/>
          <w:sz w:val="24"/>
          <w:lang w:val="x-none" w:eastAsia="x-none"/>
        </w:rPr>
        <w:t>个街坊，同时统筹考虑与周边</w:t>
      </w:r>
      <w:r>
        <w:rPr>
          <w:rFonts w:ascii="宋体" w:hAnsi="宋体" w:hint="eastAsia"/>
          <w:bCs/>
          <w:sz w:val="24"/>
          <w:lang w:eastAsia="x-none"/>
        </w:rPr>
        <w:t>DA2-15-04</w:t>
      </w:r>
      <w:r>
        <w:rPr>
          <w:rFonts w:ascii="宋体" w:hAnsi="宋体" w:hint="eastAsia"/>
          <w:bCs/>
          <w:sz w:val="24"/>
          <w:lang w:val="x-none" w:eastAsia="x-none"/>
        </w:rPr>
        <w:t>、</w:t>
      </w:r>
      <w:r>
        <w:rPr>
          <w:rFonts w:ascii="宋体" w:hAnsi="宋体" w:hint="eastAsia"/>
          <w:bCs/>
          <w:sz w:val="24"/>
          <w:lang w:eastAsia="x-none"/>
        </w:rPr>
        <w:t>DA2-29-03</w:t>
      </w:r>
      <w:r>
        <w:rPr>
          <w:rFonts w:ascii="宋体" w:hAnsi="宋体" w:hint="eastAsia"/>
          <w:bCs/>
          <w:sz w:val="24"/>
          <w:lang w:val="x-none" w:eastAsia="x-none"/>
        </w:rPr>
        <w:t>、</w:t>
      </w:r>
      <w:r>
        <w:rPr>
          <w:rFonts w:ascii="宋体" w:hAnsi="宋体" w:hint="eastAsia"/>
          <w:bCs/>
          <w:sz w:val="24"/>
          <w:lang w:eastAsia="x-none"/>
        </w:rPr>
        <w:t>DA2-15-05A</w:t>
      </w:r>
      <w:r>
        <w:rPr>
          <w:rFonts w:ascii="宋体" w:hAnsi="宋体" w:hint="eastAsia"/>
          <w:bCs/>
          <w:sz w:val="24"/>
          <w:lang w:val="x-none" w:eastAsia="x-none"/>
        </w:rPr>
        <w:t>、</w:t>
      </w:r>
      <w:r>
        <w:rPr>
          <w:rFonts w:ascii="宋体" w:hAnsi="宋体" w:hint="eastAsia"/>
          <w:bCs/>
          <w:sz w:val="24"/>
          <w:lang w:eastAsia="x-none"/>
        </w:rPr>
        <w:t>DA2-15-05B</w:t>
      </w:r>
      <w:r>
        <w:rPr>
          <w:rFonts w:ascii="宋体" w:hAnsi="宋体" w:hint="eastAsia"/>
          <w:bCs/>
          <w:sz w:val="24"/>
          <w:lang w:val="x-none" w:eastAsia="x-none"/>
        </w:rPr>
        <w:t>等地块的整体联系。核心新建地块总用地约</w:t>
      </w:r>
      <w:r>
        <w:rPr>
          <w:rFonts w:ascii="宋体" w:hAnsi="宋体" w:hint="eastAsia"/>
          <w:bCs/>
          <w:sz w:val="24"/>
          <w:lang w:eastAsia="x-none"/>
        </w:rPr>
        <w:t>20.7</w:t>
      </w:r>
      <w:r>
        <w:rPr>
          <w:rFonts w:ascii="宋体" w:hAnsi="宋体" w:hint="eastAsia"/>
          <w:bCs/>
          <w:sz w:val="24"/>
          <w:lang w:val="x-none" w:eastAsia="x-none"/>
        </w:rPr>
        <w:t>公顷（</w:t>
      </w:r>
      <w:r>
        <w:rPr>
          <w:rFonts w:ascii="宋体" w:hAnsi="宋体" w:hint="eastAsia"/>
          <w:bCs/>
          <w:sz w:val="24"/>
          <w:lang w:eastAsia="x-none"/>
        </w:rPr>
        <w:t>310</w:t>
      </w:r>
      <w:r>
        <w:rPr>
          <w:rFonts w:ascii="宋体" w:hAnsi="宋体" w:hint="eastAsia"/>
          <w:bCs/>
          <w:sz w:val="24"/>
          <w:lang w:val="x-none" w:eastAsia="x-none"/>
        </w:rPr>
        <w:t>亩），总建设量约</w:t>
      </w:r>
      <w:r>
        <w:rPr>
          <w:rFonts w:ascii="宋体" w:hAnsi="宋体" w:hint="eastAsia"/>
          <w:bCs/>
          <w:sz w:val="24"/>
          <w:lang w:eastAsia="x-none"/>
        </w:rPr>
        <w:t>61.5</w:t>
      </w:r>
      <w:r>
        <w:rPr>
          <w:rFonts w:ascii="宋体" w:hAnsi="宋体" w:hint="eastAsia"/>
          <w:bCs/>
          <w:sz w:val="24"/>
          <w:lang w:val="x-none" w:eastAsia="x-none"/>
        </w:rPr>
        <w:t>万平方米。其基本功能为“借助公园活力和整体绿色骨架，打造拥有顶级消费轴的高端综合办公区”，以集中展现东岸单元的“总部经济区</w:t>
      </w:r>
      <w:r>
        <w:rPr>
          <w:rFonts w:ascii="宋体" w:hAnsi="宋体" w:hint="eastAsia"/>
          <w:bCs/>
          <w:sz w:val="24"/>
          <w:lang w:eastAsia="x-none"/>
        </w:rPr>
        <w:t>+</w:t>
      </w:r>
      <w:r>
        <w:rPr>
          <w:rFonts w:ascii="宋体" w:hAnsi="宋体" w:hint="eastAsia"/>
          <w:bCs/>
          <w:sz w:val="24"/>
          <w:lang w:val="x-none" w:eastAsia="x-none"/>
        </w:rPr>
        <w:t>顶级消费圈”的城市形象、成为标杆建设区域。</w:t>
      </w:r>
    </w:p>
    <w:p w:rsidR="00C10F62" w:rsidRDefault="00C10F62" w:rsidP="00C10F62">
      <w:pPr>
        <w:rPr>
          <w:rFonts w:ascii="宋体" w:hAnsi="宋体" w:hint="eastAsia"/>
          <w:bCs/>
          <w:sz w:val="28"/>
          <w:szCs w:val="28"/>
          <w:lang w:eastAsia="x-none"/>
        </w:rPr>
      </w:pPr>
      <w:r>
        <w:rPr>
          <w:rFonts w:ascii="宋体" w:hAnsi="宋体" w:hint="eastAsia"/>
          <w:bCs/>
          <w:sz w:val="28"/>
          <w:szCs w:val="28"/>
          <w:lang w:val="x-none" w:eastAsia="x-none"/>
        </w:rPr>
        <w:t>二、工作内容</w:t>
      </w:r>
    </w:p>
    <w:p w:rsidR="00C10F62" w:rsidRDefault="00C10F62" w:rsidP="00C10F62">
      <w:pPr>
        <w:rPr>
          <w:rFonts w:ascii="宋体" w:hAnsi="宋体" w:hint="eastAsia"/>
          <w:bCs/>
          <w:sz w:val="24"/>
          <w:lang w:eastAsia="x-none"/>
        </w:rPr>
      </w:pPr>
      <w:r>
        <w:rPr>
          <w:rFonts w:ascii="宋体" w:hAnsi="宋体" w:hint="eastAsia"/>
          <w:bCs/>
          <w:sz w:val="24"/>
          <w:lang w:eastAsia="x-none"/>
        </w:rPr>
        <w:t xml:space="preserve">2.1 </w:t>
      </w:r>
      <w:r>
        <w:rPr>
          <w:rFonts w:ascii="宋体" w:hAnsi="宋体" w:hint="eastAsia"/>
          <w:bCs/>
          <w:sz w:val="24"/>
          <w:lang w:val="x-none" w:eastAsia="x-none"/>
        </w:rPr>
        <w:t>上位规划依据：</w:t>
      </w:r>
    </w:p>
    <w:p w:rsidR="00C10F62" w:rsidRDefault="00C10F62" w:rsidP="00C10F62">
      <w:pPr>
        <w:rPr>
          <w:rFonts w:ascii="宋体" w:hAnsi="宋体" w:hint="eastAsia"/>
          <w:bCs/>
          <w:sz w:val="24"/>
          <w:lang w:eastAsia="x-none"/>
        </w:rPr>
      </w:pPr>
      <w:r>
        <w:rPr>
          <w:rFonts w:ascii="宋体" w:hAnsi="宋体" w:hint="eastAsia"/>
          <w:bCs/>
          <w:sz w:val="24"/>
          <w:lang w:val="x-none" w:eastAsia="x-none"/>
        </w:rPr>
        <w:t>《东岸单元控规图则》</w:t>
      </w:r>
      <w:r>
        <w:rPr>
          <w:rFonts w:ascii="宋体" w:hAnsi="宋体" w:hint="eastAsia"/>
          <w:bCs/>
          <w:sz w:val="24"/>
          <w:lang w:eastAsia="x-none"/>
        </w:rPr>
        <w:t>;</w:t>
      </w:r>
      <w:r>
        <w:rPr>
          <w:rFonts w:ascii="宋体" w:hAnsi="宋体" w:hint="eastAsia"/>
          <w:bCs/>
          <w:sz w:val="24"/>
          <w:lang w:val="x-none" w:eastAsia="x-none"/>
        </w:rPr>
        <w:t>《东岸单元城市设计国际竞赛综合方案》</w:t>
      </w:r>
      <w:r>
        <w:rPr>
          <w:rFonts w:ascii="宋体" w:hAnsi="宋体" w:hint="eastAsia"/>
          <w:bCs/>
          <w:sz w:val="24"/>
          <w:lang w:eastAsia="x-none"/>
        </w:rPr>
        <w:t>;</w:t>
      </w:r>
      <w:r>
        <w:rPr>
          <w:rFonts w:ascii="宋体" w:hAnsi="宋体" w:hint="eastAsia"/>
          <w:bCs/>
          <w:sz w:val="24"/>
          <w:lang w:val="x-none" w:eastAsia="x-none"/>
        </w:rPr>
        <w:t>三亚市其他相关规划管理要求和依据。</w:t>
      </w:r>
    </w:p>
    <w:p w:rsidR="00C10F62" w:rsidRDefault="00C10F62" w:rsidP="00C10F62">
      <w:pPr>
        <w:rPr>
          <w:rFonts w:ascii="宋体" w:hAnsi="宋体" w:hint="eastAsia"/>
          <w:bCs/>
          <w:sz w:val="24"/>
          <w:lang w:eastAsia="x-none"/>
        </w:rPr>
      </w:pPr>
      <w:r>
        <w:rPr>
          <w:rFonts w:ascii="宋体" w:hAnsi="宋体" w:hint="eastAsia"/>
          <w:bCs/>
          <w:sz w:val="24"/>
          <w:lang w:eastAsia="x-none"/>
        </w:rPr>
        <w:t xml:space="preserve">2.2 </w:t>
      </w:r>
      <w:r>
        <w:rPr>
          <w:rFonts w:ascii="宋体" w:hAnsi="宋体" w:hint="eastAsia"/>
          <w:bCs/>
          <w:sz w:val="24"/>
          <w:lang w:val="x-none" w:eastAsia="x-none"/>
        </w:rPr>
        <w:t>主要工作内容：</w:t>
      </w:r>
    </w:p>
    <w:p w:rsidR="00C10F62" w:rsidRDefault="00C10F62" w:rsidP="00C10F62">
      <w:pPr>
        <w:rPr>
          <w:rFonts w:ascii="宋体" w:hAnsi="宋体" w:hint="eastAsia"/>
          <w:bCs/>
          <w:sz w:val="24"/>
          <w:lang w:eastAsia="x-none"/>
        </w:rPr>
      </w:pPr>
      <w:r>
        <w:rPr>
          <w:rFonts w:ascii="宋体" w:hAnsi="宋体" w:hint="eastAsia"/>
          <w:bCs/>
          <w:sz w:val="24"/>
          <w:lang w:val="x-none" w:eastAsia="x-none"/>
        </w:rPr>
        <w:t>本次“三亚东岸单元东部区域整体开发精细化城市设计及导则</w:t>
      </w:r>
      <w:r>
        <w:rPr>
          <w:rFonts w:ascii="宋体" w:hAnsi="宋体" w:hint="eastAsia"/>
          <w:bCs/>
          <w:sz w:val="24"/>
          <w:lang w:eastAsia="x-none"/>
        </w:rPr>
        <w:t>(</w:t>
      </w:r>
      <w:r>
        <w:rPr>
          <w:rFonts w:ascii="宋体" w:hAnsi="宋体" w:hint="eastAsia"/>
          <w:bCs/>
          <w:sz w:val="24"/>
          <w:lang w:val="x-none" w:eastAsia="x-none"/>
        </w:rPr>
        <w:t>二次招标</w:t>
      </w:r>
      <w:r>
        <w:rPr>
          <w:rFonts w:ascii="宋体" w:hAnsi="宋体" w:hint="eastAsia"/>
          <w:bCs/>
          <w:sz w:val="24"/>
          <w:lang w:eastAsia="x-none"/>
        </w:rPr>
        <w:t>)</w:t>
      </w:r>
      <w:r>
        <w:rPr>
          <w:rFonts w:ascii="宋体" w:hAnsi="宋体" w:hint="eastAsia"/>
          <w:bCs/>
          <w:sz w:val="24"/>
          <w:lang w:val="x-none" w:eastAsia="x-none"/>
        </w:rPr>
        <w:t>”工作内容包括</w:t>
      </w:r>
      <w:r>
        <w:rPr>
          <w:rFonts w:ascii="宋体" w:hAnsi="宋体" w:hint="eastAsia"/>
          <w:bCs/>
          <w:sz w:val="24"/>
        </w:rPr>
        <w:t>五</w:t>
      </w:r>
      <w:r>
        <w:rPr>
          <w:rFonts w:ascii="宋体" w:hAnsi="宋体" w:hint="eastAsia"/>
          <w:bCs/>
          <w:sz w:val="24"/>
          <w:lang w:val="x-none" w:eastAsia="x-none"/>
        </w:rPr>
        <w:t>大部分：</w:t>
      </w:r>
    </w:p>
    <w:p w:rsidR="00C10F62" w:rsidRDefault="00C10F62" w:rsidP="00C10F62">
      <w:pPr>
        <w:numPr>
          <w:ilvl w:val="0"/>
          <w:numId w:val="1"/>
        </w:numPr>
        <w:ind w:firstLineChars="200" w:firstLine="480"/>
        <w:rPr>
          <w:rFonts w:ascii="宋体" w:hAnsi="宋体" w:hint="eastAsia"/>
          <w:bCs/>
          <w:sz w:val="24"/>
          <w:lang w:eastAsia="x-none"/>
        </w:rPr>
      </w:pPr>
      <w:r>
        <w:rPr>
          <w:rFonts w:ascii="宋体" w:hAnsi="宋体" w:hint="eastAsia"/>
          <w:bCs/>
          <w:sz w:val="24"/>
          <w:lang w:val="x-none" w:eastAsia="x-none"/>
        </w:rPr>
        <w:t>总体规划设计增强引导</w:t>
      </w:r>
    </w:p>
    <w:p w:rsidR="00C10F62" w:rsidRDefault="00C10F62" w:rsidP="00C10F62">
      <w:pPr>
        <w:numPr>
          <w:ilvl w:val="0"/>
          <w:numId w:val="1"/>
        </w:numPr>
        <w:ind w:firstLineChars="200" w:firstLine="480"/>
        <w:rPr>
          <w:rFonts w:ascii="宋体" w:hAnsi="宋体" w:hint="eastAsia"/>
          <w:bCs/>
          <w:sz w:val="24"/>
          <w:lang w:eastAsia="x-none"/>
        </w:rPr>
      </w:pPr>
      <w:r>
        <w:rPr>
          <w:rFonts w:ascii="宋体" w:hAnsi="宋体" w:hint="eastAsia"/>
          <w:bCs/>
          <w:sz w:val="24"/>
          <w:lang w:val="x-none" w:eastAsia="x-none"/>
        </w:rPr>
        <w:t>规划附加控制要点</w:t>
      </w:r>
    </w:p>
    <w:p w:rsidR="00C10F62" w:rsidRDefault="00C10F62" w:rsidP="00C10F62">
      <w:pPr>
        <w:numPr>
          <w:ilvl w:val="0"/>
          <w:numId w:val="1"/>
        </w:numPr>
        <w:ind w:firstLineChars="200" w:firstLine="480"/>
        <w:rPr>
          <w:rFonts w:ascii="宋体" w:hAnsi="宋体" w:hint="eastAsia"/>
          <w:bCs/>
          <w:sz w:val="24"/>
          <w:lang w:eastAsia="x-none"/>
        </w:rPr>
      </w:pPr>
      <w:r>
        <w:rPr>
          <w:rFonts w:ascii="宋体" w:hAnsi="宋体" w:hint="eastAsia"/>
          <w:bCs/>
          <w:sz w:val="24"/>
          <w:lang w:val="x-none" w:eastAsia="x-none"/>
        </w:rPr>
        <w:t>交通组织及主要市政设施引导</w:t>
      </w:r>
    </w:p>
    <w:p w:rsidR="00C10F62" w:rsidRDefault="00C10F62" w:rsidP="00C10F62">
      <w:pPr>
        <w:numPr>
          <w:ilvl w:val="0"/>
          <w:numId w:val="1"/>
        </w:numPr>
        <w:ind w:firstLineChars="200" w:firstLine="480"/>
        <w:rPr>
          <w:rFonts w:ascii="宋体" w:hAnsi="宋体" w:hint="eastAsia"/>
          <w:bCs/>
          <w:sz w:val="24"/>
          <w:lang w:eastAsia="x-none"/>
        </w:rPr>
      </w:pPr>
      <w:r>
        <w:rPr>
          <w:rFonts w:ascii="宋体" w:hAnsi="宋体" w:hint="eastAsia"/>
          <w:bCs/>
          <w:sz w:val="24"/>
          <w:lang w:val="x-none" w:eastAsia="x-none"/>
        </w:rPr>
        <w:t>地下空间引导</w:t>
      </w:r>
    </w:p>
    <w:p w:rsidR="00C10F62" w:rsidRDefault="00C10F62" w:rsidP="00C10F62">
      <w:pPr>
        <w:numPr>
          <w:ilvl w:val="0"/>
          <w:numId w:val="1"/>
        </w:numPr>
        <w:ind w:firstLineChars="200" w:firstLine="480"/>
        <w:rPr>
          <w:rFonts w:ascii="宋体" w:hAnsi="宋体" w:hint="eastAsia"/>
          <w:bCs/>
          <w:sz w:val="24"/>
          <w:lang w:eastAsia="x-none"/>
        </w:rPr>
      </w:pPr>
      <w:r>
        <w:rPr>
          <w:rFonts w:ascii="宋体" w:hAnsi="宋体" w:hint="eastAsia"/>
          <w:bCs/>
          <w:sz w:val="24"/>
          <w:lang w:val="x-none" w:eastAsia="x-none"/>
        </w:rPr>
        <w:t>智慧及绿色可持续引导</w:t>
      </w:r>
    </w:p>
    <w:p w:rsidR="00C10F62" w:rsidRDefault="00C10F62" w:rsidP="00C10F62">
      <w:pPr>
        <w:numPr>
          <w:ilvl w:val="0"/>
          <w:numId w:val="1"/>
        </w:numPr>
        <w:ind w:firstLineChars="200" w:firstLine="480"/>
        <w:rPr>
          <w:rFonts w:ascii="宋体" w:hAnsi="宋体" w:hint="eastAsia"/>
          <w:bCs/>
          <w:sz w:val="24"/>
          <w:lang w:eastAsia="x-none"/>
        </w:rPr>
      </w:pPr>
      <w:r>
        <w:rPr>
          <w:rFonts w:ascii="宋体" w:hAnsi="宋体" w:hint="eastAsia"/>
          <w:bCs/>
          <w:sz w:val="24"/>
          <w:lang w:val="x-none" w:eastAsia="x-none"/>
        </w:rPr>
        <w:t>城市设计</w:t>
      </w:r>
      <w:r>
        <w:rPr>
          <w:rFonts w:ascii="宋体" w:hAnsi="宋体" w:hint="eastAsia"/>
          <w:bCs/>
          <w:sz w:val="24"/>
        </w:rPr>
        <w:t>导则编制</w:t>
      </w:r>
    </w:p>
    <w:p w:rsidR="00C10F62" w:rsidRDefault="00C10F62" w:rsidP="00C10F62">
      <w:pPr>
        <w:rPr>
          <w:rFonts w:ascii="宋体" w:hAnsi="宋体" w:hint="eastAsia"/>
          <w:bCs/>
          <w:sz w:val="24"/>
          <w:lang w:eastAsia="x-none"/>
        </w:rPr>
      </w:pPr>
      <w:r>
        <w:rPr>
          <w:rFonts w:ascii="宋体" w:hAnsi="宋体" w:hint="eastAsia"/>
          <w:bCs/>
          <w:sz w:val="24"/>
          <w:lang w:eastAsia="x-none"/>
        </w:rPr>
        <w:t xml:space="preserve">2.3 </w:t>
      </w:r>
      <w:r>
        <w:rPr>
          <w:rFonts w:ascii="宋体" w:hAnsi="宋体" w:hint="eastAsia"/>
          <w:bCs/>
          <w:sz w:val="24"/>
          <w:lang w:val="x-none" w:eastAsia="x-none"/>
        </w:rPr>
        <w:t>本次工作成果（包括但不限于）</w:t>
      </w:r>
    </w:p>
    <w:p w:rsidR="00C10F62" w:rsidRDefault="00C10F62" w:rsidP="00C10F62">
      <w:pPr>
        <w:rPr>
          <w:rFonts w:ascii="宋体" w:hAnsi="宋体" w:hint="eastAsia"/>
          <w:bCs/>
          <w:sz w:val="24"/>
          <w:lang w:eastAsia="x-none"/>
        </w:rPr>
      </w:pPr>
      <w:r>
        <w:rPr>
          <w:rFonts w:ascii="宋体" w:hAnsi="宋体" w:hint="eastAsia"/>
          <w:bCs/>
          <w:sz w:val="24"/>
          <w:lang w:eastAsia="x-none"/>
        </w:rPr>
        <w:t>1</w:t>
      </w:r>
      <w:r>
        <w:rPr>
          <w:rFonts w:ascii="宋体" w:hAnsi="宋体" w:hint="eastAsia"/>
          <w:bCs/>
          <w:sz w:val="24"/>
          <w:lang w:val="x-none" w:eastAsia="x-none"/>
        </w:rPr>
        <w:t>、总体规划设计增强引导：</w:t>
      </w:r>
    </w:p>
    <w:p w:rsidR="00C10F62" w:rsidRDefault="00C10F62" w:rsidP="00C10F62">
      <w:pPr>
        <w:numPr>
          <w:ilvl w:val="2"/>
          <w:numId w:val="2"/>
        </w:numPr>
        <w:rPr>
          <w:rFonts w:ascii="宋体" w:hAnsi="宋体" w:hint="eastAsia"/>
          <w:bCs/>
          <w:sz w:val="24"/>
          <w:lang w:eastAsia="x-none"/>
        </w:rPr>
      </w:pPr>
      <w:r>
        <w:rPr>
          <w:rFonts w:ascii="宋体" w:hAnsi="宋体" w:hint="eastAsia"/>
          <w:bCs/>
          <w:sz w:val="24"/>
          <w:lang w:val="x-none" w:eastAsia="x-none"/>
        </w:rPr>
        <w:t>技术指标复核</w:t>
      </w:r>
      <w:r>
        <w:rPr>
          <w:rFonts w:ascii="宋体" w:hAnsi="宋体" w:hint="eastAsia"/>
          <w:bCs/>
          <w:sz w:val="24"/>
          <w:lang w:eastAsia="x-none"/>
        </w:rPr>
        <w:t>(</w:t>
      </w:r>
      <w:r>
        <w:rPr>
          <w:rFonts w:ascii="宋体" w:hAnsi="宋体" w:hint="eastAsia"/>
          <w:bCs/>
          <w:sz w:val="24"/>
          <w:lang w:val="x-none" w:eastAsia="x-none"/>
        </w:rPr>
        <w:t>容积率、功能比例、密度等</w:t>
      </w:r>
      <w:r>
        <w:rPr>
          <w:rFonts w:ascii="宋体" w:hAnsi="宋体" w:hint="eastAsia"/>
          <w:bCs/>
          <w:sz w:val="24"/>
          <w:lang w:eastAsia="x-none"/>
        </w:rPr>
        <w:t>)</w:t>
      </w:r>
    </w:p>
    <w:p w:rsidR="00C10F62" w:rsidRDefault="00C10F62" w:rsidP="00C10F62">
      <w:pPr>
        <w:numPr>
          <w:ilvl w:val="2"/>
          <w:numId w:val="2"/>
        </w:numPr>
        <w:rPr>
          <w:rFonts w:ascii="宋体" w:hAnsi="宋体" w:hint="eastAsia"/>
          <w:bCs/>
          <w:sz w:val="24"/>
          <w:lang w:eastAsia="x-none"/>
        </w:rPr>
      </w:pPr>
      <w:r>
        <w:rPr>
          <w:rFonts w:ascii="宋体" w:hAnsi="宋体" w:hint="eastAsia"/>
          <w:bCs/>
          <w:sz w:val="24"/>
          <w:lang w:val="x-none" w:eastAsia="x-none"/>
        </w:rPr>
        <w:t>绿化指标控制要求</w:t>
      </w:r>
    </w:p>
    <w:p w:rsidR="00C10F62" w:rsidRDefault="00C10F62" w:rsidP="00C10F62">
      <w:pPr>
        <w:numPr>
          <w:ilvl w:val="2"/>
          <w:numId w:val="2"/>
        </w:numPr>
        <w:rPr>
          <w:rFonts w:ascii="宋体" w:hAnsi="宋体" w:hint="eastAsia"/>
          <w:bCs/>
          <w:sz w:val="24"/>
          <w:lang w:eastAsia="x-none"/>
        </w:rPr>
      </w:pPr>
      <w:r>
        <w:rPr>
          <w:rFonts w:ascii="宋体" w:hAnsi="宋体" w:hint="eastAsia"/>
          <w:bCs/>
          <w:sz w:val="24"/>
          <w:lang w:val="x-none" w:eastAsia="x-none"/>
        </w:rPr>
        <w:t>退界分类控制引导（地下退界；高层退界；多层退界；临水退界）</w:t>
      </w:r>
    </w:p>
    <w:p w:rsidR="00C10F62" w:rsidRDefault="00C10F62" w:rsidP="00C10F62">
      <w:pPr>
        <w:numPr>
          <w:ilvl w:val="2"/>
          <w:numId w:val="2"/>
        </w:numPr>
        <w:rPr>
          <w:rFonts w:ascii="宋体" w:hAnsi="宋体" w:hint="eastAsia"/>
          <w:bCs/>
          <w:sz w:val="24"/>
          <w:lang w:eastAsia="x-none"/>
        </w:rPr>
      </w:pPr>
      <w:r>
        <w:rPr>
          <w:rFonts w:ascii="宋体" w:hAnsi="宋体" w:hint="eastAsia"/>
          <w:bCs/>
          <w:sz w:val="24"/>
          <w:lang w:val="x-none" w:eastAsia="x-none"/>
        </w:rPr>
        <w:t>建筑高度控制线分类引导（多层、高层、超高层、地标建筑）</w:t>
      </w:r>
    </w:p>
    <w:p w:rsidR="00C10F62" w:rsidRDefault="00C10F62" w:rsidP="00C10F62">
      <w:pPr>
        <w:numPr>
          <w:ilvl w:val="2"/>
          <w:numId w:val="2"/>
        </w:numPr>
        <w:rPr>
          <w:rFonts w:ascii="宋体" w:hAnsi="宋体" w:hint="eastAsia"/>
          <w:bCs/>
          <w:sz w:val="24"/>
          <w:lang w:eastAsia="x-none"/>
        </w:rPr>
      </w:pPr>
      <w:r>
        <w:rPr>
          <w:rFonts w:ascii="宋体" w:hAnsi="宋体" w:hint="eastAsia"/>
          <w:bCs/>
          <w:sz w:val="24"/>
          <w:lang w:val="x-none" w:eastAsia="x-none"/>
        </w:rPr>
        <w:t>区域天际线研究</w:t>
      </w:r>
    </w:p>
    <w:p w:rsidR="00C10F62" w:rsidRDefault="00C10F62" w:rsidP="00C10F62">
      <w:pPr>
        <w:numPr>
          <w:ilvl w:val="2"/>
          <w:numId w:val="2"/>
        </w:numPr>
        <w:rPr>
          <w:rFonts w:ascii="宋体" w:hAnsi="宋体" w:hint="eastAsia"/>
          <w:bCs/>
          <w:sz w:val="24"/>
          <w:lang w:eastAsia="x-none"/>
        </w:rPr>
      </w:pPr>
      <w:r>
        <w:rPr>
          <w:rFonts w:ascii="宋体" w:hAnsi="宋体" w:hint="eastAsia"/>
          <w:bCs/>
          <w:sz w:val="24"/>
          <w:lang w:val="x-none" w:eastAsia="x-none"/>
        </w:rPr>
        <w:t>主要道路界面贴线率控制引导</w:t>
      </w:r>
    </w:p>
    <w:p w:rsidR="00C10F62" w:rsidRDefault="00C10F62" w:rsidP="00C10F62">
      <w:pPr>
        <w:numPr>
          <w:ilvl w:val="2"/>
          <w:numId w:val="2"/>
        </w:numPr>
        <w:rPr>
          <w:rFonts w:ascii="宋体" w:hAnsi="宋体" w:hint="eastAsia"/>
          <w:bCs/>
          <w:sz w:val="24"/>
          <w:lang w:eastAsia="x-none"/>
        </w:rPr>
      </w:pPr>
      <w:r>
        <w:rPr>
          <w:rFonts w:ascii="宋体" w:hAnsi="宋体" w:hint="eastAsia"/>
          <w:bCs/>
          <w:sz w:val="24"/>
          <w:lang w:val="x-none" w:eastAsia="x-none"/>
        </w:rPr>
        <w:t>功能业态布局</w:t>
      </w:r>
    </w:p>
    <w:p w:rsidR="00C10F62" w:rsidRDefault="00C10F62" w:rsidP="00C10F62">
      <w:pPr>
        <w:numPr>
          <w:ilvl w:val="2"/>
          <w:numId w:val="2"/>
        </w:numPr>
        <w:rPr>
          <w:rFonts w:ascii="宋体" w:hAnsi="宋体" w:hint="eastAsia"/>
          <w:bCs/>
          <w:sz w:val="24"/>
          <w:lang w:eastAsia="x-none"/>
        </w:rPr>
      </w:pPr>
      <w:r>
        <w:rPr>
          <w:rFonts w:ascii="宋体" w:hAnsi="宋体" w:hint="eastAsia"/>
          <w:bCs/>
          <w:sz w:val="24"/>
          <w:lang w:val="x-none" w:eastAsia="x-none"/>
        </w:rPr>
        <w:t>功能对标案例（国、内外成功区域的业态配比）</w:t>
      </w:r>
    </w:p>
    <w:p w:rsidR="00C10F62" w:rsidRDefault="00C10F62" w:rsidP="00C10F62">
      <w:pPr>
        <w:numPr>
          <w:ilvl w:val="2"/>
          <w:numId w:val="2"/>
        </w:numPr>
        <w:rPr>
          <w:rFonts w:ascii="宋体" w:hAnsi="宋体" w:hint="eastAsia"/>
          <w:bCs/>
          <w:sz w:val="24"/>
          <w:lang w:eastAsia="x-none"/>
        </w:rPr>
      </w:pPr>
      <w:r>
        <w:rPr>
          <w:rFonts w:ascii="宋体" w:hAnsi="宋体" w:hint="eastAsia"/>
          <w:bCs/>
          <w:sz w:val="24"/>
          <w:lang w:val="x-none" w:eastAsia="x-none"/>
        </w:rPr>
        <w:t>开发单元建议</w:t>
      </w:r>
    </w:p>
    <w:p w:rsidR="00C10F62" w:rsidRDefault="00C10F62" w:rsidP="00C10F62">
      <w:pPr>
        <w:rPr>
          <w:rFonts w:ascii="宋体" w:hAnsi="宋体" w:hint="eastAsia"/>
          <w:bCs/>
          <w:sz w:val="24"/>
          <w:lang w:eastAsia="x-none"/>
        </w:rPr>
      </w:pPr>
      <w:r>
        <w:rPr>
          <w:rFonts w:ascii="宋体" w:hAnsi="宋体" w:hint="eastAsia"/>
          <w:bCs/>
          <w:sz w:val="24"/>
          <w:lang w:eastAsia="x-none"/>
        </w:rPr>
        <w:lastRenderedPageBreak/>
        <w:t xml:space="preserve">  2</w:t>
      </w:r>
      <w:r>
        <w:rPr>
          <w:rFonts w:ascii="宋体" w:hAnsi="宋体" w:hint="eastAsia"/>
          <w:bCs/>
          <w:sz w:val="24"/>
          <w:lang w:val="x-none" w:eastAsia="x-none"/>
        </w:rPr>
        <w:t>、规划附加控制要点：</w:t>
      </w:r>
    </w:p>
    <w:p w:rsidR="00C10F62" w:rsidRDefault="00C10F62" w:rsidP="00C10F62">
      <w:pPr>
        <w:numPr>
          <w:ilvl w:val="2"/>
          <w:numId w:val="2"/>
        </w:numPr>
        <w:rPr>
          <w:rFonts w:ascii="宋体" w:hAnsi="宋体" w:hint="eastAsia"/>
          <w:bCs/>
          <w:sz w:val="24"/>
          <w:lang w:eastAsia="x-none"/>
        </w:rPr>
      </w:pPr>
      <w:r>
        <w:rPr>
          <w:rFonts w:ascii="宋体" w:hAnsi="宋体" w:hint="eastAsia"/>
          <w:bCs/>
          <w:sz w:val="24"/>
          <w:lang w:val="x-none" w:eastAsia="x-none"/>
        </w:rPr>
        <w:t>彩色总平面图 （</w:t>
      </w:r>
      <w:r>
        <w:rPr>
          <w:rFonts w:ascii="宋体" w:hAnsi="宋体" w:hint="eastAsia"/>
          <w:bCs/>
          <w:sz w:val="24"/>
          <w:lang w:eastAsia="x-none"/>
        </w:rPr>
        <w:t>2</w:t>
      </w:r>
      <w:r>
        <w:rPr>
          <w:rFonts w:ascii="宋体" w:hAnsi="宋体" w:hint="eastAsia"/>
          <w:bCs/>
          <w:sz w:val="24"/>
          <w:lang w:val="x-none" w:eastAsia="x-none"/>
        </w:rPr>
        <w:t>个方案比较）</w:t>
      </w:r>
    </w:p>
    <w:p w:rsidR="00C10F62" w:rsidRDefault="00C10F62" w:rsidP="00C10F62">
      <w:pPr>
        <w:numPr>
          <w:ilvl w:val="2"/>
          <w:numId w:val="2"/>
        </w:numPr>
        <w:rPr>
          <w:rFonts w:ascii="宋体" w:hAnsi="宋体" w:hint="eastAsia"/>
          <w:bCs/>
          <w:sz w:val="24"/>
          <w:lang w:eastAsia="x-none"/>
        </w:rPr>
      </w:pPr>
      <w:r>
        <w:rPr>
          <w:rFonts w:ascii="宋体" w:hAnsi="宋体" w:hint="eastAsia"/>
          <w:bCs/>
          <w:sz w:val="24"/>
          <w:lang w:val="x-none" w:eastAsia="x-none"/>
        </w:rPr>
        <w:t>城市设计结构（轴网、点面的组织等）</w:t>
      </w:r>
    </w:p>
    <w:p w:rsidR="00C10F62" w:rsidRDefault="00C10F62" w:rsidP="00C10F62">
      <w:pPr>
        <w:numPr>
          <w:ilvl w:val="2"/>
          <w:numId w:val="2"/>
        </w:numPr>
        <w:rPr>
          <w:rFonts w:ascii="宋体" w:hAnsi="宋体" w:hint="eastAsia"/>
          <w:bCs/>
          <w:sz w:val="24"/>
          <w:lang w:eastAsia="x-none"/>
        </w:rPr>
      </w:pPr>
      <w:r>
        <w:rPr>
          <w:rFonts w:ascii="宋体" w:hAnsi="宋体" w:hint="eastAsia"/>
          <w:bCs/>
          <w:sz w:val="24"/>
          <w:lang w:val="x-none" w:eastAsia="x-none"/>
        </w:rPr>
        <w:t>公共空间体系（绿心</w:t>
      </w:r>
      <w:r>
        <w:rPr>
          <w:rFonts w:ascii="宋体" w:hAnsi="宋体" w:hint="eastAsia"/>
          <w:bCs/>
          <w:sz w:val="24"/>
          <w:lang w:eastAsia="x-none"/>
        </w:rPr>
        <w:t>+</w:t>
      </w:r>
      <w:r>
        <w:rPr>
          <w:rFonts w:ascii="宋体" w:hAnsi="宋体" w:hint="eastAsia"/>
          <w:bCs/>
          <w:sz w:val="24"/>
          <w:lang w:val="x-none" w:eastAsia="x-none"/>
        </w:rPr>
        <w:t>庭院</w:t>
      </w:r>
      <w:r>
        <w:rPr>
          <w:rFonts w:ascii="宋体" w:hAnsi="宋体" w:hint="eastAsia"/>
          <w:bCs/>
          <w:sz w:val="24"/>
          <w:lang w:eastAsia="x-none"/>
        </w:rPr>
        <w:t>+</w:t>
      </w:r>
      <w:r>
        <w:rPr>
          <w:rFonts w:ascii="宋体" w:hAnsi="宋体" w:hint="eastAsia"/>
          <w:bCs/>
          <w:sz w:val="24"/>
          <w:lang w:val="x-none" w:eastAsia="x-none"/>
        </w:rPr>
        <w:t>公共通道</w:t>
      </w:r>
      <w:r>
        <w:rPr>
          <w:rFonts w:ascii="宋体" w:hAnsi="宋体" w:hint="eastAsia"/>
          <w:bCs/>
          <w:sz w:val="24"/>
          <w:lang w:eastAsia="x-none"/>
        </w:rPr>
        <w:t>+</w:t>
      </w:r>
      <w:r>
        <w:rPr>
          <w:rFonts w:ascii="宋体" w:hAnsi="宋体" w:hint="eastAsia"/>
          <w:bCs/>
          <w:sz w:val="24"/>
          <w:lang w:val="x-none" w:eastAsia="x-none"/>
        </w:rPr>
        <w:t>街道）</w:t>
      </w:r>
    </w:p>
    <w:p w:rsidR="00C10F62" w:rsidRDefault="00C10F62" w:rsidP="00C10F62">
      <w:pPr>
        <w:numPr>
          <w:ilvl w:val="2"/>
          <w:numId w:val="2"/>
        </w:numPr>
        <w:rPr>
          <w:rFonts w:ascii="宋体" w:hAnsi="宋体" w:hint="eastAsia"/>
          <w:bCs/>
          <w:sz w:val="24"/>
          <w:lang w:eastAsia="x-none"/>
        </w:rPr>
      </w:pPr>
      <w:r>
        <w:rPr>
          <w:rFonts w:ascii="宋体" w:hAnsi="宋体" w:hint="eastAsia"/>
          <w:bCs/>
          <w:sz w:val="24"/>
          <w:lang w:val="x-none" w:eastAsia="x-none"/>
        </w:rPr>
        <w:t>二层平台及与周边衔接控制要求</w:t>
      </w:r>
    </w:p>
    <w:p w:rsidR="00C10F62" w:rsidRDefault="00C10F62" w:rsidP="00C10F62">
      <w:pPr>
        <w:numPr>
          <w:ilvl w:val="2"/>
          <w:numId w:val="2"/>
        </w:numPr>
        <w:rPr>
          <w:rFonts w:ascii="宋体" w:hAnsi="宋体" w:hint="eastAsia"/>
          <w:bCs/>
          <w:sz w:val="24"/>
          <w:lang w:eastAsia="x-none"/>
        </w:rPr>
      </w:pPr>
      <w:r>
        <w:rPr>
          <w:rFonts w:ascii="宋体" w:hAnsi="宋体" w:hint="eastAsia"/>
          <w:bCs/>
          <w:sz w:val="24"/>
          <w:lang w:val="x-none" w:eastAsia="x-none"/>
        </w:rPr>
        <w:t>公共通道控制要求</w:t>
      </w:r>
    </w:p>
    <w:p w:rsidR="00C10F62" w:rsidRDefault="00C10F62" w:rsidP="00C10F62">
      <w:pPr>
        <w:numPr>
          <w:ilvl w:val="2"/>
          <w:numId w:val="2"/>
        </w:numPr>
        <w:rPr>
          <w:rFonts w:ascii="宋体" w:hAnsi="宋体" w:hint="eastAsia"/>
          <w:bCs/>
          <w:sz w:val="24"/>
          <w:lang w:eastAsia="x-none"/>
        </w:rPr>
      </w:pPr>
      <w:r>
        <w:rPr>
          <w:rFonts w:ascii="宋体" w:hAnsi="宋体" w:hint="eastAsia"/>
          <w:bCs/>
          <w:sz w:val="24"/>
          <w:lang w:val="x-none" w:eastAsia="x-none"/>
        </w:rPr>
        <w:t>地下一层</w:t>
      </w:r>
      <w:r>
        <w:rPr>
          <w:rFonts w:ascii="宋体" w:hAnsi="宋体" w:hint="eastAsia"/>
          <w:bCs/>
          <w:sz w:val="24"/>
          <w:lang w:eastAsia="x-none"/>
        </w:rPr>
        <w:t>B1</w:t>
      </w:r>
      <w:r>
        <w:rPr>
          <w:rFonts w:ascii="宋体" w:hAnsi="宋体" w:hint="eastAsia"/>
          <w:bCs/>
          <w:sz w:val="24"/>
          <w:lang w:val="x-none" w:eastAsia="x-none"/>
        </w:rPr>
        <w:t>步行流线控制要求</w:t>
      </w:r>
    </w:p>
    <w:p w:rsidR="00C10F62" w:rsidRDefault="00C10F62" w:rsidP="00C10F62">
      <w:pPr>
        <w:numPr>
          <w:ilvl w:val="2"/>
          <w:numId w:val="2"/>
        </w:numPr>
        <w:rPr>
          <w:rFonts w:ascii="宋体" w:hAnsi="宋体" w:hint="eastAsia"/>
          <w:bCs/>
          <w:sz w:val="24"/>
          <w:lang w:eastAsia="x-none"/>
        </w:rPr>
      </w:pPr>
      <w:r>
        <w:rPr>
          <w:rFonts w:ascii="宋体" w:hAnsi="宋体" w:hint="eastAsia"/>
          <w:bCs/>
          <w:sz w:val="24"/>
          <w:lang w:val="x-none" w:eastAsia="x-none"/>
        </w:rPr>
        <w:t>功能垂直分布规划引导</w:t>
      </w:r>
    </w:p>
    <w:p w:rsidR="00C10F62" w:rsidRDefault="00C10F62" w:rsidP="00C10F62">
      <w:pPr>
        <w:numPr>
          <w:ilvl w:val="2"/>
          <w:numId w:val="2"/>
        </w:numPr>
        <w:rPr>
          <w:rFonts w:ascii="宋体" w:hAnsi="宋体" w:hint="eastAsia"/>
          <w:bCs/>
          <w:sz w:val="24"/>
          <w:lang w:eastAsia="x-none"/>
        </w:rPr>
      </w:pPr>
      <w:r>
        <w:rPr>
          <w:rFonts w:ascii="宋体" w:hAnsi="宋体" w:hint="eastAsia"/>
          <w:bCs/>
          <w:sz w:val="24"/>
          <w:lang w:eastAsia="x-none"/>
        </w:rPr>
        <w:t>urban core</w:t>
      </w:r>
      <w:r>
        <w:rPr>
          <w:rFonts w:ascii="宋体" w:hAnsi="宋体" w:hint="eastAsia"/>
          <w:bCs/>
          <w:sz w:val="24"/>
          <w:lang w:val="x-none" w:eastAsia="x-none"/>
        </w:rPr>
        <w:t>节点控制要求及模式意向</w:t>
      </w:r>
    </w:p>
    <w:p w:rsidR="00C10F62" w:rsidRDefault="00C10F62" w:rsidP="00C10F62">
      <w:pPr>
        <w:numPr>
          <w:ilvl w:val="2"/>
          <w:numId w:val="2"/>
        </w:numPr>
        <w:rPr>
          <w:rFonts w:ascii="宋体" w:hAnsi="宋体" w:hint="eastAsia"/>
          <w:bCs/>
          <w:sz w:val="24"/>
          <w:lang w:eastAsia="x-none"/>
        </w:rPr>
      </w:pPr>
      <w:r>
        <w:rPr>
          <w:rFonts w:ascii="宋体" w:hAnsi="宋体" w:hint="eastAsia"/>
          <w:bCs/>
          <w:sz w:val="24"/>
          <w:lang w:val="x-none" w:eastAsia="x-none"/>
        </w:rPr>
        <w:t>关键节点的地块剖面</w:t>
      </w:r>
    </w:p>
    <w:p w:rsidR="00C10F62" w:rsidRDefault="00C10F62" w:rsidP="00C10F62">
      <w:pPr>
        <w:numPr>
          <w:ilvl w:val="2"/>
          <w:numId w:val="2"/>
        </w:numPr>
        <w:rPr>
          <w:rFonts w:ascii="宋体" w:hAnsi="宋体" w:hint="eastAsia"/>
          <w:bCs/>
          <w:sz w:val="24"/>
          <w:lang w:eastAsia="x-none"/>
        </w:rPr>
      </w:pPr>
      <w:r>
        <w:rPr>
          <w:rFonts w:ascii="宋体" w:hAnsi="宋体" w:hint="eastAsia"/>
          <w:bCs/>
          <w:sz w:val="24"/>
          <w:lang w:val="x-none" w:eastAsia="x-none"/>
        </w:rPr>
        <w:t>重要景观界面控制（退台）及屋顶花园控制要求</w:t>
      </w:r>
    </w:p>
    <w:p w:rsidR="00C10F62" w:rsidRDefault="00C10F62" w:rsidP="00C10F62">
      <w:pPr>
        <w:numPr>
          <w:ilvl w:val="2"/>
          <w:numId w:val="2"/>
        </w:numPr>
        <w:rPr>
          <w:rFonts w:ascii="宋体" w:hAnsi="宋体" w:hint="eastAsia"/>
          <w:bCs/>
          <w:sz w:val="24"/>
          <w:lang w:eastAsia="x-none"/>
        </w:rPr>
      </w:pPr>
      <w:r>
        <w:rPr>
          <w:rFonts w:ascii="宋体" w:hAnsi="宋体" w:hint="eastAsia"/>
          <w:bCs/>
          <w:sz w:val="24"/>
          <w:lang w:val="x-none" w:eastAsia="x-none"/>
        </w:rPr>
        <w:t>重要景观概念构思</w:t>
      </w:r>
    </w:p>
    <w:p w:rsidR="00C10F62" w:rsidRDefault="00C10F62" w:rsidP="00C10F62">
      <w:pPr>
        <w:numPr>
          <w:ilvl w:val="2"/>
          <w:numId w:val="2"/>
        </w:numPr>
        <w:rPr>
          <w:rFonts w:ascii="宋体" w:hAnsi="宋体" w:hint="eastAsia"/>
          <w:bCs/>
          <w:sz w:val="24"/>
          <w:lang w:eastAsia="x-none"/>
        </w:rPr>
      </w:pPr>
      <w:r>
        <w:rPr>
          <w:rFonts w:ascii="宋体" w:hAnsi="宋体" w:hint="eastAsia"/>
          <w:bCs/>
          <w:sz w:val="24"/>
          <w:lang w:val="x-none" w:eastAsia="x-none"/>
        </w:rPr>
        <w:t>建筑风貌意向引导（风格、色彩等）</w:t>
      </w:r>
    </w:p>
    <w:p w:rsidR="00C10F62" w:rsidRDefault="00C10F62" w:rsidP="00C10F62">
      <w:pPr>
        <w:rPr>
          <w:rFonts w:ascii="宋体" w:hAnsi="宋体" w:hint="eastAsia"/>
          <w:bCs/>
          <w:sz w:val="24"/>
          <w:lang w:eastAsia="x-none"/>
        </w:rPr>
      </w:pPr>
      <w:r>
        <w:rPr>
          <w:rFonts w:ascii="宋体" w:hAnsi="宋体" w:hint="eastAsia"/>
          <w:bCs/>
          <w:sz w:val="24"/>
          <w:lang w:eastAsia="x-none"/>
        </w:rPr>
        <w:t>3</w:t>
      </w:r>
      <w:r>
        <w:rPr>
          <w:rFonts w:ascii="宋体" w:hAnsi="宋体" w:hint="eastAsia"/>
          <w:bCs/>
          <w:sz w:val="24"/>
          <w:lang w:val="x-none" w:eastAsia="x-none"/>
        </w:rPr>
        <w:t>、交通组织及主要市政设施引导：</w:t>
      </w:r>
    </w:p>
    <w:p w:rsidR="00C10F62" w:rsidRDefault="00C10F62" w:rsidP="00C10F62">
      <w:pPr>
        <w:numPr>
          <w:ilvl w:val="2"/>
          <w:numId w:val="2"/>
        </w:numPr>
        <w:rPr>
          <w:rFonts w:ascii="宋体" w:hAnsi="宋体" w:hint="eastAsia"/>
          <w:bCs/>
          <w:sz w:val="24"/>
          <w:lang w:eastAsia="x-none"/>
        </w:rPr>
      </w:pPr>
      <w:r>
        <w:rPr>
          <w:rFonts w:ascii="宋体" w:hAnsi="宋体" w:hint="eastAsia"/>
          <w:bCs/>
          <w:sz w:val="24"/>
          <w:lang w:val="x-none" w:eastAsia="x-none"/>
        </w:rPr>
        <w:t>周边交通结构分析</w:t>
      </w:r>
    </w:p>
    <w:p w:rsidR="00C10F62" w:rsidRDefault="00C10F62" w:rsidP="00C10F62">
      <w:pPr>
        <w:numPr>
          <w:ilvl w:val="2"/>
          <w:numId w:val="2"/>
        </w:numPr>
        <w:rPr>
          <w:rFonts w:ascii="宋体" w:hAnsi="宋体" w:hint="eastAsia"/>
          <w:bCs/>
          <w:sz w:val="24"/>
          <w:lang w:eastAsia="x-none"/>
        </w:rPr>
      </w:pPr>
      <w:r>
        <w:rPr>
          <w:rFonts w:ascii="宋体" w:hAnsi="宋体" w:hint="eastAsia"/>
          <w:bCs/>
          <w:sz w:val="24"/>
          <w:lang w:val="x-none" w:eastAsia="x-none"/>
        </w:rPr>
        <w:t>内部交通动线分析：（人行</w:t>
      </w:r>
      <w:r>
        <w:rPr>
          <w:rFonts w:ascii="宋体" w:hAnsi="宋体" w:hint="eastAsia"/>
          <w:bCs/>
          <w:sz w:val="24"/>
          <w:lang w:eastAsia="x-none"/>
        </w:rPr>
        <w:t>1F/2F/B1</w:t>
      </w:r>
      <w:r>
        <w:rPr>
          <w:rFonts w:ascii="宋体" w:hAnsi="宋体" w:hint="eastAsia"/>
          <w:bCs/>
          <w:sz w:val="24"/>
          <w:lang w:val="x-none" w:eastAsia="x-none"/>
        </w:rPr>
        <w:t>、车行</w:t>
      </w:r>
      <w:r>
        <w:rPr>
          <w:rFonts w:ascii="宋体" w:hAnsi="宋体" w:hint="eastAsia"/>
          <w:bCs/>
          <w:sz w:val="24"/>
          <w:lang w:eastAsia="x-none"/>
        </w:rPr>
        <w:t>1F/B1/B2</w:t>
      </w:r>
      <w:r>
        <w:rPr>
          <w:rFonts w:ascii="宋体" w:hAnsi="宋体" w:hint="eastAsia"/>
          <w:bCs/>
          <w:sz w:val="24"/>
          <w:lang w:val="x-none" w:eastAsia="x-none"/>
        </w:rPr>
        <w:t>）</w:t>
      </w:r>
    </w:p>
    <w:p w:rsidR="00C10F62" w:rsidRDefault="00C10F62" w:rsidP="00C10F62">
      <w:pPr>
        <w:numPr>
          <w:ilvl w:val="2"/>
          <w:numId w:val="2"/>
        </w:numPr>
        <w:rPr>
          <w:rFonts w:ascii="宋体" w:hAnsi="宋体" w:hint="eastAsia"/>
          <w:bCs/>
          <w:sz w:val="24"/>
          <w:lang w:eastAsia="x-none"/>
        </w:rPr>
      </w:pPr>
      <w:r>
        <w:rPr>
          <w:rFonts w:ascii="宋体" w:hAnsi="宋体" w:hint="eastAsia"/>
          <w:bCs/>
          <w:sz w:val="24"/>
          <w:lang w:val="x-none" w:eastAsia="x-none"/>
        </w:rPr>
        <w:t>各地块基地出入口、主要停靠点、地库出入口、货运点分析</w:t>
      </w:r>
    </w:p>
    <w:p w:rsidR="00C10F62" w:rsidRDefault="00C10F62" w:rsidP="00C10F62">
      <w:pPr>
        <w:numPr>
          <w:ilvl w:val="2"/>
          <w:numId w:val="2"/>
        </w:numPr>
        <w:rPr>
          <w:rFonts w:ascii="宋体" w:hAnsi="宋体" w:hint="eastAsia"/>
          <w:bCs/>
          <w:sz w:val="24"/>
          <w:lang w:eastAsia="x-none"/>
        </w:rPr>
      </w:pPr>
      <w:r>
        <w:rPr>
          <w:rFonts w:ascii="宋体" w:hAnsi="宋体" w:hint="eastAsia"/>
          <w:bCs/>
          <w:sz w:val="24"/>
          <w:lang w:val="x-none" w:eastAsia="x-none"/>
        </w:rPr>
        <w:t>机动车配置计算分析</w:t>
      </w:r>
    </w:p>
    <w:p w:rsidR="00C10F62" w:rsidRDefault="00C10F62" w:rsidP="00C10F62">
      <w:pPr>
        <w:numPr>
          <w:ilvl w:val="2"/>
          <w:numId w:val="2"/>
        </w:numPr>
        <w:rPr>
          <w:rFonts w:ascii="宋体" w:hAnsi="宋体" w:hint="eastAsia"/>
          <w:bCs/>
          <w:sz w:val="24"/>
          <w:lang w:eastAsia="x-none"/>
        </w:rPr>
      </w:pPr>
      <w:r>
        <w:rPr>
          <w:rFonts w:ascii="宋体" w:hAnsi="宋体" w:hint="eastAsia"/>
          <w:bCs/>
          <w:sz w:val="24"/>
          <w:lang w:val="x-none" w:eastAsia="x-none"/>
        </w:rPr>
        <w:t>总体消防控制要点</w:t>
      </w:r>
    </w:p>
    <w:p w:rsidR="00C10F62" w:rsidRDefault="00C10F62" w:rsidP="00C10F62">
      <w:pPr>
        <w:numPr>
          <w:ilvl w:val="2"/>
          <w:numId w:val="2"/>
        </w:numPr>
        <w:rPr>
          <w:rFonts w:ascii="宋体" w:hAnsi="宋体" w:hint="eastAsia"/>
          <w:bCs/>
          <w:sz w:val="24"/>
          <w:lang w:eastAsia="x-none"/>
        </w:rPr>
      </w:pPr>
      <w:r>
        <w:rPr>
          <w:rFonts w:ascii="宋体" w:hAnsi="宋体" w:hint="eastAsia"/>
          <w:bCs/>
          <w:sz w:val="24"/>
          <w:lang w:val="x-none" w:eastAsia="x-none"/>
        </w:rPr>
        <w:t>公共交通和慢行系统规划图</w:t>
      </w:r>
    </w:p>
    <w:p w:rsidR="00C10F62" w:rsidRDefault="00C10F62" w:rsidP="00C10F62">
      <w:pPr>
        <w:numPr>
          <w:ilvl w:val="2"/>
          <w:numId w:val="2"/>
        </w:numPr>
        <w:rPr>
          <w:rFonts w:ascii="宋体" w:hAnsi="宋体" w:hint="eastAsia"/>
          <w:bCs/>
          <w:sz w:val="24"/>
          <w:lang w:eastAsia="x-none"/>
        </w:rPr>
      </w:pPr>
      <w:r>
        <w:rPr>
          <w:rFonts w:ascii="宋体" w:hAnsi="宋体" w:hint="eastAsia"/>
          <w:bCs/>
          <w:sz w:val="24"/>
          <w:lang w:val="x-none" w:eastAsia="x-none"/>
        </w:rPr>
        <w:t xml:space="preserve">典型道路断面 </w:t>
      </w:r>
    </w:p>
    <w:p w:rsidR="00C10F62" w:rsidRDefault="00C10F62" w:rsidP="00C10F62">
      <w:pPr>
        <w:numPr>
          <w:ilvl w:val="2"/>
          <w:numId w:val="2"/>
        </w:numPr>
        <w:rPr>
          <w:rFonts w:ascii="宋体" w:hAnsi="宋体" w:hint="eastAsia"/>
          <w:bCs/>
          <w:sz w:val="24"/>
          <w:lang w:eastAsia="x-none"/>
        </w:rPr>
      </w:pPr>
      <w:r>
        <w:rPr>
          <w:rFonts w:ascii="宋体" w:hAnsi="宋体" w:hint="eastAsia"/>
          <w:bCs/>
          <w:sz w:val="24"/>
          <w:lang w:val="x-none" w:eastAsia="x-none"/>
        </w:rPr>
        <w:t>主要市政设施规划研究（可持续发展策略概述等）</w:t>
      </w:r>
    </w:p>
    <w:p w:rsidR="00C10F62" w:rsidRDefault="00C10F62" w:rsidP="00C10F62">
      <w:pPr>
        <w:rPr>
          <w:rFonts w:ascii="宋体" w:hAnsi="宋体" w:hint="eastAsia"/>
          <w:bCs/>
          <w:sz w:val="24"/>
          <w:lang w:eastAsia="x-none"/>
        </w:rPr>
      </w:pPr>
      <w:r>
        <w:rPr>
          <w:rFonts w:ascii="宋体" w:hAnsi="宋体" w:hint="eastAsia"/>
          <w:bCs/>
          <w:sz w:val="24"/>
          <w:lang w:eastAsia="x-none"/>
        </w:rPr>
        <w:t>4</w:t>
      </w:r>
      <w:r>
        <w:rPr>
          <w:rFonts w:ascii="宋体" w:hAnsi="宋体" w:hint="eastAsia"/>
          <w:bCs/>
          <w:sz w:val="24"/>
          <w:lang w:val="x-none" w:eastAsia="x-none"/>
        </w:rPr>
        <w:t>、地下空间开发引导：</w:t>
      </w:r>
    </w:p>
    <w:p w:rsidR="00C10F62" w:rsidRDefault="00C10F62" w:rsidP="00C10F62">
      <w:pPr>
        <w:numPr>
          <w:ilvl w:val="2"/>
          <w:numId w:val="2"/>
        </w:numPr>
        <w:rPr>
          <w:rFonts w:ascii="宋体" w:hAnsi="宋体" w:hint="eastAsia"/>
          <w:bCs/>
          <w:sz w:val="24"/>
          <w:lang w:eastAsia="x-none"/>
        </w:rPr>
      </w:pPr>
      <w:r>
        <w:rPr>
          <w:rFonts w:ascii="宋体" w:hAnsi="宋体" w:hint="eastAsia"/>
          <w:bCs/>
          <w:sz w:val="24"/>
          <w:lang w:val="x-none" w:eastAsia="x-none"/>
        </w:rPr>
        <w:t>地下空间规划控制要求（业态、动线、层高、层数、范围等）</w:t>
      </w:r>
    </w:p>
    <w:p w:rsidR="00C10F62" w:rsidRDefault="00C10F62" w:rsidP="00C10F62">
      <w:pPr>
        <w:numPr>
          <w:ilvl w:val="2"/>
          <w:numId w:val="2"/>
        </w:numPr>
        <w:rPr>
          <w:rFonts w:ascii="宋体" w:hAnsi="宋体" w:hint="eastAsia"/>
          <w:bCs/>
          <w:sz w:val="24"/>
          <w:lang w:eastAsia="x-none"/>
        </w:rPr>
      </w:pPr>
      <w:r>
        <w:rPr>
          <w:rFonts w:ascii="宋体" w:hAnsi="宋体" w:hint="eastAsia"/>
          <w:bCs/>
          <w:sz w:val="24"/>
          <w:lang w:val="x-none" w:eastAsia="x-none"/>
        </w:rPr>
        <w:t>地下空间分层利用</w:t>
      </w:r>
    </w:p>
    <w:p w:rsidR="00C10F62" w:rsidRDefault="00C10F62" w:rsidP="00C10F62">
      <w:pPr>
        <w:numPr>
          <w:ilvl w:val="2"/>
          <w:numId w:val="2"/>
        </w:numPr>
        <w:rPr>
          <w:rFonts w:ascii="宋体" w:hAnsi="宋体" w:hint="eastAsia"/>
          <w:bCs/>
          <w:sz w:val="24"/>
          <w:lang w:eastAsia="x-none"/>
        </w:rPr>
      </w:pPr>
      <w:r>
        <w:rPr>
          <w:rFonts w:ascii="宋体" w:hAnsi="宋体" w:hint="eastAsia"/>
          <w:bCs/>
          <w:sz w:val="24"/>
          <w:lang w:val="x-none" w:eastAsia="x-none"/>
        </w:rPr>
        <w:t>地下一层人行组织</w:t>
      </w:r>
    </w:p>
    <w:p w:rsidR="00C10F62" w:rsidRDefault="00C10F62" w:rsidP="00C10F62">
      <w:pPr>
        <w:numPr>
          <w:ilvl w:val="2"/>
          <w:numId w:val="2"/>
        </w:numPr>
        <w:rPr>
          <w:rFonts w:ascii="宋体" w:hAnsi="宋体" w:hint="eastAsia"/>
          <w:bCs/>
          <w:sz w:val="24"/>
          <w:lang w:eastAsia="x-none"/>
        </w:rPr>
      </w:pPr>
      <w:r>
        <w:rPr>
          <w:rFonts w:ascii="宋体" w:hAnsi="宋体" w:hint="eastAsia"/>
          <w:bCs/>
          <w:sz w:val="24"/>
          <w:lang w:eastAsia="x-none"/>
        </w:rPr>
        <w:t>Urban-core</w:t>
      </w:r>
      <w:r>
        <w:rPr>
          <w:rFonts w:ascii="宋体" w:hAnsi="宋体" w:hint="eastAsia"/>
          <w:bCs/>
          <w:sz w:val="24"/>
          <w:lang w:val="x-none" w:eastAsia="x-none"/>
        </w:rPr>
        <w:t>规划</w:t>
      </w:r>
    </w:p>
    <w:p w:rsidR="00C10F62" w:rsidRDefault="00C10F62" w:rsidP="00C10F62">
      <w:pPr>
        <w:numPr>
          <w:ilvl w:val="2"/>
          <w:numId w:val="2"/>
        </w:numPr>
        <w:rPr>
          <w:rFonts w:ascii="宋体" w:hAnsi="宋体" w:hint="eastAsia"/>
          <w:bCs/>
          <w:sz w:val="24"/>
          <w:lang w:eastAsia="x-none"/>
        </w:rPr>
      </w:pPr>
      <w:r>
        <w:rPr>
          <w:rFonts w:ascii="宋体" w:hAnsi="宋体" w:hint="eastAsia"/>
          <w:bCs/>
          <w:sz w:val="24"/>
          <w:lang w:val="x-none" w:eastAsia="x-none"/>
        </w:rPr>
        <w:t>地下空间联通</w:t>
      </w:r>
    </w:p>
    <w:p w:rsidR="00C10F62" w:rsidRDefault="00C10F62" w:rsidP="00C10F62">
      <w:pPr>
        <w:numPr>
          <w:ilvl w:val="2"/>
          <w:numId w:val="2"/>
        </w:numPr>
        <w:rPr>
          <w:rFonts w:ascii="宋体" w:hAnsi="宋体" w:hint="eastAsia"/>
          <w:bCs/>
          <w:sz w:val="24"/>
          <w:lang w:eastAsia="x-none"/>
        </w:rPr>
      </w:pPr>
      <w:r>
        <w:rPr>
          <w:rFonts w:ascii="宋体" w:hAnsi="宋体" w:hint="eastAsia"/>
          <w:bCs/>
          <w:sz w:val="24"/>
          <w:lang w:val="x-none" w:eastAsia="x-none"/>
        </w:rPr>
        <w:t>地下空间静态停车及交通组织</w:t>
      </w:r>
    </w:p>
    <w:p w:rsidR="00C10F62" w:rsidRDefault="00C10F62" w:rsidP="00C10F62">
      <w:pPr>
        <w:numPr>
          <w:ilvl w:val="2"/>
          <w:numId w:val="2"/>
        </w:numPr>
        <w:rPr>
          <w:rFonts w:ascii="宋体" w:hAnsi="宋体" w:hint="eastAsia"/>
          <w:bCs/>
          <w:sz w:val="24"/>
          <w:lang w:eastAsia="x-none"/>
        </w:rPr>
      </w:pPr>
      <w:r>
        <w:rPr>
          <w:rFonts w:ascii="宋体" w:hAnsi="宋体" w:hint="eastAsia"/>
          <w:bCs/>
          <w:sz w:val="24"/>
          <w:lang w:val="x-none" w:eastAsia="x-none"/>
        </w:rPr>
        <w:t>地下各层平面及标高、地下停车、预留地铁衔接等</w:t>
      </w:r>
    </w:p>
    <w:p w:rsidR="00C10F62" w:rsidRDefault="00C10F62" w:rsidP="00C10F62">
      <w:pPr>
        <w:rPr>
          <w:rFonts w:ascii="宋体" w:hAnsi="宋体" w:hint="eastAsia"/>
          <w:bCs/>
          <w:sz w:val="24"/>
          <w:lang w:eastAsia="x-none"/>
        </w:rPr>
      </w:pPr>
      <w:r>
        <w:rPr>
          <w:rFonts w:ascii="宋体" w:hAnsi="宋体" w:hint="eastAsia"/>
          <w:bCs/>
          <w:sz w:val="24"/>
          <w:lang w:eastAsia="x-none"/>
        </w:rPr>
        <w:t>5</w:t>
      </w:r>
      <w:r>
        <w:rPr>
          <w:rFonts w:ascii="宋体" w:hAnsi="宋体" w:hint="eastAsia"/>
          <w:bCs/>
          <w:sz w:val="24"/>
          <w:lang w:val="x-none" w:eastAsia="x-none"/>
        </w:rPr>
        <w:t>、智慧及绿色可持续引导</w:t>
      </w:r>
    </w:p>
    <w:p w:rsidR="00C10F62" w:rsidRDefault="00C10F62" w:rsidP="00C10F62">
      <w:pPr>
        <w:numPr>
          <w:ilvl w:val="2"/>
          <w:numId w:val="2"/>
        </w:numPr>
        <w:rPr>
          <w:rFonts w:ascii="宋体" w:hAnsi="宋体" w:hint="eastAsia"/>
          <w:bCs/>
          <w:sz w:val="24"/>
          <w:lang w:eastAsia="x-none"/>
        </w:rPr>
      </w:pPr>
      <w:r>
        <w:rPr>
          <w:rFonts w:ascii="宋体" w:hAnsi="宋体" w:hint="eastAsia"/>
          <w:bCs/>
          <w:sz w:val="24"/>
          <w:lang w:val="x-none" w:eastAsia="x-none"/>
        </w:rPr>
        <w:t>区域智慧措施</w:t>
      </w:r>
    </w:p>
    <w:p w:rsidR="00C10F62" w:rsidRDefault="00C10F62" w:rsidP="00C10F62">
      <w:pPr>
        <w:numPr>
          <w:ilvl w:val="2"/>
          <w:numId w:val="2"/>
        </w:numPr>
        <w:rPr>
          <w:rFonts w:ascii="宋体" w:hAnsi="宋体" w:hint="eastAsia"/>
          <w:bCs/>
          <w:sz w:val="24"/>
          <w:lang w:eastAsia="x-none"/>
        </w:rPr>
      </w:pPr>
      <w:r>
        <w:rPr>
          <w:rFonts w:ascii="宋体" w:hAnsi="宋体" w:hint="eastAsia"/>
          <w:bCs/>
          <w:sz w:val="24"/>
          <w:lang w:val="x-none" w:eastAsia="x-none"/>
        </w:rPr>
        <w:t>区域绿色措施</w:t>
      </w:r>
    </w:p>
    <w:p w:rsidR="00C10F62" w:rsidRDefault="00C10F62" w:rsidP="00C10F62">
      <w:pPr>
        <w:numPr>
          <w:ilvl w:val="2"/>
          <w:numId w:val="2"/>
        </w:numPr>
        <w:rPr>
          <w:rFonts w:ascii="宋体" w:hAnsi="宋体" w:hint="eastAsia"/>
          <w:bCs/>
          <w:sz w:val="24"/>
          <w:lang w:eastAsia="x-none"/>
        </w:rPr>
      </w:pPr>
      <w:r>
        <w:rPr>
          <w:rFonts w:ascii="宋体" w:hAnsi="宋体" w:hint="eastAsia"/>
          <w:bCs/>
          <w:sz w:val="24"/>
          <w:lang w:val="x-none" w:eastAsia="x-none"/>
        </w:rPr>
        <w:t>海绵措施等</w:t>
      </w:r>
    </w:p>
    <w:p w:rsidR="00C10F62" w:rsidRDefault="00C10F62" w:rsidP="00C10F62">
      <w:pPr>
        <w:rPr>
          <w:rFonts w:ascii="宋体" w:hAnsi="宋体" w:hint="eastAsia"/>
          <w:bCs/>
          <w:sz w:val="24"/>
          <w:lang w:eastAsia="x-none"/>
        </w:rPr>
      </w:pPr>
      <w:r>
        <w:rPr>
          <w:rFonts w:ascii="宋体" w:hAnsi="宋体" w:hint="eastAsia"/>
          <w:bCs/>
          <w:sz w:val="24"/>
          <w:lang w:eastAsia="x-none"/>
        </w:rPr>
        <w:t>6</w:t>
      </w:r>
      <w:r>
        <w:rPr>
          <w:rFonts w:ascii="宋体" w:hAnsi="宋体" w:hint="eastAsia"/>
          <w:bCs/>
          <w:sz w:val="24"/>
          <w:lang w:val="x-none" w:eastAsia="x-none"/>
        </w:rPr>
        <w:t>、城市设计</w:t>
      </w:r>
      <w:r>
        <w:rPr>
          <w:rFonts w:ascii="宋体" w:hAnsi="宋体" w:hint="eastAsia"/>
          <w:bCs/>
          <w:sz w:val="24"/>
        </w:rPr>
        <w:t>导则</w:t>
      </w:r>
      <w:r>
        <w:rPr>
          <w:rFonts w:ascii="宋体" w:hAnsi="宋体" w:hint="eastAsia"/>
          <w:bCs/>
          <w:sz w:val="24"/>
          <w:lang w:val="x-none" w:eastAsia="x-none"/>
        </w:rPr>
        <w:t>：</w:t>
      </w:r>
    </w:p>
    <w:p w:rsidR="00C10F62" w:rsidRDefault="00C10F62" w:rsidP="00C10F62">
      <w:pPr>
        <w:numPr>
          <w:ilvl w:val="2"/>
          <w:numId w:val="2"/>
        </w:numPr>
        <w:rPr>
          <w:rFonts w:ascii="宋体" w:hAnsi="宋体" w:hint="eastAsia"/>
          <w:bCs/>
          <w:sz w:val="24"/>
          <w:lang w:eastAsia="x-none"/>
        </w:rPr>
      </w:pPr>
      <w:r>
        <w:rPr>
          <w:rFonts w:ascii="宋体" w:hAnsi="宋体" w:hint="eastAsia"/>
          <w:bCs/>
          <w:sz w:val="24"/>
          <w:lang w:val="x-none" w:eastAsia="x-none"/>
        </w:rPr>
        <w:t>综合前五项研究成果，提炼形成针对街坊与地块的具体管控要求，明确控制要素和控制要求，编制城市设计导则及附加图则。</w:t>
      </w:r>
    </w:p>
    <w:p w:rsidR="00C10F62" w:rsidRDefault="00C10F62" w:rsidP="00C10F62">
      <w:pPr>
        <w:numPr>
          <w:ilvl w:val="2"/>
          <w:numId w:val="2"/>
        </w:numPr>
        <w:rPr>
          <w:rFonts w:ascii="宋体" w:hAnsi="宋体" w:hint="eastAsia"/>
          <w:b/>
          <w:bCs/>
          <w:sz w:val="24"/>
          <w:lang w:eastAsia="x-none"/>
        </w:rPr>
      </w:pPr>
      <w:r>
        <w:rPr>
          <w:rFonts w:ascii="宋体" w:hAnsi="宋体" w:hint="eastAsia"/>
          <w:bCs/>
          <w:sz w:val="24"/>
          <w:lang w:val="x-none" w:eastAsia="x-none"/>
        </w:rPr>
        <w:t>城市设计导则应说明设计质量和开发控制的重点优先，包括规划设计的指导原则；建筑物坐位和朝向；建筑退界及贴线率；建筑体量；高度和退界； 塔楼相对街道和裙楼的高度；建筑物地址和服务通道；地下和地上与商场的连接；建筑风格；出入口；停车规模与动线要求；及环境可持续性设计要求等。</w:t>
      </w:r>
    </w:p>
    <w:p w:rsidR="00C10F62" w:rsidRDefault="00C10F62" w:rsidP="00C10F62">
      <w:pPr>
        <w:spacing w:line="300" w:lineRule="atLeast"/>
        <w:rPr>
          <w:rFonts w:ascii="宋体" w:hAnsi="宋体" w:hint="eastAsia"/>
          <w:bCs/>
          <w:sz w:val="24"/>
        </w:rPr>
      </w:pPr>
      <w:r>
        <w:rPr>
          <w:rFonts w:ascii="宋体" w:hAnsi="宋体" w:hint="eastAsia"/>
          <w:bCs/>
          <w:sz w:val="24"/>
        </w:rPr>
        <w:t>2.4服务时间：自合同签订之日起90天。</w:t>
      </w:r>
    </w:p>
    <w:p w:rsidR="00C10F62" w:rsidRDefault="00C10F62" w:rsidP="00C10F62">
      <w:pPr>
        <w:spacing w:line="300" w:lineRule="atLeast"/>
        <w:rPr>
          <w:rFonts w:ascii="宋体" w:hAnsi="宋体" w:hint="eastAsia"/>
          <w:bCs/>
          <w:sz w:val="24"/>
        </w:rPr>
      </w:pPr>
      <w:r>
        <w:rPr>
          <w:rFonts w:ascii="宋体" w:hAnsi="宋体" w:hint="eastAsia"/>
          <w:bCs/>
          <w:sz w:val="24"/>
        </w:rPr>
        <w:t>2.5 服务地点：三亚市。</w:t>
      </w:r>
    </w:p>
    <w:p w:rsidR="00C10F62" w:rsidRDefault="00C10F62" w:rsidP="00C10F62">
      <w:pPr>
        <w:spacing w:line="300" w:lineRule="atLeast"/>
        <w:rPr>
          <w:rFonts w:ascii="宋体" w:hAnsi="宋体" w:hint="eastAsia"/>
          <w:bCs/>
          <w:sz w:val="24"/>
        </w:rPr>
      </w:pPr>
      <w:r>
        <w:rPr>
          <w:rFonts w:ascii="宋体" w:hAnsi="宋体" w:hint="eastAsia"/>
          <w:bCs/>
          <w:sz w:val="24"/>
        </w:rPr>
        <w:lastRenderedPageBreak/>
        <w:t>2.6 付款方式：合同签订后7个工作日内付30%，余款按进度付款。（具体以合同约定为准。）</w:t>
      </w:r>
    </w:p>
    <w:p w:rsidR="00507ED0" w:rsidRDefault="00C10F62" w:rsidP="00C10F62">
      <w:pPr>
        <w:rPr>
          <w:rFonts w:hint="eastAsia"/>
        </w:rPr>
      </w:pPr>
      <w:r>
        <w:rPr>
          <w:rFonts w:ascii="宋体" w:hAnsi="宋体" w:hint="eastAsia"/>
          <w:bCs/>
          <w:sz w:val="24"/>
        </w:rPr>
        <w:t>2.7项目修编费用不包含专家评审、修改、公示等相关费用。</w:t>
      </w:r>
      <w:bookmarkEnd w:id="5"/>
    </w:p>
    <w:sectPr w:rsidR="00507E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74315"/>
    <w:multiLevelType w:val="multilevel"/>
    <w:tmpl w:val="25A74315"/>
    <w:lvl w:ilvl="0">
      <w:start w:val="1"/>
      <w:numFmt w:val="lowerLetter"/>
      <w:lvlText w:val="%1)"/>
      <w:lvlJc w:val="left"/>
      <w:pPr>
        <w:ind w:left="630" w:hanging="420"/>
      </w:pPr>
    </w:lvl>
    <w:lvl w:ilvl="1">
      <w:start w:val="1"/>
      <w:numFmt w:val="lowerLetter"/>
      <w:lvlText w:val="%2)"/>
      <w:lvlJc w:val="left"/>
      <w:pPr>
        <w:ind w:left="1050" w:hanging="420"/>
      </w:pPr>
    </w:lvl>
    <w:lvl w:ilvl="2">
      <w:start w:val="1"/>
      <w:numFmt w:val="bullet"/>
      <w:lvlText w:val=""/>
      <w:lvlJc w:val="left"/>
      <w:pPr>
        <w:ind w:left="1470" w:hanging="420"/>
      </w:pPr>
      <w:rPr>
        <w:rFonts w:ascii="Wingdings" w:hAnsi="Wingdings" w:hint="default"/>
        <w:sz w:val="13"/>
        <w:szCs w:val="13"/>
      </w:rPr>
    </w:lvl>
    <w:lvl w:ilvl="3">
      <w:start w:val="1"/>
      <w:numFmt w:val="bullet"/>
      <w:lvlText w:val=""/>
      <w:lvlJc w:val="left"/>
      <w:pPr>
        <w:ind w:left="1890" w:hanging="420"/>
      </w:pPr>
      <w:rPr>
        <w:rFonts w:ascii="Wingdings" w:hAnsi="Wingdings" w:hint="default"/>
      </w:r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
    <w:nsid w:val="6B2B3906"/>
    <w:multiLevelType w:val="singleLevel"/>
    <w:tmpl w:val="6B2B3906"/>
    <w:lvl w:ilvl="0">
      <w:start w:val="1"/>
      <w:numFmt w:val="decimal"/>
      <w:suff w:val="nothing"/>
      <w:lvlText w:val="%1、"/>
      <w:lvlJc w:val="left"/>
      <w:pPr>
        <w:ind w:left="0" w:firstLine="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EB"/>
    <w:rsid w:val="00507ED0"/>
    <w:rsid w:val="00C10F62"/>
    <w:rsid w:val="00F61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F62"/>
    <w:pPr>
      <w:widowControl w:val="0"/>
      <w:jc w:val="both"/>
    </w:pPr>
    <w:rPr>
      <w:rFonts w:ascii="Times New Roman" w:eastAsia="宋体" w:hAnsi="Times New Roman" w:cs="Times New Roman"/>
      <w:szCs w:val="24"/>
    </w:rPr>
  </w:style>
  <w:style w:type="paragraph" w:styleId="1">
    <w:name w:val="heading 1"/>
    <w:basedOn w:val="a"/>
    <w:next w:val="a"/>
    <w:link w:val="1Char"/>
    <w:qFormat/>
    <w:rsid w:val="00C10F62"/>
    <w:pPr>
      <w:keepNext/>
      <w:keepLines/>
      <w:spacing w:before="340" w:after="330" w:line="576"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10F62"/>
    <w:rPr>
      <w:rFonts w:ascii="Times New Roman" w:eastAsia="宋体" w:hAnsi="Times New Roman" w:cs="Times New Roman"/>
      <w:b/>
      <w:bCs/>
      <w:kern w:val="44"/>
      <w:sz w:val="44"/>
      <w:szCs w:val="4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F62"/>
    <w:pPr>
      <w:widowControl w:val="0"/>
      <w:jc w:val="both"/>
    </w:pPr>
    <w:rPr>
      <w:rFonts w:ascii="Times New Roman" w:eastAsia="宋体" w:hAnsi="Times New Roman" w:cs="Times New Roman"/>
      <w:szCs w:val="24"/>
    </w:rPr>
  </w:style>
  <w:style w:type="paragraph" w:styleId="1">
    <w:name w:val="heading 1"/>
    <w:basedOn w:val="a"/>
    <w:next w:val="a"/>
    <w:link w:val="1Char"/>
    <w:qFormat/>
    <w:rsid w:val="00C10F62"/>
    <w:pPr>
      <w:keepNext/>
      <w:keepLines/>
      <w:spacing w:before="340" w:after="330" w:line="576"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10F62"/>
    <w:rPr>
      <w:rFonts w:ascii="Times New Roman" w:eastAsia="宋体" w:hAnsi="Times New Roman" w:cs="Times New Roman"/>
      <w:b/>
      <w:bCs/>
      <w:kern w:val="44"/>
      <w:sz w:val="44"/>
      <w:szCs w:val="4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66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1468</Characters>
  <Application>Microsoft Office Word</Application>
  <DocSecurity>0</DocSecurity>
  <Lines>12</Lines>
  <Paragraphs>3</Paragraphs>
  <ScaleCrop>false</ScaleCrop>
  <Company>微软中国</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2020-07-30T01:59:00Z</dcterms:created>
  <dcterms:modified xsi:type="dcterms:W3CDTF">2020-07-30T02:00:00Z</dcterms:modified>
</cp:coreProperties>
</file>