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bidi w:val="0"/>
      </w:pPr>
      <w:bookmarkStart w:id="0" w:name="_Toc23466"/>
      <w:bookmarkStart w:id="1" w:name="_Toc373100990"/>
      <w:r>
        <w:rPr>
          <w:rFonts w:hint="eastAsia"/>
          <w:lang w:val="en-US" w:eastAsia="zh-CN"/>
        </w:rPr>
        <w:t>1.</w:t>
      </w:r>
      <w:r>
        <w:rPr>
          <w:rFonts w:hint="eastAsia"/>
        </w:rPr>
        <w:t>开标一览表</w:t>
      </w:r>
      <w:bookmarkEnd w:id="0"/>
      <w:bookmarkEnd w:id="1"/>
    </w:p>
    <w:p>
      <w:pPr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项目名称：</w:t>
      </w:r>
      <w:bookmarkStart w:id="3" w:name="_GoBack"/>
      <w:r>
        <w:rPr>
          <w:rFonts w:hint="eastAsia" w:asciiTheme="minorEastAsia" w:hAnsiTheme="minorEastAsia" w:eastAsiaTheme="minorEastAsia" w:cstheme="minorEastAsia"/>
          <w:sz w:val="21"/>
          <w:szCs w:val="21"/>
        </w:rPr>
        <w:t>HNJY2020-3-32</w:t>
      </w:r>
      <w:bookmarkEnd w:id="3"/>
    </w:p>
    <w:p>
      <w:pPr>
        <w:spacing w:line="36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投标人名称：广东省农垦集团进出口有限公司 （盖章）                           </w:t>
      </w:r>
    </w:p>
    <w:p>
      <w:pPr>
        <w:spacing w:line="36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597"/>
        <w:gridCol w:w="1224"/>
        <w:gridCol w:w="2396"/>
        <w:gridCol w:w="724"/>
        <w:gridCol w:w="724"/>
        <w:gridCol w:w="905"/>
        <w:gridCol w:w="905"/>
        <w:gridCol w:w="1075"/>
        <w:gridCol w:w="851"/>
      </w:tblGrid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499" w:hRule="atLeast"/>
        </w:trPr>
        <w:tc>
          <w:tcPr>
            <w:tcW w:w="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1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2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7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9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</w:t>
            </w: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499" w:hRule="atLeast"/>
        </w:trPr>
        <w:tc>
          <w:tcPr>
            <w:tcW w:w="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序号</w:t>
            </w:r>
          </w:p>
        </w:tc>
        <w:tc>
          <w:tcPr>
            <w:tcW w:w="1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货物名称</w:t>
            </w:r>
          </w:p>
        </w:tc>
        <w:tc>
          <w:tcPr>
            <w:tcW w:w="2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厂家、品牌型号及技术参数</w:t>
            </w: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数量</w:t>
            </w:r>
          </w:p>
        </w:tc>
        <w:tc>
          <w:tcPr>
            <w:tcW w:w="7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单位</w:t>
            </w:r>
          </w:p>
        </w:tc>
        <w:tc>
          <w:tcPr>
            <w:tcW w:w="9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单价</w:t>
            </w: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投标单项总价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优惠政策产品扣除2%后单项总价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交货期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120" w:hRule="atLeast"/>
        </w:trPr>
        <w:tc>
          <w:tcPr>
            <w:tcW w:w="59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2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超高真空、变温扫描隧道显微镜</w:t>
            </w:r>
          </w:p>
        </w:tc>
        <w:tc>
          <w:tcPr>
            <w:tcW w:w="239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lang w:eastAsia="ja-JP"/>
              </w:rPr>
            </w:pPr>
            <w:r>
              <w:rPr>
                <w:rFonts w:hint="eastAsia"/>
                <w:lang w:val="en-US" w:eastAsia="zh-CN"/>
              </w:rPr>
              <w:t>厂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家：</w:t>
            </w:r>
            <w:r>
              <w:rPr>
                <w:rFonts w:hint="eastAsia" w:asciiTheme="minorEastAsia" w:hAnsiTheme="minorEastAsia" w:eastAsiaTheme="minorEastAsia" w:cstheme="minorEastAsia"/>
                <w:lang w:eastAsia="ja-JP"/>
              </w:rPr>
              <w:t>UNISOKU</w:t>
            </w: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lang w:eastAsia="ja-JP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品牌：</w:t>
            </w:r>
            <w:r>
              <w:rPr>
                <w:rFonts w:hint="eastAsia" w:asciiTheme="minorEastAsia" w:hAnsiTheme="minorEastAsia" w:eastAsiaTheme="minorEastAsia" w:cstheme="minorEastAsia"/>
                <w:lang w:eastAsia="ja-JP"/>
              </w:rPr>
              <w:t>UNISOKU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lang w:eastAsia="ja-JP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型号：</w:t>
            </w:r>
            <w:r>
              <w:rPr>
                <w:rFonts w:hint="eastAsia" w:asciiTheme="minorEastAsia" w:hAnsiTheme="minorEastAsia" w:eastAsiaTheme="minorEastAsia" w:cstheme="minorEastAsia"/>
                <w:lang w:eastAsia="ja-JP"/>
              </w:rPr>
              <w:t>USM1400 TL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技术参数：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由快速进样腔，制备腔，观察腔等装置构成，真空度分别是5×10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t>-5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Pa，3×10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t>-8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Pa，</w:t>
            </w: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3×10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t>-8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Pa，杜瓦的目标维持时间是45个小时，液氦的维持时间长于40个小时，Z方向精度是在78K温度下好于0.05纳米，在5K温度下为0.02nm，XY方向精度是在80K温度下好于0.1纳米，在5K温度下为0.05nm</w:t>
            </w: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2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90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￥3443902.00</w:t>
            </w: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￥3443902.00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合同签订后国产30天内安装完成，进口设备90天内安装完成。</w:t>
            </w:r>
          </w:p>
        </w:tc>
      </w:tr>
    </w:tbl>
    <w:p>
      <w:pPr>
        <w:spacing w:line="36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是否小微型企业产品:是（   ）；否（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）。</w:t>
      </w: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总价：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￥3443902.00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 xml:space="preserve">大写： 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lang w:val="en-US" w:eastAsia="zh-CN"/>
        </w:rPr>
        <w:t>人民币叁佰肆拾肆万叁仟玖佰零贰元整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 xml:space="preserve">                        </w:t>
      </w: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优惠政策产品扣除后总价：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￥3443902.00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 xml:space="preserve">大写： 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lang w:val="en-US" w:eastAsia="zh-CN"/>
        </w:rPr>
        <w:t>人民币叁佰肆拾肆万叁仟玖佰零贰元整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 xml:space="preserve">      </w:t>
      </w: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投标人代表签名：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职务：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业务代表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</w:t>
      </w: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联系电话：020-38090381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日期：2020年9月9日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</w:p>
    <w:p>
      <w:pPr>
        <w:bidi w:val="0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注：</w:t>
      </w:r>
      <w:r>
        <w:rPr>
          <w:rFonts w:hint="eastAsia" w:asciiTheme="minorEastAsia" w:hAnsiTheme="minorEastAsia" w:eastAsiaTheme="minorEastAsia" w:cstheme="minorEastAsia"/>
          <w:bCs/>
          <w:color w:val="FF0000"/>
          <w:sz w:val="21"/>
          <w:szCs w:val="21"/>
        </w:rPr>
        <w:t>1、国产设备用人民币报价,进口设备用美元免税报价。</w:t>
      </w:r>
    </w:p>
    <w:p>
      <w:pPr>
        <w:spacing w:line="360" w:lineRule="exact"/>
        <w:ind w:firstLine="420" w:firstLineChars="200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2、第6栏的单价应包括全部安装、调试、培训、技术服务、必不可少的部件、标准备件、专用工具等费用。</w:t>
      </w:r>
    </w:p>
    <w:p>
      <w:pPr>
        <w:spacing w:line="360" w:lineRule="exact"/>
        <w:ind w:firstLine="420" w:firstLineChars="200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3、单价{单价=（货价+运抵用户指定地点运、保、税、）}和投标总价。如果单价与总价有出入，以单价为准；大写金额与小写金额不一致的，以大写金额为准；总价金额与按单价汇总金额不一致的，以单价金额计算结果金额为准；单价金额小数点有明显错位的，应以总价为准并修改单价。</w:t>
      </w:r>
    </w:p>
    <w:p>
      <w:pPr>
        <w:spacing w:line="360" w:lineRule="exact"/>
        <w:ind w:firstLine="420" w:firstLineChars="200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4、第8栏中的优惠政策产品指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节能产品、信息安全产品、环境标志产品。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br w:type="page"/>
      </w:r>
    </w:p>
    <w:p>
      <w:pPr>
        <w:pStyle w:val="5"/>
        <w:bidi w:val="0"/>
      </w:pPr>
      <w:bookmarkStart w:id="2" w:name="_Toc20791"/>
      <w:r>
        <w:rPr>
          <w:rFonts w:hint="eastAsia"/>
          <w:lang w:val="en-US" w:eastAsia="zh-CN"/>
        </w:rPr>
        <w:t>2.</w:t>
      </w:r>
      <w:r>
        <w:rPr>
          <w:rFonts w:hint="eastAsia"/>
        </w:rPr>
        <w:t>规格响应表</w:t>
      </w:r>
      <w:bookmarkEnd w:id="2"/>
    </w:p>
    <w:p>
      <w:pPr>
        <w:tabs>
          <w:tab w:val="left" w:pos="9654"/>
        </w:tabs>
        <w:spacing w:line="360" w:lineRule="exac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投标人名称</w:t>
      </w:r>
      <w:r>
        <w:rPr>
          <w:rFonts w:ascii="宋体" w:hAnsi="宋体"/>
          <w:sz w:val="21"/>
          <w:szCs w:val="21"/>
        </w:rPr>
        <w:t>:</w:t>
      </w:r>
      <w:r>
        <w:rPr>
          <w:rFonts w:hint="eastAsia" w:ascii="宋体" w:hAnsi="宋体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广东省农垦集团进出口有限公司</w:t>
      </w:r>
      <w:r>
        <w:rPr>
          <w:rFonts w:hint="eastAsia" w:ascii="宋体" w:hAnsi="宋体"/>
          <w:sz w:val="21"/>
          <w:szCs w:val="21"/>
        </w:rPr>
        <w:t>（盖章）</w:t>
      </w:r>
    </w:p>
    <w:p>
      <w:pPr>
        <w:spacing w:line="320" w:lineRule="exact"/>
        <w:jc w:val="center"/>
        <w:rPr>
          <w:rFonts w:hint="eastAsia" w:ascii="宋体" w:hAnsi="宋体"/>
          <w:b/>
          <w:sz w:val="21"/>
          <w:szCs w:val="21"/>
        </w:rPr>
      </w:pPr>
    </w:p>
    <w:p>
      <w:pPr>
        <w:spacing w:line="320" w:lineRule="exact"/>
        <w:jc w:val="left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说明：投标人必须仔细阅读招标文件中所有技术规范条款和相关功能要求，并对所有技术规范和功能偏离的条目列入下表，未列入下表的视作投标人不响应。</w:t>
      </w:r>
      <w:r>
        <w:rPr>
          <w:rFonts w:hint="eastAsia" w:ascii="宋体" w:hAnsi="宋体"/>
          <w:sz w:val="21"/>
          <w:szCs w:val="21"/>
          <w:u w:val="single"/>
        </w:rPr>
        <w:t>投标人必须根据所投产品的实际情况如实填写，评委会如发现有虚假描述，</w:t>
      </w:r>
      <w:r>
        <w:rPr>
          <w:rFonts w:ascii="宋体" w:hAnsi="宋体"/>
          <w:sz w:val="21"/>
          <w:szCs w:val="21"/>
          <w:u w:val="single"/>
        </w:rPr>
        <w:t>提供虚假材料谋取中标、成交的</w:t>
      </w:r>
      <w:r>
        <w:rPr>
          <w:rFonts w:hint="eastAsia" w:ascii="宋体" w:hAnsi="宋体"/>
          <w:sz w:val="21"/>
          <w:szCs w:val="21"/>
          <w:u w:val="single"/>
        </w:rPr>
        <w:t>，属违反政府采购法相关规定，该投标文件作废标处理。</w:t>
      </w:r>
      <w:r>
        <w:rPr>
          <w:rFonts w:ascii="宋体" w:hAnsi="宋体"/>
          <w:sz w:val="21"/>
          <w:szCs w:val="21"/>
        </w:rPr>
        <w:tab/>
      </w:r>
    </w:p>
    <w:p>
      <w:pPr>
        <w:spacing w:line="320" w:lineRule="exact"/>
        <w:jc w:val="center"/>
        <w:rPr>
          <w:rFonts w:hint="eastAsia" w:ascii="宋体" w:hAnsi="宋体"/>
          <w:b/>
          <w:sz w:val="21"/>
          <w:szCs w:val="21"/>
        </w:rPr>
      </w:pPr>
    </w:p>
    <w:p>
      <w:pPr>
        <w:tabs>
          <w:tab w:val="left" w:pos="9654"/>
        </w:tabs>
        <w:spacing w:line="320" w:lineRule="exact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投标人名称: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广东省农垦集团进出口有限公司</w:t>
      </w:r>
      <w:r>
        <w:rPr>
          <w:rFonts w:hint="eastAsia" w:ascii="宋体" w:hAnsi="宋体"/>
          <w:sz w:val="21"/>
          <w:szCs w:val="21"/>
        </w:rPr>
        <w:t>（盖章）</w:t>
      </w:r>
    </w:p>
    <w:p>
      <w:pPr>
        <w:tabs>
          <w:tab w:val="left" w:pos="635"/>
          <w:tab w:val="left" w:pos="2852"/>
          <w:tab w:val="left" w:pos="5260"/>
          <w:tab w:val="left" w:pos="9654"/>
        </w:tabs>
        <w:spacing w:line="320" w:lineRule="exact"/>
        <w:rPr>
          <w:rFonts w:hint="eastAsia" w:ascii="宋体" w:hAnsi="宋体"/>
          <w:sz w:val="21"/>
          <w:szCs w:val="21"/>
        </w:rPr>
      </w:pPr>
    </w:p>
    <w:tbl>
      <w:tblPr>
        <w:tblStyle w:val="11"/>
        <w:tblW w:w="0" w:type="auto"/>
        <w:tblInd w:w="-68" w:type="dxa"/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660"/>
        <w:gridCol w:w="3300"/>
        <w:gridCol w:w="3300"/>
        <w:gridCol w:w="2552"/>
      </w:tblGrid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33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招标规格</w:t>
            </w:r>
          </w:p>
        </w:tc>
        <w:tc>
          <w:tcPr>
            <w:tcW w:w="3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投标规格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偏离情况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（无偏离，正/负偏离）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</w:rPr>
              <w:t>证明材料页码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3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快速进样室</w:t>
            </w:r>
          </w:p>
        </w:tc>
        <w:tc>
          <w:tcPr>
            <w:tcW w:w="3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3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材料为不锈钢304，腔体外径为114mm，内壁电化学抛光处理。</w:t>
            </w:r>
          </w:p>
        </w:tc>
        <w:tc>
          <w:tcPr>
            <w:tcW w:w="33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材料为不锈钢304，腔体外径为114mm，内壁电化学抛光处理。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3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真空度</w:t>
            </w:r>
          </w:p>
        </w:tc>
        <w:tc>
          <w:tcPr>
            <w:tcW w:w="33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没有烘焙的情况下好于5×10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vertAlign w:val="superscript"/>
              </w:rPr>
              <w:t>-5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Pa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没有烘焙的情况下好于5×10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t>-5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Pa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安放台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固定在磁力传送杆上的安放台能够安放4个样品架和4个针尖架。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固定在磁力传送杆上的安放台能够安放4个样品架和4个针尖架。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传送杆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3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一根磁力传送杆用于在快速进样室和制备室之间传送针尖和样品。</w:t>
            </w:r>
          </w:p>
        </w:tc>
        <w:tc>
          <w:tcPr>
            <w:tcW w:w="33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一根磁力传送杆用于在快速进样室和制备室之间传送针尖和样品。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3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快进门</w:t>
            </w:r>
          </w:p>
        </w:tc>
        <w:tc>
          <w:tcPr>
            <w:tcW w:w="33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尺寸为ICF114,用于取放针尖和样品。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可以更换为标准的刀口法兰密封方式以实现更好的真空度。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尺寸为ICF114,用于取放针尖和样品。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可以更换为标准的刀口法兰密封方式以实现更好的真空度。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漏气阀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尺寸为ICF70，连接6mm塑料管。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尺寸为ICF70，连接6mm塑料管。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制备室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材料为不锈钢304，腔体外径为203mm，内壁电化学抛光处理。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材料为不锈钢304，腔体外径为203mm，内壁电化学抛光处理。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真空度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烘焙后好于3×10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vertAlign w:val="superscript"/>
              </w:rPr>
              <w:t>-8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Pa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烘焙后好于3×10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t>-8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Pa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样品操纵台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操纵台上能够安放4个样品架和4个针尖架。操纵台上有一个样品架可以进行加热。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操纵台上能够安放4个样品架和4个针尖架。操纵台上有一个样品架可以进行加热。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样品加热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直流电加热：1300 deg. C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电子束轰击加热：1500 deg. C 10分钟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1000 deg. C 1小时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*EB样品尺寸：6*6mm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不包括可旋转的操纵台：可供选择，需要根据客户在可旋转的操纵台加热要求设计                                                      *可旋转的操纵台：用于RHEED和样品生长，加热台（位于操纵台下方）可以旋转让样品朝下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温度监测：无调控样品温度的传感器。需要用户使用高温计进行温度的监测。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直流电加热：1300 deg. C，电子束轰击加热：1500 deg. C 10分钟，1000 deg. C 1小时，*EB样品尺寸：6*6mm，不包括可旋转的操纵台：可供选择，需要根据客户在可旋转的操纵台加热要求设计 ， *可旋转的操纵台：用于RHEED和样品生长，加热台（位于操纵台下方）可以旋转让样品朝下，温度监测：无调控样品温度的传感器。需要用户使用高温计进行温度的监测。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传送杆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使用磁力传送杆，在制备室和观察腔之间进行样品和针尖的传送。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使用磁力传送杆，在制备室和观察腔之间进行样品和针尖的传送。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样品操纵台的动作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运动方向：Z和Θ，X，Y方向不包括在内，如果用户需要X,Y方向，可以进行升级。已升级（见附属配件7.8）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运动方向：Z和Θ，X，Y方向不包括在内，如果用户需要X,Y方向，可以进行升级，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已升级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扩展法兰口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1个ICF 114和6个ICF70法兰用于生长，3个观察窗，1个ICF70和1个ICF152法兰用于安装RHEED，1个ICF70法兰用于真空规，4个ICF70法兰作为扩展法兰。法兰的规格、位置可根据客户的需求进行调整。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1个ICF 114和6个ICF70法兰用于生长，3个观察窗，1个ICF70和1个ICF152法兰用于安装RHEED，1个ICF70法兰用于真空规，4个ICF70法兰作为扩展法兰。法兰的规格、位置可根据客户的需求进行调整。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观察室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观察腔系统如下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真空腔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材料为不锈钢304，腔体外径为253mm，内壁电化学抛光处理。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材料为不锈钢304，腔体外径为253mm，内壁电化学抛光处理。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真空度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烘焙后好于3×10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vertAlign w:val="superscript"/>
              </w:rPr>
              <w:t>-8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Pa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/安装后第一次烘焙需要两周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/通常烘焙需要一周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烘焙后好于3×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t>10-8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Pa，/安装后第一次烘焙需要两周，/通常烘焙需要一周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  <w:t>安放台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  <w:t>安放台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能够安放3个样品架和3个针尖架。安放台位于STM头以上（室温）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安放台能够安放3个样品架和3个针尖架。安放台位于STM头以上（室温）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竖直传送杆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将样品架和针尖架从安放台传送至SPM头部分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将样品架和针尖架从安放台传送至SPM头部分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杜瓦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杜瓦由一个液氦容器、液氦致冷台和冷辐射防护屏组成，SPM部分与致冷台连接，冷台由氦气进行致冷。                                     *无液氮外层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杜瓦由一个液氦容器、液氦致冷台和冷辐射防护屏组成，SPM部分与致冷台连接，冷台由氦气进行致冷。 *无液氮外层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辐射防护屏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SPM台由双层防护层包围。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SPM台由双层防护层包围。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液氦容器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9升液氦容器被安装在观察室的杜瓦腔里。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9升液氦容器被安装在观察室的杜瓦腔里。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维持时间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液氦的维持时间长于40个小时                                     *目标维持时间：45个小时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液氦的维持时间长于40个小时                                    *目标维持时间：45个小时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温度传感器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温度传感器安装于冷台和样品台上，温度传感器为Silicon diode,精度为±0.5K，PID温度控制器包含在内，用于控制冷台的温度。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温度传感器安装于冷台和样品台上，温度传感器为Silicon diode,精度为±0.5K，PID温度控制器包含在内，用于控制冷台的温度。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液氦液面计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Unisoku制液面计安装于液氦容器内。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Unisoku制液面计安装于液氦容器内。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SPM台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内部减震，SPM台由螺旋弹簧和磁铁Eddy电流减震器悬挂安装。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内部减震，SPM台由螺旋弹簧和磁铁Eddy电流减震器悬挂安装。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冷台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由不锈钢管安装在液氦容器上，由液氦进行致冷，调整针阀和抽真空可以实现3K-4.2K的温度可控。                                        *低于5K需使用针阀，此为可选功能。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由不锈钢管安装在液氦容器上，由液氦进行致冷，调整针阀和抽真空可以实现3K-4.2K的温度可控。*低于5K需使用针阀，此为可选功能。                                      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温度控制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加热丝安装在冷台上，通过液氦可以实现5K到8K的温度可控，通过液氮可以实现80K到室温的温度可控。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加热丝安装在冷台上，通过液氦可以实现5K到8K的温度可控，通过液氮可以实现80K到室温的温度可控。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SPM扫描头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SPM扫描头安装于SPM冷台上，由XY粗动偏压台，Z粗动偏压台和微动扫描管偏压组成。  探针扫描模式                                                  *样品扫描可以实现，需要跟用户商议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SPM扫描头安装于SPM冷台上，由XY粗动偏压台，Z粗动偏压台和微动扫描管偏压组成。  探针扫描模式 ，  *样品扫描可以实现，需要跟用户商议                                               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样品台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样品架安装在XY粗动偏压台上，样品的位置调整范围为2 x 2 mm，使用控制软件和远程操控，可实现步长为50-100nm的控制。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样品架安装在XY粗动偏压台上，样品的位置调整范围为2 x 2 mm，使用控制软件和远程操控，可实现步长为50-100nm的控制。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Z方向精度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在78K温度下好于0.05纳米，在5K温度下为0.02nm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在78K温度下好于0.05纳米，在5K温度下为0.02nm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XY方向精度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在80K温度下好于0.1纳米，在5K温度下为0.05nm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在80K温度下好于0.1纳米，在5K温度下为0.05nm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扫描范围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室温下：最大的扫描范围：4.5um*4.5um，feedback Z:800nm@±150V    5K温度下：最大的扫描范围：1.2um*1.2um，feedback Z:200nm@±150V  *最大电压为230V  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室温下：最大的扫描范围：4.5um*4.5um，feedback Z:800nm@±150V    5K温度下：最大的扫描范围：1.2um*1.2um，feedback Z:200nm@±150V  *最大电压为230V  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温飘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温度稳定后，78K情况下XY方向小于3nm/hour，5K温度下小于1nm/hour,最小电流小于1pA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温度稳定后，78K情况下XY方向小于3nm/hour，5K温度下小于1nm/hour,最小电流小于1pA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样品架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4个DC样品架（全部使用钼螺丝）和4个EB样品架（flag type)(可存储直径6的样品。）,此为标准件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4个DC样品架（全部使用钼螺丝）和4个EB样品架（flag type)(可存储直径6的样品）,此为标准件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针尖架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5个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提供5个针尖架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真空系统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真空系统参数如下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真空规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包含3个离子真空规安装于快速进样室，制备室和观察室。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配置3个离子真空规安装于快速进样室，制备室和观察室。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真空阀门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2个ICF114(VAT)手动闸板阀分别连接在快速进样室和制备室之间、以及制备室和转换室之间.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提供2个ICF114(VAT)手动闸板阀分别连接在快速进样室和制备室之间、以及制备室和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转换室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之间.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离子泵及钛泵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Valcon Plus300组合泵安装于制备室。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Valcon Plus150组合泵安装于观察室。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2个Minivac控制器及2个TSP控制器。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Valcon Plus300组合泵安装于制备室。Valcon Plus150组合泵安装于观察室。2个Minivac控制器及2个TSP控制器。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分子泵及干泵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250L/sec的分子泵和爱德华15i安装于快速进样室。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250L/sec的分子泵和爱德华15i安装于快速进样室。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减震台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四条气垫腿安装有被动减震装置。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四条气垫腿安装有被动减震装置。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台面尺寸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 xml:space="preserve">大约1000mm W×800mm D×750mm H 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大约1000mm W×800mm D×750mm H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重量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大约400Kg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大约400Kg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氮气或者压缩空气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氮气瓶及10Kg/cm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vertAlign w:val="superscript"/>
              </w:rPr>
              <w:t xml:space="preserve">2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的减压阀需由用户自行准备，通过外径6mm的塑料管进行连接。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氮气瓶及10Kg/cm2 的减压阀需由用户自行准备，通过外径6mm的塑料管进行连接。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SPM控制器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Nanonis控制器和其他必要模式用于UNISOKU STM控制。         DLPCA-200(FEMTO)可变增益低噪音电流放大器用于精确的STS测量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Nanonis控制器和其他必要模式用于UNISOKU STM控制，  DLPCA-200(FEMTO)可变增益低噪音电流放大器用于精确的STS测量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配件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配件如下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液氦输液管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1根。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1根。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探针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包含20根铂铱针尖。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包含20根铂铱针尖。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样品安装工具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1套。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1套。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工具箱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  <w:t>1个。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  <w:t>1套。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照明光源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LED照明光源及ICF70卡套：1套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LED照明光源及ICF70卡套：1套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直流电源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24V-14A 直流电源APS100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按照24V-14A 直流电源APS100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烘烤系统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加热丝及温度传感器已经安装在了每个腔上，另外有4根加热带。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加热丝及温度传感器已经安装在了每个腔上，另外有4根加热带。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光学显微镜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带卡套的简易光学显微镜，可用于观察样品和探针。无camera。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带卡套的简易光学显微镜，可用于观察样品和探针。无camera。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安装手册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1套。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随机附送1套安装手册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安装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安装细节如下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到货安装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2名工作人员在现场进行安装及运行预先测试。（室温状态下）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达到真空状态后，1名工作人员会进行验收实验和操作培训。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Unisoku派出2名工作人员在现场进行安装及运行预先测试。（室温状态下），达到真空状态后，1名工作人员会进行验收实验和操作培训。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验收实验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确认仪器的性能和功能。                                         低温和真空性能，STM性能：                                       HOPG：非超高真空和DC加热                                        Si(111)：超高真空，DC加热                                             Au原子图像：真空，Ar溅射，加热。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确认仪器的性能和功能。                                         低温和真空性能，STM性能：                                       HOPG：非超高真空和DC加热                                   Si(111)：超高真空，DC加热                                             Au原子图像：真空，Ar溅射，加热。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追加配件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追加配件如下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电子束轰击针尖加热（EBT100）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用于针尖清洁。包含一个高压控制器（EBT100 UNISOKU制）            *不支持CE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用于针尖清洁。包含一个高压控制器（EBT100 UNISOKU制）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*不支持CE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离子枪和控制器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Preva制，安装于制备室，用于样品和针尖清洁，Ar气小圆筒，可选漏阀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Preva制，安装于制备室，用于样品和针尖清洁，Ar气小圆筒，可选漏阀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  <w:t>制备腔升级XY移动台和样品电阻加热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  <w:t>制备腔样品增加XY移动台并且处理台增加电阻加热并且能检测温度，带温度显示器。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2"/>
                <w:sz w:val="21"/>
                <w:szCs w:val="21"/>
                <w:lang w:val="en-US" w:eastAsia="zh-CN" w:bidi="ar-SA"/>
              </w:rPr>
              <w:t>无此项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 w:eastAsia="zh-CN"/>
              </w:rPr>
              <w:t>负偏离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用于样品加热的EB电源（EBM100）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用于电子束样品加热 2kV-100mA EBM-100 UNISOKU                    *不支持CE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用于电子束样品加热 2kV-100mA EBM-100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UNISOKU                    *不支持CE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无偏离(第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148-151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页)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  <w:t>AFM升级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59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  <w:t xml:space="preserve">NC-AFM模式，布线为tuning fork AFM,AFM针尖架， PLL circuit用于Nanonis   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  <w:t xml:space="preserve">AFM type:Q-plus type AFM (NC-AFM node)                        分辨率：低温下Si(111）原子图像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  <w:t xml:space="preserve">电流探测：STM availabe 使用AFM针尖                             AFM holder: 3个AFM针尖架，Q-plus type  senser 10个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1"/>
                <w:szCs w:val="21"/>
              </w:rPr>
              <w:t>*仪器安装完成后仍然可以升级此功能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2"/>
                <w:sz w:val="21"/>
                <w:szCs w:val="21"/>
                <w:lang w:val="en-US" w:eastAsia="zh-CN" w:bidi="ar-SA"/>
              </w:rPr>
              <w:t>无此项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2"/>
                <w:sz w:val="21"/>
                <w:szCs w:val="21"/>
                <w:lang w:val="en-US" w:eastAsia="zh-CN" w:bidi="ar-SA"/>
              </w:rPr>
              <w:t>负偏离</w:t>
            </w:r>
          </w:p>
        </w:tc>
      </w:tr>
    </w:tbl>
    <w:p>
      <w:pPr>
        <w:bidi w:val="0"/>
        <w:rPr>
          <w:rFonts w:hint="eastAsia"/>
          <w:sz w:val="21"/>
          <w:szCs w:val="21"/>
        </w:rPr>
      </w:pPr>
    </w:p>
    <w:p>
      <w:pPr>
        <w:bidi w:val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注：1、招标规格按招标文件要求填写。</w:t>
      </w:r>
    </w:p>
    <w:p>
      <w:pPr>
        <w:numPr>
          <w:ilvl w:val="0"/>
          <w:numId w:val="1"/>
        </w:numPr>
        <w:bidi w:val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投标规格按所投产品规格填写。不接受有选择性的参数。</w:t>
      </w:r>
    </w:p>
    <w:p>
      <w:pPr>
        <w:bidi w:val="0"/>
        <w:rPr>
          <w:rFonts w:hint="eastAsia"/>
          <w:sz w:val="21"/>
          <w:szCs w:val="21"/>
        </w:rPr>
      </w:pPr>
    </w:p>
    <w:p>
      <w:pPr>
        <w:bidi w:val="0"/>
        <w:sectPr>
          <w:footerReference r:id="rId3" w:type="default"/>
          <w:pgSz w:w="11905" w:h="16838"/>
          <w:pgMar w:top="1134" w:right="1123" w:bottom="1134" w:left="1123" w:header="850" w:footer="992" w:gutter="0"/>
          <w:pgNumType w:fmt="decimal" w:start="1"/>
          <w:cols w:space="0" w:num="1"/>
          <w:rtlGutter w:val="0"/>
          <w:docGrid w:type="lines" w:linePitch="317" w:charSpace="0"/>
        </w:sectPr>
      </w:pPr>
      <w:r>
        <w:rPr>
          <w:rFonts w:hint="eastAsia"/>
          <w:color w:val="FF0000"/>
          <w:sz w:val="21"/>
          <w:szCs w:val="21"/>
        </w:rPr>
        <w:t>投标人签名：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广东省农垦集团进出口有限公司</w:t>
      </w:r>
    </w:p>
    <w:p/>
    <w:sectPr>
      <w:footerReference r:id="rId4" w:type="default"/>
      <w:pgSz w:w="16838" w:h="11905" w:orient="landscape"/>
      <w:pgMar w:top="1123" w:right="1134" w:bottom="1123" w:left="1134" w:header="850" w:footer="992" w:gutter="0"/>
      <w:pgNumType w:fmt="decimal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54ED97"/>
    <w:multiLevelType w:val="singleLevel"/>
    <w:tmpl w:val="B554ED9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1221D"/>
    <w:rsid w:val="15FF4116"/>
    <w:rsid w:val="20E178F6"/>
    <w:rsid w:val="4CED4341"/>
    <w:rsid w:val="5461221D"/>
    <w:rsid w:val="546B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line="360" w:lineRule="auto"/>
      <w:jc w:val="center"/>
      <w:outlineLvl w:val="0"/>
    </w:pPr>
    <w:rPr>
      <w:b/>
      <w:kern w:val="44"/>
      <w:sz w:val="36"/>
    </w:rPr>
  </w:style>
  <w:style w:type="paragraph" w:styleId="6">
    <w:name w:val="heading 2"/>
    <w:basedOn w:val="1"/>
    <w:next w:val="1"/>
    <w:qFormat/>
    <w:uiPriority w:val="0"/>
    <w:pPr>
      <w:keepNext/>
      <w:keepLines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rFonts w:ascii="Arial" w:hAnsi="Arial"/>
      <w:b/>
      <w:spacing w:val="24"/>
      <w:kern w:val="0"/>
      <w:sz w:val="32"/>
      <w:szCs w:val="20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next w:val="3"/>
    <w:qFormat/>
    <w:uiPriority w:val="99"/>
    <w:pPr>
      <w:spacing w:before="25" w:after="25"/>
      <w:jc w:val="left"/>
    </w:pPr>
    <w:rPr>
      <w:bCs/>
      <w:spacing w:val="10"/>
      <w:kern w:val="0"/>
      <w:sz w:val="24"/>
      <w:szCs w:val="20"/>
    </w:rPr>
  </w:style>
  <w:style w:type="paragraph" w:styleId="3">
    <w:name w:val="Body Text"/>
    <w:basedOn w:val="1"/>
    <w:next w:val="4"/>
    <w:qFormat/>
    <w:uiPriority w:val="0"/>
    <w:rPr>
      <w:sz w:val="18"/>
      <w:szCs w:val="20"/>
    </w:rPr>
  </w:style>
  <w:style w:type="paragraph" w:styleId="4">
    <w:name w:val="toc 5"/>
    <w:basedOn w:val="1"/>
    <w:next w:val="1"/>
    <w:qFormat/>
    <w:uiPriority w:val="0"/>
    <w:pPr>
      <w:ind w:left="1680" w:leftChars="800"/>
    </w:pPr>
    <w:rPr>
      <w:szCs w:val="24"/>
    </w:rPr>
  </w:style>
  <w:style w:type="paragraph" w:styleId="7">
    <w:name w:val="table of authorities"/>
    <w:basedOn w:val="1"/>
    <w:next w:val="1"/>
    <w:unhideWhenUsed/>
    <w:qFormat/>
    <w:uiPriority w:val="99"/>
    <w:pPr>
      <w:ind w:left="420" w:leftChars="200"/>
    </w:pPr>
    <w:rPr>
      <w:szCs w:val="22"/>
    </w:rPr>
  </w:style>
  <w:style w:type="paragraph" w:styleId="8">
    <w:name w:val="Plain Text"/>
    <w:basedOn w:val="1"/>
    <w:qFormat/>
    <w:uiPriority w:val="99"/>
    <w:pPr>
      <w:spacing w:line="360" w:lineRule="auto"/>
    </w:pPr>
    <w:rPr>
      <w:rFonts w:ascii="宋体" w:hAnsi="Courier New"/>
      <w:spacing w:val="-8"/>
      <w:sz w:val="24"/>
      <w:szCs w:val="20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2020-09-07T02:33:00Z</dcterms:created>
  <dc:creator>HP</dc:creator>
  <cp:lastModifiedBy>HP</cp:lastModifiedBy>
  <cp:lastPrinted>2020-09-07T07:16:00Z</cp:lastPrinted>
  <dcterms:modified xsi:type="dcterms:W3CDTF">2020-09-14T02:37:40Z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