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Toc445459421"/>
      <w:bookmarkStart w:id="1" w:name="_Toc15039603"/>
      <w:r>
        <w:rPr>
          <w:rFonts w:hint="eastAsia" w:ascii="宋体" w:hAnsi="宋体" w:eastAsia="宋体" w:cs="宋体"/>
          <w:color w:val="auto"/>
          <w:sz w:val="44"/>
          <w:szCs w:val="44"/>
        </w:rPr>
        <w:t xml:space="preserve"> </w:t>
      </w:r>
      <w:bookmarkEnd w:id="0"/>
      <w:r>
        <w:rPr>
          <w:rFonts w:hint="eastAsia" w:ascii="宋体" w:hAnsi="宋体" w:eastAsia="宋体" w:cs="宋体"/>
          <w:color w:val="auto"/>
          <w:sz w:val="44"/>
          <w:szCs w:val="44"/>
        </w:rPr>
        <w:t>用户需求书</w:t>
      </w:r>
      <w:bookmarkEnd w:id="1"/>
    </w:p>
    <w:p>
      <w:pPr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一、项目概况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1、项目名称：万宁市2021年红火蚁防治项目物资（农药）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2、项目编号：HNZR21-08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3、采购方式：竞争性磋商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4、预算金额：40万元</w:t>
      </w:r>
    </w:p>
    <w:p>
      <w:pPr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5、最高限价：40万元</w:t>
      </w:r>
    </w:p>
    <w:p>
      <w:pPr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二</w:t>
      </w:r>
      <w:r>
        <w:rPr>
          <w:rFonts w:hint="eastAsia" w:hAnsi="宋体"/>
          <w:sz w:val="30"/>
          <w:szCs w:val="30"/>
        </w:rPr>
        <w:t>、采购清单及技术要求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20"/>
        <w:gridCol w:w="2185"/>
        <w:gridCol w:w="1257"/>
        <w:gridCol w:w="1343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ascii="Calibri" w:hAnsi="宋体"/>
                <w:kern w:val="2"/>
              </w:rPr>
              <w:t>序号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ascii="Calibri" w:hAnsi="宋体"/>
                <w:kern w:val="2"/>
              </w:rPr>
              <w:t>采购品目名称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hint="eastAsia" w:ascii="Calibri" w:hAnsi="宋体"/>
                <w:kern w:val="2"/>
              </w:rPr>
              <w:t>参考规格型号和配置技术参数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hint="eastAsia" w:ascii="Calibri" w:hAnsi="宋体"/>
                <w:kern w:val="2"/>
              </w:rPr>
              <w:t>数量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hint="eastAsia" w:ascii="Calibri" w:hAnsi="宋体"/>
                <w:kern w:val="2"/>
              </w:rPr>
              <w:t>单位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</w:rPr>
            </w:pPr>
            <w:r>
              <w:rPr>
                <w:rFonts w:ascii="Calibri" w:hAnsi="宋体"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  <w:sz w:val="28"/>
                <w:szCs w:val="28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  <w:sz w:val="28"/>
                <w:szCs w:val="28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</w:rPr>
              <w:t>杀蚁饵剂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ascii="Calibri" w:hAnsi="宋体"/>
                <w:kern w:val="2"/>
                <w:sz w:val="28"/>
                <w:szCs w:val="28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Calibri" w:hAnsi="宋体"/>
                <w:kern w:val="2"/>
                <w:sz w:val="28"/>
                <w:szCs w:val="28"/>
              </w:rPr>
              <w:t>00克/</w:t>
            </w:r>
            <w:r>
              <w:rPr>
                <w:rFonts w:hint="eastAsia" w:ascii="Calibri" w:hAnsi="宋体"/>
                <w:kern w:val="2"/>
                <w:sz w:val="28"/>
                <w:szCs w:val="28"/>
                <w:lang w:eastAsia="zh-CN"/>
              </w:rPr>
              <w:t>包</w:t>
            </w:r>
            <w:r>
              <w:rPr>
                <w:rFonts w:hint="eastAsia" w:ascii="Calibri" w:hAnsi="宋体"/>
                <w:kern w:val="2"/>
                <w:sz w:val="28"/>
                <w:szCs w:val="28"/>
              </w:rPr>
              <w:t>，茚虫威≥0.1%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default" w:ascii="Calibri" w:hAnsi="宋体" w:eastAsia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  <w:lang w:val="en-US" w:eastAsia="zh-CN"/>
              </w:rPr>
              <w:t>40000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  <w:lang w:eastAsia="zh-CN"/>
              </w:rPr>
              <w:t>包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jc w:val="center"/>
              <w:rPr>
                <w:rFonts w:hint="default" w:ascii="Calibri" w:hAnsi="宋体" w:eastAsia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宋体"/>
                <w:kern w:val="2"/>
                <w:sz w:val="28"/>
                <w:szCs w:val="28"/>
                <w:lang w:val="en-US" w:eastAsia="zh-CN"/>
              </w:rPr>
              <w:t>包含运费、税费、装卸费</w:t>
            </w:r>
            <w:bookmarkStart w:id="2" w:name="_GoBack"/>
            <w:bookmarkEnd w:id="2"/>
          </w:p>
        </w:tc>
      </w:tr>
    </w:tbl>
    <w:p>
      <w:pPr>
        <w:pStyle w:val="3"/>
        <w:spacing w:line="360" w:lineRule="auto"/>
        <w:rPr>
          <w:rFonts w:hAnsi="宋体"/>
          <w:sz w:val="30"/>
          <w:szCs w:val="30"/>
        </w:rPr>
      </w:pPr>
      <w:r>
        <w:rPr>
          <w:rFonts w:hint="eastAsia" w:ascii="宋体" w:hAnsi="宋体"/>
          <w:bCs w:val="0"/>
          <w:caps w:val="0"/>
          <w:sz w:val="24"/>
          <w:szCs w:val="24"/>
        </w:rPr>
        <w:t>备注：以上农药产品需在海南省农业厅有通过备案，提供相关证明。</w:t>
      </w:r>
    </w:p>
    <w:p>
      <w:pPr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三</w:t>
      </w:r>
      <w:r>
        <w:rPr>
          <w:rFonts w:hint="eastAsia" w:hAnsi="宋体"/>
          <w:sz w:val="30"/>
          <w:szCs w:val="30"/>
        </w:rPr>
        <w:t>、商务要求</w:t>
      </w:r>
    </w:p>
    <w:p>
      <w:pPr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1、</w:t>
      </w:r>
      <w:r>
        <w:rPr>
          <w:rFonts w:hAnsi="宋体"/>
          <w:sz w:val="30"/>
          <w:szCs w:val="30"/>
        </w:rPr>
        <w:t>交货期</w:t>
      </w:r>
      <w:r>
        <w:rPr>
          <w:rFonts w:hint="eastAsia" w:hAnsi="宋体"/>
          <w:sz w:val="30"/>
          <w:szCs w:val="30"/>
        </w:rPr>
        <w:t>：合同签订生效之日起 15天内完成供货。</w:t>
      </w:r>
    </w:p>
    <w:p>
      <w:pPr>
        <w:tabs>
          <w:tab w:val="left" w:pos="1260"/>
        </w:tabs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2</w:t>
      </w:r>
      <w:r>
        <w:rPr>
          <w:rFonts w:hint="eastAsia" w:hAnsi="宋体"/>
          <w:sz w:val="30"/>
          <w:szCs w:val="30"/>
        </w:rPr>
        <w:t>、保质期：两年。</w:t>
      </w:r>
    </w:p>
    <w:p>
      <w:pPr>
        <w:tabs>
          <w:tab w:val="left" w:pos="1260"/>
        </w:tabs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3</w:t>
      </w:r>
      <w:r>
        <w:rPr>
          <w:rFonts w:hint="eastAsia" w:hAnsi="宋体"/>
          <w:sz w:val="30"/>
          <w:szCs w:val="30"/>
        </w:rPr>
        <w:t>、交货地点：用户指定地点。</w:t>
      </w:r>
    </w:p>
    <w:p>
      <w:pPr>
        <w:tabs>
          <w:tab w:val="left" w:pos="1260"/>
        </w:tabs>
        <w:spacing w:line="480" w:lineRule="auto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lang w:val="en-US" w:eastAsia="zh-CN"/>
        </w:rPr>
        <w:t>4</w:t>
      </w:r>
      <w:r>
        <w:rPr>
          <w:rFonts w:hint="eastAsia" w:hAnsi="宋体"/>
          <w:sz w:val="30"/>
          <w:szCs w:val="30"/>
        </w:rPr>
        <w:t>、验收标准：按技术参数和国家行业标准进行验收</w:t>
      </w:r>
    </w:p>
    <w:p>
      <w:pPr>
        <w:spacing w:line="480" w:lineRule="auto"/>
        <w:rPr>
          <w:rFonts w:hint="default" w:hAnsi="宋体" w:eastAsia="宋体"/>
          <w:lang w:val="en-US" w:eastAsia="zh-CN"/>
        </w:rPr>
      </w:pPr>
      <w:r>
        <w:rPr>
          <w:rFonts w:hint="eastAsia" w:hAnsi="宋体"/>
          <w:sz w:val="30"/>
          <w:szCs w:val="30"/>
          <w:lang w:val="en-US" w:eastAsia="zh-CN"/>
        </w:rPr>
        <w:t>5</w:t>
      </w:r>
      <w:r>
        <w:rPr>
          <w:rFonts w:hint="eastAsia" w:hAnsi="宋体"/>
          <w:sz w:val="30"/>
          <w:szCs w:val="30"/>
        </w:rPr>
        <w:t>、付款方式：</w:t>
      </w:r>
      <w:r>
        <w:rPr>
          <w:rFonts w:hint="eastAsia" w:hAnsi="宋体"/>
          <w:sz w:val="30"/>
          <w:szCs w:val="30"/>
          <w:lang w:val="en-US" w:eastAsia="zh-CN"/>
        </w:rPr>
        <w:t>合同另行约定</w:t>
      </w:r>
    </w:p>
    <w:p>
      <w:pPr>
        <w:tabs>
          <w:tab w:val="left" w:pos="1260"/>
        </w:tabs>
        <w:rPr>
          <w:rFonts w:hAnsi="宋体"/>
          <w:sz w:val="30"/>
          <w:szCs w:val="30"/>
        </w:rPr>
      </w:pPr>
    </w:p>
    <w:p>
      <w:pPr>
        <w:jc w:val="center"/>
        <w:rPr>
          <w:rFonts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000000B"/>
    <w:multiLevelType w:val="multilevel"/>
    <w:tmpl w:val="0000000B"/>
    <w:lvl w:ilvl="0" w:tentative="0">
      <w:start w:val="1"/>
      <w:numFmt w:val="decimal"/>
      <w:pStyle w:val="2"/>
      <w:lvlText w:val="第%1章"/>
      <w:lvlJc w:val="left"/>
      <w:pPr>
        <w:tabs>
          <w:tab w:val="left" w:pos="4265"/>
        </w:tabs>
        <w:ind w:left="4265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PicBulletId w:val="0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1CC7"/>
    <w:rsid w:val="13211CC7"/>
    <w:rsid w:val="16020EE2"/>
    <w:rsid w:val="7CC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340" w:after="330" w:line="360" w:lineRule="auto"/>
      <w:jc w:val="center"/>
      <w:outlineLvl w:val="0"/>
    </w:pPr>
    <w:rPr>
      <w:rFonts w:ascii="华文中宋" w:hAnsi="华文中宋" w:eastAsia="华文中宋"/>
      <w:b/>
      <w:bCs/>
      <w:color w:val="000000"/>
      <w:kern w:val="44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2021-06-15T06:18:00Z</dcterms:created>
  <dc:creator>爱我喜绿</dc:creator>
  <cp:lastModifiedBy>热带的西瓜</cp:lastModifiedBy>
  <dcterms:modified xsi:type="dcterms:W3CDTF">2021-06-16T02:11:36Z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F4F10E1C9D1F46049A19C1EFE6B0A8A9</vt:lpwstr>
  </property>
</Properties>
</file>