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Toc445459421"/>
      <w:bookmarkStart w:id="1" w:name="_Toc15039603"/>
      <w:r>
        <w:rPr>
          <w:rFonts w:hint="eastAsia" w:ascii="宋体" w:hAnsi="宋体" w:eastAsia="宋体" w:cs="宋体"/>
          <w:color w:val="auto"/>
          <w:sz w:val="44"/>
          <w:szCs w:val="44"/>
        </w:rPr>
        <w:t xml:space="preserve"> </w:t>
      </w:r>
      <w:bookmarkEnd w:id="0"/>
      <w:r>
        <w:rPr>
          <w:rFonts w:hint="eastAsia" w:ascii="宋体" w:hAnsi="宋体" w:eastAsia="宋体" w:cs="宋体"/>
          <w:color w:val="auto"/>
          <w:sz w:val="44"/>
          <w:szCs w:val="44"/>
        </w:rPr>
        <w:t>用户需求书</w:t>
      </w:r>
      <w:bookmarkEnd w:id="1"/>
    </w:p>
    <w:p>
      <w:pPr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一、项目概况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1、项目名称：万宁市2021年红火蚁防治项目（服务）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2、项目编号：HNZR21-09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3、采购方式：竞争性磋商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4、预算金额：40万元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5、最高限价：40万元</w:t>
      </w:r>
    </w:p>
    <w:p>
      <w:pPr>
        <w:spacing w:line="360" w:lineRule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二、技术要求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1、疫情消杀范围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指定红火蚁重点发生区域，防控面积800亩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、药物要求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药物由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提供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、防治要求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（1）根据相关技术规程，项目期内，供应商须对项目期所有地块开展全面施药服务（统防统治）；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（2）全面施药（统防统治）作业的时间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根据天气情况进行调整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（持续特殊极端恶劣天气，可向采购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申请顺延）；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（3）防治过程中须详细记录施药前时间、地块名称、用药量及防控面积等信息，如实填写施药现场签证表。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、其他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（1）提供项目施工方案，消杀区域的具体地块的明确需要按照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的要求进行划定，方案需经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审定通过后方可开展工作；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（2）防治过程中，须主动做好项目区红火蚁公众教育宣传工作；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）配合采购单位做好项目区疫情的监督检查，对出现疫情的区域24小时内及时整改消杀。</w:t>
      </w:r>
    </w:p>
    <w:p>
      <w:pPr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三</w:t>
      </w:r>
      <w:r>
        <w:rPr>
          <w:rFonts w:hint="eastAsia" w:hAnsi="宋体"/>
          <w:sz w:val="30"/>
          <w:szCs w:val="30"/>
        </w:rPr>
        <w:t>、商务要求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</w:rPr>
        <w:t>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2021年12月31日前完成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项目进度安排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自合同签订之日起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10个工作日内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组织项目开工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质量考核验收标准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能够全面履约合同中的内容；</w:t>
      </w:r>
    </w:p>
    <w:p>
      <w:pPr>
        <w:tabs>
          <w:tab w:val="left" w:pos="1260"/>
        </w:tabs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）接受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不定期监督检查，验收时需提交验收材料，验收材料能够真实、全面。</w:t>
      </w:r>
    </w:p>
    <w:p>
      <w:pPr>
        <w:spacing w:line="480" w:lineRule="auto"/>
        <w:rPr>
          <w:rFonts w:hint="default" w:hAnsi="宋体" w:eastAsia="宋体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、</w:t>
      </w:r>
      <w:r>
        <w:rPr>
          <w:rFonts w:hint="eastAsia" w:hAnsi="宋体"/>
          <w:sz w:val="30"/>
          <w:szCs w:val="30"/>
        </w:rPr>
        <w:t>付款方式：</w:t>
      </w:r>
      <w:r>
        <w:rPr>
          <w:rFonts w:hint="eastAsia" w:hAnsi="宋体"/>
          <w:sz w:val="30"/>
          <w:szCs w:val="30"/>
          <w:lang w:val="en-US" w:eastAsia="zh-CN"/>
        </w:rPr>
        <w:t>合同另行约定</w:t>
      </w:r>
    </w:p>
    <w:p>
      <w:pPr>
        <w:tabs>
          <w:tab w:val="left" w:pos="1260"/>
        </w:tabs>
        <w:rPr>
          <w:rFonts w:hAnsi="宋体"/>
          <w:sz w:val="30"/>
          <w:szCs w:val="30"/>
        </w:rPr>
      </w:pPr>
    </w:p>
    <w:p>
      <w:pPr>
        <w:jc w:val="center"/>
        <w:rPr>
          <w:rFonts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000000B"/>
    <w:multiLevelType w:val="multilevel"/>
    <w:tmpl w:val="0000000B"/>
    <w:lvl w:ilvl="0" w:tentative="0">
      <w:start w:val="1"/>
      <w:numFmt w:val="decimal"/>
      <w:pStyle w:val="2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PicBulletId w:val="0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abstractNum w:abstractNumId="1">
    <w:nsid w:val="0064058F"/>
    <w:multiLevelType w:val="singleLevel"/>
    <w:tmpl w:val="0064058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1CC7"/>
    <w:rsid w:val="13211CC7"/>
    <w:rsid w:val="16020EE2"/>
    <w:rsid w:val="1D61641C"/>
    <w:rsid w:val="21072D99"/>
    <w:rsid w:val="4DE61032"/>
    <w:rsid w:val="6B9820A7"/>
    <w:rsid w:val="798B4AA4"/>
    <w:rsid w:val="7CCF3FEE"/>
    <w:rsid w:val="7EC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2021-06-15T06:18:00Z</dcterms:created>
  <dc:creator>爱我喜绿</dc:creator>
  <cp:lastModifiedBy>热带的西瓜</cp:lastModifiedBy>
  <dcterms:modified xsi:type="dcterms:W3CDTF">2021-06-30T04:39:07Z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F4F10E1C9D1F46049A19C1EFE6B0A8A9</vt:lpwstr>
  </property>
</Properties>
</file>