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宋体" w:hAnsi="宋体" w:eastAsia="宋体" w:cs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采购需求</w:t>
      </w:r>
    </w:p>
    <w:p>
      <w:pPr>
        <w:rPr>
          <w:rFonts w:hint="eastAsia"/>
          <w:color w:val="auto"/>
        </w:rPr>
      </w:pPr>
    </w:p>
    <w:p>
      <w:pPr>
        <w:spacing w:line="360" w:lineRule="auto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一、项目概况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</w:rPr>
        <w:t>（一）项目名称：</w:t>
      </w:r>
      <w:r>
        <w:rPr>
          <w:rFonts w:hint="eastAsia" w:ascii="宋体" w:hAnsi="宋体" w:cs="宋体"/>
          <w:color w:val="auto"/>
          <w:sz w:val="24"/>
          <w:lang w:eastAsia="zh-CN"/>
        </w:rPr>
        <w:t>海南省三亚技师学院学生宿舍热泵热水系统购置项目；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</w:rPr>
        <w:t>（二）采购单位：</w:t>
      </w:r>
      <w:r>
        <w:rPr>
          <w:rFonts w:hint="eastAsia" w:ascii="宋体" w:hAnsi="宋体" w:cs="宋体"/>
          <w:color w:val="auto"/>
          <w:sz w:val="24"/>
          <w:lang w:eastAsia="zh-CN"/>
        </w:rPr>
        <w:t>海南省三亚技师学院；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</w:rPr>
        <w:t>（三）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采购预算</w:t>
      </w:r>
      <w:r>
        <w:rPr>
          <w:rFonts w:hint="eastAsia" w:ascii="宋体" w:hAnsi="宋体" w:cs="宋体"/>
          <w:color w:val="auto"/>
          <w:sz w:val="24"/>
        </w:rPr>
        <w:t>：</w:t>
      </w:r>
      <w:r>
        <w:rPr>
          <w:rFonts w:hint="eastAsia" w:ascii="宋体" w:hAnsi="宋体" w:cs="宋体"/>
          <w:color w:val="auto"/>
          <w:sz w:val="24"/>
          <w:lang w:eastAsia="zh-CN"/>
        </w:rPr>
        <w:t>2437026.31</w:t>
      </w:r>
      <w:r>
        <w:rPr>
          <w:rFonts w:hint="eastAsia" w:ascii="宋体" w:hAnsi="宋体" w:cs="宋体"/>
          <w:color w:val="auto"/>
          <w:sz w:val="24"/>
        </w:rPr>
        <w:t>元</w:t>
      </w:r>
      <w:r>
        <w:rPr>
          <w:rFonts w:hint="eastAsia" w:ascii="宋体" w:hAnsi="宋体" w:cs="宋体"/>
          <w:color w:val="auto"/>
          <w:sz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</w:rPr>
        <w:t>（四）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资金来源</w:t>
      </w:r>
      <w:r>
        <w:rPr>
          <w:rFonts w:hint="eastAsia" w:ascii="宋体" w:hAnsi="宋体" w:cs="宋体"/>
          <w:color w:val="auto"/>
          <w:sz w:val="24"/>
        </w:rPr>
        <w:t>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财政资金；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</w:rPr>
        <w:t>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五</w:t>
      </w:r>
      <w:r>
        <w:rPr>
          <w:rFonts w:hint="eastAsia" w:ascii="宋体" w:hAnsi="宋体" w:cs="宋体"/>
          <w:color w:val="auto"/>
          <w:sz w:val="24"/>
        </w:rPr>
        <w:t>）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项目地点</w:t>
      </w:r>
      <w:r>
        <w:rPr>
          <w:rFonts w:hint="eastAsia" w:ascii="宋体" w:hAnsi="宋体" w:cs="宋体"/>
          <w:color w:val="auto"/>
          <w:sz w:val="24"/>
        </w:rPr>
        <w:t>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采购人指定地点；</w:t>
      </w:r>
    </w:p>
    <w:p>
      <w:pPr>
        <w:spacing w:line="360" w:lineRule="auto"/>
        <w:ind w:firstLine="480" w:firstLineChars="2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供货时间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60日历天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；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default"/>
          <w:lang w:val="en-US" w:eastAsia="zh-CN"/>
        </w:rPr>
      </w:pPr>
      <w:r>
        <w:rPr>
          <w:rFonts w:hint="eastAsia" w:ascii="宋体" w:hAnsi="宋体" w:cs="宋体"/>
          <w:color w:val="auto"/>
          <w:sz w:val="24"/>
        </w:rPr>
        <w:t>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七</w:t>
      </w:r>
      <w:r>
        <w:rPr>
          <w:rFonts w:hint="eastAsia" w:ascii="宋体" w:hAnsi="宋体" w:cs="宋体"/>
          <w:color w:val="auto"/>
          <w:sz w:val="24"/>
        </w:rPr>
        <w:t>）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采购内容</w:t>
      </w:r>
      <w:r>
        <w:rPr>
          <w:rFonts w:hint="eastAsia" w:ascii="宋体" w:hAnsi="宋体" w:cs="宋体"/>
          <w:color w:val="auto"/>
          <w:sz w:val="24"/>
        </w:rPr>
        <w:t>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项目主要内容为热泵热水系统设备及管线采购、热泵热水系统设备及管线安装、原有热水系统拆除；</w:t>
      </w:r>
    </w:p>
    <w:p>
      <w:pPr>
        <w:spacing w:line="360" w:lineRule="auto"/>
        <w:jc w:val="left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二、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采购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需求</w:t>
      </w:r>
    </w:p>
    <w:tbl>
      <w:tblPr>
        <w:tblStyle w:val="6"/>
        <w:tblW w:w="90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530"/>
        <w:gridCol w:w="3795"/>
        <w:gridCol w:w="915"/>
        <w:gridCol w:w="720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采购品目名称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参考规格型号和配置技术参数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是否进口产品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</w:rPr>
              <w:t>设备材料价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空气源热泵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制热量：≥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37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KW、额定电源/ 频率:380V/3N～/50Hz、额定输入功率≥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8.4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KW、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性能系数cop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4.2，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环境温度：-15-4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</w:t>
            </w:r>
            <w:r>
              <w:t>°</w:t>
            </w:r>
            <w:r>
              <w:rPr>
                <w:rFonts w:hint="eastAsia"/>
              </w:rPr>
              <w:t>，噪音≤67dB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空气源热泵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制热量：≥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17.5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KW、额定电源/ 频率:380V/3N～/50Hz、额定输入功率≥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4.10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KW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、性能系数cop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4.2，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环境温度：-15-4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</w:t>
            </w:r>
            <w:r>
              <w:t>°</w:t>
            </w:r>
            <w:r>
              <w:rPr>
                <w:rFonts w:hint="eastAsia"/>
              </w:rPr>
              <w:t>，噪音≤65dB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保温水箱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5m3，内外304不锈钢，中间聚氨酯发泡，内胆厚度2.5mm，外胆厚度0.8mm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供水水泵,Q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4m³/h  H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20m  含变频器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供水水泵,Q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10m³/h  H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20m  含变频器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热泵循环泵，Q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8m3/h，H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10m，</w:t>
            </w:r>
            <w:r>
              <w:rPr>
                <w:rFonts w:ascii="等线" w:hAnsi="等线" w:eastAsia="等线" w:cs="等线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热泵循环泵，Q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12m3/h，H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15m，</w:t>
            </w:r>
            <w:r>
              <w:rPr>
                <w:rFonts w:ascii="等线" w:hAnsi="等线" w:eastAsia="等线" w:cs="等线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空气减震器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载重量：≥200kG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空气减震器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载重量：≥100kG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弹簧减震器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载重量：20kG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防雨棚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热镀锌角钢+彩钢板制作，单个重量约7kG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控制箱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室外防雨型控制柜，带浪涌保护。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负载功率：≥20KW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铜芯信号线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RVVP-2*1.0mm2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YJV-3*2.5mm2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YJV-5*4mm2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YJV-5*6mm2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YJV-5*16mm2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电缆保护管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PVC管道DN20，明装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2420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电缆保护管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PVC管道DN32，明装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电缆保护管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PVC管道DN40，埋地安装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PPR热水管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DN20，含管件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11340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PPR热水管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DN25，含管件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PPR热水管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DN32，含管件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PPR热水管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DN40，含管件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PPR热水管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DN50，含管件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管道支吊架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材质：热镀锌角钢30*3；固定支架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14950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阀门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</w:t>
            </w:r>
            <w:r>
              <w:rPr>
                <w:rStyle w:val="8"/>
                <w:rFonts w:hint="default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阀门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</w:t>
            </w:r>
            <w:r>
              <w:rPr>
                <w:rStyle w:val="8"/>
                <w:rFonts w:hint="default"/>
              </w:rPr>
              <w:t>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阀门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</w:t>
            </w:r>
            <w:r>
              <w:rPr>
                <w:rStyle w:val="8"/>
                <w:rFonts w:hint="default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阀门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Y型过滤器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</w:t>
            </w:r>
            <w:r>
              <w:rPr>
                <w:rStyle w:val="8"/>
                <w:rFonts w:hint="default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Y型过滤器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</w:t>
            </w:r>
            <w:r>
              <w:rPr>
                <w:rStyle w:val="8"/>
                <w:rFonts w:hint="default"/>
              </w:rPr>
              <w:t>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Y型过滤器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</w:t>
            </w:r>
            <w:r>
              <w:rPr>
                <w:rStyle w:val="8"/>
                <w:rFonts w:hint="default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Y型过滤器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电磁阀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橡胶软接头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橡胶软接头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橡胶软接头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橡胶软接头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止回阀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止回阀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止回阀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止回阀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橡塑保温管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DN32*20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橡塑保温管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DN40*20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橡塑保温管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DN50*20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铝皮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0.3mm，铆钉安装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混水阀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阀门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花洒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花洒、软管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</w:rPr>
              <w:t>设备安装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空气源热泵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制热量：≥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37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KW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，重量：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250KG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屋面移运、底座安装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空气源热泵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制热量：≥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17.5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KW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，重量：160KG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屋面移运、底座安装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保温水箱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5m3，内外304不锈钢，中间聚氨酯发泡，内胆厚度2.5mm，外胆厚度0.8mm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供水水泵Q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4m³/h  H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20m 含变频器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供水水泵Q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10m³/h  H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20m ，含变频器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热泵循环泵，Q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8m3/h，H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10m，</w:t>
            </w:r>
            <w:r>
              <w:rPr>
                <w:rFonts w:ascii="等线" w:hAnsi="等线" w:eastAsia="等线" w:cs="等线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热泵循环泵Q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12m3/h，H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15m</w:t>
            </w:r>
            <w:r>
              <w:rPr>
                <w:rFonts w:ascii="等线" w:hAnsi="等线" w:eastAsia="等线" w:cs="等线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空气减震器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载重量：200kG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空气减震器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载重量：100kG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弹簧减震器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载重量：20kG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防雨棚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热镀锌角钢+彩钢板制作，单个重量约7kG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控制箱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室外防雨型控制柜，负载功率：20KW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铜芯信号线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RVVP-2*1.0mm2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YJV-3*2.5mm2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YJV-5*4mm2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YJV-5*6mm2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铜芯电缆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YJV-5*16mm2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电缆保护管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PVC管道DN20，明装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2420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电缆保护管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PVC管道DN32，明装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电缆保护管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PVC管道DN40，埋地安装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PPR热水管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DN20，室内梁底安装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11340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PPR热水管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DN25，室内安装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PPR热水管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DN32，室内安装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PPR热水管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DN40，室内安装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PPR热水管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DN50，室内安装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管道支吊架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材质：热镀锌角钢30*3；固定吊架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14950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阀门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</w:t>
            </w:r>
            <w:r>
              <w:rPr>
                <w:rStyle w:val="8"/>
                <w:rFonts w:hint="default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阀门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</w:t>
            </w:r>
            <w:r>
              <w:rPr>
                <w:rStyle w:val="8"/>
                <w:rFonts w:hint="default"/>
              </w:rPr>
              <w:t>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阀门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</w:t>
            </w:r>
            <w:r>
              <w:rPr>
                <w:rStyle w:val="8"/>
                <w:rFonts w:hint="default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阀门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Y型过滤器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</w:t>
            </w:r>
            <w:r>
              <w:rPr>
                <w:rStyle w:val="8"/>
                <w:rFonts w:hint="default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Y型过滤器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</w:t>
            </w:r>
            <w:r>
              <w:rPr>
                <w:rStyle w:val="8"/>
                <w:rFonts w:hint="default"/>
              </w:rPr>
              <w:t>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Y型过滤器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</w:t>
            </w:r>
            <w:r>
              <w:rPr>
                <w:rStyle w:val="8"/>
                <w:rFonts w:hint="default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Y型过滤器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电磁阀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橡胶软接头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橡胶软接头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橡胶软接头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橡胶软接头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止回阀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止回阀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止回阀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止回阀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铜制 DN50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橡塑保温管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DN32*20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橡塑保温管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DN40*20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橡塑保温管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DN50*20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铝皮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0.3mm，铆钉安装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混水阀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阀门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DN32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花洒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花洒、软管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机械钻孔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φ32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2268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铝扣板拆除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吊顶铝扣板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7560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铝扣板复原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吊顶铝扣板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7560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电缆沟开挖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200mm厚混凝土路路面破除、基层破除、土方开挖200*300mm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电缆沟回填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电缆沟回填、、基层回填、混凝土浇筑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汽车吊机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48000KG，吊装热泵、水箱、管道、钢材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原设备拆除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真空管集热器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5818-50，拆除、绑扎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集热器支架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L40角钢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水箱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10m3，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管道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控制箱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保温棉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阀门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电线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电缆保护管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孔洞破孔、封堵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汽车吊机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48000KG，吊装集热器、水箱、管道、钢材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垃圾外运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三、采购预算标准及预算总费用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海南省三亚技师学院学生宿舍热泵热水系统购置项目</w:t>
      </w: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预算审计报告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，审定的</w:t>
      </w: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预算金额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为</w:t>
      </w:r>
      <w:r>
        <w:rPr>
          <w:rFonts w:hint="eastAsia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2437026.31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元。最高限价为</w:t>
      </w:r>
      <w:r>
        <w:rPr>
          <w:rFonts w:hint="eastAsia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2437026.31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元，超出预算金额（最高限价）的投标，按无效投标处理。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付款方式</w:t>
      </w:r>
    </w:p>
    <w:p>
      <w:pPr>
        <w:spacing w:line="360" w:lineRule="auto"/>
        <w:ind w:firstLine="240" w:firstLineChars="100"/>
        <w:rPr>
          <w:rFonts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（一）预付款：合同生效、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中标方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提交有效预付款发票后15个工作日内，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中标方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支付合同金额的30%预付款。</w:t>
      </w:r>
    </w:p>
    <w:p>
      <w:pPr>
        <w:spacing w:line="360" w:lineRule="auto"/>
        <w:ind w:firstLine="240" w:firstLineChars="100"/>
        <w:rPr>
          <w:rFonts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（二）结算款：</w:t>
      </w:r>
    </w:p>
    <w:p>
      <w:pPr>
        <w:spacing w:line="360" w:lineRule="auto"/>
        <w:ind w:firstLine="240" w:firstLineChars="100"/>
        <w:rPr>
          <w:rFonts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1.经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验收合格的已收货物达到合同金额的</w:t>
      </w:r>
      <w:r>
        <w:rPr>
          <w:rFonts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后，凭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中标方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开具的发票，由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中标方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支付合同金额的</w:t>
      </w:r>
      <w:r>
        <w:rPr>
          <w:rFonts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50%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货款。</w:t>
      </w:r>
    </w:p>
    <w:p>
      <w:pPr>
        <w:spacing w:line="360" w:lineRule="auto"/>
        <w:ind w:firstLine="240" w:firstLineChars="100"/>
        <w:rPr>
          <w:rFonts w:hint="eastAsia" w:ascii="宋体" w:hAnsi="宋体"/>
          <w:color w:val="000000" w:themeColor="text1"/>
          <w:sz w:val="24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2.全部货物验收合格交付使用、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中标方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开具尾款发票，15个工作日内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需按合同总金额的20%支付剩余款项</w:t>
      </w:r>
      <w:r>
        <w:rPr>
          <w:rFonts w:hint="eastAsia" w:ascii="宋体" w:hAnsi="宋体"/>
          <w:color w:val="000000" w:themeColor="text1"/>
          <w:sz w:val="24"/>
          <w:szCs w:val="2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3.质保期保函：在合同生效、支付合同剩余款前，由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中标方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通过银行向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出具银行保函。保函金额为合同总金额5%,保函期限为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年（从所有设备安装调试后运行正常，经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验收合格后交付使用之日起计算），该保函保证产品运行正常无质量问题</w:t>
      </w:r>
      <w:r>
        <w:rPr>
          <w:rFonts w:hint="eastAsia" w:ascii="宋体" w:hAnsi="宋体"/>
          <w:color w:val="000000" w:themeColor="text1"/>
          <w:sz w:val="24"/>
          <w:szCs w:val="2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如出现质量问题</w:t>
      </w:r>
      <w:r>
        <w:rPr>
          <w:rFonts w:hint="eastAsia" w:ascii="宋体" w:hAnsi="宋体"/>
          <w:color w:val="000000" w:themeColor="text1"/>
          <w:sz w:val="24"/>
          <w:szCs w:val="2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有权要求银行无条件向</w:t>
      </w:r>
      <w:r>
        <w:rPr>
          <w:rFonts w:hint="eastAsia" w:ascii="宋体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宋体" w:hAnsi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支付保函金额的价款。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五、售后服务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质保期：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主要设备</w:t>
      </w: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的质保期为2年；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六、质量保证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投标人保证提供的设备必须为正规渠道销售的设备，为全新未使用过的，并完全符合国家、行业标准以及技术参数要求。投标人应保证所提供的货物经正确安装、正常运转和保养。在货物质量保证期内，投标人应对由于设计、工艺或材料的缺陷而造成的任何不足或故障负责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七、验收标准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验收标准：由采购人在指定地点对所购设备进行验收，验收标准除采购要求的货物技术参数外，可溯源到国家相关标准。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验收服务要求：对各单项设备的测试以及试运行，均达到用户要求的性能和技术规格中的性能，并实现正常运行。中标人应负责在项目验收时将全部有关说明书、技术文件成品、资料成品、及安装、测试、验收报告等文档汇集成册交付用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30F91"/>
    <w:rsid w:val="70B330CA"/>
    <w:rsid w:val="77D3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100" w:beforeAutospacing="1" w:after="10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2021-09-08T02:02:00Z</dcterms:created>
  <dc:creator>陈贺-CH</dc:creator>
  <cp:lastModifiedBy>陈贺-CH</cp:lastModifiedBy>
  <dcterms:modified xsi:type="dcterms:W3CDTF">2021-09-13T08:44:07Z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7C2CCB8E16DF48DD9CFDBE2C4BAEEF5D</vt:lpwstr>
  </property>
</Properties>
</file>