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Style w:val="11"/>
          <w:rFonts w:hint="eastAsia" w:ascii="宋体" w:hAnsi="宋体" w:eastAsia="宋体" w:cs="宋体"/>
          <w:sz w:val="36"/>
          <w:szCs w:val="36"/>
          <w:lang w:eastAsia="zh-CN"/>
        </w:rPr>
      </w:pPr>
      <w:r>
        <w:rPr>
          <w:rStyle w:val="11"/>
          <w:rFonts w:hint="eastAsia" w:ascii="宋体" w:hAnsi="宋体" w:eastAsia="宋体" w:cs="宋体"/>
          <w:sz w:val="36"/>
          <w:szCs w:val="36"/>
          <w:lang w:eastAsia="zh-CN"/>
        </w:rPr>
        <w:t>用户需求书</w:t>
      </w:r>
    </w:p>
    <w:p>
      <w:pPr>
        <w:bidi w:val="0"/>
        <w:rPr>
          <w:rStyle w:val="11"/>
          <w:rFonts w:hint="eastAsia" w:ascii="宋体" w:hAnsi="宋体" w:eastAsia="宋体" w:cs="宋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一、工作背景</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水库大坝不仅是调控水资源时空分布、优化水资源配置的重要工程措施，也是江河防洪工程体系的重要组成部分，是生态环境改善不可分割的保障系统，在保障经济社会发展和国家水安全中具有不可替代的基础性作用，具有很强的公益性、基础性、战略性；不仅关系防洪安全、供水安全、粮食安全，而且关系经济安全、生态安全，国家安全。加强水库大坝安全管理，切实保障大坝安全运行，是国家层面的战略需求，历来受到党和政府的高度重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屯昌县位于海南岛中部偏北，地处五指山北麓，南渡江南岸，地理坐标为北纬19°08′～19°37′，东经109°45′～110°15′。东、北临龙州河、博南河与定安县毗邻，南邻万泉河支流与琼海市接壤，西南衔接琼中县，西北以南渡江为界与澄迈县对峙。是琼北台地进入五指山的咽喉，是海南岛纵贯南北、横越东西的交通枢纽。南北距离55km，东西宽52km，总面积1231.5km</w:t>
      </w:r>
      <w:r>
        <w:rPr>
          <w:rFonts w:hint="eastAsia" w:ascii="宋体" w:hAnsi="宋体" w:eastAsia="宋体" w:cs="宋体"/>
          <w:kern w:val="0"/>
          <w:sz w:val="24"/>
          <w:szCs w:val="24"/>
          <w:vertAlign w:val="superscript"/>
          <w:lang w:val="en-US" w:eastAsia="zh-CN" w:bidi="ar-SA"/>
        </w:rPr>
        <w:t>2</w:t>
      </w:r>
      <w:r>
        <w:rPr>
          <w:rFonts w:hint="eastAsia" w:ascii="宋体" w:hAnsi="宋体" w:eastAsia="宋体" w:cs="宋体"/>
          <w:kern w:val="0"/>
          <w:sz w:val="24"/>
          <w:szCs w:val="24"/>
          <w:lang w:val="en-US" w:eastAsia="zh-CN" w:bidi="ar-SA"/>
        </w:rPr>
        <w:t>。屯昌县的地势可谓西南高东北低，向三面倾斜，逐步下降。从西南部的鸡咀岭到北部一尖分水岭西侧，地表向西北侧倾斜；分水岭东侧，地表向东北倾斜，南部地势向东南倾斜。屯昌地处海南中部山区丘陵地带，降雨丰富，河流比降较陡，短时强降雨形成的洪水，强度大且集中，产生的洪水极迅猛，峰高量大，给水库汛期防汛造成极大压力。</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按照《中华人民共和国水法》《中华人民共和国防洪法》、《水库大坝安全管理条例》及国务院部门三定方案的有关规定，国务院水行政主管部门会同国务院有关主管部门对全国水库大坝安全实施监督，各级人民政府及其水库主管部门对其所管辖大坝的安全实行行政领导负责制，各级水利、能源、建设、交通、农业等有关部门是其所管辖的大坝的主管部门。为此，屯昌县水库大坝安全管理将以相关法律、法规为抓手，以水库大坝安全责任制为中心、水库大坝安全管理制度和技术标准相配套的较为完备的制度体系，为有效保障水库大坝安全运行及效益发挥，亟需开展《屯昌县66宗水库大坝安全管理应急预案》的编制工作。</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屯昌县目前共有66宗水库需开展此项工作，其中：中型水库4宗，小一型水库18宗，小二型水库44宗。</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11"/>
          <w:rFonts w:hint="eastAsia" w:ascii="宋体" w:hAnsi="宋体" w:eastAsia="宋体" w:cs="宋体"/>
          <w:szCs w:val="21"/>
          <w:lang w:val="en-US" w:eastAsia="zh-CN"/>
        </w:rPr>
      </w:pPr>
      <w:r>
        <w:rPr>
          <w:rFonts w:hint="eastAsia"/>
          <w:b/>
          <w:bCs/>
          <w:sz w:val="28"/>
          <w:szCs w:val="36"/>
          <w:lang w:val="en-US" w:eastAsia="zh-CN"/>
        </w:rPr>
        <w:t>二、水库工程现状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bookmarkStart w:id="0" w:name="_Toc11691"/>
      <w:r>
        <w:rPr>
          <w:rFonts w:hint="eastAsia"/>
          <w:sz w:val="24"/>
          <w:szCs w:val="32"/>
          <w:lang w:val="en-US" w:eastAsia="zh-CN"/>
        </w:rPr>
        <w:t>2.</w:t>
      </w:r>
      <w:r>
        <w:rPr>
          <w:rFonts w:hint="eastAsia"/>
          <w:sz w:val="24"/>
          <w:szCs w:val="32"/>
        </w:rPr>
        <w:t>1工程现状</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屯昌县位于海南岛中部偏北，地处五指山北麓，南渡江南岸。北距省会海口市中心</w:t>
      </w:r>
      <w:r>
        <w:rPr>
          <w:rFonts w:hint="default"/>
          <w:sz w:val="24"/>
          <w:szCs w:val="32"/>
          <w:lang w:val="en-US" w:eastAsia="zh-CN"/>
        </w:rPr>
        <w:t>85</w:t>
      </w:r>
      <w:r>
        <w:rPr>
          <w:rFonts w:hint="eastAsia"/>
          <w:sz w:val="24"/>
          <w:szCs w:val="32"/>
          <w:lang w:val="en-US" w:eastAsia="zh-CN"/>
        </w:rPr>
        <w:t>公里，东与定安、琼海接壤，南与琼中交界，西北与澄迈毗邻，是琼北台地进入五指山区的咽喉。县城坐落于该县中心，居于海榆中线</w:t>
      </w:r>
      <w:r>
        <w:rPr>
          <w:rFonts w:hint="default"/>
          <w:sz w:val="24"/>
          <w:szCs w:val="32"/>
          <w:lang w:val="en-US" w:eastAsia="zh-CN"/>
        </w:rPr>
        <w:t>86</w:t>
      </w:r>
      <w:r>
        <w:rPr>
          <w:rFonts w:hint="eastAsia"/>
          <w:sz w:val="24"/>
          <w:szCs w:val="32"/>
          <w:lang w:val="en-US" w:eastAsia="zh-CN"/>
        </w:rPr>
        <w:t>公里处，是海南纵贯南北、横越东西的交通枢纽。全县有</w:t>
      </w:r>
      <w:r>
        <w:rPr>
          <w:rFonts w:hint="default"/>
          <w:sz w:val="24"/>
          <w:szCs w:val="32"/>
          <w:lang w:val="en-US" w:eastAsia="zh-CN"/>
        </w:rPr>
        <w:t>8</w:t>
      </w:r>
      <w:r>
        <w:rPr>
          <w:rFonts w:hint="eastAsia"/>
          <w:sz w:val="24"/>
          <w:szCs w:val="32"/>
          <w:lang w:val="en-US" w:eastAsia="zh-CN"/>
        </w:rPr>
        <w:t>个镇，</w:t>
      </w:r>
      <w:r>
        <w:rPr>
          <w:rFonts w:hint="default"/>
          <w:sz w:val="24"/>
          <w:szCs w:val="32"/>
          <w:lang w:val="en-US" w:eastAsia="zh-CN"/>
        </w:rPr>
        <w:t>6</w:t>
      </w:r>
      <w:r>
        <w:rPr>
          <w:rFonts w:hint="eastAsia"/>
          <w:sz w:val="24"/>
          <w:szCs w:val="32"/>
          <w:lang w:val="en-US" w:eastAsia="zh-CN"/>
        </w:rPr>
        <w:t>个国营农场。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截至</w:t>
      </w:r>
      <w:r>
        <w:rPr>
          <w:rFonts w:hint="default"/>
          <w:sz w:val="24"/>
          <w:szCs w:val="32"/>
          <w:lang w:val="en-US" w:eastAsia="zh-CN"/>
        </w:rPr>
        <w:t>2021</w:t>
      </w:r>
      <w:r>
        <w:rPr>
          <w:rFonts w:hint="eastAsia"/>
          <w:sz w:val="24"/>
          <w:szCs w:val="32"/>
          <w:lang w:val="en-US" w:eastAsia="zh-CN"/>
        </w:rPr>
        <w:t>年</w:t>
      </w:r>
      <w:r>
        <w:rPr>
          <w:rFonts w:hint="default"/>
          <w:sz w:val="24"/>
          <w:szCs w:val="32"/>
          <w:lang w:val="en-US" w:eastAsia="zh-CN"/>
        </w:rPr>
        <w:t>5</w:t>
      </w:r>
      <w:r>
        <w:rPr>
          <w:rFonts w:hint="eastAsia"/>
          <w:sz w:val="24"/>
          <w:szCs w:val="32"/>
          <w:lang w:val="en-US" w:eastAsia="zh-CN"/>
        </w:rPr>
        <w:t>月底，屯昌县现有（管辖）水库</w:t>
      </w:r>
      <w:r>
        <w:rPr>
          <w:rFonts w:hint="default"/>
          <w:sz w:val="24"/>
          <w:szCs w:val="32"/>
          <w:lang w:val="en-US" w:eastAsia="zh-CN"/>
        </w:rPr>
        <w:t>66</w:t>
      </w:r>
      <w:r>
        <w:rPr>
          <w:rFonts w:hint="eastAsia"/>
          <w:sz w:val="24"/>
          <w:szCs w:val="32"/>
          <w:lang w:val="en-US" w:eastAsia="zh-CN"/>
        </w:rPr>
        <w:t>宗，其中：中型水库</w:t>
      </w:r>
      <w:r>
        <w:rPr>
          <w:rFonts w:hint="default"/>
          <w:sz w:val="24"/>
          <w:szCs w:val="32"/>
          <w:lang w:val="en-US" w:eastAsia="zh-CN"/>
        </w:rPr>
        <w:t>4</w:t>
      </w:r>
      <w:r>
        <w:rPr>
          <w:rFonts w:hint="eastAsia"/>
          <w:sz w:val="24"/>
          <w:szCs w:val="32"/>
          <w:lang w:val="en-US" w:eastAsia="zh-CN"/>
        </w:rPr>
        <w:t>宗，小一型水库</w:t>
      </w:r>
      <w:r>
        <w:rPr>
          <w:rFonts w:hint="default"/>
          <w:sz w:val="24"/>
          <w:szCs w:val="32"/>
          <w:lang w:val="en-US" w:eastAsia="zh-CN"/>
        </w:rPr>
        <w:t>18</w:t>
      </w:r>
      <w:r>
        <w:rPr>
          <w:rFonts w:hint="eastAsia"/>
          <w:sz w:val="24"/>
          <w:szCs w:val="32"/>
          <w:lang w:val="en-US" w:eastAsia="zh-CN"/>
        </w:rPr>
        <w:t>宗，小二型水库</w:t>
      </w:r>
      <w:r>
        <w:rPr>
          <w:rFonts w:hint="default"/>
          <w:sz w:val="24"/>
          <w:szCs w:val="32"/>
          <w:lang w:val="en-US" w:eastAsia="zh-CN"/>
        </w:rPr>
        <w:t>44</w:t>
      </w:r>
      <w:r>
        <w:rPr>
          <w:rFonts w:hint="eastAsia"/>
          <w:sz w:val="24"/>
          <w:szCs w:val="32"/>
          <w:lang w:val="en-US" w:eastAsia="zh-CN"/>
        </w:rPr>
        <w:t>宗。水库详细名录见表</w:t>
      </w:r>
      <w:r>
        <w:rPr>
          <w:rFonts w:hint="default"/>
          <w:sz w:val="24"/>
          <w:szCs w:val="32"/>
          <w:lang w:val="en-US" w:eastAsia="zh-CN"/>
        </w:rPr>
        <w:t>3-1</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32"/>
        </w:rPr>
      </w:pPr>
      <w:r>
        <w:rPr>
          <w:rFonts w:hint="eastAsia"/>
          <w:b/>
          <w:bCs/>
          <w:sz w:val="24"/>
          <w:szCs w:val="32"/>
          <w:lang w:val="en-US" w:eastAsia="zh-CN"/>
        </w:rPr>
        <w:t>表2-1   屯昌县水库名录表</w:t>
      </w:r>
    </w:p>
    <w:tbl>
      <w:tblPr>
        <w:tblStyle w:val="9"/>
        <w:tblpPr w:leftFromText="180" w:rightFromText="180" w:vertAnchor="text" w:horzAnchor="page" w:tblpX="1492" w:tblpY="148"/>
        <w:tblOverlap w:val="never"/>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11"/>
        <w:gridCol w:w="1339"/>
        <w:gridCol w:w="866"/>
        <w:gridCol w:w="1001"/>
        <w:gridCol w:w="1277"/>
        <w:gridCol w:w="1389"/>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序号</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水库名称</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规模</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总库容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（万</w:t>
            </w:r>
            <w:r>
              <w:rPr>
                <w:rFonts w:hint="default"/>
                <w:sz w:val="21"/>
                <w:szCs w:val="24"/>
                <w:lang w:val="en-US" w:eastAsia="zh-CN"/>
              </w:rPr>
              <w:t>m3</w:t>
            </w:r>
            <w:r>
              <w:rPr>
                <w:rFonts w:hint="eastAsia"/>
                <w:sz w:val="21"/>
                <w:szCs w:val="24"/>
                <w:lang w:val="en-US" w:eastAsia="zh-CN"/>
              </w:rPr>
              <w:t>）</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序号</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水库名称</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规模</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总库容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（万</w:t>
            </w:r>
            <w:r>
              <w:rPr>
                <w:rFonts w:hint="default"/>
                <w:sz w:val="21"/>
                <w:szCs w:val="24"/>
                <w:lang w:val="en-US" w:eastAsia="zh-CN"/>
              </w:rPr>
              <w:t>m3</w:t>
            </w:r>
            <w:r>
              <w:rPr>
                <w:rFonts w:hint="eastAsia"/>
                <w:sz w:val="21"/>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木色水库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中型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2390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34</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加丁水库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良坡水库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中型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1323</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35</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茅坡水库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加乐潭水库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中型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1268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36</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合力水库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雷公滩水库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中型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1169</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37</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里承水库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民兵水库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930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38</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云岭水库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大同水库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582</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39</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金坡水库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7</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满昌园水库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552</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40</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加宝水库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8</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格水水库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360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41</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丰收水库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9</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新昌水库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329</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42</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鸟仔沟水库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10</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征洪水库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298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43</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乐才水库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11</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高山二水库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280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44</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高东水库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12</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竹根水库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235</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45</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竹株头水库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13</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香车水库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217</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46</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邦辽水库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14</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高山一水库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214</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47</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三十队水库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15</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深田水库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208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48</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南电一水库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16</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蒙贡水库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176</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49</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三脚山水库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南遍水库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50</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五队水库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18</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高山三水库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157</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51</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深总水库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19</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香寮水库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156</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52</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昌表水库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20</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南台水库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132</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53</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加令岭水库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21</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鸡咀岭水库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123</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54</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加花岭水库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22</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宫八水库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小（一）型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116</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55</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石华水库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23</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海株水库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98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56</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新海水库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24</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新山水库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90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57</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高峰水库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25</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长尾水库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80</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58</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南熙水库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26</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沟仔水库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78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59</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汛水水库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27</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莲塘水库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73</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60</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民兵二水库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28</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岭仔水库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67</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61</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岭腰园水库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29</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木合水库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65</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62</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茶山水库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30</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山猪埇水库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65</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63</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南肚水库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31</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南排水库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63.68</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64</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茅坡岭水库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32</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陆谷营水库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63</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65</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赤坎水库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33</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南药水库</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8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63</w:t>
            </w:r>
          </w:p>
        </w:tc>
        <w:tc>
          <w:tcPr>
            <w:tcW w:w="1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66</w:t>
            </w:r>
          </w:p>
        </w:tc>
        <w:tc>
          <w:tcPr>
            <w:tcW w:w="12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亚岭水库</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eastAsia"/>
                <w:sz w:val="21"/>
                <w:szCs w:val="24"/>
                <w:lang w:val="en-US" w:eastAsia="zh-CN"/>
              </w:rPr>
              <w:t>小（二）型</w:t>
            </w:r>
          </w:p>
        </w:tc>
        <w:tc>
          <w:tcPr>
            <w:tcW w:w="11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4"/>
                <w:lang w:val="en-US" w:eastAsia="zh-CN"/>
              </w:rPr>
            </w:pPr>
            <w:r>
              <w:rPr>
                <w:rFonts w:hint="default"/>
                <w:sz w:val="21"/>
                <w:szCs w:val="24"/>
                <w:lang w:val="en-US" w:eastAsia="zh-CN"/>
              </w:rPr>
              <w:t>10</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bookmarkStart w:id="1" w:name="_Toc19987"/>
      <w:r>
        <w:rPr>
          <w:rFonts w:hint="eastAsia"/>
          <w:sz w:val="24"/>
          <w:szCs w:val="32"/>
          <w:lang w:val="en-US" w:eastAsia="zh-CN"/>
        </w:rPr>
        <w:t>2</w:t>
      </w:r>
      <w:r>
        <w:rPr>
          <w:rFonts w:hint="eastAsia"/>
          <w:sz w:val="24"/>
          <w:szCs w:val="32"/>
        </w:rPr>
        <w:t>.2运行管理现状</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目前屯昌县</w:t>
      </w:r>
      <w:r>
        <w:rPr>
          <w:rFonts w:hint="default"/>
          <w:sz w:val="24"/>
          <w:szCs w:val="32"/>
          <w:lang w:val="en-US" w:eastAsia="zh-CN"/>
        </w:rPr>
        <w:t>4</w:t>
      </w:r>
      <w:r>
        <w:rPr>
          <w:rFonts w:hint="eastAsia"/>
          <w:sz w:val="24"/>
          <w:szCs w:val="32"/>
          <w:lang w:val="en-US" w:eastAsia="zh-CN"/>
        </w:rPr>
        <w:t>宗中型水库分别由各水库管理所进行管理，小型水库根据</w:t>
      </w:r>
      <w:r>
        <w:rPr>
          <w:rFonts w:hint="default"/>
          <w:sz w:val="24"/>
          <w:szCs w:val="32"/>
          <w:lang w:val="en-US" w:eastAsia="zh-CN"/>
        </w:rPr>
        <w:t>2014</w:t>
      </w:r>
      <w:r>
        <w:rPr>
          <w:rFonts w:hint="eastAsia"/>
          <w:sz w:val="24"/>
          <w:szCs w:val="32"/>
          <w:lang w:val="en-US" w:eastAsia="zh-CN"/>
        </w:rPr>
        <w:t>年</w:t>
      </w:r>
      <w:r>
        <w:rPr>
          <w:rFonts w:hint="default"/>
          <w:sz w:val="24"/>
          <w:szCs w:val="32"/>
          <w:lang w:val="en-US" w:eastAsia="zh-CN"/>
        </w:rPr>
        <w:t>7</w:t>
      </w:r>
      <w:r>
        <w:rPr>
          <w:rFonts w:hint="eastAsia"/>
          <w:sz w:val="24"/>
          <w:szCs w:val="32"/>
          <w:lang w:val="en-US" w:eastAsia="zh-CN"/>
        </w:rPr>
        <w:t>月</w:t>
      </w:r>
      <w:r>
        <w:rPr>
          <w:rFonts w:hint="default"/>
          <w:sz w:val="24"/>
          <w:szCs w:val="32"/>
          <w:lang w:val="en-US" w:eastAsia="zh-CN"/>
        </w:rPr>
        <w:t>8</w:t>
      </w:r>
      <w:r>
        <w:rPr>
          <w:rFonts w:hint="eastAsia"/>
          <w:sz w:val="24"/>
          <w:szCs w:val="32"/>
          <w:lang w:val="en-US" w:eastAsia="zh-CN"/>
        </w:rPr>
        <w:t>日屯昌县人民政府办公室《关于印发屯昌县小型水库管理体制改革实施方案（修订）的通知》，除农垦系统范围内的</w:t>
      </w:r>
      <w:r>
        <w:rPr>
          <w:rFonts w:hint="default"/>
          <w:sz w:val="24"/>
          <w:szCs w:val="32"/>
          <w:lang w:val="en-US" w:eastAsia="zh-CN"/>
        </w:rPr>
        <w:t>11</w:t>
      </w:r>
      <w:r>
        <w:rPr>
          <w:rFonts w:hint="eastAsia"/>
          <w:sz w:val="24"/>
          <w:szCs w:val="32"/>
          <w:lang w:val="en-US" w:eastAsia="zh-CN"/>
        </w:rPr>
        <w:t>宗小型水库及香车、深田、高山一、高山二和高山三等</w:t>
      </w:r>
      <w:r>
        <w:rPr>
          <w:rFonts w:hint="default"/>
          <w:sz w:val="24"/>
          <w:szCs w:val="32"/>
          <w:lang w:val="en-US" w:eastAsia="zh-CN"/>
        </w:rPr>
        <w:t>5</w:t>
      </w:r>
      <w:r>
        <w:rPr>
          <w:rFonts w:hint="eastAsia"/>
          <w:sz w:val="24"/>
          <w:szCs w:val="32"/>
          <w:lang w:val="en-US" w:eastAsia="zh-CN"/>
        </w:rPr>
        <w:t>宗纳入国管的水库外，剩余</w:t>
      </w:r>
      <w:r>
        <w:rPr>
          <w:rFonts w:hint="default"/>
          <w:sz w:val="24"/>
          <w:szCs w:val="32"/>
          <w:lang w:val="en-US" w:eastAsia="zh-CN"/>
        </w:rPr>
        <w:t>46</w:t>
      </w:r>
      <w:r>
        <w:rPr>
          <w:rFonts w:hint="eastAsia"/>
          <w:sz w:val="24"/>
          <w:szCs w:val="32"/>
          <w:lang w:val="en-US" w:eastAsia="zh-CN"/>
        </w:rPr>
        <w:t>宗小型水库收归县里统一管理，县水行政主管部门对全县水库负有行业管理责任，负责监督、检查和指导水库的建设、管理、维护、养护和安全运行。</w:t>
      </w:r>
    </w:p>
    <w:p>
      <w:pPr>
        <w:pStyle w:val="6"/>
        <w:pageBreakBefore w:val="0"/>
        <w:widowControl/>
        <w:numPr>
          <w:ilvl w:val="0"/>
          <w:numId w:val="0"/>
        </w:numPr>
        <w:kinsoku/>
        <w:wordWrap/>
        <w:overflowPunct/>
        <w:topLinePunct w:val="0"/>
        <w:autoSpaceDE/>
        <w:autoSpaceDN/>
        <w:bidi w:val="0"/>
        <w:adjustRightInd/>
        <w:snapToGrid/>
        <w:spacing w:before="0" w:after="0" w:line="360" w:lineRule="auto"/>
        <w:textAlignment w:val="auto"/>
        <w:rPr>
          <w:rFonts w:hint="eastAsia"/>
          <w:lang w:val="en-US" w:eastAsia="zh-CN"/>
        </w:rPr>
      </w:pPr>
    </w:p>
    <w:p>
      <w:pPr>
        <w:pStyle w:val="6"/>
        <w:pageBreakBefore w:val="0"/>
        <w:widowControl/>
        <w:numPr>
          <w:ilvl w:val="0"/>
          <w:numId w:val="0"/>
        </w:numPr>
        <w:kinsoku/>
        <w:wordWrap/>
        <w:overflowPunct/>
        <w:topLinePunct w:val="0"/>
        <w:autoSpaceDE/>
        <w:autoSpaceDN/>
        <w:bidi w:val="0"/>
        <w:adjustRightInd/>
        <w:snapToGrid/>
        <w:spacing w:before="0" w:after="0" w:line="360" w:lineRule="auto"/>
        <w:textAlignment w:val="auto"/>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ageBreakBefore w:val="0"/>
        <w:kinsoku/>
        <w:wordWrap/>
        <w:overflowPunct/>
        <w:topLinePunct w:val="0"/>
        <w:autoSpaceDE/>
        <w:autoSpaceDN/>
        <w:bidi w:val="0"/>
        <w:spacing w:line="360" w:lineRule="auto"/>
        <w:rPr>
          <w:rFonts w:hint="eastAsia"/>
          <w:b/>
          <w:bCs/>
          <w:sz w:val="28"/>
          <w:szCs w:val="36"/>
          <w:lang w:val="en-US" w:eastAsia="zh-CN"/>
        </w:rPr>
      </w:pPr>
      <w:r>
        <w:rPr>
          <w:rFonts w:hint="eastAsia"/>
          <w:b/>
          <w:bCs/>
          <w:sz w:val="28"/>
          <w:szCs w:val="36"/>
          <w:lang w:val="en-US" w:eastAsia="zh-CN"/>
        </w:rPr>
        <w:t>三、</w:t>
      </w:r>
      <w:bookmarkStart w:id="2" w:name="_Toc21582"/>
      <w:r>
        <w:rPr>
          <w:rFonts w:hint="eastAsia"/>
          <w:b/>
          <w:bCs/>
          <w:sz w:val="28"/>
          <w:szCs w:val="36"/>
          <w:lang w:val="en-US" w:eastAsia="zh-CN"/>
        </w:rPr>
        <w:t>工作内容</w:t>
      </w:r>
    </w:p>
    <w:p>
      <w:pPr>
        <w:pStyle w:val="6"/>
        <w:pageBreakBefore w:val="0"/>
        <w:widowControl/>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color w:val="auto"/>
          <w:kern w:val="2"/>
          <w:sz w:val="24"/>
          <w:szCs w:val="24"/>
        </w:rPr>
      </w:pPr>
      <w:r>
        <w:rPr>
          <w:rFonts w:hint="eastAsia" w:ascii="宋体" w:hAnsi="宋体" w:cs="宋体"/>
          <w:b w:val="0"/>
          <w:bCs w:val="0"/>
          <w:color w:val="auto"/>
          <w:kern w:val="2"/>
          <w:sz w:val="24"/>
          <w:szCs w:val="24"/>
          <w:lang w:val="en-US" w:eastAsia="zh-CN"/>
        </w:rPr>
        <w:t>3</w:t>
      </w:r>
      <w:r>
        <w:rPr>
          <w:rFonts w:hint="eastAsia" w:ascii="宋体" w:hAnsi="宋体" w:eastAsia="宋体" w:cs="宋体"/>
          <w:b w:val="0"/>
          <w:bCs w:val="0"/>
          <w:color w:val="auto"/>
          <w:kern w:val="2"/>
          <w:sz w:val="24"/>
          <w:szCs w:val="24"/>
        </w:rPr>
        <w:t>.1现场调研工作量</w:t>
      </w:r>
      <w:bookmarkEnd w:id="2"/>
    </w:p>
    <w:p>
      <w:pPr>
        <w:pStyle w:val="7"/>
        <w:pageBreakBefore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根据现场调研工作内容，对每宗水库进行现场查勘，以了解全面掌握水库工程状况、现状运行存在问题等资料</w:t>
      </w:r>
      <w:r>
        <w:rPr>
          <w:rFonts w:hint="eastAsia" w:hAnsi="宋体" w:cs="宋体"/>
          <w:color w:val="auto"/>
          <w:kern w:val="2"/>
          <w:sz w:val="24"/>
          <w:szCs w:val="24"/>
          <w:lang w:val="en-US" w:eastAsia="zh-CN" w:bidi="ar-SA"/>
        </w:rPr>
        <w:t>。</w:t>
      </w:r>
    </w:p>
    <w:p>
      <w:pPr>
        <w:pStyle w:val="6"/>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color w:val="auto"/>
          <w:kern w:val="2"/>
          <w:sz w:val="24"/>
          <w:szCs w:val="24"/>
          <w:lang w:eastAsia="zh-CN"/>
        </w:rPr>
      </w:pPr>
      <w:bookmarkStart w:id="3" w:name="_Toc25609"/>
      <w:r>
        <w:rPr>
          <w:rFonts w:hint="eastAsia" w:ascii="宋体" w:hAnsi="宋体" w:cs="宋体"/>
          <w:b w:val="0"/>
          <w:bCs w:val="0"/>
          <w:color w:val="auto"/>
          <w:kern w:val="2"/>
          <w:sz w:val="24"/>
          <w:szCs w:val="24"/>
          <w:lang w:val="en-US" w:eastAsia="zh-CN"/>
        </w:rPr>
        <w:t>3</w:t>
      </w:r>
      <w:r>
        <w:rPr>
          <w:rFonts w:hint="eastAsia" w:ascii="宋体" w:hAnsi="宋体" w:eastAsia="宋体" w:cs="宋体"/>
          <w:b w:val="0"/>
          <w:bCs w:val="0"/>
          <w:color w:val="auto"/>
          <w:kern w:val="2"/>
          <w:sz w:val="24"/>
          <w:szCs w:val="24"/>
        </w:rPr>
        <w:t>.</w:t>
      </w:r>
      <w:r>
        <w:rPr>
          <w:rFonts w:hint="eastAsia" w:ascii="宋体" w:hAnsi="宋体" w:cs="宋体"/>
          <w:b w:val="0"/>
          <w:bCs w:val="0"/>
          <w:color w:val="auto"/>
          <w:kern w:val="2"/>
          <w:sz w:val="24"/>
          <w:szCs w:val="24"/>
          <w:lang w:val="en-US" w:eastAsia="zh-CN"/>
        </w:rPr>
        <w:t>2</w:t>
      </w:r>
      <w:r>
        <w:rPr>
          <w:rFonts w:hint="eastAsia" w:ascii="宋体" w:hAnsi="宋体" w:eastAsia="宋体" w:cs="宋体"/>
          <w:b w:val="0"/>
          <w:bCs w:val="0"/>
          <w:color w:val="auto"/>
          <w:kern w:val="2"/>
          <w:sz w:val="24"/>
          <w:szCs w:val="24"/>
          <w:lang w:eastAsia="zh-CN"/>
        </w:rPr>
        <w:t>计划工期</w:t>
      </w:r>
      <w:bookmarkEnd w:id="3"/>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为明确的屯昌县66宗水库大坝安全管理应急保障措施，满足屯昌地区、职能部门的水库大坝安全管理应急工作需要，按照“分组进行、分次开展”为原则，计划工期确定90日历天。</w:t>
      </w:r>
    </w:p>
    <w:p>
      <w:pPr>
        <w:numPr>
          <w:ilvl w:val="0"/>
          <w:numId w:val="0"/>
        </w:numPr>
        <w:bidi w:val="0"/>
        <w:rPr>
          <w:rFonts w:hint="eastAsia"/>
          <w:b/>
          <w:bCs/>
          <w:sz w:val="28"/>
          <w:szCs w:val="36"/>
          <w:lang w:val="en-US" w:eastAsia="zh-CN"/>
        </w:rPr>
      </w:pPr>
      <w:r>
        <w:rPr>
          <w:rFonts w:hint="eastAsia"/>
          <w:b/>
          <w:bCs/>
          <w:sz w:val="28"/>
          <w:szCs w:val="36"/>
          <w:lang w:val="en-US" w:eastAsia="zh-CN"/>
        </w:rPr>
        <w:t>四、成果文件</w:t>
      </w:r>
    </w:p>
    <w:p>
      <w:pPr>
        <w:pStyle w:val="2"/>
        <w:widowControl w:val="0"/>
        <w:numPr>
          <w:ilvl w:val="0"/>
          <w:numId w:val="0"/>
        </w:numPr>
        <w:topLinePunct/>
        <w:autoSpaceDE w:val="0"/>
        <w:autoSpaceDN w:val="0"/>
        <w:adjustRightInd w:val="0"/>
        <w:snapToGrid w:val="0"/>
        <w:spacing w:after="0" w:afterLines="25" w:line="300" w:lineRule="auto"/>
        <w:ind w:firstLine="480" w:firstLineChars="200"/>
        <w:jc w:val="both"/>
        <w:rPr>
          <w:rFonts w:hint="default"/>
          <w:lang w:val="en-US" w:eastAsia="zh-CN"/>
        </w:rPr>
      </w:pPr>
      <w:r>
        <w:rPr>
          <w:rFonts w:hint="eastAsia"/>
          <w:lang w:val="en-US" w:eastAsia="zh-CN"/>
        </w:rPr>
        <w:t>各水库大坝安全管理应急预案报告内容：</w:t>
      </w:r>
    </w:p>
    <w:p>
      <w:pPr>
        <w:pStyle w:val="2"/>
        <w:widowControl w:val="0"/>
        <w:numPr>
          <w:ilvl w:val="0"/>
          <w:numId w:val="0"/>
        </w:numPr>
        <w:topLinePunct/>
        <w:autoSpaceDE w:val="0"/>
        <w:autoSpaceDN w:val="0"/>
        <w:adjustRightInd w:val="0"/>
        <w:snapToGrid w:val="0"/>
        <w:spacing w:after="0" w:afterLines="25" w:line="300" w:lineRule="auto"/>
        <w:jc w:val="both"/>
        <w:rPr>
          <w:rFonts w:hint="eastAsia"/>
          <w:lang w:val="en-US" w:eastAsia="zh-CN"/>
        </w:rPr>
      </w:pPr>
      <w:r>
        <w:rPr>
          <w:rFonts w:hint="eastAsia"/>
          <w:b/>
          <w:bCs/>
          <w:lang w:val="en-US" w:eastAsia="zh-CN"/>
        </w:rPr>
        <w:t>1、水库大坝概况</w:t>
      </w:r>
      <w:r>
        <w:rPr>
          <w:rFonts w:hint="eastAsia"/>
          <w:lang w:val="en-US" w:eastAsia="zh-CN"/>
        </w:rPr>
        <w:t>：应涵盖</w:t>
      </w:r>
      <w:r>
        <w:rPr>
          <w:rFonts w:hint="default"/>
          <w:lang w:val="en-US" w:eastAsia="zh-CN"/>
        </w:rPr>
        <w:t>流域和社会经济概况</w:t>
      </w:r>
      <w:r>
        <w:rPr>
          <w:rFonts w:hint="eastAsia"/>
          <w:lang w:val="en-US" w:eastAsia="zh-CN"/>
        </w:rPr>
        <w:t>、工程和水文概况、水情和工情监测系统概况、历次病险及处置情况等。</w:t>
      </w:r>
    </w:p>
    <w:p>
      <w:pPr>
        <w:pStyle w:val="2"/>
        <w:widowControl w:val="0"/>
        <w:numPr>
          <w:ilvl w:val="0"/>
          <w:numId w:val="0"/>
        </w:numPr>
        <w:topLinePunct/>
        <w:autoSpaceDE w:val="0"/>
        <w:autoSpaceDN w:val="0"/>
        <w:adjustRightInd w:val="0"/>
        <w:snapToGrid w:val="0"/>
        <w:spacing w:after="0" w:afterLines="25" w:line="300" w:lineRule="auto"/>
        <w:jc w:val="both"/>
        <w:rPr>
          <w:rFonts w:hint="default" w:cs="Times New Roman"/>
          <w:lang w:val="en-US" w:eastAsia="zh-CN"/>
        </w:rPr>
      </w:pPr>
      <w:r>
        <w:rPr>
          <w:rFonts w:hint="eastAsia"/>
          <w:b/>
          <w:bCs/>
          <w:lang w:val="en-US" w:eastAsia="zh-CN"/>
        </w:rPr>
        <w:t>2、突发事件的分析</w:t>
      </w:r>
    </w:p>
    <w:p>
      <w:pPr>
        <w:pStyle w:val="2"/>
        <w:widowControl w:val="0"/>
        <w:numPr>
          <w:ilvl w:val="0"/>
          <w:numId w:val="0"/>
        </w:numPr>
        <w:topLinePunct/>
        <w:autoSpaceDE w:val="0"/>
        <w:autoSpaceDN w:val="0"/>
        <w:adjustRightInd w:val="0"/>
        <w:snapToGrid w:val="0"/>
        <w:spacing w:after="0" w:afterLines="25" w:line="300" w:lineRule="auto"/>
        <w:jc w:val="both"/>
        <w:rPr>
          <w:rFonts w:hint="default"/>
          <w:lang w:val="en-US" w:eastAsia="zh-CN"/>
        </w:rPr>
      </w:pPr>
      <w:r>
        <w:rPr>
          <w:rFonts w:hint="eastAsia" w:cs="Times New Roman"/>
          <w:b/>
          <w:bCs/>
          <w:lang w:val="en-US" w:eastAsia="zh-CN"/>
        </w:rPr>
        <w:t>3、应急组织体</w:t>
      </w:r>
    </w:p>
    <w:p>
      <w:pPr>
        <w:pStyle w:val="2"/>
        <w:widowControl w:val="0"/>
        <w:numPr>
          <w:ilvl w:val="0"/>
          <w:numId w:val="0"/>
        </w:numPr>
        <w:topLinePunct/>
        <w:autoSpaceDE w:val="0"/>
        <w:autoSpaceDN w:val="0"/>
        <w:adjustRightInd w:val="0"/>
        <w:snapToGrid w:val="0"/>
        <w:spacing w:after="0" w:afterLines="25" w:line="300" w:lineRule="auto"/>
        <w:jc w:val="both"/>
        <w:rPr>
          <w:rFonts w:hint="eastAsia" w:cs="Times New Roman"/>
          <w:b w:val="0"/>
          <w:bCs w:val="0"/>
          <w:lang w:val="en-US" w:eastAsia="zh-CN"/>
        </w:rPr>
      </w:pPr>
      <w:r>
        <w:rPr>
          <w:rFonts w:hint="eastAsia" w:cs="Times New Roman"/>
          <w:b/>
          <w:bCs/>
          <w:lang w:val="en-US" w:eastAsia="zh-CN"/>
        </w:rPr>
        <w:t>4、预案运行机制</w:t>
      </w:r>
    </w:p>
    <w:p>
      <w:pPr>
        <w:pStyle w:val="2"/>
        <w:widowControl w:val="0"/>
        <w:numPr>
          <w:ilvl w:val="0"/>
          <w:numId w:val="0"/>
        </w:numPr>
        <w:topLinePunct/>
        <w:autoSpaceDE w:val="0"/>
        <w:autoSpaceDN w:val="0"/>
        <w:adjustRightInd w:val="0"/>
        <w:snapToGrid w:val="0"/>
        <w:spacing w:after="0" w:afterLines="25" w:line="300" w:lineRule="auto"/>
        <w:jc w:val="both"/>
        <w:rPr>
          <w:rFonts w:hint="eastAsia" w:cs="Times New Roman"/>
          <w:b w:val="0"/>
          <w:bCs w:val="0"/>
          <w:lang w:val="en-US" w:eastAsia="zh-CN"/>
        </w:rPr>
      </w:pPr>
      <w:r>
        <w:rPr>
          <w:rFonts w:hint="eastAsia" w:cs="Times New Roman"/>
          <w:b/>
          <w:bCs/>
          <w:lang w:val="en-US" w:eastAsia="zh-CN"/>
        </w:rPr>
        <w:t>5、应急处置</w:t>
      </w:r>
    </w:p>
    <w:p>
      <w:pPr>
        <w:pStyle w:val="2"/>
        <w:widowControl w:val="0"/>
        <w:numPr>
          <w:ilvl w:val="0"/>
          <w:numId w:val="0"/>
        </w:numPr>
        <w:topLinePunct/>
        <w:autoSpaceDE w:val="0"/>
        <w:autoSpaceDN w:val="0"/>
        <w:adjustRightInd w:val="0"/>
        <w:snapToGrid w:val="0"/>
        <w:spacing w:after="0" w:afterLines="25" w:line="300" w:lineRule="auto"/>
        <w:jc w:val="both"/>
        <w:rPr>
          <w:rFonts w:hint="eastAsia" w:cs="Times New Roman"/>
          <w:b w:val="0"/>
          <w:bCs w:val="0"/>
          <w:lang w:val="en-US" w:eastAsia="zh-CN"/>
        </w:rPr>
      </w:pPr>
      <w:r>
        <w:rPr>
          <w:rFonts w:hint="eastAsia" w:cs="Times New Roman"/>
          <w:b/>
          <w:bCs/>
          <w:lang w:val="en-US" w:eastAsia="zh-CN"/>
        </w:rPr>
        <w:t>6、应急结束</w:t>
      </w:r>
    </w:p>
    <w:p>
      <w:pPr>
        <w:pStyle w:val="2"/>
        <w:widowControl w:val="0"/>
        <w:numPr>
          <w:ilvl w:val="0"/>
          <w:numId w:val="0"/>
        </w:numPr>
        <w:topLinePunct/>
        <w:autoSpaceDE w:val="0"/>
        <w:autoSpaceDN w:val="0"/>
        <w:adjustRightInd w:val="0"/>
        <w:snapToGrid w:val="0"/>
        <w:spacing w:after="0" w:afterLines="25" w:line="300" w:lineRule="auto"/>
        <w:jc w:val="both"/>
        <w:rPr>
          <w:rFonts w:hint="eastAsia" w:cs="Times New Roman"/>
          <w:b w:val="0"/>
          <w:bCs w:val="0"/>
          <w:lang w:val="en-US" w:eastAsia="zh-CN"/>
        </w:rPr>
      </w:pPr>
      <w:r>
        <w:rPr>
          <w:rFonts w:hint="eastAsia" w:cs="Times New Roman"/>
          <w:b/>
          <w:bCs/>
          <w:lang w:val="en-US" w:eastAsia="zh-CN"/>
        </w:rPr>
        <w:t>7、善后处理</w:t>
      </w:r>
    </w:p>
    <w:p>
      <w:pPr>
        <w:pStyle w:val="2"/>
        <w:widowControl w:val="0"/>
        <w:numPr>
          <w:ilvl w:val="0"/>
          <w:numId w:val="0"/>
        </w:numPr>
        <w:topLinePunct/>
        <w:autoSpaceDE w:val="0"/>
        <w:autoSpaceDN w:val="0"/>
        <w:adjustRightInd w:val="0"/>
        <w:snapToGrid w:val="0"/>
        <w:spacing w:after="0" w:afterLines="25" w:line="300" w:lineRule="auto"/>
        <w:jc w:val="both"/>
        <w:rPr>
          <w:rFonts w:hint="default" w:cs="Times New Roman"/>
          <w:b w:val="0"/>
          <w:bCs w:val="0"/>
          <w:lang w:val="en-US" w:eastAsia="zh-CN"/>
        </w:rPr>
      </w:pPr>
      <w:r>
        <w:rPr>
          <w:rFonts w:hint="eastAsia" w:cs="Times New Roman"/>
          <w:b/>
          <w:bCs/>
          <w:lang w:val="en-US" w:eastAsia="zh-CN"/>
        </w:rPr>
        <w:t>8、调查与评估</w:t>
      </w:r>
      <w:bookmarkStart w:id="4" w:name="_GoBack"/>
      <w:bookmarkEnd w:id="4"/>
    </w:p>
    <w:p>
      <w:pPr>
        <w:pStyle w:val="2"/>
        <w:widowControl w:val="0"/>
        <w:numPr>
          <w:ilvl w:val="0"/>
          <w:numId w:val="0"/>
        </w:numPr>
        <w:topLinePunct/>
        <w:autoSpaceDE w:val="0"/>
        <w:autoSpaceDN w:val="0"/>
        <w:adjustRightInd w:val="0"/>
        <w:snapToGrid w:val="0"/>
        <w:spacing w:after="0" w:afterLines="25" w:line="300" w:lineRule="auto"/>
        <w:jc w:val="both"/>
        <w:rPr>
          <w:rFonts w:hint="default" w:cs="Times New Roman"/>
          <w:b w:val="0"/>
          <w:bCs w:val="0"/>
          <w:lang w:val="en-US" w:eastAsia="zh-CN"/>
        </w:rPr>
      </w:pPr>
      <w:r>
        <w:rPr>
          <w:rFonts w:hint="eastAsia" w:cs="Times New Roman"/>
          <w:b/>
          <w:bCs/>
          <w:lang w:val="en-US" w:eastAsia="zh-CN"/>
        </w:rPr>
        <w:t>9、信息发布</w:t>
      </w:r>
    </w:p>
    <w:p>
      <w:pPr>
        <w:pStyle w:val="2"/>
        <w:widowControl w:val="0"/>
        <w:numPr>
          <w:ilvl w:val="0"/>
          <w:numId w:val="0"/>
        </w:numPr>
        <w:topLinePunct/>
        <w:autoSpaceDE w:val="0"/>
        <w:autoSpaceDN w:val="0"/>
        <w:adjustRightInd w:val="0"/>
        <w:snapToGrid w:val="0"/>
        <w:spacing w:after="0" w:afterLines="25" w:line="300" w:lineRule="auto"/>
        <w:jc w:val="both"/>
        <w:rPr>
          <w:rFonts w:hint="default" w:cs="Times New Roman"/>
          <w:b w:val="0"/>
          <w:bCs w:val="0"/>
          <w:lang w:val="en-US" w:eastAsia="zh-CN"/>
        </w:rPr>
      </w:pPr>
      <w:r>
        <w:rPr>
          <w:rFonts w:hint="eastAsia" w:cs="Times New Roman"/>
          <w:b/>
          <w:bCs/>
          <w:lang w:val="en-US" w:eastAsia="zh-CN"/>
        </w:rPr>
        <w:t>10、应急保障</w:t>
      </w:r>
    </w:p>
    <w:p>
      <w:pPr>
        <w:pStyle w:val="2"/>
        <w:widowControl w:val="0"/>
        <w:numPr>
          <w:ilvl w:val="0"/>
          <w:numId w:val="0"/>
        </w:numPr>
        <w:topLinePunct/>
        <w:autoSpaceDE w:val="0"/>
        <w:autoSpaceDN w:val="0"/>
        <w:adjustRightInd w:val="0"/>
        <w:snapToGrid w:val="0"/>
        <w:spacing w:after="0" w:afterLines="25" w:line="300" w:lineRule="auto"/>
        <w:jc w:val="both"/>
        <w:rPr>
          <w:rFonts w:hint="default" w:cs="Times New Roman"/>
          <w:b w:val="0"/>
          <w:bCs w:val="0"/>
          <w:lang w:val="en-US" w:eastAsia="zh-CN"/>
        </w:rPr>
      </w:pPr>
      <w:r>
        <w:rPr>
          <w:rFonts w:hint="eastAsia" w:cs="Times New Roman"/>
          <w:b/>
          <w:bCs/>
          <w:lang w:val="en-US" w:eastAsia="zh-CN"/>
        </w:rPr>
        <w:t>11、宣传、培训与演练</w:t>
      </w:r>
    </w:p>
    <w:p>
      <w:pPr>
        <w:pStyle w:val="2"/>
        <w:widowControl w:val="0"/>
        <w:numPr>
          <w:ilvl w:val="0"/>
          <w:numId w:val="0"/>
        </w:numPr>
        <w:topLinePunct/>
        <w:autoSpaceDE w:val="0"/>
        <w:autoSpaceDN w:val="0"/>
        <w:adjustRightInd w:val="0"/>
        <w:snapToGrid w:val="0"/>
        <w:spacing w:after="0" w:afterLines="25" w:line="300" w:lineRule="auto"/>
        <w:ind w:firstLine="480"/>
        <w:jc w:val="both"/>
        <w:rPr>
          <w:rFonts w:hint="default" w:cs="Times New Roman"/>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YjNjYzUxOTQ3NTQyZjliMjRkYjg3YzcxNmZkZDUifQ=="/>
  </w:docVars>
  <w:rsids>
    <w:rsidRoot w:val="6F5C2C66"/>
    <w:rsid w:val="00D9637F"/>
    <w:rsid w:val="02AF717C"/>
    <w:rsid w:val="20010A9E"/>
    <w:rsid w:val="211763BC"/>
    <w:rsid w:val="21472D45"/>
    <w:rsid w:val="23701D53"/>
    <w:rsid w:val="2DB015BE"/>
    <w:rsid w:val="32604EC9"/>
    <w:rsid w:val="34D12584"/>
    <w:rsid w:val="351F00D5"/>
    <w:rsid w:val="35EF1ADD"/>
    <w:rsid w:val="3B0C7B14"/>
    <w:rsid w:val="3C6666A3"/>
    <w:rsid w:val="3D910044"/>
    <w:rsid w:val="427F7E2D"/>
    <w:rsid w:val="43A006EC"/>
    <w:rsid w:val="45C840D1"/>
    <w:rsid w:val="49B20843"/>
    <w:rsid w:val="59C247F4"/>
    <w:rsid w:val="64A24F44"/>
    <w:rsid w:val="695A74DD"/>
    <w:rsid w:val="6F5C2C66"/>
    <w:rsid w:val="74CB1164"/>
    <w:rsid w:val="760A04D7"/>
    <w:rsid w:val="77884BDC"/>
    <w:rsid w:val="7DC91522"/>
    <w:rsid w:val="7E21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1"/>
    <w:qFormat/>
    <w:uiPriority w:val="0"/>
    <w:pPr>
      <w:keepNext/>
      <w:keepLines/>
      <w:spacing w:before="340" w:after="330" w:line="578" w:lineRule="auto"/>
      <w:outlineLvl w:val="0"/>
    </w:pPr>
    <w:rPr>
      <w:rFonts w:ascii="Verdana" w:hAnsi="Verdana"/>
      <w:b/>
      <w:bCs/>
      <w:kern w:val="44"/>
      <w:sz w:val="44"/>
      <w:szCs w:val="44"/>
      <w:lang w:eastAsia="en-US"/>
    </w:rPr>
  </w:style>
  <w:style w:type="paragraph" w:styleId="6">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opLinePunct/>
      <w:autoSpaceDE w:val="0"/>
      <w:autoSpaceDN w:val="0"/>
      <w:adjustRightInd w:val="0"/>
      <w:snapToGrid w:val="0"/>
      <w:spacing w:after="0" w:afterLines="25" w:line="300" w:lineRule="auto"/>
      <w:ind w:firstLine="200" w:firstLineChars="200"/>
    </w:pPr>
    <w:rPr>
      <w:rFonts w:ascii="宋体"/>
      <w:kern w:val="0"/>
      <w:sz w:val="24"/>
      <w:szCs w:val="20"/>
      <w:lang w:val="zh-CN"/>
    </w:rPr>
  </w:style>
  <w:style w:type="paragraph" w:styleId="3">
    <w:name w:val="Body Text Indent"/>
    <w:basedOn w:val="1"/>
    <w:next w:val="4"/>
    <w:qFormat/>
    <w:uiPriority w:val="0"/>
    <w:pPr>
      <w:spacing w:after="120"/>
      <w:ind w:left="420" w:leftChars="200"/>
    </w:pPr>
    <w:rPr>
      <w:rFonts w:ascii="Verdana" w:hAnsi="Verdana"/>
      <w:szCs w:val="20"/>
      <w:lang w:eastAsia="en-US"/>
    </w:rPr>
  </w:style>
  <w:style w:type="paragraph" w:styleId="4">
    <w:name w:val="envelope return"/>
    <w:basedOn w:val="1"/>
    <w:qFormat/>
    <w:uiPriority w:val="0"/>
    <w:pPr>
      <w:snapToGrid w:val="0"/>
    </w:pPr>
    <w:rPr>
      <w:rFonts w:ascii="Arial" w:hAnsi="Arial"/>
    </w:rPr>
  </w:style>
  <w:style w:type="paragraph" w:styleId="7">
    <w:name w:val="Plain Text"/>
    <w:basedOn w:val="1"/>
    <w:qFormat/>
    <w:uiPriority w:val="0"/>
    <w:pPr>
      <w:spacing w:line="360" w:lineRule="auto"/>
    </w:pPr>
    <w:rPr>
      <w:rFonts w:ascii="宋体" w:hAnsi="Courier New"/>
      <w:spacing w:val="-8"/>
      <w:sz w:val="24"/>
      <w:szCs w:val="20"/>
      <w:lang w:eastAsia="en-US"/>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11">
    <w:name w:val="标题 1 Char"/>
    <w:link w:val="5"/>
    <w:qFormat/>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2352</Words>
  <Characters>2601</Characters>
  <Lines>0</Lines>
  <Paragraphs>0</Paragraphs>
  <TotalTime>18</TotalTime>
  <ScaleCrop>false</ScaleCrop>
  <LinksUpToDate>false</LinksUpToDate>
  <CharactersWithSpaces>2604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2022-09-13T08:37:00Z</dcterms:created>
  <dc:creator>A 、阿东</dc:creator>
  <cp:lastModifiedBy>A 、阿东</cp:lastModifiedBy>
  <dcterms:modified xsi:type="dcterms:W3CDTF">2022-09-14T02:25:52Z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D3E586DF0ACB4D58AD54DBC4AA4C38B5</vt:lpwstr>
  </property>
</Properties>
</file>