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36"/>
          <w:szCs w:val="36"/>
          <w:lang w:val="en-US" w:eastAsia="zh-CN"/>
        </w:rPr>
      </w:pPr>
      <w:r>
        <w:rPr>
          <w:rFonts w:hint="eastAsia" w:ascii="宋体" w:hAnsi="宋体" w:eastAsia="宋体" w:cs="宋体"/>
          <w:color w:val="auto"/>
          <w:sz w:val="36"/>
          <w:szCs w:val="36"/>
          <w:lang w:val="en-US" w:eastAsia="zh-CN"/>
        </w:rPr>
        <w:t xml:space="preserve"> 采购需求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为深入贯彻《海南省人民政府办公厅关于印发&lt;海南省人口数据起底式大清查专项工作方案&gt;的通知》（琼府办函〔2022〕81 号）、《海南省自然资源和规划厅海南省公安厅海南省财政厅海南省住房和城乡建设厅关于印发&lt;海南省人口数据起底式大清</w:t>
      </w:r>
      <w:bookmarkStart w:id="0" w:name="_GoBack"/>
      <w:bookmarkEnd w:id="0"/>
      <w:r>
        <w:rPr>
          <w:rFonts w:hint="eastAsia" w:ascii="宋体" w:hAnsi="宋体" w:eastAsia="宋体" w:cs="宋体"/>
          <w:b w:val="0"/>
          <w:color w:val="auto"/>
          <w:sz w:val="24"/>
          <w:szCs w:val="24"/>
        </w:rPr>
        <w:t>查房屋调查工作实施方案&gt;的通知》（琼自然资函〔2022〕1214 号）以及《东方市人民政府办公室关于印发&lt;东方市人口数据起底式大清查专项工作实施方案&gt;的通知》（东府办函〔2022〕93号）要求，进一步摸清我市房屋基础数据底数，掌握区域内全员人口居住地分布情况，为落实“外防输入、内防反弹”疫情防控策略提供支持。</w:t>
      </w:r>
      <w:r>
        <w:rPr>
          <w:rFonts w:hint="eastAsia"/>
          <w:color w:val="auto"/>
          <w:sz w:val="24"/>
          <w:lang w:val="en-US" w:eastAsia="zh-CN"/>
        </w:rPr>
        <w:t>对未登记的房屋（含已登记但数据不完整），由我市自行落实调查技术队伍。因时间紧，任务重，为提高效率，现通过竞争性磋商方式，选择2家信誉好、能力强的队伍开展房屋调查工作。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二、工作要求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eastAsia="zh-CN"/>
        </w:rPr>
        <w:t>（</w:t>
      </w:r>
      <w:r>
        <w:rPr>
          <w:rFonts w:hint="eastAsia" w:ascii="宋体" w:hAnsi="宋体" w:eastAsia="宋体" w:cs="宋体"/>
          <w:b w:val="0"/>
          <w:color w:val="auto"/>
          <w:sz w:val="24"/>
          <w:szCs w:val="24"/>
        </w:rPr>
        <w:t>一）工作目标。按照应采尽采、全面覆盖的原则和完整、准确、现势的要求，对我市辖区范围内实有房屋基础信息开展集中核查、采集。通过采取技术调查和数据整合完善相结合的方式，全面起底式调查未发证房屋基础信息，为提高政府治理能力和海南省人口数据起底式大清查专项工作提供房屋基础数据支撑。</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default" w:ascii="宋体" w:hAnsi="宋体" w:eastAsia="宋体" w:cs="宋体"/>
          <w:b w:val="0"/>
          <w:color w:val="auto"/>
          <w:sz w:val="24"/>
          <w:szCs w:val="24"/>
          <w:lang w:val="en-US" w:eastAsia="zh-CN"/>
        </w:rPr>
      </w:pP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val="en-US" w:eastAsia="zh-CN"/>
        </w:rPr>
        <w:t>二</w:t>
      </w:r>
      <w:r>
        <w:rPr>
          <w:rFonts w:hint="eastAsia" w:ascii="宋体" w:hAnsi="宋体" w:eastAsia="宋体" w:cs="宋体"/>
          <w:b w:val="0"/>
          <w:color w:val="auto"/>
          <w:sz w:val="24"/>
          <w:szCs w:val="24"/>
        </w:rPr>
        <w:t>）工作对象。统一调查标准时点前在我市范围内实际建成且未发证（含已发证但数据不完整）的房屋，</w:t>
      </w:r>
      <w:r>
        <w:rPr>
          <w:rFonts w:hint="eastAsia" w:ascii="宋体" w:hAnsi="宋体" w:eastAsia="宋体" w:cs="宋体"/>
          <w:b w:val="0"/>
          <w:color w:val="auto"/>
          <w:sz w:val="24"/>
          <w:szCs w:val="24"/>
          <w:lang w:eastAsia="zh-CN"/>
        </w:rPr>
        <w:t>棚户区改造内的房屋和</w:t>
      </w:r>
      <w:r>
        <w:rPr>
          <w:rFonts w:hint="eastAsia" w:ascii="宋体" w:hAnsi="宋体" w:eastAsia="宋体" w:cs="宋体"/>
          <w:b w:val="0"/>
          <w:color w:val="auto"/>
          <w:sz w:val="24"/>
          <w:szCs w:val="24"/>
          <w:lang w:val="en-US" w:eastAsia="zh-CN"/>
        </w:rPr>
        <w:t>主体结构未完工的建筑物以及简易棚不在本次调查范围之内。</w:t>
      </w:r>
      <w:r>
        <w:rPr>
          <w:rFonts w:hint="eastAsia" w:ascii="宋体" w:hAnsi="宋体" w:eastAsia="宋体" w:cs="宋体"/>
          <w:b w:val="0"/>
          <w:color w:val="auto"/>
          <w:sz w:val="24"/>
          <w:szCs w:val="24"/>
          <w:lang w:eastAsia="zh-CN"/>
        </w:rPr>
        <w:t>调查工作</w:t>
      </w:r>
      <w:r>
        <w:rPr>
          <w:rFonts w:hint="eastAsia" w:ascii="宋体" w:hAnsi="宋体" w:eastAsia="宋体" w:cs="宋体"/>
          <w:b w:val="0"/>
          <w:color w:val="auto"/>
          <w:sz w:val="24"/>
          <w:szCs w:val="24"/>
          <w:lang w:val="en-US" w:eastAsia="zh-CN"/>
        </w:rPr>
        <w:t>范围如下：</w:t>
      </w:r>
    </w:p>
    <w:tbl>
      <w:tblPr>
        <w:tblStyle w:val="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5244"/>
        <w:gridCol w:w="156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08" w:type="dxa"/>
            <w:vMerge w:val="restart"/>
            <w:vAlign w:val="center"/>
          </w:tcPr>
          <w:p>
            <w:pPr>
              <w:keepNext w:val="0"/>
              <w:keepLines w:val="0"/>
              <w:widowControl/>
              <w:suppressLineNumbers w:val="0"/>
              <w:jc w:val="center"/>
              <w:textAlignment w:val="center"/>
              <w:rPr>
                <w:rFonts w:hint="eastAsia" w:ascii="宋体" w:hAnsi="宋体" w:eastAsia="宋体" w:cs="宋体"/>
                <w:b w:val="0"/>
                <w:color w:val="auto"/>
                <w:sz w:val="24"/>
                <w:szCs w:val="24"/>
                <w:vertAlign w:val="baseline"/>
              </w:rPr>
            </w:pPr>
            <w:r>
              <w:rPr>
                <w:rFonts w:hint="eastAsia" w:ascii="宋体" w:hAnsi="宋体" w:eastAsia="宋体" w:cs="宋体"/>
                <w:b/>
                <w:i w:val="0"/>
                <w:color w:val="auto"/>
                <w:kern w:val="0"/>
                <w:sz w:val="24"/>
                <w:szCs w:val="24"/>
                <w:u w:val="none"/>
                <w:lang w:val="en-US" w:eastAsia="zh-CN" w:bidi="ar"/>
              </w:rPr>
              <w:t>标段</w:t>
            </w:r>
          </w:p>
        </w:tc>
        <w:tc>
          <w:tcPr>
            <w:tcW w:w="5244" w:type="dxa"/>
            <w:vMerge w:val="restart"/>
            <w:vAlign w:val="center"/>
          </w:tcPr>
          <w:p>
            <w:pPr>
              <w:keepNext w:val="0"/>
              <w:keepLines w:val="0"/>
              <w:widowControl/>
              <w:suppressLineNumbers w:val="0"/>
              <w:jc w:val="center"/>
              <w:textAlignment w:val="center"/>
              <w:rPr>
                <w:rFonts w:hint="eastAsia" w:ascii="宋体" w:hAnsi="宋体" w:eastAsia="宋体" w:cs="宋体"/>
                <w:b w:val="0"/>
                <w:color w:val="auto"/>
                <w:sz w:val="24"/>
                <w:szCs w:val="24"/>
                <w:vertAlign w:val="baseline"/>
              </w:rPr>
            </w:pPr>
            <w:r>
              <w:rPr>
                <w:rFonts w:hint="eastAsia" w:ascii="宋体" w:hAnsi="宋体" w:eastAsia="宋体" w:cs="宋体"/>
                <w:b/>
                <w:i w:val="0"/>
                <w:color w:val="auto"/>
                <w:kern w:val="0"/>
                <w:sz w:val="24"/>
                <w:szCs w:val="24"/>
                <w:u w:val="none"/>
                <w:lang w:val="en-US" w:eastAsia="zh-CN" w:bidi="ar"/>
              </w:rPr>
              <w:t>调查范围</w:t>
            </w:r>
          </w:p>
        </w:tc>
        <w:tc>
          <w:tcPr>
            <w:tcW w:w="2868" w:type="dxa"/>
            <w:gridSpan w:val="2"/>
            <w:vAlign w:val="center"/>
          </w:tcPr>
          <w:p>
            <w:pPr>
              <w:keepNext w:val="0"/>
              <w:keepLines w:val="0"/>
              <w:widowControl/>
              <w:suppressLineNumbers w:val="0"/>
              <w:jc w:val="center"/>
              <w:textAlignment w:val="center"/>
              <w:rPr>
                <w:rFonts w:hint="eastAsia" w:ascii="宋体" w:hAnsi="宋体" w:eastAsia="宋体" w:cs="宋体"/>
                <w:b w:val="0"/>
                <w:color w:val="auto"/>
                <w:sz w:val="24"/>
                <w:szCs w:val="24"/>
                <w:vertAlign w:val="baseline"/>
              </w:rPr>
            </w:pPr>
            <w:r>
              <w:rPr>
                <w:rFonts w:hint="eastAsia" w:ascii="宋体" w:hAnsi="宋体" w:eastAsia="宋体" w:cs="宋体"/>
                <w:b/>
                <w:i w:val="0"/>
                <w:color w:val="auto"/>
                <w:kern w:val="0"/>
                <w:sz w:val="24"/>
                <w:szCs w:val="24"/>
                <w:u w:val="none"/>
                <w:lang w:val="en-US" w:eastAsia="zh-CN" w:bidi="ar"/>
              </w:rPr>
              <w:t>预估工作量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color w:val="auto"/>
              </w:rPr>
            </w:pPr>
          </w:p>
        </w:tc>
        <w:tc>
          <w:tcPr>
            <w:tcW w:w="524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color w:val="auto"/>
              </w:rPr>
            </w:pPr>
          </w:p>
        </w:tc>
        <w:tc>
          <w:tcPr>
            <w:tcW w:w="1560" w:type="dxa"/>
            <w:vAlign w:val="center"/>
          </w:tcPr>
          <w:p>
            <w:pPr>
              <w:keepNext w:val="0"/>
              <w:keepLines w:val="0"/>
              <w:widowControl/>
              <w:suppressLineNumbers w:val="0"/>
              <w:jc w:val="center"/>
              <w:textAlignment w:val="center"/>
              <w:rPr>
                <w:rFonts w:hint="eastAsia" w:ascii="宋体" w:hAnsi="宋体" w:eastAsia="宋体" w:cs="宋体"/>
                <w:b w:val="0"/>
                <w:color w:val="auto"/>
                <w:sz w:val="24"/>
                <w:szCs w:val="24"/>
                <w:vertAlign w:val="baseline"/>
              </w:rPr>
            </w:pPr>
            <w:r>
              <w:rPr>
                <w:rFonts w:hint="eastAsia" w:ascii="宋体" w:hAnsi="宋体" w:eastAsia="宋体" w:cs="宋体"/>
                <w:b/>
                <w:i w:val="0"/>
                <w:color w:val="auto"/>
                <w:kern w:val="0"/>
                <w:sz w:val="24"/>
                <w:szCs w:val="24"/>
                <w:u w:val="none"/>
                <w:lang w:val="en-US" w:eastAsia="zh-CN" w:bidi="ar"/>
              </w:rPr>
              <w:t>幢数</w:t>
            </w:r>
          </w:p>
        </w:tc>
        <w:tc>
          <w:tcPr>
            <w:tcW w:w="1308" w:type="dxa"/>
            <w:vAlign w:val="center"/>
          </w:tcPr>
          <w:p>
            <w:pPr>
              <w:keepNext w:val="0"/>
              <w:keepLines w:val="0"/>
              <w:widowControl/>
              <w:suppressLineNumbers w:val="0"/>
              <w:jc w:val="center"/>
              <w:textAlignment w:val="center"/>
              <w:rPr>
                <w:rFonts w:hint="eastAsia" w:ascii="宋体" w:hAnsi="宋体" w:eastAsia="宋体" w:cs="宋体"/>
                <w:b w:val="0"/>
                <w:color w:val="auto"/>
                <w:sz w:val="24"/>
                <w:szCs w:val="24"/>
                <w:vertAlign w:val="baseline"/>
              </w:rPr>
            </w:pPr>
            <w:r>
              <w:rPr>
                <w:rFonts w:hint="eastAsia" w:ascii="宋体" w:hAnsi="宋体" w:eastAsia="宋体" w:cs="宋体"/>
                <w:b/>
                <w:i w:val="0"/>
                <w:color w:val="auto"/>
                <w:kern w:val="0"/>
                <w:sz w:val="24"/>
                <w:szCs w:val="24"/>
                <w:u w:val="none"/>
                <w:lang w:val="en-US" w:eastAsia="zh-CN" w:bidi="ar"/>
              </w:rPr>
              <w:t>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108" w:type="dxa"/>
            <w:vAlign w:val="center"/>
          </w:tcPr>
          <w:p>
            <w:pPr>
              <w:keepNext w:val="0"/>
              <w:keepLines w:val="0"/>
              <w:widowControl/>
              <w:suppressLineNumbers w:val="0"/>
              <w:jc w:val="center"/>
              <w:textAlignment w:val="center"/>
              <w:rPr>
                <w:rFonts w:hint="eastAsia" w:ascii="宋体" w:hAnsi="宋体" w:eastAsia="宋体" w:cs="宋体"/>
                <w:b w:val="0"/>
                <w:color w:val="auto"/>
                <w:sz w:val="24"/>
                <w:szCs w:val="24"/>
                <w:vertAlign w:val="baseline"/>
              </w:rPr>
            </w:pPr>
            <w:r>
              <w:rPr>
                <w:rFonts w:hint="eastAsia" w:ascii="宋体" w:hAnsi="宋体" w:eastAsia="宋体" w:cs="宋体"/>
                <w:i w:val="0"/>
                <w:color w:val="auto"/>
                <w:kern w:val="0"/>
                <w:sz w:val="24"/>
                <w:szCs w:val="24"/>
                <w:u w:val="none"/>
                <w:lang w:val="en-US" w:eastAsia="zh-CN" w:bidi="ar"/>
              </w:rPr>
              <w:t>（A）包</w:t>
            </w:r>
          </w:p>
        </w:tc>
        <w:tc>
          <w:tcPr>
            <w:tcW w:w="5244" w:type="dxa"/>
            <w:vAlign w:val="center"/>
          </w:tcPr>
          <w:p>
            <w:pPr>
              <w:keepNext w:val="0"/>
              <w:keepLines w:val="0"/>
              <w:widowControl/>
              <w:suppressLineNumbers w:val="0"/>
              <w:jc w:val="left"/>
              <w:textAlignment w:val="center"/>
              <w:rPr>
                <w:rFonts w:hint="eastAsia" w:ascii="宋体" w:hAnsi="宋体" w:eastAsia="宋体" w:cs="宋体"/>
                <w:b w:val="0"/>
                <w:color w:val="auto"/>
                <w:sz w:val="24"/>
                <w:szCs w:val="24"/>
                <w:vertAlign w:val="baseline"/>
              </w:rPr>
            </w:pPr>
            <w:r>
              <w:rPr>
                <w:rFonts w:hint="eastAsia" w:ascii="宋体" w:hAnsi="宋体" w:eastAsia="宋体" w:cs="宋体"/>
                <w:i w:val="0"/>
                <w:color w:val="auto"/>
                <w:kern w:val="0"/>
                <w:sz w:val="24"/>
                <w:szCs w:val="24"/>
                <w:u w:val="none"/>
                <w:lang w:val="en-US" w:eastAsia="zh-CN" w:bidi="ar"/>
              </w:rPr>
              <w:t>八所镇、三家镇、四更镇、东方市示范牧场、省国营东方华侨农场、广坝农场调查。</w:t>
            </w:r>
          </w:p>
        </w:tc>
        <w:tc>
          <w:tcPr>
            <w:tcW w:w="1560" w:type="dxa"/>
            <w:vAlign w:val="center"/>
          </w:tcPr>
          <w:p>
            <w:pPr>
              <w:keepNext w:val="0"/>
              <w:keepLines w:val="0"/>
              <w:widowControl/>
              <w:suppressLineNumbers w:val="0"/>
              <w:jc w:val="center"/>
              <w:textAlignment w:val="center"/>
              <w:rPr>
                <w:rFonts w:hint="eastAsia" w:ascii="宋体" w:hAnsi="宋体" w:eastAsia="宋体" w:cs="宋体"/>
                <w:b w:val="0"/>
                <w:color w:val="auto"/>
                <w:sz w:val="24"/>
                <w:szCs w:val="24"/>
                <w:vertAlign w:val="baseline"/>
              </w:rPr>
            </w:pPr>
            <w:r>
              <w:rPr>
                <w:rFonts w:hint="eastAsia" w:ascii="宋体" w:hAnsi="宋体" w:eastAsia="宋体" w:cs="宋体"/>
                <w:i w:val="0"/>
                <w:color w:val="auto"/>
                <w:kern w:val="0"/>
                <w:sz w:val="24"/>
                <w:szCs w:val="24"/>
                <w:u w:val="none"/>
                <w:lang w:val="en-US" w:eastAsia="zh-CN" w:bidi="ar"/>
              </w:rPr>
              <w:t>24072</w:t>
            </w:r>
          </w:p>
        </w:tc>
        <w:tc>
          <w:tcPr>
            <w:tcW w:w="1308" w:type="dxa"/>
            <w:vAlign w:val="center"/>
          </w:tcPr>
          <w:p>
            <w:pPr>
              <w:keepNext w:val="0"/>
              <w:keepLines w:val="0"/>
              <w:widowControl/>
              <w:suppressLineNumbers w:val="0"/>
              <w:jc w:val="center"/>
              <w:textAlignment w:val="center"/>
              <w:rPr>
                <w:rFonts w:hint="eastAsia" w:ascii="宋体" w:hAnsi="宋体" w:eastAsia="宋体" w:cs="宋体"/>
                <w:b w:val="0"/>
                <w:color w:val="auto"/>
                <w:sz w:val="24"/>
                <w:szCs w:val="24"/>
                <w:vertAlign w:val="baseline"/>
              </w:rPr>
            </w:pPr>
            <w:r>
              <w:rPr>
                <w:rFonts w:hint="eastAsia" w:ascii="宋体" w:hAnsi="宋体" w:eastAsia="宋体" w:cs="宋体"/>
                <w:i w:val="0"/>
                <w:color w:val="auto"/>
                <w:kern w:val="0"/>
                <w:sz w:val="24"/>
                <w:szCs w:val="24"/>
                <w:u w:val="none"/>
                <w:lang w:val="en-US" w:eastAsia="zh-CN" w:bidi="ar"/>
              </w:rPr>
              <w:t>72216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Align w:val="center"/>
          </w:tcPr>
          <w:p>
            <w:pPr>
              <w:keepNext w:val="0"/>
              <w:keepLines w:val="0"/>
              <w:widowControl/>
              <w:suppressLineNumbers w:val="0"/>
              <w:jc w:val="center"/>
              <w:textAlignment w:val="center"/>
              <w:rPr>
                <w:rFonts w:hint="eastAsia" w:ascii="宋体" w:hAnsi="宋体" w:eastAsia="宋体" w:cs="宋体"/>
                <w:b w:val="0"/>
                <w:color w:val="auto"/>
                <w:sz w:val="24"/>
                <w:szCs w:val="24"/>
                <w:vertAlign w:val="baseline"/>
              </w:rPr>
            </w:pPr>
            <w:r>
              <w:rPr>
                <w:rFonts w:hint="eastAsia" w:ascii="宋体" w:hAnsi="宋体" w:eastAsia="宋体" w:cs="宋体"/>
                <w:i w:val="0"/>
                <w:color w:val="auto"/>
                <w:kern w:val="0"/>
                <w:sz w:val="24"/>
                <w:szCs w:val="24"/>
                <w:u w:val="none"/>
                <w:lang w:val="en-US" w:eastAsia="zh-CN" w:bidi="ar"/>
              </w:rPr>
              <w:t>（B）包</w:t>
            </w:r>
          </w:p>
        </w:tc>
        <w:tc>
          <w:tcPr>
            <w:tcW w:w="5244" w:type="dxa"/>
            <w:vAlign w:val="center"/>
          </w:tcPr>
          <w:p>
            <w:pPr>
              <w:keepNext w:val="0"/>
              <w:keepLines w:val="0"/>
              <w:widowControl/>
              <w:suppressLineNumbers w:val="0"/>
              <w:jc w:val="left"/>
              <w:textAlignment w:val="center"/>
              <w:rPr>
                <w:rFonts w:hint="eastAsia" w:ascii="宋体" w:hAnsi="宋体" w:eastAsia="宋体" w:cs="宋体"/>
                <w:b w:val="0"/>
                <w:color w:val="auto"/>
                <w:sz w:val="24"/>
                <w:szCs w:val="24"/>
                <w:vertAlign w:val="baseline"/>
              </w:rPr>
            </w:pPr>
            <w:r>
              <w:rPr>
                <w:rFonts w:hint="eastAsia" w:ascii="宋体" w:hAnsi="宋体" w:eastAsia="宋体" w:cs="宋体"/>
                <w:i w:val="0"/>
                <w:color w:val="auto"/>
                <w:kern w:val="0"/>
                <w:sz w:val="24"/>
                <w:szCs w:val="24"/>
                <w:u w:val="none"/>
                <w:lang w:val="en-US" w:eastAsia="zh-CN" w:bidi="ar"/>
              </w:rPr>
              <w:t>东河镇、大田镇、感城镇、板桥镇、新龙镇行政区范围内城镇部分及A包以外的农林场调查（东方市高坡岭水库、海南省东方盐场、岛西林场、八七一电台、南港农场、陀兴水库指挥部、坡鹿场保护区、北沟农场等,具体工作量以最新年度变更调查村级调查区名称结合海南省人口数据起底式大清查房屋调查工作指挥系统房屋数量解译参考数据确定）。</w:t>
            </w:r>
          </w:p>
        </w:tc>
        <w:tc>
          <w:tcPr>
            <w:tcW w:w="1560" w:type="dxa"/>
            <w:vAlign w:val="center"/>
          </w:tcPr>
          <w:p>
            <w:pPr>
              <w:keepNext w:val="0"/>
              <w:keepLines w:val="0"/>
              <w:widowControl/>
              <w:suppressLineNumbers w:val="0"/>
              <w:jc w:val="center"/>
              <w:textAlignment w:val="center"/>
              <w:rPr>
                <w:rFonts w:hint="eastAsia" w:ascii="宋体" w:hAnsi="宋体" w:eastAsia="宋体" w:cs="宋体"/>
                <w:b w:val="0"/>
                <w:color w:val="auto"/>
                <w:sz w:val="24"/>
                <w:szCs w:val="24"/>
                <w:vertAlign w:val="baseline"/>
              </w:rPr>
            </w:pPr>
            <w:r>
              <w:rPr>
                <w:rFonts w:hint="eastAsia" w:ascii="宋体" w:hAnsi="宋体" w:eastAsia="宋体" w:cs="宋体"/>
                <w:i w:val="0"/>
                <w:color w:val="auto"/>
                <w:kern w:val="0"/>
                <w:sz w:val="24"/>
                <w:szCs w:val="24"/>
                <w:u w:val="none"/>
                <w:lang w:val="en-US" w:eastAsia="zh-CN" w:bidi="ar"/>
              </w:rPr>
              <w:t>24094</w:t>
            </w:r>
          </w:p>
        </w:tc>
        <w:tc>
          <w:tcPr>
            <w:tcW w:w="1308" w:type="dxa"/>
            <w:vAlign w:val="center"/>
          </w:tcPr>
          <w:p>
            <w:pPr>
              <w:keepNext w:val="0"/>
              <w:keepLines w:val="0"/>
              <w:widowControl/>
              <w:suppressLineNumbers w:val="0"/>
              <w:jc w:val="center"/>
              <w:textAlignment w:val="center"/>
              <w:rPr>
                <w:rFonts w:hint="eastAsia" w:ascii="宋体" w:hAnsi="宋体" w:eastAsia="宋体" w:cs="宋体"/>
                <w:b w:val="0"/>
                <w:color w:val="auto"/>
                <w:sz w:val="24"/>
                <w:szCs w:val="24"/>
                <w:vertAlign w:val="baseline"/>
              </w:rPr>
            </w:pPr>
            <w:r>
              <w:rPr>
                <w:rFonts w:hint="eastAsia" w:ascii="宋体" w:hAnsi="宋体" w:eastAsia="宋体" w:cs="宋体"/>
                <w:i w:val="0"/>
                <w:color w:val="auto"/>
                <w:kern w:val="0"/>
                <w:sz w:val="24"/>
                <w:szCs w:val="24"/>
                <w:u w:val="none"/>
                <w:lang w:val="en-US" w:eastAsia="zh-CN" w:bidi="ar"/>
              </w:rPr>
              <w:t>72282</w:t>
            </w:r>
          </w:p>
        </w:tc>
      </w:tr>
    </w:tbl>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三、工作内容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 xml:space="preserve">（一）房屋信息调查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 xml:space="preserve">1.补充采集楼幢信息。包括采集楼幢编号、建成时间、坐落地址、基底地理空间位置、楼幢现状照片、总层数、每层户数、基底面积、是否有电梯等数据。（注：地理空间位置指2000 经纬度坐标，即国家大地坐标系-球面坐标的房屋位置信息)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 xml:space="preserve">2.建立楼幢楼盘表。通过实地采集工作，建立楼幢数据主体(楼幢唯一编号)和其对应的楼盘表。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 xml:space="preserve">3.采集房屋信息。包括房号、户型、面积、所在楼层、层高、朝向、房屋性质等数据。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 xml:space="preserve">4.采集权利人信息。包括权利人姓名、国籍、证件类型、证件号、出生年月、性别以及共有性质、共有比例等数据。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5.采集小区物业信息。包括小区的名称与地理位置信息，商品住宅小区需要另采集物业单位名称、联系电话等物业管理相关信息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（二）与省大数据管理局进行数据汇交对接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定期汇总我市房屋调查过程中产生的未登记发证房屋调查成果数据，并推送到省大数据管理局。如推送的数据不满足本次调查要求的，及时补充完善相关信息后重新推送。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（三）实施步骤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利用信息化手段，采用社会化采集和自主采集相结合的方式，在技术队伍调查完楼幢信息基础上，全面发动基层工作人员、志愿者等作为引导员，引导居民自助下载房屋调查 APP 或利用支付宝小程序，在线自主填报个人房屋信息，完成未发证房屋的基础信息采集，并推送到省大数据管理局。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（四）实施阶段</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1.预估未发证房屋的数量。通过分析现有房屋数据和调查 APP 中的已登记房屋调查成果数据，预估未发证（含已发证但数 据不完整）房屋的数量。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2.采集未发证房屋的楼幢空间矢量数据。调查技术队伍前往房屋所在地，通过房屋调查 APP 采集小区、楼幢的空间位置信息，生成所调查楼幢全省唯一编号。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3.制作楼幢海报。调查技术队伍根据每幢楼全省唯一编号，所在社区、所在网格、负责调查技术人员等对应信息，制作该楼幢专用二维码填报海报，并粘贴在该楼幢进出口的明显位置。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4.建立楼盘表。调查技术队伍通过房屋调查 APP 采集楼幢的楼层数、各层分户数等信息，建立该楼幢的楼盘表索引，形成楼幢楼盘表初步调查成果。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5.采集楼幢信息。调查技术队伍通过房屋调查 APP 补充采集房屋所在楼幢，形成楼幢调查数据成果。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6.采集小区物业信息。调查技术队伍利用我市物业管理数据（市住建局提供）进行现场核实，对符合的利用房屋调查 APP 直接录入，对新增或改变的通过房屋调查 APP采集小区物业信息，形成小区物业调查数据成果。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7.采集影像数据。调查技术队伍通过 APP 采集房屋所在小区 大门照片、小区门牌号照片、所在楼幢现状照片、所在楼幢门牌照片、房屋门牌照片等影像数据，形成该房屋对应的影像调查成果。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8.引导群众填报。按照属地管理，乡镇（企业）、社区分级 负责原则，由各（乡）镇政府及垦区、华侨经济区发动基层工作人员、志愿者等组成引导员，引导发动辖区内房屋权利人通过扫 描楼幢二维码，下载房屋调查 APP，实名认证，激活房屋并填报 房屋和权利人相关字段信息，完善房屋信息，形成完善的楼盘表 数据成果、房屋调查数据成果和权利人调查数据成果。基层单位或网格员可通过房屋调查 APP 权限查看辖区内填报情况，可及时未填报的房屋并督促权利人填报。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9．群众填报信息确认。调查技术队伍对辖区内群众填报信息进行二次审核，对于存在明显错误的信息予以撤回，对于填报完整的数据予以确认提交。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10．组建咨询服务工作组。组建咨询服务工作组，设置咨询服务热线，接收并处理群众咨询，做好群众咨询服务工作。在楼幢二维码引导海报上应设置调查人员、基层人员联系方式和咨询 服务热线。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11．成果数据质检。委托具有相关资质单位采用抽查的方式，抽取不少于 5％的房屋调查成果数据进行实地核验，形成房屋调 查成果抽查记录。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12．数据汇交对接。定期汇总经确认的调查成果数据，并推送到省大数据管理局。</w:t>
      </w:r>
      <w:r>
        <w:rPr>
          <w:rFonts w:hint="eastAsia"/>
          <w:color w:val="auto"/>
          <w:sz w:val="24"/>
        </w:rPr>
        <w:t>如推送的数据不满足本次调查要求的，及时补充完善相关信息后重新推送。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四、提交成果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将最终形成的房屋调查成果数据汇总提交到省资规厅，包括如下内容：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1.属性数据成果：楼幢属性数据表、楼盘表、房屋属性数据表、权利人属性数据表。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2.矢量数据成果：房屋位置矢量数据库、小区位置矢量数据库。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 xml:space="preserve">3.影像数据成果：楼幢照片库、房屋照片库、权利人证件照 片库等图片成果库。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4.数据库成果：东方市未发证房屋调查成果数据库（实时推送到至省大数据管理局）。</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5.文字报告类成果：技术设计书、数据质检报告、工作总结报告。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五、工期要求</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合同签订之日起6个月内完成。根据省厅相关文件规定的时间完成项目质量抽查、验收和提交成果，遇到特殊情况，服务期可适当延长。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六、付款方式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val="0"/>
          <w:color w:val="auto"/>
          <w:sz w:val="24"/>
          <w:szCs w:val="24"/>
          <w:lang w:val="en-US" w:eastAsia="zh-CN"/>
        </w:rPr>
        <w:t>双方协商。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七、检查验收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1.供应商应当确保所提供的技术服务及工作成果（包括但不限于数据资料、计算公式、测试方法、软件、报表等）不得侵犯第三方的知识产权和其他合法权益。</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2.供应商应当根据国家有关规范、规程和本项目工作内容要求，按合同工期完成项目工作，并负责成果资料的补充、修改完善及成果资料汇总。供应商应对服务过程和成果的合法性、实用性和时效性负责。</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val="0"/>
          <w:color w:val="auto"/>
          <w:sz w:val="24"/>
          <w:szCs w:val="24"/>
          <w:lang w:val="en-US" w:eastAsia="zh-CN"/>
        </w:rPr>
        <w:t>3.采购人根据工作要求组织项目验收，中标人应按照相关要求配合。以确保成果的完整性、规范性、真实性和准确性。</w:t>
      </w:r>
    </w:p>
    <w:sectPr>
      <w:pgSz w:w="11900" w:h="16838"/>
      <w:pgMar w:top="1400" w:right="926" w:bottom="884" w:left="1440" w:header="0" w:footer="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lZTJlYWZiMzZkMGM2NDgwODgwNDcwMjg2NzYzZDcifQ=="/>
  </w:docVars>
  <w:rsids>
    <w:rsidRoot w:val="71EF4714"/>
    <w:rsid w:val="0B91396C"/>
    <w:rsid w:val="0FBB3693"/>
    <w:rsid w:val="116B17D7"/>
    <w:rsid w:val="13420038"/>
    <w:rsid w:val="24F2726F"/>
    <w:rsid w:val="36A15E85"/>
    <w:rsid w:val="4C6421D9"/>
    <w:rsid w:val="509262B8"/>
    <w:rsid w:val="57572A23"/>
    <w:rsid w:val="5FA24B6A"/>
    <w:rsid w:val="60CF0067"/>
    <w:rsid w:val="68995F17"/>
    <w:rsid w:val="6A783053"/>
    <w:rsid w:val="6D3852B8"/>
    <w:rsid w:val="6DC774D2"/>
    <w:rsid w:val="71EF4714"/>
    <w:rsid w:val="785E7641"/>
    <w:rsid w:val="7ABA4D80"/>
    <w:rsid w:val="7E8F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100" w:beforeAutospacing="1" w:after="100" w:afterAutospacing="1" w:line="360" w:lineRule="auto"/>
      <w:outlineLvl w:val="1"/>
    </w:pPr>
    <w:rPr>
      <w:rFonts w:ascii="Arial" w:hAnsi="Arial" w:eastAsia="黑体"/>
      <w:b/>
      <w:bCs/>
      <w:sz w:val="36"/>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caption"/>
    <w:basedOn w:val="1"/>
    <w:next w:val="1"/>
    <w:qFormat/>
    <w:uiPriority w:val="0"/>
    <w:rPr>
      <w:rFonts w:ascii="Arial" w:hAnsi="Arial" w:eastAsia="黑体"/>
      <w:sz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3120</Words>
  <Characters>3215</Characters>
  <Lines>0</Lines>
  <Paragraphs>0</Paragraphs>
  <TotalTime>0</TotalTime>
  <ScaleCrop>false</ScaleCrop>
  <LinksUpToDate>false</LinksUpToDate>
  <CharactersWithSpaces>3276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2023-03-23T02:33:00Z</dcterms:created>
  <dc:creator>陈大玲i</dc:creator>
  <cp:lastModifiedBy>陈大玲i</cp:lastModifiedBy>
  <dcterms:modified xsi:type="dcterms:W3CDTF">2023-03-27T07:52:55Z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49CA660DD2E24093BA68D453710F76DE</vt:lpwstr>
  </property>
</Properties>
</file>