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白沙黎族自治县牙叉镇城市更新项目（一期）金沙南路片区（县民族中学）及金沙西路片区（金沙西路70号）咨询服务项目</w:t>
      </w:r>
      <w:r>
        <w:rPr>
          <w:rFonts w:hint="eastAsia"/>
          <w:b/>
          <w:sz w:val="28"/>
          <w:szCs w:val="28"/>
        </w:rPr>
        <w:t>采购需求</w:t>
      </w:r>
    </w:p>
    <w:p>
      <w:pPr>
        <w:jc w:val="center"/>
        <w:rPr>
          <w:rFonts w:asciiTheme="majorEastAsia" w:hAnsiTheme="majorEastAsia" w:eastAsiaTheme="majorEastAsia"/>
          <w:b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一、项目概况：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1、项目名称：</w:t>
      </w:r>
      <w:r>
        <w:rPr>
          <w:rFonts w:hint="eastAsia" w:ascii="宋体" w:hAnsi="宋体"/>
          <w:szCs w:val="21"/>
          <w:lang w:eastAsia="zh-CN"/>
        </w:rPr>
        <w:t>白沙黎族自治县牙叉镇城市更新项目（一期）金沙南路片区（县民族中学）及金沙西路片区（金沙西路70号）咨询服务项目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2、项目编号：</w:t>
      </w:r>
      <w:r>
        <w:rPr>
          <w:rFonts w:hint="eastAsia" w:ascii="宋体" w:hAnsi="宋体"/>
          <w:szCs w:val="21"/>
          <w:highlight w:val="yellow"/>
          <w:lang w:eastAsia="zh-CN"/>
        </w:rPr>
        <w:t>FJY-CG2023-017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414" w:leftChars="197" w:firstLine="102" w:firstLineChars="49"/>
        <w:jc w:val="left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/>
          <w:szCs w:val="21"/>
        </w:rPr>
        <w:t>3、采购方式：</w:t>
      </w:r>
      <w:r>
        <w:rPr>
          <w:rFonts w:hint="eastAsia" w:ascii="宋体" w:hAnsi="宋体"/>
          <w:szCs w:val="21"/>
          <w:highlight w:val="yellow"/>
          <w:lang w:val="en-US" w:eastAsia="zh-CN"/>
        </w:rPr>
        <w:t>竞争性磋商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4、预算金额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¥643899.00</w:t>
      </w:r>
      <w:r>
        <w:rPr>
          <w:rFonts w:hint="eastAsia" w:ascii="宋体" w:hAnsi="宋体"/>
          <w:szCs w:val="21"/>
        </w:rPr>
        <w:t>元。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5、最高限价：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¥643899.00</w:t>
      </w:r>
      <w:r>
        <w:rPr>
          <w:rFonts w:hint="eastAsia" w:ascii="宋体" w:hAnsi="宋体"/>
          <w:szCs w:val="21"/>
        </w:rPr>
        <w:t>元；超过最高限价的投标报价无效。 </w:t>
      </w:r>
    </w:p>
    <w:p>
      <w:pPr>
        <w:spacing w:line="360" w:lineRule="auto"/>
        <w:ind w:left="414" w:leftChars="197" w:firstLine="102" w:firstLineChars="49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6、</w:t>
      </w:r>
      <w:r>
        <w:rPr>
          <w:rFonts w:hint="eastAsia" w:ascii="宋体" w:hAnsi="宋体"/>
          <w:szCs w:val="21"/>
          <w:lang w:eastAsia="zh-CN"/>
        </w:rPr>
        <w:t>合同履行</w:t>
      </w:r>
      <w:r>
        <w:rPr>
          <w:rFonts w:hint="eastAsia" w:ascii="宋体" w:hAnsi="宋体"/>
          <w:szCs w:val="21"/>
        </w:rPr>
        <w:t>期限</w:t>
      </w:r>
      <w:r>
        <w:rPr>
          <w:rFonts w:hint="eastAsia" w:ascii="宋体" w:hAnsi="宋体"/>
          <w:szCs w:val="21"/>
          <w:lang w:eastAsia="zh-CN"/>
        </w:rPr>
        <w:t>（或服务期）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highlight w:val="yellow"/>
        </w:rPr>
        <w:t>365</w:t>
      </w:r>
      <w:r>
        <w:rPr>
          <w:rFonts w:hint="eastAsia" w:ascii="宋体" w:hAnsi="宋体"/>
          <w:szCs w:val="21"/>
        </w:rPr>
        <w:t>天。</w:t>
      </w:r>
    </w:p>
    <w:p>
      <w:pPr>
        <w:spacing w:line="360" w:lineRule="auto"/>
        <w:ind w:left="414" w:leftChars="197" w:firstLine="102" w:firstLineChars="49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7、服务质量要求：合格。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="宋体" w:hAnsi="宋体"/>
          <w:b/>
          <w:szCs w:val="21"/>
        </w:rPr>
        <w:t>二、项目基本情况</w:t>
      </w:r>
      <w:r>
        <w:rPr>
          <w:rFonts w:hint="eastAsia" w:ascii="宋体" w:hAnsi="宋体"/>
          <w:b/>
          <w:szCs w:val="21"/>
          <w:lang w:val="en-US" w:eastAsia="zh-CN"/>
        </w:rPr>
        <w:t>及</w:t>
      </w:r>
      <w:r>
        <w:rPr>
          <w:rFonts w:hint="eastAsia" w:asciiTheme="majorEastAsia" w:hAnsiTheme="majorEastAsia" w:eastAsiaTheme="majorEastAsia"/>
          <w:b/>
          <w:szCs w:val="21"/>
        </w:rPr>
        <w:t>服务内容</w:t>
      </w:r>
      <w:r>
        <w:rPr>
          <w:rFonts w:hint="eastAsia" w:asciiTheme="majorEastAsia" w:hAnsiTheme="majorEastAsia" w:eastAsiaTheme="majorEastAsia"/>
          <w:szCs w:val="21"/>
        </w:rPr>
        <w:t>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="宋体" w:hAnsi="宋体"/>
          <w:szCs w:val="21"/>
          <w:lang w:eastAsia="zh-CN"/>
        </w:rPr>
        <w:t>白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沙黎族自治县牙叉镇城市更新项目（一期）金沙南路片区（县民族中学）及金沙西路片区</w:t>
      </w:r>
      <w:r>
        <w:rPr>
          <w:rFonts w:hint="eastAsia" w:eastAsia="宋体" w:asciiTheme="majorEastAsia" w:hAnsiTheme="majorEastAsia"/>
          <w:szCs w:val="21"/>
          <w:lang w:eastAsia="zh-CN"/>
        </w:rPr>
        <w:t>包括金沙南路片区（县民族中学）及金沙西路片区（金沙西路70号）。</w:t>
      </w:r>
      <w:r>
        <w:rPr>
          <w:rFonts w:hint="eastAsia" w:asciiTheme="majorEastAsia" w:hAnsiTheme="majorEastAsia" w:eastAsiaTheme="majorEastAsia"/>
          <w:szCs w:val="21"/>
        </w:rPr>
        <w:t>咨询服务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内容</w:t>
      </w:r>
      <w:r>
        <w:rPr>
          <w:rFonts w:hint="eastAsia" w:asciiTheme="majorEastAsia" w:hAnsiTheme="majorEastAsia" w:eastAsiaTheme="majorEastAsia"/>
          <w:szCs w:val="21"/>
        </w:rPr>
        <w:t>主要包括：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城市更新办法和相关政策的起草、</w:t>
      </w:r>
      <w:r>
        <w:rPr>
          <w:rFonts w:hint="eastAsia" w:asciiTheme="majorEastAsia" w:hAnsiTheme="majorEastAsia" w:eastAsiaTheme="majorEastAsia"/>
          <w:szCs w:val="21"/>
          <w:lang w:eastAsia="zh-CN"/>
        </w:rPr>
        <w:t>征收前期手续、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协助</w:t>
      </w:r>
      <w:r>
        <w:rPr>
          <w:rFonts w:hint="eastAsia" w:asciiTheme="majorEastAsia" w:hAnsiTheme="majorEastAsia" w:eastAsiaTheme="majorEastAsia"/>
          <w:szCs w:val="21"/>
          <w:lang w:eastAsia="zh-CN"/>
        </w:rPr>
        <w:t>房屋产权调查、征收民生调查、编制征收方案、编制征收预算、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协助</w:t>
      </w:r>
      <w:r>
        <w:rPr>
          <w:rFonts w:hint="eastAsia" w:asciiTheme="majorEastAsia" w:hAnsiTheme="majorEastAsia" w:eastAsiaTheme="majorEastAsia"/>
          <w:szCs w:val="21"/>
          <w:lang w:eastAsia="zh-CN"/>
        </w:rPr>
        <w:t>征收决定发布及宣传、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产权登记确认、</w:t>
      </w:r>
      <w:r>
        <w:rPr>
          <w:rFonts w:hint="eastAsia" w:asciiTheme="majorEastAsia" w:hAnsiTheme="majorEastAsia" w:eastAsiaTheme="majorEastAsia"/>
          <w:szCs w:val="21"/>
          <w:lang w:eastAsia="zh-CN"/>
        </w:rPr>
        <w:t>核算补偿数额、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协调有关部门、</w:t>
      </w:r>
      <w:r>
        <w:rPr>
          <w:rFonts w:hint="eastAsia" w:asciiTheme="majorEastAsia" w:hAnsiTheme="majorEastAsia" w:eastAsiaTheme="majorEastAsia"/>
          <w:szCs w:val="21"/>
          <w:lang w:eastAsia="zh-CN"/>
        </w:rPr>
        <w:t>动迁签订协议、兑付征收补偿、房屋拆除监督、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协助</w:t>
      </w:r>
      <w:r>
        <w:rPr>
          <w:rFonts w:hint="eastAsia" w:asciiTheme="majorEastAsia" w:hAnsiTheme="majorEastAsia" w:eastAsiaTheme="majorEastAsia"/>
          <w:szCs w:val="21"/>
          <w:lang w:eastAsia="zh-CN"/>
        </w:rPr>
        <w:t>处置上访信访、协助解决征收纠纷、征收诉讼、整理征收档案、提出办结报告。</w:t>
      </w:r>
    </w:p>
    <w:tbl>
      <w:tblPr>
        <w:tblStyle w:val="4"/>
        <w:tblW w:w="499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947"/>
        <w:gridCol w:w="7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 目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   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城市更新办法与相关政策的起草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对城市更新相关的办法、政策的起草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征收前期手续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办理和完善征收调查手续，签订委托协议，申报征收管理部门批准实施调查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房屋产权调查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协助发布调查通告，对房屋、土地及附属物丈量、清点；按单位、个人、房屋结构、附属物、房屋性质等统计造表提交评估公司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征收民生调查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房屋结构、用途、家庭成员、收入、选择补偿方式等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编制征收方案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根据征收规定提出补偿方法、征收计划和工作步骤，相关问题的解决方案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编制征收预算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根据征收方案和征收有关规定编制征收补偿经费预算，方案、预算送审报批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协助发布征收决定及宣传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根据征收规定协助发布征收决定、宣传征收政策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协助产权登记确认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核对证件，登记建档，向国土、规划、房产等部门核查档案，协助进行产权认定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核算补偿数额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依方案计算出每个被征收人的补偿结果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协调有关部门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协调县相关部门及镇、街道（乡镇）、居委配合、支持开展征收工作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动迁签订协议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舆论宣传，开动员会，讲解政策，计算各项补偿，协助签订征收补偿安置协议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兑付征收补偿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核对补偿金额、受补偿人，协助按协议兑付补偿款和安置房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房屋拆除监督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督促按时搬迁、文明安全施工、无事故、不扰民、保护环境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协助解决上访信访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热情接待，耐心解释，配合县政府、征收单位进行疏导，并将处理结果及时上报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协助解决征收纠纷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协调各单位及时解决在征收过程中的各种纠纷问题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征收诉讼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提供诉讼资料和后勤保障，配合强制征收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整理征收档案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按档案管理规范整理资料，逐户建档，及时送业主单位存档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提出办结报告</w:t>
            </w:r>
          </w:p>
        </w:tc>
        <w:tc>
          <w:tcPr>
            <w:tcW w:w="3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按规范格式、内容总结本项目征收工作，及时上报办结报告</w:t>
            </w:r>
          </w:p>
        </w:tc>
      </w:tr>
    </w:tbl>
    <w:p>
      <w:pPr>
        <w:spacing w:line="360" w:lineRule="auto"/>
        <w:jc w:val="left"/>
        <w:rPr>
          <w:rFonts w:hint="eastAsia" w:asciiTheme="majorEastAsia" w:hAnsiTheme="majorEastAsia" w:eastAsiaTheme="majorEastAsia"/>
          <w:szCs w:val="21"/>
          <w:lang w:eastAsia="zh-CN"/>
        </w:rPr>
      </w:pPr>
    </w:p>
    <w:sectPr>
      <w:pgSz w:w="11906" w:h="16838"/>
      <w:pgMar w:top="1043" w:right="1080" w:bottom="1043" w:left="1080" w:header="737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jNiODEyZjZiNTA2YTNlNDEzYmZlZGQwNzM0NmQifQ=="/>
  </w:docVars>
  <w:rsids>
    <w:rsidRoot w:val="00951F41"/>
    <w:rsid w:val="00062F77"/>
    <w:rsid w:val="000B7CCE"/>
    <w:rsid w:val="00155F9A"/>
    <w:rsid w:val="00191624"/>
    <w:rsid w:val="00193C86"/>
    <w:rsid w:val="001D223F"/>
    <w:rsid w:val="0029280F"/>
    <w:rsid w:val="0044785B"/>
    <w:rsid w:val="007D4505"/>
    <w:rsid w:val="008971FF"/>
    <w:rsid w:val="00951F41"/>
    <w:rsid w:val="00BC7119"/>
    <w:rsid w:val="00C06C9E"/>
    <w:rsid w:val="00D32A47"/>
    <w:rsid w:val="00DE1E98"/>
    <w:rsid w:val="00F05271"/>
    <w:rsid w:val="025A20D6"/>
    <w:rsid w:val="09124217"/>
    <w:rsid w:val="152359C3"/>
    <w:rsid w:val="16107B48"/>
    <w:rsid w:val="16A45904"/>
    <w:rsid w:val="20F94426"/>
    <w:rsid w:val="2DF055EB"/>
    <w:rsid w:val="32706B5F"/>
    <w:rsid w:val="329451A2"/>
    <w:rsid w:val="37DD7A70"/>
    <w:rsid w:val="3AC814E5"/>
    <w:rsid w:val="40927B97"/>
    <w:rsid w:val="4682286C"/>
    <w:rsid w:val="46AA2AD9"/>
    <w:rsid w:val="4DC4703C"/>
    <w:rsid w:val="55F017F7"/>
    <w:rsid w:val="65A81659"/>
    <w:rsid w:val="6A1B4A26"/>
    <w:rsid w:val="6A894C2A"/>
    <w:rsid w:val="6CD47863"/>
    <w:rsid w:val="7990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1072</Words>
  <Characters>1134</Characters>
  <Lines>9</Lines>
  <Paragraphs>2</Paragraphs>
  <TotalTime>3</TotalTime>
  <ScaleCrop>false</ScaleCrop>
  <LinksUpToDate>false</LinksUpToDate>
  <CharactersWithSpaces>1146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2021-02-19T03:15:00Z</dcterms:created>
  <dc:creator>admin</dc:creator>
  <cp:lastModifiedBy>Administrator</cp:lastModifiedBy>
  <dcterms:modified xsi:type="dcterms:W3CDTF">2023-07-20T08:24:10Z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F2F09B8D42F04C86929D5E494FA39725_13</vt:lpwstr>
  </property>
</Properties>
</file>