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FB" w:rsidRPr="00851EFB" w:rsidRDefault="00851EFB" w:rsidP="00851EFB">
      <w:pPr>
        <w:snapToGrid w:val="0"/>
        <w:spacing w:line="500" w:lineRule="exact"/>
        <w:ind w:left="420" w:firstLineChars="200" w:firstLine="602"/>
        <w:jc w:val="center"/>
        <w:outlineLvl w:val="0"/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Toc35856325"/>
      <w:bookmarkStart w:id="1" w:name="_Toc35856196"/>
      <w:bookmarkStart w:id="2" w:name="_Toc25697304"/>
      <w:bookmarkStart w:id="3" w:name="_Toc48044736"/>
      <w:r w:rsidRPr="00851EFB"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第三章</w:t>
      </w:r>
      <w:r w:rsidRPr="00851EFB">
        <w:rPr>
          <w:rFonts w:ascii="黑体" w:eastAsia="黑体" w:hAnsi="黑体" w:cs="黑体"/>
          <w:b/>
          <w:bCs/>
          <w:color w:val="000000"/>
          <w:sz w:val="30"/>
          <w:szCs w:val="30"/>
        </w:rPr>
        <w:t xml:space="preserve"> </w:t>
      </w:r>
      <w:r w:rsidRPr="00851EFB">
        <w:rPr>
          <w:rFonts w:ascii="黑体" w:eastAsia="黑体" w:hAnsi="黑体" w:cs="黑体" w:hint="eastAsia"/>
          <w:b/>
          <w:color w:val="000000"/>
          <w:sz w:val="32"/>
          <w:szCs w:val="32"/>
        </w:rPr>
        <w:t>采购需求</w:t>
      </w:r>
      <w:bookmarkEnd w:id="0"/>
      <w:bookmarkEnd w:id="1"/>
      <w:bookmarkEnd w:id="2"/>
      <w:bookmarkEnd w:id="3"/>
    </w:p>
    <w:p w:rsidR="00851EFB" w:rsidRPr="00851EFB" w:rsidRDefault="00851EFB" w:rsidP="00851EFB">
      <w:pPr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</w:p>
    <w:p w:rsidR="00851EFB" w:rsidRPr="00851EFB" w:rsidRDefault="00851EFB" w:rsidP="00851EFB">
      <w:pPr>
        <w:keepNext/>
        <w:keepLines/>
        <w:numPr>
          <w:ilvl w:val="0"/>
          <w:numId w:val="1"/>
        </w:numPr>
        <w:spacing w:before="260" w:after="260" w:line="416" w:lineRule="auto"/>
        <w:outlineLvl w:val="1"/>
        <w:rPr>
          <w:rFonts w:ascii="仿宋" w:eastAsia="仿宋" w:hAnsi="仿宋" w:cs="Times New Roman"/>
          <w:b/>
          <w:bCs/>
          <w:color w:val="000000"/>
          <w:sz w:val="30"/>
          <w:szCs w:val="32"/>
        </w:rPr>
      </w:pPr>
      <w:r w:rsidRPr="00851EFB">
        <w:rPr>
          <w:rFonts w:ascii="仿宋" w:eastAsia="仿宋" w:hAnsi="仿宋" w:cs="Times New Roman" w:hint="eastAsia"/>
          <w:b/>
          <w:bCs/>
          <w:color w:val="000000"/>
          <w:sz w:val="30"/>
          <w:szCs w:val="32"/>
        </w:rPr>
        <w:t>项目概况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潭门，作为南海战略“桥头堡”、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“祖宗海”守护之门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，是远洋后勤补给基地和深海渔货集散地，也是海南岛通往南海诸岛最近的港口之一。同时成为我国促进世界政商文化交流、链接“琼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-万”东部城镇组群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、并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与海口经济圈协同联动发展的重要窗口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作为我国第一批特色小镇，潭门也是海南环岛生态蓝环上发展国际商务度假游、高端医疗康养游的全域旅游示范镇。与博鳌亚洲论坛、乐城医疗特区合力共筑琼东战略“金三角”发展格局，完备旅游消费服务配给，打造“东方达沃斯”。并以渔港古村、椰风海岸、国博文化极核，共构环岛旅游公路新地标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未来规划需明确国家最新发展要求，对潭门渔港未来发展愿景与目标定位需整体把握，编制高水准发展整体蓝图，构建一河两岸发展共识，制定符合发展导向的近期行动措施及时序。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 xml:space="preserve"> </w:t>
      </w:r>
    </w:p>
    <w:p w:rsidR="00851EFB" w:rsidRPr="00851EFB" w:rsidRDefault="00851EFB" w:rsidP="00851EFB">
      <w:pPr>
        <w:keepNext/>
        <w:keepLines/>
        <w:numPr>
          <w:ilvl w:val="0"/>
          <w:numId w:val="1"/>
        </w:numPr>
        <w:spacing w:before="260" w:after="260" w:line="416" w:lineRule="auto"/>
        <w:outlineLvl w:val="1"/>
        <w:rPr>
          <w:rFonts w:ascii="仿宋" w:eastAsia="仿宋" w:hAnsi="仿宋" w:cs="Times New Roman"/>
          <w:b/>
          <w:bCs/>
          <w:color w:val="000000"/>
          <w:sz w:val="30"/>
          <w:szCs w:val="32"/>
        </w:rPr>
      </w:pPr>
      <w:r w:rsidRPr="00851EFB">
        <w:rPr>
          <w:rFonts w:ascii="仿宋" w:eastAsia="仿宋" w:hAnsi="仿宋" w:cs="Times New Roman" w:hint="eastAsia"/>
          <w:b/>
          <w:bCs/>
          <w:color w:val="000000"/>
          <w:sz w:val="30"/>
          <w:szCs w:val="32"/>
        </w:rPr>
        <w:t>服务内容</w:t>
      </w:r>
    </w:p>
    <w:p w:rsidR="00851EFB" w:rsidRPr="00851EFB" w:rsidRDefault="00851EFB" w:rsidP="00851EFB">
      <w:pPr>
        <w:keepNext/>
        <w:keepLines/>
        <w:numPr>
          <w:ilvl w:val="0"/>
          <w:numId w:val="2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 w:hint="eastAsia"/>
          <w:b/>
          <w:bCs/>
          <w:color w:val="000000"/>
          <w:sz w:val="24"/>
          <w:szCs w:val="32"/>
        </w:rPr>
        <w:t>设计范围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城市设计范围分陆域和海域两部分，陆域范围约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2.6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平方公里，海域约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0.6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平方公里。规划范围南至博物馆路，西至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342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县道，北至滨海大道，东至海岸线外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500-1000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米。主要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以富港街、排港村滨水界面作为重点设计区域。</w:t>
      </w:r>
    </w:p>
    <w:p w:rsidR="00851EFB" w:rsidRPr="00851EFB" w:rsidRDefault="00851EFB" w:rsidP="00851EFB">
      <w:pPr>
        <w:keepNext/>
        <w:keepLines/>
        <w:numPr>
          <w:ilvl w:val="0"/>
          <w:numId w:val="2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 w:hint="eastAsia"/>
          <w:b/>
          <w:bCs/>
          <w:color w:val="000000"/>
          <w:sz w:val="24"/>
          <w:szCs w:val="32"/>
        </w:rPr>
        <w:t>工作内容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1、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特色要素梳理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总结潭门自然要素、人文要素、区域特色特征等现状条件。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2、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功能完善与产业提振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对片区海陆功能、城镇功能、产业服务功能、生态功能等多元需求研究，明确地区功能构成。结合土地、空间资源的整合及功能置换，补充完善各级公共配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lastRenderedPageBreak/>
        <w:t>套服务设施。明晰产业发展体系、产业发展定位与提质升级方向，探索产业提振路径。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3、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公共空间及景观系统设计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基于河流、海洋、古村、城镇的空间资源条件，结合景观序列和系统设计，对公共空间环境、景观廊道、节点场所、绿道等进行设计安排。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4、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文化旅游节事活动策划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策划渔港节事活动，构筑渔文化全景展示路径。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5、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近期重点开发计划制定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明确近期重点建设范围，围绕核心问题，把握整体发展趋势和总体空间拓展框架，寻找近期亟需提升的核心要素，明确发展目标，提出实施运营机制建议。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6、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详细城市设计方案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基于各片区发展特征，对地区建筑组合形态进行设计，并对空间形态方案进行三维效果模拟。选取重点地段进行详细设计，对建筑改造提出概念设计层次的方案。</w:t>
      </w:r>
    </w:p>
    <w:p w:rsidR="00851EFB" w:rsidRPr="00851EFB" w:rsidRDefault="00851EFB" w:rsidP="00851EFB">
      <w:pPr>
        <w:keepNext/>
        <w:keepLines/>
        <w:numPr>
          <w:ilvl w:val="0"/>
          <w:numId w:val="1"/>
        </w:numPr>
        <w:spacing w:before="260" w:after="260" w:line="416" w:lineRule="auto"/>
        <w:outlineLvl w:val="1"/>
        <w:rPr>
          <w:rFonts w:ascii="仿宋" w:eastAsia="仿宋" w:hAnsi="仿宋" w:cs="Times New Roman"/>
          <w:b/>
          <w:bCs/>
          <w:color w:val="000000"/>
          <w:sz w:val="30"/>
          <w:szCs w:val="32"/>
        </w:rPr>
      </w:pPr>
      <w:r w:rsidRPr="00851EFB">
        <w:rPr>
          <w:rFonts w:ascii="仿宋" w:eastAsia="仿宋" w:hAnsi="仿宋" w:cs="Times New Roman" w:hint="eastAsia"/>
          <w:b/>
          <w:bCs/>
          <w:color w:val="000000"/>
          <w:sz w:val="30"/>
          <w:szCs w:val="32"/>
        </w:rPr>
        <w:t>商务要求</w:t>
      </w:r>
    </w:p>
    <w:p w:rsidR="00851EFB" w:rsidRPr="00851EFB" w:rsidRDefault="00851EFB" w:rsidP="00851EFB">
      <w:pPr>
        <w:keepNext/>
        <w:keepLines/>
        <w:numPr>
          <w:ilvl w:val="0"/>
          <w:numId w:val="3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/>
          <w:b/>
          <w:bCs/>
          <w:color w:val="000000"/>
          <w:sz w:val="24"/>
          <w:szCs w:val="32"/>
        </w:rPr>
        <w:t xml:space="preserve">合同履行期限： 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签订合同后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45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日历天内。</w:t>
      </w:r>
    </w:p>
    <w:p w:rsidR="00851EFB" w:rsidRPr="00851EFB" w:rsidRDefault="00851EFB" w:rsidP="00851EFB">
      <w:pPr>
        <w:keepNext/>
        <w:keepLines/>
        <w:numPr>
          <w:ilvl w:val="0"/>
          <w:numId w:val="3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/>
          <w:b/>
          <w:bCs/>
          <w:color w:val="000000"/>
          <w:sz w:val="24"/>
          <w:szCs w:val="32"/>
        </w:rPr>
        <w:t xml:space="preserve">项目实施地点： 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项目位于我国海南省琼海市潭门镇中心城区，距离琼海市区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23公里，东北距清澜37公里，南距博鳌8公里。水路距海口港113海里，至清澜渔港27海里，至新村港85海里。</w:t>
      </w:r>
    </w:p>
    <w:p w:rsidR="00851EFB" w:rsidRPr="00851EFB" w:rsidRDefault="00851EFB" w:rsidP="00851EFB">
      <w:pPr>
        <w:keepNext/>
        <w:keepLines/>
        <w:numPr>
          <w:ilvl w:val="0"/>
          <w:numId w:val="3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/>
          <w:b/>
          <w:bCs/>
          <w:color w:val="000000"/>
          <w:sz w:val="24"/>
          <w:szCs w:val="32"/>
        </w:rPr>
        <w:t>质量要求：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满足国家现行规范、招标文件要求和项目实际需要。</w:t>
      </w:r>
    </w:p>
    <w:p w:rsidR="00851EFB" w:rsidRPr="00851EFB" w:rsidRDefault="00851EFB" w:rsidP="00851EFB">
      <w:pPr>
        <w:keepNext/>
        <w:keepLines/>
        <w:numPr>
          <w:ilvl w:val="0"/>
          <w:numId w:val="3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/>
          <w:b/>
          <w:bCs/>
          <w:color w:val="000000"/>
          <w:sz w:val="24"/>
          <w:szCs w:val="32"/>
        </w:rPr>
        <w:t xml:space="preserve">验收方式： 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双方确定以下列标准和方式对中标人提供的技术服务进行验收，最终以合同签订为准；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lastRenderedPageBreak/>
        <w:t>1)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中标人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完成技术服务的形式:中标人交付设计成果。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2)技术服务成果的验收标准:成果方案达到相关技术标准，满足业主需求且通过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相关政府部门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审查。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3)技术服务成果的验收方式: 政府相关部门对设计方案进行评审验收。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4)验收时间和地点:根据项目进度安排，由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采购方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确定后另行通知。</w:t>
      </w:r>
    </w:p>
    <w:p w:rsidR="00851EFB" w:rsidRPr="00851EFB" w:rsidRDefault="00851EFB" w:rsidP="00851EFB">
      <w:pPr>
        <w:keepNext/>
        <w:keepLines/>
        <w:numPr>
          <w:ilvl w:val="0"/>
          <w:numId w:val="3"/>
        </w:numPr>
        <w:spacing w:before="120" w:after="120" w:line="416" w:lineRule="auto"/>
        <w:ind w:leftChars="100" w:left="570" w:rightChars="100" w:right="210"/>
        <w:outlineLvl w:val="2"/>
        <w:rPr>
          <w:rFonts w:ascii="仿宋" w:eastAsia="仿宋" w:hAnsi="仿宋" w:cs="Times New Roman"/>
          <w:b/>
          <w:bCs/>
          <w:color w:val="000000"/>
          <w:sz w:val="24"/>
          <w:szCs w:val="32"/>
        </w:rPr>
      </w:pPr>
      <w:r w:rsidRPr="00851EFB">
        <w:rPr>
          <w:rFonts w:ascii="仿宋" w:eastAsia="仿宋" w:hAnsi="仿宋" w:cs="Times New Roman"/>
          <w:b/>
          <w:bCs/>
          <w:color w:val="000000"/>
          <w:sz w:val="24"/>
          <w:szCs w:val="32"/>
        </w:rPr>
        <w:t>付款方式：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1）合同签定并生效后15个工作日内支付合同款的30%；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2）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城市设计阶段成果上报并完成通过相关主管部门评审程序后，支付合同款的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50%；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3）</w:t>
      </w:r>
      <w:r w:rsidRPr="00851EFB">
        <w:rPr>
          <w:rFonts w:ascii="仿宋" w:eastAsia="仿宋" w:hAnsi="仿宋" w:cs="仿宋" w:hint="eastAsia"/>
          <w:bCs/>
          <w:color w:val="000000"/>
          <w:sz w:val="24"/>
          <w:szCs w:val="24"/>
        </w:rPr>
        <w:t>通过规划委员会审议程序后，</w:t>
      </w: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支付合同款的20%；</w:t>
      </w:r>
    </w:p>
    <w:p w:rsidR="00851EFB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4）双方可委托银行代付代收有关费用。</w:t>
      </w:r>
    </w:p>
    <w:p w:rsidR="00294AA4" w:rsidRPr="00851EFB" w:rsidRDefault="00851EFB" w:rsidP="00851EFB">
      <w:pPr>
        <w:spacing w:line="360" w:lineRule="auto"/>
        <w:ind w:firstLineChars="200" w:firstLine="480"/>
        <w:rPr>
          <w:rFonts w:ascii="仿宋" w:eastAsia="仿宋" w:hAnsi="仿宋" w:cs="仿宋" w:hint="eastAsia"/>
          <w:bCs/>
          <w:color w:val="000000"/>
          <w:sz w:val="24"/>
          <w:szCs w:val="24"/>
        </w:rPr>
      </w:pPr>
      <w:r w:rsidRPr="00851EFB">
        <w:rPr>
          <w:rFonts w:ascii="仿宋" w:eastAsia="仿宋" w:hAnsi="仿宋" w:cs="仿宋"/>
          <w:bCs/>
          <w:color w:val="000000"/>
          <w:sz w:val="24"/>
          <w:szCs w:val="24"/>
        </w:rPr>
        <w:t>5）中标人在开具等额正式普通发票给采购人后，采购人将款项支付给中标人。</w:t>
      </w:r>
      <w:bookmarkStart w:id="4" w:name="_GoBack"/>
      <w:bookmarkEnd w:id="4"/>
    </w:p>
    <w:sectPr w:rsidR="00294AA4" w:rsidRPr="0085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FB" w:rsidRDefault="00851EFB" w:rsidP="00851EFB">
      <w:r>
        <w:separator/>
      </w:r>
    </w:p>
  </w:endnote>
  <w:endnote w:type="continuationSeparator" w:id="0">
    <w:p w:rsidR="00851EFB" w:rsidRDefault="00851EFB" w:rsidP="0085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FB" w:rsidRDefault="00851EFB" w:rsidP="00851EFB">
      <w:r>
        <w:separator/>
      </w:r>
    </w:p>
  </w:footnote>
  <w:footnote w:type="continuationSeparator" w:id="0">
    <w:p w:rsidR="00851EFB" w:rsidRDefault="00851EFB" w:rsidP="0085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62"/>
    <w:multiLevelType w:val="hybridMultilevel"/>
    <w:tmpl w:val="8700715E"/>
    <w:lvl w:ilvl="0" w:tplc="FFFFFFFF">
      <w:start w:val="1"/>
      <w:numFmt w:val="chineseCountingThousand"/>
      <w:lvlText w:val="(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021" w:hanging="440"/>
      </w:pPr>
    </w:lvl>
    <w:lvl w:ilvl="2" w:tplc="FFFFFFFF" w:tentative="1">
      <w:start w:val="1"/>
      <w:numFmt w:val="lowerRoman"/>
      <w:lvlText w:val="%3."/>
      <w:lvlJc w:val="right"/>
      <w:pPr>
        <w:ind w:left="1461" w:hanging="440"/>
      </w:pPr>
    </w:lvl>
    <w:lvl w:ilvl="3" w:tplc="FFFFFFFF" w:tentative="1">
      <w:start w:val="1"/>
      <w:numFmt w:val="decimal"/>
      <w:lvlText w:val="%4."/>
      <w:lvlJc w:val="left"/>
      <w:pPr>
        <w:ind w:left="1901" w:hanging="440"/>
      </w:pPr>
    </w:lvl>
    <w:lvl w:ilvl="4" w:tplc="FFFFFFFF" w:tentative="1">
      <w:start w:val="1"/>
      <w:numFmt w:val="lowerLetter"/>
      <w:lvlText w:val="%5)"/>
      <w:lvlJc w:val="left"/>
      <w:pPr>
        <w:ind w:left="2341" w:hanging="440"/>
      </w:pPr>
    </w:lvl>
    <w:lvl w:ilvl="5" w:tplc="FFFFFFFF" w:tentative="1">
      <w:start w:val="1"/>
      <w:numFmt w:val="lowerRoman"/>
      <w:lvlText w:val="%6."/>
      <w:lvlJc w:val="right"/>
      <w:pPr>
        <w:ind w:left="2781" w:hanging="440"/>
      </w:pPr>
    </w:lvl>
    <w:lvl w:ilvl="6" w:tplc="FFFFFFFF" w:tentative="1">
      <w:start w:val="1"/>
      <w:numFmt w:val="decimal"/>
      <w:lvlText w:val="%7."/>
      <w:lvlJc w:val="left"/>
      <w:pPr>
        <w:ind w:left="3221" w:hanging="440"/>
      </w:pPr>
    </w:lvl>
    <w:lvl w:ilvl="7" w:tplc="FFFFFFFF" w:tentative="1">
      <w:start w:val="1"/>
      <w:numFmt w:val="lowerLetter"/>
      <w:lvlText w:val="%8)"/>
      <w:lvlJc w:val="left"/>
      <w:pPr>
        <w:ind w:left="3661" w:hanging="440"/>
      </w:pPr>
    </w:lvl>
    <w:lvl w:ilvl="8" w:tplc="FFFFFFFF" w:tentative="1">
      <w:start w:val="1"/>
      <w:numFmt w:val="lowerRoman"/>
      <w:lvlText w:val="%9."/>
      <w:lvlJc w:val="right"/>
      <w:pPr>
        <w:ind w:left="4101" w:hanging="440"/>
      </w:pPr>
    </w:lvl>
  </w:abstractNum>
  <w:abstractNum w:abstractNumId="1" w15:restartNumberingAfterBreak="0">
    <w:nsid w:val="33940556"/>
    <w:multiLevelType w:val="hybridMultilevel"/>
    <w:tmpl w:val="8700715E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29E1875"/>
    <w:multiLevelType w:val="hybridMultilevel"/>
    <w:tmpl w:val="F4142678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1F"/>
    <w:rsid w:val="00294AA4"/>
    <w:rsid w:val="00307D1F"/>
    <w:rsid w:val="008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372A"/>
  <w15:chartTrackingRefBased/>
  <w15:docId w15:val="{5062585F-4D8E-4385-9060-4F56BD93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2023-08-29T09:00:00Z</dcterms:created>
  <dcterms:modified xsi:type="dcterms:W3CDTF">2023-08-29T09:00:00Z</dcterms:modified>
</cp:coreProperties>
</file>