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4"/>
        <w:ind w:left="0" w:right="0"/>
        <w:jc w:val="left"/>
        <w:rPr>
          <w:rFonts w:eastAsia="宋体"/>
        </w:rPr>
      </w:pPr>
      <w:r>
        <w:drawing>
          <wp:inline distT="0" distB="0" distL="114300" distR="114300">
            <wp:extent cx="6049010" cy="8595360"/>
            <wp:effectExtent l="0" t="0" r="8890"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6049010" cy="8595360"/>
                    </a:xfrm>
                    <a:prstGeom prst="rect">
                      <a:avLst/>
                    </a:prstGeom>
                    <a:noFill/>
                    <a:ln>
                      <a:noFill/>
                    </a:ln>
                  </pic:spPr>
                </pic:pic>
              </a:graphicData>
            </a:graphic>
          </wp:inline>
        </w:drawing>
      </w:r>
    </w:p>
    <w:p>
      <w:pPr>
        <w:pStyle w:val="4"/>
        <w:spacing w:before="34"/>
        <w:sectPr>
          <w:type w:val="continuous"/>
          <w:pgSz w:w="11910" w:h="16840"/>
          <w:pgMar w:top="1380" w:right="40" w:bottom="280" w:left="1140" w:header="720" w:footer="720" w:gutter="0"/>
          <w:cols w:space="720" w:num="1"/>
        </w:sectPr>
      </w:pPr>
    </w:p>
    <w:p>
      <w:pPr>
        <w:pStyle w:val="2"/>
        <w:spacing w:before="12"/>
        <w:rPr>
          <w:rFonts w:ascii="Microsoft JhengHei"/>
          <w:b/>
          <w:sz w:val="2"/>
        </w:rPr>
      </w:pPr>
    </w:p>
    <w:p>
      <w:pPr>
        <w:pStyle w:val="2"/>
        <w:spacing w:line="20" w:lineRule="exact"/>
        <w:ind w:left="300"/>
        <w:rPr>
          <w:rFonts w:ascii="Microsoft JhengHei"/>
          <w:sz w:val="2"/>
        </w:rPr>
      </w:pPr>
    </w:p>
    <w:p>
      <w:pPr>
        <w:pStyle w:val="2"/>
        <w:rPr>
          <w:rFonts w:ascii="Microsoft JhengHei"/>
          <w:b/>
          <w:sz w:val="12"/>
        </w:rPr>
      </w:pPr>
    </w:p>
    <w:p>
      <w:pPr>
        <w:tabs>
          <w:tab w:val="left" w:pos="1081"/>
        </w:tabs>
        <w:spacing w:line="593" w:lineRule="exact"/>
        <w:ind w:right="1099"/>
        <w:jc w:val="center"/>
        <w:rPr>
          <w:rFonts w:ascii="Microsoft JhengHei" w:eastAsia="Microsoft JhengHei"/>
          <w:b/>
          <w:sz w:val="36"/>
        </w:rPr>
      </w:pPr>
      <w:r>
        <w:rPr>
          <w:rFonts w:hint="eastAsia" w:ascii="Microsoft JhengHei" w:eastAsia="Microsoft JhengHei"/>
          <w:b/>
          <w:sz w:val="36"/>
        </w:rPr>
        <w:t>目</w:t>
      </w:r>
      <w:r>
        <w:rPr>
          <w:rFonts w:hint="eastAsia" w:ascii="Microsoft JhengHei" w:eastAsia="Microsoft JhengHei"/>
          <w:b/>
          <w:sz w:val="36"/>
        </w:rPr>
        <w:tab/>
      </w:r>
      <w:r>
        <w:rPr>
          <w:rFonts w:hint="eastAsia" w:ascii="Microsoft JhengHei" w:eastAsia="Microsoft JhengHei"/>
          <w:b/>
          <w:sz w:val="36"/>
        </w:rPr>
        <w:t>录</w:t>
      </w:r>
    </w:p>
    <w:sdt>
      <w:sdtPr>
        <w:id w:val="1"/>
        <w:docPartObj>
          <w:docPartGallery w:val="Table of Contents"/>
          <w:docPartUnique/>
        </w:docPartObj>
      </w:sdtPr>
      <w:sdtContent>
        <w:p>
          <w:pPr>
            <w:pStyle w:val="14"/>
            <w:tabs>
              <w:tab w:val="left" w:pos="1457"/>
              <w:tab w:val="right" w:leader="dot" w:pos="9292"/>
            </w:tabs>
            <w:spacing w:before="323"/>
            <w:rPr>
              <w:rFonts w:ascii="Times New Roman" w:eastAsia="Times New Roman"/>
            </w:rPr>
          </w:pPr>
          <w:r>
            <w:fldChar w:fldCharType="begin"/>
          </w:r>
          <w:r>
            <w:instrText xml:space="preserve"> HYPERLINK \l "_bookmark0" </w:instrText>
          </w:r>
          <w:r>
            <w:fldChar w:fldCharType="separate"/>
          </w:r>
          <w:r>
            <w:t>第一章</w:t>
          </w:r>
          <w:r>
            <w:tab/>
          </w:r>
          <w:r>
            <w:t>招标公告</w:t>
          </w:r>
          <w:r>
            <w:fldChar w:fldCharType="end"/>
          </w:r>
          <w:r>
            <w:tab/>
          </w:r>
          <w:r>
            <w:rPr>
              <w:rFonts w:ascii="Times New Roman" w:eastAsia="Times New Roman"/>
            </w:rPr>
            <w:t>1</w:t>
          </w:r>
        </w:p>
        <w:p>
          <w:pPr>
            <w:pStyle w:val="14"/>
            <w:tabs>
              <w:tab w:val="left" w:pos="1457"/>
              <w:tab w:val="right" w:leader="dot" w:pos="9292"/>
            </w:tabs>
            <w:rPr>
              <w:rFonts w:ascii="Times New Roman" w:eastAsia="Times New Roman"/>
            </w:rPr>
          </w:pPr>
          <w:r>
            <w:fldChar w:fldCharType="begin"/>
          </w:r>
          <w:r>
            <w:instrText xml:space="preserve"> HYPERLINK \l "_bookmark1" </w:instrText>
          </w:r>
          <w:r>
            <w:fldChar w:fldCharType="separate"/>
          </w:r>
          <w:r>
            <w:t>第二章</w:t>
          </w:r>
          <w:r>
            <w:tab/>
          </w:r>
          <w:r>
            <w:t>投标须知</w:t>
          </w:r>
          <w:r>
            <w:fldChar w:fldCharType="end"/>
          </w:r>
          <w:r>
            <w:tab/>
          </w:r>
          <w:r>
            <w:rPr>
              <w:rFonts w:ascii="Times New Roman" w:eastAsia="Times New Roman"/>
            </w:rPr>
            <w:t>7</w:t>
          </w:r>
        </w:p>
        <w:p>
          <w:pPr>
            <w:pStyle w:val="14"/>
            <w:tabs>
              <w:tab w:val="left" w:pos="1457"/>
              <w:tab w:val="right" w:leader="dot" w:pos="9292"/>
            </w:tabs>
            <w:rPr>
              <w:rFonts w:ascii="Times New Roman" w:eastAsia="Times New Roman"/>
            </w:rPr>
          </w:pPr>
          <w:r>
            <w:fldChar w:fldCharType="begin"/>
          </w:r>
          <w:r>
            <w:instrText xml:space="preserve"> HYPERLINK \l "_bookmark2" </w:instrText>
          </w:r>
          <w:r>
            <w:fldChar w:fldCharType="separate"/>
          </w:r>
          <w:r>
            <w:t>第三章</w:t>
          </w:r>
          <w:r>
            <w:tab/>
          </w:r>
          <w:r>
            <w:t>采购</w:t>
          </w:r>
          <w:r>
            <w:fldChar w:fldCharType="end"/>
          </w:r>
          <w:r>
            <w:fldChar w:fldCharType="begin"/>
          </w:r>
          <w:r>
            <w:instrText xml:space="preserve"> HYPERLINK \l "_bookmark2" </w:instrText>
          </w:r>
          <w:r>
            <w:fldChar w:fldCharType="separate"/>
          </w:r>
          <w:r>
            <w:t>需求</w:t>
          </w:r>
          <w:r>
            <w:fldChar w:fldCharType="end"/>
          </w:r>
          <w:r>
            <w:tab/>
          </w:r>
          <w:r>
            <w:rPr>
              <w:rFonts w:ascii="Times New Roman" w:eastAsia="Times New Roman"/>
            </w:rPr>
            <w:t>22</w:t>
          </w:r>
        </w:p>
        <w:p>
          <w:pPr>
            <w:pStyle w:val="14"/>
            <w:tabs>
              <w:tab w:val="left" w:pos="1457"/>
              <w:tab w:val="right" w:leader="dot" w:pos="9292"/>
            </w:tabs>
            <w:rPr>
              <w:rFonts w:ascii="Times New Roman" w:eastAsia="Times New Roman"/>
            </w:rPr>
          </w:pPr>
          <w:r>
            <w:fldChar w:fldCharType="begin"/>
          </w:r>
          <w:r>
            <w:instrText xml:space="preserve"> HYPERLINK \l "_bookmark3" </w:instrText>
          </w:r>
          <w:r>
            <w:fldChar w:fldCharType="separate"/>
          </w:r>
          <w:r>
            <w:t>第四章</w:t>
          </w:r>
          <w:r>
            <w:tab/>
          </w:r>
          <w:r>
            <w:t>合同文本</w:t>
          </w:r>
          <w:r>
            <w:fldChar w:fldCharType="end"/>
          </w:r>
          <w:r>
            <w:tab/>
          </w:r>
          <w:r>
            <w:rPr>
              <w:rFonts w:ascii="Times New Roman" w:eastAsia="Times New Roman"/>
            </w:rPr>
            <w:t>32</w:t>
          </w:r>
        </w:p>
        <w:p>
          <w:pPr>
            <w:pStyle w:val="14"/>
            <w:tabs>
              <w:tab w:val="left" w:pos="1457"/>
              <w:tab w:val="right" w:leader="dot" w:pos="9292"/>
            </w:tabs>
            <w:spacing w:before="149"/>
            <w:rPr>
              <w:rFonts w:ascii="Times New Roman" w:eastAsia="Times New Roman"/>
            </w:rPr>
          </w:pPr>
          <w:r>
            <w:fldChar w:fldCharType="begin"/>
          </w:r>
          <w:r>
            <w:instrText xml:space="preserve"> HYPERLINK \l "_bookmark4" </w:instrText>
          </w:r>
          <w:r>
            <w:fldChar w:fldCharType="separate"/>
          </w:r>
          <w:r>
            <w:t>第五章</w:t>
          </w:r>
          <w:r>
            <w:tab/>
          </w:r>
          <w:r>
            <w:t>评审程</w:t>
          </w:r>
          <w:r>
            <w:fldChar w:fldCharType="end"/>
          </w:r>
          <w:r>
            <w:fldChar w:fldCharType="begin"/>
          </w:r>
          <w:r>
            <w:instrText xml:space="preserve"> HYPERLINK \l "_bookmark4" </w:instrText>
          </w:r>
          <w:r>
            <w:fldChar w:fldCharType="separate"/>
          </w:r>
          <w:r>
            <w:t>序</w:t>
          </w:r>
          <w:r>
            <w:fldChar w:fldCharType="end"/>
          </w:r>
          <w:r>
            <w:tab/>
          </w:r>
          <w:r>
            <w:rPr>
              <w:rFonts w:ascii="Times New Roman" w:eastAsia="Times New Roman"/>
            </w:rPr>
            <w:t>42</w:t>
          </w:r>
        </w:p>
        <w:p>
          <w:pPr>
            <w:pStyle w:val="14"/>
            <w:tabs>
              <w:tab w:val="left" w:pos="1457"/>
              <w:tab w:val="right" w:leader="dot" w:pos="9292"/>
            </w:tabs>
            <w:rPr>
              <w:rFonts w:ascii="Times New Roman" w:eastAsia="Times New Roman"/>
            </w:rPr>
          </w:pPr>
          <w:r>
            <w:fldChar w:fldCharType="begin"/>
          </w:r>
          <w:r>
            <w:instrText xml:space="preserve"> HYPERLINK \l "_bookmark5" </w:instrText>
          </w:r>
          <w:r>
            <w:fldChar w:fldCharType="separate"/>
          </w:r>
          <w:r>
            <w:t>第六章</w:t>
          </w:r>
          <w:r>
            <w:fldChar w:fldCharType="end"/>
          </w:r>
          <w:r>
            <w:tab/>
          </w:r>
          <w:r>
            <w:fldChar w:fldCharType="begin"/>
          </w:r>
          <w:r>
            <w:instrText xml:space="preserve"> HYPERLINK \l "_bookmark5" </w:instrText>
          </w:r>
          <w:r>
            <w:fldChar w:fldCharType="separate"/>
          </w:r>
          <w:r>
            <w:t>投标文件格式</w:t>
          </w:r>
          <w:r>
            <w:fldChar w:fldCharType="end"/>
          </w:r>
          <w:r>
            <w:tab/>
          </w:r>
          <w:r>
            <w:rPr>
              <w:rFonts w:ascii="Times New Roman" w:eastAsia="Times New Roman"/>
            </w:rPr>
            <w:t>52</w:t>
          </w:r>
        </w:p>
      </w:sdtContent>
    </w:sdt>
    <w:p>
      <w:pPr>
        <w:rPr>
          <w:rFonts w:ascii="Times New Roman" w:eastAsia="Times New Roman"/>
        </w:rPr>
        <w:sectPr>
          <w:headerReference r:id="rId3" w:type="default"/>
          <w:pgSz w:w="11910" w:h="16840"/>
          <w:pgMar w:top="1360" w:right="40" w:bottom="280" w:left="1140" w:header="884" w:footer="0" w:gutter="0"/>
          <w:cols w:space="720" w:num="1"/>
        </w:sectPr>
      </w:pPr>
    </w:p>
    <w:p>
      <w:pPr>
        <w:pStyle w:val="3"/>
        <w:tabs>
          <w:tab w:val="left" w:pos="4812"/>
        </w:tabs>
        <w:spacing w:line="633" w:lineRule="exact"/>
        <w:ind w:left="3368"/>
      </w:pPr>
      <w:bookmarkStart w:id="0" w:name="_bookmark0"/>
      <w:bookmarkEnd w:id="0"/>
      <w:r>
        <w:t>第一章</w:t>
      </w:r>
      <w:r>
        <w:tab/>
      </w:r>
      <w:r>
        <w:t>招标公告</w:t>
      </w:r>
    </w:p>
    <w:p>
      <w:pPr>
        <w:pStyle w:val="2"/>
        <w:spacing w:before="1"/>
        <w:rPr>
          <w:rFonts w:ascii="Microsoft JhengHei"/>
          <w:b/>
          <w:sz w:val="22"/>
        </w:rPr>
      </w:pP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项目概况</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shd w:val="clear" w:color="auto" w:fill="FFFFFF"/>
          <w:lang w:val="en-US" w:bidi="ar"/>
        </w:rPr>
        <w:t>校园照明综合改造</w:t>
      </w:r>
      <w:r>
        <w:rPr>
          <w:rFonts w:hint="eastAsia" w:ascii="微软雅黑" w:hAnsi="微软雅黑" w:eastAsia="微软雅黑" w:cs="微软雅黑"/>
          <w:color w:val="333333"/>
          <w:sz w:val="24"/>
          <w:szCs w:val="24"/>
          <w:shd w:val="clear" w:color="auto" w:fill="FFFFFF"/>
          <w:lang w:val="en-US" w:bidi="ar"/>
        </w:rPr>
        <w:t>招标项目的潜在投标人应在</w:t>
      </w:r>
      <w:r>
        <w:rPr>
          <w:rFonts w:hint="eastAsia" w:ascii="微软雅黑" w:hAnsi="微软雅黑" w:eastAsia="微软雅黑" w:cs="微软雅黑"/>
          <w:color w:val="333333"/>
          <w:sz w:val="24"/>
          <w:szCs w:val="24"/>
          <w:u w:val="single"/>
          <w:shd w:val="clear" w:color="auto" w:fill="FFFFFF"/>
          <w:lang w:val="en-US" w:bidi="ar"/>
        </w:rPr>
        <w:t>海南政府采购网(www.ccgp-hainan.gov.cn)-海南省政府采购电子化交易管理系统(新)</w:t>
      </w:r>
      <w:r>
        <w:rPr>
          <w:rFonts w:hint="eastAsia" w:ascii="微软雅黑" w:hAnsi="微软雅黑" w:eastAsia="微软雅黑" w:cs="微软雅黑"/>
          <w:color w:val="333333"/>
          <w:sz w:val="24"/>
          <w:szCs w:val="24"/>
          <w:shd w:val="clear" w:color="auto" w:fill="FFFFFF"/>
          <w:lang w:val="en-US" w:bidi="ar"/>
        </w:rPr>
        <w:t>获取招标文件，并于</w:t>
      </w: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10</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日   时00分</w:t>
      </w:r>
      <w:r>
        <w:rPr>
          <w:rFonts w:hint="eastAsia" w:ascii="微软雅黑" w:hAnsi="微软雅黑" w:eastAsia="微软雅黑" w:cs="微软雅黑"/>
          <w:color w:val="333333"/>
          <w:sz w:val="24"/>
          <w:szCs w:val="24"/>
          <w:shd w:val="clear" w:color="auto" w:fill="FFFFFF"/>
          <w:lang w:val="en-US" w:bidi="ar"/>
        </w:rPr>
        <w:t>（北京时间）前递交投标文件。</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一、项目基本情况</w:t>
      </w:r>
    </w:p>
    <w:p>
      <w:pPr>
        <w:widowControl/>
        <w:shd w:val="clear" w:color="auto" w:fill="FFFFFF"/>
        <w:spacing w:line="540" w:lineRule="atLeast"/>
        <w:ind w:firstLine="42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shd w:val="clear" w:color="auto" w:fill="FFFFFF"/>
          <w:lang w:val="en-US" w:bidi="ar"/>
        </w:rPr>
        <w:t>项目编号： </w:t>
      </w:r>
      <w:r>
        <w:rPr>
          <w:rFonts w:hint="eastAsia" w:ascii="微软雅黑" w:hAnsi="微软雅黑" w:eastAsia="微软雅黑" w:cs="微软雅黑"/>
          <w:color w:val="333333"/>
          <w:sz w:val="24"/>
          <w:szCs w:val="24"/>
          <w:u w:val="single"/>
          <w:shd w:val="clear" w:color="auto" w:fill="FFFFFF"/>
          <w:lang w:val="en-US" w:eastAsia="zh-CN" w:bidi="ar"/>
        </w:rPr>
        <w:t>sdzb2022-063RR</w:t>
      </w:r>
    </w:p>
    <w:p>
      <w:pPr>
        <w:widowControl/>
        <w:shd w:val="clear" w:color="auto" w:fill="FFFFFF"/>
        <w:spacing w:line="540" w:lineRule="atLeast"/>
        <w:ind w:firstLine="42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shd w:val="clear" w:color="auto" w:fill="FFFFFF"/>
          <w:lang w:val="en-US" w:bidi="ar"/>
        </w:rPr>
        <w:t>项目名称： </w:t>
      </w:r>
      <w:r>
        <w:rPr>
          <w:rFonts w:hint="eastAsia" w:ascii="微软雅黑" w:hAnsi="微软雅黑" w:eastAsia="微软雅黑" w:cs="微软雅黑"/>
          <w:color w:val="333333"/>
          <w:sz w:val="24"/>
          <w:szCs w:val="24"/>
          <w:u w:val="single"/>
          <w:shd w:val="clear" w:color="auto" w:fill="FFFFFF"/>
          <w:lang w:val="en-US" w:bidi="ar"/>
        </w:rPr>
        <w:t>校园照明综合改造</w:t>
      </w:r>
      <w:r>
        <w:rPr>
          <w:rFonts w:hint="eastAsia" w:ascii="微软雅黑" w:hAnsi="微软雅黑" w:eastAsia="微软雅黑" w:cs="微软雅黑"/>
          <w:color w:val="333333"/>
          <w:sz w:val="24"/>
          <w:szCs w:val="24"/>
          <w:u w:val="single"/>
          <w:shd w:val="clear" w:color="auto" w:fill="FFFFFF"/>
          <w:lang w:val="en-US" w:eastAsia="zh-CN" w:bidi="ar"/>
        </w:rPr>
        <w:t>（三次招标）</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预算金额：</w:t>
      </w:r>
      <w:r>
        <w:rPr>
          <w:rFonts w:hint="eastAsia" w:ascii="微软雅黑" w:eastAsia="微软雅黑"/>
          <w:color w:val="333333"/>
          <w:sz w:val="24"/>
          <w:u w:val="single" w:color="333333"/>
        </w:rPr>
        <w:t>￥3032</w:t>
      </w:r>
      <w:r>
        <w:rPr>
          <w:rFonts w:hint="eastAsia" w:ascii="微软雅黑" w:eastAsia="微软雅黑"/>
          <w:color w:val="333333"/>
          <w:sz w:val="24"/>
          <w:u w:val="single" w:color="333333"/>
          <w:lang w:val="en-US"/>
        </w:rPr>
        <w:t>116</w:t>
      </w:r>
      <w:r>
        <w:rPr>
          <w:rFonts w:hint="eastAsia" w:ascii="微软雅黑" w:eastAsia="微软雅黑"/>
          <w:color w:val="333333"/>
          <w:sz w:val="24"/>
          <w:u w:val="single" w:color="333333"/>
        </w:rPr>
        <w:t>.</w:t>
      </w:r>
      <w:r>
        <w:rPr>
          <w:rFonts w:hint="eastAsia" w:ascii="微软雅黑" w:eastAsia="微软雅黑"/>
          <w:color w:val="333333"/>
          <w:sz w:val="24"/>
          <w:u w:val="single" w:color="333333"/>
          <w:lang w:val="en-US"/>
        </w:rPr>
        <w:t>8</w:t>
      </w:r>
      <w:r>
        <w:rPr>
          <w:rFonts w:hint="eastAsia" w:ascii="微软雅黑" w:eastAsia="微软雅黑"/>
          <w:color w:val="333333"/>
          <w:sz w:val="24"/>
          <w:u w:val="single" w:color="333333"/>
        </w:rPr>
        <w:t xml:space="preserve">0 </w:t>
      </w:r>
      <w:r>
        <w:rPr>
          <w:rFonts w:hint="eastAsia" w:ascii="微软雅黑" w:hAnsi="微软雅黑" w:eastAsia="微软雅黑" w:cs="微软雅黑"/>
          <w:color w:val="333333"/>
          <w:sz w:val="24"/>
          <w:szCs w:val="24"/>
          <w:shd w:val="clear" w:color="auto" w:fill="FFFFFF"/>
          <w:lang w:val="en-US" w:bidi="ar"/>
        </w:rPr>
        <w:t>元</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最高限价（如有）</w:t>
      </w:r>
      <w:r>
        <w:rPr>
          <w:rFonts w:hint="eastAsia" w:ascii="微软雅黑" w:eastAsia="微软雅黑"/>
          <w:color w:val="333333"/>
          <w:sz w:val="24"/>
        </w:rPr>
        <w:t>人民币</w:t>
      </w:r>
      <w:r>
        <w:rPr>
          <w:rFonts w:hint="eastAsia" w:ascii="微软雅黑" w:eastAsia="微软雅黑"/>
          <w:color w:val="333333"/>
          <w:sz w:val="24"/>
          <w:lang w:val="en-US"/>
        </w:rPr>
        <w:t>叁佰零叁万贰仟壹佰壹拾陆元捌角</w:t>
      </w:r>
      <w:r>
        <w:rPr>
          <w:rFonts w:hint="eastAsia" w:ascii="微软雅黑" w:eastAsia="微软雅黑"/>
          <w:color w:val="333333"/>
          <w:sz w:val="24"/>
        </w:rPr>
        <w:t>（￥ 3032</w:t>
      </w:r>
      <w:r>
        <w:rPr>
          <w:rFonts w:hint="eastAsia" w:ascii="微软雅黑" w:eastAsia="微软雅黑"/>
          <w:color w:val="333333"/>
          <w:sz w:val="24"/>
          <w:lang w:val="en-US"/>
        </w:rPr>
        <w:t>116</w:t>
      </w:r>
      <w:r>
        <w:rPr>
          <w:rFonts w:hint="eastAsia" w:ascii="微软雅黑" w:eastAsia="微软雅黑"/>
          <w:color w:val="333333"/>
          <w:sz w:val="24"/>
        </w:rPr>
        <w:t>.</w:t>
      </w:r>
      <w:r>
        <w:rPr>
          <w:rFonts w:hint="eastAsia" w:ascii="微软雅黑" w:eastAsia="微软雅黑"/>
          <w:color w:val="333333"/>
          <w:sz w:val="24"/>
          <w:lang w:val="en-US"/>
        </w:rPr>
        <w:t>8</w:t>
      </w:r>
      <w:r>
        <w:rPr>
          <w:rFonts w:hint="eastAsia" w:ascii="微软雅黑" w:eastAsia="微软雅黑"/>
          <w:color w:val="333333"/>
          <w:sz w:val="24"/>
        </w:rPr>
        <w:t>0 元），超过招标控制价（最高限价）的投标，按无效投标处理。</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采购需求：详细技术要求或招标项目的性质详见招标文件第三章《采购需求书》部分</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合同履行期限：合同签订后50日历天。</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是否允许联合体投标：否</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二、申请人资格要求：</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1.满足《中华人民共和国政府采购法》第二十二条规定；</w:t>
      </w:r>
    </w:p>
    <w:p>
      <w:pPr>
        <w:widowControl/>
        <w:shd w:val="clear" w:color="auto" w:fill="FFFFFF"/>
        <w:spacing w:line="540" w:lineRule="atLeast"/>
        <w:ind w:firstLine="420"/>
        <w:rPr>
          <w:rFonts w:ascii="微软雅黑" w:hAnsi="微软雅黑" w:eastAsia="微软雅黑" w:cs="微软雅黑"/>
          <w:color w:val="333333"/>
          <w:sz w:val="24"/>
          <w:szCs w:val="24"/>
          <w:u w:val="single"/>
        </w:rPr>
      </w:pPr>
      <w:r>
        <w:rPr>
          <w:rFonts w:hint="eastAsia" w:ascii="微软雅黑" w:hAnsi="微软雅黑" w:eastAsia="微软雅黑" w:cs="微软雅黑"/>
          <w:color w:val="333333"/>
          <w:sz w:val="24"/>
          <w:szCs w:val="24"/>
          <w:shd w:val="clear" w:color="auto" w:fill="FFFFFF"/>
          <w:lang w:val="en-US" w:bidi="ar"/>
        </w:rPr>
        <w:t>2.落实政府采购政策需满足的资格要求： </w:t>
      </w:r>
      <w:r>
        <w:rPr>
          <w:rFonts w:hint="eastAsia" w:ascii="微软雅黑" w:hAnsi="微软雅黑" w:eastAsia="微软雅黑" w:cs="微软雅黑"/>
          <w:color w:val="333333"/>
          <w:sz w:val="24"/>
          <w:szCs w:val="24"/>
          <w:u w:val="single"/>
          <w:shd w:val="clear" w:color="auto" w:fill="FFFFFF"/>
          <w:lang w:val="en-US" w:bidi="ar"/>
        </w:rPr>
        <w:t>《政府采购促进中小企业发展管理办法》、《财政部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国务院扶贫办关于运用政府采购政策支持脱贫攻坚的通知》、海南省财政厅关于印发《海南省绿色产品政府采购实施意见（试行）》的通知、《海南省财政厅 海南省工业和信息化厅关于落实超常规举措加大对中小企业政府采购支持的通知》、《财政部 国家发展改革委 信息产业部关于印发无线局域网产品政府采购实施意见的通知》等相关的政府采购政策。</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3.本项目的特定资格要求：</w:t>
      </w:r>
      <w:r>
        <w:rPr>
          <w:rFonts w:hint="eastAsia" w:ascii="微软雅黑" w:hAnsi="微软雅黑" w:eastAsia="微软雅黑" w:cs="微软雅黑"/>
          <w:color w:val="333333"/>
          <w:sz w:val="24"/>
          <w:szCs w:val="24"/>
          <w:u w:val="single"/>
          <w:shd w:val="clear" w:color="auto" w:fill="FFFFFF"/>
          <w:lang w:val="en-US" w:bidi="ar"/>
        </w:rPr>
        <w:t>（1）具有独立承担民事责任能力的在中华人民共和国境内注册的法人，须提供加载“统一社会信用代码”的有效营业执照（复印件加盖公章）。（2）具有良好的商业信誉和健全的财务会计制度：提供202</w:t>
      </w:r>
      <w:r>
        <w:rPr>
          <w:rFonts w:hint="eastAsia" w:ascii="微软雅黑" w:hAnsi="微软雅黑" w:eastAsia="微软雅黑" w:cs="微软雅黑"/>
          <w:color w:val="333333"/>
          <w:sz w:val="24"/>
          <w:szCs w:val="24"/>
          <w:u w:val="single"/>
          <w:shd w:val="clear" w:color="auto" w:fill="FFFFFF"/>
          <w:lang w:val="en-US" w:eastAsia="zh-CN" w:bidi="ar"/>
        </w:rPr>
        <w:t>2</w:t>
      </w:r>
      <w:r>
        <w:rPr>
          <w:rFonts w:hint="eastAsia" w:ascii="微软雅黑" w:hAnsi="微软雅黑" w:eastAsia="微软雅黑" w:cs="微软雅黑"/>
          <w:color w:val="333333"/>
          <w:sz w:val="24"/>
          <w:szCs w:val="24"/>
          <w:u w:val="single"/>
          <w:shd w:val="clear" w:color="auto" w:fill="FFFFFF"/>
          <w:lang w:val="en-US" w:bidi="ar"/>
        </w:rPr>
        <w:t>年年度经会计师事务所审计的财务审计报告或提供202</w:t>
      </w:r>
      <w:r>
        <w:rPr>
          <w:rFonts w:hint="eastAsia" w:ascii="微软雅黑" w:hAnsi="微软雅黑" w:eastAsia="微软雅黑" w:cs="微软雅黑"/>
          <w:color w:val="333333"/>
          <w:sz w:val="24"/>
          <w:szCs w:val="24"/>
          <w:u w:val="single"/>
          <w:shd w:val="clear" w:color="auto" w:fill="FFFFFF"/>
          <w:lang w:val="en-US" w:eastAsia="zh-CN" w:bidi="ar"/>
        </w:rPr>
        <w:t>3</w:t>
      </w:r>
      <w:r>
        <w:rPr>
          <w:rFonts w:hint="eastAsia" w:ascii="微软雅黑" w:hAnsi="微软雅黑" w:eastAsia="微软雅黑" w:cs="微软雅黑"/>
          <w:color w:val="333333"/>
          <w:sz w:val="24"/>
          <w:szCs w:val="24"/>
          <w:u w:val="single"/>
          <w:shd w:val="clear" w:color="auto" w:fill="FFFFFF"/>
          <w:lang w:val="en-US" w:bidi="ar"/>
        </w:rPr>
        <w:t>年1月1日至今任意一个季度的财务报表复印件：资产负债表、利润表，新成立公司根据实际情况提供财务报表复印件。要求提供的资料须是复印件加盖公章。（3）具有履行采购合同所必需的设备和专业技术能力：提供承诺函，格式自拟（加盖公章）。（4）有依法缴纳税收和社会保障资金的良好记录：提供202</w:t>
      </w:r>
      <w:r>
        <w:rPr>
          <w:rFonts w:hint="eastAsia" w:ascii="微软雅黑" w:hAnsi="微软雅黑" w:eastAsia="微软雅黑" w:cs="微软雅黑"/>
          <w:color w:val="333333"/>
          <w:sz w:val="24"/>
          <w:szCs w:val="24"/>
          <w:u w:val="single"/>
          <w:shd w:val="clear" w:color="auto" w:fill="FFFFFF"/>
          <w:lang w:val="en-US" w:eastAsia="zh-CN" w:bidi="ar"/>
        </w:rPr>
        <w:t>3</w:t>
      </w:r>
      <w:r>
        <w:rPr>
          <w:rFonts w:hint="eastAsia" w:ascii="微软雅黑" w:hAnsi="微软雅黑" w:eastAsia="微软雅黑" w:cs="微软雅黑"/>
          <w:color w:val="333333"/>
          <w:sz w:val="24"/>
          <w:szCs w:val="24"/>
          <w:u w:val="single"/>
          <w:shd w:val="clear" w:color="auto" w:fill="FFFFFF"/>
          <w:lang w:val="en-US" w:bidi="ar"/>
        </w:rPr>
        <w:t>年1月1日至今任意一个</w:t>
      </w:r>
      <w:r>
        <w:rPr>
          <w:rFonts w:hint="eastAsia" w:ascii="微软雅黑" w:hAnsi="微软雅黑" w:eastAsia="微软雅黑" w:cs="微软雅黑"/>
          <w:color w:val="333333"/>
          <w:sz w:val="24"/>
          <w:szCs w:val="24"/>
          <w:u w:val="single"/>
          <w:shd w:val="clear" w:color="auto" w:fill="FFFFFF"/>
          <w:lang w:val="en-US" w:eastAsia="zh-CN" w:bidi="ar"/>
        </w:rPr>
        <w:t>季度</w:t>
      </w:r>
      <w:r>
        <w:rPr>
          <w:rFonts w:hint="eastAsia" w:ascii="微软雅黑" w:hAnsi="微软雅黑" w:eastAsia="微软雅黑" w:cs="微软雅黑"/>
          <w:color w:val="333333"/>
          <w:sz w:val="24"/>
          <w:szCs w:val="24"/>
          <w:u w:val="single"/>
          <w:shd w:val="clear" w:color="auto" w:fill="FFFFFF"/>
          <w:lang w:val="en-US" w:bidi="ar"/>
        </w:rPr>
        <w:t>依法缴纳税收、依法缴纳社会保障资金的证明材料；投标人是零报税的，应提供由税务部门盖章的纳税申报表；依法免税或不需要缴纳社会保障资金的投标人，提供相应文件证明其依法免税或不需要缴纳社会保障资金。要求提供的资料须是复印件加盖公章。（5）参加本次采购活动前三年内，在经营活动中没有重大违法记录、环保类行政处罚记录：提供声明函，格式自拟（加盖公章）。（6）符合法律、行政法规规定的其他条件：提供承诺函、格式自拟（加盖公章）。 （7）投标人无不良信用记录：投标人在“信用中国”网站（www.creditchina.gov.cn）未被列入失信被执行人、重大税收违法案件当事人名单、未被列入政府采购严重违法失信行为记录名单，在中国政府采购网（www.ccgp.gov.cn）未被列入政府采购严重违法失信行为记录名单。</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三、获取招标文件</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 xml:space="preserve">时间：  </w:t>
      </w: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19</w:t>
      </w:r>
      <w:r>
        <w:rPr>
          <w:rFonts w:hint="eastAsia" w:ascii="微软雅黑" w:hAnsi="微软雅黑" w:eastAsia="微软雅黑" w:cs="微软雅黑"/>
          <w:color w:val="333333"/>
          <w:sz w:val="24"/>
          <w:szCs w:val="24"/>
          <w:u w:val="single"/>
          <w:shd w:val="clear" w:color="auto" w:fill="FFFFFF"/>
          <w:lang w:val="en-US" w:bidi="ar"/>
        </w:rPr>
        <w:t>日00时00分至</w:t>
      </w:r>
      <w:r>
        <w:rPr>
          <w:rFonts w:hint="eastAsia" w:ascii="微软雅黑" w:hAnsi="微软雅黑" w:eastAsia="微软雅黑" w:cs="微软雅黑"/>
          <w:color w:val="333333"/>
          <w:sz w:val="24"/>
          <w:szCs w:val="24"/>
          <w:u w:val="single"/>
          <w:shd w:val="clear" w:color="auto" w:fill="FFFFFF"/>
          <w:lang w:val="en-US" w:eastAsia="zh-CN" w:bidi="ar"/>
        </w:rPr>
        <w:t>2023</w:t>
      </w:r>
      <w:r>
        <w:rPr>
          <w:rFonts w:hint="eastAsia" w:ascii="微软雅黑" w:hAnsi="微软雅黑" w:eastAsia="微软雅黑" w:cs="微软雅黑"/>
          <w:color w:val="333333"/>
          <w:sz w:val="24"/>
          <w:szCs w:val="24"/>
          <w:u w:val="single"/>
          <w:shd w:val="clear" w:color="auto" w:fill="FFFFFF"/>
          <w:lang w:val="en-US" w:bidi="ar"/>
        </w:rPr>
        <w:t>年</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25</w:t>
      </w:r>
      <w:r>
        <w:rPr>
          <w:rFonts w:hint="eastAsia" w:ascii="微软雅黑" w:hAnsi="微软雅黑" w:eastAsia="微软雅黑" w:cs="微软雅黑"/>
          <w:color w:val="333333"/>
          <w:sz w:val="24"/>
          <w:szCs w:val="24"/>
          <w:u w:val="single"/>
          <w:shd w:val="clear" w:color="auto" w:fill="FFFFFF"/>
          <w:lang w:val="en-US" w:bidi="ar"/>
        </w:rPr>
        <w:t>日23时59分</w:t>
      </w:r>
      <w:r>
        <w:rPr>
          <w:rFonts w:hint="eastAsia" w:ascii="微软雅黑" w:hAnsi="微软雅黑" w:eastAsia="微软雅黑" w:cs="微软雅黑"/>
          <w:color w:val="333333"/>
          <w:sz w:val="24"/>
          <w:szCs w:val="24"/>
          <w:shd w:val="clear" w:color="auto" w:fill="FFFFFF"/>
          <w:lang w:val="en-US" w:bidi="ar"/>
        </w:rPr>
        <w:t>（北京时间，法定节假日除外）</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地点： </w:t>
      </w:r>
      <w:r>
        <w:rPr>
          <w:rFonts w:hint="eastAsia" w:ascii="微软雅黑" w:hAnsi="微软雅黑" w:eastAsia="微软雅黑" w:cs="微软雅黑"/>
          <w:color w:val="333333"/>
          <w:sz w:val="24"/>
          <w:szCs w:val="24"/>
          <w:u w:val="single"/>
          <w:shd w:val="clear" w:color="auto" w:fill="FFFFFF"/>
          <w:lang w:val="en-US" w:bidi="ar"/>
        </w:rPr>
        <w:t>海南政府采购网(www.ccgp-hainan.gov.cn)-海南省政府采购电子化交易管理系统(新)</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方式： </w:t>
      </w:r>
      <w:r>
        <w:rPr>
          <w:rFonts w:hint="eastAsia" w:ascii="微软雅黑" w:hAnsi="微软雅黑" w:eastAsia="微软雅黑" w:cs="微软雅黑"/>
          <w:color w:val="333333"/>
          <w:sz w:val="24"/>
          <w:szCs w:val="24"/>
          <w:u w:val="single"/>
          <w:shd w:val="clear" w:color="auto" w:fill="FFFFFF"/>
          <w:lang w:val="en-US" w:bidi="ar"/>
        </w:rPr>
        <w:t>网上获取</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四、提交投标文件截止时间、开标时间和地点:</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10</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日</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时</w:t>
      </w:r>
      <w:r>
        <w:rPr>
          <w:rFonts w:hint="eastAsia" w:ascii="微软雅黑" w:hAnsi="微软雅黑" w:eastAsia="微软雅黑" w:cs="微软雅黑"/>
          <w:color w:val="333333"/>
          <w:sz w:val="24"/>
          <w:szCs w:val="24"/>
          <w:u w:val="single"/>
          <w:shd w:val="clear" w:color="auto" w:fill="FFFFFF"/>
          <w:lang w:val="en-US" w:eastAsia="zh-CN" w:bidi="ar"/>
        </w:rPr>
        <w:t>00</w:t>
      </w:r>
      <w:r>
        <w:rPr>
          <w:rFonts w:hint="eastAsia" w:ascii="微软雅黑" w:hAnsi="微软雅黑" w:eastAsia="微软雅黑" w:cs="微软雅黑"/>
          <w:color w:val="333333"/>
          <w:sz w:val="24"/>
          <w:szCs w:val="24"/>
          <w:u w:val="single"/>
          <w:shd w:val="clear" w:color="auto" w:fill="FFFFFF"/>
          <w:lang w:val="en-US" w:bidi="ar"/>
        </w:rPr>
        <w:t>分（北京时间）</w:t>
      </w:r>
    </w:p>
    <w:p>
      <w:pPr>
        <w:widowControl/>
        <w:shd w:val="clear" w:color="auto" w:fill="FFFFFF"/>
        <w:spacing w:line="540" w:lineRule="atLeast"/>
        <w:ind w:firstLine="42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shd w:val="clear" w:color="auto" w:fill="FFFFFF"/>
          <w:lang w:val="en-US" w:bidi="ar"/>
        </w:rPr>
        <w:t>地点：</w:t>
      </w:r>
      <w:r>
        <w:rPr>
          <w:rFonts w:hint="eastAsia" w:ascii="微软雅黑" w:hAnsi="微软雅黑" w:eastAsia="微软雅黑" w:cs="微软雅黑"/>
          <w:color w:val="333333"/>
          <w:sz w:val="24"/>
          <w:szCs w:val="24"/>
          <w:u w:val="single"/>
          <w:shd w:val="clear" w:color="auto" w:fill="FFFFFF"/>
          <w:lang w:val="en-US" w:bidi="ar"/>
        </w:rPr>
        <w:t>海口市美兰区蓝天路51号京航大酒店5楼(海南招协招标采购交易平台）开标室</w:t>
      </w:r>
      <w:r>
        <w:rPr>
          <w:rFonts w:hint="eastAsia" w:ascii="微软雅黑" w:hAnsi="微软雅黑" w:eastAsia="微软雅黑" w:cs="微软雅黑"/>
          <w:color w:val="333333"/>
          <w:sz w:val="24"/>
          <w:szCs w:val="24"/>
          <w:u w:val="single"/>
          <w:shd w:val="clear" w:color="auto" w:fill="FFFFFF"/>
          <w:lang w:val="en-US" w:eastAsia="zh-CN" w:bidi="ar"/>
        </w:rPr>
        <w:t>2</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五、公告期限</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自本公告发布之日起5个工作日。</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六、其他补充事宜</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rPr>
        <w:t>1</w:t>
      </w:r>
      <w:r>
        <w:rPr>
          <w:rFonts w:hint="eastAsia" w:ascii="微软雅黑" w:hAnsi="微软雅黑" w:eastAsia="微软雅黑" w:cs="微软雅黑"/>
          <w:color w:val="333333"/>
          <w:sz w:val="24"/>
          <w:szCs w:val="24"/>
        </w:rPr>
        <w:t xml:space="preserve">.供应商应详细阅读海南省政府采购网的通知《海南省财政厅关于政府采购电子化交易管理系统全省推广应用的通知》，下载查看操作手册，在使用交易系统遇到问题可致电技术支持：0898-68546705。 </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rPr>
        <w:t>2</w:t>
      </w:r>
      <w:r>
        <w:rPr>
          <w:rFonts w:hint="eastAsia" w:ascii="微软雅黑" w:hAnsi="微软雅黑" w:eastAsia="微软雅黑" w:cs="微软雅黑"/>
          <w:color w:val="333333"/>
          <w:sz w:val="24"/>
          <w:szCs w:val="24"/>
        </w:rPr>
        <w:t>.本项目采购信息指定发布媒体为：中国政府采购网、海南省政府采购网。有关本项目招标文件的补遗、澄清及变更信息以上述网站公告与下载为准，采购代理机构不再另行通知，招标文件与更正公告的内容相互矛盾时，以最后发出的更正公告内容为准。</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七、对本次招标提出询问，请按以下方式联系</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1.采购人信息</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名称：海口市高级技工学校</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地址：海口市高级技工学校龙华区总务科(海口市龙华路52号）</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联系方式：0898-66753705</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2.采购代理机构信息</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名称：海南双达项目管理有限公司</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地址：海南省海口市美兰区蓝天街道国兴大道3号互联网金融大厦A栋23层</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联系方式：0898-68652125</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3.项目联系方式</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项目联系人：吴工</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电话： 0898-68652125</w:t>
      </w:r>
    </w:p>
    <w:p/>
    <w:p>
      <w:pPr>
        <w:pStyle w:val="2"/>
      </w:pPr>
    </w:p>
    <w:p/>
    <w:p>
      <w:pPr>
        <w:pStyle w:val="2"/>
      </w:pPr>
    </w:p>
    <w:p/>
    <w:p>
      <w:pPr>
        <w:pStyle w:val="2"/>
      </w:pPr>
    </w:p>
    <w:p>
      <w:pPr>
        <w:pStyle w:val="15"/>
        <w:ind w:firstLine="240"/>
      </w:pPr>
    </w:p>
    <w:p>
      <w:pPr>
        <w:pStyle w:val="3"/>
        <w:tabs>
          <w:tab w:val="left" w:pos="1444"/>
        </w:tabs>
        <w:spacing w:line="623" w:lineRule="exact"/>
        <w:ind w:right="688"/>
        <w:jc w:val="center"/>
      </w:pPr>
      <w:r>
        <w:t>第二章</w:t>
      </w:r>
      <w:r>
        <w:tab/>
      </w:r>
      <w:r>
        <w:t>投标须知</w:t>
      </w:r>
    </w:p>
    <w:p>
      <w:pPr>
        <w:pStyle w:val="4"/>
        <w:spacing w:before="311"/>
      </w:pPr>
      <w:r>
        <w:t>一、投标人须知附表</w:t>
      </w:r>
    </w:p>
    <w:tbl>
      <w:tblPr>
        <w:tblStyle w:val="17"/>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序号</w:t>
            </w:r>
          </w:p>
        </w:tc>
        <w:tc>
          <w:tcPr>
            <w:tcW w:w="1667"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条款名称</w:t>
            </w:r>
          </w:p>
        </w:tc>
        <w:tc>
          <w:tcPr>
            <w:tcW w:w="7762"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restart"/>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1</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c>
        <w:tc>
          <w:tcPr>
            <w:tcW w:w="7762" w:type="dxa"/>
            <w:noWrap/>
            <w:vAlign w:val="center"/>
          </w:tcPr>
          <w:p>
            <w:pPr>
              <w:spacing w:line="360" w:lineRule="auto"/>
              <w:rPr>
                <w:rFonts w:ascii="微软雅黑" w:hAnsi="微软雅黑" w:eastAsia="微软雅黑" w:cs="微软雅黑"/>
                <w:bCs/>
                <w:szCs w:val="21"/>
              </w:rPr>
            </w:pPr>
            <w:r>
              <w:rPr>
                <w:rFonts w:hint="eastAsia" w:ascii="微软雅黑" w:hAnsi="微软雅黑" w:eastAsia="微软雅黑" w:cs="微软雅黑"/>
                <w:szCs w:val="21"/>
              </w:rPr>
              <w:t>项目名称：校园照明综合改造</w:t>
            </w:r>
          </w:p>
          <w:p>
            <w:pPr>
              <w:spacing w:line="36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rPr>
              <w:t>项目编号：</w:t>
            </w:r>
            <w:r>
              <w:rPr>
                <w:rFonts w:hint="eastAsia" w:ascii="微软雅黑" w:hAnsi="微软雅黑" w:eastAsia="微软雅黑" w:cs="微软雅黑"/>
                <w:szCs w:val="21"/>
                <w:lang w:eastAsia="zh-CN"/>
              </w:rPr>
              <w:t>sdzb2022-063RR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采购预算</w:t>
            </w:r>
          </w:p>
        </w:tc>
        <w:tc>
          <w:tcPr>
            <w:tcW w:w="7762" w:type="dxa"/>
            <w:noWrap/>
            <w:vAlign w:val="center"/>
          </w:tcPr>
          <w:p>
            <w:pPr>
              <w:widowControl/>
              <w:rPr>
                <w:rFonts w:ascii="微软雅黑" w:hAnsi="微软雅黑" w:eastAsia="微软雅黑" w:cs="微软雅黑"/>
                <w:szCs w:val="21"/>
                <w:u w:val="single"/>
              </w:rPr>
            </w:pPr>
            <w:r>
              <w:rPr>
                <w:rFonts w:hint="eastAsia" w:ascii="微软雅黑" w:hAnsi="微软雅黑" w:eastAsia="微软雅黑" w:cs="微软雅黑"/>
                <w:szCs w:val="21"/>
              </w:rPr>
              <w:t>采购总预算：人民币</w:t>
            </w:r>
            <w:r>
              <w:rPr>
                <w:rFonts w:hint="eastAsia" w:ascii="微软雅黑" w:hAnsi="微软雅黑" w:eastAsia="微软雅黑" w:cs="微软雅黑"/>
                <w:szCs w:val="21"/>
                <w:lang w:val="en-US"/>
              </w:rPr>
              <w:t>叁佰零叁万贰仟壹佰壹拾陆元捌角</w:t>
            </w:r>
            <w:r>
              <w:rPr>
                <w:rFonts w:hint="eastAsia" w:ascii="微软雅黑" w:hAnsi="微软雅黑" w:eastAsia="微软雅黑" w:cs="微软雅黑"/>
                <w:szCs w:val="21"/>
              </w:rPr>
              <w:t>（￥ 3032</w:t>
            </w:r>
            <w:r>
              <w:rPr>
                <w:rFonts w:hint="eastAsia" w:ascii="微软雅黑" w:hAnsi="微软雅黑" w:eastAsia="微软雅黑" w:cs="微软雅黑"/>
                <w:szCs w:val="21"/>
                <w:lang w:val="en-US"/>
              </w:rPr>
              <w:t>116</w:t>
            </w:r>
            <w:r>
              <w:rPr>
                <w:rFonts w:hint="eastAsia" w:ascii="微软雅黑" w:hAnsi="微软雅黑" w:eastAsia="微软雅黑" w:cs="微软雅黑"/>
                <w:szCs w:val="21"/>
              </w:rPr>
              <w:t>.</w:t>
            </w:r>
            <w:r>
              <w:rPr>
                <w:rFonts w:hint="eastAsia" w:ascii="微软雅黑" w:hAnsi="微软雅黑" w:eastAsia="微软雅黑" w:cs="微软雅黑"/>
                <w:szCs w:val="21"/>
                <w:lang w:val="en-US"/>
              </w:rPr>
              <w:t>8</w:t>
            </w:r>
            <w:r>
              <w:rPr>
                <w:rFonts w:hint="eastAsia" w:ascii="微软雅黑" w:hAnsi="微软雅黑" w:eastAsia="微软雅黑" w:cs="微软雅黑"/>
                <w:szCs w:val="21"/>
              </w:rPr>
              <w:t>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2</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采购人信息</w:t>
            </w:r>
          </w:p>
        </w:tc>
        <w:tc>
          <w:tcPr>
            <w:tcW w:w="7762" w:type="dxa"/>
            <w:noWrap/>
            <w:vAlign w:val="center"/>
          </w:tcPr>
          <w:p>
            <w:pPr>
              <w:rPr>
                <w:rFonts w:ascii="微软雅黑" w:hAnsi="微软雅黑" w:eastAsia="微软雅黑" w:cs="微软雅黑"/>
                <w:szCs w:val="21"/>
              </w:rPr>
            </w:pPr>
            <w:r>
              <w:rPr>
                <w:rFonts w:hint="eastAsia" w:ascii="微软雅黑" w:hAnsi="微软雅黑" w:eastAsia="微软雅黑" w:cs="微软雅黑"/>
                <w:szCs w:val="21"/>
              </w:rPr>
              <w:t>采购人：海口市高级技工学校</w:t>
            </w:r>
          </w:p>
          <w:p>
            <w:pPr>
              <w:rPr>
                <w:rFonts w:ascii="微软雅黑" w:hAnsi="微软雅黑" w:eastAsia="微软雅黑" w:cs="微软雅黑"/>
                <w:szCs w:val="21"/>
              </w:rPr>
            </w:pPr>
            <w:r>
              <w:rPr>
                <w:rFonts w:hint="eastAsia" w:ascii="微软雅黑" w:hAnsi="微软雅黑" w:eastAsia="微软雅黑" w:cs="微软雅黑"/>
                <w:szCs w:val="21"/>
              </w:rPr>
              <w:t>地址：海口市高级技工学校龙华区总务科(海口市龙华路52号）</w:t>
            </w:r>
          </w:p>
          <w:p>
            <w:pPr>
              <w:rPr>
                <w:rFonts w:ascii="微软雅黑" w:hAnsi="微软雅黑" w:eastAsia="微软雅黑" w:cs="微软雅黑"/>
                <w:szCs w:val="21"/>
              </w:rPr>
            </w:pPr>
            <w:r>
              <w:rPr>
                <w:rFonts w:hint="eastAsia" w:ascii="微软雅黑" w:hAnsi="微软雅黑" w:eastAsia="微软雅黑" w:cs="微软雅黑"/>
                <w:szCs w:val="21"/>
              </w:rPr>
              <w:t>联系人：</w:t>
            </w:r>
            <w:r>
              <w:rPr>
                <w:rFonts w:hint="eastAsia" w:ascii="微软雅黑" w:hAnsi="微软雅黑" w:eastAsia="微软雅黑" w:cs="微软雅黑"/>
                <w:szCs w:val="21"/>
                <w:lang w:val="en-US"/>
              </w:rPr>
              <w:t>刘老师</w:t>
            </w:r>
          </w:p>
          <w:p>
            <w:pPr>
              <w:rPr>
                <w:rFonts w:ascii="微软雅黑" w:hAnsi="微软雅黑" w:eastAsia="微软雅黑" w:cs="微软雅黑"/>
                <w:szCs w:val="21"/>
                <w:lang w:val="en-US"/>
              </w:rPr>
            </w:pPr>
            <w:r>
              <w:rPr>
                <w:rFonts w:hint="eastAsia" w:ascii="微软雅黑" w:hAnsi="微软雅黑" w:eastAsia="微软雅黑" w:cs="微软雅黑"/>
                <w:szCs w:val="21"/>
              </w:rPr>
              <w:t>电话：</w:t>
            </w:r>
            <w:r>
              <w:rPr>
                <w:rFonts w:hint="eastAsia" w:ascii="微软雅黑" w:hAnsi="微软雅黑" w:eastAsia="微软雅黑" w:cs="微软雅黑"/>
                <w:szCs w:val="21"/>
                <w:lang w:val="en-US"/>
              </w:rPr>
              <w:t>0898-66753705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3</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采购代理机构</w:t>
            </w:r>
          </w:p>
        </w:tc>
        <w:tc>
          <w:tcPr>
            <w:tcW w:w="7762" w:type="dxa"/>
            <w:noWrap/>
            <w:vAlign w:val="center"/>
          </w:tcPr>
          <w:p>
            <w:pPr>
              <w:rPr>
                <w:rFonts w:ascii="微软雅黑" w:hAnsi="微软雅黑" w:eastAsia="微软雅黑" w:cs="微软雅黑"/>
                <w:szCs w:val="21"/>
              </w:rPr>
            </w:pPr>
            <w:r>
              <w:rPr>
                <w:rFonts w:hint="eastAsia" w:ascii="微软雅黑" w:hAnsi="微软雅黑" w:eastAsia="微软雅黑" w:cs="微软雅黑"/>
                <w:szCs w:val="21"/>
              </w:rPr>
              <w:t>单位名称：海南双达项目管理有限公司</w:t>
            </w:r>
          </w:p>
          <w:p>
            <w:pPr>
              <w:rPr>
                <w:rFonts w:ascii="微软雅黑" w:hAnsi="微软雅黑" w:eastAsia="微软雅黑" w:cs="微软雅黑"/>
                <w:szCs w:val="21"/>
                <w:lang w:val="en-US"/>
              </w:rPr>
            </w:pPr>
            <w:r>
              <w:rPr>
                <w:rFonts w:hint="eastAsia" w:ascii="微软雅黑" w:hAnsi="微软雅黑" w:eastAsia="微软雅黑" w:cs="微软雅黑"/>
                <w:szCs w:val="21"/>
                <w:lang w:val="en-US"/>
              </w:rPr>
              <w:t>地  址：海南省海口市美兰区蓝天街道国兴大道3号互联网金融大厦A栋23层</w:t>
            </w:r>
          </w:p>
          <w:p>
            <w:pPr>
              <w:rPr>
                <w:rFonts w:ascii="微软雅黑" w:hAnsi="微软雅黑" w:eastAsia="微软雅黑" w:cs="微软雅黑"/>
                <w:szCs w:val="21"/>
              </w:rPr>
            </w:pPr>
            <w:r>
              <w:rPr>
                <w:rFonts w:hint="eastAsia" w:ascii="微软雅黑" w:hAnsi="微软雅黑" w:eastAsia="微软雅黑" w:cs="微软雅黑"/>
                <w:szCs w:val="21"/>
              </w:rPr>
              <w:t>联 系 人：吴工</w:t>
            </w:r>
          </w:p>
          <w:p>
            <w:pPr>
              <w:rPr>
                <w:rFonts w:ascii="微软雅黑" w:hAnsi="微软雅黑" w:eastAsia="微软雅黑" w:cs="微软雅黑"/>
                <w:szCs w:val="21"/>
              </w:rPr>
            </w:pPr>
            <w:r>
              <w:rPr>
                <w:rFonts w:hint="eastAsia" w:ascii="微软雅黑" w:hAnsi="微软雅黑" w:eastAsia="微软雅黑" w:cs="微软雅黑"/>
                <w:szCs w:val="21"/>
              </w:rPr>
              <w:t>电  话：0898-68652125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4</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投标人资格条件</w:t>
            </w:r>
          </w:p>
        </w:tc>
        <w:tc>
          <w:tcPr>
            <w:tcW w:w="7762" w:type="dxa"/>
            <w:noWrap/>
            <w:vAlign w:val="center"/>
          </w:tcPr>
          <w:p>
            <w:pPr>
              <w:rPr>
                <w:rFonts w:ascii="微软雅黑" w:hAnsi="微软雅黑" w:eastAsia="微软雅黑" w:cs="微软雅黑"/>
                <w:szCs w:val="21"/>
                <w:lang w:val="en-US"/>
              </w:rPr>
            </w:pPr>
            <w:r>
              <w:rPr>
                <w:rFonts w:hint="eastAsia" w:ascii="微软雅黑" w:hAnsi="微软雅黑" w:eastAsia="微软雅黑" w:cs="微软雅黑"/>
                <w:szCs w:val="21"/>
                <w:lang w:val="en-US"/>
              </w:rPr>
              <w:t>（1）具有独立承担民事责任能力的在中华人民共和国境内注册的法人，须提供加载“统一社会信用代码”的有效营业执照（复印件加盖公章）。（2）具有良好的商业信誉和健全的财务会计制度：提供202</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lang w:val="en-US"/>
              </w:rPr>
              <w:t>年年度经会计师事务所审计的财务审计报告或提供202</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lang w:val="en-US"/>
              </w:rPr>
              <w:t>年1月1日至今任意一个季度的财务报表复印件：资产负债表、利润表，新成立公司根据实际情况提供财务报表复印件。要求提供的资料须是复印件加盖公章。（3）具有履行采购合同所必需的设备和专业技术能力：提供承诺函，格式自拟（加盖公章）。（4）有依法缴纳税收和社会保障资金的良好记录：提供202</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lang w:val="en-US"/>
              </w:rPr>
              <w:t>年1月1日至今任意一个</w:t>
            </w:r>
            <w:r>
              <w:rPr>
                <w:rFonts w:hint="eastAsia" w:ascii="微软雅黑" w:hAnsi="微软雅黑" w:eastAsia="微软雅黑" w:cs="微软雅黑"/>
                <w:szCs w:val="21"/>
                <w:lang w:val="en-US" w:eastAsia="zh-CN"/>
              </w:rPr>
              <w:t>季度</w:t>
            </w:r>
            <w:r>
              <w:rPr>
                <w:rFonts w:hint="eastAsia" w:ascii="微软雅黑" w:hAnsi="微软雅黑" w:eastAsia="微软雅黑" w:cs="微软雅黑"/>
                <w:szCs w:val="21"/>
                <w:lang w:val="en-US"/>
              </w:rPr>
              <w:t>依法缴纳税收、依法缴纳社会保障资金的证明材料；投标人是零报税的，应提供由税务部门盖章的纳税申报表；依法免税或不需要缴纳社会保障资金的投标人，提供相应文件证明其依法免税或不需要缴纳社会保障资金。要求提供的资料须是复印件加盖公章。（5）参加本次采购活动前三年内，在经营活动中没有重大违法记录、环保类行政处罚记录：提供声明函，格式自拟（加盖公章）。（6）符合法律、行政法规规定的其他条件：提供承诺函、格式自拟（加盖公章）。 （7）投标人无不良信用记录：投标人在“信用中国”网站（www.creditchina.gov.cn）未被列入失信被执行人、重大税收违法案件当事人名单、未被列入政府采购严重违法失信行为记录名单，在中国政府采购网（www.ccgp.gov.cn）未被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5</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领取招标文件地址</w:t>
            </w:r>
          </w:p>
        </w:tc>
        <w:tc>
          <w:tcPr>
            <w:tcW w:w="7762" w:type="dxa"/>
            <w:noWrap/>
            <w:vAlign w:val="center"/>
          </w:tcPr>
          <w:p>
            <w:pPr>
              <w:spacing w:line="360" w:lineRule="auto"/>
              <w:rPr>
                <w:rFonts w:ascii="微软雅黑" w:hAnsi="微软雅黑" w:eastAsia="微软雅黑" w:cs="微软雅黑"/>
                <w:szCs w:val="21"/>
                <w:lang w:val="en-US"/>
              </w:rPr>
            </w:pPr>
            <w:r>
              <w:rPr>
                <w:rFonts w:hint="eastAsia" w:ascii="微软雅黑" w:hAnsi="微软雅黑" w:eastAsia="微软雅黑" w:cs="微软雅黑"/>
                <w:color w:val="333333"/>
                <w:sz w:val="21"/>
                <w:szCs w:val="21"/>
                <w:u w:val="single"/>
                <w:shd w:val="clear" w:color="auto" w:fill="FFFFFF"/>
                <w:lang w:val="en-US" w:bidi="ar"/>
              </w:rPr>
              <w:t>海南政府采购网(www.ccgp-hainan.gov.cn)-海南省政府采购电子化交易管理系统(新)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6</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现场踏勘</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xml:space="preserve">（√）不统一组织 （ ）统一组织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7</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招标保证金</w:t>
            </w:r>
          </w:p>
        </w:tc>
        <w:tc>
          <w:tcPr>
            <w:tcW w:w="7762" w:type="dxa"/>
            <w:noWrap/>
            <w:vAlign w:val="center"/>
          </w:tcPr>
          <w:p>
            <w:pPr>
              <w:spacing w:line="360" w:lineRule="auto"/>
              <w:rPr>
                <w:rFonts w:ascii="微软雅黑" w:hAnsi="微软雅黑" w:eastAsia="微软雅黑" w:cs="微软雅黑"/>
                <w:sz w:val="21"/>
                <w:szCs w:val="20"/>
              </w:rPr>
            </w:pPr>
            <w:r>
              <w:rPr>
                <w:rFonts w:hint="eastAsia" w:ascii="微软雅黑" w:hAnsi="微软雅黑" w:eastAsia="微软雅黑" w:cs="微软雅黑"/>
                <w:sz w:val="21"/>
                <w:szCs w:val="20"/>
              </w:rPr>
              <w:t>（  ）不要求提供</w:t>
            </w:r>
          </w:p>
          <w:p>
            <w:pPr>
              <w:spacing w:line="360" w:lineRule="auto"/>
              <w:rPr>
                <w:rFonts w:ascii="微软雅黑" w:hAnsi="微软雅黑" w:eastAsia="微软雅黑" w:cs="微软雅黑"/>
                <w:sz w:val="21"/>
                <w:szCs w:val="20"/>
              </w:rPr>
            </w:pPr>
            <w:r>
              <w:rPr>
                <w:rFonts w:hint="eastAsia" w:ascii="微软雅黑" w:hAnsi="微软雅黑" w:eastAsia="微软雅黑" w:cs="微软雅黑"/>
                <w:sz w:val="21"/>
                <w:szCs w:val="20"/>
              </w:rPr>
              <w:t>（√）要求提供，数额不得超过采购项目预算金额的</w:t>
            </w:r>
            <w:r>
              <w:rPr>
                <w:rFonts w:hint="eastAsia" w:ascii="微软雅黑" w:hAnsi="微软雅黑" w:eastAsia="微软雅黑" w:cs="微软雅黑"/>
                <w:sz w:val="21"/>
                <w:szCs w:val="20"/>
                <w:lang w:val="en-US" w:eastAsia="zh-CN"/>
              </w:rPr>
              <w:t>0.5</w:t>
            </w:r>
            <w:r>
              <w:rPr>
                <w:rFonts w:hint="eastAsia" w:ascii="微软雅黑" w:hAnsi="微软雅黑" w:eastAsia="微软雅黑" w:cs="微软雅黑"/>
                <w:sz w:val="21"/>
                <w:szCs w:val="20"/>
              </w:rPr>
              <w:t>%</w:t>
            </w:r>
          </w:p>
          <w:p>
            <w:pPr>
              <w:rPr>
                <w:rFonts w:ascii="微软雅黑" w:hAnsi="微软雅黑" w:eastAsia="微软雅黑" w:cs="微软雅黑"/>
                <w:sz w:val="21"/>
                <w:szCs w:val="20"/>
              </w:rPr>
            </w:pPr>
            <w:r>
              <w:rPr>
                <w:rFonts w:hint="eastAsia" w:ascii="微软雅黑" w:hAnsi="微软雅黑" w:eastAsia="微软雅黑" w:cs="微软雅黑"/>
                <w:sz w:val="21"/>
                <w:szCs w:val="20"/>
              </w:rPr>
              <w:t>投标保证金缴纳的形式：必须从投标单位基本账户转账方式一次性缴纳（禁止代缴）。</w:t>
            </w:r>
          </w:p>
          <w:p>
            <w:pPr>
              <w:spacing w:after="120"/>
              <w:jc w:val="both"/>
              <w:rPr>
                <w:rFonts w:ascii="微软雅黑" w:hAnsi="微软雅黑" w:eastAsia="微软雅黑" w:cs="微软雅黑"/>
                <w:kern w:val="2"/>
                <w:sz w:val="20"/>
                <w:lang w:val="en-US" w:bidi="ar-SA"/>
              </w:rPr>
            </w:pPr>
            <w:r>
              <w:rPr>
                <w:rFonts w:hint="eastAsia" w:ascii="微软雅黑" w:hAnsi="微软雅黑" w:eastAsia="微软雅黑" w:cs="微软雅黑"/>
                <w:sz w:val="21"/>
                <w:szCs w:val="20"/>
              </w:rPr>
              <w:t>投标保证金的金额：￥</w:t>
            </w:r>
            <w:r>
              <w:rPr>
                <w:rFonts w:hint="eastAsia" w:ascii="微软雅黑" w:hAnsi="微软雅黑" w:eastAsia="微软雅黑" w:cs="微软雅黑"/>
                <w:sz w:val="21"/>
                <w:szCs w:val="20"/>
                <w:lang w:val="en-US"/>
              </w:rPr>
              <w:t>10000.00元（人民币：壹万元整）</w:t>
            </w:r>
          </w:p>
          <w:p>
            <w:pPr>
              <w:shd w:val="clear" w:color="auto" w:fill="FFFFFF"/>
              <w:rPr>
                <w:rFonts w:ascii="微软雅黑" w:hAnsi="微软雅黑" w:eastAsia="微软雅黑" w:cs="微软雅黑"/>
                <w:sz w:val="21"/>
                <w:szCs w:val="20"/>
              </w:rPr>
            </w:pPr>
            <w:r>
              <w:rPr>
                <w:rFonts w:hint="eastAsia" w:ascii="微软雅黑" w:hAnsi="微软雅黑" w:eastAsia="微软雅黑" w:cs="微软雅黑"/>
                <w:sz w:val="21"/>
                <w:szCs w:val="20"/>
              </w:rPr>
              <w:t xml:space="preserve">保证金到账截止日期： </w:t>
            </w:r>
            <w:r>
              <w:rPr>
                <w:rFonts w:hint="eastAsia" w:ascii="微软雅黑" w:hAnsi="微软雅黑" w:eastAsia="微软雅黑" w:cs="微软雅黑"/>
                <w:sz w:val="21"/>
                <w:szCs w:val="20"/>
                <w:u w:val="single"/>
              </w:rPr>
              <w:t>202</w:t>
            </w:r>
            <w:r>
              <w:rPr>
                <w:rFonts w:hint="eastAsia" w:ascii="微软雅黑" w:hAnsi="微软雅黑" w:eastAsia="微软雅黑" w:cs="微软雅黑"/>
                <w:sz w:val="21"/>
                <w:szCs w:val="20"/>
                <w:u w:val="single"/>
                <w:lang w:val="en-US"/>
              </w:rPr>
              <w:t>3</w:t>
            </w:r>
            <w:r>
              <w:rPr>
                <w:rFonts w:hint="eastAsia" w:ascii="微软雅黑" w:hAnsi="微软雅黑" w:eastAsia="微软雅黑" w:cs="微软雅黑"/>
                <w:sz w:val="21"/>
                <w:szCs w:val="20"/>
                <w:u w:val="single"/>
              </w:rPr>
              <w:t>年</w:t>
            </w:r>
            <w:r>
              <w:rPr>
                <w:rFonts w:hint="eastAsia" w:ascii="微软雅黑" w:hAnsi="微软雅黑" w:eastAsia="微软雅黑" w:cs="微软雅黑"/>
                <w:sz w:val="21"/>
                <w:szCs w:val="20"/>
                <w:u w:val="single"/>
                <w:lang w:val="en-US" w:eastAsia="zh-CN"/>
              </w:rPr>
              <w:t>10</w:t>
            </w:r>
            <w:r>
              <w:rPr>
                <w:rFonts w:hint="eastAsia" w:ascii="微软雅黑" w:hAnsi="微软雅黑" w:eastAsia="微软雅黑" w:cs="微软雅黑"/>
                <w:sz w:val="21"/>
                <w:szCs w:val="20"/>
                <w:u w:val="single"/>
              </w:rPr>
              <w:t>月</w:t>
            </w:r>
            <w:r>
              <w:rPr>
                <w:rFonts w:hint="eastAsia" w:ascii="微软雅黑" w:hAnsi="微软雅黑" w:eastAsia="微软雅黑" w:cs="微软雅黑"/>
                <w:sz w:val="21"/>
                <w:szCs w:val="20"/>
                <w:u w:val="single"/>
                <w:lang w:val="en-US" w:eastAsia="zh-CN"/>
              </w:rPr>
              <w:t>9</w:t>
            </w:r>
            <w:r>
              <w:rPr>
                <w:rFonts w:hint="eastAsia" w:ascii="微软雅黑" w:hAnsi="微软雅黑" w:eastAsia="微软雅黑" w:cs="微软雅黑"/>
                <w:sz w:val="21"/>
                <w:szCs w:val="20"/>
                <w:u w:val="single"/>
              </w:rPr>
              <w:t>日</w:t>
            </w:r>
            <w:r>
              <w:rPr>
                <w:rFonts w:hint="eastAsia" w:ascii="微软雅黑" w:hAnsi="微软雅黑" w:eastAsia="微软雅黑" w:cs="微软雅黑"/>
                <w:sz w:val="21"/>
                <w:szCs w:val="20"/>
                <w:u w:val="single"/>
                <w:lang w:val="en-US" w:eastAsia="zh-CN"/>
              </w:rPr>
              <w:t>9</w:t>
            </w:r>
            <w:r>
              <w:rPr>
                <w:rFonts w:hint="eastAsia" w:ascii="微软雅黑" w:hAnsi="微软雅黑" w:eastAsia="微软雅黑" w:cs="微软雅黑"/>
                <w:sz w:val="21"/>
                <w:szCs w:val="20"/>
                <w:u w:val="single"/>
              </w:rPr>
              <w:t>点</w:t>
            </w:r>
            <w:r>
              <w:rPr>
                <w:rFonts w:hint="eastAsia" w:ascii="微软雅黑" w:hAnsi="微软雅黑" w:eastAsia="微软雅黑" w:cs="微软雅黑"/>
                <w:sz w:val="21"/>
                <w:szCs w:val="20"/>
                <w:u w:val="single"/>
                <w:lang w:val="en-US" w:eastAsia="zh-CN"/>
              </w:rPr>
              <w:t>00</w:t>
            </w:r>
            <w:r>
              <w:rPr>
                <w:rFonts w:hint="eastAsia" w:ascii="微软雅黑" w:hAnsi="微软雅黑" w:eastAsia="微软雅黑" w:cs="微软雅黑"/>
                <w:sz w:val="21"/>
                <w:szCs w:val="20"/>
                <w:u w:val="single"/>
              </w:rPr>
              <w:t>分</w:t>
            </w:r>
          </w:p>
          <w:p>
            <w:pPr>
              <w:shd w:val="clear" w:color="auto" w:fill="FFFFFF"/>
              <w:rPr>
                <w:rFonts w:ascii="微软雅黑" w:hAnsi="微软雅黑" w:eastAsia="微软雅黑" w:cs="微软雅黑"/>
                <w:sz w:val="21"/>
                <w:szCs w:val="20"/>
              </w:rPr>
            </w:pPr>
            <w:r>
              <w:rPr>
                <w:rFonts w:hint="eastAsia" w:ascii="微软雅黑" w:hAnsi="微软雅黑" w:eastAsia="微软雅黑" w:cs="微软雅黑"/>
                <w:sz w:val="21"/>
                <w:szCs w:val="20"/>
              </w:rPr>
              <w:t>招标保证金应到达以下指定账户并注明汇款单位：</w:t>
            </w:r>
          </w:p>
          <w:p>
            <w:pPr>
              <w:rPr>
                <w:rFonts w:ascii="微软雅黑" w:hAnsi="微软雅黑" w:eastAsia="微软雅黑" w:cs="微软雅黑"/>
                <w:sz w:val="21"/>
                <w:szCs w:val="20"/>
              </w:rPr>
            </w:pPr>
            <w:r>
              <w:rPr>
                <w:rFonts w:hint="eastAsia" w:ascii="微软雅黑" w:hAnsi="微软雅黑" w:eastAsia="微软雅黑" w:cs="微软雅黑"/>
                <w:sz w:val="21"/>
                <w:szCs w:val="20"/>
              </w:rPr>
              <w:t>户名：海南双达项目管理有限公司</w:t>
            </w:r>
          </w:p>
          <w:p>
            <w:pPr>
              <w:rPr>
                <w:rFonts w:ascii="微软雅黑" w:hAnsi="微软雅黑" w:eastAsia="微软雅黑" w:cs="微软雅黑"/>
                <w:sz w:val="21"/>
                <w:szCs w:val="20"/>
              </w:rPr>
            </w:pPr>
            <w:r>
              <w:rPr>
                <w:rFonts w:hint="eastAsia" w:ascii="微软雅黑" w:hAnsi="微软雅黑" w:eastAsia="微软雅黑" w:cs="微软雅黑"/>
                <w:sz w:val="21"/>
                <w:szCs w:val="20"/>
              </w:rPr>
              <w:t>账    号：1008 9813 0000 0187</w:t>
            </w:r>
          </w:p>
          <w:p>
            <w:pPr>
              <w:rPr>
                <w:rFonts w:ascii="微软雅黑" w:hAnsi="微软雅黑" w:eastAsia="微软雅黑" w:cs="微软雅黑"/>
                <w:sz w:val="21"/>
                <w:szCs w:val="20"/>
              </w:rPr>
            </w:pPr>
            <w:r>
              <w:rPr>
                <w:rFonts w:hint="eastAsia" w:ascii="微软雅黑" w:hAnsi="微软雅黑" w:eastAsia="微软雅黑" w:cs="微软雅黑"/>
                <w:sz w:val="21"/>
                <w:szCs w:val="20"/>
              </w:rPr>
              <w:t>开 户 行：海口市农村商业银行金贸支行</w:t>
            </w:r>
          </w:p>
          <w:p>
            <w:pPr>
              <w:rPr>
                <w:rFonts w:ascii="微软雅黑" w:hAnsi="微软雅黑" w:eastAsia="微软雅黑" w:cs="微软雅黑"/>
                <w:sz w:val="21"/>
                <w:szCs w:val="20"/>
              </w:rPr>
            </w:pPr>
            <w:r>
              <w:rPr>
                <w:rFonts w:hint="eastAsia" w:ascii="微软雅黑" w:hAnsi="微软雅黑" w:eastAsia="微软雅黑" w:cs="微软雅黑"/>
                <w:sz w:val="21"/>
                <w:szCs w:val="20"/>
              </w:rPr>
              <w:t>用  途：校园照明综合改造投标保证金</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sz w:val="21"/>
                <w:szCs w:val="20"/>
                <w:lang w:val="en-US"/>
              </w:rPr>
              <w:t>注：投标文件中投标保证金提交凭据为银行转账回单。投标文件中如提供虚假材料，则没收投标保证金。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8</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交货期</w:t>
            </w:r>
          </w:p>
        </w:tc>
        <w:tc>
          <w:tcPr>
            <w:tcW w:w="7762"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lang w:val="en-US"/>
              </w:rPr>
              <w:t>合同签订后50日历天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9</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投标有效期</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90天(日历天)，开标截止之日起计算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10</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澄清或者修改时间</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提交投标文件截止时间5日前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11</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投标人提问截止时间</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招标文件售卖截止日期后的第一个工作日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12</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投标文件份数</w:t>
            </w:r>
          </w:p>
        </w:tc>
        <w:tc>
          <w:tcPr>
            <w:tcW w:w="7762" w:type="dxa"/>
            <w:noWrap/>
            <w:vAlign w:val="center"/>
          </w:tcPr>
          <w:p>
            <w:pPr>
              <w:numPr>
                <w:ilvl w:val="0"/>
                <w:numId w:val="1"/>
              </w:num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正本壹份，副本肆份，</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投标文件正本和所有副本分别密封在一个投标专用袋中</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2.电子文件壹份(包含PDF和Word版本) ,</w:t>
            </w:r>
            <w:r>
              <w:rPr>
                <w:rFonts w:hint="eastAsia" w:ascii="微软雅黑" w:hAnsi="微软雅黑" w:eastAsia="微软雅黑" w:cs="微软雅黑"/>
                <w:kern w:val="2"/>
                <w:sz w:val="21"/>
                <w:szCs w:val="20"/>
                <w:lang w:val="en-US" w:bidi="ar-SA"/>
              </w:rPr>
              <w:t xml:space="preserve"> </w:t>
            </w:r>
            <w:r>
              <w:rPr>
                <w:rFonts w:hint="eastAsia" w:ascii="微软雅黑" w:hAnsi="微软雅黑" w:eastAsia="微软雅黑" w:cs="微软雅黑"/>
                <w:kern w:val="2"/>
                <w:sz w:val="21"/>
                <w:szCs w:val="21"/>
                <w:lang w:val="en-US" w:bidi="ar-SA"/>
              </w:rPr>
              <w:t>电子版投标文件与正本一块封装；</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3.投标人提供的可读取的投标文件电子文档（光盘或U盘），内容包括投标文件的所有内容，（投标文件封面须明确注明字样），报价一览表（另独立密封一份）</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投标人提交的投标文件不符合本款要求的，按照无效投标文件处理。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645"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13</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封套上应载明的信息</w:t>
            </w:r>
          </w:p>
        </w:tc>
        <w:tc>
          <w:tcPr>
            <w:tcW w:w="7762" w:type="dxa"/>
            <w:noWrap/>
            <w:vAlign w:val="center"/>
          </w:tcPr>
          <w:p>
            <w:pPr>
              <w:spacing w:line="360" w:lineRule="auto"/>
              <w:jc w:val="right"/>
              <w:rPr>
                <w:rFonts w:ascii="微软雅黑" w:hAnsi="微软雅黑" w:eastAsia="微软雅黑" w:cs="微软雅黑"/>
                <w:szCs w:val="21"/>
              </w:rPr>
            </w:pPr>
            <w:r>
              <w:rPr>
                <w:rFonts w:hint="eastAsia" w:ascii="微软雅黑" w:hAnsi="微软雅黑" w:eastAsia="微软雅黑" w:cs="微软雅黑"/>
                <w:szCs w:val="21"/>
              </w:rPr>
              <w:t>（正本/副本）</w:t>
            </w:r>
          </w:p>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政府采购</w:t>
            </w:r>
          </w:p>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投标文件</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在202</w:t>
            </w:r>
            <w:r>
              <w:rPr>
                <w:rFonts w:hint="eastAsia" w:ascii="微软雅黑" w:hAnsi="微软雅黑" w:eastAsia="微软雅黑" w:cs="微软雅黑"/>
                <w:szCs w:val="21"/>
                <w:lang w:val="en-US"/>
              </w:rPr>
              <w:t>3</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日</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点</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分之前不得启封</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 xml:space="preserve">投标人名称：___________联系人：_________ </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联系电话：_____________投标人地址：_____________</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日期：________________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14</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提交投标文件的截止时间、地点</w:t>
            </w:r>
          </w:p>
        </w:tc>
        <w:tc>
          <w:tcPr>
            <w:tcW w:w="7762" w:type="dxa"/>
            <w:noWrap/>
            <w:vAlign w:val="center"/>
          </w:tcPr>
          <w:p>
            <w:pPr>
              <w:spacing w:line="240" w:lineRule="auto"/>
              <w:rPr>
                <w:rFonts w:ascii="微软雅黑" w:hAnsi="微软雅黑" w:eastAsia="微软雅黑" w:cs="微软雅黑"/>
                <w:szCs w:val="21"/>
                <w:lang w:val="en-US"/>
              </w:rPr>
            </w:pPr>
            <w:r>
              <w:rPr>
                <w:rFonts w:hint="eastAsia" w:ascii="微软雅黑" w:hAnsi="微软雅黑" w:eastAsia="微软雅黑" w:cs="微软雅黑"/>
                <w:szCs w:val="21"/>
                <w:lang w:val="en-US"/>
              </w:rPr>
              <w:t>截止时间：2023年</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lang w:val="en-US"/>
              </w:rPr>
              <w:t>月</w:t>
            </w:r>
            <w:r>
              <w:rPr>
                <w:rFonts w:hint="eastAsia" w:ascii="微软雅黑" w:hAnsi="微软雅黑" w:eastAsia="微软雅黑" w:cs="微软雅黑"/>
                <w:szCs w:val="21"/>
                <w:lang w:val="en-US" w:eastAsia="zh-CN"/>
              </w:rPr>
              <w:t>9</w:t>
            </w:r>
            <w:r>
              <w:rPr>
                <w:rFonts w:hint="eastAsia" w:ascii="微软雅黑" w:hAnsi="微软雅黑" w:eastAsia="微软雅黑" w:cs="微软雅黑"/>
                <w:szCs w:val="21"/>
                <w:lang w:val="en-US"/>
              </w:rPr>
              <w:t>日</w:t>
            </w:r>
            <w:r>
              <w:rPr>
                <w:rFonts w:hint="eastAsia" w:ascii="微软雅黑" w:hAnsi="微软雅黑" w:eastAsia="微软雅黑" w:cs="微软雅黑"/>
                <w:szCs w:val="21"/>
                <w:lang w:val="en-US" w:eastAsia="zh-CN"/>
              </w:rPr>
              <w:t>9</w:t>
            </w:r>
            <w:r>
              <w:rPr>
                <w:rFonts w:hint="eastAsia" w:ascii="微软雅黑" w:hAnsi="微软雅黑" w:eastAsia="微软雅黑" w:cs="微软雅黑"/>
                <w:szCs w:val="21"/>
                <w:lang w:val="en-US"/>
              </w:rPr>
              <w:t>时</w:t>
            </w:r>
            <w:r>
              <w:rPr>
                <w:rFonts w:hint="eastAsia" w:ascii="微软雅黑" w:hAnsi="微软雅黑" w:eastAsia="微软雅黑" w:cs="微软雅黑"/>
                <w:szCs w:val="21"/>
                <w:lang w:val="en-US" w:eastAsia="zh-CN"/>
              </w:rPr>
              <w:t>00</w:t>
            </w:r>
            <w:r>
              <w:rPr>
                <w:rFonts w:hint="eastAsia" w:ascii="微软雅黑" w:hAnsi="微软雅黑" w:eastAsia="微软雅黑" w:cs="微软雅黑"/>
                <w:szCs w:val="21"/>
                <w:lang w:val="en-US"/>
              </w:rPr>
              <w:t>分（北京时间）</w:t>
            </w:r>
          </w:p>
          <w:p>
            <w:pPr>
              <w:spacing w:line="240" w:lineRule="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递交地点：(海南招协招标采购交易平台)海口市美兰区蓝天路51号京航大酒店5楼开标室</w:t>
            </w:r>
            <w:r>
              <w:rPr>
                <w:rFonts w:hint="eastAsia" w:ascii="微软雅黑" w:hAnsi="微软雅黑" w:eastAsia="微软雅黑" w:cs="微软雅黑"/>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15</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招标时间、地点</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时间：2023年</w:t>
            </w:r>
            <w:r>
              <w:rPr>
                <w:rFonts w:hint="eastAsia" w:ascii="微软雅黑" w:hAnsi="微软雅黑" w:eastAsia="微软雅黑" w:cs="微软雅黑"/>
                <w:kern w:val="2"/>
                <w:sz w:val="21"/>
                <w:szCs w:val="21"/>
                <w:lang w:val="en-US" w:eastAsia="zh-CN" w:bidi="ar-SA"/>
              </w:rPr>
              <w:t>10</w:t>
            </w:r>
            <w:r>
              <w:rPr>
                <w:rFonts w:hint="eastAsia" w:ascii="微软雅黑" w:hAnsi="微软雅黑" w:eastAsia="微软雅黑" w:cs="微软雅黑"/>
                <w:kern w:val="2"/>
                <w:sz w:val="21"/>
                <w:szCs w:val="21"/>
                <w:lang w:val="en-US" w:bidi="ar-SA"/>
              </w:rPr>
              <w:t>月</w:t>
            </w:r>
            <w:r>
              <w:rPr>
                <w:rFonts w:hint="eastAsia" w:ascii="微软雅黑" w:hAnsi="微软雅黑" w:eastAsia="微软雅黑" w:cs="微软雅黑"/>
                <w:kern w:val="2"/>
                <w:sz w:val="21"/>
                <w:szCs w:val="21"/>
                <w:lang w:val="en-US" w:eastAsia="zh-CN" w:bidi="ar-SA"/>
              </w:rPr>
              <w:t>9</w:t>
            </w:r>
            <w:r>
              <w:rPr>
                <w:rFonts w:hint="eastAsia" w:ascii="微软雅黑" w:hAnsi="微软雅黑" w:eastAsia="微软雅黑" w:cs="微软雅黑"/>
                <w:kern w:val="2"/>
                <w:sz w:val="21"/>
                <w:szCs w:val="21"/>
                <w:lang w:val="en-US" w:bidi="ar-SA"/>
              </w:rPr>
              <w:t>日</w:t>
            </w:r>
            <w:r>
              <w:rPr>
                <w:rFonts w:hint="eastAsia" w:ascii="微软雅黑" w:hAnsi="微软雅黑" w:eastAsia="微软雅黑" w:cs="微软雅黑"/>
                <w:kern w:val="2"/>
                <w:sz w:val="21"/>
                <w:szCs w:val="21"/>
                <w:lang w:val="en-US" w:eastAsia="zh-CN" w:bidi="ar-SA"/>
              </w:rPr>
              <w:t>9</w:t>
            </w:r>
            <w:r>
              <w:rPr>
                <w:rFonts w:hint="eastAsia" w:ascii="微软雅黑" w:hAnsi="微软雅黑" w:eastAsia="微软雅黑" w:cs="微软雅黑"/>
                <w:kern w:val="2"/>
                <w:sz w:val="21"/>
                <w:szCs w:val="21"/>
                <w:lang w:val="en-US" w:bidi="ar-SA"/>
              </w:rPr>
              <w:t>时</w:t>
            </w:r>
            <w:r>
              <w:rPr>
                <w:rFonts w:hint="eastAsia" w:ascii="微软雅黑" w:hAnsi="微软雅黑" w:eastAsia="微软雅黑" w:cs="微软雅黑"/>
                <w:kern w:val="2"/>
                <w:sz w:val="21"/>
                <w:szCs w:val="21"/>
                <w:lang w:val="en-US" w:eastAsia="zh-CN" w:bidi="ar-SA"/>
              </w:rPr>
              <w:t>00</w:t>
            </w:r>
            <w:r>
              <w:rPr>
                <w:rFonts w:hint="eastAsia" w:ascii="微软雅黑" w:hAnsi="微软雅黑" w:eastAsia="微软雅黑" w:cs="微软雅黑"/>
                <w:kern w:val="2"/>
                <w:sz w:val="21"/>
                <w:szCs w:val="21"/>
                <w:lang w:val="en-US" w:bidi="ar-SA"/>
              </w:rPr>
              <w:t>分（北京时间）</w:t>
            </w:r>
          </w:p>
          <w:p>
            <w:pPr>
              <w:spacing w:line="240" w:lineRule="auto"/>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bidi="ar-SA"/>
              </w:rPr>
              <w:t>地点：(海南招协招标采购交易平台)海口市美兰区蓝天路51号京航大酒店5楼开标室</w:t>
            </w:r>
            <w:r>
              <w:rPr>
                <w:rFonts w:hint="eastAsia" w:ascii="微软雅黑" w:hAnsi="微软雅黑" w:eastAsia="微软雅黑" w:cs="微软雅黑"/>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16</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采购方式</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45" w:type="dxa"/>
            <w:noWrap/>
            <w:vAlign w:val="center"/>
          </w:tcPr>
          <w:p>
            <w:pPr>
              <w:spacing w:line="276" w:lineRule="auto"/>
              <w:jc w:val="center"/>
              <w:rPr>
                <w:rFonts w:ascii="微软雅黑" w:hAnsi="微软雅黑" w:eastAsia="微软雅黑" w:cs="微软雅黑"/>
                <w:szCs w:val="21"/>
              </w:rPr>
            </w:pPr>
            <w:r>
              <w:rPr>
                <w:rFonts w:hint="eastAsia" w:ascii="微软雅黑" w:hAnsi="微软雅黑" w:eastAsia="微软雅黑" w:cs="微软雅黑"/>
                <w:szCs w:val="21"/>
              </w:rPr>
              <w:t>17</w:t>
            </w:r>
          </w:p>
        </w:tc>
        <w:tc>
          <w:tcPr>
            <w:tcW w:w="1667" w:type="dxa"/>
            <w:noWrap/>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szCs w:val="21"/>
                <w:lang w:val="en-US"/>
              </w:rPr>
              <w:t>评标委员会</w:t>
            </w:r>
            <w:r>
              <w:rPr>
                <w:rFonts w:hint="eastAsia" w:ascii="微软雅黑" w:hAnsi="微软雅黑" w:eastAsia="微软雅黑" w:cs="微软雅黑"/>
                <w:szCs w:val="21"/>
              </w:rPr>
              <w:t>成员数量</w:t>
            </w:r>
          </w:p>
        </w:tc>
        <w:tc>
          <w:tcPr>
            <w:tcW w:w="7762" w:type="dxa"/>
            <w:noWrap/>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szCs w:val="21"/>
                <w:lang w:val="en-US"/>
              </w:rPr>
              <w:t>评标委员会</w:t>
            </w:r>
            <w:r>
              <w:rPr>
                <w:rFonts w:hint="eastAsia" w:ascii="微软雅黑" w:hAnsi="微软雅黑" w:eastAsia="微软雅黑" w:cs="微软雅黑"/>
                <w:szCs w:val="21"/>
              </w:rPr>
              <w:t>由</w:t>
            </w:r>
            <w:r>
              <w:rPr>
                <w:rFonts w:hint="eastAsia" w:ascii="微软雅黑" w:hAnsi="微软雅黑" w:eastAsia="微软雅黑" w:cs="微软雅黑"/>
                <w:szCs w:val="21"/>
                <w:lang w:val="en-US"/>
              </w:rPr>
              <w:t>5</w:t>
            </w:r>
            <w:r>
              <w:rPr>
                <w:rFonts w:hint="eastAsia" w:ascii="微软雅黑" w:hAnsi="微软雅黑" w:eastAsia="微软雅黑" w:cs="微软雅黑"/>
                <w:szCs w:val="21"/>
              </w:rPr>
              <w:t>人组成，</w:t>
            </w:r>
            <w:r>
              <w:rPr>
                <w:rFonts w:hint="eastAsia" w:ascii="微软雅黑" w:hAnsi="微软雅黑" w:eastAsia="微软雅黑" w:cs="微软雅黑"/>
                <w:szCs w:val="21"/>
                <w:lang w:val="en-US"/>
              </w:rPr>
              <w:t>其中业主评委</w:t>
            </w:r>
            <w:r>
              <w:rPr>
                <w:rFonts w:hint="eastAsia" w:ascii="微软雅黑" w:hAnsi="微软雅黑" w:eastAsia="微软雅黑" w:cs="微软雅黑"/>
                <w:szCs w:val="21"/>
                <w:lang w:val="en-US" w:eastAsia="zh-CN"/>
              </w:rPr>
              <w:t>0</w:t>
            </w:r>
            <w:r>
              <w:rPr>
                <w:rFonts w:hint="eastAsia" w:ascii="微软雅黑" w:hAnsi="微软雅黑" w:eastAsia="微软雅黑" w:cs="微软雅黑"/>
                <w:szCs w:val="21"/>
                <w:lang w:val="en-US"/>
              </w:rPr>
              <w:t>人，其它</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lang w:val="en-US"/>
              </w:rPr>
              <w:t>名</w:t>
            </w:r>
            <w:r>
              <w:rPr>
                <w:rFonts w:hint="eastAsia" w:ascii="微软雅黑" w:hAnsi="微软雅黑" w:eastAsia="微软雅黑" w:cs="微软雅黑"/>
                <w:szCs w:val="21"/>
              </w:rPr>
              <w:t>专家成员从</w:t>
            </w:r>
            <w:r>
              <w:rPr>
                <w:rFonts w:hint="eastAsia" w:ascii="微软雅黑" w:hAnsi="微软雅黑" w:eastAsia="微软雅黑" w:cs="微软雅黑"/>
                <w:szCs w:val="21"/>
                <w:lang w:val="en-US"/>
              </w:rPr>
              <w:t>海南省综合</w:t>
            </w:r>
            <w:r>
              <w:rPr>
                <w:rFonts w:hint="eastAsia" w:ascii="微软雅黑" w:hAnsi="微软雅黑" w:eastAsia="微软雅黑" w:cs="微软雅黑"/>
                <w:szCs w:val="21"/>
              </w:rPr>
              <w:t>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18</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联合体投标</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19</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项目分包</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 √）不接受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20</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备选方案</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21</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述标或产（样）品演示</w:t>
            </w:r>
          </w:p>
        </w:tc>
        <w:tc>
          <w:tcPr>
            <w:tcW w:w="7762" w:type="dxa"/>
            <w:noWrap/>
            <w:vAlign w:val="center"/>
          </w:tcPr>
          <w:p>
            <w:pPr>
              <w:spacing w:line="240" w:lineRule="auto"/>
              <w:rPr>
                <w:rFonts w:ascii="微软雅黑" w:hAnsi="微软雅黑" w:eastAsia="微软雅黑" w:cs="微软雅黑"/>
                <w:szCs w:val="21"/>
                <w:lang w:val="en-US"/>
              </w:rPr>
            </w:pPr>
            <w:r>
              <w:rPr>
                <w:rFonts w:hint="eastAsia" w:ascii="微软雅黑" w:hAnsi="微软雅黑" w:eastAsia="微软雅黑" w:cs="微软雅黑"/>
                <w:szCs w:val="21"/>
                <w:lang w:val="en-US"/>
              </w:rPr>
              <w:t>（√）</w:t>
            </w:r>
            <w:r>
              <w:rPr>
                <w:rFonts w:hint="eastAsia" w:ascii="微软雅黑" w:hAnsi="微软雅黑" w:eastAsia="微软雅黑" w:cs="微软雅黑"/>
                <w:szCs w:val="21"/>
              </w:rPr>
              <w:t>不需要</w:t>
            </w:r>
            <w:r>
              <w:rPr>
                <w:rFonts w:hint="eastAsia" w:ascii="微软雅黑" w:hAnsi="微软雅黑" w:eastAsia="微软雅黑" w:cs="微软雅黑"/>
                <w:szCs w:val="21"/>
                <w:lang w:val="en-US"/>
              </w:rPr>
              <w:t xml:space="preserve">        （  ）</w:t>
            </w:r>
            <w:r>
              <w:rPr>
                <w:rFonts w:hint="eastAsia" w:ascii="微软雅黑" w:hAnsi="微软雅黑" w:eastAsia="微软雅黑" w:cs="微软雅黑"/>
                <w:szCs w:val="21"/>
              </w:rPr>
              <w:t>需要</w:t>
            </w:r>
            <w:r>
              <w:rPr>
                <w:rFonts w:hint="eastAsia" w:ascii="微软雅黑" w:hAnsi="微软雅黑" w:eastAsia="微软雅黑" w:cs="微软雅黑"/>
                <w:szCs w:val="21"/>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22</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采购进口产品</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（√）本采购项目拒绝进口产品参加投标</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）本采购项目已经财政部审核同意购买进口产品</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23</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政府采购强制采购：节能产品</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（√）否</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645" w:type="dxa"/>
            <w:vMerge w:val="restart"/>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24</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政府采购优先采购：节能产品(非强制类)</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政府采购优先采购：环境标志产品</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支持中小企业发展</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）专门面向中小企业采购项目</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（√）非专门面向中小企业采购项目。对小型和微型企业产品的价格给予</w:t>
            </w:r>
            <w:r>
              <w:rPr>
                <w:rFonts w:ascii="微软雅黑" w:hAnsi="微软雅黑" w:eastAsia="微软雅黑" w:cs="微软雅黑"/>
                <w:color w:val="FF0000"/>
                <w:kern w:val="2"/>
                <w:sz w:val="21"/>
                <w:szCs w:val="21"/>
                <w:lang w:val="en-US" w:bidi="ar-SA"/>
              </w:rPr>
              <w:t>10</w:t>
            </w:r>
            <w:r>
              <w:rPr>
                <w:rFonts w:hint="eastAsia" w:ascii="微软雅黑" w:hAnsi="微软雅黑" w:eastAsia="微软雅黑" w:cs="微软雅黑"/>
                <w:kern w:val="2"/>
                <w:sz w:val="21"/>
                <w:szCs w:val="21"/>
                <w:lang w:val="en-US" w:bidi="ar-SA"/>
              </w:rPr>
              <w:t>%的扣除</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信息安全认证</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25</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其他法律法规强制性规定或扶持政策</w:t>
            </w:r>
          </w:p>
        </w:tc>
        <w:tc>
          <w:tcPr>
            <w:tcW w:w="7762" w:type="dxa"/>
            <w:noWrap/>
            <w:vAlign w:val="center"/>
          </w:tcPr>
          <w:p>
            <w:pPr>
              <w:snapToGrid w:val="0"/>
              <w:spacing w:line="240" w:lineRule="auto"/>
              <w:rPr>
                <w:rFonts w:ascii="微软雅黑" w:hAnsi="微软雅黑" w:eastAsia="微软雅黑" w:cs="微软雅黑"/>
                <w:szCs w:val="21"/>
              </w:rPr>
            </w:pPr>
            <w:r>
              <w:rPr>
                <w:rFonts w:hint="eastAsia" w:ascii="微软雅黑" w:hAnsi="微软雅黑" w:eastAsia="微软雅黑" w:cs="微软雅黑"/>
                <w:szCs w:val="21"/>
              </w:rPr>
              <w:t>1.按照&lt;财政部 国家发展改革委关于印发《节能产品政府采购实施意见》的通知&gt;（财库【2004】185号）、&lt;财政部 国家环保总局联合印发《关于环境标志产品政府采购实施的意见》&gt;（财库【2006】90号）的规定，落实国家节能环保政策。2.按照&lt;财政部 工业和信息化部关于印发《政府采购促进中小企业发展暂行办法》的通知&gt;（财库〔2011〕181号）的规定，落实促进中小企业发展政策。3.按照&lt;财政部、司法部关于政府采购支持监狱企业发展有关问题的通知&gt;（财库〔2014〕68号）的规定，落实支持监狱企业发展政策。</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szCs w:val="21"/>
                <w:lang w:val="en-US"/>
              </w:rPr>
              <w:t>4.按照《三部门联合发布关于促进残疾人就业政府采购政策的通知》（财库〔2017〕141号）的规定，落实支持残疾人福利性单位发展政策。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26</w:t>
            </w:r>
          </w:p>
        </w:tc>
        <w:tc>
          <w:tcPr>
            <w:tcW w:w="1667" w:type="dxa"/>
            <w:noWrap/>
            <w:vAlign w:val="center"/>
          </w:tcPr>
          <w:p>
            <w:pPr>
              <w:spacing w:line="36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履约保证金</w:t>
            </w:r>
          </w:p>
        </w:tc>
        <w:tc>
          <w:tcPr>
            <w:tcW w:w="7762" w:type="dxa"/>
            <w:noWrap/>
            <w:vAlign w:val="center"/>
          </w:tcPr>
          <w:p>
            <w:pPr>
              <w:pStyle w:val="21"/>
              <w:spacing w:before="118"/>
              <w:rPr>
                <w:rFonts w:ascii="微软雅黑" w:eastAsia="微软雅黑"/>
                <w:sz w:val="21"/>
                <w:lang w:val="en-US"/>
              </w:rPr>
            </w:pPr>
            <w:r>
              <w:rPr>
                <w:rFonts w:ascii="微软雅黑" w:eastAsia="微软雅黑"/>
                <w:sz w:val="21"/>
                <w:lang w:val="en-US"/>
              </w:rPr>
              <w:t>履约担保的形式：银行保函或现金转账或保险</w:t>
            </w:r>
          </w:p>
          <w:p>
            <w:pPr>
              <w:spacing w:line="360" w:lineRule="auto"/>
              <w:rPr>
                <w:rFonts w:ascii="微软雅黑" w:hAnsi="微软雅黑" w:eastAsia="微软雅黑" w:cs="微软雅黑"/>
                <w:szCs w:val="21"/>
                <w:lang w:val="en-US"/>
              </w:rPr>
            </w:pPr>
            <w:r>
              <w:rPr>
                <w:rFonts w:ascii="微软雅黑" w:eastAsia="微软雅黑"/>
                <w:sz w:val="21"/>
                <w:lang w:val="en-US"/>
              </w:rPr>
              <w:t>履约担保的金额：中标金额的3%</w:t>
            </w:r>
            <w:r>
              <w:rPr>
                <w:rFonts w:hint="eastAsia" w:ascii="微软雅黑" w:eastAsia="微软雅黑"/>
                <w:sz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27</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采购代理服务费</w:t>
            </w:r>
          </w:p>
        </w:tc>
        <w:tc>
          <w:tcPr>
            <w:tcW w:w="7762"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本项目采购代理服务费为，由</w:t>
            </w:r>
            <w:r>
              <w:rPr>
                <w:rFonts w:hint="eastAsia" w:ascii="微软雅黑" w:hAnsi="微软雅黑" w:eastAsia="微软雅黑" w:cs="微软雅黑"/>
                <w:szCs w:val="21"/>
                <w:lang w:val="en-US" w:eastAsia="zh-CN"/>
              </w:rPr>
              <w:t>中标</w:t>
            </w:r>
            <w:r>
              <w:rPr>
                <w:rFonts w:hint="eastAsia" w:ascii="微软雅黑" w:hAnsi="微软雅黑" w:eastAsia="微软雅黑" w:cs="微软雅黑"/>
                <w:szCs w:val="21"/>
                <w:lang w:val="en-US"/>
              </w:rPr>
              <w:t>人</w:t>
            </w:r>
            <w:r>
              <w:rPr>
                <w:rFonts w:hint="eastAsia" w:ascii="微软雅黑" w:hAnsi="微软雅黑" w:eastAsia="微软雅黑" w:cs="微软雅黑"/>
                <w:szCs w:val="21"/>
              </w:rPr>
              <w:t>在发放中标通知书前一次性付清，按照（计价格【2002】1980号）文标准。</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户    名：海南双达项目管理有限公司</w:t>
            </w:r>
          </w:p>
          <w:p>
            <w:pPr>
              <w:rPr>
                <w:rFonts w:ascii="微软雅黑" w:hAnsi="微软雅黑" w:eastAsia="微软雅黑" w:cs="微软雅黑"/>
                <w:color w:val="0000FF"/>
                <w:szCs w:val="21"/>
              </w:rPr>
            </w:pPr>
            <w:r>
              <w:rPr>
                <w:rFonts w:hint="eastAsia" w:ascii="微软雅黑" w:hAnsi="微软雅黑" w:eastAsia="微软雅黑" w:cs="微软雅黑"/>
                <w:szCs w:val="21"/>
              </w:rPr>
              <w:t>账    号：46001003236053008009</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开 户 行：中国建设银行海口金贸支行营业部</w:t>
            </w:r>
          </w:p>
        </w:tc>
      </w:tr>
    </w:tbl>
    <w:p>
      <w:pPr>
        <w:spacing w:before="71"/>
        <w:ind w:right="1446"/>
        <w:jc w:val="center"/>
        <w:rPr>
          <w:sz w:val="21"/>
        </w:rPr>
        <w:sectPr>
          <w:footerReference r:id="rId4" w:type="default"/>
          <w:pgSz w:w="11910" w:h="16840"/>
          <w:pgMar w:top="1360" w:right="890" w:bottom="1380" w:left="1140" w:header="884" w:footer="1177" w:gutter="0"/>
          <w:cols w:space="720" w:num="1"/>
        </w:sectPr>
      </w:pPr>
    </w:p>
    <w:p>
      <w:pPr>
        <w:pStyle w:val="2"/>
        <w:jc w:val="center"/>
        <w:rPr>
          <w:szCs w:val="21"/>
        </w:rPr>
      </w:pPr>
      <w:bookmarkStart w:id="1" w:name="_Toc30186"/>
      <w:bookmarkStart w:id="2" w:name="_Toc220856263"/>
      <w:bookmarkStart w:id="3" w:name="_Toc497236368"/>
      <w:bookmarkStart w:id="4" w:name="_Toc317237607"/>
      <w:bookmarkStart w:id="5" w:name="_Toc318704165"/>
      <w:r>
        <w:rPr>
          <w:rFonts w:hint="eastAsia"/>
          <w:b/>
          <w:bCs/>
          <w:sz w:val="40"/>
          <w:szCs w:val="32"/>
        </w:rPr>
        <w:t>二、投标人须知</w:t>
      </w:r>
    </w:p>
    <w:p>
      <w:pPr>
        <w:pStyle w:val="2"/>
        <w:ind w:left="300"/>
        <w:rPr>
          <w:b/>
          <w:bCs/>
          <w:szCs w:val="21"/>
        </w:rPr>
      </w:pPr>
      <w:bookmarkStart w:id="6" w:name="_Toc26289790"/>
      <w:r>
        <w:rPr>
          <w:rFonts w:hint="eastAsia"/>
          <w:b/>
          <w:bCs/>
          <w:szCs w:val="21"/>
        </w:rPr>
        <w:t>（一）总则</w:t>
      </w:r>
      <w:bookmarkEnd w:id="6"/>
    </w:p>
    <w:p>
      <w:pPr>
        <w:pStyle w:val="2"/>
        <w:spacing w:line="420" w:lineRule="exact"/>
        <w:ind w:left="300"/>
        <w:rPr>
          <w:b/>
          <w:bCs/>
          <w:szCs w:val="21"/>
        </w:rPr>
      </w:pPr>
      <w:r>
        <w:rPr>
          <w:rFonts w:hint="eastAsia"/>
          <w:b/>
          <w:bCs/>
          <w:szCs w:val="21"/>
        </w:rPr>
        <w:t>1</w:t>
      </w:r>
      <w:r>
        <w:rPr>
          <w:rFonts w:hint="eastAsia"/>
          <w:b/>
          <w:bCs/>
          <w:szCs w:val="21"/>
          <w:lang w:val="en-US"/>
        </w:rPr>
        <w:t>、</w:t>
      </w:r>
      <w:r>
        <w:rPr>
          <w:rFonts w:hint="eastAsia"/>
          <w:b/>
          <w:bCs/>
          <w:szCs w:val="21"/>
        </w:rPr>
        <w:t>适用范围</w:t>
      </w:r>
    </w:p>
    <w:p>
      <w:pPr>
        <w:pStyle w:val="2"/>
        <w:spacing w:line="420" w:lineRule="exact"/>
        <w:ind w:left="300"/>
        <w:rPr>
          <w:szCs w:val="21"/>
        </w:rPr>
      </w:pPr>
      <w:r>
        <w:rPr>
          <w:rFonts w:hint="eastAsia"/>
          <w:szCs w:val="21"/>
        </w:rPr>
        <w:t>1.1本招标文件是根据《中华人民共和国政府采购法》、《中华人民共和国政府采购法实施条例》、《政府采购公开招标采购方式管理暂行办法》、《政府采购货物和服务招标投标管理办法》等相关法律法规、部门规章制订。</w:t>
      </w:r>
    </w:p>
    <w:p>
      <w:pPr>
        <w:pStyle w:val="2"/>
        <w:spacing w:line="420" w:lineRule="exact"/>
        <w:ind w:left="300"/>
        <w:rPr>
          <w:szCs w:val="21"/>
        </w:rPr>
      </w:pPr>
      <w:r>
        <w:rPr>
          <w:rFonts w:hint="eastAsia"/>
          <w:szCs w:val="21"/>
        </w:rPr>
        <w:t>1.2本招标文件仅适用于本次公开招标采购所叙述的采购项目。投标人应当按照招标文件的要求编制投标文件。投标人编制投标文件时，不得向采购人提出任何招标文件要求（规定的条件）之外的附加条件，并对其提交的投标文件的真实性、合法性承担法律责任。</w:t>
      </w:r>
    </w:p>
    <w:p>
      <w:pPr>
        <w:pStyle w:val="2"/>
        <w:spacing w:line="420" w:lineRule="exact"/>
        <w:ind w:left="300"/>
        <w:rPr>
          <w:b/>
          <w:bCs/>
          <w:szCs w:val="21"/>
        </w:rPr>
      </w:pPr>
      <w:r>
        <w:rPr>
          <w:rFonts w:hint="eastAsia"/>
          <w:b/>
          <w:bCs/>
          <w:szCs w:val="21"/>
        </w:rPr>
        <w:t>2</w:t>
      </w:r>
      <w:r>
        <w:rPr>
          <w:rFonts w:hint="eastAsia"/>
          <w:b/>
          <w:bCs/>
          <w:szCs w:val="21"/>
          <w:lang w:val="en-US"/>
        </w:rPr>
        <w:t>、</w:t>
      </w:r>
      <w:r>
        <w:rPr>
          <w:rFonts w:hint="eastAsia"/>
          <w:b/>
          <w:bCs/>
          <w:szCs w:val="21"/>
        </w:rPr>
        <w:t>采购说明</w:t>
      </w:r>
    </w:p>
    <w:p>
      <w:pPr>
        <w:pStyle w:val="2"/>
        <w:spacing w:line="420" w:lineRule="exact"/>
        <w:ind w:left="300"/>
        <w:rPr>
          <w:szCs w:val="21"/>
        </w:rPr>
      </w:pPr>
      <w:r>
        <w:rPr>
          <w:rFonts w:hint="eastAsia"/>
          <w:szCs w:val="21"/>
        </w:rPr>
        <w:t>2.1服务：是指除货物和工程以外的其他政府采购对象，包括政府自身需要的服务和政府向社会公众提供的公共服务。</w:t>
      </w:r>
    </w:p>
    <w:p>
      <w:pPr>
        <w:pStyle w:val="2"/>
        <w:spacing w:line="420" w:lineRule="exact"/>
        <w:ind w:left="300"/>
        <w:rPr>
          <w:szCs w:val="21"/>
        </w:rPr>
      </w:pPr>
      <w:r>
        <w:rPr>
          <w:rFonts w:hint="eastAsia"/>
          <w:szCs w:val="21"/>
        </w:rPr>
        <w:t>2.2采购代理机构：是指接受采购人委托，代理政府采购项目的集中采购机构、社会中介采购代理机构的总称。具体项目的采购代理机构，在投标人须知前附表序号3中规定。</w:t>
      </w:r>
    </w:p>
    <w:p>
      <w:pPr>
        <w:pStyle w:val="2"/>
        <w:spacing w:line="420" w:lineRule="exact"/>
        <w:ind w:left="300"/>
        <w:rPr>
          <w:szCs w:val="21"/>
        </w:rPr>
      </w:pPr>
      <w:r>
        <w:rPr>
          <w:rFonts w:hint="eastAsia"/>
          <w:szCs w:val="21"/>
        </w:rPr>
        <w:t>2.3采购人: 是指依法进行政府采购的国家机关、事业单位、团体组织。既本次采购项目的业主方。</w:t>
      </w:r>
    </w:p>
    <w:p>
      <w:pPr>
        <w:pStyle w:val="2"/>
        <w:spacing w:line="420" w:lineRule="exact"/>
        <w:ind w:left="300"/>
        <w:rPr>
          <w:szCs w:val="21"/>
        </w:rPr>
      </w:pPr>
      <w:r>
        <w:rPr>
          <w:rFonts w:hint="eastAsia"/>
          <w:szCs w:val="21"/>
        </w:rPr>
        <w:t>2.4投标人：是指向采购人提供货物、工程或者服务的法人、其他组织或者自然人。即对“投标人须知前附表”序号1所指称项目表现出兴趣，并有可能实际参与该项目竞争的法人、其他组织或者自然人。</w:t>
      </w:r>
    </w:p>
    <w:p>
      <w:pPr>
        <w:pStyle w:val="2"/>
        <w:spacing w:line="420" w:lineRule="exact"/>
        <w:ind w:left="300"/>
        <w:rPr>
          <w:szCs w:val="21"/>
        </w:rPr>
      </w:pPr>
      <w:r>
        <w:rPr>
          <w:rFonts w:hint="eastAsia"/>
          <w:szCs w:val="21"/>
        </w:rPr>
        <w:t xml:space="preserve">2.5 </w:t>
      </w:r>
      <w:r>
        <w:rPr>
          <w:rFonts w:hint="eastAsia"/>
          <w:szCs w:val="21"/>
          <w:lang w:val="en-US"/>
        </w:rPr>
        <w:t>评标委员会</w:t>
      </w:r>
      <w:r>
        <w:rPr>
          <w:rFonts w:hint="eastAsia"/>
          <w:szCs w:val="21"/>
        </w:rPr>
        <w:t>：是指依据《中华人民共和国政府采购法》、《中华人民共和国政府采购法实施条例》和财政部《政府采购公开招标采购方式管理暂行办法》有关规定组建，依法依规履行其职责和义务的机构。</w:t>
      </w:r>
    </w:p>
    <w:p>
      <w:pPr>
        <w:pStyle w:val="2"/>
        <w:spacing w:line="420" w:lineRule="exact"/>
        <w:ind w:left="300"/>
        <w:rPr>
          <w:szCs w:val="21"/>
        </w:rPr>
      </w:pPr>
      <w:r>
        <w:rPr>
          <w:rFonts w:hint="eastAsia"/>
          <w:szCs w:val="21"/>
        </w:rPr>
        <w:t>2.6投标：投标人根据公开招标文件的要求，编制投标文件并按规定投标的行为。</w:t>
      </w:r>
    </w:p>
    <w:p>
      <w:pPr>
        <w:pStyle w:val="2"/>
        <w:spacing w:line="420" w:lineRule="exact"/>
        <w:ind w:left="300"/>
        <w:rPr>
          <w:szCs w:val="21"/>
        </w:rPr>
      </w:pPr>
      <w:r>
        <w:rPr>
          <w:rFonts w:hint="eastAsia"/>
          <w:szCs w:val="21"/>
        </w:rPr>
        <w:t>2.7合同：采供双方根据采购文件、中标投标人的投标文件及中标通知书规定的内容签署的、以 书面形式所达成的协议，包括所有的附件、附录和构成协议的所有文件。</w:t>
      </w:r>
    </w:p>
    <w:p>
      <w:pPr>
        <w:pStyle w:val="2"/>
        <w:spacing w:line="420" w:lineRule="exact"/>
        <w:ind w:left="300"/>
        <w:rPr>
          <w:szCs w:val="21"/>
        </w:rPr>
      </w:pPr>
      <w:r>
        <w:rPr>
          <w:rFonts w:hint="eastAsia"/>
          <w:szCs w:val="21"/>
        </w:rPr>
        <w:t>2.8伴随服务：合同规定乙方应承担的与提供服务有关的辅助服务。</w:t>
      </w:r>
    </w:p>
    <w:p>
      <w:pPr>
        <w:pStyle w:val="2"/>
        <w:spacing w:line="420" w:lineRule="exact"/>
        <w:ind w:left="300"/>
        <w:rPr>
          <w:szCs w:val="21"/>
        </w:rPr>
      </w:pPr>
      <w:r>
        <w:rPr>
          <w:rFonts w:hint="eastAsia"/>
          <w:szCs w:val="21"/>
        </w:rPr>
        <w:t>2.9天：日历日。</w:t>
      </w:r>
    </w:p>
    <w:p>
      <w:pPr>
        <w:pStyle w:val="2"/>
        <w:spacing w:line="420" w:lineRule="exact"/>
        <w:ind w:left="300"/>
        <w:rPr>
          <w:szCs w:val="21"/>
        </w:rPr>
      </w:pPr>
      <w:r>
        <w:rPr>
          <w:rFonts w:hint="eastAsia"/>
          <w:szCs w:val="21"/>
        </w:rPr>
        <w:t>2.10交付地点：由合同约定的乙方提交的货物和服务的最终到达地点。</w:t>
      </w:r>
    </w:p>
    <w:p>
      <w:pPr>
        <w:pStyle w:val="2"/>
        <w:spacing w:line="420" w:lineRule="exact"/>
        <w:ind w:left="300"/>
        <w:rPr>
          <w:szCs w:val="21"/>
        </w:rPr>
      </w:pPr>
      <w:r>
        <w:rPr>
          <w:rFonts w:hint="eastAsia"/>
          <w:szCs w:val="21"/>
        </w:rPr>
        <w:t>2.11合同价款：由合同约定的、在乙方完全履行合同义务后甲方应支付乙方的价款。</w:t>
      </w:r>
    </w:p>
    <w:p>
      <w:pPr>
        <w:pStyle w:val="2"/>
        <w:spacing w:line="420" w:lineRule="exact"/>
        <w:ind w:left="300"/>
        <w:rPr>
          <w:szCs w:val="21"/>
        </w:rPr>
      </w:pPr>
      <w:r>
        <w:rPr>
          <w:rFonts w:hint="eastAsia"/>
          <w:szCs w:val="21"/>
        </w:rPr>
        <w:t>2.12不可抗力：不能预见、不能避免并且不能克服的客观情况。</w:t>
      </w:r>
    </w:p>
    <w:p>
      <w:pPr>
        <w:pStyle w:val="2"/>
        <w:spacing w:line="420" w:lineRule="exact"/>
        <w:ind w:left="300"/>
        <w:rPr>
          <w:b/>
          <w:bCs/>
          <w:szCs w:val="21"/>
        </w:rPr>
      </w:pPr>
      <w:r>
        <w:rPr>
          <w:rFonts w:hint="eastAsia"/>
          <w:b/>
          <w:bCs/>
          <w:szCs w:val="21"/>
        </w:rPr>
        <w:t>3</w:t>
      </w:r>
      <w:r>
        <w:rPr>
          <w:rFonts w:hint="eastAsia"/>
          <w:b/>
          <w:bCs/>
          <w:szCs w:val="21"/>
          <w:lang w:val="en-US"/>
        </w:rPr>
        <w:t>、</w:t>
      </w:r>
      <w:r>
        <w:rPr>
          <w:rFonts w:hint="eastAsia"/>
          <w:b/>
          <w:bCs/>
          <w:szCs w:val="21"/>
        </w:rPr>
        <w:t>合格的投标人</w:t>
      </w:r>
    </w:p>
    <w:p>
      <w:pPr>
        <w:pStyle w:val="2"/>
        <w:spacing w:line="420" w:lineRule="exact"/>
        <w:ind w:left="300"/>
        <w:rPr>
          <w:szCs w:val="21"/>
        </w:rPr>
      </w:pPr>
      <w:r>
        <w:rPr>
          <w:rFonts w:hint="eastAsia"/>
          <w:szCs w:val="21"/>
        </w:rPr>
        <w:t>3.1根据政府采购法的规定，参与政府采购活动的投标人必须是满足《政府采购法》第二十二条第一款规定的全部条件的法人、其他组织或者自然人：</w:t>
      </w:r>
    </w:p>
    <w:p>
      <w:pPr>
        <w:pStyle w:val="2"/>
        <w:spacing w:line="420" w:lineRule="exact"/>
        <w:ind w:left="300"/>
        <w:rPr>
          <w:szCs w:val="21"/>
        </w:rPr>
      </w:pPr>
      <w:r>
        <w:rPr>
          <w:rFonts w:hint="eastAsia"/>
          <w:szCs w:val="21"/>
        </w:rPr>
        <w:t>3.1.1具有独立承担民事责任的能力；</w:t>
      </w:r>
    </w:p>
    <w:p>
      <w:pPr>
        <w:pStyle w:val="2"/>
        <w:spacing w:line="420" w:lineRule="exact"/>
        <w:ind w:left="300"/>
        <w:rPr>
          <w:szCs w:val="21"/>
        </w:rPr>
      </w:pPr>
      <w:r>
        <w:rPr>
          <w:rFonts w:hint="eastAsia"/>
          <w:szCs w:val="21"/>
        </w:rPr>
        <w:t>3.1.2具有良好的商业信誉和健全的财务会计制度；</w:t>
      </w:r>
    </w:p>
    <w:p>
      <w:pPr>
        <w:pStyle w:val="2"/>
        <w:spacing w:line="420" w:lineRule="exact"/>
        <w:ind w:left="300"/>
        <w:rPr>
          <w:szCs w:val="21"/>
        </w:rPr>
      </w:pPr>
      <w:r>
        <w:rPr>
          <w:rFonts w:hint="eastAsia"/>
          <w:szCs w:val="21"/>
        </w:rPr>
        <w:t>3.1.3具有履行合同所必需的设备和专业技术能力；</w:t>
      </w:r>
    </w:p>
    <w:p>
      <w:pPr>
        <w:pStyle w:val="2"/>
        <w:spacing w:line="420" w:lineRule="exact"/>
        <w:ind w:left="300"/>
        <w:rPr>
          <w:szCs w:val="21"/>
        </w:rPr>
      </w:pPr>
      <w:r>
        <w:rPr>
          <w:rFonts w:hint="eastAsia"/>
          <w:szCs w:val="21"/>
        </w:rPr>
        <w:t>3.1.4有依法缴纳税收和社会保障资金的良好记录；</w:t>
      </w:r>
    </w:p>
    <w:p>
      <w:pPr>
        <w:pStyle w:val="2"/>
        <w:spacing w:line="420" w:lineRule="exact"/>
        <w:ind w:left="300"/>
        <w:rPr>
          <w:szCs w:val="21"/>
        </w:rPr>
      </w:pPr>
      <w:r>
        <w:rPr>
          <w:rFonts w:hint="eastAsia"/>
          <w:szCs w:val="21"/>
        </w:rPr>
        <w:t>3.1.5参加政府采购活动前三年内，在经营活动中没有重大违法记录；</w:t>
      </w:r>
    </w:p>
    <w:p>
      <w:pPr>
        <w:pStyle w:val="2"/>
        <w:spacing w:line="420" w:lineRule="exact"/>
        <w:ind w:left="300"/>
        <w:rPr>
          <w:szCs w:val="21"/>
        </w:rPr>
      </w:pPr>
      <w:r>
        <w:rPr>
          <w:rFonts w:hint="eastAsia"/>
          <w:szCs w:val="21"/>
        </w:rPr>
        <w:t>3.1.6法律、行政法规规定的其他条件。</w:t>
      </w:r>
    </w:p>
    <w:p>
      <w:pPr>
        <w:pStyle w:val="2"/>
        <w:spacing w:line="420" w:lineRule="exact"/>
        <w:ind w:left="300"/>
        <w:rPr>
          <w:szCs w:val="21"/>
        </w:rPr>
      </w:pPr>
      <w:r>
        <w:rPr>
          <w:rFonts w:hint="eastAsia"/>
          <w:szCs w:val="21"/>
        </w:rPr>
        <w:t>3.2由于政府采购项目的差异性，投标人在参与具体政府采购项目活动时，还要仔细阅读该项目（或包）的资质及相关要求。</w:t>
      </w:r>
    </w:p>
    <w:p>
      <w:pPr>
        <w:pStyle w:val="2"/>
        <w:spacing w:line="420" w:lineRule="exact"/>
        <w:ind w:left="300"/>
        <w:rPr>
          <w:szCs w:val="21"/>
        </w:rPr>
      </w:pPr>
      <w:r>
        <w:rPr>
          <w:rFonts w:hint="eastAsia"/>
          <w:szCs w:val="21"/>
        </w:rPr>
        <w:t>3.3投标人存在下列情形之一的，不得参加本项目政府采购活动，否则所有报价均无效：</w:t>
      </w:r>
    </w:p>
    <w:p>
      <w:pPr>
        <w:pStyle w:val="2"/>
        <w:spacing w:line="420" w:lineRule="exact"/>
        <w:ind w:left="300"/>
        <w:rPr>
          <w:szCs w:val="21"/>
        </w:rPr>
      </w:pPr>
      <w:r>
        <w:rPr>
          <w:rFonts w:hint="eastAsia"/>
          <w:szCs w:val="21"/>
        </w:rPr>
        <w:t>（l）单位负责人为同一人或者存在控股、管理关系的不同投标人，不得参加同一合同项下（同一标段或者未划分标段的同一采购项目）的政府采购活动；</w:t>
      </w:r>
    </w:p>
    <w:p>
      <w:pPr>
        <w:pStyle w:val="2"/>
        <w:spacing w:line="420" w:lineRule="exact"/>
        <w:ind w:left="300"/>
        <w:rPr>
          <w:szCs w:val="21"/>
        </w:rPr>
      </w:pPr>
      <w:r>
        <w:rPr>
          <w:rFonts w:hint="eastAsia"/>
          <w:szCs w:val="21"/>
        </w:rPr>
        <w:t>（2）除单一来源项目外，为采购项目提供整体设计，规范编制或者项目管理、监理、检测等服务的投标人及其任何附属机构（单位），不得再参加该采购项目的其它采购活动，否则按照报价无效处理；</w:t>
      </w:r>
    </w:p>
    <w:p>
      <w:pPr>
        <w:pStyle w:val="2"/>
        <w:spacing w:line="420" w:lineRule="exact"/>
        <w:ind w:left="300"/>
        <w:rPr>
          <w:szCs w:val="21"/>
        </w:rPr>
      </w:pPr>
      <w:r>
        <w:rPr>
          <w:rFonts w:hint="eastAsia"/>
          <w:szCs w:val="21"/>
        </w:rPr>
        <w:t>（3）投标人被列入中国海南政府采购网正在公示的“政府采购严重违法失信行为记录名单”的（以本项目招标会议当天正在公示的名单为准），不得参加本项目政府采购活动。</w:t>
      </w:r>
    </w:p>
    <w:p>
      <w:pPr>
        <w:pStyle w:val="2"/>
        <w:spacing w:line="420" w:lineRule="exact"/>
        <w:ind w:left="300"/>
        <w:rPr>
          <w:szCs w:val="21"/>
        </w:rPr>
      </w:pPr>
      <w:r>
        <w:rPr>
          <w:rFonts w:hint="eastAsia"/>
          <w:szCs w:val="21"/>
        </w:rPr>
        <w:t>（4）投标人在参加政府采购活动前3年内因违法经营被禁止在一定期限内参加政府采购活动，到本项目招标会议当天仍在禁止期限内的，不得参加本项目政府采购活动。期限届满的，可以参加政府采购活动；</w:t>
      </w:r>
    </w:p>
    <w:p>
      <w:pPr>
        <w:pStyle w:val="2"/>
        <w:spacing w:line="420" w:lineRule="exact"/>
        <w:ind w:left="300"/>
        <w:rPr>
          <w:szCs w:val="21"/>
        </w:rPr>
      </w:pPr>
      <w:r>
        <w:rPr>
          <w:rFonts w:hint="eastAsia"/>
          <w:b/>
          <w:bCs/>
          <w:szCs w:val="21"/>
        </w:rPr>
        <w:t>4、投标人参与招标活动的费用以及风险</w:t>
      </w:r>
    </w:p>
    <w:p>
      <w:pPr>
        <w:pStyle w:val="2"/>
        <w:spacing w:line="420" w:lineRule="exact"/>
        <w:ind w:left="300"/>
        <w:rPr>
          <w:szCs w:val="21"/>
        </w:rPr>
      </w:pPr>
      <w:r>
        <w:rPr>
          <w:rFonts w:hint="eastAsia"/>
          <w:szCs w:val="21"/>
        </w:rPr>
        <w:t>4.1投标人必须自行承担所有与参加政府采购活动的有关费用。不论结果如何，采购代理机构在任何情况下均无义务和责任承担这些费用。</w:t>
      </w:r>
    </w:p>
    <w:p>
      <w:pPr>
        <w:pStyle w:val="2"/>
        <w:spacing w:line="420" w:lineRule="exact"/>
        <w:ind w:left="300"/>
        <w:rPr>
          <w:szCs w:val="21"/>
        </w:rPr>
      </w:pPr>
      <w:r>
        <w:rPr>
          <w:rFonts w:hint="eastAsia"/>
          <w:szCs w:val="21"/>
        </w:rPr>
        <w:t>4.2投标人一旦购买了招标文件并参加本次政府采购活动，即被认为接受了招标文件中的所有条件和规定。</w:t>
      </w:r>
    </w:p>
    <w:p>
      <w:pPr>
        <w:pStyle w:val="2"/>
        <w:spacing w:line="420" w:lineRule="exact"/>
        <w:ind w:left="300"/>
        <w:rPr>
          <w:szCs w:val="21"/>
        </w:rPr>
      </w:pPr>
      <w:r>
        <w:rPr>
          <w:rFonts w:hint="eastAsia"/>
          <w:szCs w:val="21"/>
        </w:rPr>
        <w:t>4.3投标人应认真阅读招标文件中所有的事项、格式、条款和规范等要求。如果没有按照招标文件要求提交全部资料，或没有对招标文件做出实质性投标，其风险应由投标人自行承担。</w:t>
      </w:r>
    </w:p>
    <w:p>
      <w:pPr>
        <w:pStyle w:val="2"/>
        <w:spacing w:line="420" w:lineRule="exact"/>
        <w:ind w:left="300"/>
        <w:rPr>
          <w:szCs w:val="21"/>
        </w:rPr>
      </w:pPr>
      <w:r>
        <w:rPr>
          <w:rFonts w:hint="eastAsia"/>
          <w:szCs w:val="21"/>
        </w:rPr>
        <w:t>4.4投标人所提供的所有资料（包括扫描件、复印件、影印打印件等）必须清晰，如因提供的资料难以辨认，其风险由投标人自行承担。</w:t>
      </w:r>
    </w:p>
    <w:p>
      <w:pPr>
        <w:pStyle w:val="2"/>
        <w:spacing w:line="420" w:lineRule="exact"/>
        <w:ind w:left="300"/>
        <w:rPr>
          <w:szCs w:val="21"/>
        </w:rPr>
      </w:pPr>
      <w:r>
        <w:rPr>
          <w:rFonts w:hint="eastAsia"/>
          <w:szCs w:val="21"/>
        </w:rPr>
        <w:t>4.5投标人必须保证采购人使用货物、资料、技术、服务或其任何一部分时，享有不受限制的无偿使用权，不会产生因第三方提出侵犯其专利权、商标权或其它知识产权而引起的法律或经济纠纷。如投标人不拥有相应的知识产权，则在报价中必须包括合法获取该知识产权的一切相关费用。</w:t>
      </w:r>
    </w:p>
    <w:p>
      <w:pPr>
        <w:pStyle w:val="2"/>
        <w:spacing w:line="420" w:lineRule="exact"/>
        <w:ind w:left="300"/>
        <w:rPr>
          <w:b/>
          <w:bCs/>
          <w:szCs w:val="21"/>
        </w:rPr>
      </w:pPr>
      <w:r>
        <w:rPr>
          <w:rFonts w:hint="eastAsia"/>
          <w:b/>
          <w:bCs/>
          <w:szCs w:val="21"/>
        </w:rPr>
        <w:t>5</w:t>
      </w:r>
      <w:r>
        <w:rPr>
          <w:rFonts w:hint="eastAsia"/>
          <w:b/>
          <w:bCs/>
          <w:szCs w:val="21"/>
          <w:lang w:val="en-US"/>
        </w:rPr>
        <w:t>、</w:t>
      </w:r>
      <w:r>
        <w:rPr>
          <w:rFonts w:hint="eastAsia"/>
          <w:b/>
          <w:bCs/>
          <w:szCs w:val="21"/>
        </w:rPr>
        <w:t>投标委托</w:t>
      </w:r>
    </w:p>
    <w:p>
      <w:pPr>
        <w:pStyle w:val="2"/>
        <w:spacing w:line="420" w:lineRule="exact"/>
        <w:ind w:left="300"/>
        <w:rPr>
          <w:szCs w:val="21"/>
        </w:rPr>
      </w:pPr>
      <w:r>
        <w:rPr>
          <w:rFonts w:hint="eastAsia"/>
          <w:szCs w:val="21"/>
        </w:rPr>
        <w:t>5.1投标人的法定代表人可以委托代表人处理投标事务。</w:t>
      </w:r>
    </w:p>
    <w:p>
      <w:pPr>
        <w:pStyle w:val="2"/>
        <w:spacing w:line="420" w:lineRule="exact"/>
        <w:ind w:left="300"/>
        <w:rPr>
          <w:szCs w:val="21"/>
        </w:rPr>
      </w:pPr>
      <w:r>
        <w:rPr>
          <w:rFonts w:hint="eastAsia"/>
          <w:szCs w:val="21"/>
        </w:rPr>
        <w:t>5.2委托代表人的资格条件：见投标人须知前附表。</w:t>
      </w:r>
    </w:p>
    <w:p>
      <w:pPr>
        <w:pStyle w:val="2"/>
        <w:spacing w:line="420" w:lineRule="exact"/>
        <w:ind w:left="300"/>
        <w:rPr>
          <w:szCs w:val="21"/>
        </w:rPr>
      </w:pPr>
      <w:r>
        <w:rPr>
          <w:rFonts w:hint="eastAsia"/>
          <w:szCs w:val="21"/>
        </w:rPr>
        <w:t>5.3委托代表人的代理权限：见投标人须知前附表。</w:t>
      </w:r>
    </w:p>
    <w:p>
      <w:pPr>
        <w:pStyle w:val="2"/>
        <w:spacing w:line="420" w:lineRule="exact"/>
        <w:ind w:left="300"/>
        <w:rPr>
          <w:szCs w:val="21"/>
        </w:rPr>
      </w:pPr>
      <w:r>
        <w:rPr>
          <w:rFonts w:hint="eastAsia"/>
          <w:szCs w:val="21"/>
        </w:rPr>
        <w:t>5.4委托代表人须持有法定代表人出具的符合格式要求的《授权委托书》（格式见附件）。</w:t>
      </w:r>
    </w:p>
    <w:p>
      <w:pPr>
        <w:pStyle w:val="2"/>
        <w:spacing w:line="420" w:lineRule="exact"/>
        <w:ind w:left="300"/>
        <w:rPr>
          <w:szCs w:val="21"/>
        </w:rPr>
      </w:pPr>
      <w:bookmarkStart w:id="7" w:name="_Toc32100"/>
      <w:bookmarkStart w:id="8" w:name="_Toc317237775"/>
      <w:bookmarkStart w:id="9" w:name="_Toc317237600"/>
      <w:bookmarkStart w:id="10" w:name="_Toc26289791"/>
      <w:r>
        <w:rPr>
          <w:rFonts w:hint="eastAsia"/>
          <w:szCs w:val="21"/>
        </w:rPr>
        <w:t>（二）公开招标文件</w:t>
      </w:r>
      <w:bookmarkEnd w:id="7"/>
      <w:bookmarkEnd w:id="8"/>
      <w:bookmarkEnd w:id="9"/>
      <w:bookmarkEnd w:id="10"/>
    </w:p>
    <w:p>
      <w:pPr>
        <w:pStyle w:val="2"/>
        <w:spacing w:line="420" w:lineRule="exact"/>
        <w:ind w:left="300"/>
        <w:rPr>
          <w:b/>
          <w:bCs/>
          <w:szCs w:val="21"/>
        </w:rPr>
      </w:pPr>
      <w:r>
        <w:rPr>
          <w:rFonts w:hint="eastAsia"/>
          <w:b/>
          <w:bCs/>
          <w:szCs w:val="21"/>
        </w:rPr>
        <w:t>6</w:t>
      </w:r>
      <w:r>
        <w:rPr>
          <w:rFonts w:hint="eastAsia"/>
          <w:b/>
          <w:bCs/>
          <w:szCs w:val="21"/>
          <w:lang w:val="en-US"/>
        </w:rPr>
        <w:t>、</w:t>
      </w:r>
      <w:r>
        <w:rPr>
          <w:rFonts w:hint="eastAsia"/>
          <w:b/>
          <w:bCs/>
          <w:szCs w:val="21"/>
        </w:rPr>
        <w:t>招标文件的构成</w:t>
      </w:r>
    </w:p>
    <w:p>
      <w:pPr>
        <w:pStyle w:val="2"/>
        <w:spacing w:line="420" w:lineRule="exact"/>
        <w:ind w:left="300"/>
        <w:rPr>
          <w:szCs w:val="21"/>
        </w:rPr>
      </w:pPr>
      <w:r>
        <w:rPr>
          <w:rFonts w:hint="eastAsia"/>
          <w:szCs w:val="21"/>
        </w:rPr>
        <w:t>6.1公开招标文件规定本次招标活动的规则，提供编制投标文件和参加投标的依据。公开招标文件包括以下内容：</w:t>
      </w:r>
    </w:p>
    <w:p>
      <w:pPr>
        <w:pStyle w:val="2"/>
        <w:spacing w:line="420" w:lineRule="exact"/>
        <w:ind w:left="300"/>
        <w:rPr>
          <w:szCs w:val="21"/>
        </w:rPr>
      </w:pPr>
      <w:r>
        <w:rPr>
          <w:rFonts w:hint="eastAsia"/>
          <w:szCs w:val="21"/>
        </w:rPr>
        <w:t xml:space="preserve">第一章 </w:t>
      </w:r>
      <w:r>
        <w:rPr>
          <w:rFonts w:hint="eastAsia"/>
          <w:szCs w:val="21"/>
          <w:lang w:val="en-US"/>
        </w:rPr>
        <w:t>招标</w:t>
      </w:r>
      <w:r>
        <w:rPr>
          <w:rFonts w:hint="eastAsia"/>
          <w:szCs w:val="21"/>
        </w:rPr>
        <w:t>公告；</w:t>
      </w:r>
    </w:p>
    <w:p>
      <w:pPr>
        <w:pStyle w:val="2"/>
        <w:spacing w:line="420" w:lineRule="exact"/>
        <w:ind w:left="300"/>
        <w:rPr>
          <w:szCs w:val="21"/>
        </w:rPr>
      </w:pPr>
      <w:r>
        <w:rPr>
          <w:rFonts w:hint="eastAsia"/>
          <w:szCs w:val="21"/>
        </w:rPr>
        <w:t>第二章 投标人须知；</w:t>
      </w:r>
    </w:p>
    <w:p>
      <w:pPr>
        <w:pStyle w:val="2"/>
        <w:spacing w:line="420" w:lineRule="exact"/>
        <w:ind w:left="300"/>
        <w:rPr>
          <w:szCs w:val="21"/>
        </w:rPr>
      </w:pPr>
      <w:r>
        <w:rPr>
          <w:rFonts w:hint="eastAsia"/>
          <w:szCs w:val="21"/>
        </w:rPr>
        <w:t>第三章 用户需求书；</w:t>
      </w:r>
    </w:p>
    <w:p>
      <w:pPr>
        <w:pStyle w:val="2"/>
        <w:spacing w:line="420" w:lineRule="exact"/>
        <w:ind w:left="300"/>
        <w:rPr>
          <w:szCs w:val="21"/>
        </w:rPr>
      </w:pPr>
      <w:r>
        <w:rPr>
          <w:rFonts w:hint="eastAsia"/>
          <w:szCs w:val="21"/>
        </w:rPr>
        <w:t>第四章 合同条款及格式；</w:t>
      </w:r>
    </w:p>
    <w:p>
      <w:pPr>
        <w:pStyle w:val="2"/>
        <w:spacing w:line="420" w:lineRule="exact"/>
        <w:ind w:left="300"/>
        <w:rPr>
          <w:szCs w:val="21"/>
        </w:rPr>
      </w:pPr>
      <w:r>
        <w:rPr>
          <w:rFonts w:hint="eastAsia"/>
          <w:szCs w:val="21"/>
        </w:rPr>
        <w:t>第五章 评标方法和标准；</w:t>
      </w:r>
    </w:p>
    <w:p>
      <w:pPr>
        <w:pStyle w:val="2"/>
        <w:spacing w:line="420" w:lineRule="exact"/>
        <w:ind w:left="300"/>
        <w:rPr>
          <w:szCs w:val="21"/>
        </w:rPr>
      </w:pPr>
      <w:r>
        <w:rPr>
          <w:rFonts w:hint="eastAsia"/>
          <w:szCs w:val="21"/>
        </w:rPr>
        <w:t>第六章 投标文件格式。</w:t>
      </w:r>
    </w:p>
    <w:p>
      <w:pPr>
        <w:pStyle w:val="2"/>
        <w:spacing w:line="420" w:lineRule="exact"/>
        <w:ind w:left="300"/>
        <w:rPr>
          <w:szCs w:val="21"/>
        </w:rPr>
      </w:pPr>
      <w:r>
        <w:rPr>
          <w:rFonts w:hint="eastAsia"/>
          <w:szCs w:val="21"/>
        </w:rPr>
        <w:t>6.2投标人应当仔细阅读、充分关注和正确理解采购文件中陈述的所有事项，遵循格式文件的 规定和签署要求。不能对采购文件做出实质性投标的投标将被拒绝。</w:t>
      </w:r>
    </w:p>
    <w:p>
      <w:pPr>
        <w:pStyle w:val="2"/>
        <w:spacing w:line="420" w:lineRule="exact"/>
        <w:ind w:left="300"/>
        <w:rPr>
          <w:b/>
          <w:bCs/>
          <w:szCs w:val="21"/>
        </w:rPr>
      </w:pPr>
      <w:r>
        <w:rPr>
          <w:rFonts w:hint="eastAsia"/>
          <w:b/>
          <w:bCs/>
          <w:szCs w:val="21"/>
        </w:rPr>
        <w:t>7、招标文件的澄清</w:t>
      </w:r>
    </w:p>
    <w:p>
      <w:pPr>
        <w:pStyle w:val="2"/>
        <w:spacing w:line="420" w:lineRule="exact"/>
        <w:ind w:left="300"/>
        <w:rPr>
          <w:szCs w:val="21"/>
        </w:rPr>
      </w:pPr>
      <w:r>
        <w:rPr>
          <w:rFonts w:hint="eastAsia"/>
          <w:szCs w:val="21"/>
        </w:rPr>
        <w:t>7.1投标人可以对招标文件中的有关问题（如含义不明确、同类问题表述不一致或者有明显文字和计算错误、遗漏、歧义等问题）以书面形式进行询问，或是认为招标文件使自己的权益受到损害而需要提出质疑的（对招标文件质疑的详细规定详见“质疑与投诉”），可以要求采购代理机构进行答疑、澄清答复。</w:t>
      </w:r>
    </w:p>
    <w:p>
      <w:pPr>
        <w:pStyle w:val="2"/>
        <w:spacing w:line="420" w:lineRule="exact"/>
        <w:ind w:left="300"/>
        <w:rPr>
          <w:szCs w:val="21"/>
        </w:rPr>
      </w:pPr>
      <w:r>
        <w:rPr>
          <w:rFonts w:hint="eastAsia"/>
          <w:szCs w:val="21"/>
        </w:rPr>
        <w:t>7.2投标人对招标文件如有疑问，可以在招标文件规定的询问或质疑截止时间之前，以书面形式（如电子邮件、传真、信件、电报等）向采购代理机构提交“询问函”或“质疑函”。采购代理机构对在此规定时间以前收到的、且需要做出澄清修改的问题，将以公告的形式在“投标人须知前附表”序号3所指定的网站上（以下简称“指定的网站”）作出澄清解释或补充说明，但不说明问题的来源，答复内容不得涉及商业秘密。逾期视同接受，在规定的询问或质疑截止时间后提出的任何针对招标文件的询问或质疑，将不予受理。该更正补充公告是招标文件不可或缺的组成部分，对参与采购活动的有关各方均具有约束力。</w:t>
      </w:r>
    </w:p>
    <w:p>
      <w:pPr>
        <w:pStyle w:val="2"/>
        <w:spacing w:line="420" w:lineRule="exact"/>
        <w:ind w:left="300"/>
        <w:rPr>
          <w:szCs w:val="21"/>
        </w:rPr>
      </w:pPr>
      <w:r>
        <w:rPr>
          <w:rFonts w:hint="eastAsia"/>
          <w:szCs w:val="21"/>
        </w:rPr>
        <w:t>7.3投标人应主动上网查询该项目的相关公告。采购人、采购代理机构不承担投标人未及时关注相关信息引发的相关责任。</w:t>
      </w:r>
    </w:p>
    <w:p>
      <w:pPr>
        <w:pStyle w:val="2"/>
        <w:spacing w:line="420" w:lineRule="exact"/>
        <w:ind w:left="300"/>
        <w:rPr>
          <w:szCs w:val="21"/>
        </w:rPr>
      </w:pPr>
      <w:r>
        <w:rPr>
          <w:rFonts w:hint="eastAsia"/>
          <w:szCs w:val="21"/>
        </w:rPr>
        <w:t>7.4投标人提出的询问超出采购人对采购代理机构委托授权范围或者回答范围的，采购代理机构应当告知投标人向采购人提出。</w:t>
      </w:r>
    </w:p>
    <w:p>
      <w:pPr>
        <w:pStyle w:val="2"/>
        <w:spacing w:line="420" w:lineRule="exact"/>
        <w:ind w:left="300"/>
        <w:rPr>
          <w:b/>
          <w:bCs/>
          <w:szCs w:val="21"/>
        </w:rPr>
      </w:pPr>
      <w:r>
        <w:rPr>
          <w:rFonts w:hint="eastAsia"/>
          <w:b/>
          <w:bCs/>
          <w:szCs w:val="21"/>
        </w:rPr>
        <w:t>8、招标文件的修改</w:t>
      </w:r>
    </w:p>
    <w:p>
      <w:pPr>
        <w:pStyle w:val="2"/>
        <w:spacing w:line="420" w:lineRule="exact"/>
        <w:ind w:left="300"/>
        <w:rPr>
          <w:szCs w:val="21"/>
        </w:rPr>
      </w:pPr>
      <w:r>
        <w:rPr>
          <w:rFonts w:hint="eastAsia"/>
          <w:szCs w:val="21"/>
        </w:rPr>
        <w:t>8.1在本文件规定的提交首次投标文件截止之日前，采购人、采购代理机构可以对已发出的招标文件进行必要的澄清或者修改，可能影响投标文件编制的，将按照7.2的相关程序执行。</w:t>
      </w:r>
    </w:p>
    <w:p>
      <w:pPr>
        <w:pStyle w:val="2"/>
        <w:spacing w:line="420" w:lineRule="exact"/>
        <w:ind w:left="300"/>
        <w:rPr>
          <w:szCs w:val="21"/>
        </w:rPr>
      </w:pPr>
      <w:r>
        <w:rPr>
          <w:rFonts w:hint="eastAsia"/>
          <w:szCs w:val="21"/>
        </w:rPr>
        <w:t>8.2采购人、采购代理机构将按法定程序对投标人针对招标文件提出的询问或者质疑进行答复。如涉及到对招标文件进行必要的澄清或者修改，可能影响投标文件编制的，采购人或者采购代理机构将在招标文件规定的提交首次投标文件截止时间至少5日前将澄清或者修改内容及通知以更正补充公告的形式发布于指定的网站上，不足5日的，顺延投标人提交首次投标文件截止时间。答疑、补遗是招标文件不可缺少的组成部分，对参与采购活动的有关各方均具有约束力。</w:t>
      </w:r>
    </w:p>
    <w:p>
      <w:pPr>
        <w:pStyle w:val="2"/>
        <w:spacing w:line="420" w:lineRule="exact"/>
        <w:ind w:left="300"/>
        <w:rPr>
          <w:szCs w:val="21"/>
        </w:rPr>
      </w:pPr>
      <w:r>
        <w:rPr>
          <w:rFonts w:hint="eastAsia"/>
          <w:szCs w:val="21"/>
        </w:rPr>
        <w:t>8.3为使投标人有充分时间对招标文件的修改部分进行研究或由于其他原因，采购人、采购代理机构可以决定推迟投标文件提交的截止时间。推迟截止时间的通知将刊发在指定的网站上，不再另行通知。投标人应主动上网查询该项目的相关公告。采购人或采购代理机构不承担投标人未及时关注相关信息引发的相关责任。</w:t>
      </w:r>
    </w:p>
    <w:p>
      <w:pPr>
        <w:pStyle w:val="2"/>
        <w:spacing w:line="420" w:lineRule="exact"/>
        <w:ind w:left="300"/>
        <w:rPr>
          <w:szCs w:val="21"/>
        </w:rPr>
      </w:pPr>
      <w:r>
        <w:rPr>
          <w:rFonts w:hint="eastAsia"/>
          <w:szCs w:val="21"/>
        </w:rPr>
        <w:t>8.4当招标文件的澄清、修改、补充等在同一内容的表述上不一致时，以最后发出的为准。</w:t>
      </w:r>
    </w:p>
    <w:p>
      <w:pPr>
        <w:pStyle w:val="2"/>
        <w:spacing w:line="420" w:lineRule="exact"/>
        <w:ind w:left="300"/>
        <w:rPr>
          <w:b/>
          <w:bCs/>
          <w:szCs w:val="21"/>
        </w:rPr>
      </w:pPr>
      <w:r>
        <w:rPr>
          <w:rFonts w:hint="eastAsia"/>
          <w:b/>
          <w:bCs/>
          <w:szCs w:val="21"/>
        </w:rPr>
        <w:t>9、答疑会和现场考察</w:t>
      </w:r>
    </w:p>
    <w:p>
      <w:pPr>
        <w:pStyle w:val="2"/>
        <w:spacing w:line="420" w:lineRule="exact"/>
        <w:ind w:left="300"/>
        <w:rPr>
          <w:szCs w:val="21"/>
        </w:rPr>
      </w:pPr>
      <w:r>
        <w:rPr>
          <w:rFonts w:hint="eastAsia"/>
          <w:szCs w:val="21"/>
        </w:rPr>
        <w:t>9.1答疑会和现场考察：见投标人须知前附表。</w:t>
      </w:r>
    </w:p>
    <w:p>
      <w:pPr>
        <w:pStyle w:val="2"/>
        <w:spacing w:line="420" w:lineRule="exact"/>
        <w:ind w:left="300"/>
        <w:rPr>
          <w:szCs w:val="21"/>
        </w:rPr>
      </w:pPr>
      <w:bookmarkStart w:id="11" w:name="_Toc26289792"/>
      <w:r>
        <w:rPr>
          <w:rFonts w:hint="eastAsia"/>
          <w:szCs w:val="21"/>
        </w:rPr>
        <w:t>（三）投标文件的编制</w:t>
      </w:r>
      <w:bookmarkEnd w:id="11"/>
    </w:p>
    <w:p>
      <w:pPr>
        <w:pStyle w:val="2"/>
        <w:spacing w:line="420" w:lineRule="exact"/>
        <w:ind w:left="300"/>
        <w:rPr>
          <w:b/>
          <w:bCs/>
          <w:szCs w:val="21"/>
        </w:rPr>
      </w:pPr>
      <w:r>
        <w:rPr>
          <w:rFonts w:hint="eastAsia"/>
          <w:b/>
          <w:bCs/>
          <w:szCs w:val="21"/>
        </w:rPr>
        <w:t>10、投标文件计量单位和使用文字</w:t>
      </w:r>
    </w:p>
    <w:p>
      <w:pPr>
        <w:pStyle w:val="2"/>
        <w:spacing w:line="420" w:lineRule="exact"/>
        <w:ind w:left="300"/>
        <w:rPr>
          <w:szCs w:val="21"/>
        </w:rPr>
      </w:pPr>
      <w:r>
        <w:rPr>
          <w:rFonts w:hint="eastAsia"/>
          <w:szCs w:val="21"/>
        </w:rPr>
        <w:t>10.1所有计量均采用中华人民共和国法定计量单位。</w:t>
      </w:r>
    </w:p>
    <w:p>
      <w:pPr>
        <w:pStyle w:val="2"/>
        <w:spacing w:line="420" w:lineRule="exact"/>
        <w:ind w:left="300"/>
        <w:rPr>
          <w:szCs w:val="21"/>
        </w:rPr>
      </w:pPr>
      <w:r>
        <w:rPr>
          <w:rFonts w:hint="eastAsia"/>
          <w:szCs w:val="21"/>
        </w:rPr>
        <w:t>10.2投标文件使用中文编制。投标文件部分内容必须使用其他文字的，应当附有该文字的中文译本。投标人承担未附中文译本或中文译本不准确而引起不利后果。</w:t>
      </w:r>
    </w:p>
    <w:p>
      <w:pPr>
        <w:pStyle w:val="2"/>
        <w:spacing w:line="420" w:lineRule="exact"/>
        <w:ind w:left="300"/>
        <w:rPr>
          <w:b/>
          <w:bCs/>
          <w:szCs w:val="21"/>
        </w:rPr>
      </w:pPr>
      <w:r>
        <w:rPr>
          <w:rFonts w:hint="eastAsia"/>
          <w:b/>
          <w:bCs/>
          <w:szCs w:val="21"/>
        </w:rPr>
        <w:t>11、联合体投标</w:t>
      </w:r>
    </w:p>
    <w:p>
      <w:pPr>
        <w:pStyle w:val="2"/>
        <w:spacing w:line="420" w:lineRule="exact"/>
        <w:ind w:left="300"/>
        <w:rPr>
          <w:szCs w:val="21"/>
        </w:rPr>
      </w:pPr>
      <w:r>
        <w:rPr>
          <w:rFonts w:hint="eastAsia"/>
          <w:szCs w:val="21"/>
        </w:rPr>
        <w:t>11.1本次采购不接受联合体投标。</w:t>
      </w:r>
    </w:p>
    <w:p>
      <w:pPr>
        <w:pStyle w:val="2"/>
        <w:spacing w:line="420" w:lineRule="exact"/>
        <w:ind w:left="300"/>
        <w:rPr>
          <w:b/>
          <w:bCs/>
          <w:szCs w:val="21"/>
        </w:rPr>
      </w:pPr>
      <w:r>
        <w:rPr>
          <w:rFonts w:hint="eastAsia"/>
          <w:b/>
          <w:bCs/>
          <w:szCs w:val="21"/>
        </w:rPr>
        <w:t>12、投标文件的组成</w:t>
      </w:r>
    </w:p>
    <w:p>
      <w:pPr>
        <w:pStyle w:val="2"/>
        <w:spacing w:line="420" w:lineRule="exact"/>
        <w:ind w:left="300"/>
        <w:rPr>
          <w:szCs w:val="21"/>
        </w:rPr>
      </w:pPr>
      <w:r>
        <w:rPr>
          <w:rFonts w:hint="eastAsia"/>
          <w:szCs w:val="21"/>
        </w:rPr>
        <w:t>12.1</w:t>
      </w:r>
      <w:r>
        <w:rPr>
          <w:rFonts w:hint="eastAsia"/>
          <w:szCs w:val="21"/>
          <w:lang w:val="en-US"/>
        </w:rPr>
        <w:t>投标</w:t>
      </w:r>
      <w:r>
        <w:rPr>
          <w:rFonts w:hint="eastAsia"/>
          <w:szCs w:val="21"/>
        </w:rPr>
        <w:t>函</w:t>
      </w:r>
    </w:p>
    <w:p>
      <w:pPr>
        <w:pStyle w:val="2"/>
        <w:spacing w:line="420" w:lineRule="exact"/>
        <w:ind w:left="300"/>
        <w:rPr>
          <w:szCs w:val="21"/>
        </w:rPr>
      </w:pPr>
      <w:r>
        <w:rPr>
          <w:rFonts w:hint="eastAsia"/>
          <w:szCs w:val="21"/>
        </w:rPr>
        <w:t>12.2开标一览表</w:t>
      </w:r>
    </w:p>
    <w:p>
      <w:pPr>
        <w:pStyle w:val="2"/>
        <w:spacing w:line="420" w:lineRule="exact"/>
        <w:ind w:left="300"/>
        <w:rPr>
          <w:szCs w:val="21"/>
        </w:rPr>
      </w:pPr>
      <w:r>
        <w:rPr>
          <w:rFonts w:hint="eastAsia"/>
          <w:szCs w:val="21"/>
        </w:rPr>
        <w:t>12.3需求投标偏离表</w:t>
      </w:r>
    </w:p>
    <w:p>
      <w:pPr>
        <w:pStyle w:val="2"/>
        <w:spacing w:line="420" w:lineRule="exact"/>
        <w:ind w:left="300"/>
        <w:rPr>
          <w:szCs w:val="21"/>
        </w:rPr>
      </w:pPr>
      <w:r>
        <w:rPr>
          <w:rFonts w:hint="eastAsia"/>
          <w:szCs w:val="21"/>
        </w:rPr>
        <w:t>12.4法定代表人身份证明</w:t>
      </w:r>
    </w:p>
    <w:p>
      <w:pPr>
        <w:pStyle w:val="2"/>
        <w:spacing w:line="420" w:lineRule="exact"/>
        <w:ind w:left="300"/>
        <w:rPr>
          <w:szCs w:val="21"/>
        </w:rPr>
      </w:pPr>
      <w:r>
        <w:rPr>
          <w:rFonts w:hint="eastAsia"/>
          <w:szCs w:val="21"/>
        </w:rPr>
        <w:t>12.5授权委托书</w:t>
      </w:r>
    </w:p>
    <w:p>
      <w:pPr>
        <w:pStyle w:val="2"/>
        <w:spacing w:line="420" w:lineRule="exact"/>
        <w:ind w:left="300"/>
        <w:rPr>
          <w:szCs w:val="21"/>
        </w:rPr>
      </w:pPr>
      <w:r>
        <w:rPr>
          <w:rFonts w:hint="eastAsia"/>
          <w:szCs w:val="21"/>
        </w:rPr>
        <w:t>12.6投标人基本情况</w:t>
      </w:r>
    </w:p>
    <w:p>
      <w:pPr>
        <w:pStyle w:val="2"/>
        <w:spacing w:line="420" w:lineRule="exact"/>
        <w:ind w:left="300"/>
        <w:rPr>
          <w:szCs w:val="21"/>
        </w:rPr>
      </w:pPr>
      <w:r>
        <w:rPr>
          <w:rFonts w:hint="eastAsia"/>
          <w:szCs w:val="21"/>
        </w:rPr>
        <w:t>12.7</w:t>
      </w:r>
      <w:r>
        <w:rPr>
          <w:rFonts w:hint="eastAsia"/>
          <w:szCs w:val="21"/>
          <w:lang w:val="en-US"/>
        </w:rPr>
        <w:t>投标</w:t>
      </w:r>
      <w:r>
        <w:rPr>
          <w:rFonts w:hint="eastAsia"/>
          <w:szCs w:val="21"/>
        </w:rPr>
        <w:t>保证金</w:t>
      </w:r>
    </w:p>
    <w:p>
      <w:pPr>
        <w:pStyle w:val="2"/>
        <w:spacing w:line="420" w:lineRule="exact"/>
        <w:ind w:left="300"/>
        <w:rPr>
          <w:szCs w:val="21"/>
        </w:rPr>
      </w:pPr>
      <w:r>
        <w:rPr>
          <w:rFonts w:hint="eastAsia"/>
          <w:szCs w:val="21"/>
        </w:rPr>
        <w:t>12.8无重大违法记录的书面声明</w:t>
      </w:r>
    </w:p>
    <w:p>
      <w:pPr>
        <w:pStyle w:val="2"/>
        <w:spacing w:line="420" w:lineRule="exact"/>
        <w:ind w:left="300"/>
        <w:rPr>
          <w:szCs w:val="21"/>
        </w:rPr>
      </w:pPr>
      <w:r>
        <w:rPr>
          <w:rFonts w:hint="eastAsia"/>
          <w:szCs w:val="21"/>
        </w:rPr>
        <w:t>12.9信用查询记录</w:t>
      </w:r>
    </w:p>
    <w:p>
      <w:pPr>
        <w:pStyle w:val="2"/>
        <w:spacing w:line="420" w:lineRule="exact"/>
        <w:ind w:left="300"/>
        <w:rPr>
          <w:szCs w:val="21"/>
        </w:rPr>
      </w:pPr>
      <w:r>
        <w:rPr>
          <w:rFonts w:hint="eastAsia"/>
          <w:szCs w:val="21"/>
        </w:rPr>
        <w:t>12.10反商业贿赂承诺书</w:t>
      </w:r>
    </w:p>
    <w:p>
      <w:pPr>
        <w:pStyle w:val="2"/>
        <w:spacing w:line="420" w:lineRule="exact"/>
        <w:ind w:left="300"/>
        <w:rPr>
          <w:szCs w:val="21"/>
        </w:rPr>
      </w:pPr>
      <w:r>
        <w:rPr>
          <w:rFonts w:hint="eastAsia"/>
          <w:szCs w:val="21"/>
        </w:rPr>
        <w:t>12.11诚信投标、诚信履约承诺书</w:t>
      </w:r>
    </w:p>
    <w:p>
      <w:pPr>
        <w:pStyle w:val="2"/>
        <w:spacing w:line="420" w:lineRule="exact"/>
        <w:ind w:left="300"/>
        <w:rPr>
          <w:szCs w:val="21"/>
        </w:rPr>
      </w:pPr>
      <w:r>
        <w:rPr>
          <w:rFonts w:hint="eastAsia"/>
          <w:szCs w:val="21"/>
        </w:rPr>
        <w:t>12.12拟投入本项目的人员情况汇总表</w:t>
      </w:r>
    </w:p>
    <w:p>
      <w:pPr>
        <w:pStyle w:val="2"/>
        <w:spacing w:line="420" w:lineRule="exact"/>
        <w:ind w:left="300"/>
        <w:rPr>
          <w:szCs w:val="21"/>
        </w:rPr>
      </w:pPr>
      <w:r>
        <w:rPr>
          <w:rFonts w:hint="eastAsia"/>
          <w:szCs w:val="21"/>
        </w:rPr>
        <w:t>12.13项目实施服务方案</w:t>
      </w:r>
    </w:p>
    <w:p>
      <w:pPr>
        <w:pStyle w:val="2"/>
        <w:spacing w:line="420" w:lineRule="exact"/>
        <w:ind w:left="300"/>
        <w:rPr>
          <w:szCs w:val="21"/>
        </w:rPr>
      </w:pPr>
      <w:r>
        <w:rPr>
          <w:rFonts w:hint="eastAsia"/>
          <w:szCs w:val="21"/>
        </w:rPr>
        <w:t>12.14中小企业声明函</w:t>
      </w:r>
    </w:p>
    <w:p>
      <w:pPr>
        <w:pStyle w:val="2"/>
        <w:spacing w:line="420" w:lineRule="exact"/>
        <w:ind w:left="300"/>
        <w:rPr>
          <w:szCs w:val="21"/>
        </w:rPr>
      </w:pPr>
      <w:r>
        <w:rPr>
          <w:rFonts w:hint="eastAsia"/>
          <w:szCs w:val="21"/>
        </w:rPr>
        <w:t>12.15残疾人福利性单位声明函</w:t>
      </w:r>
    </w:p>
    <w:p>
      <w:pPr>
        <w:pStyle w:val="2"/>
        <w:spacing w:line="420" w:lineRule="exact"/>
        <w:ind w:left="300"/>
        <w:rPr>
          <w:szCs w:val="21"/>
        </w:rPr>
      </w:pPr>
      <w:r>
        <w:rPr>
          <w:rFonts w:hint="eastAsia"/>
          <w:szCs w:val="21"/>
        </w:rPr>
        <w:t>12.16投标人认为需要提供的其它文件</w:t>
      </w:r>
    </w:p>
    <w:p>
      <w:pPr>
        <w:pStyle w:val="2"/>
        <w:spacing w:line="420" w:lineRule="exact"/>
        <w:ind w:left="300"/>
        <w:rPr>
          <w:b/>
          <w:bCs/>
          <w:szCs w:val="21"/>
        </w:rPr>
      </w:pPr>
      <w:r>
        <w:rPr>
          <w:rFonts w:hint="eastAsia"/>
          <w:b/>
          <w:bCs/>
          <w:szCs w:val="21"/>
        </w:rPr>
        <w:t>13、投标文件编制说明</w:t>
      </w:r>
    </w:p>
    <w:p>
      <w:pPr>
        <w:pStyle w:val="2"/>
        <w:spacing w:line="420" w:lineRule="exact"/>
        <w:ind w:left="300"/>
        <w:rPr>
          <w:szCs w:val="21"/>
        </w:rPr>
      </w:pPr>
      <w:r>
        <w:rPr>
          <w:rFonts w:hint="eastAsia"/>
          <w:szCs w:val="21"/>
        </w:rPr>
        <w:t>13.1投标文件必须按照公开招标文件要求的统一格式顺序编写。要求投标文件全部内容制作详细的目录（包括页码的编制），为评审时查询作索引。</w:t>
      </w:r>
    </w:p>
    <w:p>
      <w:pPr>
        <w:pStyle w:val="2"/>
        <w:spacing w:line="420" w:lineRule="exact"/>
        <w:ind w:left="300"/>
        <w:rPr>
          <w:szCs w:val="21"/>
        </w:rPr>
      </w:pPr>
      <w:r>
        <w:rPr>
          <w:rFonts w:hint="eastAsia"/>
          <w:szCs w:val="21"/>
        </w:rPr>
        <w:t>13.2开标一览表是开标仪式上的唱标内容，必须按规定的格式填写。</w:t>
      </w:r>
    </w:p>
    <w:p>
      <w:pPr>
        <w:pStyle w:val="2"/>
        <w:spacing w:line="420" w:lineRule="exact"/>
        <w:ind w:left="300"/>
        <w:rPr>
          <w:szCs w:val="21"/>
        </w:rPr>
      </w:pPr>
      <w:r>
        <w:rPr>
          <w:rFonts w:hint="eastAsia"/>
          <w:szCs w:val="21"/>
        </w:rPr>
        <w:t>13.3投标文件除特殊规格的图纸或方案、图片资料等外，均应按A4规格制作。</w:t>
      </w:r>
    </w:p>
    <w:p>
      <w:pPr>
        <w:pStyle w:val="2"/>
        <w:spacing w:line="420" w:lineRule="exact"/>
        <w:ind w:left="300"/>
        <w:rPr>
          <w:szCs w:val="21"/>
        </w:rPr>
      </w:pPr>
      <w:r>
        <w:rPr>
          <w:rFonts w:hint="eastAsia"/>
          <w:szCs w:val="21"/>
        </w:rPr>
        <w:t>13.4投标人必须对其投标文件的真实性与准确性负责。投标人一旦成为中标投标人，其投标文件将作为合同的重要组成部分。</w:t>
      </w:r>
    </w:p>
    <w:p>
      <w:pPr>
        <w:pStyle w:val="2"/>
        <w:spacing w:line="420" w:lineRule="exact"/>
        <w:ind w:left="300"/>
        <w:rPr>
          <w:szCs w:val="21"/>
        </w:rPr>
      </w:pPr>
      <w:r>
        <w:rPr>
          <w:rFonts w:hint="eastAsia"/>
          <w:szCs w:val="21"/>
        </w:rPr>
        <w:t>13.5投标人不得在未征得采购代理机构许可的情况下，擅自对招标文件的格式、条款和技术要求进行修改。</w:t>
      </w:r>
    </w:p>
    <w:p>
      <w:pPr>
        <w:pStyle w:val="2"/>
        <w:spacing w:line="420" w:lineRule="exact"/>
        <w:ind w:left="300"/>
        <w:rPr>
          <w:b/>
          <w:bCs/>
          <w:szCs w:val="21"/>
        </w:rPr>
      </w:pPr>
      <w:r>
        <w:rPr>
          <w:rFonts w:hint="eastAsia"/>
          <w:b/>
          <w:bCs/>
          <w:szCs w:val="21"/>
        </w:rPr>
        <w:t>14、投标报价</w:t>
      </w:r>
    </w:p>
    <w:p>
      <w:pPr>
        <w:pStyle w:val="2"/>
        <w:spacing w:line="420" w:lineRule="exact"/>
        <w:ind w:left="300"/>
        <w:rPr>
          <w:szCs w:val="21"/>
        </w:rPr>
      </w:pPr>
      <w:r>
        <w:rPr>
          <w:rFonts w:hint="eastAsia"/>
          <w:szCs w:val="21"/>
        </w:rPr>
        <w:t>14.1投标文件的服务分项报价表上应清楚地标明投标人拟提供服务的名称（内容）、拟派分项负责人、完成周期、单价和总价等内容，采购项目在实施过程中所涉及的服务费用、人工费、投入设备费用、企业管理费、合理利润、规费、税金等所有费用应包括在服务报价中。。</w:t>
      </w:r>
    </w:p>
    <w:p>
      <w:pPr>
        <w:pStyle w:val="2"/>
        <w:spacing w:line="420" w:lineRule="exact"/>
        <w:ind w:left="300"/>
        <w:rPr>
          <w:szCs w:val="21"/>
        </w:rPr>
      </w:pPr>
      <w:r>
        <w:rPr>
          <w:rFonts w:hint="eastAsia"/>
          <w:szCs w:val="21"/>
        </w:rPr>
        <w:t>14.2除非特别要求，每个项目（或每个包）只允许有一个方案、一个总报价。否则，多方案、多报价的投标文件将不被接受。每种服务只允许有一个报价。任何分项报价有选择的方案和报价将不予接受。</w:t>
      </w:r>
    </w:p>
    <w:p>
      <w:pPr>
        <w:pStyle w:val="2"/>
        <w:spacing w:line="420" w:lineRule="exact"/>
        <w:ind w:left="300"/>
        <w:rPr>
          <w:szCs w:val="21"/>
        </w:rPr>
      </w:pPr>
      <w:r>
        <w:rPr>
          <w:rFonts w:hint="eastAsia"/>
          <w:szCs w:val="21"/>
        </w:rPr>
        <w:t>14.3经评审有效的最终中标报价是提供全部服务的验收价格，其总价即为履行合同的价格，投标人中标单价在合同实施期间不得因市场因素而变化，根据最后报价修正计算得出的中标单价在合同执行过程中是固定不变的，不得以任何理由予以变更。以可变动价格提交的报价将被认为是非实质投标而被拒绝。</w:t>
      </w:r>
    </w:p>
    <w:p>
      <w:pPr>
        <w:pStyle w:val="2"/>
        <w:spacing w:line="420" w:lineRule="exact"/>
        <w:ind w:left="300"/>
        <w:rPr>
          <w:szCs w:val="21"/>
        </w:rPr>
      </w:pPr>
      <w:r>
        <w:rPr>
          <w:rFonts w:hint="eastAsia"/>
          <w:szCs w:val="21"/>
        </w:rPr>
        <w:t>14.4投标报价不得高于该采购预算价，投标人必须按照招标文件的报价格式填报招标报价。</w:t>
      </w:r>
    </w:p>
    <w:p>
      <w:pPr>
        <w:pStyle w:val="2"/>
        <w:spacing w:line="420" w:lineRule="exact"/>
        <w:ind w:left="300"/>
        <w:rPr>
          <w:szCs w:val="21"/>
        </w:rPr>
      </w:pPr>
      <w:r>
        <w:rPr>
          <w:rFonts w:hint="eastAsia"/>
          <w:szCs w:val="21"/>
        </w:rPr>
        <w:t>14.5投标人</w:t>
      </w:r>
      <w:r>
        <w:rPr>
          <w:rFonts w:hint="eastAsia"/>
          <w:szCs w:val="21"/>
          <w:lang w:val="en-US"/>
        </w:rPr>
        <w:t>投标</w:t>
      </w:r>
      <w:r>
        <w:rPr>
          <w:rFonts w:hint="eastAsia"/>
          <w:szCs w:val="21"/>
        </w:rPr>
        <w:t>报价须以人民币（元）报价。</w:t>
      </w:r>
    </w:p>
    <w:p>
      <w:pPr>
        <w:pStyle w:val="2"/>
        <w:spacing w:line="420" w:lineRule="exact"/>
        <w:ind w:left="300"/>
        <w:rPr>
          <w:b/>
          <w:bCs/>
          <w:szCs w:val="21"/>
        </w:rPr>
      </w:pPr>
      <w:r>
        <w:rPr>
          <w:rFonts w:hint="eastAsia"/>
          <w:b/>
          <w:bCs/>
          <w:szCs w:val="21"/>
          <w:lang w:val="en-US"/>
        </w:rPr>
        <w:t>14.6</w:t>
      </w:r>
      <w:r>
        <w:rPr>
          <w:rFonts w:hint="eastAsia"/>
          <w:b/>
          <w:bCs/>
          <w:szCs w:val="21"/>
        </w:rPr>
        <w:t>为保证产品质量及保障实施质量，工期要求，投标人不能恶意竞争低价</w:t>
      </w:r>
      <w:r>
        <w:rPr>
          <w:rFonts w:hint="eastAsia"/>
          <w:b/>
          <w:bCs/>
          <w:szCs w:val="21"/>
          <w:lang w:val="en-US"/>
        </w:rPr>
        <w:t>报</w:t>
      </w:r>
      <w:r>
        <w:rPr>
          <w:rFonts w:hint="eastAsia"/>
          <w:b/>
          <w:bCs/>
          <w:szCs w:val="21"/>
        </w:rPr>
        <w:t>价，评标委员会认为投标人的报价明显低于其他通过符合性审查投标人的报价，有可能影响产品质量或者不能诚信履约的，应要求其在评标现场半小时的时间内提供书面说明， 并提交相关证明材料；投标人不能证明其报价合理性及产品质量保障，评标委员会应当将其作为无效投标处理。</w:t>
      </w:r>
    </w:p>
    <w:p>
      <w:pPr>
        <w:pStyle w:val="15"/>
        <w:ind w:firstLine="240"/>
        <w:rPr>
          <w:lang w:val="en-US"/>
        </w:rPr>
      </w:pPr>
    </w:p>
    <w:p>
      <w:pPr>
        <w:pStyle w:val="2"/>
        <w:spacing w:line="420" w:lineRule="exact"/>
        <w:ind w:left="300"/>
        <w:rPr>
          <w:b/>
          <w:bCs/>
          <w:szCs w:val="21"/>
        </w:rPr>
      </w:pPr>
      <w:r>
        <w:rPr>
          <w:rFonts w:hint="eastAsia"/>
          <w:b/>
          <w:bCs/>
          <w:szCs w:val="21"/>
        </w:rPr>
        <w:t>15、符合招标文件的证明文件</w:t>
      </w:r>
    </w:p>
    <w:p>
      <w:pPr>
        <w:pStyle w:val="2"/>
        <w:spacing w:line="420" w:lineRule="exact"/>
        <w:ind w:left="300"/>
        <w:rPr>
          <w:szCs w:val="21"/>
        </w:rPr>
      </w:pPr>
      <w:r>
        <w:rPr>
          <w:rFonts w:hint="eastAsia"/>
          <w:szCs w:val="21"/>
        </w:rPr>
        <w:t>15.1如果投标人在投标文件中附有外文资料，必须把这些外文资料翻译成中文。对于关键性的证明文件，投标人应当提供与英文内容相同、且由同一人签署（或盖章）的中文原件，或经国内公证部门公证的中文翻译件。否则视为无效证明资料。属于评分所需资料的，不予计分。</w:t>
      </w:r>
    </w:p>
    <w:p>
      <w:pPr>
        <w:pStyle w:val="2"/>
        <w:spacing w:line="420" w:lineRule="exact"/>
        <w:ind w:left="300"/>
        <w:rPr>
          <w:b/>
          <w:bCs/>
          <w:szCs w:val="21"/>
        </w:rPr>
      </w:pPr>
      <w:r>
        <w:rPr>
          <w:rFonts w:hint="eastAsia"/>
          <w:b/>
          <w:bCs/>
          <w:szCs w:val="21"/>
        </w:rPr>
        <w:t>16、投标保证金</w:t>
      </w:r>
    </w:p>
    <w:p>
      <w:pPr>
        <w:pStyle w:val="2"/>
        <w:spacing w:line="420" w:lineRule="exact"/>
        <w:ind w:left="300"/>
        <w:rPr>
          <w:szCs w:val="21"/>
        </w:rPr>
      </w:pPr>
      <w:r>
        <w:rPr>
          <w:rFonts w:hint="eastAsia"/>
          <w:szCs w:val="21"/>
        </w:rPr>
        <w:t>16.1投标人必须在招标保证金提交截止时间前，按照“投标人须知前附表”序号5的规定提交保证金。保证金有效期应当与投标文件有效期一致。如允许联合体形式参加</w:t>
      </w:r>
      <w:r>
        <w:rPr>
          <w:rFonts w:hint="eastAsia"/>
          <w:szCs w:val="21"/>
          <w:lang w:val="en-US"/>
        </w:rPr>
        <w:t>投</w:t>
      </w:r>
      <w:r>
        <w:rPr>
          <w:rFonts w:hint="eastAsia"/>
          <w:szCs w:val="21"/>
        </w:rPr>
        <w:t>标且投标人为联合体的，可以由联合体中的一方或者共同交纳保证金，其交纳的保证金，对联合体各方均具有约束力。</w:t>
      </w:r>
    </w:p>
    <w:p>
      <w:pPr>
        <w:pStyle w:val="2"/>
        <w:spacing w:line="420" w:lineRule="exact"/>
        <w:ind w:left="300"/>
        <w:rPr>
          <w:szCs w:val="21"/>
        </w:rPr>
      </w:pPr>
      <w:r>
        <w:rPr>
          <w:rFonts w:hint="eastAsia"/>
          <w:szCs w:val="21"/>
        </w:rPr>
        <w:t>16.2投标人提交的保证金必须在招标保证金提交截止时间前足额到账（到账是指在本中心账户上能查询到该笔资金）。</w:t>
      </w:r>
    </w:p>
    <w:p>
      <w:pPr>
        <w:pStyle w:val="2"/>
        <w:spacing w:line="420" w:lineRule="exact"/>
        <w:ind w:left="300"/>
        <w:rPr>
          <w:szCs w:val="21"/>
        </w:rPr>
      </w:pPr>
      <w:r>
        <w:rPr>
          <w:rFonts w:hint="eastAsia"/>
          <w:szCs w:val="21"/>
        </w:rPr>
        <w:t>16.3投标人应保证招标保证金按时、足额到账。由停电、计算机系统故障等任何原因造成其保证金未能按时、足额到账而引起的后果，采购代理机构概不负责。</w:t>
      </w:r>
    </w:p>
    <w:p>
      <w:pPr>
        <w:pStyle w:val="2"/>
        <w:spacing w:line="420" w:lineRule="exact"/>
        <w:ind w:left="300"/>
        <w:rPr>
          <w:szCs w:val="21"/>
        </w:rPr>
      </w:pPr>
      <w:r>
        <w:rPr>
          <w:rFonts w:hint="eastAsia"/>
          <w:szCs w:val="21"/>
        </w:rPr>
        <w:t>16.4保证金账号：见投标人须知前附表。</w:t>
      </w:r>
    </w:p>
    <w:p>
      <w:pPr>
        <w:pStyle w:val="2"/>
        <w:spacing w:line="420" w:lineRule="exact"/>
        <w:ind w:left="300"/>
        <w:rPr>
          <w:szCs w:val="21"/>
        </w:rPr>
      </w:pPr>
      <w:r>
        <w:rPr>
          <w:rFonts w:hint="eastAsia"/>
          <w:szCs w:val="21"/>
        </w:rPr>
        <w:t>保证金退还：未中标投标人将保证金退还申请(格式自拟)附转账凭证，发送至627191141@qq.com邮箱；中标投标人于与采购人签订后同后发送：保证金退还申请(格式自拟)附转账凭证及合同扫描件至上述邮箱办理保证金退还事宜。</w:t>
      </w:r>
    </w:p>
    <w:p>
      <w:pPr>
        <w:pStyle w:val="2"/>
        <w:spacing w:line="420" w:lineRule="exact"/>
        <w:ind w:left="300"/>
        <w:rPr>
          <w:szCs w:val="21"/>
        </w:rPr>
      </w:pPr>
      <w:r>
        <w:rPr>
          <w:rFonts w:hint="eastAsia"/>
          <w:szCs w:val="21"/>
        </w:rPr>
        <w:t>16.5</w:t>
      </w:r>
      <w:r>
        <w:rPr>
          <w:rFonts w:hint="eastAsia"/>
          <w:szCs w:val="21"/>
          <w:lang w:val="en-US"/>
        </w:rPr>
        <w:t>投标</w:t>
      </w:r>
      <w:r>
        <w:rPr>
          <w:rFonts w:hint="eastAsia"/>
          <w:szCs w:val="21"/>
        </w:rPr>
        <w:t xml:space="preserve">保证金用于保护本次招标活动，防范投标人恶意利用制度缺陷扰乱开标评标秩序，避免投标人投标后随意撤回投标或随意变更应承担的相应义务，给采购项目和采购单位造成损失。 </w:t>
      </w:r>
    </w:p>
    <w:p>
      <w:pPr>
        <w:pStyle w:val="2"/>
        <w:spacing w:line="420" w:lineRule="exact"/>
        <w:ind w:left="300"/>
        <w:rPr>
          <w:szCs w:val="21"/>
        </w:rPr>
      </w:pPr>
      <w:r>
        <w:rPr>
          <w:rFonts w:hint="eastAsia"/>
          <w:szCs w:val="21"/>
        </w:rPr>
        <w:t>16.6投标人未按招标文件要提交投标保证金的，投标无效，将予以拒收。</w:t>
      </w:r>
    </w:p>
    <w:p>
      <w:pPr>
        <w:pStyle w:val="2"/>
        <w:spacing w:line="420" w:lineRule="exact"/>
        <w:ind w:left="300"/>
        <w:rPr>
          <w:szCs w:val="21"/>
        </w:rPr>
      </w:pPr>
      <w:r>
        <w:rPr>
          <w:rFonts w:hint="eastAsia"/>
          <w:szCs w:val="21"/>
        </w:rPr>
        <w:t>16.7自中标通知书发出之日起5个工作日内退还未中标投标人的</w:t>
      </w:r>
      <w:r>
        <w:rPr>
          <w:rFonts w:hint="eastAsia"/>
          <w:szCs w:val="21"/>
          <w:lang w:val="en-US"/>
        </w:rPr>
        <w:t>投</w:t>
      </w:r>
      <w:r>
        <w:rPr>
          <w:rFonts w:hint="eastAsia"/>
          <w:szCs w:val="21"/>
        </w:rPr>
        <w:t>标保证金，自政府采购合同签订（并按要求报送备案）之日起5个工作日内退还中标投标人的</w:t>
      </w:r>
      <w:r>
        <w:rPr>
          <w:rFonts w:hint="eastAsia"/>
          <w:szCs w:val="21"/>
          <w:lang w:val="en-US"/>
        </w:rPr>
        <w:t>投</w:t>
      </w:r>
      <w:r>
        <w:rPr>
          <w:rFonts w:hint="eastAsia"/>
          <w:szCs w:val="21"/>
        </w:rPr>
        <w:t>标保证金。招标文件、相关法律法规规定</w:t>
      </w:r>
      <w:r>
        <w:rPr>
          <w:rFonts w:hint="eastAsia"/>
          <w:szCs w:val="21"/>
          <w:lang w:val="en-US"/>
        </w:rPr>
        <w:t>投标</w:t>
      </w:r>
      <w:r>
        <w:rPr>
          <w:rFonts w:hint="eastAsia"/>
          <w:szCs w:val="21"/>
        </w:rPr>
        <w:t>保证金不予退还以及政府采购监督管理部门视具体情况通知采购人暂停采购活动情形除外。</w:t>
      </w:r>
    </w:p>
    <w:p>
      <w:pPr>
        <w:pStyle w:val="2"/>
        <w:spacing w:line="420" w:lineRule="exact"/>
        <w:ind w:left="300"/>
        <w:rPr>
          <w:szCs w:val="21"/>
        </w:rPr>
      </w:pPr>
      <w:r>
        <w:rPr>
          <w:rFonts w:hint="eastAsia"/>
          <w:szCs w:val="21"/>
        </w:rPr>
        <w:t>16.8发生下列情况之一，投标保证金不予退还：</w:t>
      </w:r>
    </w:p>
    <w:p>
      <w:pPr>
        <w:pStyle w:val="2"/>
        <w:spacing w:line="420" w:lineRule="exact"/>
        <w:ind w:left="300"/>
        <w:rPr>
          <w:szCs w:val="21"/>
        </w:rPr>
      </w:pPr>
      <w:r>
        <w:rPr>
          <w:rFonts w:hint="eastAsia"/>
          <w:szCs w:val="21"/>
        </w:rPr>
        <w:t>A. 投标人在提交投标文件截止时间后撤回投标文件的；</w:t>
      </w:r>
    </w:p>
    <w:p>
      <w:pPr>
        <w:pStyle w:val="2"/>
        <w:spacing w:line="420" w:lineRule="exact"/>
        <w:ind w:left="300"/>
        <w:rPr>
          <w:szCs w:val="21"/>
        </w:rPr>
      </w:pPr>
      <w:r>
        <w:rPr>
          <w:rFonts w:hint="eastAsia"/>
          <w:szCs w:val="21"/>
        </w:rPr>
        <w:t>B. 采购过程中，投标人未按相关程序进行</w:t>
      </w:r>
      <w:r>
        <w:rPr>
          <w:rFonts w:hint="eastAsia"/>
          <w:szCs w:val="21"/>
          <w:lang w:val="en-US"/>
        </w:rPr>
        <w:t>投</w:t>
      </w:r>
      <w:r>
        <w:rPr>
          <w:rFonts w:hint="eastAsia"/>
          <w:szCs w:val="21"/>
        </w:rPr>
        <w:t>标（放弃</w:t>
      </w:r>
      <w:r>
        <w:rPr>
          <w:rFonts w:hint="eastAsia"/>
          <w:szCs w:val="21"/>
          <w:lang w:val="en-US"/>
        </w:rPr>
        <w:t>投</w:t>
      </w:r>
      <w:r>
        <w:rPr>
          <w:rFonts w:hint="eastAsia"/>
          <w:szCs w:val="21"/>
        </w:rPr>
        <w:t>标）的；</w:t>
      </w:r>
    </w:p>
    <w:p>
      <w:pPr>
        <w:pStyle w:val="2"/>
        <w:spacing w:line="420" w:lineRule="exact"/>
        <w:ind w:left="300"/>
        <w:rPr>
          <w:szCs w:val="21"/>
        </w:rPr>
      </w:pPr>
      <w:r>
        <w:rPr>
          <w:rFonts w:hint="eastAsia"/>
          <w:szCs w:val="21"/>
        </w:rPr>
        <w:t>C. 投标人在投标文件中提供虚假材料的；</w:t>
      </w:r>
    </w:p>
    <w:p>
      <w:pPr>
        <w:pStyle w:val="2"/>
        <w:spacing w:line="420" w:lineRule="exact"/>
        <w:ind w:left="300"/>
        <w:rPr>
          <w:szCs w:val="21"/>
        </w:rPr>
      </w:pPr>
      <w:r>
        <w:rPr>
          <w:rFonts w:hint="eastAsia"/>
          <w:szCs w:val="21"/>
        </w:rPr>
        <w:t>D. 投标人与采购人、其他投标人或者采购代理机构恶意串通的；</w:t>
      </w:r>
    </w:p>
    <w:p>
      <w:pPr>
        <w:pStyle w:val="2"/>
        <w:spacing w:line="420" w:lineRule="exact"/>
        <w:ind w:left="300"/>
        <w:rPr>
          <w:szCs w:val="21"/>
        </w:rPr>
      </w:pPr>
      <w:r>
        <w:rPr>
          <w:rFonts w:hint="eastAsia"/>
          <w:szCs w:val="21"/>
        </w:rPr>
        <w:t>E. 在政府采购活动中行贿或者提供其他不正当利益的；</w:t>
      </w:r>
    </w:p>
    <w:p>
      <w:pPr>
        <w:pStyle w:val="2"/>
        <w:spacing w:line="420" w:lineRule="exact"/>
        <w:ind w:left="300"/>
        <w:rPr>
          <w:szCs w:val="21"/>
        </w:rPr>
      </w:pPr>
      <w:r>
        <w:rPr>
          <w:rFonts w:hint="eastAsia"/>
          <w:szCs w:val="21"/>
        </w:rPr>
        <w:t>F. 评审阶段资格发生变化，投标人未依照《政府采购法实施条例》第二十一条的规定通知采购人和采购代理机构的；</w:t>
      </w:r>
    </w:p>
    <w:p>
      <w:pPr>
        <w:pStyle w:val="2"/>
        <w:spacing w:line="420" w:lineRule="exact"/>
        <w:ind w:left="300"/>
        <w:rPr>
          <w:szCs w:val="21"/>
        </w:rPr>
      </w:pPr>
      <w:r>
        <w:rPr>
          <w:rFonts w:hint="eastAsia"/>
          <w:szCs w:val="21"/>
        </w:rPr>
        <w:t>G. 投标人中标后，在规定期限内：</w:t>
      </w:r>
    </w:p>
    <w:p>
      <w:pPr>
        <w:pStyle w:val="2"/>
        <w:spacing w:line="420" w:lineRule="exact"/>
        <w:ind w:left="300"/>
        <w:rPr>
          <w:szCs w:val="21"/>
        </w:rPr>
      </w:pPr>
      <w:r>
        <w:rPr>
          <w:rFonts w:hint="eastAsia"/>
          <w:szCs w:val="21"/>
        </w:rPr>
        <w:t>(a) 除因不可抗力或招标文件认可的情形以外，中标投标人不与采购人签订合同（放弃中标资格）的；</w:t>
      </w:r>
    </w:p>
    <w:p>
      <w:pPr>
        <w:pStyle w:val="2"/>
        <w:spacing w:line="420" w:lineRule="exact"/>
        <w:ind w:left="300"/>
        <w:rPr>
          <w:szCs w:val="21"/>
        </w:rPr>
      </w:pPr>
      <w:r>
        <w:rPr>
          <w:rFonts w:hint="eastAsia"/>
          <w:szCs w:val="21"/>
        </w:rPr>
        <w:t>(b) 未能按照招标文件的规定交纳履约保证金的；</w:t>
      </w:r>
    </w:p>
    <w:p>
      <w:pPr>
        <w:pStyle w:val="2"/>
        <w:spacing w:line="420" w:lineRule="exact"/>
        <w:ind w:left="300"/>
        <w:rPr>
          <w:szCs w:val="21"/>
        </w:rPr>
      </w:pPr>
      <w:r>
        <w:rPr>
          <w:rFonts w:hint="eastAsia"/>
          <w:szCs w:val="21"/>
        </w:rPr>
        <w:t>(c) 在签订合同时向采购人提出附加条件的；</w:t>
      </w:r>
    </w:p>
    <w:p>
      <w:pPr>
        <w:pStyle w:val="2"/>
        <w:spacing w:line="420" w:lineRule="exact"/>
        <w:ind w:left="300"/>
        <w:rPr>
          <w:szCs w:val="21"/>
        </w:rPr>
      </w:pPr>
      <w:r>
        <w:rPr>
          <w:rFonts w:hint="eastAsia"/>
          <w:szCs w:val="21"/>
        </w:rPr>
        <w:t>(d) 中标后有非法转包或违法分包行为的（本项目不得非法转包或分包）；</w:t>
      </w:r>
    </w:p>
    <w:p>
      <w:pPr>
        <w:pStyle w:val="2"/>
        <w:spacing w:line="420" w:lineRule="exact"/>
        <w:ind w:left="300"/>
        <w:rPr>
          <w:szCs w:val="21"/>
        </w:rPr>
      </w:pPr>
      <w:r>
        <w:rPr>
          <w:rFonts w:hint="eastAsia"/>
          <w:szCs w:val="21"/>
        </w:rPr>
        <w:t>(e) 拒绝履行合同义务的；</w:t>
      </w:r>
    </w:p>
    <w:p>
      <w:pPr>
        <w:pStyle w:val="2"/>
        <w:spacing w:line="420" w:lineRule="exact"/>
        <w:ind w:left="300"/>
        <w:rPr>
          <w:szCs w:val="21"/>
        </w:rPr>
      </w:pPr>
      <w:r>
        <w:rPr>
          <w:rFonts w:hint="eastAsia"/>
          <w:szCs w:val="21"/>
        </w:rPr>
        <w:t>(f) 招标文件及相关法律法规规定的其他情形。</w:t>
      </w:r>
    </w:p>
    <w:p>
      <w:pPr>
        <w:pStyle w:val="2"/>
        <w:spacing w:line="420" w:lineRule="exact"/>
        <w:ind w:left="300"/>
        <w:rPr>
          <w:szCs w:val="21"/>
        </w:rPr>
      </w:pPr>
      <w:r>
        <w:rPr>
          <w:rFonts w:hint="eastAsia"/>
          <w:szCs w:val="21"/>
        </w:rPr>
        <w:t>(g)由于中标投标人的原因未能按照公开招标文件的规定交纳履约保证金；投标人在本次投标过程中出现违反法律法规的行为、扰乱开标评标秩序的行为或恶意利用规则谋求不法利益的行为。</w:t>
      </w:r>
    </w:p>
    <w:p>
      <w:pPr>
        <w:pStyle w:val="2"/>
        <w:spacing w:line="420" w:lineRule="exact"/>
        <w:ind w:left="300"/>
        <w:rPr>
          <w:b/>
          <w:bCs/>
          <w:szCs w:val="21"/>
        </w:rPr>
      </w:pPr>
      <w:r>
        <w:rPr>
          <w:rFonts w:hint="eastAsia"/>
          <w:b/>
          <w:bCs/>
          <w:szCs w:val="21"/>
        </w:rPr>
        <w:t>17、投标文件的有效期</w:t>
      </w:r>
    </w:p>
    <w:p>
      <w:pPr>
        <w:pStyle w:val="2"/>
        <w:spacing w:line="420" w:lineRule="exact"/>
        <w:ind w:left="300"/>
        <w:rPr>
          <w:szCs w:val="21"/>
        </w:rPr>
      </w:pPr>
      <w:r>
        <w:rPr>
          <w:rFonts w:hint="eastAsia"/>
          <w:szCs w:val="21"/>
        </w:rPr>
        <w:t>17.1投标文件有效期在“投标人须知前附表”序号4中有明确的规定。投标人如未就此提出异议，则视同接受；如承诺的投标文件有效期短于此规定时间的，将被视为未实质性投标招标文件而予以拒绝。</w:t>
      </w:r>
    </w:p>
    <w:p>
      <w:pPr>
        <w:pStyle w:val="2"/>
        <w:spacing w:line="420" w:lineRule="exact"/>
        <w:ind w:left="300"/>
        <w:rPr>
          <w:szCs w:val="21"/>
        </w:rPr>
      </w:pPr>
      <w:r>
        <w:rPr>
          <w:rFonts w:hint="eastAsia"/>
          <w:szCs w:val="21"/>
        </w:rPr>
        <w:t>17.2在特殊情况下，采购代理机构可于原投标文件有效期满之前，向投标人提出延长投标文件有效期的要求。延长投标文件有效期的要求将被刊登在指定的网站上。</w:t>
      </w:r>
    </w:p>
    <w:p>
      <w:pPr>
        <w:pStyle w:val="2"/>
        <w:spacing w:line="420" w:lineRule="exact"/>
        <w:ind w:left="300"/>
        <w:rPr>
          <w:szCs w:val="21"/>
        </w:rPr>
      </w:pPr>
      <w:r>
        <w:rPr>
          <w:rFonts w:hint="eastAsia"/>
          <w:szCs w:val="21"/>
        </w:rPr>
        <w:t>17.3投标人同意延长的，不得要求或被允许修改其投标文件的实质性内容，但应当相应延长其招标保证金的有效期。投标人拒绝延长的，按照无效投标文件处理。该投标人可以在采购代理机构延长投标文件有效期公告后五个工作日内，以书面形式拒绝采购代理机构的这种要求而不失去其招标保证金。如在规定的时间内未提出书面意见表示拒绝，将视为同意延长投标文件有效期。同意延长的投标人既不能要求也不允许修改其投标文件。第14款有关保证金的规定，在延长的投标文件有效期内继续有效。拒绝接受延长有效期要求的投标人，其投标将被拒绝，投标保证金将被退还。</w:t>
      </w:r>
    </w:p>
    <w:p>
      <w:pPr>
        <w:pStyle w:val="2"/>
        <w:spacing w:line="420" w:lineRule="exact"/>
        <w:ind w:left="300"/>
        <w:rPr>
          <w:b/>
          <w:bCs/>
          <w:szCs w:val="21"/>
        </w:rPr>
      </w:pPr>
      <w:r>
        <w:rPr>
          <w:rFonts w:hint="eastAsia"/>
          <w:b/>
          <w:bCs/>
          <w:szCs w:val="21"/>
        </w:rPr>
        <w:t>18、投标文件的份数和签署</w:t>
      </w:r>
    </w:p>
    <w:p>
      <w:pPr>
        <w:pStyle w:val="2"/>
        <w:spacing w:line="420" w:lineRule="exact"/>
        <w:ind w:left="300"/>
        <w:rPr>
          <w:szCs w:val="21"/>
        </w:rPr>
      </w:pPr>
      <w:r>
        <w:rPr>
          <w:rFonts w:hint="eastAsia"/>
          <w:szCs w:val="21"/>
        </w:rPr>
        <w:t>18.1投标文件份数：见投标人须知前附表。</w:t>
      </w:r>
    </w:p>
    <w:p>
      <w:pPr>
        <w:pStyle w:val="2"/>
        <w:spacing w:line="420" w:lineRule="exact"/>
        <w:ind w:left="300"/>
        <w:rPr>
          <w:szCs w:val="21"/>
        </w:rPr>
      </w:pPr>
      <w:r>
        <w:rPr>
          <w:rFonts w:hint="eastAsia"/>
          <w:szCs w:val="21"/>
        </w:rPr>
        <w:t>18.2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pPr>
        <w:pStyle w:val="2"/>
        <w:spacing w:line="420" w:lineRule="exact"/>
        <w:ind w:left="300"/>
        <w:rPr>
          <w:szCs w:val="21"/>
        </w:rPr>
      </w:pPr>
      <w:r>
        <w:rPr>
          <w:rFonts w:hint="eastAsia"/>
          <w:szCs w:val="21"/>
        </w:rPr>
        <w:t>18.3投标文件正本要求法人代表或授权委托人签字和加盖投标单位公章的内容，应由投标人的法定代表人或其授权的委托人签字</w:t>
      </w:r>
      <w:r>
        <w:rPr>
          <w:rFonts w:hint="eastAsia"/>
          <w:szCs w:val="21"/>
          <w:lang w:val="en-US"/>
        </w:rPr>
        <w:t>和</w:t>
      </w:r>
      <w:r>
        <w:rPr>
          <w:rFonts w:hint="eastAsia"/>
          <w:szCs w:val="21"/>
        </w:rPr>
        <w:t>盖章，并逐页</w:t>
      </w:r>
      <w:r>
        <w:rPr>
          <w:rFonts w:hint="eastAsia"/>
          <w:szCs w:val="21"/>
          <w:lang w:val="en-US"/>
        </w:rPr>
        <w:t>签字和</w:t>
      </w:r>
      <w:r>
        <w:rPr>
          <w:rFonts w:hint="eastAsia"/>
          <w:szCs w:val="21"/>
        </w:rPr>
        <w:t>加盖投标人公章。</w:t>
      </w:r>
    </w:p>
    <w:p>
      <w:pPr>
        <w:pStyle w:val="2"/>
        <w:spacing w:line="420" w:lineRule="exact"/>
        <w:ind w:left="300"/>
        <w:rPr>
          <w:szCs w:val="21"/>
        </w:rPr>
      </w:pPr>
      <w:r>
        <w:rPr>
          <w:rFonts w:hint="eastAsia"/>
          <w:szCs w:val="21"/>
        </w:rPr>
        <w:t>18.4全套投标文件应无涂改、无行间插字。除非这些删改是根据采购代理机构的要求实施的，或者是投标人造成的错误且必须修改的。修改处应由投标文件签字人签字证明。（注明：本项目要求投标人提交电子版投标文件；电子版投标文件与对应的投标文件正本必须一致。其载体必须是可以被读取的光盘或者U盘。电子版投标文件提交后不退还）。</w:t>
      </w:r>
    </w:p>
    <w:p>
      <w:pPr>
        <w:pStyle w:val="2"/>
        <w:spacing w:line="420" w:lineRule="exact"/>
        <w:ind w:left="300"/>
        <w:rPr>
          <w:szCs w:val="21"/>
        </w:rPr>
      </w:pPr>
      <w:r>
        <w:rPr>
          <w:rFonts w:hint="eastAsia"/>
          <w:szCs w:val="21"/>
        </w:rPr>
        <w:t>18.5投标人未按上述要求提交投标文件或签字盖章的，将不能通过初步评审。</w:t>
      </w:r>
    </w:p>
    <w:p>
      <w:pPr>
        <w:pStyle w:val="2"/>
        <w:spacing w:line="420" w:lineRule="exact"/>
        <w:ind w:left="300"/>
        <w:rPr>
          <w:szCs w:val="21"/>
        </w:rPr>
      </w:pPr>
      <w:bookmarkStart w:id="12" w:name="_Toc26289793"/>
      <w:bookmarkStart w:id="13" w:name="_Toc13103"/>
      <w:bookmarkStart w:id="14" w:name="_Toc317237777"/>
      <w:bookmarkStart w:id="15" w:name="_Toc317237602"/>
      <w:r>
        <w:rPr>
          <w:rFonts w:hint="eastAsia"/>
          <w:szCs w:val="21"/>
        </w:rPr>
        <w:t>（四）投标文件的递交</w:t>
      </w:r>
      <w:bookmarkEnd w:id="12"/>
      <w:bookmarkEnd w:id="13"/>
      <w:bookmarkEnd w:id="14"/>
      <w:bookmarkEnd w:id="15"/>
    </w:p>
    <w:p>
      <w:pPr>
        <w:pStyle w:val="2"/>
        <w:spacing w:line="420" w:lineRule="exact"/>
        <w:ind w:left="300"/>
        <w:rPr>
          <w:b/>
          <w:bCs/>
          <w:szCs w:val="21"/>
        </w:rPr>
      </w:pPr>
      <w:r>
        <w:rPr>
          <w:rFonts w:hint="eastAsia"/>
          <w:b/>
          <w:bCs/>
          <w:szCs w:val="21"/>
        </w:rPr>
        <w:t>19、投标文件的装订、密封及标记</w:t>
      </w:r>
    </w:p>
    <w:p>
      <w:pPr>
        <w:pStyle w:val="2"/>
        <w:spacing w:line="420" w:lineRule="exact"/>
        <w:ind w:left="300"/>
        <w:rPr>
          <w:szCs w:val="21"/>
        </w:rPr>
      </w:pPr>
      <w:r>
        <w:rPr>
          <w:rFonts w:hint="eastAsia"/>
          <w:szCs w:val="21"/>
        </w:rPr>
        <w:t>19.1投标人应将投标文件的正本和所有副本分别用包装袋封装好，及报价一览表（另独立密封一份）。电子版投标文件与正本一块封装。封装应该严密、不易破损。封口处应盖有投标人公章。</w:t>
      </w:r>
    </w:p>
    <w:p>
      <w:pPr>
        <w:pStyle w:val="2"/>
        <w:spacing w:line="420" w:lineRule="exact"/>
        <w:ind w:left="300"/>
        <w:rPr>
          <w:szCs w:val="21"/>
        </w:rPr>
      </w:pPr>
      <w:r>
        <w:rPr>
          <w:rFonts w:hint="eastAsia"/>
          <w:szCs w:val="21"/>
        </w:rPr>
        <w:t>19.2如果参加的项目分有多个包，则投标文件必须以包为单位进行封装。</w:t>
      </w:r>
    </w:p>
    <w:p>
      <w:pPr>
        <w:pStyle w:val="2"/>
        <w:spacing w:line="420" w:lineRule="exact"/>
        <w:ind w:left="300"/>
        <w:rPr>
          <w:szCs w:val="21"/>
        </w:rPr>
      </w:pPr>
      <w:r>
        <w:rPr>
          <w:rFonts w:hint="eastAsia"/>
          <w:szCs w:val="21"/>
        </w:rPr>
        <w:t>19.3投标文件包装袋上必须清楚写明项目的名称、项目编号、包号及包名（如果项目分有多个包）、投标人全称。</w:t>
      </w:r>
    </w:p>
    <w:p>
      <w:pPr>
        <w:pStyle w:val="2"/>
        <w:spacing w:line="420" w:lineRule="exact"/>
        <w:ind w:left="300"/>
        <w:rPr>
          <w:szCs w:val="21"/>
        </w:rPr>
      </w:pPr>
      <w:r>
        <w:rPr>
          <w:rFonts w:hint="eastAsia"/>
          <w:szCs w:val="21"/>
        </w:rPr>
        <w:t>19.4投标人须在规定的提交首次投标文件截止时间前由法定代表人或其授权代理人将投标文件送达指定地点。（详见“投标人须知前附表”序号10的规定）。否则该投标文件将予以拒收，原封退回。</w:t>
      </w:r>
    </w:p>
    <w:p>
      <w:pPr>
        <w:pStyle w:val="2"/>
        <w:spacing w:line="420" w:lineRule="exact"/>
        <w:ind w:left="300"/>
        <w:rPr>
          <w:szCs w:val="21"/>
        </w:rPr>
      </w:pPr>
      <w:r>
        <w:rPr>
          <w:rFonts w:hint="eastAsia"/>
          <w:szCs w:val="21"/>
        </w:rPr>
        <w:t>19.5投标人递交投标文件后，可以在规定的首次投标文件递交截止时间前修改或撤回，但这种修改和撤回，必须以书面形式通知采购人、采购代理机构。</w:t>
      </w:r>
    </w:p>
    <w:p>
      <w:pPr>
        <w:pStyle w:val="2"/>
        <w:spacing w:line="420" w:lineRule="exact"/>
        <w:ind w:left="300"/>
        <w:rPr>
          <w:szCs w:val="21"/>
        </w:rPr>
      </w:pPr>
      <w:r>
        <w:rPr>
          <w:rFonts w:hint="eastAsia"/>
          <w:szCs w:val="21"/>
        </w:rPr>
        <w:t>19.6投标人修改或撤回通知书，应有投标人法定代表人或其授权代理人签字。补充、修改的内容与投标文件不一致时，以补充、修改的内容为准。任何加行、涂改、增删，应有法定代表人或其授权代理人在旁边签字或加盖单位公章。</w:t>
      </w:r>
    </w:p>
    <w:p>
      <w:pPr>
        <w:pStyle w:val="2"/>
        <w:spacing w:line="420" w:lineRule="exact"/>
        <w:ind w:left="300"/>
        <w:rPr>
          <w:szCs w:val="21"/>
        </w:rPr>
      </w:pPr>
      <w:r>
        <w:rPr>
          <w:rFonts w:hint="eastAsia"/>
          <w:szCs w:val="21"/>
        </w:rPr>
        <w:t>19.7经相关程序进行补充、修改的投标文件须按招标文件的规定重新进行密封、标记和递交。未按要求密封的或者逾期送达指定地点的投标文件将予以拒收。投标文件一经递交，在投标文件递交截止时间之后即不可撤回。在招标过程中，投标人可以根据招标小组提出的招标问题（包括按19.17款程序进行的实质性变动）作出相应的更优良的修改。</w:t>
      </w:r>
    </w:p>
    <w:p>
      <w:pPr>
        <w:pStyle w:val="2"/>
        <w:spacing w:line="420" w:lineRule="exact"/>
        <w:ind w:left="300"/>
        <w:rPr>
          <w:b/>
          <w:bCs/>
          <w:szCs w:val="21"/>
        </w:rPr>
      </w:pPr>
      <w:r>
        <w:rPr>
          <w:rFonts w:hint="eastAsia"/>
          <w:b/>
          <w:bCs/>
          <w:szCs w:val="21"/>
        </w:rPr>
        <w:t>20、投标文件的迟交以及撤回与保存</w:t>
      </w:r>
    </w:p>
    <w:p>
      <w:pPr>
        <w:pStyle w:val="2"/>
        <w:spacing w:line="420" w:lineRule="exact"/>
        <w:ind w:left="300"/>
        <w:rPr>
          <w:szCs w:val="21"/>
        </w:rPr>
      </w:pPr>
      <w:r>
        <w:rPr>
          <w:rFonts w:hint="eastAsia"/>
          <w:szCs w:val="21"/>
        </w:rPr>
        <w:t>20.1采购人、采购代理机构将拒绝接收逾期送达指定地点的投标文件并原封退回。</w:t>
      </w:r>
    </w:p>
    <w:p>
      <w:pPr>
        <w:pStyle w:val="2"/>
        <w:spacing w:line="420" w:lineRule="exact"/>
        <w:ind w:left="300"/>
        <w:rPr>
          <w:szCs w:val="21"/>
        </w:rPr>
      </w:pPr>
      <w:r>
        <w:rPr>
          <w:rFonts w:hint="eastAsia"/>
          <w:szCs w:val="21"/>
        </w:rPr>
        <w:t>20.2投标文件提交截止时间后，投标人不得撤回投标文件，否则</w:t>
      </w:r>
      <w:r>
        <w:rPr>
          <w:rFonts w:hint="eastAsia"/>
          <w:szCs w:val="21"/>
          <w:lang w:val="en-US"/>
        </w:rPr>
        <w:t>投</w:t>
      </w:r>
      <w:r>
        <w:rPr>
          <w:rFonts w:hint="eastAsia"/>
          <w:szCs w:val="21"/>
        </w:rPr>
        <w:t>标保证金将不予退还，其投标函中的相关承诺内容将被视为虚假承诺或虚假投标材料，由投标人承担相应的法律责任,情节严重的列入不良行为记录名单，在一至三年内禁止参加政府采购活动。</w:t>
      </w:r>
    </w:p>
    <w:p>
      <w:pPr>
        <w:pStyle w:val="2"/>
        <w:spacing w:line="420" w:lineRule="exact"/>
        <w:ind w:left="300"/>
        <w:rPr>
          <w:szCs w:val="21"/>
        </w:rPr>
      </w:pPr>
      <w:r>
        <w:rPr>
          <w:rFonts w:hint="eastAsia"/>
          <w:szCs w:val="21"/>
        </w:rPr>
        <w:t>20.3投标人在评审完成之后，撤回其投标文件的，不影响该投标人投标文件的评审结果有效性。</w:t>
      </w:r>
    </w:p>
    <w:p>
      <w:pPr>
        <w:pStyle w:val="2"/>
        <w:spacing w:line="420" w:lineRule="exact"/>
        <w:ind w:left="300"/>
        <w:rPr>
          <w:b/>
          <w:bCs/>
          <w:szCs w:val="21"/>
        </w:rPr>
      </w:pPr>
      <w:r>
        <w:rPr>
          <w:rFonts w:hint="eastAsia"/>
          <w:b/>
          <w:bCs/>
          <w:szCs w:val="21"/>
        </w:rPr>
        <w:t>21、投标截止</w:t>
      </w:r>
    </w:p>
    <w:p>
      <w:pPr>
        <w:pStyle w:val="2"/>
        <w:spacing w:line="420" w:lineRule="exact"/>
        <w:ind w:left="300"/>
        <w:rPr>
          <w:szCs w:val="21"/>
        </w:rPr>
      </w:pPr>
      <w:r>
        <w:rPr>
          <w:rFonts w:hint="eastAsia"/>
          <w:szCs w:val="21"/>
        </w:rPr>
        <w:t>21.1投标截止时间：见投标邀请函。</w:t>
      </w:r>
    </w:p>
    <w:p>
      <w:pPr>
        <w:pStyle w:val="2"/>
        <w:spacing w:line="420" w:lineRule="exact"/>
        <w:ind w:left="300"/>
        <w:rPr>
          <w:szCs w:val="21"/>
        </w:rPr>
      </w:pPr>
      <w:r>
        <w:rPr>
          <w:rFonts w:hint="eastAsia"/>
          <w:szCs w:val="21"/>
        </w:rPr>
        <w:t>21.2不投标：见投标人须知前附表。</w:t>
      </w:r>
    </w:p>
    <w:p>
      <w:pPr>
        <w:pStyle w:val="2"/>
        <w:spacing w:line="420" w:lineRule="exact"/>
        <w:ind w:left="300"/>
        <w:rPr>
          <w:szCs w:val="21"/>
        </w:rPr>
      </w:pPr>
      <w:r>
        <w:rPr>
          <w:rFonts w:hint="eastAsia"/>
          <w:szCs w:val="21"/>
        </w:rPr>
        <w:t>21.3投标文件必须在投标截止时间前送达投标地点。</w:t>
      </w:r>
    </w:p>
    <w:p>
      <w:pPr>
        <w:pStyle w:val="2"/>
        <w:spacing w:line="420" w:lineRule="exact"/>
        <w:ind w:left="300"/>
        <w:rPr>
          <w:szCs w:val="21"/>
        </w:rPr>
      </w:pPr>
      <w:r>
        <w:rPr>
          <w:rFonts w:hint="eastAsia"/>
          <w:szCs w:val="21"/>
        </w:rPr>
        <w:t>21.4采购代理机构推迟投标截止日期或截止时间，将在不晚于原定投标截止日期前发布公告。</w:t>
      </w:r>
    </w:p>
    <w:p>
      <w:pPr>
        <w:pStyle w:val="2"/>
        <w:spacing w:line="420" w:lineRule="exact"/>
        <w:ind w:left="300"/>
        <w:rPr>
          <w:szCs w:val="21"/>
        </w:rPr>
      </w:pPr>
      <w:r>
        <w:rPr>
          <w:rFonts w:hint="eastAsia"/>
          <w:szCs w:val="21"/>
        </w:rPr>
        <w:t>21.5在投标截止时间以后送达的投标文件，采购代理机构拒绝接收。</w:t>
      </w:r>
    </w:p>
    <w:p>
      <w:pPr>
        <w:pStyle w:val="2"/>
        <w:spacing w:line="420" w:lineRule="exact"/>
        <w:ind w:left="300"/>
        <w:rPr>
          <w:szCs w:val="21"/>
        </w:rPr>
      </w:pPr>
      <w:bookmarkStart w:id="16" w:name="_Toc317237603"/>
      <w:bookmarkStart w:id="17" w:name="_Toc317237778"/>
      <w:bookmarkStart w:id="18" w:name="_Toc26289794"/>
      <w:bookmarkStart w:id="19" w:name="_Toc19888"/>
      <w:r>
        <w:rPr>
          <w:rFonts w:hint="eastAsia"/>
          <w:szCs w:val="21"/>
        </w:rPr>
        <w:t>（五）开标、评标</w:t>
      </w:r>
      <w:bookmarkEnd w:id="16"/>
      <w:bookmarkEnd w:id="17"/>
      <w:r>
        <w:rPr>
          <w:rFonts w:hint="eastAsia"/>
          <w:szCs w:val="21"/>
        </w:rPr>
        <w:t>和定标</w:t>
      </w:r>
      <w:bookmarkEnd w:id="18"/>
      <w:bookmarkEnd w:id="19"/>
    </w:p>
    <w:p>
      <w:pPr>
        <w:pStyle w:val="2"/>
        <w:spacing w:line="420" w:lineRule="exact"/>
        <w:ind w:left="300"/>
        <w:rPr>
          <w:b/>
          <w:bCs/>
          <w:szCs w:val="21"/>
        </w:rPr>
      </w:pPr>
      <w:r>
        <w:rPr>
          <w:rFonts w:hint="eastAsia"/>
          <w:b/>
          <w:bCs/>
          <w:szCs w:val="21"/>
        </w:rPr>
        <w:t>21、开标</w:t>
      </w:r>
    </w:p>
    <w:p>
      <w:pPr>
        <w:pStyle w:val="2"/>
        <w:spacing w:line="420" w:lineRule="exact"/>
        <w:ind w:left="300"/>
        <w:rPr>
          <w:szCs w:val="21"/>
        </w:rPr>
      </w:pPr>
      <w:r>
        <w:rPr>
          <w:rFonts w:hint="eastAsia"/>
          <w:szCs w:val="21"/>
        </w:rPr>
        <w:t>21.1采购代理机构按招标文件规定的时间、地点公开举行开标仪式。开标仪式由采购代理机构主持，邀请采购人代表、投标人代表及有关工作人员参加。</w:t>
      </w:r>
    </w:p>
    <w:p>
      <w:pPr>
        <w:pStyle w:val="2"/>
        <w:spacing w:line="420" w:lineRule="exact"/>
        <w:ind w:left="300"/>
        <w:rPr>
          <w:szCs w:val="21"/>
        </w:rPr>
      </w:pPr>
      <w:r>
        <w:rPr>
          <w:rFonts w:hint="eastAsia"/>
          <w:szCs w:val="21"/>
        </w:rPr>
        <w:t>21.2参加开标仪式的投标人代表应携带本人身份证和法定代表人证明（或法定代表人授权委托书）签到，未携带以上证件的人员不得进入会场。每个投标人只能派出壹名代表进入开标仪式现场。</w:t>
      </w:r>
    </w:p>
    <w:p>
      <w:pPr>
        <w:pStyle w:val="2"/>
        <w:spacing w:line="420" w:lineRule="exact"/>
        <w:ind w:left="300"/>
        <w:rPr>
          <w:szCs w:val="21"/>
        </w:rPr>
      </w:pPr>
      <w:r>
        <w:rPr>
          <w:rFonts w:hint="eastAsia"/>
          <w:szCs w:val="21"/>
        </w:rPr>
        <w:t>21.3由投标人代表或相关监督部门查验投标文件的密封情况，经确认无误后拆封唱标。</w:t>
      </w:r>
    </w:p>
    <w:p>
      <w:pPr>
        <w:pStyle w:val="2"/>
        <w:spacing w:line="420" w:lineRule="exact"/>
        <w:ind w:left="300"/>
        <w:rPr>
          <w:szCs w:val="21"/>
        </w:rPr>
      </w:pPr>
      <w:r>
        <w:rPr>
          <w:rFonts w:hint="eastAsia"/>
          <w:szCs w:val="21"/>
        </w:rPr>
        <w:t>21.4唱标人宣读投标人的名称、投标价格、交货期及其投标的修改、投标的撤回等。记录人制作开标记录。</w:t>
      </w:r>
    </w:p>
    <w:p>
      <w:pPr>
        <w:pStyle w:val="2"/>
        <w:spacing w:line="420" w:lineRule="exact"/>
        <w:ind w:left="300"/>
        <w:rPr>
          <w:szCs w:val="21"/>
        </w:rPr>
      </w:pPr>
      <w:r>
        <w:rPr>
          <w:rFonts w:hint="eastAsia"/>
          <w:szCs w:val="21"/>
        </w:rPr>
        <w:t>21.5投标文件中开标一览表（报价表）内容与投标文件中明细表内容不一致的，以开标一览表（报价表）为准。</w:t>
      </w:r>
    </w:p>
    <w:p>
      <w:pPr>
        <w:pStyle w:val="2"/>
        <w:spacing w:line="420" w:lineRule="exact"/>
        <w:ind w:left="300"/>
        <w:rPr>
          <w:szCs w:val="21"/>
        </w:rPr>
      </w:pPr>
      <w:r>
        <w:rPr>
          <w:rFonts w:hint="eastAsia"/>
          <w:szCs w:val="21"/>
        </w:rPr>
        <w:t>21.6唱标以开标一览表中的大写金额为准。当出现大写金额与小写金额不一致或总价金额与按单价计算的汇总金额不一致等法定可修正情形时，由评审委员会在初步审查时进行修正。</w:t>
      </w:r>
    </w:p>
    <w:p>
      <w:pPr>
        <w:pStyle w:val="2"/>
        <w:spacing w:line="420" w:lineRule="exact"/>
        <w:ind w:left="300"/>
        <w:rPr>
          <w:szCs w:val="21"/>
        </w:rPr>
      </w:pPr>
      <w:r>
        <w:rPr>
          <w:rFonts w:hint="eastAsia"/>
          <w:szCs w:val="21"/>
        </w:rPr>
        <w:t>21.7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pStyle w:val="2"/>
        <w:spacing w:line="420" w:lineRule="exact"/>
        <w:ind w:left="300"/>
        <w:rPr>
          <w:szCs w:val="21"/>
        </w:rPr>
      </w:pPr>
      <w:r>
        <w:rPr>
          <w:rFonts w:hint="eastAsia"/>
          <w:szCs w:val="21"/>
        </w:rPr>
        <w:t>21.8在开标时，投标文件有下列情况之一者，将被视为无效投标：</w:t>
      </w:r>
    </w:p>
    <w:p>
      <w:pPr>
        <w:pStyle w:val="2"/>
        <w:spacing w:line="420" w:lineRule="exact"/>
        <w:ind w:left="300"/>
        <w:rPr>
          <w:szCs w:val="21"/>
        </w:rPr>
      </w:pPr>
      <w:r>
        <w:rPr>
          <w:rFonts w:hint="eastAsia"/>
          <w:szCs w:val="21"/>
        </w:rPr>
        <w:t>21.8.1投标截止时间后送达的投标文件；</w:t>
      </w:r>
    </w:p>
    <w:p>
      <w:pPr>
        <w:pStyle w:val="2"/>
        <w:spacing w:line="420" w:lineRule="exact"/>
        <w:ind w:left="300"/>
        <w:rPr>
          <w:szCs w:val="21"/>
        </w:rPr>
      </w:pPr>
      <w:r>
        <w:rPr>
          <w:rFonts w:hint="eastAsia"/>
          <w:szCs w:val="21"/>
        </w:rPr>
        <w:t>21.8.2投标文件未按规定的方式密封。</w:t>
      </w:r>
    </w:p>
    <w:p>
      <w:pPr>
        <w:pStyle w:val="2"/>
        <w:spacing w:line="420" w:lineRule="exact"/>
        <w:ind w:left="300"/>
        <w:rPr>
          <w:b/>
          <w:bCs/>
          <w:szCs w:val="21"/>
        </w:rPr>
      </w:pPr>
      <w:r>
        <w:rPr>
          <w:rFonts w:hint="eastAsia"/>
          <w:b/>
          <w:bCs/>
          <w:szCs w:val="21"/>
        </w:rPr>
        <w:t>22、评审委员会</w:t>
      </w:r>
    </w:p>
    <w:p>
      <w:pPr>
        <w:pStyle w:val="2"/>
        <w:spacing w:line="420" w:lineRule="exact"/>
        <w:ind w:left="300"/>
        <w:rPr>
          <w:szCs w:val="21"/>
        </w:rPr>
      </w:pPr>
      <w:r>
        <w:rPr>
          <w:rFonts w:hint="eastAsia"/>
          <w:szCs w:val="21"/>
        </w:rPr>
        <w:t>22.1评审委员会组成：见投标人须知前附表。</w:t>
      </w:r>
    </w:p>
    <w:p>
      <w:pPr>
        <w:pStyle w:val="2"/>
        <w:spacing w:line="420" w:lineRule="exact"/>
        <w:ind w:left="300"/>
        <w:rPr>
          <w:b/>
          <w:bCs/>
          <w:szCs w:val="21"/>
        </w:rPr>
      </w:pPr>
      <w:r>
        <w:rPr>
          <w:rFonts w:hint="eastAsia"/>
          <w:b/>
          <w:bCs/>
          <w:szCs w:val="21"/>
        </w:rPr>
        <w:t>23、评标内容的保密</w:t>
      </w:r>
    </w:p>
    <w:p>
      <w:pPr>
        <w:pStyle w:val="2"/>
        <w:spacing w:line="420" w:lineRule="exact"/>
        <w:ind w:left="300"/>
        <w:rPr>
          <w:szCs w:val="21"/>
        </w:rPr>
      </w:pPr>
      <w:r>
        <w:rPr>
          <w:rFonts w:hint="eastAsia"/>
          <w:szCs w:val="21"/>
        </w:rPr>
        <w:t>23.1开标后，至正式授予中标投标人合同止，凡属于审查、澄清、评价和比较投标的所有资料、有资料有关授予合同的信息等，都不能向投标人或与评标无关的其他人泄露。</w:t>
      </w:r>
    </w:p>
    <w:p>
      <w:pPr>
        <w:pStyle w:val="2"/>
        <w:spacing w:line="420" w:lineRule="exact"/>
        <w:ind w:left="300"/>
        <w:rPr>
          <w:szCs w:val="21"/>
        </w:rPr>
      </w:pPr>
      <w:r>
        <w:rPr>
          <w:rFonts w:hint="eastAsia"/>
          <w:szCs w:val="21"/>
        </w:rPr>
        <w:t>23.2在投标文件的审查、澄清、评价和比较以及授予合同的过程中，投标人对采购人、招标代理机构和评审委员会成员施加影响的任何行为，都将导致其投标资格被取消。</w:t>
      </w:r>
    </w:p>
    <w:p>
      <w:pPr>
        <w:pStyle w:val="2"/>
        <w:spacing w:line="420" w:lineRule="exact"/>
        <w:ind w:left="300"/>
        <w:rPr>
          <w:szCs w:val="21"/>
        </w:rPr>
      </w:pPr>
      <w:r>
        <w:rPr>
          <w:rFonts w:hint="eastAsia"/>
          <w:szCs w:val="21"/>
        </w:rPr>
        <w:t>23.3在评标期间，评审委员会将通过指定联络人与投标人进行联系。</w:t>
      </w:r>
    </w:p>
    <w:p>
      <w:pPr>
        <w:pStyle w:val="2"/>
        <w:spacing w:line="420" w:lineRule="exact"/>
        <w:ind w:left="300"/>
        <w:rPr>
          <w:szCs w:val="21"/>
        </w:rPr>
      </w:pPr>
      <w:r>
        <w:rPr>
          <w:rFonts w:hint="eastAsia"/>
          <w:b/>
          <w:bCs/>
          <w:szCs w:val="21"/>
        </w:rPr>
        <w:t>24、对投标文件的初步审</w:t>
      </w:r>
      <w:r>
        <w:rPr>
          <w:rFonts w:hint="eastAsia"/>
          <w:szCs w:val="21"/>
        </w:rPr>
        <w:t>查</w:t>
      </w:r>
    </w:p>
    <w:p>
      <w:pPr>
        <w:pStyle w:val="2"/>
        <w:spacing w:line="420" w:lineRule="exact"/>
        <w:ind w:left="300"/>
        <w:rPr>
          <w:szCs w:val="21"/>
        </w:rPr>
      </w:pPr>
      <w:r>
        <w:rPr>
          <w:rFonts w:hint="eastAsia"/>
          <w:szCs w:val="21"/>
        </w:rPr>
        <w:t>24.1初步审查内容为投标文件是否实质性投标公开招标文件的要求、内容是否完整、价格构成有无计算错误、文件签署是否齐全。</w:t>
      </w:r>
    </w:p>
    <w:p>
      <w:pPr>
        <w:pStyle w:val="2"/>
        <w:spacing w:line="420" w:lineRule="exact"/>
        <w:ind w:left="300"/>
        <w:rPr>
          <w:szCs w:val="21"/>
        </w:rPr>
      </w:pPr>
      <w:r>
        <w:rPr>
          <w:rFonts w:hint="eastAsia"/>
          <w:szCs w:val="21"/>
        </w:rPr>
        <w:t>24.2初步审查中，对价格的计算错误按下述原则修正：</w:t>
      </w:r>
    </w:p>
    <w:p>
      <w:pPr>
        <w:pStyle w:val="2"/>
        <w:spacing w:line="420" w:lineRule="exact"/>
        <w:ind w:left="300"/>
        <w:rPr>
          <w:szCs w:val="21"/>
        </w:rPr>
      </w:pPr>
      <w:r>
        <w:rPr>
          <w:rFonts w:hint="eastAsia"/>
          <w:szCs w:val="21"/>
        </w:rPr>
        <w:t>24.2.1投标文件中的大写金额和小写金额不一致的，以大写金额为准；</w:t>
      </w:r>
    </w:p>
    <w:p>
      <w:pPr>
        <w:pStyle w:val="2"/>
        <w:spacing w:line="420" w:lineRule="exact"/>
        <w:ind w:left="300"/>
        <w:rPr>
          <w:szCs w:val="21"/>
        </w:rPr>
      </w:pPr>
      <w:r>
        <w:rPr>
          <w:rFonts w:hint="eastAsia"/>
          <w:szCs w:val="21"/>
        </w:rPr>
        <w:t>24.2.2总价金额与按单价汇总金额不一致的，以单价金额计算结果为准；单价金额小数点有明显错位的，应以总价为准，并修改单价；</w:t>
      </w:r>
    </w:p>
    <w:p>
      <w:pPr>
        <w:pStyle w:val="2"/>
        <w:spacing w:line="420" w:lineRule="exact"/>
        <w:ind w:left="300"/>
        <w:rPr>
          <w:szCs w:val="21"/>
        </w:rPr>
      </w:pPr>
      <w:r>
        <w:rPr>
          <w:rFonts w:hint="eastAsia"/>
          <w:szCs w:val="21"/>
        </w:rPr>
        <w:t>24.2.3对不同文字文本投标文件的解释发生异议的，以中文文本为准。</w:t>
      </w:r>
    </w:p>
    <w:p>
      <w:pPr>
        <w:pStyle w:val="2"/>
        <w:spacing w:line="420" w:lineRule="exact"/>
        <w:ind w:left="300"/>
        <w:rPr>
          <w:szCs w:val="21"/>
        </w:rPr>
      </w:pPr>
      <w:r>
        <w:rPr>
          <w:rFonts w:hint="eastAsia"/>
          <w:szCs w:val="21"/>
        </w:rPr>
        <w:t>24.2.4投标人不同意以上修正，其投标将被拒绝。</w:t>
      </w:r>
    </w:p>
    <w:p>
      <w:pPr>
        <w:pStyle w:val="2"/>
        <w:spacing w:line="420" w:lineRule="exact"/>
        <w:ind w:left="300"/>
        <w:rPr>
          <w:szCs w:val="21"/>
        </w:rPr>
      </w:pPr>
      <w:r>
        <w:rPr>
          <w:rFonts w:hint="eastAsia"/>
          <w:szCs w:val="21"/>
        </w:rPr>
        <w:t>24.3与公开招标文件有重大偏离的投标文件将被拒绝。重大偏离系指服务的质量不能满足公开招标文件的要求。这些偏离不允许在开标后修正。但评审委员会将允许修改投标中不构成重大偏离的微小的、非正规的不一致或不正规的地方。</w:t>
      </w:r>
    </w:p>
    <w:p>
      <w:pPr>
        <w:pStyle w:val="2"/>
        <w:spacing w:line="420" w:lineRule="exact"/>
        <w:ind w:left="300"/>
        <w:rPr>
          <w:szCs w:val="21"/>
        </w:rPr>
      </w:pPr>
      <w:r>
        <w:rPr>
          <w:rFonts w:hint="eastAsia"/>
          <w:szCs w:val="21"/>
        </w:rPr>
        <w:t>24.4评审委员会对投标文件的判定，只依据投标文件的内容，不依靠开标后的任何外来证明。</w:t>
      </w:r>
    </w:p>
    <w:p>
      <w:pPr>
        <w:pStyle w:val="2"/>
        <w:spacing w:line="420" w:lineRule="exact"/>
        <w:ind w:left="300"/>
        <w:rPr>
          <w:szCs w:val="21"/>
        </w:rPr>
      </w:pPr>
      <w:r>
        <w:rPr>
          <w:rFonts w:hint="eastAsia"/>
          <w:szCs w:val="21"/>
        </w:rPr>
        <w:t>24.5单位负责人为同一人或者存在直接控股、管理关系的不同投标人，不得参加同一合同项下的政府采购活动。</w:t>
      </w:r>
    </w:p>
    <w:p>
      <w:pPr>
        <w:pStyle w:val="2"/>
        <w:spacing w:line="420" w:lineRule="exact"/>
        <w:ind w:left="300"/>
        <w:rPr>
          <w:szCs w:val="21"/>
        </w:rPr>
      </w:pPr>
      <w:r>
        <w:rPr>
          <w:rFonts w:hint="eastAsia"/>
          <w:szCs w:val="21"/>
        </w:rPr>
        <w:t>24.6下列投标文件将被拒绝：</w:t>
      </w:r>
    </w:p>
    <w:p>
      <w:pPr>
        <w:pStyle w:val="2"/>
        <w:spacing w:line="420" w:lineRule="exact"/>
        <w:ind w:left="300"/>
        <w:rPr>
          <w:szCs w:val="21"/>
        </w:rPr>
      </w:pPr>
      <w:r>
        <w:rPr>
          <w:rFonts w:hint="eastAsia"/>
          <w:szCs w:val="21"/>
        </w:rPr>
        <w:t>24.6.1投标文件未按照本须知第16条规定签署和盖章；</w:t>
      </w:r>
    </w:p>
    <w:p>
      <w:pPr>
        <w:pStyle w:val="2"/>
        <w:spacing w:line="420" w:lineRule="exact"/>
        <w:ind w:left="300"/>
        <w:rPr>
          <w:szCs w:val="21"/>
        </w:rPr>
      </w:pPr>
      <w:r>
        <w:rPr>
          <w:rFonts w:hint="eastAsia"/>
          <w:szCs w:val="21"/>
        </w:rPr>
        <w:t>24.6.2未按规定提交资格文件；</w:t>
      </w:r>
    </w:p>
    <w:p>
      <w:pPr>
        <w:pStyle w:val="2"/>
        <w:spacing w:line="420" w:lineRule="exact"/>
        <w:ind w:left="300"/>
        <w:rPr>
          <w:szCs w:val="21"/>
        </w:rPr>
      </w:pPr>
      <w:r>
        <w:rPr>
          <w:rFonts w:hint="eastAsia"/>
          <w:szCs w:val="21"/>
        </w:rPr>
        <w:t>24.6.3与公开招标文件有重大偏离；</w:t>
      </w:r>
    </w:p>
    <w:p>
      <w:pPr>
        <w:pStyle w:val="2"/>
        <w:spacing w:line="420" w:lineRule="exact"/>
        <w:ind w:left="300"/>
        <w:rPr>
          <w:szCs w:val="21"/>
        </w:rPr>
      </w:pPr>
      <w:r>
        <w:rPr>
          <w:rFonts w:hint="eastAsia"/>
          <w:szCs w:val="21"/>
        </w:rPr>
        <w:t>24.6.4投标人拒绝修正错误；</w:t>
      </w:r>
    </w:p>
    <w:p>
      <w:pPr>
        <w:pStyle w:val="2"/>
        <w:spacing w:line="420" w:lineRule="exact"/>
        <w:ind w:left="300"/>
        <w:rPr>
          <w:szCs w:val="21"/>
        </w:rPr>
      </w:pPr>
      <w:r>
        <w:rPr>
          <w:rFonts w:hint="eastAsia"/>
          <w:szCs w:val="21"/>
        </w:rPr>
        <w:t>24.6.5投标人的报价是选择性的；</w:t>
      </w:r>
    </w:p>
    <w:p>
      <w:pPr>
        <w:pStyle w:val="2"/>
        <w:spacing w:line="420" w:lineRule="exact"/>
        <w:ind w:left="300"/>
        <w:rPr>
          <w:szCs w:val="21"/>
        </w:rPr>
      </w:pPr>
      <w:r>
        <w:rPr>
          <w:rFonts w:hint="eastAsia"/>
          <w:szCs w:val="21"/>
        </w:rPr>
        <w:t>24.6.6拆包报价的。</w:t>
      </w:r>
    </w:p>
    <w:p>
      <w:pPr>
        <w:pStyle w:val="2"/>
        <w:spacing w:line="420" w:lineRule="exact"/>
        <w:ind w:left="300"/>
        <w:rPr>
          <w:b/>
          <w:bCs/>
          <w:szCs w:val="21"/>
        </w:rPr>
      </w:pPr>
      <w:r>
        <w:rPr>
          <w:rFonts w:hint="eastAsia"/>
          <w:b/>
          <w:bCs/>
          <w:szCs w:val="21"/>
        </w:rPr>
        <w:t>25、投标的澄清</w:t>
      </w:r>
    </w:p>
    <w:p>
      <w:pPr>
        <w:pStyle w:val="2"/>
        <w:spacing w:line="420" w:lineRule="exact"/>
        <w:ind w:left="300"/>
        <w:rPr>
          <w:szCs w:val="21"/>
        </w:rPr>
      </w:pPr>
      <w:r>
        <w:rPr>
          <w:rFonts w:hint="eastAsia"/>
          <w:szCs w:val="21"/>
        </w:rPr>
        <w:t>25.1评审委员会可以书面方式要求投标人对投标文件中含义不明确、对同类问题表述不一致或者有明显文字和计算错误的内容作必要的澄清、说明或者补正。澄清、说明或者补正应以书面 方式进行并不得超出投标文件的范围或者改变投标文件的实质性内容。投标人必须按照评审委员会通知时间、地点派技术和商务人员进行澄清。</w:t>
      </w:r>
    </w:p>
    <w:p>
      <w:pPr>
        <w:pStyle w:val="2"/>
        <w:spacing w:line="420" w:lineRule="exact"/>
        <w:ind w:left="300"/>
        <w:rPr>
          <w:szCs w:val="21"/>
        </w:rPr>
      </w:pPr>
      <w:r>
        <w:rPr>
          <w:rFonts w:hint="eastAsia"/>
          <w:szCs w:val="21"/>
        </w:rPr>
        <w:t>25.2投标人对投标文件的澄清、说明或者补正应有投标人代表的签署，并作为投标文件的组成部分。</w:t>
      </w:r>
    </w:p>
    <w:p>
      <w:pPr>
        <w:pStyle w:val="2"/>
        <w:spacing w:line="420" w:lineRule="exact"/>
        <w:ind w:left="300"/>
        <w:rPr>
          <w:b/>
          <w:bCs/>
          <w:szCs w:val="21"/>
        </w:rPr>
      </w:pPr>
      <w:r>
        <w:rPr>
          <w:rFonts w:hint="eastAsia"/>
          <w:b/>
          <w:bCs/>
          <w:szCs w:val="21"/>
        </w:rPr>
        <w:t>26、定标</w:t>
      </w:r>
    </w:p>
    <w:p>
      <w:pPr>
        <w:pStyle w:val="2"/>
        <w:spacing w:line="420" w:lineRule="exact"/>
        <w:ind w:left="300"/>
        <w:rPr>
          <w:szCs w:val="21"/>
        </w:rPr>
      </w:pPr>
      <w:r>
        <w:rPr>
          <w:rFonts w:hint="eastAsia"/>
          <w:szCs w:val="21"/>
        </w:rPr>
        <w:t>26.1采购人按照评标委员会推荐的中标候选人顺序确定中标投标人，评审委员会推荐中标候选人的人数见投标人须知前附表。</w:t>
      </w:r>
    </w:p>
    <w:p>
      <w:pPr>
        <w:pStyle w:val="2"/>
        <w:spacing w:line="420" w:lineRule="exact"/>
        <w:ind w:left="300"/>
        <w:rPr>
          <w:szCs w:val="21"/>
        </w:rPr>
      </w:pPr>
      <w:r>
        <w:rPr>
          <w:rFonts w:hint="eastAsia"/>
          <w:szCs w:val="21"/>
        </w:rPr>
        <w:t>26.2评审委员会将仅对按照本须知第23条确定为实质上投标公开招标文件要求的投标文件进行评价和比较。</w:t>
      </w:r>
    </w:p>
    <w:p>
      <w:pPr>
        <w:pStyle w:val="2"/>
        <w:spacing w:line="420" w:lineRule="exact"/>
        <w:ind w:left="300"/>
        <w:rPr>
          <w:szCs w:val="21"/>
        </w:rPr>
      </w:pPr>
      <w:r>
        <w:rPr>
          <w:rFonts w:hint="eastAsia"/>
          <w:szCs w:val="21"/>
        </w:rPr>
        <w:t>26.3评审方法：见投标人须知前附表。</w:t>
      </w:r>
    </w:p>
    <w:p>
      <w:pPr>
        <w:pStyle w:val="2"/>
        <w:spacing w:line="420" w:lineRule="exact"/>
        <w:ind w:left="300"/>
        <w:rPr>
          <w:szCs w:val="21"/>
        </w:rPr>
      </w:pPr>
      <w:bookmarkStart w:id="20" w:name="_Toc317237779"/>
      <w:bookmarkStart w:id="21" w:name="_Toc29355"/>
      <w:bookmarkStart w:id="22" w:name="_Toc317237604"/>
      <w:bookmarkStart w:id="23" w:name="_Toc26289795"/>
      <w:r>
        <w:rPr>
          <w:rFonts w:hint="eastAsia"/>
          <w:szCs w:val="21"/>
        </w:rPr>
        <w:t>（六）授予合同</w:t>
      </w:r>
      <w:bookmarkEnd w:id="20"/>
      <w:bookmarkEnd w:id="21"/>
      <w:bookmarkEnd w:id="22"/>
      <w:bookmarkEnd w:id="23"/>
    </w:p>
    <w:p>
      <w:pPr>
        <w:pStyle w:val="2"/>
        <w:spacing w:line="420" w:lineRule="exact"/>
        <w:ind w:left="300"/>
        <w:rPr>
          <w:b/>
          <w:bCs/>
          <w:szCs w:val="21"/>
        </w:rPr>
      </w:pPr>
      <w:r>
        <w:rPr>
          <w:rFonts w:hint="eastAsia"/>
          <w:b/>
          <w:bCs/>
          <w:szCs w:val="21"/>
        </w:rPr>
        <w:t>27、中标投标人的确认</w:t>
      </w:r>
    </w:p>
    <w:p>
      <w:pPr>
        <w:pStyle w:val="2"/>
        <w:spacing w:line="420" w:lineRule="exact"/>
        <w:ind w:left="300"/>
        <w:rPr>
          <w:szCs w:val="21"/>
        </w:rPr>
      </w:pPr>
      <w:r>
        <w:rPr>
          <w:rFonts w:hint="eastAsia"/>
          <w:szCs w:val="21"/>
        </w:rPr>
        <w:t>27.1评审委员会根据本公开招标文件第五部分《评标方法和标准》的规定，对投标人的资格进行审查，对投标文件进行评价和比较，按照《评标方法和标准》排序原则推荐中标候选人。</w:t>
      </w:r>
    </w:p>
    <w:p>
      <w:pPr>
        <w:pStyle w:val="2"/>
        <w:spacing w:line="420" w:lineRule="exact"/>
        <w:ind w:left="300"/>
        <w:rPr>
          <w:szCs w:val="21"/>
        </w:rPr>
      </w:pPr>
      <w:r>
        <w:rPr>
          <w:rFonts w:hint="eastAsia"/>
          <w:szCs w:val="21"/>
        </w:rPr>
        <w:t>27.2采购人在授标时可以增加中标货物和服务的数量，但增加的数量不得超过中标货物和服务数量的10%。</w:t>
      </w:r>
    </w:p>
    <w:p>
      <w:pPr>
        <w:pStyle w:val="2"/>
        <w:spacing w:line="420" w:lineRule="exact"/>
        <w:ind w:left="300"/>
        <w:rPr>
          <w:szCs w:val="21"/>
        </w:rPr>
      </w:pPr>
      <w:r>
        <w:rPr>
          <w:rFonts w:hint="eastAsia"/>
          <w:szCs w:val="21"/>
        </w:rPr>
        <w:t>27.3评审委员会有权按公开招标文件的要求评定并推荐中标候选人，也有权拒绝任何或所有不符合公开招标文件要求的投标人的投标。</w:t>
      </w:r>
    </w:p>
    <w:p>
      <w:pPr>
        <w:pStyle w:val="2"/>
        <w:spacing w:line="420" w:lineRule="exact"/>
        <w:ind w:left="300"/>
        <w:rPr>
          <w:b/>
          <w:bCs/>
          <w:szCs w:val="21"/>
        </w:rPr>
      </w:pPr>
      <w:r>
        <w:rPr>
          <w:rFonts w:hint="eastAsia"/>
          <w:b/>
          <w:bCs/>
          <w:szCs w:val="21"/>
        </w:rPr>
        <w:t>28、合同授予标准</w:t>
      </w:r>
    </w:p>
    <w:p>
      <w:pPr>
        <w:pStyle w:val="2"/>
        <w:spacing w:line="420" w:lineRule="exact"/>
        <w:ind w:left="300"/>
        <w:rPr>
          <w:szCs w:val="21"/>
        </w:rPr>
      </w:pPr>
      <w:r>
        <w:rPr>
          <w:rFonts w:hint="eastAsia"/>
          <w:szCs w:val="21"/>
        </w:rPr>
        <w:t>28.1采购人应当把合同授予评审委员会按本须知第25条规定推荐的第一顺序中标候选人。被授予合同的投标人必须具有实施本合同的能力和资源。</w:t>
      </w:r>
    </w:p>
    <w:p>
      <w:pPr>
        <w:pStyle w:val="2"/>
        <w:spacing w:line="420" w:lineRule="exact"/>
        <w:ind w:left="300"/>
        <w:rPr>
          <w:szCs w:val="21"/>
        </w:rPr>
      </w:pPr>
      <w:r>
        <w:rPr>
          <w:rFonts w:hint="eastAsia"/>
          <w:szCs w:val="21"/>
        </w:rPr>
        <w:t>28.2确认中标投标人之前，采购人有权对中标候选人诚信履约的能力进行最后审查。审查方式包括询问、调查、考察、要求中标候选人作出履约承诺或担保等。如果发现中标候选人提供了虚假 材料，在投标投标中有故意隐瞒或虚报的情节，在以往的中标项目中有不诚信履约的情形，不能按采购人要求作出相应的履约承诺或担保等，采购人有权否决其中标资格，按顺序确定排名随后的中标候选人中标。</w:t>
      </w:r>
    </w:p>
    <w:p>
      <w:pPr>
        <w:pStyle w:val="2"/>
        <w:spacing w:line="420" w:lineRule="exact"/>
        <w:ind w:left="300"/>
        <w:rPr>
          <w:b/>
          <w:bCs/>
          <w:szCs w:val="21"/>
        </w:rPr>
      </w:pPr>
      <w:r>
        <w:rPr>
          <w:rFonts w:hint="eastAsia"/>
          <w:b/>
          <w:bCs/>
          <w:szCs w:val="21"/>
        </w:rPr>
        <w:t>29、履约担保</w:t>
      </w:r>
    </w:p>
    <w:p>
      <w:pPr>
        <w:pStyle w:val="2"/>
        <w:spacing w:line="420" w:lineRule="exact"/>
        <w:ind w:left="300"/>
        <w:rPr>
          <w:szCs w:val="21"/>
        </w:rPr>
      </w:pPr>
      <w:r>
        <w:rPr>
          <w:rFonts w:hint="eastAsia"/>
          <w:szCs w:val="21"/>
        </w:rPr>
        <w:t xml:space="preserve"> 29.1 在签订合同前，中标投标人应按投标人须知前附表规定的金额、担保形式向采购人提交履约担保。联合体中标的，其履约担保由牵头人递交，并应符合投标人须知前附表规定的金额、担保形式提交履约担保。</w:t>
      </w:r>
    </w:p>
    <w:p>
      <w:pPr>
        <w:pStyle w:val="2"/>
        <w:spacing w:line="420" w:lineRule="exact"/>
        <w:ind w:left="300"/>
        <w:rPr>
          <w:szCs w:val="21"/>
        </w:rPr>
      </w:pPr>
      <w:r>
        <w:rPr>
          <w:rFonts w:hint="eastAsia"/>
          <w:szCs w:val="21"/>
        </w:rPr>
        <w:t xml:space="preserve">29.2 中标不能按29.1项要求提交履约担保的，视为放弃中标，其投标保证金不予退还，给采购人造成的损失超过投标保证金数额的，中标投标人还应当对超过部分予以赔偿。 </w:t>
      </w:r>
    </w:p>
    <w:p>
      <w:pPr>
        <w:pStyle w:val="2"/>
        <w:spacing w:line="420" w:lineRule="exact"/>
        <w:ind w:left="300"/>
        <w:rPr>
          <w:b/>
          <w:bCs/>
          <w:szCs w:val="21"/>
        </w:rPr>
      </w:pPr>
      <w:r>
        <w:rPr>
          <w:rFonts w:hint="eastAsia"/>
          <w:b/>
          <w:bCs/>
          <w:szCs w:val="21"/>
        </w:rPr>
        <w:t>30、中标通知</w:t>
      </w:r>
    </w:p>
    <w:p>
      <w:pPr>
        <w:pStyle w:val="2"/>
        <w:spacing w:line="420" w:lineRule="exact"/>
        <w:ind w:left="300"/>
        <w:rPr>
          <w:szCs w:val="21"/>
        </w:rPr>
      </w:pPr>
      <w:r>
        <w:rPr>
          <w:rFonts w:hint="eastAsia"/>
          <w:szCs w:val="21"/>
        </w:rPr>
        <w:t>30.1 确定中标投标人后，招标采购代理机构在发布中标公告的同时，以书面形式向中标投标人发出中标通知书。中标通知书应当规定签署合同的日期和地点。</w:t>
      </w:r>
    </w:p>
    <w:p>
      <w:pPr>
        <w:pStyle w:val="2"/>
        <w:spacing w:line="420" w:lineRule="exact"/>
        <w:ind w:left="300"/>
        <w:rPr>
          <w:szCs w:val="21"/>
        </w:rPr>
      </w:pPr>
      <w:r>
        <w:rPr>
          <w:rFonts w:hint="eastAsia"/>
          <w:szCs w:val="21"/>
        </w:rPr>
        <w:t>30.2 中标通知书的送达方式，包括传真、快递、电子邮件和委托代理人领取。招标采购代理机构可以选用其中一种或多种方式送达。</w:t>
      </w:r>
    </w:p>
    <w:p>
      <w:pPr>
        <w:pStyle w:val="2"/>
        <w:spacing w:line="420" w:lineRule="exact"/>
        <w:ind w:left="300"/>
        <w:rPr>
          <w:szCs w:val="21"/>
        </w:rPr>
      </w:pPr>
      <w:r>
        <w:rPr>
          <w:rFonts w:hint="eastAsia"/>
          <w:szCs w:val="21"/>
        </w:rPr>
        <w:t>30.3 中标通知书是合同的组成部分。</w:t>
      </w:r>
    </w:p>
    <w:p>
      <w:pPr>
        <w:pStyle w:val="2"/>
        <w:spacing w:line="420" w:lineRule="exact"/>
        <w:ind w:left="300"/>
        <w:rPr>
          <w:szCs w:val="21"/>
        </w:rPr>
      </w:pPr>
      <w:r>
        <w:rPr>
          <w:rFonts w:hint="eastAsia"/>
          <w:szCs w:val="21"/>
        </w:rPr>
        <w:t>30.4 招标采购代理机构没有对未中标投标人解释落标原因的义务。</w:t>
      </w:r>
    </w:p>
    <w:p>
      <w:pPr>
        <w:pStyle w:val="2"/>
        <w:spacing w:line="420" w:lineRule="exact"/>
        <w:ind w:left="300"/>
        <w:rPr>
          <w:b/>
          <w:bCs/>
          <w:szCs w:val="21"/>
        </w:rPr>
      </w:pPr>
      <w:r>
        <w:rPr>
          <w:rFonts w:hint="eastAsia"/>
          <w:b/>
          <w:bCs/>
          <w:szCs w:val="21"/>
        </w:rPr>
        <w:t>31、 签订合同</w:t>
      </w:r>
    </w:p>
    <w:p>
      <w:pPr>
        <w:pStyle w:val="2"/>
        <w:spacing w:line="420" w:lineRule="exact"/>
        <w:ind w:left="300"/>
        <w:rPr>
          <w:szCs w:val="21"/>
        </w:rPr>
      </w:pPr>
      <w:r>
        <w:rPr>
          <w:rFonts w:hint="eastAsia"/>
          <w:szCs w:val="21"/>
        </w:rPr>
        <w:t>31.1采购人和中标人应当按照中标通知书规定的期限签订合同。中标通知书规定的期限最长不得超过30天。</w:t>
      </w:r>
    </w:p>
    <w:p>
      <w:pPr>
        <w:pStyle w:val="2"/>
        <w:spacing w:line="420" w:lineRule="exact"/>
        <w:ind w:left="300"/>
        <w:rPr>
          <w:szCs w:val="21"/>
        </w:rPr>
      </w:pPr>
      <w:r>
        <w:rPr>
          <w:rFonts w:hint="eastAsia"/>
          <w:szCs w:val="21"/>
        </w:rPr>
        <w:t>31.2中标人拒签合同，或不能在规定的期限内与采购人签订合同，采购人有权取消其中标资格，其投标保证金不予退还。</w:t>
      </w:r>
    </w:p>
    <w:p>
      <w:pPr>
        <w:pStyle w:val="2"/>
        <w:spacing w:line="420" w:lineRule="exact"/>
        <w:ind w:left="300"/>
        <w:rPr>
          <w:szCs w:val="21"/>
        </w:rPr>
      </w:pPr>
      <w:r>
        <w:rPr>
          <w:rFonts w:hint="eastAsia"/>
          <w:szCs w:val="21"/>
        </w:rPr>
        <w:t>31.3中标人放弃中标，其投标保证金不予退还。</w:t>
      </w:r>
    </w:p>
    <w:p>
      <w:pPr>
        <w:pStyle w:val="2"/>
        <w:spacing w:line="420" w:lineRule="exact"/>
        <w:ind w:left="300"/>
        <w:rPr>
          <w:szCs w:val="21"/>
        </w:rPr>
      </w:pPr>
      <w:r>
        <w:rPr>
          <w:rFonts w:hint="eastAsia"/>
          <w:szCs w:val="21"/>
        </w:rPr>
        <w:t>31.4中标人放弃中标或被取消中标资格后，采购人有权按评审委员会推荐的顺序确定备选中标候选人中标并与之签订合同。所有被确定中标的候选中标投标人均放弃中标或被取消中标资格，采购人应当重新组织招标。弃标或被取消中标资格的投标人不得参加重新招标。</w:t>
      </w:r>
    </w:p>
    <w:p>
      <w:pPr>
        <w:pStyle w:val="2"/>
        <w:spacing w:line="420" w:lineRule="exact"/>
        <w:ind w:left="300"/>
        <w:rPr>
          <w:szCs w:val="21"/>
        </w:rPr>
      </w:pPr>
      <w:r>
        <w:rPr>
          <w:rFonts w:hint="eastAsia"/>
          <w:szCs w:val="21"/>
        </w:rPr>
        <w:t>31.5中标人拒签合同或放弃中标是违约行为，应当依法赔偿违约行为给采购人造成的实际损失。</w:t>
      </w:r>
    </w:p>
    <w:p>
      <w:pPr>
        <w:pStyle w:val="2"/>
        <w:spacing w:line="420" w:lineRule="exact"/>
        <w:ind w:left="300"/>
        <w:rPr>
          <w:szCs w:val="21"/>
        </w:rPr>
      </w:pPr>
      <w:r>
        <w:rPr>
          <w:rFonts w:hint="eastAsia"/>
          <w:szCs w:val="21"/>
        </w:rPr>
        <w:t>31.6前款所称“违约行为给采购人造成的实际损失”，是指顺延中标投标人的中标价格高于违约人中标价格的高出部分。</w:t>
      </w:r>
    </w:p>
    <w:p>
      <w:pPr>
        <w:pStyle w:val="2"/>
        <w:spacing w:line="420" w:lineRule="exact"/>
        <w:ind w:left="300"/>
        <w:rPr>
          <w:szCs w:val="21"/>
        </w:rPr>
      </w:pPr>
      <w:r>
        <w:rPr>
          <w:rFonts w:hint="eastAsia"/>
          <w:szCs w:val="21"/>
        </w:rPr>
        <w:t>31.7</w:t>
      </w:r>
      <w:r>
        <w:rPr>
          <w:rFonts w:hint="eastAsia"/>
          <w:szCs w:val="21"/>
          <w:lang w:val="en-US"/>
        </w:rPr>
        <w:t xml:space="preserve"> </w:t>
      </w:r>
      <w:r>
        <w:rPr>
          <w:rFonts w:hint="eastAsia"/>
          <w:szCs w:val="21"/>
        </w:rPr>
        <w:t>签订合同及合同条款应以招标文件和中标投标人的投标文件为依据。</w:t>
      </w:r>
    </w:p>
    <w:p>
      <w:pPr>
        <w:pStyle w:val="2"/>
        <w:spacing w:line="420" w:lineRule="exact"/>
        <w:ind w:left="300"/>
        <w:rPr>
          <w:b/>
          <w:bCs/>
          <w:szCs w:val="21"/>
        </w:rPr>
      </w:pPr>
      <w:r>
        <w:rPr>
          <w:rFonts w:hint="eastAsia"/>
          <w:b/>
          <w:bCs/>
          <w:szCs w:val="21"/>
        </w:rPr>
        <w:t>32、验收</w:t>
      </w:r>
    </w:p>
    <w:p>
      <w:pPr>
        <w:pStyle w:val="2"/>
        <w:spacing w:line="420" w:lineRule="exact"/>
        <w:ind w:left="300"/>
        <w:rPr>
          <w:szCs w:val="21"/>
        </w:rPr>
      </w:pPr>
      <w:r>
        <w:rPr>
          <w:rFonts w:hint="eastAsia"/>
          <w:szCs w:val="21"/>
        </w:rPr>
        <w:t>32.1中标投标人与采购人应严格按照公开招标文件规定的标准和投标文件承诺的条件进行验收。</w:t>
      </w:r>
    </w:p>
    <w:p>
      <w:pPr>
        <w:pStyle w:val="2"/>
        <w:spacing w:line="420" w:lineRule="exact"/>
        <w:ind w:left="300"/>
        <w:rPr>
          <w:szCs w:val="21"/>
        </w:rPr>
      </w:pPr>
      <w:r>
        <w:rPr>
          <w:rFonts w:hint="eastAsia"/>
          <w:szCs w:val="21"/>
        </w:rPr>
        <w:t>32.2采购人可以独立邀请第三方参与验收。验收出现争议时，中标投标人可以与采购人协商共同邀请第三方参与验收。</w:t>
      </w:r>
    </w:p>
    <w:p>
      <w:pPr>
        <w:pStyle w:val="2"/>
        <w:spacing w:line="420" w:lineRule="exact"/>
        <w:ind w:left="300"/>
        <w:rPr>
          <w:b/>
          <w:bCs/>
          <w:szCs w:val="21"/>
        </w:rPr>
      </w:pPr>
      <w:r>
        <w:rPr>
          <w:rFonts w:hint="eastAsia"/>
          <w:b/>
          <w:bCs/>
          <w:szCs w:val="21"/>
        </w:rPr>
        <w:t>33、代理服务费</w:t>
      </w:r>
    </w:p>
    <w:p>
      <w:pPr>
        <w:pStyle w:val="2"/>
        <w:spacing w:line="420" w:lineRule="exact"/>
        <w:ind w:left="300"/>
        <w:rPr>
          <w:szCs w:val="21"/>
        </w:rPr>
      </w:pPr>
      <w:r>
        <w:rPr>
          <w:rFonts w:hint="eastAsia"/>
          <w:szCs w:val="21"/>
        </w:rPr>
        <w:t>33.1本项目采购代理服务费为，由</w:t>
      </w:r>
      <w:r>
        <w:rPr>
          <w:rFonts w:hint="eastAsia"/>
          <w:szCs w:val="21"/>
          <w:lang w:val="en-US"/>
        </w:rPr>
        <w:t>采购人</w:t>
      </w:r>
      <w:r>
        <w:rPr>
          <w:rFonts w:hint="eastAsia"/>
          <w:szCs w:val="21"/>
        </w:rPr>
        <w:t>在发放中标通知书前一次性付清，按照（计价格【2002】1980号）文标准。</w:t>
      </w:r>
    </w:p>
    <w:p>
      <w:pPr>
        <w:pStyle w:val="2"/>
        <w:spacing w:line="420" w:lineRule="exact"/>
        <w:ind w:left="300"/>
        <w:rPr>
          <w:szCs w:val="21"/>
        </w:rPr>
      </w:pPr>
      <w:r>
        <w:rPr>
          <w:rFonts w:hint="eastAsia"/>
          <w:szCs w:val="21"/>
        </w:rPr>
        <w:t>户    名：海南双达项目管理有限公司</w:t>
      </w:r>
    </w:p>
    <w:p>
      <w:pPr>
        <w:pStyle w:val="2"/>
        <w:spacing w:line="420" w:lineRule="exact"/>
        <w:ind w:left="300"/>
        <w:rPr>
          <w:szCs w:val="21"/>
        </w:rPr>
      </w:pPr>
      <w:r>
        <w:rPr>
          <w:rFonts w:hint="eastAsia"/>
          <w:szCs w:val="21"/>
        </w:rPr>
        <w:t>账    号：46001003236053008009</w:t>
      </w:r>
    </w:p>
    <w:p>
      <w:pPr>
        <w:pStyle w:val="2"/>
        <w:spacing w:line="420" w:lineRule="exact"/>
        <w:ind w:left="300"/>
        <w:rPr>
          <w:szCs w:val="21"/>
        </w:rPr>
      </w:pPr>
      <w:r>
        <w:rPr>
          <w:rFonts w:hint="eastAsia"/>
          <w:szCs w:val="21"/>
        </w:rPr>
        <w:t>开 户 行：中国建设银行海口金贸支行营业部</w:t>
      </w:r>
    </w:p>
    <w:p>
      <w:pPr>
        <w:pStyle w:val="2"/>
        <w:spacing w:line="420" w:lineRule="exact"/>
        <w:ind w:left="300"/>
        <w:rPr>
          <w:szCs w:val="21"/>
        </w:rPr>
      </w:pPr>
      <w:bookmarkStart w:id="24" w:name="_Toc26289796"/>
      <w:bookmarkStart w:id="25" w:name="_Toc317237605"/>
      <w:bookmarkStart w:id="26" w:name="_Toc317237780"/>
      <w:bookmarkStart w:id="27" w:name="_Toc1715"/>
      <w:r>
        <w:rPr>
          <w:rFonts w:hint="eastAsia"/>
          <w:szCs w:val="21"/>
        </w:rPr>
        <w:t>（七）询问、质疑和投诉</w:t>
      </w:r>
      <w:bookmarkEnd w:id="24"/>
      <w:bookmarkEnd w:id="25"/>
      <w:bookmarkEnd w:id="26"/>
      <w:bookmarkEnd w:id="27"/>
    </w:p>
    <w:p>
      <w:pPr>
        <w:pStyle w:val="2"/>
        <w:spacing w:line="420" w:lineRule="exact"/>
        <w:ind w:left="300"/>
        <w:rPr>
          <w:b/>
          <w:bCs/>
          <w:szCs w:val="21"/>
        </w:rPr>
      </w:pPr>
      <w:r>
        <w:rPr>
          <w:rFonts w:hint="eastAsia"/>
          <w:b/>
          <w:bCs/>
          <w:szCs w:val="21"/>
        </w:rPr>
        <w:t>34、询问</w:t>
      </w:r>
    </w:p>
    <w:p>
      <w:pPr>
        <w:pStyle w:val="2"/>
        <w:spacing w:line="420" w:lineRule="exact"/>
        <w:ind w:left="300"/>
        <w:rPr>
          <w:szCs w:val="21"/>
        </w:rPr>
      </w:pPr>
      <w:r>
        <w:rPr>
          <w:rFonts w:hint="eastAsia"/>
          <w:szCs w:val="21"/>
        </w:rPr>
        <w:t>34.1投标人对本采购活动事项有疑问的，应当向采购人或招标采购代理机构提出询问。</w:t>
      </w:r>
    </w:p>
    <w:p>
      <w:pPr>
        <w:pStyle w:val="2"/>
        <w:spacing w:line="420" w:lineRule="exact"/>
        <w:ind w:left="300"/>
        <w:rPr>
          <w:szCs w:val="21"/>
        </w:rPr>
      </w:pPr>
      <w:r>
        <w:rPr>
          <w:rFonts w:hint="eastAsia"/>
          <w:szCs w:val="21"/>
        </w:rPr>
        <w:t>34.2采购人或招标采购代理机构按照政府采购相关的法律法规依法做出相应答复。</w:t>
      </w:r>
    </w:p>
    <w:p>
      <w:pPr>
        <w:pStyle w:val="2"/>
        <w:spacing w:line="420" w:lineRule="exact"/>
        <w:ind w:left="300"/>
        <w:rPr>
          <w:b/>
          <w:bCs/>
          <w:szCs w:val="21"/>
        </w:rPr>
      </w:pPr>
      <w:r>
        <w:rPr>
          <w:rFonts w:hint="eastAsia"/>
          <w:b/>
          <w:bCs/>
          <w:szCs w:val="21"/>
        </w:rPr>
        <w:t>35、质疑</w:t>
      </w:r>
    </w:p>
    <w:p>
      <w:pPr>
        <w:pStyle w:val="2"/>
        <w:spacing w:line="420" w:lineRule="exact"/>
        <w:ind w:left="300"/>
        <w:rPr>
          <w:szCs w:val="21"/>
        </w:rPr>
      </w:pPr>
      <w:r>
        <w:rPr>
          <w:rFonts w:hint="eastAsia"/>
          <w:szCs w:val="21"/>
        </w:rPr>
        <w:t>35.1投标人认为采购文件、采购过程和中标、中标结果使自己的权益受到损害的，可以在知道或者应知其权益受到损害之日起七个工作日内，以书面形式向本采购代理机构或向采购人提出质疑。</w:t>
      </w:r>
    </w:p>
    <w:p>
      <w:pPr>
        <w:pStyle w:val="2"/>
        <w:spacing w:line="420" w:lineRule="exact"/>
        <w:ind w:left="300"/>
        <w:rPr>
          <w:szCs w:val="21"/>
        </w:rPr>
      </w:pPr>
      <w:r>
        <w:rPr>
          <w:rFonts w:hint="eastAsia"/>
          <w:szCs w:val="21"/>
        </w:rPr>
        <w:t>35.2质疑必须以书面形式提出，并符合政府采购相关法律法规的规定。</w:t>
      </w:r>
    </w:p>
    <w:p>
      <w:pPr>
        <w:pStyle w:val="2"/>
        <w:spacing w:line="420" w:lineRule="exact"/>
        <w:ind w:left="300"/>
        <w:rPr>
          <w:b/>
          <w:bCs/>
          <w:szCs w:val="21"/>
        </w:rPr>
      </w:pPr>
      <w:r>
        <w:rPr>
          <w:rFonts w:hint="eastAsia"/>
          <w:b/>
          <w:bCs/>
          <w:szCs w:val="21"/>
        </w:rPr>
        <w:t>36、投诉</w:t>
      </w:r>
    </w:p>
    <w:p>
      <w:pPr>
        <w:pStyle w:val="2"/>
        <w:spacing w:line="420" w:lineRule="exact"/>
        <w:ind w:left="300"/>
        <w:rPr>
          <w:szCs w:val="21"/>
        </w:rPr>
      </w:pPr>
      <w:r>
        <w:rPr>
          <w:rFonts w:hint="eastAsia"/>
          <w:szCs w:val="21"/>
        </w:rPr>
        <w:t>36.1投标人对质疑事项的答复不满意，或者没有在法定期限内得到答复的，可以依法向政府采购监管部门进行投诉。</w:t>
      </w:r>
    </w:p>
    <w:p>
      <w:pPr>
        <w:pStyle w:val="2"/>
        <w:spacing w:line="420" w:lineRule="exact"/>
        <w:ind w:left="300"/>
        <w:rPr>
          <w:szCs w:val="21"/>
        </w:rPr>
      </w:pPr>
      <w:r>
        <w:rPr>
          <w:rFonts w:hint="eastAsia"/>
          <w:szCs w:val="21"/>
        </w:rPr>
        <w:t>36.2投标人的投诉，应当符合政府采购相关法律法规的相关规定。</w:t>
      </w:r>
    </w:p>
    <w:p>
      <w:pPr>
        <w:pStyle w:val="2"/>
        <w:spacing w:line="420" w:lineRule="exact"/>
        <w:ind w:left="300"/>
        <w:rPr>
          <w:szCs w:val="21"/>
        </w:rPr>
      </w:pPr>
      <w:bookmarkStart w:id="28" w:name="_Toc26289797"/>
      <w:bookmarkStart w:id="29" w:name="_Toc317237781"/>
      <w:bookmarkStart w:id="30" w:name="_Toc317237606"/>
      <w:bookmarkStart w:id="31" w:name="_Toc24675"/>
      <w:r>
        <w:rPr>
          <w:rFonts w:hint="eastAsia"/>
          <w:szCs w:val="21"/>
        </w:rPr>
        <w:t>（八）纪律和监督</w:t>
      </w:r>
      <w:bookmarkEnd w:id="28"/>
      <w:bookmarkEnd w:id="29"/>
      <w:bookmarkEnd w:id="30"/>
      <w:bookmarkEnd w:id="31"/>
    </w:p>
    <w:p>
      <w:pPr>
        <w:pStyle w:val="2"/>
        <w:spacing w:line="420" w:lineRule="exact"/>
        <w:ind w:left="300"/>
        <w:rPr>
          <w:b/>
          <w:bCs/>
          <w:szCs w:val="21"/>
        </w:rPr>
      </w:pPr>
      <w:r>
        <w:rPr>
          <w:rFonts w:hint="eastAsia"/>
          <w:b/>
          <w:bCs/>
          <w:szCs w:val="21"/>
        </w:rPr>
        <w:t>37、对采购人的纪律要求</w:t>
      </w:r>
    </w:p>
    <w:p>
      <w:pPr>
        <w:pStyle w:val="2"/>
        <w:spacing w:line="420" w:lineRule="exact"/>
        <w:ind w:left="300"/>
        <w:rPr>
          <w:szCs w:val="21"/>
        </w:rPr>
      </w:pPr>
      <w:r>
        <w:rPr>
          <w:rFonts w:hint="eastAsia"/>
          <w:szCs w:val="21"/>
        </w:rPr>
        <w:t>采购人不得泄漏招标投标活动中应当保密的情况和资料，不得与投标人串通损害国家利益、社会公共利益或他人的合法权益。</w:t>
      </w:r>
    </w:p>
    <w:p>
      <w:pPr>
        <w:pStyle w:val="2"/>
        <w:spacing w:line="420" w:lineRule="exact"/>
        <w:ind w:left="300"/>
        <w:rPr>
          <w:b/>
          <w:bCs/>
          <w:szCs w:val="21"/>
        </w:rPr>
      </w:pPr>
      <w:r>
        <w:rPr>
          <w:rFonts w:hint="eastAsia"/>
          <w:b/>
          <w:bCs/>
          <w:szCs w:val="21"/>
        </w:rPr>
        <w:t>38、对投标人的纪律要求</w:t>
      </w:r>
    </w:p>
    <w:p>
      <w:pPr>
        <w:pStyle w:val="2"/>
        <w:spacing w:line="420" w:lineRule="exact"/>
        <w:ind w:left="300"/>
        <w:rPr>
          <w:szCs w:val="21"/>
        </w:rPr>
      </w:pPr>
      <w:r>
        <w:rPr>
          <w:rFonts w:hint="eastAsia"/>
          <w:szCs w:val="21"/>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招标；不得拒绝有关部门的监督检查或者向监督检查部门提供虚假情况。有上述情形之一的投标人，属于不合格投标人，其投标或中标资格将被取消。</w:t>
      </w:r>
    </w:p>
    <w:p>
      <w:pPr>
        <w:pStyle w:val="2"/>
        <w:spacing w:line="420" w:lineRule="exact"/>
        <w:ind w:left="300"/>
        <w:rPr>
          <w:b/>
          <w:bCs/>
          <w:szCs w:val="21"/>
        </w:rPr>
      </w:pPr>
      <w:r>
        <w:rPr>
          <w:rFonts w:hint="eastAsia"/>
          <w:b/>
          <w:bCs/>
          <w:szCs w:val="21"/>
        </w:rPr>
        <w:t>39、对评审委员会成员的纪律要求</w:t>
      </w:r>
    </w:p>
    <w:p>
      <w:pPr>
        <w:pStyle w:val="2"/>
        <w:spacing w:line="420" w:lineRule="exact"/>
        <w:ind w:left="300"/>
        <w:rPr>
          <w:szCs w:val="21"/>
        </w:rPr>
      </w:pPr>
      <w:r>
        <w:rPr>
          <w:rFonts w:hint="eastAsia"/>
          <w:szCs w:val="21"/>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公开招标文件第五部分“评标方法和标准”的规定之外的评审因素和标准进行评标。</w:t>
      </w:r>
    </w:p>
    <w:p>
      <w:pPr>
        <w:pStyle w:val="2"/>
        <w:spacing w:line="420" w:lineRule="exact"/>
        <w:ind w:left="300"/>
        <w:rPr>
          <w:b/>
          <w:bCs/>
          <w:szCs w:val="21"/>
        </w:rPr>
      </w:pPr>
      <w:r>
        <w:rPr>
          <w:rFonts w:hint="eastAsia"/>
          <w:b/>
          <w:bCs/>
          <w:szCs w:val="21"/>
        </w:rPr>
        <w:t>40、对与评标活动有关的工作人员的纪律要求</w:t>
      </w:r>
    </w:p>
    <w:p>
      <w:pPr>
        <w:pStyle w:val="2"/>
        <w:spacing w:line="420" w:lineRule="exact"/>
        <w:ind w:left="300"/>
        <w:rPr>
          <w:szCs w:val="21"/>
        </w:rPr>
      </w:pPr>
      <w:r>
        <w:rPr>
          <w:rFonts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
        <w:spacing w:line="420" w:lineRule="exact"/>
        <w:ind w:left="300"/>
        <w:rPr>
          <w:b/>
          <w:bCs/>
          <w:szCs w:val="21"/>
        </w:rPr>
      </w:pPr>
      <w:bookmarkStart w:id="32" w:name="_Toc468811121"/>
      <w:bookmarkStart w:id="33" w:name="_Toc516470722"/>
      <w:bookmarkStart w:id="34" w:name="_Toc501635358"/>
      <w:r>
        <w:rPr>
          <w:rFonts w:hint="eastAsia"/>
          <w:b/>
          <w:bCs/>
          <w:szCs w:val="21"/>
        </w:rPr>
        <w:t>41、政策功能</w:t>
      </w:r>
      <w:bookmarkEnd w:id="32"/>
      <w:bookmarkEnd w:id="33"/>
      <w:bookmarkEnd w:id="34"/>
    </w:p>
    <w:p>
      <w:pPr>
        <w:pStyle w:val="2"/>
        <w:spacing w:line="420" w:lineRule="exact"/>
        <w:ind w:left="300"/>
        <w:rPr>
          <w:szCs w:val="21"/>
        </w:rPr>
      </w:pPr>
      <w:r>
        <w:rPr>
          <w:rFonts w:hint="eastAsia"/>
          <w:szCs w:val="21"/>
        </w:rPr>
        <w:t>41．1 本次招标优先选购中华人民共和国财政部公布的《政府采购自主创新产品目录》和《节能环保产品目录》的标的物。</w:t>
      </w:r>
    </w:p>
    <w:p>
      <w:pPr>
        <w:pStyle w:val="2"/>
        <w:spacing w:line="420" w:lineRule="exact"/>
        <w:ind w:left="300"/>
        <w:rPr>
          <w:szCs w:val="21"/>
        </w:rPr>
      </w:pPr>
      <w:r>
        <w:rPr>
          <w:rFonts w:hint="eastAsia"/>
          <w:szCs w:val="21"/>
        </w:rPr>
        <w:t>41．2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pStyle w:val="2"/>
        <w:spacing w:line="420" w:lineRule="exact"/>
        <w:ind w:left="300"/>
        <w:rPr>
          <w:szCs w:val="21"/>
        </w:rPr>
      </w:pPr>
      <w:r>
        <w:rPr>
          <w:rFonts w:hint="eastAsia"/>
          <w:szCs w:val="21"/>
        </w:rPr>
        <w:t>41．3 投标产品属于信息安全产品的，投标人应当选择经国家认证的信息安全产品投标，并提供由中国信息安全认证中心按国家标准颁发的有效认证证书复印件。</w:t>
      </w:r>
    </w:p>
    <w:p>
      <w:pPr>
        <w:pStyle w:val="2"/>
        <w:spacing w:line="420" w:lineRule="exact"/>
        <w:ind w:left="300"/>
        <w:rPr>
          <w:szCs w:val="21"/>
        </w:rPr>
      </w:pPr>
      <w:r>
        <w:rPr>
          <w:rFonts w:hint="eastAsia"/>
          <w:szCs w:val="21"/>
        </w:rPr>
        <w:t>41．4 投标产品属于政府强制采购节能产品的，投标人应当选择《节能产品政府采购清单》中的产品投标，并提供有效的节能产品认证证书复印件。</w:t>
      </w:r>
    </w:p>
    <w:p>
      <w:pPr>
        <w:pStyle w:val="2"/>
        <w:spacing w:line="420" w:lineRule="exact"/>
        <w:ind w:left="300"/>
        <w:rPr>
          <w:szCs w:val="21"/>
        </w:rPr>
      </w:pPr>
      <w:r>
        <w:rPr>
          <w:rFonts w:hint="eastAsia"/>
          <w:szCs w:val="21"/>
        </w:rPr>
        <w:t>41．5 招标文件中提供的参考产品品牌或型号，是采购人根据项目所要实现的功能根据市场情况列出的品牌或型号，并不是限制条件。</w:t>
      </w:r>
    </w:p>
    <w:p>
      <w:pPr>
        <w:pStyle w:val="2"/>
        <w:spacing w:line="420" w:lineRule="exact"/>
        <w:ind w:left="300"/>
        <w:rPr>
          <w:sz w:val="2"/>
        </w:rPr>
      </w:pPr>
      <w:r>
        <w:rPr>
          <w:rFonts w:hint="eastAsia"/>
          <w:szCs w:val="21"/>
        </w:rPr>
        <w:t>41．6 对于非专门面向中小企业的项目，对小型和微型企业产品的价格给予6%的扣除，用扣除后的价格参与评审。参加投标的中小企业，应当提供《中小企业声明函》（“中小企业划型标准”详见《关于印发中小企业划型标准规定的通知》工信部联企业（2011）300号）</w:t>
      </w:r>
      <w:bookmarkEnd w:id="1"/>
      <w:bookmarkEnd w:id="2"/>
      <w:bookmarkEnd w:id="3"/>
      <w:bookmarkEnd w:id="4"/>
      <w:bookmarkEnd w:id="5"/>
    </w:p>
    <w:p>
      <w:pPr>
        <w:spacing w:line="364" w:lineRule="auto"/>
        <w:rPr>
          <w:rFonts w:ascii="Times New Roman" w:eastAsia="Times New Roman"/>
          <w:sz w:val="24"/>
        </w:rPr>
        <w:sectPr>
          <w:pgSz w:w="11910" w:h="16840"/>
          <w:pgMar w:top="1360" w:right="607" w:bottom="1380" w:left="1140" w:header="884" w:footer="1177" w:gutter="0"/>
          <w:cols w:space="720" w:num="1"/>
        </w:sectPr>
      </w:pPr>
    </w:p>
    <w:p>
      <w:pPr>
        <w:pStyle w:val="2"/>
        <w:spacing w:line="20" w:lineRule="exact"/>
        <w:ind w:left="300"/>
        <w:rPr>
          <w:sz w:val="2"/>
        </w:rPr>
      </w:pPr>
    </w:p>
    <w:p>
      <w:pPr>
        <w:pStyle w:val="3"/>
        <w:spacing w:line="594" w:lineRule="exact"/>
        <w:jc w:val="center"/>
      </w:pPr>
      <w:bookmarkStart w:id="35" w:name="_bookmark2"/>
      <w:bookmarkEnd w:id="35"/>
      <w:r>
        <w:t>第三章 采购需求</w:t>
      </w:r>
    </w:p>
    <w:p>
      <w:pPr>
        <w:widowControl/>
        <w:rPr>
          <w:sz w:val="24"/>
          <w:szCs w:val="24"/>
        </w:rPr>
      </w:pPr>
      <w:r>
        <w:rPr>
          <w:sz w:val="24"/>
          <w:szCs w:val="24"/>
        </w:rPr>
        <w:t>1、项目名称：</w:t>
      </w:r>
      <w:r>
        <w:rPr>
          <w:rFonts w:hint="eastAsia"/>
          <w:color w:val="000000"/>
          <w:sz w:val="24"/>
          <w:szCs w:val="24"/>
          <w:lang w:val="en-US" w:bidi="ar"/>
        </w:rPr>
        <w:t>校园照明综合改造</w:t>
      </w:r>
      <w:r>
        <w:rPr>
          <w:sz w:val="24"/>
          <w:szCs w:val="24"/>
        </w:rPr>
        <w:t xml:space="preserve">； </w:t>
      </w:r>
    </w:p>
    <w:p>
      <w:pPr>
        <w:widowControl/>
        <w:rPr>
          <w:sz w:val="24"/>
          <w:szCs w:val="24"/>
        </w:rPr>
      </w:pPr>
      <w:r>
        <w:rPr>
          <w:sz w:val="24"/>
          <w:szCs w:val="24"/>
        </w:rPr>
        <w:t>2、项目实施地点：</w:t>
      </w:r>
      <w:r>
        <w:rPr>
          <w:rFonts w:hint="eastAsia"/>
          <w:color w:val="000000"/>
          <w:sz w:val="24"/>
          <w:szCs w:val="24"/>
          <w:lang w:val="en-US" w:bidi="ar"/>
        </w:rPr>
        <w:t>海口市高级技工学校校园内</w:t>
      </w:r>
      <w:r>
        <w:rPr>
          <w:sz w:val="24"/>
          <w:szCs w:val="24"/>
        </w:rPr>
        <w:t xml:space="preserve">； </w:t>
      </w:r>
    </w:p>
    <w:p>
      <w:pPr>
        <w:widowControl/>
        <w:rPr>
          <w:sz w:val="24"/>
          <w:szCs w:val="24"/>
        </w:rPr>
      </w:pPr>
      <w:r>
        <w:rPr>
          <w:sz w:val="24"/>
          <w:szCs w:val="24"/>
        </w:rPr>
        <w:t>3、采购预算：</w:t>
      </w:r>
      <w:r>
        <w:rPr>
          <w:rFonts w:hint="eastAsia"/>
          <w:color w:val="000000"/>
          <w:sz w:val="24"/>
          <w:szCs w:val="24"/>
          <w:lang w:val="en-US" w:bidi="ar"/>
        </w:rPr>
        <w:t xml:space="preserve">3032116.80 </w:t>
      </w:r>
      <w:r>
        <w:rPr>
          <w:sz w:val="24"/>
          <w:szCs w:val="24"/>
        </w:rPr>
        <w:t xml:space="preserve">元； </w:t>
      </w:r>
    </w:p>
    <w:p>
      <w:pPr>
        <w:widowControl/>
        <w:rPr>
          <w:sz w:val="24"/>
          <w:szCs w:val="24"/>
        </w:rPr>
      </w:pPr>
      <w:r>
        <w:rPr>
          <w:sz w:val="24"/>
          <w:szCs w:val="24"/>
        </w:rPr>
        <w:t>4、招标最高限价：</w:t>
      </w:r>
      <w:r>
        <w:rPr>
          <w:rFonts w:hint="eastAsia"/>
          <w:color w:val="000000"/>
          <w:sz w:val="24"/>
          <w:szCs w:val="24"/>
          <w:lang w:val="en-US" w:bidi="ar"/>
        </w:rPr>
        <w:t>3032116.80 元</w:t>
      </w:r>
      <w:r>
        <w:rPr>
          <w:sz w:val="24"/>
          <w:szCs w:val="24"/>
        </w:rPr>
        <w:t xml:space="preserve">。 </w:t>
      </w:r>
    </w:p>
    <w:p>
      <w:pPr>
        <w:rPr>
          <w:sz w:val="24"/>
          <w:szCs w:val="24"/>
        </w:rPr>
      </w:pPr>
      <w:r>
        <w:rPr>
          <w:sz w:val="24"/>
          <w:szCs w:val="24"/>
        </w:rPr>
        <w:t xml:space="preserve">5、资金来源：财政资金； </w:t>
      </w:r>
    </w:p>
    <w:p>
      <w:pPr>
        <w:rPr>
          <w:sz w:val="24"/>
          <w:szCs w:val="24"/>
        </w:rPr>
      </w:pPr>
      <w:r>
        <w:rPr>
          <w:sz w:val="24"/>
          <w:szCs w:val="24"/>
        </w:rPr>
        <w:t>6、项目完成期限（交货期）：合同签订后</w:t>
      </w:r>
      <w:r>
        <w:rPr>
          <w:rFonts w:hint="eastAsia"/>
          <w:sz w:val="24"/>
          <w:szCs w:val="24"/>
          <w:lang w:val="en-US"/>
        </w:rPr>
        <w:t>50</w:t>
      </w:r>
      <w:r>
        <w:rPr>
          <w:sz w:val="24"/>
          <w:szCs w:val="24"/>
        </w:rPr>
        <w:t xml:space="preserve">日历天； </w:t>
      </w:r>
    </w:p>
    <w:p>
      <w:pPr>
        <w:rPr>
          <w:sz w:val="24"/>
          <w:szCs w:val="24"/>
        </w:rPr>
      </w:pPr>
      <w:r>
        <w:rPr>
          <w:sz w:val="24"/>
          <w:szCs w:val="24"/>
        </w:rPr>
        <w:t>7、产品质保期：</w:t>
      </w:r>
      <w:r>
        <w:rPr>
          <w:rFonts w:hint="eastAsia"/>
          <w:sz w:val="21"/>
          <w:szCs w:val="21"/>
          <w:lang w:val="en-US" w:eastAsia="zh-CN"/>
        </w:rPr>
        <w:t>6</w:t>
      </w:r>
      <w:r>
        <w:rPr>
          <w:sz w:val="24"/>
          <w:szCs w:val="24"/>
        </w:rPr>
        <w:t xml:space="preserve"> 年； </w:t>
      </w:r>
    </w:p>
    <w:p>
      <w:pPr>
        <w:rPr>
          <w:lang w:val="en-US"/>
        </w:rPr>
      </w:pPr>
      <w:r>
        <w:rPr>
          <w:sz w:val="24"/>
          <w:szCs w:val="24"/>
        </w:rPr>
        <w:t>8、采购清单（见下图）：</w:t>
      </w:r>
    </w:p>
    <w:tbl>
      <w:tblPr>
        <w:tblStyle w:val="17"/>
        <w:tblW w:w="95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2"/>
        <w:gridCol w:w="1125"/>
        <w:gridCol w:w="3872"/>
        <w:gridCol w:w="534"/>
        <w:gridCol w:w="609"/>
        <w:gridCol w:w="812"/>
        <w:gridCol w:w="1050"/>
        <w:gridCol w:w="11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jc w:val="center"/>
              <w:rPr>
                <w:sz w:val="18"/>
                <w:szCs w:val="18"/>
                <w:lang w:val="en-US"/>
              </w:rPr>
            </w:pPr>
            <w:r>
              <w:rPr>
                <w:rFonts w:hint="eastAsia"/>
                <w:sz w:val="18"/>
                <w:szCs w:val="18"/>
                <w:lang w:val="en-US"/>
              </w:rPr>
              <w:t>序号</w:t>
            </w:r>
          </w:p>
        </w:tc>
        <w:tc>
          <w:tcPr>
            <w:tcW w:w="1125" w:type="dxa"/>
            <w:vAlign w:val="center"/>
          </w:tcPr>
          <w:p>
            <w:pPr>
              <w:jc w:val="center"/>
              <w:rPr>
                <w:sz w:val="18"/>
                <w:szCs w:val="18"/>
                <w:lang w:val="en-US"/>
              </w:rPr>
            </w:pPr>
            <w:r>
              <w:rPr>
                <w:rFonts w:hint="eastAsia"/>
                <w:sz w:val="18"/>
                <w:szCs w:val="18"/>
                <w:lang w:val="en-US"/>
              </w:rPr>
              <w:t>名称</w:t>
            </w:r>
          </w:p>
        </w:tc>
        <w:tc>
          <w:tcPr>
            <w:tcW w:w="3872" w:type="dxa"/>
            <w:vAlign w:val="center"/>
          </w:tcPr>
          <w:p>
            <w:pPr>
              <w:jc w:val="center"/>
              <w:rPr>
                <w:sz w:val="18"/>
                <w:szCs w:val="18"/>
                <w:lang w:val="en-US"/>
              </w:rPr>
            </w:pPr>
            <w:r>
              <w:rPr>
                <w:rFonts w:hint="eastAsia"/>
                <w:sz w:val="18"/>
                <w:szCs w:val="18"/>
                <w:lang w:val="en-US"/>
              </w:rPr>
              <w:t>规格/参数</w:t>
            </w:r>
          </w:p>
        </w:tc>
        <w:tc>
          <w:tcPr>
            <w:tcW w:w="534" w:type="dxa"/>
            <w:vAlign w:val="center"/>
          </w:tcPr>
          <w:p>
            <w:pPr>
              <w:jc w:val="center"/>
              <w:rPr>
                <w:sz w:val="18"/>
                <w:szCs w:val="18"/>
                <w:lang w:val="en-US"/>
              </w:rPr>
            </w:pPr>
            <w:r>
              <w:rPr>
                <w:rFonts w:hint="eastAsia"/>
                <w:sz w:val="18"/>
                <w:szCs w:val="18"/>
                <w:lang w:val="en-US"/>
              </w:rPr>
              <w:t>单位</w:t>
            </w:r>
          </w:p>
        </w:tc>
        <w:tc>
          <w:tcPr>
            <w:tcW w:w="609" w:type="dxa"/>
            <w:vAlign w:val="center"/>
          </w:tcPr>
          <w:p>
            <w:pPr>
              <w:jc w:val="center"/>
              <w:rPr>
                <w:sz w:val="18"/>
                <w:szCs w:val="18"/>
                <w:lang w:val="en-US"/>
              </w:rPr>
            </w:pPr>
            <w:r>
              <w:rPr>
                <w:rFonts w:hint="eastAsia"/>
                <w:sz w:val="18"/>
                <w:szCs w:val="18"/>
                <w:lang w:val="en-US"/>
              </w:rPr>
              <w:t>数量</w:t>
            </w:r>
          </w:p>
        </w:tc>
        <w:tc>
          <w:tcPr>
            <w:tcW w:w="812" w:type="dxa"/>
            <w:vAlign w:val="center"/>
          </w:tcPr>
          <w:p>
            <w:pPr>
              <w:jc w:val="center"/>
              <w:rPr>
                <w:sz w:val="18"/>
                <w:szCs w:val="18"/>
                <w:lang w:val="en-US"/>
              </w:rPr>
            </w:pPr>
            <w:r>
              <w:rPr>
                <w:rFonts w:hint="eastAsia"/>
                <w:sz w:val="18"/>
                <w:szCs w:val="18"/>
                <w:lang w:val="en-US"/>
              </w:rPr>
              <w:t>单价（元）</w:t>
            </w:r>
          </w:p>
        </w:tc>
        <w:tc>
          <w:tcPr>
            <w:tcW w:w="1050" w:type="dxa"/>
            <w:vAlign w:val="center"/>
          </w:tcPr>
          <w:p>
            <w:pPr>
              <w:jc w:val="center"/>
              <w:rPr>
                <w:sz w:val="18"/>
                <w:szCs w:val="18"/>
                <w:lang w:val="en-US"/>
              </w:rPr>
            </w:pPr>
            <w:r>
              <w:rPr>
                <w:rFonts w:hint="eastAsia"/>
                <w:sz w:val="18"/>
                <w:szCs w:val="18"/>
                <w:lang w:val="en-US"/>
              </w:rPr>
              <w:t>总价（元）</w:t>
            </w:r>
          </w:p>
        </w:tc>
        <w:tc>
          <w:tcPr>
            <w:tcW w:w="1111" w:type="dxa"/>
            <w:vAlign w:val="center"/>
          </w:tcPr>
          <w:p>
            <w:pPr>
              <w:jc w:val="center"/>
              <w:rPr>
                <w:sz w:val="18"/>
                <w:szCs w:val="18"/>
                <w:lang w:val="en-US"/>
              </w:rPr>
            </w:pPr>
            <w:r>
              <w:rPr>
                <w:rFonts w:hint="eastAsia"/>
                <w:sz w:val="18"/>
                <w:szCs w:val="18"/>
                <w:lang w:val="en-US"/>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ind w:firstLine="180" w:firstLineChars="100"/>
              <w:rPr>
                <w:sz w:val="18"/>
                <w:szCs w:val="18"/>
                <w:lang w:val="en-US"/>
              </w:rPr>
            </w:pPr>
            <w:r>
              <w:rPr>
                <w:rFonts w:hint="eastAsia"/>
                <w:sz w:val="18"/>
                <w:szCs w:val="18"/>
                <w:lang w:val="en-US"/>
              </w:rPr>
              <w:t>1</w:t>
            </w:r>
          </w:p>
        </w:tc>
        <w:tc>
          <w:tcPr>
            <w:tcW w:w="1125" w:type="dxa"/>
            <w:vAlign w:val="center"/>
          </w:tcPr>
          <w:p>
            <w:pPr>
              <w:ind w:firstLine="180" w:firstLineChars="100"/>
              <w:rPr>
                <w:sz w:val="18"/>
                <w:szCs w:val="18"/>
                <w:lang w:val="en-US"/>
              </w:rPr>
            </w:pPr>
            <w:r>
              <w:rPr>
                <w:rFonts w:hint="eastAsia"/>
                <w:sz w:val="18"/>
                <w:szCs w:val="18"/>
                <w:lang w:val="en-US"/>
              </w:rPr>
              <w:t>LED教室灯</w:t>
            </w:r>
          </w:p>
        </w:tc>
        <w:tc>
          <w:tcPr>
            <w:tcW w:w="3872" w:type="dxa"/>
            <w:vAlign w:val="center"/>
          </w:tcPr>
          <w:p>
            <w:pPr>
              <w:rPr>
                <w:sz w:val="18"/>
                <w:szCs w:val="18"/>
              </w:rPr>
            </w:pPr>
            <w:r>
              <w:rPr>
                <w:rFonts w:hint="eastAsia"/>
                <w:sz w:val="18"/>
                <w:szCs w:val="18"/>
              </w:rPr>
              <w:t xml:space="preserve">1、LED护眼面板灯出光口采用3层结构的PC材质防眩光面板，无格栅； </w:t>
            </w:r>
          </w:p>
          <w:p>
            <w:pPr>
              <w:rPr>
                <w:sz w:val="18"/>
                <w:szCs w:val="18"/>
                <w:lang w:val="en-US"/>
              </w:rPr>
            </w:pPr>
            <w:r>
              <w:rPr>
                <w:rFonts w:hint="eastAsia"/>
                <w:sz w:val="18"/>
                <w:szCs w:val="18"/>
              </w:rPr>
              <w:t>2、灯具壳体边框采用：≥0.4mm厚度铝型材等轻型坚固的金属材料，并经采用喷涂或氧化处理，具备防锈功能</w:t>
            </w:r>
            <w:r>
              <w:rPr>
                <w:rFonts w:hint="eastAsia"/>
                <w:sz w:val="18"/>
                <w:szCs w:val="18"/>
                <w:lang w:val="en-US"/>
              </w:rPr>
              <w:t>；</w:t>
            </w:r>
          </w:p>
          <w:p>
            <w:pPr>
              <w:rPr>
                <w:sz w:val="18"/>
                <w:szCs w:val="18"/>
              </w:rPr>
            </w:pPr>
            <w:r>
              <w:rPr>
                <w:rFonts w:hint="eastAsia" w:ascii="Times New Roman" w:hAnsi="Times New Roman" w:cs="Times New Roman"/>
                <w:sz w:val="18"/>
                <w:szCs w:val="18"/>
                <w:lang w:val="en-US"/>
              </w:rPr>
              <w:t xml:space="preserve">3、 </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lang w:val="en-US"/>
              </w:rPr>
            </w:pPr>
            <w:r>
              <w:rPr>
                <w:rFonts w:hint="eastAsia"/>
                <w:sz w:val="18"/>
                <w:szCs w:val="18"/>
                <w:lang w:val="en-US"/>
              </w:rPr>
              <w:t>4</w:t>
            </w:r>
            <w:r>
              <w:rPr>
                <w:rFonts w:hint="eastAsia"/>
                <w:sz w:val="18"/>
                <w:szCs w:val="18"/>
              </w:rPr>
              <w:t>、</w:t>
            </w:r>
            <w:r>
              <w:rPr>
                <w:rFonts w:hint="eastAsia"/>
                <w:sz w:val="18"/>
                <w:szCs w:val="18"/>
                <w:lang w:val="en-US"/>
              </w:rPr>
              <w:t>LED教室灯初始功率在36w±3w，正常连续燃点30000小时或以上时间满足额定功率36w±3w。</w:t>
            </w:r>
          </w:p>
          <w:p>
            <w:pPr>
              <w:rPr>
                <w:sz w:val="18"/>
                <w:szCs w:val="18"/>
                <w:lang w:val="en-US"/>
              </w:rPr>
            </w:pPr>
            <w:r>
              <w:rPr>
                <w:rFonts w:hint="eastAsia"/>
                <w:sz w:val="18"/>
                <w:szCs w:val="18"/>
                <w:lang w:val="en-US"/>
              </w:rPr>
              <w:t>5、LED教室灯初始光通量≥3200lm，正常连续燃点30000小时或以上时间满足≥3200Lm。</w:t>
            </w:r>
          </w:p>
          <w:p>
            <w:pPr>
              <w:rPr>
                <w:sz w:val="18"/>
                <w:szCs w:val="18"/>
              </w:rPr>
            </w:pPr>
            <w:r>
              <w:rPr>
                <w:rFonts w:hint="eastAsia"/>
                <w:sz w:val="18"/>
                <w:szCs w:val="18"/>
                <w:lang w:val="en-US"/>
              </w:rPr>
              <w:t>6、LED教室灯初始效能或光效≥92lm/W；正常连续燃点30000小时或以上时间满足≥92lm/W。</w:t>
            </w:r>
          </w:p>
          <w:p>
            <w:pPr>
              <w:rPr>
                <w:sz w:val="18"/>
                <w:szCs w:val="18"/>
              </w:rPr>
            </w:pPr>
            <w:r>
              <w:rPr>
                <w:rFonts w:hint="eastAsia"/>
                <w:sz w:val="18"/>
                <w:szCs w:val="18"/>
                <w:lang w:val="en-US"/>
              </w:rPr>
              <w:t>7</w:t>
            </w:r>
            <w:r>
              <w:rPr>
                <w:rFonts w:hint="eastAsia"/>
                <w:sz w:val="18"/>
                <w:szCs w:val="18"/>
              </w:rPr>
              <w:t>、LED教室灯初始功率因数≥0.9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、LED教室灯初始色容差（SDCM）≤3，正常持续燃点30000小时或以上时间色容差（SDCM）≤</w:t>
            </w:r>
            <w:r>
              <w:rPr>
                <w:rFonts w:hint="eastAsia"/>
                <w:sz w:val="18"/>
                <w:szCs w:val="18"/>
                <w:lang w:val="en-US"/>
              </w:rPr>
              <w:t>3.5</w:t>
            </w:r>
            <w:r>
              <w:rPr>
                <w:rFonts w:hint="eastAsia"/>
                <w:sz w:val="18"/>
                <w:szCs w:val="18"/>
              </w:rPr>
              <w:t>。</w:t>
            </w:r>
          </w:p>
          <w:p>
            <w:pPr>
              <w:rPr>
                <w:sz w:val="18"/>
                <w:szCs w:val="18"/>
                <w:lang w:val="en-US"/>
              </w:rPr>
            </w:pPr>
            <w:r>
              <w:rPr>
                <w:rFonts w:hint="eastAsia"/>
                <w:sz w:val="18"/>
                <w:szCs w:val="18"/>
                <w:lang w:val="en-US"/>
              </w:rPr>
              <w:t>9、LED教室灯初始色温5000k±200k，正常连续燃点30000小时或以上时间满足偏差≤200K。</w:t>
            </w:r>
          </w:p>
          <w:p>
            <w:pPr>
              <w:rPr>
                <w:sz w:val="18"/>
                <w:szCs w:val="18"/>
              </w:rPr>
            </w:pPr>
            <w:r>
              <w:rPr>
                <w:rFonts w:hint="eastAsia"/>
                <w:sz w:val="18"/>
                <w:szCs w:val="18"/>
                <w:lang w:val="en-US"/>
              </w:rPr>
              <w:t>10</w:t>
            </w:r>
            <w:r>
              <w:rPr>
                <w:rFonts w:hint="eastAsia"/>
                <w:sz w:val="18"/>
                <w:szCs w:val="18"/>
              </w:rPr>
              <w:t>、LED教室灯正常连续燃点30000小时或以上时间光通维持率满足≥9</w:t>
            </w:r>
            <w:r>
              <w:rPr>
                <w:rFonts w:hint="eastAsia"/>
                <w:sz w:val="18"/>
                <w:szCs w:val="18"/>
                <w:lang w:val="en-US"/>
              </w:rPr>
              <w:t>0</w:t>
            </w:r>
            <w:r>
              <w:rPr>
                <w:rFonts w:hint="eastAsia"/>
                <w:sz w:val="18"/>
                <w:szCs w:val="18"/>
              </w:rPr>
              <w:t>%；</w:t>
            </w:r>
          </w:p>
          <w:p>
            <w:pPr>
              <w:rPr>
                <w:sz w:val="18"/>
                <w:szCs w:val="18"/>
              </w:rPr>
            </w:pPr>
            <w:r>
              <w:rPr>
                <w:rFonts w:hint="eastAsia"/>
                <w:sz w:val="18"/>
                <w:szCs w:val="18"/>
              </w:rPr>
              <w:t>1</w:t>
            </w:r>
            <w:r>
              <w:rPr>
                <w:rFonts w:hint="eastAsia"/>
                <w:sz w:val="18"/>
                <w:szCs w:val="18"/>
                <w:lang w:val="en-US"/>
              </w:rPr>
              <w:t>1</w:t>
            </w:r>
            <w:r>
              <w:rPr>
                <w:rFonts w:hint="eastAsia"/>
                <w:sz w:val="18"/>
                <w:szCs w:val="18"/>
              </w:rPr>
              <w:t xml:space="preserve">、LED教室灯光生物安全检测为无危险类。         </w:t>
            </w:r>
          </w:p>
          <w:p>
            <w:pPr>
              <w:rPr>
                <w:sz w:val="18"/>
                <w:szCs w:val="18"/>
              </w:rPr>
            </w:pPr>
            <w:r>
              <w:rPr>
                <w:rFonts w:hint="eastAsia"/>
                <w:sz w:val="18"/>
                <w:szCs w:val="18"/>
              </w:rPr>
              <w:t>1</w:t>
            </w:r>
            <w:r>
              <w:rPr>
                <w:rFonts w:hint="eastAsia"/>
                <w:sz w:val="18"/>
                <w:szCs w:val="18"/>
                <w:lang w:val="en-US"/>
              </w:rPr>
              <w:t>2</w:t>
            </w:r>
            <w:r>
              <w:rPr>
                <w:rFonts w:hint="eastAsia"/>
                <w:sz w:val="18"/>
                <w:szCs w:val="18"/>
              </w:rPr>
              <w:t xml:space="preserve">、LED教室灯闪烁质量特征认证结果为无显著影响或无频闪危害或无危害频闪。                                                  </w:t>
            </w:r>
          </w:p>
          <w:p>
            <w:pPr>
              <w:rPr>
                <w:sz w:val="18"/>
                <w:szCs w:val="18"/>
              </w:rPr>
            </w:pPr>
            <w:r>
              <w:rPr>
                <w:rFonts w:hint="eastAsia"/>
                <w:sz w:val="18"/>
                <w:szCs w:val="18"/>
              </w:rPr>
              <w:t>1</w:t>
            </w:r>
            <w:r>
              <w:rPr>
                <w:rFonts w:hint="eastAsia"/>
                <w:sz w:val="18"/>
                <w:szCs w:val="18"/>
                <w:lang w:val="en-US"/>
              </w:rPr>
              <w:t>3</w:t>
            </w:r>
            <w:r>
              <w:rPr>
                <w:rFonts w:hint="eastAsia"/>
                <w:sz w:val="18"/>
                <w:szCs w:val="18"/>
              </w:rPr>
              <w:t>、LED教室灯蓝光等级RG0 或 0 类危险。</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lang w:val="en-US"/>
              </w:rPr>
              <w:t>15、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LED护眼面板灯工作240H，没有部件不能工作，灯具没有不安全、标记字迹清晰、无开裂、变形。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 教室灯在1m的范围内前后左右的噪音要求满足平均声压级≤1</w:t>
            </w:r>
            <w:r>
              <w:rPr>
                <w:rFonts w:hint="eastAsia"/>
                <w:sz w:val="18"/>
                <w:szCs w:val="18"/>
                <w:lang w:val="en-US"/>
              </w:rPr>
              <w:t>7</w:t>
            </w:r>
            <w:r>
              <w:rPr>
                <w:rFonts w:hint="eastAsia"/>
                <w:sz w:val="18"/>
                <w:szCs w:val="18"/>
              </w:rPr>
              <w:t>db。</w:t>
            </w:r>
          </w:p>
          <w:p>
            <w:pPr>
              <w:rPr>
                <w:sz w:val="18"/>
                <w:szCs w:val="18"/>
                <w:lang w:val="en-US"/>
              </w:rPr>
            </w:pPr>
            <w:r>
              <w:rPr>
                <w:rFonts w:hint="eastAsia"/>
                <w:sz w:val="18"/>
                <w:szCs w:val="18"/>
                <w:lang w:val="en-US"/>
              </w:rPr>
              <w:t>19、LED教室灯电器电子产品检测认证结果符合GB/T 26572-2011及 GB/T 26125-2011标准要求。</w:t>
            </w:r>
          </w:p>
          <w:p>
            <w:pPr>
              <w:rPr>
                <w:rFonts w:hint="eastAsia" w:eastAsia="宋体"/>
                <w:sz w:val="18"/>
                <w:szCs w:val="18"/>
                <w:lang w:val="en-US" w:eastAsia="zh-CN"/>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w:t>
            </w:r>
            <w:r>
              <w:rPr>
                <w:rFonts w:hint="eastAsia"/>
                <w:sz w:val="18"/>
                <w:szCs w:val="18"/>
                <w:lang w:val="en-US"/>
              </w:rPr>
              <w:t>21</w:t>
            </w:r>
            <w:r>
              <w:rPr>
                <w:rFonts w:hint="eastAsia"/>
                <w:sz w:val="18"/>
                <w:szCs w:val="18"/>
              </w:rPr>
              <w:t>、LED教室灯整灯通过国家强制性CCC认证，提供有效期内CCC认证证书扫描件，提供全国认证认可信息公共服务平台证书状态为“有效”查询证明复印件。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教室灯通过光环境认证，符合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（4-</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2483</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482" w:type="dxa"/>
            <w:vAlign w:val="center"/>
          </w:tcPr>
          <w:p>
            <w:pPr>
              <w:ind w:firstLine="180" w:firstLineChars="100"/>
              <w:rPr>
                <w:sz w:val="18"/>
                <w:szCs w:val="18"/>
                <w:lang w:val="en-US"/>
              </w:rPr>
            </w:pPr>
            <w:r>
              <w:rPr>
                <w:rFonts w:hint="eastAsia"/>
                <w:sz w:val="18"/>
                <w:szCs w:val="18"/>
                <w:lang w:val="en-US"/>
              </w:rPr>
              <w:t>2</w:t>
            </w:r>
          </w:p>
        </w:tc>
        <w:tc>
          <w:tcPr>
            <w:tcW w:w="1125" w:type="dxa"/>
            <w:vAlign w:val="center"/>
          </w:tcPr>
          <w:p>
            <w:pPr>
              <w:ind w:firstLine="180" w:firstLineChars="100"/>
              <w:rPr>
                <w:sz w:val="18"/>
                <w:szCs w:val="18"/>
                <w:lang w:val="en-US"/>
              </w:rPr>
            </w:pPr>
            <w:r>
              <w:rPr>
                <w:rFonts w:hint="eastAsia"/>
                <w:sz w:val="18"/>
                <w:szCs w:val="18"/>
                <w:lang w:val="en-US"/>
              </w:rPr>
              <w:t>LED黑板灯</w:t>
            </w:r>
          </w:p>
        </w:tc>
        <w:tc>
          <w:tcPr>
            <w:tcW w:w="3872" w:type="dxa"/>
            <w:vAlign w:val="center"/>
          </w:tcPr>
          <w:p>
            <w:pPr>
              <w:rPr>
                <w:sz w:val="18"/>
                <w:szCs w:val="18"/>
              </w:rPr>
            </w:pPr>
            <w:r>
              <w:rPr>
                <w:rFonts w:hint="eastAsia"/>
                <w:sz w:val="18"/>
                <w:szCs w:val="18"/>
                <w:lang w:val="en-US"/>
              </w:rPr>
              <w:t>1、</w:t>
            </w:r>
            <w:r>
              <w:rPr>
                <w:rFonts w:hint="eastAsia"/>
                <w:sz w:val="18"/>
                <w:szCs w:val="18"/>
              </w:rPr>
              <w:t>LED黑板灯须为一体式LED灯具。</w:t>
            </w:r>
          </w:p>
          <w:p>
            <w:pPr>
              <w:rPr>
                <w:sz w:val="18"/>
                <w:szCs w:val="18"/>
              </w:rPr>
            </w:pPr>
            <w:r>
              <w:rPr>
                <w:rFonts w:hint="eastAsia"/>
                <w:sz w:val="18"/>
                <w:szCs w:val="18"/>
                <w:lang w:val="en-US"/>
              </w:rPr>
              <w:t>2、</w:t>
            </w:r>
            <w:r>
              <w:rPr>
                <w:rFonts w:hint="eastAsia"/>
                <w:sz w:val="18"/>
                <w:szCs w:val="18"/>
              </w:rPr>
              <w:t xml:space="preserve">灯具固定支架采用金属喷涂银色处理，确保支架强度，支架可以在灯体长边方向自由滑动；灯具依靠支架可旋转，支架带有一体冲压成型的刻度； </w:t>
            </w:r>
            <w:r>
              <w:rPr>
                <w:sz w:val="18"/>
                <w:szCs w:val="18"/>
              </w:rPr>
              <w:t xml:space="preserve"> </w:t>
            </w:r>
          </w:p>
          <w:p>
            <w:pPr>
              <w:rPr>
                <w:sz w:val="18"/>
                <w:szCs w:val="18"/>
              </w:rPr>
            </w:pPr>
            <w:r>
              <w:rPr>
                <w:rFonts w:hint="eastAsia" w:ascii="Times New Roman" w:hAnsi="Times New Roman" w:cs="Times New Roman"/>
                <w:sz w:val="18"/>
                <w:szCs w:val="18"/>
                <w:lang w:val="en-US"/>
              </w:rPr>
              <w:t>3</w:t>
            </w:r>
            <w:r>
              <w:rPr>
                <w:rFonts w:hint="eastAsia"/>
                <w:sz w:val="18"/>
                <w:szCs w:val="18"/>
                <w:lang w:val="en-US"/>
              </w:rPr>
              <w:t>、</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rPr>
            </w:pPr>
            <w:r>
              <w:rPr>
                <w:rFonts w:hint="eastAsia"/>
                <w:sz w:val="18"/>
                <w:szCs w:val="18"/>
                <w:lang w:val="en-US"/>
              </w:rPr>
              <w:t>4</w:t>
            </w:r>
            <w:r>
              <w:rPr>
                <w:rFonts w:hint="eastAsia"/>
                <w:sz w:val="18"/>
                <w:szCs w:val="18"/>
              </w:rPr>
              <w:t>、LED黑板灯初始功率在36w±3w，正常连续燃点30000小时或以上时间满足额定功率36w±3w。</w:t>
            </w:r>
          </w:p>
          <w:p>
            <w:pPr>
              <w:rPr>
                <w:sz w:val="18"/>
                <w:szCs w:val="18"/>
              </w:rPr>
            </w:pPr>
            <w:r>
              <w:rPr>
                <w:rFonts w:hint="eastAsia"/>
                <w:sz w:val="18"/>
                <w:szCs w:val="18"/>
                <w:lang w:val="en-US"/>
              </w:rPr>
              <w:t>5</w:t>
            </w:r>
            <w:r>
              <w:rPr>
                <w:rFonts w:hint="eastAsia"/>
                <w:sz w:val="18"/>
                <w:szCs w:val="18"/>
              </w:rPr>
              <w:t>、LED黑板灯灯初始光通量≥3</w:t>
            </w:r>
            <w:r>
              <w:rPr>
                <w:rFonts w:hint="eastAsia"/>
                <w:sz w:val="18"/>
                <w:szCs w:val="18"/>
                <w:lang w:val="en-US"/>
              </w:rPr>
              <w:t>2</w:t>
            </w:r>
            <w:r>
              <w:rPr>
                <w:rFonts w:hint="eastAsia"/>
                <w:sz w:val="18"/>
                <w:szCs w:val="18"/>
              </w:rPr>
              <w:t>00lm，正常连续燃点30000小时或以上时间满足≥3</w:t>
            </w:r>
            <w:r>
              <w:rPr>
                <w:rFonts w:hint="eastAsia"/>
                <w:sz w:val="18"/>
                <w:szCs w:val="18"/>
                <w:lang w:val="en-US"/>
              </w:rPr>
              <w:t>2</w:t>
            </w:r>
            <w:r>
              <w:rPr>
                <w:rFonts w:hint="eastAsia"/>
                <w:sz w:val="18"/>
                <w:szCs w:val="18"/>
              </w:rPr>
              <w:t>00Lm。</w:t>
            </w:r>
          </w:p>
          <w:p>
            <w:pPr>
              <w:rPr>
                <w:sz w:val="18"/>
                <w:szCs w:val="18"/>
              </w:rPr>
            </w:pPr>
            <w:r>
              <w:rPr>
                <w:rFonts w:hint="eastAsia"/>
                <w:sz w:val="18"/>
                <w:szCs w:val="18"/>
                <w:lang w:val="en-US"/>
              </w:rPr>
              <w:t>6</w:t>
            </w:r>
            <w:r>
              <w:rPr>
                <w:rFonts w:hint="eastAsia"/>
                <w:sz w:val="18"/>
                <w:szCs w:val="18"/>
              </w:rPr>
              <w:t>、LED黑板灯初始效能或光效≥9</w:t>
            </w:r>
            <w:r>
              <w:rPr>
                <w:rFonts w:hint="eastAsia"/>
                <w:sz w:val="18"/>
                <w:szCs w:val="18"/>
                <w:lang w:val="en-US"/>
              </w:rPr>
              <w:t>2</w:t>
            </w:r>
            <w:r>
              <w:rPr>
                <w:rFonts w:hint="eastAsia"/>
                <w:sz w:val="18"/>
                <w:szCs w:val="18"/>
              </w:rPr>
              <w:t>lm/W；正常连续燃点30000小时或以上时间满足≥9</w:t>
            </w:r>
            <w:r>
              <w:rPr>
                <w:rFonts w:hint="eastAsia"/>
                <w:sz w:val="18"/>
                <w:szCs w:val="18"/>
                <w:lang w:val="en-US"/>
              </w:rPr>
              <w:t>2</w:t>
            </w:r>
            <w:r>
              <w:rPr>
                <w:rFonts w:hint="eastAsia"/>
                <w:sz w:val="18"/>
                <w:szCs w:val="18"/>
              </w:rPr>
              <w:t>lm/W。</w:t>
            </w:r>
          </w:p>
          <w:p>
            <w:pPr>
              <w:rPr>
                <w:sz w:val="18"/>
                <w:szCs w:val="18"/>
              </w:rPr>
            </w:pPr>
            <w:r>
              <w:rPr>
                <w:rFonts w:hint="eastAsia"/>
                <w:sz w:val="18"/>
                <w:szCs w:val="18"/>
                <w:lang w:val="en-US"/>
              </w:rPr>
              <w:t>7</w:t>
            </w:r>
            <w:r>
              <w:rPr>
                <w:rFonts w:hint="eastAsia"/>
                <w:sz w:val="18"/>
                <w:szCs w:val="18"/>
              </w:rPr>
              <w:t>、LED黑板灯初始功率因数≥0.9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、LED黑板灯初始色容差（SDCM）≤3，正常持续燃点30000小时或以上时间后色容差（SDCM）≤3.5。</w:t>
            </w:r>
          </w:p>
          <w:p>
            <w:pPr>
              <w:rPr>
                <w:sz w:val="18"/>
                <w:szCs w:val="18"/>
              </w:rPr>
            </w:pPr>
            <w:r>
              <w:rPr>
                <w:rFonts w:hint="eastAsia"/>
                <w:sz w:val="18"/>
                <w:szCs w:val="18"/>
                <w:lang w:val="en-US"/>
              </w:rPr>
              <w:t>9</w:t>
            </w:r>
            <w:r>
              <w:rPr>
                <w:rFonts w:hint="eastAsia"/>
                <w:sz w:val="18"/>
                <w:szCs w:val="18"/>
              </w:rPr>
              <w:t xml:space="preserve">、LED黑板初始色温5000k±200k，正常连续燃点30000小时或以上时间满足偏差≤200K。 </w:t>
            </w:r>
          </w:p>
          <w:p>
            <w:pPr>
              <w:rPr>
                <w:sz w:val="18"/>
                <w:szCs w:val="18"/>
              </w:rPr>
            </w:pPr>
            <w:r>
              <w:rPr>
                <w:rFonts w:hint="eastAsia"/>
                <w:sz w:val="18"/>
                <w:szCs w:val="18"/>
              </w:rPr>
              <w:t>1</w:t>
            </w:r>
            <w:r>
              <w:rPr>
                <w:rFonts w:hint="eastAsia"/>
                <w:sz w:val="18"/>
                <w:szCs w:val="18"/>
                <w:lang w:val="en-US"/>
              </w:rPr>
              <w:t>0</w:t>
            </w:r>
            <w:r>
              <w:rPr>
                <w:rFonts w:hint="eastAsia"/>
                <w:sz w:val="18"/>
                <w:szCs w:val="18"/>
              </w:rPr>
              <w:t>、LED黑板灯正常连续燃点30000小时或以上时间光通维持率满足≥9</w:t>
            </w:r>
            <w:r>
              <w:rPr>
                <w:rFonts w:hint="eastAsia"/>
                <w:sz w:val="18"/>
                <w:szCs w:val="18"/>
                <w:lang w:val="en-US"/>
              </w:rPr>
              <w:t>0</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1</w:t>
            </w:r>
            <w:r>
              <w:rPr>
                <w:rFonts w:hint="eastAsia"/>
                <w:sz w:val="18"/>
                <w:szCs w:val="18"/>
              </w:rPr>
              <w:t>、LED黑板灯蓝光等级RG0 或 0 类危险。</w:t>
            </w:r>
          </w:p>
          <w:p>
            <w:pPr>
              <w:rPr>
                <w:sz w:val="18"/>
                <w:szCs w:val="18"/>
              </w:rPr>
            </w:pPr>
            <w:r>
              <w:rPr>
                <w:rFonts w:hint="eastAsia"/>
                <w:sz w:val="18"/>
                <w:szCs w:val="18"/>
              </w:rPr>
              <w:t>1</w:t>
            </w:r>
            <w:r>
              <w:rPr>
                <w:rFonts w:hint="eastAsia"/>
                <w:sz w:val="18"/>
                <w:szCs w:val="18"/>
                <w:lang w:val="en-US"/>
              </w:rPr>
              <w:t>2</w:t>
            </w:r>
            <w:r>
              <w:rPr>
                <w:rFonts w:hint="eastAsia"/>
                <w:sz w:val="18"/>
                <w:szCs w:val="18"/>
              </w:rPr>
              <w:t>、LED黑板灯光生物安全检测为无危险类。</w:t>
            </w:r>
          </w:p>
          <w:p>
            <w:pPr>
              <w:rPr>
                <w:sz w:val="18"/>
                <w:szCs w:val="18"/>
              </w:rPr>
            </w:pPr>
            <w:r>
              <w:rPr>
                <w:rFonts w:hint="eastAsia"/>
                <w:sz w:val="18"/>
                <w:szCs w:val="18"/>
              </w:rPr>
              <w:t>1</w:t>
            </w:r>
            <w:r>
              <w:rPr>
                <w:rFonts w:hint="eastAsia"/>
                <w:sz w:val="18"/>
                <w:szCs w:val="18"/>
                <w:lang w:val="en-US"/>
              </w:rPr>
              <w:t>3</w:t>
            </w:r>
            <w:r>
              <w:rPr>
                <w:rFonts w:hint="eastAsia"/>
                <w:sz w:val="18"/>
                <w:szCs w:val="18"/>
              </w:rPr>
              <w:t>、LED黑板灯闪烁质量特征认证结果为无显著影响或无频闪危害或无危害频闪。</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、LED黑板灯工作240H，没有部件不能工作，灯具没有不安全、标记字迹清晰、无开裂、变形。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、LED黑板灯在1m的范围内前后左右的噪音要求满足平均声压级≤1</w:t>
            </w:r>
            <w:r>
              <w:rPr>
                <w:sz w:val="18"/>
                <w:szCs w:val="18"/>
              </w:rPr>
              <w:t>7</w:t>
            </w:r>
            <w:r>
              <w:rPr>
                <w:rFonts w:hint="eastAsia"/>
                <w:sz w:val="18"/>
                <w:szCs w:val="18"/>
              </w:rPr>
              <w:t>db。</w:t>
            </w:r>
            <w:r>
              <w:rPr>
                <w:rFonts w:hint="eastAsia"/>
                <w:sz w:val="18"/>
                <w:szCs w:val="18"/>
              </w:rPr>
              <w:br w:type="textWrapping"/>
            </w:r>
            <w:r>
              <w:rPr>
                <w:rFonts w:hint="eastAsia"/>
                <w:sz w:val="18"/>
                <w:szCs w:val="18"/>
                <w:lang w:val="en-US"/>
              </w:rPr>
              <w:t>19、</w:t>
            </w:r>
            <w:r>
              <w:rPr>
                <w:rFonts w:hint="eastAsia"/>
                <w:sz w:val="18"/>
                <w:szCs w:val="18"/>
              </w:rPr>
              <w:t>LED黑板灯电器电子产品检测认证结果符合GB/T 26572-2011及 GB/T 26125-2011标准要求。</w:t>
            </w:r>
          </w:p>
          <w:p>
            <w:pPr>
              <w:widowControl/>
              <w:rPr>
                <w:sz w:val="18"/>
                <w:szCs w:val="18"/>
                <w:lang w:val="en-US"/>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★2</w:t>
            </w:r>
            <w:r>
              <w:rPr>
                <w:rFonts w:hint="eastAsia"/>
                <w:sz w:val="18"/>
                <w:szCs w:val="18"/>
                <w:lang w:val="en-US"/>
              </w:rPr>
              <w:t>1</w:t>
            </w:r>
            <w:r>
              <w:rPr>
                <w:rFonts w:hint="eastAsia"/>
                <w:sz w:val="18"/>
                <w:szCs w:val="18"/>
              </w:rPr>
              <w:t>、LED黑板灯整灯通过国家强制性CCC认证，提供有效期内CCC认证证书扫描件，提供全国认证认可信息公共服务平台证书状态为“有效”查询证明复印件。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黑板灯通过光环境认证，符合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w:t>
            </w:r>
            <w:r>
              <w:rPr>
                <w:rFonts w:hint="eastAsia"/>
                <w:sz w:val="18"/>
                <w:szCs w:val="18"/>
                <w:lang w:val="en-US"/>
              </w:rPr>
              <w:t>4</w:t>
            </w:r>
            <w:r>
              <w:rPr>
                <w:rFonts w:hint="eastAsia"/>
                <w:sz w:val="18"/>
                <w:szCs w:val="18"/>
              </w:rPr>
              <w:t>-</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381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sz w:val="18"/>
                <w:szCs w:val="18"/>
                <w:lang w:val="en-US"/>
              </w:rPr>
            </w:pPr>
            <w:r>
              <w:rPr>
                <w:rFonts w:hint="eastAsia"/>
                <w:sz w:val="18"/>
                <w:szCs w:val="18"/>
                <w:lang w:val="en-US"/>
              </w:rPr>
              <w:t xml:space="preserve">3 </w:t>
            </w:r>
          </w:p>
        </w:tc>
        <w:tc>
          <w:tcPr>
            <w:tcW w:w="1125" w:type="dxa"/>
            <w:vAlign w:val="center"/>
          </w:tcPr>
          <w:p>
            <w:pPr>
              <w:rPr>
                <w:sz w:val="18"/>
                <w:szCs w:val="18"/>
                <w:lang w:val="en-US"/>
              </w:rPr>
            </w:pPr>
            <w:r>
              <w:rPr>
                <w:rFonts w:hint="eastAsia"/>
                <w:sz w:val="18"/>
                <w:szCs w:val="18"/>
                <w:lang w:val="en-US"/>
              </w:rPr>
              <w:t>智能面板开关</w:t>
            </w:r>
          </w:p>
        </w:tc>
        <w:tc>
          <w:tcPr>
            <w:tcW w:w="3872" w:type="dxa"/>
            <w:vAlign w:val="center"/>
          </w:tcPr>
          <w:p>
            <w:pPr>
              <w:autoSpaceDE/>
              <w:autoSpaceDN/>
              <w:spacing w:line="200" w:lineRule="exact"/>
              <w:rPr>
                <w:sz w:val="18"/>
                <w:szCs w:val="18"/>
                <w:lang w:val="en-US"/>
              </w:rPr>
            </w:pPr>
            <w:r>
              <w:rPr>
                <w:rFonts w:hint="eastAsia"/>
                <w:sz w:val="18"/>
                <w:szCs w:val="18"/>
                <w:lang w:val="en-US"/>
              </w:rPr>
              <w:t xml:space="preserve">可实现情景模式的一键控制，如：上课模式、自习模式、投影模式、休息模式等 </w:t>
            </w:r>
            <w:r>
              <w:rPr>
                <w:rFonts w:hint="eastAsia"/>
                <w:sz w:val="18"/>
                <w:szCs w:val="18"/>
                <w:lang w:val="en-US"/>
              </w:rPr>
              <w:br w:type="textWrapping"/>
            </w:r>
            <w:r>
              <w:rPr>
                <w:rFonts w:hint="eastAsia"/>
                <w:sz w:val="18"/>
                <w:szCs w:val="18"/>
                <w:lang w:val="en-US"/>
              </w:rPr>
              <w:t>输入宽电压:85-265VAC;</w:t>
            </w:r>
            <w:r>
              <w:rPr>
                <w:sz w:val="18"/>
                <w:szCs w:val="18"/>
                <w:lang w:val="en-US"/>
              </w:rPr>
              <w:t xml:space="preserve"> </w:t>
            </w:r>
            <w:r>
              <w:rPr>
                <w:rFonts w:hint="eastAsia"/>
                <w:sz w:val="18"/>
                <w:szCs w:val="18"/>
                <w:lang w:val="en-US"/>
              </w:rPr>
              <w:t>通迅方式:蓝牙Mesh/ZigBee/</w:t>
            </w:r>
            <w:r>
              <w:rPr>
                <w:sz w:val="18"/>
                <w:szCs w:val="18"/>
                <w:lang w:val="en-US"/>
              </w:rPr>
              <w:t>无线 Wi-Fi</w:t>
            </w:r>
          </w:p>
          <w:p>
            <w:pPr>
              <w:autoSpaceDE/>
              <w:autoSpaceDN/>
              <w:spacing w:line="200" w:lineRule="exact"/>
              <w:rPr>
                <w:sz w:val="18"/>
                <w:szCs w:val="18"/>
                <w:lang w:val="en-US"/>
              </w:rPr>
            </w:pPr>
            <w:r>
              <w:rPr>
                <w:rFonts w:hint="eastAsia"/>
                <w:sz w:val="18"/>
                <w:szCs w:val="18"/>
                <w:lang w:val="en-US"/>
              </w:rPr>
              <w:t>功能:</w:t>
            </w:r>
          </w:p>
          <w:p>
            <w:pPr>
              <w:autoSpaceDE/>
              <w:autoSpaceDN/>
              <w:spacing w:line="200" w:lineRule="exact"/>
              <w:rPr>
                <w:sz w:val="18"/>
                <w:szCs w:val="18"/>
                <w:lang w:val="en-US"/>
              </w:rPr>
            </w:pPr>
            <w:r>
              <w:rPr>
                <w:rFonts w:hint="eastAsia"/>
                <w:sz w:val="18"/>
                <w:szCs w:val="18"/>
                <w:lang w:val="en-US"/>
              </w:rPr>
              <w:t>1.单击开/关灯；</w:t>
            </w:r>
          </w:p>
          <w:p>
            <w:pPr>
              <w:autoSpaceDE/>
              <w:autoSpaceDN/>
              <w:spacing w:line="200" w:lineRule="exact"/>
              <w:rPr>
                <w:sz w:val="18"/>
                <w:szCs w:val="18"/>
                <w:lang w:val="en-US"/>
              </w:rPr>
            </w:pPr>
            <w:r>
              <w:rPr>
                <w:rFonts w:hint="eastAsia"/>
                <w:sz w:val="18"/>
                <w:szCs w:val="18"/>
                <w:lang w:val="en-US"/>
              </w:rPr>
              <w:t>2.可设置场景,可设置≥三个场景;</w:t>
            </w:r>
          </w:p>
          <w:p>
            <w:pPr>
              <w:autoSpaceDE/>
              <w:autoSpaceDN/>
              <w:spacing w:line="200" w:lineRule="exact"/>
              <w:rPr>
                <w:lang w:val="en-US"/>
              </w:rPr>
            </w:pPr>
            <w:r>
              <w:rPr>
                <w:rFonts w:hint="eastAsia"/>
                <w:sz w:val="18"/>
                <w:szCs w:val="18"/>
                <w:lang w:val="en-US"/>
              </w:rPr>
              <w:t xml:space="preserve">3.通信距离：≥25m。 </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ind w:firstLine="180" w:firstLineChars="100"/>
              <w:rPr>
                <w:sz w:val="18"/>
                <w:szCs w:val="18"/>
                <w:lang w:val="en-US"/>
              </w:rPr>
            </w:pPr>
            <w:r>
              <w:rPr>
                <w:rFonts w:hint="eastAsia"/>
                <w:sz w:val="18"/>
                <w:szCs w:val="18"/>
                <w:lang w:val="en-US"/>
              </w:rPr>
              <w:t>101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color w:val="FF0000"/>
                <w:sz w:val="18"/>
                <w:szCs w:val="18"/>
                <w:lang w:val="en-US"/>
              </w:rPr>
            </w:pPr>
            <w:r>
              <w:rPr>
                <w:rFonts w:hint="eastAsia"/>
                <w:sz w:val="18"/>
                <w:szCs w:val="18"/>
                <w:lang w:val="en-US"/>
              </w:rPr>
              <w:t>4</w:t>
            </w:r>
          </w:p>
        </w:tc>
        <w:tc>
          <w:tcPr>
            <w:tcW w:w="1125" w:type="dxa"/>
            <w:vAlign w:val="center"/>
          </w:tcPr>
          <w:p>
            <w:pPr>
              <w:rPr>
                <w:sz w:val="18"/>
                <w:szCs w:val="18"/>
                <w:lang w:val="en-US"/>
              </w:rPr>
            </w:pPr>
            <w:r>
              <w:rPr>
                <w:rFonts w:hint="eastAsia"/>
                <w:sz w:val="18"/>
                <w:szCs w:val="18"/>
                <w:lang w:val="en-US"/>
              </w:rPr>
              <w:t>手机APP控制</w:t>
            </w:r>
          </w:p>
        </w:tc>
        <w:tc>
          <w:tcPr>
            <w:tcW w:w="3872" w:type="dxa"/>
            <w:vAlign w:val="center"/>
          </w:tcPr>
          <w:p>
            <w:pPr>
              <w:autoSpaceDE/>
              <w:autoSpaceDN/>
              <w:spacing w:line="200" w:lineRule="exact"/>
              <w:rPr>
                <w:sz w:val="18"/>
                <w:szCs w:val="18"/>
                <w:lang w:val="en-US"/>
              </w:rPr>
            </w:pPr>
            <w:r>
              <w:rPr>
                <w:rFonts w:hint="eastAsia"/>
                <w:sz w:val="18"/>
                <w:szCs w:val="18"/>
                <w:lang w:val="en-US"/>
              </w:rPr>
              <w:t>通过手机APP控制， 可实现一键切换场景模式≥三个场景</w:t>
            </w:r>
          </w:p>
        </w:tc>
        <w:tc>
          <w:tcPr>
            <w:tcW w:w="534" w:type="dxa"/>
            <w:vAlign w:val="center"/>
          </w:tcPr>
          <w:p>
            <w:pPr>
              <w:rPr>
                <w:sz w:val="18"/>
                <w:szCs w:val="18"/>
                <w:lang w:val="en-US"/>
              </w:rPr>
            </w:pPr>
          </w:p>
        </w:tc>
        <w:tc>
          <w:tcPr>
            <w:tcW w:w="609" w:type="dxa"/>
            <w:vAlign w:val="center"/>
          </w:tcPr>
          <w:p>
            <w:pPr>
              <w:rPr>
                <w:sz w:val="18"/>
                <w:szCs w:val="18"/>
                <w:lang w:val="en-US"/>
              </w:rPr>
            </w:pP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3" w:hRule="atLeast"/>
          <w:jc w:val="center"/>
        </w:trPr>
        <w:tc>
          <w:tcPr>
            <w:tcW w:w="482" w:type="dxa"/>
            <w:vAlign w:val="center"/>
          </w:tcPr>
          <w:p>
            <w:pPr>
              <w:ind w:firstLine="180" w:firstLineChars="100"/>
              <w:jc w:val="both"/>
              <w:rPr>
                <w:sz w:val="18"/>
                <w:szCs w:val="18"/>
                <w:lang w:val="en-US"/>
              </w:rPr>
            </w:pPr>
            <w:r>
              <w:rPr>
                <w:rFonts w:hint="eastAsia"/>
                <w:sz w:val="18"/>
                <w:szCs w:val="18"/>
                <w:lang w:val="en-US"/>
              </w:rPr>
              <w:t>5</w:t>
            </w:r>
          </w:p>
        </w:tc>
        <w:tc>
          <w:tcPr>
            <w:tcW w:w="1125" w:type="dxa"/>
            <w:vAlign w:val="center"/>
          </w:tcPr>
          <w:p>
            <w:pPr>
              <w:rPr>
                <w:sz w:val="18"/>
                <w:szCs w:val="18"/>
                <w:lang w:val="en-US"/>
              </w:rPr>
            </w:pPr>
            <w:r>
              <w:rPr>
                <w:rFonts w:hint="eastAsia"/>
                <w:sz w:val="18"/>
                <w:szCs w:val="18"/>
                <w:lang w:val="en-US"/>
              </w:rPr>
              <w:t>拆除及垃圾清理费</w:t>
            </w:r>
          </w:p>
        </w:tc>
        <w:tc>
          <w:tcPr>
            <w:tcW w:w="3872" w:type="dxa"/>
            <w:vAlign w:val="center"/>
          </w:tcPr>
          <w:p>
            <w:pPr>
              <w:rPr>
                <w:sz w:val="18"/>
                <w:szCs w:val="18"/>
                <w:lang w:val="en-US"/>
              </w:rPr>
            </w:pPr>
          </w:p>
        </w:tc>
        <w:tc>
          <w:tcPr>
            <w:tcW w:w="534" w:type="dxa"/>
            <w:vAlign w:val="center"/>
          </w:tcPr>
          <w:p>
            <w:pPr>
              <w:ind w:firstLine="180" w:firstLineChars="100"/>
              <w:rPr>
                <w:sz w:val="18"/>
                <w:szCs w:val="18"/>
                <w:lang w:val="en-US"/>
              </w:rPr>
            </w:pPr>
            <w:r>
              <w:rPr>
                <w:rFonts w:hint="eastAsia"/>
                <w:sz w:val="18"/>
                <w:szCs w:val="18"/>
                <w:lang w:val="en-US"/>
              </w:rPr>
              <w:t xml:space="preserve">项 </w:t>
            </w:r>
          </w:p>
        </w:tc>
        <w:tc>
          <w:tcPr>
            <w:tcW w:w="609" w:type="dxa"/>
            <w:vAlign w:val="center"/>
          </w:tcPr>
          <w:p>
            <w:pPr>
              <w:ind w:firstLine="180" w:firstLineChars="100"/>
              <w:rPr>
                <w:sz w:val="18"/>
                <w:szCs w:val="18"/>
                <w:lang w:val="en-US"/>
              </w:rPr>
            </w:pPr>
            <w:r>
              <w:rPr>
                <w:rFonts w:hint="eastAsia"/>
                <w:sz w:val="18"/>
                <w:szCs w:val="18"/>
                <w:lang w:val="en-US"/>
              </w:rPr>
              <w:t>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bl>
    <w:p>
      <w:pPr>
        <w:pStyle w:val="2"/>
        <w:spacing w:before="11"/>
        <w:rPr>
          <w:sz w:val="3"/>
        </w:rPr>
      </w:pPr>
    </w:p>
    <w:p>
      <w:pPr>
        <w:pStyle w:val="2"/>
        <w:spacing w:line="20" w:lineRule="exact"/>
        <w:ind w:left="300"/>
        <w:rPr>
          <w:sz w:val="2"/>
        </w:rPr>
      </w:pPr>
    </w:p>
    <w:p>
      <w:pPr>
        <w:numPr>
          <w:ilvl w:val="0"/>
          <w:numId w:val="2"/>
        </w:numPr>
        <w:rPr>
          <w:lang w:val="en-US"/>
        </w:rPr>
      </w:pPr>
      <w:r>
        <w:rPr>
          <w:rFonts w:hint="eastAsia"/>
          <w:lang w:val="en-US"/>
        </w:rPr>
        <w:t>验收标准：设备安装调试完成后，由采购人将委托具有相关资质的第三方检测机构，按照《中小学校教室</w:t>
      </w:r>
    </w:p>
    <w:p>
      <w:pPr>
        <w:rPr>
          <w:lang w:val="en-US"/>
        </w:rPr>
      </w:pPr>
      <w:r>
        <w:rPr>
          <w:rFonts w:hint="eastAsia"/>
          <w:lang w:val="en-US"/>
        </w:rPr>
        <w:t>采光和照明卫生标准》（GB7793-2010）、《中小学校普通教 室照明设计安装卫生要求》（GB/T 36876-2018）</w:t>
      </w:r>
    </w:p>
    <w:p>
      <w:pPr>
        <w:rPr>
          <w:lang w:val="en-US"/>
        </w:rPr>
      </w:pPr>
      <w:r>
        <w:rPr>
          <w:rFonts w:hint="eastAsia"/>
          <w:lang w:val="en-US"/>
        </w:rPr>
        <w:t>及《中小学校及幼儿园教室照明产品节能认证技术规范》 (CQC3155-2016)的相关要求进行检测，并出具合格的</w:t>
      </w:r>
    </w:p>
    <w:p>
      <w:pPr>
        <w:rPr>
          <w:lang w:val="en-US"/>
        </w:rPr>
      </w:pPr>
      <w:r>
        <w:rPr>
          <w:rFonts w:hint="eastAsia"/>
          <w:lang w:val="en-US"/>
        </w:rPr>
        <w:t>检测报告，检测所产生的费用由中标人负责。以合格的检测报告作为验收通过主要依据。</w:t>
      </w:r>
    </w:p>
    <w:p>
      <w:pPr>
        <w:numPr>
          <w:ilvl w:val="0"/>
          <w:numId w:val="2"/>
        </w:numPr>
        <w:rPr>
          <w:sz w:val="21"/>
          <w:szCs w:val="21"/>
          <w:lang w:val="en-US"/>
        </w:rPr>
      </w:pPr>
      <w:r>
        <w:rPr>
          <w:rFonts w:hint="eastAsia"/>
          <w:sz w:val="21"/>
          <w:szCs w:val="21"/>
          <w:lang w:val="en-US"/>
        </w:rPr>
        <w:t>其他要求：</w:t>
      </w:r>
    </w:p>
    <w:p>
      <w:pPr>
        <w:numPr>
          <w:ilvl w:val="0"/>
          <w:numId w:val="3"/>
        </w:numPr>
        <w:rPr>
          <w:sz w:val="21"/>
          <w:szCs w:val="21"/>
        </w:rPr>
      </w:pPr>
      <w:r>
        <w:rPr>
          <w:sz w:val="21"/>
          <w:szCs w:val="21"/>
        </w:rPr>
        <w:t>投标供应商必须根据所投产品的技术参数、资质资料如实编写响应文件。在成交结果 公示期间或成交后，采购</w:t>
      </w:r>
    </w:p>
    <w:p>
      <w:pPr>
        <w:rPr>
          <w:sz w:val="21"/>
          <w:szCs w:val="21"/>
        </w:rPr>
      </w:pPr>
      <w:r>
        <w:rPr>
          <w:sz w:val="21"/>
          <w:szCs w:val="21"/>
        </w:rPr>
        <w:t>人有权对成交候选人或成交供应商所投货物的技术指标、证书资料等进行核查，如发现与其响应文件中的描述不一，</w:t>
      </w:r>
    </w:p>
    <w:p>
      <w:pPr>
        <w:rPr>
          <w:sz w:val="21"/>
          <w:szCs w:val="21"/>
        </w:rPr>
      </w:pPr>
      <w:r>
        <w:rPr>
          <w:sz w:val="21"/>
          <w:szCs w:val="21"/>
        </w:rPr>
        <w:t>采购人有权要求其限期改正或取消其中标资格，没收</w:t>
      </w:r>
      <w:r>
        <w:rPr>
          <w:rFonts w:hint="eastAsia"/>
          <w:sz w:val="21"/>
          <w:szCs w:val="21"/>
          <w:lang w:val="en-US"/>
        </w:rPr>
        <w:t>投标</w:t>
      </w:r>
      <w:r>
        <w:rPr>
          <w:sz w:val="21"/>
          <w:szCs w:val="21"/>
        </w:rPr>
        <w:t xml:space="preserve">保证金，并报政府采购主管部门严肃处理。 </w:t>
      </w:r>
    </w:p>
    <w:p>
      <w:pPr>
        <w:numPr>
          <w:ilvl w:val="0"/>
          <w:numId w:val="3"/>
        </w:numPr>
        <w:rPr>
          <w:sz w:val="21"/>
          <w:szCs w:val="21"/>
        </w:rPr>
      </w:pPr>
      <w:r>
        <w:rPr>
          <w:sz w:val="21"/>
          <w:szCs w:val="21"/>
        </w:rPr>
        <w:t>投标供应商不能低于成本价恶意报价。如成交供应商在项目实施过程中货物及服务质 量经检测不符合要求，</w:t>
      </w:r>
    </w:p>
    <w:p>
      <w:pPr>
        <w:rPr>
          <w:sz w:val="21"/>
          <w:szCs w:val="21"/>
        </w:rPr>
      </w:pPr>
      <w:r>
        <w:rPr>
          <w:sz w:val="21"/>
          <w:szCs w:val="21"/>
        </w:rPr>
        <w:t xml:space="preserve">则采购人有权终止合同，没收履约保证金，并报主管部门严肃处理。 </w:t>
      </w:r>
    </w:p>
    <w:p>
      <w:pPr>
        <w:numPr>
          <w:ilvl w:val="0"/>
          <w:numId w:val="3"/>
        </w:numPr>
        <w:rPr>
          <w:sz w:val="21"/>
          <w:szCs w:val="21"/>
        </w:rPr>
      </w:pPr>
      <w:r>
        <w:rPr>
          <w:sz w:val="21"/>
          <w:szCs w:val="21"/>
        </w:rPr>
        <w:t>本采购需求书中提供的技术指标如有涉及到品牌或型号，是采购人根据项目所要实现 的功能根据市场情况列</w:t>
      </w:r>
    </w:p>
    <w:p>
      <w:pPr>
        <w:rPr>
          <w:sz w:val="21"/>
          <w:szCs w:val="21"/>
        </w:rPr>
      </w:pPr>
      <w:r>
        <w:rPr>
          <w:sz w:val="21"/>
          <w:szCs w:val="21"/>
        </w:rPr>
        <w:t>出的作为参考的品牌或型号，并不是绝对的强制条件</w:t>
      </w:r>
      <w:r>
        <w:rPr>
          <w:rFonts w:hint="eastAsia"/>
          <w:sz w:val="21"/>
          <w:szCs w:val="21"/>
          <w:lang w:eastAsia="zh-CN"/>
        </w:rPr>
        <w:t>，本项目不指定任何品牌型号</w:t>
      </w:r>
      <w:r>
        <w:rPr>
          <w:sz w:val="21"/>
          <w:szCs w:val="21"/>
        </w:rPr>
        <w:t xml:space="preserve">。 </w:t>
      </w:r>
    </w:p>
    <w:p>
      <w:pPr>
        <w:numPr>
          <w:ilvl w:val="0"/>
          <w:numId w:val="3"/>
        </w:numPr>
      </w:pPr>
      <w:r>
        <w:rPr>
          <w:sz w:val="21"/>
          <w:szCs w:val="21"/>
        </w:rPr>
        <w:t>投标供应商提供的设备及在安装过程中必须符合中华人民共和国关于质量、安全、环保节能等方面的强制要求。</w:t>
      </w:r>
    </w:p>
    <w:p>
      <w:pPr>
        <w:numPr>
          <w:ilvl w:val="0"/>
          <w:numId w:val="3"/>
        </w:numPr>
        <w:rPr>
          <w:sz w:val="21"/>
          <w:szCs w:val="21"/>
        </w:rPr>
      </w:pPr>
      <w:r>
        <w:rPr>
          <w:sz w:val="21"/>
          <w:szCs w:val="21"/>
        </w:rPr>
        <w:t>主要采购设备清单中相关设备没有列明技术指标参数的，投标供应商所投的这部分设备应确保满足整个设备的</w:t>
      </w:r>
    </w:p>
    <w:p>
      <w:pPr>
        <w:rPr>
          <w:sz w:val="21"/>
          <w:szCs w:val="21"/>
        </w:rPr>
      </w:pPr>
      <w:r>
        <w:rPr>
          <w:sz w:val="21"/>
          <w:szCs w:val="21"/>
        </w:rPr>
        <w:t>正常安全的运行。否则，采购人可以要求退货换货，成交供应商拒不执行的，采购人可以有权取消其中标资格并终止</w:t>
      </w:r>
    </w:p>
    <w:p>
      <w:pPr>
        <w:rPr>
          <w:sz w:val="21"/>
          <w:szCs w:val="21"/>
        </w:rPr>
      </w:pPr>
      <w:r>
        <w:rPr>
          <w:sz w:val="21"/>
          <w:szCs w:val="21"/>
        </w:rPr>
        <w:t>合同，没收</w:t>
      </w:r>
      <w:r>
        <w:rPr>
          <w:rFonts w:hint="eastAsia"/>
          <w:sz w:val="21"/>
          <w:szCs w:val="21"/>
          <w:lang w:val="en-US"/>
        </w:rPr>
        <w:t>履约</w:t>
      </w:r>
      <w:r>
        <w:rPr>
          <w:sz w:val="21"/>
          <w:szCs w:val="21"/>
        </w:rPr>
        <w:t xml:space="preserve">保证金，并报政府采购主管部门严肃处理。 </w:t>
      </w:r>
    </w:p>
    <w:p>
      <w:pPr>
        <w:numPr>
          <w:ilvl w:val="0"/>
          <w:numId w:val="3"/>
        </w:numPr>
        <w:rPr>
          <w:sz w:val="21"/>
          <w:szCs w:val="21"/>
        </w:rPr>
      </w:pPr>
      <w:r>
        <w:rPr>
          <w:sz w:val="21"/>
          <w:szCs w:val="21"/>
        </w:rPr>
        <w:t>本采购需求书中提供的技术参数带★号项的属于强制性标准，投标供应商所投这部分 产品必须满足或优于强</w:t>
      </w:r>
    </w:p>
    <w:p>
      <w:pPr>
        <w:rPr>
          <w:sz w:val="21"/>
          <w:szCs w:val="21"/>
        </w:rPr>
      </w:pPr>
      <w:r>
        <w:rPr>
          <w:sz w:val="21"/>
          <w:szCs w:val="21"/>
        </w:rPr>
        <w:t>制性标准。带▲号项的只是</w:t>
      </w:r>
      <w:r>
        <w:rPr>
          <w:rFonts w:hint="eastAsia"/>
          <w:sz w:val="21"/>
          <w:szCs w:val="21"/>
          <w:lang w:val="en-US"/>
        </w:rPr>
        <w:t>扣</w:t>
      </w:r>
      <w:r>
        <w:rPr>
          <w:sz w:val="21"/>
          <w:szCs w:val="21"/>
        </w:rPr>
        <w:t>分项</w:t>
      </w:r>
      <w:r>
        <w:rPr>
          <w:rFonts w:hint="eastAsia"/>
          <w:sz w:val="21"/>
          <w:szCs w:val="21"/>
        </w:rPr>
        <w:t>（</w:t>
      </w:r>
      <w:r>
        <w:rPr>
          <w:rFonts w:hint="eastAsia"/>
          <w:sz w:val="21"/>
          <w:szCs w:val="21"/>
          <w:lang w:val="en-US"/>
        </w:rPr>
        <w:t>允许负偏离</w:t>
      </w:r>
      <w:r>
        <w:rPr>
          <w:rFonts w:hint="eastAsia"/>
          <w:sz w:val="21"/>
          <w:szCs w:val="21"/>
        </w:rPr>
        <w:t>）</w:t>
      </w:r>
      <w:r>
        <w:rPr>
          <w:sz w:val="21"/>
          <w:szCs w:val="21"/>
        </w:rPr>
        <w:t>，不是绝对的强制条件。其他技术参数是采购人根据项目所要实现的功能根据市</w:t>
      </w:r>
    </w:p>
    <w:p>
      <w:pPr>
        <w:rPr>
          <w:sz w:val="21"/>
          <w:szCs w:val="21"/>
        </w:rPr>
      </w:pPr>
      <w:r>
        <w:rPr>
          <w:sz w:val="21"/>
          <w:szCs w:val="21"/>
        </w:rPr>
        <w:t xml:space="preserve">场情况列出的作为投标参考的技术参数。 </w:t>
      </w:r>
    </w:p>
    <w:p>
      <w:pPr>
        <w:numPr>
          <w:ilvl w:val="0"/>
          <w:numId w:val="3"/>
        </w:numPr>
        <w:rPr>
          <w:sz w:val="21"/>
          <w:szCs w:val="21"/>
        </w:rPr>
      </w:pPr>
      <w:r>
        <w:rPr>
          <w:sz w:val="21"/>
          <w:szCs w:val="21"/>
        </w:rPr>
        <w:t>采购人有权要求对达不到质量需求的产品进行调整更换，成交供应商拒不执行的，采购人可以有权取消其中标</w:t>
      </w:r>
    </w:p>
    <w:p>
      <w:pPr>
        <w:rPr>
          <w:sz w:val="21"/>
          <w:szCs w:val="21"/>
        </w:rPr>
      </w:pPr>
      <w:r>
        <w:rPr>
          <w:sz w:val="21"/>
          <w:szCs w:val="21"/>
        </w:rPr>
        <w:t xml:space="preserve">资格并终止合同。 </w:t>
      </w:r>
    </w:p>
    <w:p>
      <w:pPr>
        <w:numPr>
          <w:ilvl w:val="0"/>
          <w:numId w:val="3"/>
        </w:numPr>
        <w:rPr>
          <w:sz w:val="21"/>
          <w:szCs w:val="21"/>
        </w:rPr>
      </w:pPr>
      <w:r>
        <w:rPr>
          <w:sz w:val="21"/>
          <w:szCs w:val="21"/>
        </w:rPr>
        <w:t>采购清单中带★号项所要求的证明材料，不要求原件，供应商投标时只需提供真实材 料的复印件、扫描件、</w:t>
      </w:r>
    </w:p>
    <w:p>
      <w:pPr>
        <w:rPr>
          <w:sz w:val="21"/>
          <w:szCs w:val="21"/>
        </w:rPr>
      </w:pPr>
      <w:r>
        <w:rPr>
          <w:sz w:val="21"/>
          <w:szCs w:val="21"/>
        </w:rPr>
        <w:t>截图</w:t>
      </w:r>
      <w:r>
        <w:rPr>
          <w:rFonts w:hint="eastAsia"/>
          <w:sz w:val="21"/>
          <w:szCs w:val="21"/>
          <w:lang w:val="en-US"/>
        </w:rPr>
        <w:t>并加盖投标人公章</w:t>
      </w:r>
      <w:r>
        <w:rPr>
          <w:sz w:val="21"/>
          <w:szCs w:val="21"/>
        </w:rPr>
        <w:t xml:space="preserve">等材料即可。 </w:t>
      </w:r>
    </w:p>
    <w:p>
      <w:pPr>
        <w:rPr>
          <w:sz w:val="21"/>
          <w:szCs w:val="21"/>
          <w:lang w:val="en-US"/>
        </w:rPr>
      </w:pPr>
      <w:r>
        <w:rPr>
          <w:sz w:val="21"/>
          <w:szCs w:val="21"/>
        </w:rPr>
        <w:t>（9）本采购需求书如有未详尽或纰漏之处，有可能在采购文件中进行补充、修正、深化。</w:t>
      </w:r>
    </w:p>
    <w:p>
      <w:pPr>
        <w:rPr>
          <w:sz w:val="21"/>
          <w:szCs w:val="21"/>
          <w:lang w:val="en-US"/>
        </w:rPr>
      </w:pPr>
    </w:p>
    <w:p>
      <w:pPr>
        <w:pStyle w:val="2"/>
        <w:spacing w:before="5"/>
        <w:rPr>
          <w:sz w:val="23"/>
        </w:rPr>
      </w:pPr>
    </w:p>
    <w:p>
      <w:pPr>
        <w:rPr>
          <w:sz w:val="23"/>
        </w:rPr>
      </w:pPr>
    </w:p>
    <w:p>
      <w:pPr>
        <w:pStyle w:val="2"/>
        <w:rPr>
          <w:sz w:val="23"/>
        </w:rPr>
      </w:pPr>
    </w:p>
    <w:p>
      <w:pPr>
        <w:rPr>
          <w:sz w:val="23"/>
        </w:rPr>
      </w:pPr>
    </w:p>
    <w:p>
      <w:pPr>
        <w:pStyle w:val="3"/>
        <w:spacing w:line="594" w:lineRule="exact"/>
        <w:ind w:right="1414"/>
        <w:jc w:val="both"/>
      </w:pPr>
    </w:p>
    <w:p>
      <w:pPr>
        <w:pStyle w:val="3"/>
        <w:spacing w:line="594" w:lineRule="exact"/>
        <w:ind w:right="1414"/>
        <w:jc w:val="both"/>
      </w:pPr>
    </w:p>
    <w:p>
      <w:pPr>
        <w:pStyle w:val="3"/>
        <w:spacing w:line="594" w:lineRule="exact"/>
        <w:ind w:right="1414"/>
        <w:jc w:val="both"/>
      </w:pPr>
    </w:p>
    <w:p>
      <w:pPr>
        <w:pStyle w:val="3"/>
        <w:spacing w:line="594" w:lineRule="exact"/>
        <w:ind w:right="1414"/>
        <w:jc w:val="both"/>
      </w:pPr>
    </w:p>
    <w:p/>
    <w:p>
      <w:pPr>
        <w:pStyle w:val="2"/>
      </w:pPr>
    </w:p>
    <w:p>
      <w:pPr>
        <w:pStyle w:val="2"/>
      </w:pPr>
    </w:p>
    <w:p>
      <w:pPr>
        <w:pStyle w:val="3"/>
        <w:spacing w:line="594" w:lineRule="exact"/>
        <w:ind w:right="1414"/>
        <w:jc w:val="center"/>
      </w:pPr>
      <w:r>
        <w:t>第四章  合同文本</w:t>
      </w:r>
    </w:p>
    <w:p>
      <w:pPr>
        <w:pStyle w:val="2"/>
        <w:spacing w:before="5"/>
        <w:rPr>
          <w:b/>
          <w:sz w:val="47"/>
        </w:rPr>
      </w:pPr>
    </w:p>
    <w:p>
      <w:pPr>
        <w:ind w:left="24" w:right="984"/>
        <w:jc w:val="center"/>
        <w:rPr>
          <w:b/>
          <w:sz w:val="32"/>
        </w:rPr>
      </w:pPr>
      <w:r>
        <w:rPr>
          <w:b/>
          <w:sz w:val="32"/>
        </w:rPr>
        <w:t>通用合同条款部分</w:t>
      </w:r>
    </w:p>
    <w:p>
      <w:pPr>
        <w:spacing w:before="214"/>
        <w:ind w:left="24" w:right="982"/>
        <w:jc w:val="center"/>
        <w:rPr>
          <w:b/>
          <w:sz w:val="32"/>
        </w:rPr>
      </w:pPr>
      <w:r>
        <w:rPr>
          <w:b/>
          <w:sz w:val="32"/>
        </w:rPr>
        <w:t>（略）</w:t>
      </w:r>
    </w:p>
    <w:p>
      <w:pPr>
        <w:spacing w:before="214"/>
        <w:ind w:left="24" w:right="984"/>
        <w:jc w:val="center"/>
        <w:rPr>
          <w:b/>
          <w:sz w:val="32"/>
        </w:rPr>
      </w:pPr>
      <w:r>
        <w:rPr>
          <w:b/>
          <w:sz w:val="32"/>
        </w:rPr>
        <w:t>合同专用条款部分</w:t>
      </w:r>
    </w:p>
    <w:p>
      <w:pPr>
        <w:spacing w:before="214"/>
        <w:ind w:left="24" w:right="984"/>
        <w:jc w:val="center"/>
        <w:rPr>
          <w:b/>
          <w:sz w:val="32"/>
        </w:rPr>
      </w:pPr>
      <w:r>
        <w:rPr>
          <w:rFonts w:hint="eastAsia"/>
          <w:b/>
          <w:sz w:val="32"/>
          <w:lang w:val="en-US"/>
        </w:rPr>
        <w:t>此</w:t>
      </w:r>
      <w:r>
        <w:rPr>
          <w:rFonts w:hint="eastAsia"/>
          <w:b/>
          <w:sz w:val="32"/>
        </w:rPr>
        <w:t>合同为参考范本，具体以签订实际合同为</w:t>
      </w:r>
      <w:r>
        <w:rPr>
          <w:rFonts w:hint="eastAsia"/>
          <w:b/>
          <w:sz w:val="32"/>
          <w:lang w:val="en-US"/>
        </w:rPr>
        <w:t>准</w:t>
      </w:r>
    </w:p>
    <w:p>
      <w:pPr>
        <w:pStyle w:val="2"/>
        <w:rPr>
          <w:b/>
          <w:sz w:val="32"/>
        </w:rPr>
      </w:pPr>
    </w:p>
    <w:p>
      <w:pPr>
        <w:pStyle w:val="2"/>
        <w:spacing w:before="3"/>
        <w:rPr>
          <w:b/>
          <w:sz w:val="34"/>
        </w:rPr>
      </w:pPr>
    </w:p>
    <w:p>
      <w:pPr>
        <w:tabs>
          <w:tab w:val="left" w:pos="5577"/>
        </w:tabs>
        <w:spacing w:line="398" w:lineRule="auto"/>
        <w:ind w:left="1852" w:right="5278"/>
        <w:rPr>
          <w:rFonts w:ascii="Times New Roman" w:eastAsia="Times New Roman"/>
          <w:b/>
          <w:sz w:val="28"/>
        </w:rPr>
      </w:pPr>
      <w:r>
        <w:rPr>
          <w:b/>
          <w:sz w:val="28"/>
        </w:rPr>
        <w:t>项目名称：</w:t>
      </w:r>
      <w:r>
        <w:rPr>
          <w:b/>
          <w:sz w:val="30"/>
        </w:rPr>
        <w:t>校园照明综合改</w:t>
      </w:r>
      <w:r>
        <w:rPr>
          <w:b/>
          <w:spacing w:val="-13"/>
          <w:sz w:val="30"/>
        </w:rPr>
        <w:t>造</w:t>
      </w:r>
      <w:r>
        <w:rPr>
          <w:b/>
          <w:spacing w:val="-1"/>
          <w:w w:val="95"/>
          <w:sz w:val="28"/>
        </w:rPr>
        <w:t>项目</w:t>
      </w:r>
      <w:r>
        <w:rPr>
          <w:b/>
          <w:w w:val="95"/>
          <w:sz w:val="28"/>
        </w:rPr>
        <w:t>编号：</w:t>
      </w:r>
      <w:r>
        <w:rPr>
          <w:rFonts w:ascii="Times New Roman" w:eastAsia="Times New Roman"/>
          <w:b/>
          <w:sz w:val="28"/>
          <w:u w:val="single"/>
        </w:rPr>
        <w:t xml:space="preserve"> </w:t>
      </w:r>
      <w:r>
        <w:rPr>
          <w:rFonts w:ascii="Times New Roman" w:eastAsia="Times New Roman"/>
          <w:b/>
          <w:sz w:val="28"/>
          <w:u w:val="single"/>
        </w:rPr>
        <w:tab/>
      </w:r>
    </w:p>
    <w:p>
      <w:pPr>
        <w:tabs>
          <w:tab w:val="left" w:pos="5577"/>
        </w:tabs>
        <w:spacing w:before="27"/>
        <w:ind w:left="1852"/>
        <w:rPr>
          <w:rFonts w:ascii="Times New Roman" w:eastAsia="Times New Roman"/>
          <w:b/>
          <w:sz w:val="28"/>
        </w:rPr>
      </w:pPr>
      <w:r>
        <w:rPr>
          <w:b/>
          <w:spacing w:val="-1"/>
          <w:w w:val="95"/>
          <w:sz w:val="28"/>
        </w:rPr>
        <w:t>分组</w:t>
      </w:r>
      <w:r>
        <w:rPr>
          <w:b/>
          <w:w w:val="95"/>
          <w:sz w:val="28"/>
        </w:rPr>
        <w:t>包号：</w:t>
      </w:r>
      <w:r>
        <w:rPr>
          <w:rFonts w:ascii="Times New Roman" w:eastAsia="Times New Roman"/>
          <w:b/>
          <w:sz w:val="28"/>
          <w:u w:val="single"/>
        </w:rPr>
        <w:t xml:space="preserve"> </w:t>
      </w:r>
      <w:r>
        <w:rPr>
          <w:rFonts w:ascii="Times New Roman" w:eastAsia="Times New Roman"/>
          <w:b/>
          <w:sz w:val="28"/>
          <w:u w:val="single"/>
        </w:rPr>
        <w:tab/>
      </w:r>
    </w:p>
    <w:p>
      <w:pPr>
        <w:pStyle w:val="2"/>
        <w:spacing w:before="11"/>
        <w:rPr>
          <w:rFonts w:ascii="Times New Roman"/>
          <w:b/>
          <w:sz w:val="16"/>
        </w:rPr>
      </w:pPr>
    </w:p>
    <w:p>
      <w:pPr>
        <w:tabs>
          <w:tab w:val="left" w:pos="5567"/>
        </w:tabs>
        <w:spacing w:before="70"/>
        <w:ind w:left="1852"/>
        <w:rPr>
          <w:rFonts w:ascii="Times New Roman" w:eastAsia="Times New Roman"/>
          <w:sz w:val="28"/>
        </w:rPr>
      </w:pPr>
      <w:r>
        <w:rPr>
          <w:b/>
          <w:spacing w:val="-1"/>
          <w:sz w:val="28"/>
        </w:rPr>
        <w:t>合</w:t>
      </w:r>
      <w:r>
        <w:rPr>
          <w:b/>
          <w:sz w:val="28"/>
        </w:rPr>
        <w:t>同编号</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19"/>
        </w:rPr>
      </w:pPr>
    </w:p>
    <w:p>
      <w:pPr>
        <w:pStyle w:val="5"/>
        <w:tabs>
          <w:tab w:val="left" w:pos="6819"/>
        </w:tabs>
        <w:spacing w:before="70"/>
        <w:ind w:left="2414"/>
      </w:pPr>
      <w:r>
        <w:t>甲</w:t>
      </w:r>
      <w:r>
        <w:rPr>
          <w:spacing w:val="-8"/>
        </w:rPr>
        <w:t xml:space="preserve"> </w:t>
      </w:r>
      <w:r>
        <w:t>方：</w:t>
      </w:r>
      <w:r>
        <w:rPr>
          <w:spacing w:val="-3"/>
          <w:u w:val="single"/>
        </w:rPr>
        <w:t xml:space="preserve"> </w:t>
      </w:r>
      <w:r>
        <w:rPr>
          <w:u w:val="single"/>
        </w:rPr>
        <w:t>海口市高级技工学校</w:t>
      </w:r>
      <w:r>
        <w:rPr>
          <w:u w:val="single"/>
        </w:rPr>
        <w:tab/>
      </w:r>
    </w:p>
    <w:p>
      <w:pPr>
        <w:pStyle w:val="2"/>
        <w:spacing w:before="3"/>
        <w:rPr>
          <w:b/>
          <w:sz w:val="15"/>
        </w:rPr>
      </w:pPr>
    </w:p>
    <w:p>
      <w:pPr>
        <w:tabs>
          <w:tab w:val="left" w:pos="4348"/>
          <w:tab w:val="left" w:pos="6035"/>
        </w:tabs>
        <w:spacing w:before="70"/>
        <w:ind w:left="2380"/>
        <w:rPr>
          <w:b/>
          <w:sz w:val="28"/>
        </w:rPr>
      </w:pPr>
      <w:r>
        <w:rPr>
          <w:b/>
          <w:sz w:val="28"/>
        </w:rPr>
        <w:t>乙</w:t>
      </w:r>
      <w:r>
        <w:rPr>
          <w:b/>
          <w:spacing w:val="-1"/>
          <w:sz w:val="28"/>
        </w:rPr>
        <w:t xml:space="preserve"> </w:t>
      </w:r>
      <w:r>
        <w:rPr>
          <w:b/>
          <w:sz w:val="28"/>
        </w:rPr>
        <w:t>方：</w:t>
      </w:r>
      <w:r>
        <w:rPr>
          <w:b/>
          <w:sz w:val="28"/>
          <w:u w:val="single"/>
        </w:rPr>
        <w:t xml:space="preserve"> </w:t>
      </w:r>
      <w:r>
        <w:rPr>
          <w:b/>
          <w:sz w:val="28"/>
          <w:u w:val="single"/>
        </w:rPr>
        <w:tab/>
      </w:r>
      <w:r>
        <w:rPr>
          <w:b/>
          <w:spacing w:val="-1"/>
          <w:w w:val="95"/>
          <w:sz w:val="28"/>
          <w:u w:val="single"/>
        </w:rPr>
        <w:t>中标</w:t>
      </w:r>
      <w:r>
        <w:rPr>
          <w:b/>
          <w:w w:val="95"/>
          <w:sz w:val="28"/>
          <w:u w:val="single"/>
        </w:rPr>
        <w:t>人</w:t>
      </w:r>
      <w:r>
        <w:rPr>
          <w:b/>
          <w:sz w:val="28"/>
          <w:u w:val="single"/>
        </w:rPr>
        <w:tab/>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tabs>
          <w:tab w:val="left" w:pos="2272"/>
          <w:tab w:val="left" w:pos="3115"/>
          <w:tab w:val="left" w:pos="3960"/>
        </w:tabs>
        <w:spacing w:before="199"/>
        <w:ind w:left="24"/>
        <w:jc w:val="center"/>
        <w:rPr>
          <w:b/>
          <w:sz w:val="28"/>
        </w:rPr>
      </w:pPr>
      <w:r>
        <w:rPr>
          <w:b/>
          <w:sz w:val="28"/>
        </w:rPr>
        <w:t>签订日期：</w:t>
      </w:r>
      <w:r>
        <w:rPr>
          <w:b/>
          <w:sz w:val="28"/>
          <w:u w:val="single"/>
        </w:rPr>
        <w:t xml:space="preserve"> </w:t>
      </w:r>
      <w:r>
        <w:rPr>
          <w:b/>
          <w:sz w:val="28"/>
          <w:u w:val="single"/>
        </w:rPr>
        <w:tab/>
      </w:r>
      <w:r>
        <w:rPr>
          <w:b/>
          <w:sz w:val="28"/>
        </w:rPr>
        <w:t>年</w:t>
      </w:r>
      <w:r>
        <w:rPr>
          <w:b/>
          <w:sz w:val="28"/>
          <w:u w:val="single"/>
        </w:rPr>
        <w:t xml:space="preserve"> </w:t>
      </w:r>
      <w:r>
        <w:rPr>
          <w:b/>
          <w:sz w:val="28"/>
          <w:u w:val="single"/>
        </w:rPr>
        <w:tab/>
      </w:r>
      <w:r>
        <w:rPr>
          <w:b/>
          <w:sz w:val="28"/>
        </w:rPr>
        <w:t>月</w:t>
      </w:r>
      <w:r>
        <w:rPr>
          <w:b/>
          <w:sz w:val="28"/>
          <w:u w:val="single"/>
        </w:rPr>
        <w:t xml:space="preserve"> </w:t>
      </w:r>
      <w:r>
        <w:rPr>
          <w:b/>
          <w:sz w:val="28"/>
          <w:u w:val="single"/>
        </w:rPr>
        <w:tab/>
      </w:r>
      <w:r>
        <w:rPr>
          <w:b/>
          <w:sz w:val="28"/>
        </w:rPr>
        <w:t>日</w:t>
      </w:r>
    </w:p>
    <w:p>
      <w:pPr>
        <w:jc w:val="center"/>
        <w:rPr>
          <w:sz w:val="28"/>
        </w:rPr>
        <w:sectPr>
          <w:pgSz w:w="11910" w:h="16840"/>
          <w:pgMar w:top="1580" w:right="0" w:bottom="480" w:left="960" w:header="0" w:footer="207" w:gutter="0"/>
          <w:cols w:space="720" w:num="1"/>
        </w:sectPr>
      </w:pPr>
    </w:p>
    <w:p>
      <w:pPr>
        <w:tabs>
          <w:tab w:val="left" w:pos="1255"/>
          <w:tab w:val="left" w:pos="4506"/>
        </w:tabs>
        <w:spacing w:before="41"/>
        <w:ind w:left="172"/>
        <w:rPr>
          <w:b/>
          <w:sz w:val="24"/>
        </w:rPr>
      </w:pPr>
      <w:r>
        <w:rPr>
          <w:sz w:val="24"/>
        </w:rPr>
        <w:t>甲方：</w:t>
      </w:r>
      <w:r>
        <w:rPr>
          <w:sz w:val="24"/>
          <w:u w:val="single"/>
        </w:rPr>
        <w:t xml:space="preserve"> </w:t>
      </w:r>
      <w:r>
        <w:rPr>
          <w:sz w:val="24"/>
          <w:u w:val="single"/>
        </w:rPr>
        <w:tab/>
      </w:r>
      <w:r>
        <w:rPr>
          <w:b/>
          <w:w w:val="95"/>
          <w:sz w:val="24"/>
          <w:u w:val="single"/>
        </w:rPr>
        <w:t>海口市高级技工学校</w:t>
      </w:r>
      <w:r>
        <w:rPr>
          <w:b/>
          <w:sz w:val="24"/>
          <w:u w:val="single"/>
        </w:rPr>
        <w:tab/>
      </w:r>
    </w:p>
    <w:p>
      <w:pPr>
        <w:pStyle w:val="2"/>
        <w:spacing w:before="10"/>
        <w:rPr>
          <w:b/>
          <w:sz w:val="18"/>
        </w:rPr>
      </w:pPr>
    </w:p>
    <w:p>
      <w:pPr>
        <w:tabs>
          <w:tab w:val="left" w:pos="1852"/>
          <w:tab w:val="left" w:pos="3774"/>
        </w:tabs>
        <w:spacing w:before="74"/>
        <w:ind w:left="172"/>
        <w:rPr>
          <w:b/>
          <w:sz w:val="24"/>
        </w:rPr>
      </w:pPr>
      <w:r>
        <w:rPr>
          <w:sz w:val="24"/>
        </w:rPr>
        <w:t>乙方：</w:t>
      </w:r>
      <w:r>
        <w:rPr>
          <w:sz w:val="24"/>
          <w:u w:val="single"/>
        </w:rPr>
        <w:t xml:space="preserve"> </w:t>
      </w:r>
      <w:r>
        <w:rPr>
          <w:sz w:val="24"/>
          <w:u w:val="single"/>
        </w:rPr>
        <w:tab/>
      </w:r>
      <w:r>
        <w:rPr>
          <w:b/>
          <w:w w:val="95"/>
          <w:sz w:val="24"/>
          <w:u w:val="single"/>
        </w:rPr>
        <w:t>中标人</w:t>
      </w:r>
      <w:r>
        <w:rPr>
          <w:b/>
          <w:sz w:val="24"/>
          <w:u w:val="single"/>
        </w:rPr>
        <w:tab/>
      </w:r>
    </w:p>
    <w:p>
      <w:pPr>
        <w:pStyle w:val="2"/>
        <w:spacing w:before="1"/>
        <w:rPr>
          <w:b/>
        </w:rPr>
      </w:pPr>
    </w:p>
    <w:p>
      <w:pPr>
        <w:tabs>
          <w:tab w:val="left" w:pos="2812"/>
          <w:tab w:val="left" w:pos="3532"/>
          <w:tab w:val="left" w:pos="4252"/>
        </w:tabs>
        <w:spacing w:before="58" w:line="312" w:lineRule="auto"/>
        <w:ind w:left="172" w:right="1013" w:firstLine="480"/>
        <w:rPr>
          <w:sz w:val="24"/>
        </w:rPr>
      </w:pPr>
      <w:r>
        <w:rPr>
          <w:sz w:val="24"/>
        </w:rPr>
        <w:t>甲乙双方根据</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r>
        <w:rPr>
          <w:rFonts w:hint="eastAsia" w:ascii="仿宋" w:eastAsia="仿宋"/>
          <w:b/>
          <w:sz w:val="30"/>
          <w:u w:val="single"/>
        </w:rPr>
        <w:t>校园照明综合改</w:t>
      </w:r>
      <w:r>
        <w:rPr>
          <w:rFonts w:hint="eastAsia" w:ascii="仿宋" w:eastAsia="仿宋"/>
          <w:b/>
          <w:spacing w:val="-51"/>
          <w:sz w:val="30"/>
          <w:u w:val="single"/>
        </w:rPr>
        <w:t>造</w:t>
      </w:r>
      <w:r>
        <w:rPr>
          <w:b/>
          <w:sz w:val="24"/>
          <w:u w:val="single"/>
        </w:rPr>
        <w:t>（项目编号</w:t>
      </w:r>
      <w:r>
        <w:rPr>
          <w:b/>
          <w:spacing w:val="-5"/>
          <w:sz w:val="24"/>
          <w:u w:val="single"/>
        </w:rPr>
        <w:t>：</w:t>
      </w:r>
      <w:r>
        <w:rPr>
          <w:rFonts w:hint="eastAsia"/>
          <w:b/>
          <w:spacing w:val="-5"/>
          <w:sz w:val="24"/>
          <w:u w:val="single"/>
          <w:lang w:eastAsia="zh-CN"/>
        </w:rPr>
        <w:t>sdzb2022-063RR</w:t>
      </w:r>
      <w:r>
        <w:rPr>
          <w:b/>
          <w:spacing w:val="-5"/>
          <w:sz w:val="24"/>
          <w:u w:val="single"/>
        </w:rPr>
        <w:t xml:space="preserve">） </w:t>
      </w:r>
      <w:r>
        <w:rPr>
          <w:rFonts w:hint="eastAsia"/>
          <w:sz w:val="24"/>
          <w:lang w:val="en-US"/>
        </w:rPr>
        <w:t>公开招标</w:t>
      </w:r>
      <w:r>
        <w:rPr>
          <w:sz w:val="24"/>
        </w:rPr>
        <w:t>结果及招标文件的要求，经协商一致，达成以下协议。</w:t>
      </w:r>
    </w:p>
    <w:p>
      <w:pPr>
        <w:pStyle w:val="6"/>
        <w:spacing w:before="197"/>
      </w:pPr>
      <w:r>
        <w:t>一、合同标的及金额等（详见附件清单）</w:t>
      </w:r>
    </w:p>
    <w:p>
      <w:pPr>
        <w:pStyle w:val="2"/>
        <w:spacing w:before="9"/>
        <w:rPr>
          <w:b/>
          <w:sz w:val="13"/>
        </w:rPr>
      </w:pPr>
    </w:p>
    <w:tbl>
      <w:tblPr>
        <w:tblStyle w:val="17"/>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1"/>
        <w:gridCol w:w="1710"/>
        <w:gridCol w:w="2548"/>
        <w:gridCol w:w="1220"/>
        <w:gridCol w:w="1220"/>
        <w:gridCol w:w="1220"/>
        <w:gridCol w:w="12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shd w:val="clear" w:color="auto" w:fill="D9D9D9"/>
          </w:tcPr>
          <w:p>
            <w:pPr>
              <w:pStyle w:val="21"/>
              <w:spacing w:before="208"/>
              <w:ind w:left="43" w:right="26"/>
              <w:jc w:val="center"/>
              <w:rPr>
                <w:b/>
                <w:sz w:val="24"/>
              </w:rPr>
            </w:pPr>
            <w:r>
              <w:rPr>
                <w:b/>
                <w:sz w:val="24"/>
              </w:rPr>
              <w:t>序号</w:t>
            </w:r>
          </w:p>
        </w:tc>
        <w:tc>
          <w:tcPr>
            <w:tcW w:w="1710" w:type="dxa"/>
            <w:shd w:val="clear" w:color="auto" w:fill="D9D9D9"/>
          </w:tcPr>
          <w:p>
            <w:pPr>
              <w:pStyle w:val="21"/>
              <w:spacing w:before="208"/>
              <w:ind w:left="351" w:right="335"/>
              <w:jc w:val="center"/>
              <w:rPr>
                <w:b/>
                <w:sz w:val="24"/>
              </w:rPr>
            </w:pPr>
            <w:r>
              <w:rPr>
                <w:b/>
                <w:sz w:val="24"/>
              </w:rPr>
              <w:t>货物名称</w:t>
            </w:r>
          </w:p>
        </w:tc>
        <w:tc>
          <w:tcPr>
            <w:tcW w:w="2548" w:type="dxa"/>
            <w:shd w:val="clear" w:color="auto" w:fill="D9D9D9"/>
          </w:tcPr>
          <w:p>
            <w:pPr>
              <w:pStyle w:val="21"/>
              <w:spacing w:before="208"/>
              <w:ind w:left="188"/>
              <w:rPr>
                <w:b/>
                <w:sz w:val="24"/>
              </w:rPr>
            </w:pPr>
            <w:r>
              <w:rPr>
                <w:b/>
                <w:sz w:val="24"/>
              </w:rPr>
              <w:t>品牌型号、规格配置</w:t>
            </w:r>
          </w:p>
        </w:tc>
        <w:tc>
          <w:tcPr>
            <w:tcW w:w="1220" w:type="dxa"/>
            <w:shd w:val="clear" w:color="auto" w:fill="D9D9D9"/>
          </w:tcPr>
          <w:p>
            <w:pPr>
              <w:pStyle w:val="21"/>
              <w:spacing w:before="208"/>
              <w:ind w:left="28" w:right="-44"/>
              <w:rPr>
                <w:b/>
                <w:sz w:val="24"/>
              </w:rPr>
            </w:pPr>
            <w:r>
              <w:rPr>
                <w:b/>
                <w:sz w:val="24"/>
              </w:rPr>
              <w:t>单价（元）</w:t>
            </w:r>
          </w:p>
        </w:tc>
        <w:tc>
          <w:tcPr>
            <w:tcW w:w="1220" w:type="dxa"/>
            <w:shd w:val="clear" w:color="auto" w:fill="D9D9D9"/>
          </w:tcPr>
          <w:p>
            <w:pPr>
              <w:pStyle w:val="21"/>
              <w:spacing w:before="208"/>
              <w:ind w:left="368"/>
              <w:rPr>
                <w:b/>
                <w:sz w:val="24"/>
              </w:rPr>
            </w:pPr>
            <w:r>
              <w:rPr>
                <w:b/>
                <w:sz w:val="24"/>
              </w:rPr>
              <w:t>数量</w:t>
            </w:r>
          </w:p>
        </w:tc>
        <w:tc>
          <w:tcPr>
            <w:tcW w:w="1220" w:type="dxa"/>
            <w:shd w:val="clear" w:color="auto" w:fill="D9D9D9"/>
          </w:tcPr>
          <w:p>
            <w:pPr>
              <w:pStyle w:val="21"/>
              <w:spacing w:before="208"/>
              <w:ind w:left="29" w:right="-44"/>
              <w:rPr>
                <w:b/>
                <w:sz w:val="24"/>
              </w:rPr>
            </w:pPr>
            <w:r>
              <w:rPr>
                <w:b/>
                <w:sz w:val="24"/>
              </w:rPr>
              <w:t>合计（元）</w:t>
            </w:r>
          </w:p>
        </w:tc>
        <w:tc>
          <w:tcPr>
            <w:tcW w:w="1221" w:type="dxa"/>
            <w:shd w:val="clear" w:color="auto" w:fill="D9D9D9"/>
          </w:tcPr>
          <w:p>
            <w:pPr>
              <w:pStyle w:val="21"/>
              <w:spacing w:before="208"/>
              <w:ind w:left="369"/>
              <w:rPr>
                <w:b/>
                <w:sz w:val="24"/>
              </w:rPr>
            </w:pPr>
            <w:r>
              <w:rPr>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tcPr>
          <w:p>
            <w:pPr>
              <w:pStyle w:val="21"/>
              <w:spacing w:before="208"/>
              <w:ind w:left="17"/>
              <w:jc w:val="center"/>
              <w:rPr>
                <w:b/>
                <w:sz w:val="24"/>
              </w:rPr>
            </w:pPr>
            <w:r>
              <w:rPr>
                <w:b/>
                <w:w w:val="99"/>
                <w:sz w:val="24"/>
              </w:rPr>
              <w:t>1</w:t>
            </w:r>
          </w:p>
        </w:tc>
        <w:tc>
          <w:tcPr>
            <w:tcW w:w="1710" w:type="dxa"/>
          </w:tcPr>
          <w:p>
            <w:pPr>
              <w:pStyle w:val="21"/>
              <w:rPr>
                <w:rFonts w:ascii="Times New Roman"/>
                <w:sz w:val="24"/>
              </w:rPr>
            </w:pPr>
          </w:p>
        </w:tc>
        <w:tc>
          <w:tcPr>
            <w:tcW w:w="2548"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1" w:type="dxa"/>
          </w:tcPr>
          <w:p>
            <w:pPr>
              <w:pStyle w:val="2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tcPr>
          <w:p>
            <w:pPr>
              <w:pStyle w:val="21"/>
              <w:spacing w:before="208"/>
              <w:ind w:left="17"/>
              <w:jc w:val="center"/>
              <w:rPr>
                <w:b/>
                <w:sz w:val="24"/>
              </w:rPr>
            </w:pPr>
            <w:r>
              <w:rPr>
                <w:b/>
                <w:w w:val="99"/>
                <w:sz w:val="24"/>
              </w:rPr>
              <w:t>2</w:t>
            </w:r>
          </w:p>
        </w:tc>
        <w:tc>
          <w:tcPr>
            <w:tcW w:w="1710" w:type="dxa"/>
          </w:tcPr>
          <w:p>
            <w:pPr>
              <w:pStyle w:val="21"/>
              <w:rPr>
                <w:rFonts w:ascii="Times New Roman"/>
                <w:sz w:val="24"/>
              </w:rPr>
            </w:pPr>
          </w:p>
        </w:tc>
        <w:tc>
          <w:tcPr>
            <w:tcW w:w="2548"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1" w:type="dxa"/>
          </w:tcPr>
          <w:p>
            <w:pPr>
              <w:pStyle w:val="2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611" w:type="dxa"/>
          </w:tcPr>
          <w:p>
            <w:pPr>
              <w:pStyle w:val="21"/>
              <w:spacing w:before="208"/>
              <w:ind w:left="17"/>
              <w:jc w:val="center"/>
              <w:rPr>
                <w:b/>
                <w:sz w:val="24"/>
              </w:rPr>
            </w:pPr>
            <w:r>
              <w:rPr>
                <w:b/>
                <w:w w:val="99"/>
                <w:sz w:val="24"/>
              </w:rPr>
              <w:t>3</w:t>
            </w:r>
          </w:p>
        </w:tc>
        <w:tc>
          <w:tcPr>
            <w:tcW w:w="1710" w:type="dxa"/>
          </w:tcPr>
          <w:p>
            <w:pPr>
              <w:pStyle w:val="21"/>
              <w:spacing w:before="208"/>
              <w:ind w:left="19"/>
              <w:jc w:val="center"/>
              <w:rPr>
                <w:sz w:val="24"/>
              </w:rPr>
            </w:pPr>
            <w:r>
              <w:rPr>
                <w:sz w:val="24"/>
              </w:rPr>
              <w:t>…</w:t>
            </w:r>
          </w:p>
        </w:tc>
        <w:tc>
          <w:tcPr>
            <w:tcW w:w="2548"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0" w:type="dxa"/>
          </w:tcPr>
          <w:p>
            <w:pPr>
              <w:pStyle w:val="21"/>
              <w:rPr>
                <w:rFonts w:ascii="Times New Roman"/>
                <w:sz w:val="24"/>
              </w:rPr>
            </w:pPr>
          </w:p>
        </w:tc>
        <w:tc>
          <w:tcPr>
            <w:tcW w:w="1221" w:type="dxa"/>
          </w:tcPr>
          <w:p>
            <w:pPr>
              <w:pStyle w:val="2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2321" w:type="dxa"/>
            <w:gridSpan w:val="2"/>
            <w:vMerge w:val="restart"/>
          </w:tcPr>
          <w:p>
            <w:pPr>
              <w:pStyle w:val="21"/>
              <w:rPr>
                <w:b/>
                <w:sz w:val="24"/>
              </w:rPr>
            </w:pPr>
          </w:p>
          <w:p>
            <w:pPr>
              <w:pStyle w:val="21"/>
              <w:spacing w:before="188"/>
              <w:ind w:left="678"/>
              <w:rPr>
                <w:b/>
                <w:sz w:val="24"/>
              </w:rPr>
            </w:pPr>
            <w:r>
              <w:rPr>
                <w:b/>
                <w:sz w:val="24"/>
              </w:rPr>
              <w:t>合同总额</w:t>
            </w:r>
          </w:p>
        </w:tc>
        <w:tc>
          <w:tcPr>
            <w:tcW w:w="7429" w:type="dxa"/>
            <w:gridSpan w:val="5"/>
          </w:tcPr>
          <w:p>
            <w:pPr>
              <w:pStyle w:val="21"/>
              <w:spacing w:before="208"/>
              <w:ind w:left="30"/>
              <w:rPr>
                <w:sz w:val="24"/>
              </w:rPr>
            </w:pPr>
            <w:r>
              <w:rPr>
                <w:sz w:val="24"/>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2321" w:type="dxa"/>
            <w:gridSpan w:val="2"/>
            <w:vMerge w:val="continue"/>
            <w:tcBorders>
              <w:top w:val="nil"/>
            </w:tcBorders>
          </w:tcPr>
          <w:p>
            <w:pPr>
              <w:rPr>
                <w:sz w:val="2"/>
                <w:szCs w:val="2"/>
              </w:rPr>
            </w:pPr>
          </w:p>
        </w:tc>
        <w:tc>
          <w:tcPr>
            <w:tcW w:w="7429" w:type="dxa"/>
            <w:gridSpan w:val="5"/>
          </w:tcPr>
          <w:p>
            <w:pPr>
              <w:pStyle w:val="21"/>
              <w:spacing w:before="207"/>
              <w:ind w:left="30"/>
              <w:rPr>
                <w:sz w:val="24"/>
              </w:rPr>
            </w:pPr>
            <w:r>
              <w:rPr>
                <w:sz w:val="24"/>
              </w:rPr>
              <w:t>（大写）：</w:t>
            </w:r>
          </w:p>
        </w:tc>
      </w:tr>
    </w:tbl>
    <w:p>
      <w:pPr>
        <w:pStyle w:val="2"/>
        <w:spacing w:before="1"/>
        <w:rPr>
          <w:b/>
        </w:rPr>
      </w:pPr>
    </w:p>
    <w:p>
      <w:pPr>
        <w:ind w:left="172"/>
        <w:rPr>
          <w:b/>
          <w:sz w:val="24"/>
        </w:rPr>
      </w:pPr>
      <w:r>
        <w:rPr>
          <w:b/>
          <w:sz w:val="24"/>
        </w:rPr>
        <w:t>二、付款</w:t>
      </w:r>
    </w:p>
    <w:p>
      <w:pPr>
        <w:pStyle w:val="2"/>
        <w:spacing w:before="5"/>
        <w:rPr>
          <w:b/>
          <w:sz w:val="22"/>
        </w:rPr>
      </w:pPr>
    </w:p>
    <w:p>
      <w:pPr>
        <w:pStyle w:val="7"/>
        <w:tabs>
          <w:tab w:val="left" w:pos="2215"/>
          <w:tab w:val="left" w:pos="4031"/>
        </w:tabs>
        <w:spacing w:before="1" w:line="343" w:lineRule="auto"/>
        <w:ind w:left="172" w:right="1130" w:firstLine="480"/>
        <w:rPr>
          <w:rFonts w:hint="eastAsia"/>
          <w:sz w:val="24"/>
          <w:szCs w:val="24"/>
        </w:rPr>
      </w:pPr>
      <w:r>
        <w:rPr>
          <w:rFonts w:hint="eastAsia"/>
          <w:sz w:val="24"/>
          <w:szCs w:val="24"/>
        </w:rPr>
        <w:t>1、本合同签订后，甲方凭乙方开具的正式有效发票和履约保函 (合同价的 5%) 在5个工作日内向乙方支付合同价的30%；</w:t>
      </w:r>
    </w:p>
    <w:p>
      <w:pPr>
        <w:spacing w:line="465" w:lineRule="auto"/>
        <w:ind w:right="1013"/>
        <w:rPr>
          <w:b/>
          <w:sz w:val="24"/>
          <w:szCs w:val="24"/>
        </w:rPr>
      </w:pPr>
      <w:r>
        <w:rPr>
          <w:rFonts w:hint="eastAsia"/>
          <w:sz w:val="24"/>
          <w:szCs w:val="24"/>
        </w:rPr>
        <w:t>2、采购货物全部运达甲方指定地点并完成安装和调试后，经甲方验收合格后，甲方凭乙方开具的正式有效发票和质保金保函(合同价的3%)在5个工作日内，向乙方支付至合同价的100%。</w:t>
      </w:r>
      <w:r>
        <w:rPr>
          <w:b/>
          <w:sz w:val="24"/>
          <w:szCs w:val="24"/>
        </w:rPr>
        <w:t>三、交货</w:t>
      </w:r>
    </w:p>
    <w:p>
      <w:pPr>
        <w:spacing w:line="307" w:lineRule="exact"/>
        <w:ind w:left="652"/>
        <w:rPr>
          <w:sz w:val="24"/>
          <w:szCs w:val="24"/>
        </w:rPr>
      </w:pPr>
      <w:r>
        <w:rPr>
          <w:sz w:val="24"/>
          <w:szCs w:val="24"/>
        </w:rPr>
        <w:t>1、交货方式：货物由乙方负责包装并运送至甲方指定的地点。</w:t>
      </w:r>
    </w:p>
    <w:p>
      <w:pPr>
        <w:spacing w:before="131" w:line="345" w:lineRule="auto"/>
        <w:ind w:left="172" w:right="1133" w:firstLine="480"/>
        <w:rPr>
          <w:sz w:val="24"/>
          <w:szCs w:val="24"/>
        </w:rPr>
      </w:pPr>
      <w:r>
        <w:rPr>
          <w:sz w:val="24"/>
          <w:szCs w:val="24"/>
        </w:rPr>
        <w:t>2</w:t>
      </w:r>
      <w:r>
        <w:rPr>
          <w:spacing w:val="-9"/>
          <w:sz w:val="24"/>
          <w:szCs w:val="24"/>
        </w:rPr>
        <w:t>、乙方将货物运送至甲方指定地点在经甲方验收合格之前，货物的所有权、一切风险责</w:t>
      </w:r>
      <w:r>
        <w:rPr>
          <w:sz w:val="24"/>
          <w:szCs w:val="24"/>
        </w:rPr>
        <w:t>任及由此产生的一切相关费用均由乙方承担。</w:t>
      </w:r>
    </w:p>
    <w:p>
      <w:pPr>
        <w:tabs>
          <w:tab w:val="left" w:pos="5815"/>
        </w:tabs>
        <w:spacing w:line="465" w:lineRule="auto"/>
        <w:ind w:left="172" w:right="2249" w:firstLine="480"/>
        <w:rPr>
          <w:spacing w:val="-18"/>
          <w:sz w:val="24"/>
          <w:szCs w:val="24"/>
        </w:rPr>
      </w:pPr>
      <w:r>
        <w:rPr>
          <w:sz w:val="24"/>
          <w:szCs w:val="24"/>
        </w:rPr>
        <w:t>3、交货期：合同签订后</w:t>
      </w:r>
      <w:r>
        <w:rPr>
          <w:rFonts w:hint="eastAsia"/>
          <w:sz w:val="24"/>
          <w:szCs w:val="24"/>
          <w:lang w:val="en-US"/>
        </w:rPr>
        <w:t>50</w:t>
      </w:r>
      <w:r>
        <w:rPr>
          <w:sz w:val="24"/>
          <w:szCs w:val="24"/>
        </w:rPr>
        <w:t>日历天</w:t>
      </w:r>
      <w:r>
        <w:rPr>
          <w:spacing w:val="-18"/>
          <w:sz w:val="24"/>
          <w:szCs w:val="24"/>
        </w:rPr>
        <w:t>。</w:t>
      </w:r>
    </w:p>
    <w:p>
      <w:pPr>
        <w:tabs>
          <w:tab w:val="left" w:pos="5815"/>
        </w:tabs>
        <w:spacing w:line="465" w:lineRule="auto"/>
        <w:ind w:left="172" w:right="2249" w:firstLine="480"/>
        <w:rPr>
          <w:b/>
          <w:sz w:val="24"/>
          <w:szCs w:val="24"/>
        </w:rPr>
      </w:pPr>
      <w:r>
        <w:rPr>
          <w:b/>
          <w:sz w:val="24"/>
          <w:szCs w:val="24"/>
        </w:rPr>
        <w:t>四、货物验收、保修和技术服务</w:t>
      </w:r>
    </w:p>
    <w:p>
      <w:pPr>
        <w:pStyle w:val="7"/>
        <w:spacing w:line="343" w:lineRule="auto"/>
        <w:ind w:left="172" w:right="1051" w:firstLine="480"/>
        <w:rPr>
          <w:sz w:val="24"/>
          <w:szCs w:val="24"/>
        </w:rPr>
      </w:pPr>
      <w:r>
        <w:rPr>
          <w:rFonts w:hint="eastAsia"/>
          <w:sz w:val="24"/>
          <w:szCs w:val="24"/>
        </w:rPr>
        <w:t>1、乙方交付的货物必须满足中国法律法规、相关部门的相应产业标准及本合同的要求。乙方承诺向甲方提供的货物应是全新、完整、技术成熟稳定、性能质量良好的产品，货物及</w:t>
      </w:r>
    </w:p>
    <w:p>
      <w:pPr>
        <w:spacing w:line="343" w:lineRule="auto"/>
        <w:sectPr>
          <w:pgSz w:w="11910" w:h="16840"/>
          <w:pgMar w:top="1360" w:right="0" w:bottom="480" w:left="960" w:header="0" w:footer="207" w:gutter="0"/>
          <w:cols w:space="720" w:num="1"/>
        </w:sectPr>
      </w:pPr>
    </w:p>
    <w:p>
      <w:pPr>
        <w:spacing w:before="52"/>
        <w:ind w:left="172"/>
        <w:rPr>
          <w:sz w:val="24"/>
        </w:rPr>
      </w:pPr>
      <w:r>
        <w:rPr>
          <w:sz w:val="24"/>
        </w:rPr>
        <w:t>相关许可证明文件、技术文件、软件、服务等均不存在瑕疵。</w:t>
      </w:r>
    </w:p>
    <w:p>
      <w:pPr>
        <w:numPr>
          <w:ilvl w:val="0"/>
          <w:numId w:val="4"/>
        </w:numPr>
        <w:spacing w:before="134" w:line="343" w:lineRule="auto"/>
        <w:ind w:left="172" w:right="1133" w:firstLine="480"/>
        <w:jc w:val="right"/>
        <w:rPr>
          <w:sz w:val="24"/>
        </w:rPr>
      </w:pPr>
      <w:r>
        <w:rPr>
          <w:spacing w:val="-9"/>
          <w:sz w:val="24"/>
        </w:rPr>
        <w:t>若在货物接收验收时发现货物有任何的短少、缺损、缺陷或与合同约定不符，甲方和</w:t>
      </w:r>
      <w:r>
        <w:rPr>
          <w:spacing w:val="-1"/>
          <w:sz w:val="24"/>
        </w:rPr>
        <w:t>乙方代表将签署一份详细报告；在乙方未派代表到场时，该报告将由甲方单方签署，该报告</w:t>
      </w:r>
      <w:r>
        <w:rPr>
          <w:spacing w:val="-7"/>
          <w:sz w:val="24"/>
        </w:rPr>
        <w:t xml:space="preserve">将作为甲方要求乙方进行退货、更换、修理或补充发货的有效证据。乙方负责于 </w:t>
      </w:r>
      <w:r>
        <w:rPr>
          <w:sz w:val="24"/>
        </w:rPr>
        <w:t>10</w:t>
      </w:r>
      <w:r>
        <w:rPr>
          <w:spacing w:val="-16"/>
          <w:sz w:val="24"/>
        </w:rPr>
        <w:t xml:space="preserve"> 个工作日</w:t>
      </w:r>
      <w:r>
        <w:rPr>
          <w:sz w:val="24"/>
        </w:rPr>
        <w:t xml:space="preserve">内自负费用进行更换、补充发货并送至本合同确定的甲方指定地点，有关费用由乙方承担。 </w:t>
      </w:r>
    </w:p>
    <w:p>
      <w:pPr>
        <w:numPr>
          <w:ilvl w:val="0"/>
          <w:numId w:val="4"/>
        </w:numPr>
        <w:spacing w:before="134" w:line="343" w:lineRule="auto"/>
        <w:ind w:left="172" w:right="1133" w:firstLine="480"/>
        <w:jc w:val="center"/>
        <w:rPr>
          <w:sz w:val="24"/>
        </w:rPr>
      </w:pPr>
      <w:r>
        <w:rPr>
          <w:spacing w:val="-9"/>
          <w:sz w:val="24"/>
        </w:rPr>
        <w:t>未能通过甲方验收的货物，以及甲方接收后发现有误的货物，由乙方自费回收。如乙</w:t>
      </w:r>
    </w:p>
    <w:p>
      <w:pPr>
        <w:spacing w:line="345" w:lineRule="auto"/>
        <w:ind w:left="172" w:right="1133"/>
        <w:jc w:val="both"/>
        <w:rPr>
          <w:sz w:val="24"/>
        </w:rPr>
      </w:pPr>
      <w:r>
        <w:rPr>
          <w:spacing w:val="-6"/>
          <w:sz w:val="24"/>
        </w:rPr>
        <w:t xml:space="preserve">方未在甲方发出通知后 </w:t>
      </w:r>
      <w:r>
        <w:rPr>
          <w:sz w:val="24"/>
        </w:rPr>
        <w:t>10</w:t>
      </w:r>
      <w:r>
        <w:rPr>
          <w:spacing w:val="-14"/>
          <w:sz w:val="24"/>
        </w:rPr>
        <w:t xml:space="preserve"> 天内收回，则甲方可自行处理该货物，包括但不限于另外存放并收</w:t>
      </w:r>
      <w:r>
        <w:rPr>
          <w:sz w:val="24"/>
        </w:rPr>
        <w:t>取租金等，由此产生的费用由乙方承担。</w:t>
      </w:r>
    </w:p>
    <w:p>
      <w:pPr>
        <w:spacing w:line="343" w:lineRule="auto"/>
        <w:ind w:left="172" w:right="1133" w:firstLine="480"/>
        <w:jc w:val="both"/>
        <w:rPr>
          <w:sz w:val="24"/>
        </w:rPr>
      </w:pPr>
      <w:r>
        <w:rPr>
          <w:sz w:val="24"/>
        </w:rPr>
        <w:t>4</w:t>
      </w:r>
      <w:r>
        <w:rPr>
          <w:spacing w:val="-10"/>
          <w:sz w:val="24"/>
        </w:rPr>
        <w:t>、乙方提供的货物的保修期为</w:t>
      </w:r>
      <w:r>
        <w:rPr>
          <w:rFonts w:hint="eastAsia"/>
          <w:spacing w:val="-10"/>
          <w:sz w:val="24"/>
          <w:lang w:val="en-US"/>
        </w:rPr>
        <w:t>六</w:t>
      </w:r>
      <w:r>
        <w:rPr>
          <w:spacing w:val="-10"/>
          <w:sz w:val="24"/>
        </w:rPr>
        <w:t>年，自验收合格之日起计算。在保修期内，如果货物的</w:t>
      </w:r>
      <w:r>
        <w:rPr>
          <w:spacing w:val="-8"/>
          <w:sz w:val="24"/>
        </w:rPr>
        <w:t xml:space="preserve">性能和质量与合同规定不符，或出现任何故障，乙方负责在 </w:t>
      </w:r>
      <w:r>
        <w:rPr>
          <w:sz w:val="24"/>
        </w:rPr>
        <w:t>10</w:t>
      </w:r>
      <w:r>
        <w:rPr>
          <w:spacing w:val="-11"/>
          <w:sz w:val="24"/>
        </w:rPr>
        <w:t xml:space="preserve"> 天内免费排除缺陷、修理或更</w:t>
      </w:r>
      <w:r>
        <w:rPr>
          <w:sz w:val="24"/>
        </w:rPr>
        <w:t>换相关货物。</w:t>
      </w:r>
    </w:p>
    <w:p>
      <w:pPr>
        <w:spacing w:line="343" w:lineRule="auto"/>
        <w:ind w:left="172" w:right="1133" w:firstLine="480"/>
        <w:rPr>
          <w:sz w:val="24"/>
        </w:rPr>
      </w:pPr>
      <w:r>
        <w:rPr>
          <w:sz w:val="24"/>
        </w:rPr>
        <w:t>5</w:t>
      </w:r>
      <w:r>
        <w:rPr>
          <w:spacing w:val="-10"/>
          <w:sz w:val="24"/>
        </w:rPr>
        <w:t>、在保修期内，如因乙方原因不能按合同约定履行保修义务，则甲方有权从保修期尾款</w:t>
      </w:r>
      <w:r>
        <w:rPr>
          <w:sz w:val="24"/>
        </w:rPr>
        <w:t>中扣除相应费用。</w:t>
      </w:r>
    </w:p>
    <w:p>
      <w:pPr>
        <w:spacing w:before="153"/>
        <w:ind w:left="172"/>
        <w:rPr>
          <w:b/>
          <w:sz w:val="24"/>
        </w:rPr>
      </w:pPr>
      <w:r>
        <w:rPr>
          <w:b/>
          <w:sz w:val="24"/>
        </w:rPr>
        <w:t>五、违约责任及侵权处理</w:t>
      </w:r>
    </w:p>
    <w:p>
      <w:pPr>
        <w:pStyle w:val="2"/>
        <w:spacing w:before="5"/>
        <w:rPr>
          <w:b/>
          <w:sz w:val="22"/>
        </w:rPr>
      </w:pPr>
    </w:p>
    <w:p>
      <w:pPr>
        <w:spacing w:before="1" w:line="343" w:lineRule="auto"/>
        <w:ind w:left="172" w:right="1111" w:firstLine="480"/>
        <w:jc w:val="both"/>
        <w:rPr>
          <w:sz w:val="24"/>
        </w:rPr>
      </w:pPr>
      <w:r>
        <w:rPr>
          <w:sz w:val="24"/>
        </w:rPr>
        <w:t>1</w:t>
      </w:r>
      <w:r>
        <w:rPr>
          <w:spacing w:val="-8"/>
          <w:sz w:val="24"/>
        </w:rPr>
        <w:t>、双方应当按照合同及附件规定的期限履行义务。对于因乙方原因使得交货、验收等任</w:t>
      </w:r>
      <w:r>
        <w:rPr>
          <w:spacing w:val="-10"/>
          <w:sz w:val="24"/>
        </w:rPr>
        <w:t xml:space="preserve">一阶段工作延误的，每延迟一天，乙方应按相当于合同总价 </w:t>
      </w:r>
      <w:r>
        <w:rPr>
          <w:sz w:val="24"/>
        </w:rPr>
        <w:t>0.5%</w:t>
      </w:r>
      <w:r>
        <w:rPr>
          <w:spacing w:val="-2"/>
          <w:sz w:val="24"/>
        </w:rPr>
        <w:t xml:space="preserve">的标准向甲方支付违约金， </w:t>
      </w:r>
      <w:r>
        <w:rPr>
          <w:sz w:val="24"/>
        </w:rPr>
        <w:t>以此类推。因任一阶段工作延迟而使甲方额外增加的各项费用由乙方承担。如乙方任一阶段工作延迟使甲方遭受损失的，乙方还应承担甲方由此造成的损失。如乙方任一阶段工作延迟</w:t>
      </w:r>
      <w:r>
        <w:rPr>
          <w:spacing w:val="-12"/>
          <w:sz w:val="24"/>
        </w:rPr>
        <w:t xml:space="preserve">累计超过 </w:t>
      </w:r>
      <w:r>
        <w:rPr>
          <w:sz w:val="24"/>
        </w:rPr>
        <w:t>30</w:t>
      </w:r>
      <w:r>
        <w:rPr>
          <w:spacing w:val="-13"/>
          <w:sz w:val="24"/>
        </w:rPr>
        <w:t xml:space="preserve"> 天时，甲方有权视情况解除本合同。该等解除并不免除乙方根据甲方要求应当承担的上述违约责任。</w:t>
      </w:r>
    </w:p>
    <w:p>
      <w:pPr>
        <w:spacing w:before="1" w:line="343" w:lineRule="auto"/>
        <w:ind w:left="172" w:right="1133" w:firstLine="480"/>
        <w:jc w:val="both"/>
        <w:rPr>
          <w:sz w:val="24"/>
        </w:rPr>
      </w:pPr>
      <w:r>
        <w:rPr>
          <w:sz w:val="24"/>
        </w:rPr>
        <w:t>2</w:t>
      </w:r>
      <w:r>
        <w:rPr>
          <w:spacing w:val="-10"/>
          <w:sz w:val="24"/>
        </w:rPr>
        <w:t>、保修期内，如乙方未能按照合同规定及时提供保修服务，除不可抗力原因外，每延迟</w:t>
      </w:r>
      <w:r>
        <w:rPr>
          <w:spacing w:val="-5"/>
          <w:sz w:val="24"/>
        </w:rPr>
        <w:t xml:space="preserve">一次，乙方应当支付合同总价 </w:t>
      </w:r>
      <w:r>
        <w:rPr>
          <w:sz w:val="24"/>
        </w:rPr>
        <w:t>0.1%的违约金。</w:t>
      </w:r>
    </w:p>
    <w:p>
      <w:pPr>
        <w:spacing w:before="2" w:line="343" w:lineRule="auto"/>
        <w:ind w:left="172" w:right="1133" w:firstLine="480"/>
        <w:rPr>
          <w:sz w:val="24"/>
        </w:rPr>
      </w:pPr>
      <w:r>
        <w:rPr>
          <w:sz w:val="24"/>
        </w:rPr>
        <w:t>3</w:t>
      </w:r>
      <w:r>
        <w:rPr>
          <w:spacing w:val="-10"/>
          <w:sz w:val="24"/>
        </w:rPr>
        <w:t>、对于乙方根据本合同约定应当承担的各项违约金及损失赔偿，甲方均有权依据本合同</w:t>
      </w:r>
      <w:r>
        <w:rPr>
          <w:sz w:val="24"/>
        </w:rPr>
        <w:t>规定从应支付乙方的款项中扣除。</w:t>
      </w:r>
    </w:p>
    <w:p>
      <w:pPr>
        <w:spacing w:line="343" w:lineRule="auto"/>
        <w:ind w:left="172" w:right="1130" w:firstLine="480"/>
        <w:jc w:val="both"/>
        <w:rPr>
          <w:sz w:val="24"/>
        </w:rPr>
      </w:pPr>
      <w:r>
        <w:rPr>
          <w:sz w:val="24"/>
        </w:rPr>
        <w:t>4</w:t>
      </w:r>
      <w:r>
        <w:rPr>
          <w:spacing w:val="-9"/>
          <w:sz w:val="24"/>
        </w:rPr>
        <w:t>、如乙方提供的货物不符合合同要求或者质量、功能存在瑕疵，或者甲方使用乙方提供</w:t>
      </w:r>
      <w:r>
        <w:rPr>
          <w:spacing w:val="-1"/>
          <w:sz w:val="24"/>
        </w:rPr>
        <w:t xml:space="preserve">的货物造成他人人身、财产损害的，乙方应向甲方支付本合同总价 </w:t>
      </w:r>
      <w:r>
        <w:rPr>
          <w:sz w:val="24"/>
        </w:rPr>
        <w:t>10%的违约金，并承担赔偿责任。</w:t>
      </w:r>
    </w:p>
    <w:p>
      <w:pPr>
        <w:spacing w:before="155"/>
        <w:ind w:left="172"/>
        <w:rPr>
          <w:b/>
          <w:sz w:val="24"/>
        </w:rPr>
      </w:pPr>
      <w:r>
        <w:rPr>
          <w:b/>
          <w:sz w:val="24"/>
        </w:rPr>
        <w:t>六、不可抗力</w:t>
      </w:r>
    </w:p>
    <w:p>
      <w:pPr>
        <w:pStyle w:val="2"/>
        <w:spacing w:before="8"/>
        <w:rPr>
          <w:b/>
          <w:sz w:val="22"/>
        </w:rPr>
      </w:pPr>
    </w:p>
    <w:p>
      <w:pPr>
        <w:spacing w:before="1" w:line="343" w:lineRule="auto"/>
        <w:ind w:left="172" w:right="1133" w:firstLine="480"/>
        <w:rPr>
          <w:sz w:val="24"/>
        </w:rPr>
      </w:pPr>
      <w:r>
        <w:rPr>
          <w:sz w:val="24"/>
        </w:rPr>
        <w:t>1</w:t>
      </w:r>
      <w:r>
        <w:rPr>
          <w:spacing w:val="-10"/>
          <w:sz w:val="24"/>
        </w:rPr>
        <w:t>、本合同所称不可抗力，是指其他本合同各方不能预见，而且对其发生和后果不能防止</w:t>
      </w:r>
      <w:r>
        <w:rPr>
          <w:spacing w:val="-1"/>
          <w:sz w:val="24"/>
        </w:rPr>
        <w:t>或不能避免且不可克服的客观情况，包括但不限于：战争、严重火灾、洪水、台风、地震、</w:t>
      </w:r>
    </w:p>
    <w:p>
      <w:pPr>
        <w:spacing w:line="343" w:lineRule="auto"/>
        <w:rPr>
          <w:sz w:val="24"/>
        </w:rPr>
        <w:sectPr>
          <w:pgSz w:w="11910" w:h="16840"/>
          <w:pgMar w:top="1460" w:right="0" w:bottom="480" w:left="960" w:header="0" w:footer="207" w:gutter="0"/>
          <w:cols w:space="720" w:num="1"/>
        </w:sectPr>
      </w:pPr>
    </w:p>
    <w:p>
      <w:pPr>
        <w:spacing w:before="52"/>
        <w:ind w:left="172"/>
        <w:rPr>
          <w:sz w:val="24"/>
        </w:rPr>
      </w:pPr>
      <w:r>
        <w:rPr>
          <w:sz w:val="24"/>
        </w:rPr>
        <w:t>国家政策的重大改制等。</w:t>
      </w:r>
    </w:p>
    <w:p>
      <w:pPr>
        <w:spacing w:before="134" w:line="343" w:lineRule="auto"/>
        <w:ind w:left="172" w:right="1133" w:firstLine="480"/>
        <w:jc w:val="both"/>
        <w:rPr>
          <w:sz w:val="24"/>
        </w:rPr>
      </w:pPr>
      <w:r>
        <w:rPr>
          <w:sz w:val="24"/>
        </w:rPr>
        <w:t>2</w:t>
      </w:r>
      <w:r>
        <w:rPr>
          <w:spacing w:val="-10"/>
          <w:sz w:val="24"/>
        </w:rPr>
        <w:t xml:space="preserve">、本合同任何一方因不可抗力不能履行或不能完全履行本合同的义务时，应在不可抗力发生之日起 </w:t>
      </w:r>
      <w:r>
        <w:rPr>
          <w:sz w:val="24"/>
        </w:rPr>
        <w:t>15</w:t>
      </w:r>
      <w:r>
        <w:rPr>
          <w:spacing w:val="-15"/>
          <w:sz w:val="24"/>
        </w:rPr>
        <w:t xml:space="preserve"> 天内通知本合同的其他方，并在不可抗力发生之日起 </w:t>
      </w:r>
      <w:r>
        <w:rPr>
          <w:sz w:val="24"/>
        </w:rPr>
        <w:t>270</w:t>
      </w:r>
      <w:r>
        <w:rPr>
          <w:spacing w:val="-9"/>
          <w:sz w:val="24"/>
        </w:rPr>
        <w:t xml:space="preserve"> 天内向其他方提供由</w:t>
      </w:r>
      <w:r>
        <w:rPr>
          <w:sz w:val="24"/>
        </w:rPr>
        <w:t>有关部门出具的不可抗力证明。</w:t>
      </w:r>
    </w:p>
    <w:p>
      <w:pPr>
        <w:spacing w:line="343" w:lineRule="auto"/>
        <w:ind w:left="172" w:right="1051" w:firstLine="480"/>
        <w:rPr>
          <w:sz w:val="24"/>
        </w:rPr>
      </w:pPr>
      <w:r>
        <w:rPr>
          <w:sz w:val="24"/>
        </w:rPr>
        <w:t>3、因不可抗力不能履行合同的，根据不可抗力的影响，受影响方部分或全部免除责任， 但法律另有规定的除外，延迟履行合同后发生不可抗力的，不能免除责任。</w:t>
      </w:r>
    </w:p>
    <w:p>
      <w:pPr>
        <w:spacing w:line="345" w:lineRule="auto"/>
        <w:ind w:left="172" w:right="1055" w:firstLine="480"/>
        <w:rPr>
          <w:sz w:val="24"/>
        </w:rPr>
      </w:pPr>
      <w:r>
        <w:rPr>
          <w:sz w:val="24"/>
        </w:rPr>
        <w:t>4、如果因不可抗力的影响致使本合同终止履行 90 天或以上的，任一方均有权终止本合同，并书面通知对方。</w:t>
      </w:r>
    </w:p>
    <w:p>
      <w:pPr>
        <w:spacing w:before="151"/>
        <w:ind w:left="172"/>
        <w:rPr>
          <w:b/>
          <w:sz w:val="24"/>
        </w:rPr>
      </w:pPr>
      <w:r>
        <w:rPr>
          <w:b/>
          <w:sz w:val="24"/>
        </w:rPr>
        <w:t>七、合同纠纷处理</w:t>
      </w:r>
    </w:p>
    <w:p>
      <w:pPr>
        <w:pStyle w:val="2"/>
        <w:spacing w:before="5"/>
        <w:rPr>
          <w:b/>
          <w:sz w:val="22"/>
        </w:rPr>
      </w:pPr>
    </w:p>
    <w:p>
      <w:pPr>
        <w:spacing w:line="360" w:lineRule="auto"/>
        <w:ind w:firstLine="440" w:firstLineChars="200"/>
        <w:rPr>
          <w:rFonts w:hint="eastAsia"/>
        </w:rPr>
      </w:pPr>
      <w:r>
        <w:t>本合同执行过程中如发生纠纷，</w:t>
      </w:r>
      <w:r>
        <w:rPr>
          <w:rFonts w:hint="eastAsia"/>
          <w:u w:val="single"/>
        </w:rPr>
        <w:t>双方先行协商解决，协商不成</w:t>
      </w:r>
      <w:r>
        <w:rPr>
          <w:rFonts w:hint="eastAsia"/>
        </w:rPr>
        <w:t>，按以下第</w:t>
      </w:r>
      <w:r>
        <w:rPr>
          <w:b/>
          <w:bCs/>
          <w:u w:val="none"/>
        </w:rPr>
        <w:t>_ _</w:t>
      </w:r>
      <w:r>
        <w:t>种方式</w:t>
      </w:r>
      <w:r>
        <w:rPr>
          <w:rFonts w:hint="eastAsia"/>
        </w:rPr>
        <w:t xml:space="preserve">解决： </w:t>
      </w:r>
    </w:p>
    <w:p>
      <w:pPr>
        <w:spacing w:line="360" w:lineRule="auto"/>
        <w:ind w:right="5851" w:firstLine="480" w:firstLineChars="200"/>
        <w:rPr>
          <w:sz w:val="24"/>
        </w:rPr>
      </w:pPr>
      <w:r>
        <w:rPr>
          <w:sz w:val="24"/>
        </w:rPr>
        <w:t>1、申请仲裁。仲裁机构为海南</w:t>
      </w:r>
      <w:r>
        <w:rPr>
          <w:rFonts w:hint="eastAsia"/>
          <w:sz w:val="24"/>
          <w:lang w:val="en-US" w:eastAsia="zh-CN"/>
        </w:rPr>
        <w:t>国际仲裁院</w:t>
      </w:r>
      <w:r>
        <w:rPr>
          <w:sz w:val="24"/>
        </w:rPr>
        <w:t>。</w:t>
      </w:r>
    </w:p>
    <w:p>
      <w:pPr>
        <w:spacing w:line="360" w:lineRule="auto"/>
        <w:ind w:firstLine="480" w:firstLineChars="200"/>
        <w:rPr>
          <w:rFonts w:hint="eastAsia"/>
          <w:lang w:val="en-US" w:eastAsia="zh-CN"/>
        </w:rPr>
      </w:pPr>
      <w:r>
        <w:rPr>
          <w:sz w:val="24"/>
        </w:rPr>
        <w:t>2、提起诉讼。</w:t>
      </w:r>
      <w:r>
        <w:rPr>
          <w:rFonts w:hint="eastAsia"/>
          <w:sz w:val="24"/>
        </w:rPr>
        <w:t>向甲方所在地有管辖权的</w:t>
      </w:r>
      <w:r>
        <w:rPr>
          <w:rFonts w:hint="eastAsia"/>
          <w:sz w:val="24"/>
          <w:lang w:val="en-US" w:eastAsia="zh-CN"/>
        </w:rPr>
        <w:t>人民法院提起诉讼。</w:t>
      </w:r>
    </w:p>
    <w:p>
      <w:pPr>
        <w:spacing w:line="360" w:lineRule="auto"/>
        <w:ind w:firstLine="241" w:firstLineChars="100"/>
        <w:rPr>
          <w:b/>
          <w:sz w:val="24"/>
        </w:rPr>
      </w:pPr>
      <w:r>
        <w:rPr>
          <w:b/>
          <w:sz w:val="24"/>
        </w:rPr>
        <w:t>八、合同生效</w:t>
      </w:r>
    </w:p>
    <w:p>
      <w:pPr>
        <w:spacing w:line="360" w:lineRule="auto"/>
        <w:ind w:left="172" w:right="6451" w:firstLine="480"/>
        <w:rPr>
          <w:b/>
          <w:sz w:val="24"/>
        </w:rPr>
      </w:pPr>
      <w:r>
        <w:rPr>
          <w:spacing w:val="-2"/>
          <w:sz w:val="24"/>
        </w:rPr>
        <w:t>本合同由甲乙双方签字盖章后生效。</w:t>
      </w:r>
      <w:r>
        <w:rPr>
          <w:b/>
          <w:sz w:val="24"/>
        </w:rPr>
        <w:t>九、合同鉴证</w:t>
      </w:r>
    </w:p>
    <w:p>
      <w:pPr>
        <w:pStyle w:val="7"/>
        <w:spacing w:line="345" w:lineRule="auto"/>
        <w:ind w:left="172" w:right="1133" w:firstLine="480"/>
      </w:pPr>
      <w:r>
        <w:rPr>
          <w:rFonts w:hint="eastAsia"/>
          <w:sz w:val="24"/>
          <w:szCs w:val="24"/>
        </w:rPr>
        <w:t>招标代理机构应当在本合同上签章，以证明本合同条款与招标文件、投标文件的相关要求相符并且未对采购货物和技术参数进行实质性修改。</w:t>
      </w:r>
    </w:p>
    <w:p>
      <w:pPr>
        <w:spacing w:before="144"/>
        <w:ind w:left="172"/>
        <w:rPr>
          <w:b/>
          <w:sz w:val="24"/>
        </w:rPr>
      </w:pPr>
      <w:r>
        <w:rPr>
          <w:b/>
          <w:sz w:val="24"/>
        </w:rPr>
        <w:t>十、组成本合同的文件包括：</w:t>
      </w:r>
    </w:p>
    <w:p>
      <w:pPr>
        <w:pStyle w:val="2"/>
        <w:spacing w:before="5"/>
        <w:rPr>
          <w:b/>
          <w:sz w:val="22"/>
        </w:rPr>
      </w:pPr>
    </w:p>
    <w:p>
      <w:pPr>
        <w:spacing w:before="1"/>
        <w:ind w:left="652"/>
        <w:rPr>
          <w:sz w:val="24"/>
        </w:rPr>
      </w:pPr>
      <w:r>
        <w:rPr>
          <w:sz w:val="24"/>
        </w:rPr>
        <w:t>1、合同通用条款和专用条款；</w:t>
      </w:r>
    </w:p>
    <w:p>
      <w:pPr>
        <w:spacing w:before="134"/>
        <w:ind w:left="652"/>
        <w:rPr>
          <w:sz w:val="24"/>
        </w:rPr>
      </w:pPr>
      <w:r>
        <w:rPr>
          <w:sz w:val="24"/>
        </w:rPr>
        <w:t>2、招标文件、乙方的投标文件和评标时的澄清函（如有）；</w:t>
      </w:r>
    </w:p>
    <w:p>
      <w:pPr>
        <w:spacing w:before="131"/>
        <w:ind w:left="652"/>
        <w:rPr>
          <w:sz w:val="24"/>
        </w:rPr>
      </w:pPr>
      <w:r>
        <w:rPr>
          <w:sz w:val="24"/>
        </w:rPr>
        <w:t>3、中标通知书；</w:t>
      </w:r>
    </w:p>
    <w:p>
      <w:pPr>
        <w:spacing w:before="132"/>
        <w:ind w:left="652"/>
        <w:rPr>
          <w:sz w:val="24"/>
        </w:rPr>
      </w:pPr>
      <w:r>
        <w:rPr>
          <w:sz w:val="24"/>
        </w:rPr>
        <w:t>4、甲乙双方商定的其他必要文件。</w:t>
      </w:r>
    </w:p>
    <w:p>
      <w:pPr>
        <w:spacing w:before="134" w:line="465" w:lineRule="auto"/>
        <w:ind w:left="172" w:right="3811" w:firstLine="480"/>
        <w:rPr>
          <w:b/>
          <w:sz w:val="24"/>
        </w:rPr>
      </w:pPr>
      <w:r>
        <w:rPr>
          <w:sz w:val="24"/>
        </w:rPr>
        <w:t>上述合同文件内容互为补充，如有不明确，由甲方负责解释。</w:t>
      </w:r>
      <w:r>
        <w:rPr>
          <w:b/>
          <w:sz w:val="24"/>
        </w:rPr>
        <w:t>十一、合同备案</w:t>
      </w:r>
    </w:p>
    <w:p>
      <w:pPr>
        <w:spacing w:line="465" w:lineRule="auto"/>
        <w:ind w:left="172" w:right="1882" w:firstLine="480"/>
        <w:rPr>
          <w:b/>
          <w:sz w:val="24"/>
        </w:rPr>
      </w:pPr>
      <w:r>
        <w:rPr>
          <w:sz w:val="24"/>
        </w:rPr>
        <w:t>本合同</w:t>
      </w:r>
      <w:r>
        <w:rPr>
          <w:b/>
          <w:sz w:val="24"/>
        </w:rPr>
        <w:t>一式陆份</w:t>
      </w:r>
      <w:r>
        <w:rPr>
          <w:sz w:val="24"/>
        </w:rPr>
        <w:t>，中文书写。甲方</w:t>
      </w:r>
      <w:r>
        <w:rPr>
          <w:b/>
          <w:sz w:val="24"/>
        </w:rPr>
        <w:t>叁份</w:t>
      </w:r>
      <w:r>
        <w:rPr>
          <w:sz w:val="24"/>
        </w:rPr>
        <w:t>，乙方</w:t>
      </w:r>
      <w:r>
        <w:rPr>
          <w:b/>
          <w:sz w:val="24"/>
        </w:rPr>
        <w:t>贰份</w:t>
      </w:r>
      <w:r>
        <w:rPr>
          <w:sz w:val="24"/>
        </w:rPr>
        <w:t>，</w:t>
      </w:r>
      <w:r>
        <w:rPr>
          <w:b/>
          <w:sz w:val="24"/>
        </w:rPr>
        <w:t>壹份</w:t>
      </w:r>
      <w:r>
        <w:rPr>
          <w:sz w:val="24"/>
        </w:rPr>
        <w:t>由招标代理机构备案。</w:t>
      </w:r>
      <w:r>
        <w:rPr>
          <w:b/>
          <w:sz w:val="24"/>
        </w:rPr>
        <w:t>十二、合同转让和分包</w:t>
      </w:r>
    </w:p>
    <w:p>
      <w:pPr>
        <w:pStyle w:val="7"/>
        <w:spacing w:line="307" w:lineRule="exact"/>
        <w:ind w:left="652"/>
        <w:sectPr>
          <w:pgSz w:w="11910" w:h="16840"/>
          <w:pgMar w:top="1460" w:right="0" w:bottom="480" w:left="960" w:header="0" w:footer="207" w:gutter="0"/>
          <w:cols w:space="720" w:num="1"/>
        </w:sectPr>
      </w:pPr>
      <w:r>
        <w:rPr>
          <w:rFonts w:hint="eastAsia"/>
          <w:sz w:val="24"/>
          <w:szCs w:val="24"/>
        </w:rPr>
        <w:t>乙方不得全部或部分转让合同。除非甲方事先书面同意外，不得分包其应履行的合同义</w:t>
      </w:r>
      <w:r>
        <w:rPr>
          <w:rFonts w:hint="eastAsia"/>
          <w:sz w:val="24"/>
          <w:szCs w:val="24"/>
          <w:lang w:val="en-US" w:eastAsia="zh-CN"/>
        </w:rPr>
        <w:t>务。</w:t>
      </w:r>
    </w:p>
    <w:p>
      <w:pPr>
        <w:pStyle w:val="2"/>
        <w:spacing w:before="8"/>
        <w:rPr>
          <w:sz w:val="22"/>
        </w:rPr>
      </w:pPr>
    </w:p>
    <w:p>
      <w:pPr>
        <w:tabs>
          <w:tab w:val="left" w:pos="5231"/>
        </w:tabs>
        <w:ind w:left="652"/>
        <w:rPr>
          <w:sz w:val="24"/>
        </w:rPr>
      </w:pPr>
      <w:r>
        <w:rPr>
          <w:b/>
          <w:sz w:val="24"/>
        </w:rPr>
        <w:t>甲方：</w:t>
      </w:r>
      <w:r>
        <w:rPr>
          <w:b/>
          <w:sz w:val="24"/>
          <w:u w:val="single"/>
        </w:rPr>
        <w:t xml:space="preserve"> </w:t>
      </w:r>
      <w:r>
        <w:rPr>
          <w:b/>
          <w:sz w:val="24"/>
          <w:u w:val="single"/>
        </w:rPr>
        <w:tab/>
      </w:r>
      <w:r>
        <w:rPr>
          <w:sz w:val="24"/>
          <w:u w:val="single"/>
        </w:rPr>
        <w:t>（盖章）</w:t>
      </w:r>
    </w:p>
    <w:p>
      <w:pPr>
        <w:pStyle w:val="2"/>
        <w:spacing w:before="8"/>
        <w:rPr>
          <w:sz w:val="16"/>
        </w:rPr>
      </w:pPr>
    </w:p>
    <w:p>
      <w:pPr>
        <w:pStyle w:val="7"/>
        <w:tabs>
          <w:tab w:val="left" w:pos="6251"/>
        </w:tabs>
        <w:spacing w:before="74"/>
        <w:ind w:left="652"/>
        <w:rPr>
          <w:rFonts w:ascii="Times New Roman" w:eastAsia="Times New Roman"/>
        </w:rPr>
      </w:pPr>
      <w:r>
        <w:rPr>
          <w:rFonts w:hint="eastAsia"/>
          <w:spacing w:val="-1"/>
        </w:rPr>
        <w:t>地</w:t>
      </w:r>
      <w:r>
        <w:rPr>
          <w:rFonts w:hint="eastAsia"/>
        </w:rPr>
        <w:t>址：</w:t>
      </w:r>
      <w:r>
        <w:rPr>
          <w:rFonts w:ascii="Times New Roman" w:eastAsia="Times New Roman"/>
          <w:u w:val="single"/>
        </w:rPr>
        <w:t xml:space="preserve"> </w:t>
      </w:r>
      <w:r>
        <w:rPr>
          <w:rFonts w:ascii="Times New Roman" w:eastAsia="Times New Roman"/>
          <w:u w:val="single"/>
        </w:rPr>
        <w:tab/>
      </w:r>
    </w:p>
    <w:p>
      <w:pPr>
        <w:pStyle w:val="2"/>
        <w:spacing w:before="7"/>
        <w:rPr>
          <w:rFonts w:ascii="Times New Roman"/>
          <w:sz w:val="18"/>
        </w:rPr>
      </w:pPr>
    </w:p>
    <w:p>
      <w:pPr>
        <w:tabs>
          <w:tab w:val="left" w:pos="5212"/>
        </w:tabs>
        <w:spacing w:before="74"/>
        <w:ind w:left="6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11"/>
        <w:rPr>
          <w:sz w:val="16"/>
        </w:rPr>
      </w:pPr>
    </w:p>
    <w:p>
      <w:pPr>
        <w:tabs>
          <w:tab w:val="left" w:pos="2575"/>
          <w:tab w:val="left" w:pos="3297"/>
          <w:tab w:val="left" w:pos="4019"/>
        </w:tabs>
        <w:spacing w:before="74"/>
        <w:ind w:left="6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
        <w:spacing w:before="8"/>
        <w:rPr>
          <w:sz w:val="34"/>
        </w:rPr>
      </w:pPr>
    </w:p>
    <w:p>
      <w:pPr>
        <w:tabs>
          <w:tab w:val="left" w:pos="5231"/>
        </w:tabs>
        <w:ind w:left="652"/>
        <w:rPr>
          <w:sz w:val="24"/>
        </w:rPr>
      </w:pPr>
      <w:r>
        <w:rPr>
          <w:b/>
          <w:sz w:val="24"/>
        </w:rPr>
        <w:t>乙方：</w:t>
      </w:r>
      <w:r>
        <w:rPr>
          <w:b/>
          <w:sz w:val="24"/>
          <w:u w:val="single"/>
        </w:rPr>
        <w:t xml:space="preserve"> </w:t>
      </w:r>
      <w:r>
        <w:rPr>
          <w:b/>
          <w:sz w:val="24"/>
          <w:u w:val="single"/>
        </w:rPr>
        <w:tab/>
      </w:r>
      <w:r>
        <w:rPr>
          <w:sz w:val="24"/>
          <w:u w:val="single"/>
        </w:rPr>
        <w:t>（盖章）</w:t>
      </w:r>
    </w:p>
    <w:p>
      <w:pPr>
        <w:pStyle w:val="2"/>
        <w:spacing w:before="9"/>
        <w:rPr>
          <w:sz w:val="16"/>
        </w:rPr>
      </w:pPr>
    </w:p>
    <w:p>
      <w:pPr>
        <w:pStyle w:val="7"/>
        <w:tabs>
          <w:tab w:val="left" w:pos="6251"/>
        </w:tabs>
        <w:spacing w:before="74"/>
        <w:ind w:left="652"/>
        <w:rPr>
          <w:rFonts w:ascii="Times New Roman" w:eastAsia="Times New Roman"/>
        </w:rPr>
      </w:pPr>
      <w:r>
        <w:rPr>
          <w:rFonts w:hint="eastAsia"/>
          <w:spacing w:val="-1"/>
        </w:rPr>
        <w:t>地</w:t>
      </w:r>
      <w:r>
        <w:rPr>
          <w:rFonts w:hint="eastAsia"/>
        </w:rPr>
        <w:t>址：</w:t>
      </w:r>
      <w:r>
        <w:rPr>
          <w:rFonts w:ascii="Times New Roman" w:eastAsia="Times New Roman"/>
          <w:u w:val="single"/>
        </w:rPr>
        <w:t xml:space="preserve"> </w:t>
      </w:r>
      <w:r>
        <w:rPr>
          <w:rFonts w:ascii="Times New Roman" w:eastAsia="Times New Roman"/>
          <w:u w:val="single"/>
        </w:rPr>
        <w:tab/>
      </w:r>
    </w:p>
    <w:p>
      <w:pPr>
        <w:pStyle w:val="2"/>
        <w:spacing w:before="9"/>
        <w:rPr>
          <w:rFonts w:ascii="Times New Roman"/>
          <w:sz w:val="18"/>
        </w:rPr>
      </w:pPr>
    </w:p>
    <w:p>
      <w:pPr>
        <w:tabs>
          <w:tab w:val="left" w:pos="5212"/>
        </w:tabs>
        <w:spacing w:before="74"/>
        <w:ind w:left="6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9"/>
        <w:rPr>
          <w:sz w:val="16"/>
        </w:rPr>
      </w:pPr>
    </w:p>
    <w:p>
      <w:pPr>
        <w:tabs>
          <w:tab w:val="left" w:pos="5526"/>
        </w:tabs>
        <w:spacing w:before="74"/>
        <w:ind w:left="652"/>
        <w:rPr>
          <w:rFonts w:ascii="Times New Roman" w:eastAsia="Times New Roman"/>
          <w:sz w:val="24"/>
        </w:rPr>
      </w:pPr>
      <w:r>
        <w:rPr>
          <w:spacing w:val="-1"/>
          <w:sz w:val="24"/>
        </w:rPr>
        <w:t>银</w:t>
      </w:r>
      <w:r>
        <w:rPr>
          <w:sz w:val="24"/>
        </w:rPr>
        <w:t>行户名：</w:t>
      </w:r>
      <w:r>
        <w:rPr>
          <w:rFonts w:ascii="Times New Roman" w:eastAsia="Times New Roman"/>
          <w:sz w:val="24"/>
          <w:u w:val="single"/>
        </w:rPr>
        <w:t xml:space="preserve"> </w:t>
      </w:r>
      <w:r>
        <w:rPr>
          <w:rFonts w:ascii="Times New Roman" w:eastAsia="Times New Roman"/>
          <w:sz w:val="24"/>
          <w:u w:val="single"/>
        </w:rPr>
        <w:tab/>
      </w:r>
    </w:p>
    <w:p>
      <w:pPr>
        <w:pStyle w:val="2"/>
        <w:spacing w:before="6"/>
        <w:rPr>
          <w:rFonts w:ascii="Times New Roman"/>
          <w:sz w:val="18"/>
        </w:rPr>
      </w:pPr>
    </w:p>
    <w:p>
      <w:pPr>
        <w:tabs>
          <w:tab w:val="left" w:pos="5526"/>
        </w:tabs>
        <w:spacing w:before="75"/>
        <w:ind w:left="652"/>
        <w:rPr>
          <w:rFonts w:ascii="Times New Roman" w:eastAsia="Times New Roman"/>
          <w:sz w:val="24"/>
        </w:rPr>
      </w:pPr>
      <w:r>
        <w:rPr>
          <w:spacing w:val="-1"/>
          <w:sz w:val="24"/>
        </w:rPr>
        <w:t>开</w:t>
      </w:r>
      <w:r>
        <w:rPr>
          <w:sz w:val="24"/>
        </w:rPr>
        <w:t>户银行：</w:t>
      </w:r>
      <w:r>
        <w:rPr>
          <w:rFonts w:ascii="Times New Roman" w:eastAsia="Times New Roman"/>
          <w:sz w:val="24"/>
          <w:u w:val="single"/>
        </w:rPr>
        <w:t xml:space="preserve"> </w:t>
      </w:r>
      <w:r>
        <w:rPr>
          <w:rFonts w:ascii="Times New Roman" w:eastAsia="Times New Roman"/>
          <w:sz w:val="24"/>
          <w:u w:val="single"/>
        </w:rPr>
        <w:tab/>
      </w:r>
    </w:p>
    <w:p>
      <w:pPr>
        <w:pStyle w:val="2"/>
        <w:spacing w:before="9"/>
        <w:rPr>
          <w:rFonts w:ascii="Times New Roman"/>
          <w:sz w:val="18"/>
        </w:rPr>
      </w:pPr>
    </w:p>
    <w:p>
      <w:pPr>
        <w:tabs>
          <w:tab w:val="left" w:pos="5526"/>
        </w:tabs>
        <w:spacing w:before="74"/>
        <w:ind w:left="652"/>
        <w:rPr>
          <w:rFonts w:ascii="Times New Roman" w:eastAsia="Times New Roman"/>
          <w:sz w:val="24"/>
        </w:rPr>
      </w:pPr>
      <w:r>
        <w:rPr>
          <w:spacing w:val="-1"/>
          <w:sz w:val="24"/>
        </w:rPr>
        <w:t>银</w:t>
      </w:r>
      <w:r>
        <w:rPr>
          <w:sz w:val="24"/>
        </w:rPr>
        <w:t>行账号：</w:t>
      </w:r>
      <w:r>
        <w:rPr>
          <w:rFonts w:ascii="Times New Roman" w:eastAsia="Times New Roman"/>
          <w:sz w:val="24"/>
          <w:u w:val="single"/>
        </w:rPr>
        <w:t xml:space="preserve"> </w:t>
      </w:r>
      <w:r>
        <w:rPr>
          <w:rFonts w:ascii="Times New Roman" w:eastAsia="Times New Roman"/>
          <w:sz w:val="24"/>
          <w:u w:val="single"/>
        </w:rPr>
        <w:tab/>
      </w:r>
    </w:p>
    <w:p>
      <w:pPr>
        <w:pStyle w:val="2"/>
        <w:spacing w:before="6"/>
        <w:rPr>
          <w:rFonts w:ascii="Times New Roman"/>
          <w:sz w:val="18"/>
        </w:rPr>
      </w:pPr>
    </w:p>
    <w:p>
      <w:pPr>
        <w:tabs>
          <w:tab w:val="left" w:pos="2575"/>
          <w:tab w:val="left" w:pos="3297"/>
          <w:tab w:val="left" w:pos="4019"/>
        </w:tabs>
        <w:spacing w:before="74"/>
        <w:ind w:left="6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
        <w:spacing w:before="8"/>
        <w:rPr>
          <w:sz w:val="34"/>
        </w:rPr>
      </w:pPr>
    </w:p>
    <w:p>
      <w:pPr>
        <w:spacing w:line="345" w:lineRule="auto"/>
        <w:ind w:left="172" w:right="1135" w:firstLine="480"/>
        <w:rPr>
          <w:b/>
          <w:sz w:val="24"/>
        </w:rPr>
      </w:pPr>
      <w:r>
        <w:rPr>
          <w:b/>
          <w:spacing w:val="-1"/>
          <w:sz w:val="24"/>
        </w:rPr>
        <w:t>招标代理机构声明：本合同标的经海南双达项目管理有限公司依法定程序采购，合同主</w:t>
      </w:r>
      <w:r>
        <w:rPr>
          <w:b/>
          <w:sz w:val="24"/>
        </w:rPr>
        <w:t>要条款内容与招投标文件的内容一致。</w:t>
      </w:r>
    </w:p>
    <w:p>
      <w:pPr>
        <w:pStyle w:val="2"/>
        <w:rPr>
          <w:b/>
        </w:rPr>
      </w:pPr>
    </w:p>
    <w:p>
      <w:pPr>
        <w:tabs>
          <w:tab w:val="left" w:pos="2699"/>
          <w:tab w:val="left" w:pos="5954"/>
        </w:tabs>
        <w:ind w:left="652"/>
        <w:rPr>
          <w:sz w:val="24"/>
        </w:rPr>
      </w:pPr>
      <w:r>
        <w:rPr>
          <w:b/>
          <w:sz w:val="24"/>
        </w:rPr>
        <w:t>招标代理机构：</w:t>
      </w:r>
      <w:r>
        <w:rPr>
          <w:b/>
          <w:sz w:val="24"/>
          <w:u w:val="single"/>
        </w:rPr>
        <w:t xml:space="preserve"> </w:t>
      </w:r>
      <w:r>
        <w:rPr>
          <w:b/>
          <w:sz w:val="24"/>
          <w:u w:val="single"/>
        </w:rPr>
        <w:tab/>
      </w:r>
      <w:r>
        <w:rPr>
          <w:b/>
          <w:sz w:val="24"/>
          <w:u w:val="single"/>
        </w:rPr>
        <w:t>海南双达项目管理有限公司</w:t>
      </w:r>
      <w:r>
        <w:rPr>
          <w:b/>
          <w:sz w:val="24"/>
          <w:u w:val="single"/>
        </w:rPr>
        <w:tab/>
      </w:r>
      <w:r>
        <w:rPr>
          <w:sz w:val="24"/>
          <w:u w:val="single"/>
        </w:rPr>
        <w:t>（盖章）</w:t>
      </w:r>
    </w:p>
    <w:p>
      <w:pPr>
        <w:pStyle w:val="2"/>
        <w:spacing w:before="4"/>
        <w:rPr>
          <w:sz w:val="17"/>
        </w:rPr>
      </w:pPr>
    </w:p>
    <w:p>
      <w:pPr>
        <w:spacing w:before="66"/>
        <w:ind w:left="652"/>
        <w:rPr>
          <w:b/>
          <w:sz w:val="24"/>
        </w:rPr>
      </w:pPr>
      <w:r>
        <w:rPr>
          <w:b/>
          <w:sz w:val="24"/>
        </w:rPr>
        <w:t>地址：</w:t>
      </w:r>
      <w:r>
        <w:rPr>
          <w:b/>
          <w:sz w:val="24"/>
          <w:u w:val="single"/>
        </w:rPr>
        <w:t>海南省海口市美兰区蓝天街道国兴大道 3 号互联网金融大厦 A 栋 23 层</w:t>
      </w:r>
    </w:p>
    <w:p>
      <w:pPr>
        <w:pStyle w:val="2"/>
        <w:spacing w:before="11"/>
        <w:rPr>
          <w:b/>
          <w:sz w:val="16"/>
        </w:rPr>
      </w:pPr>
    </w:p>
    <w:p>
      <w:pPr>
        <w:tabs>
          <w:tab w:val="left" w:pos="5092"/>
        </w:tabs>
        <w:spacing w:before="74"/>
        <w:ind w:left="18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4"/>
        <w:rPr>
          <w:sz w:val="17"/>
        </w:rPr>
      </w:pPr>
    </w:p>
    <w:p>
      <w:pPr>
        <w:tabs>
          <w:tab w:val="left" w:pos="3775"/>
          <w:tab w:val="left" w:pos="4497"/>
          <w:tab w:val="left" w:pos="5219"/>
        </w:tabs>
        <w:spacing w:before="66"/>
        <w:ind w:left="18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rPr>
          <w:sz w:val="24"/>
        </w:rPr>
        <w:sectPr>
          <w:pgSz w:w="11910" w:h="16840"/>
          <w:pgMar w:top="1460" w:right="0" w:bottom="480" w:left="960" w:header="0" w:footer="207" w:gutter="0"/>
          <w:cols w:space="720" w:num="1"/>
        </w:sectPr>
      </w:pPr>
    </w:p>
    <w:p>
      <w:pPr>
        <w:pStyle w:val="2"/>
        <w:spacing w:before="7"/>
        <w:rPr>
          <w:rFonts w:ascii="Microsoft JhengHei"/>
          <w:b/>
          <w:sz w:val="16"/>
        </w:rPr>
      </w:pPr>
    </w:p>
    <w:p>
      <w:pPr>
        <w:pStyle w:val="3"/>
        <w:tabs>
          <w:tab w:val="left" w:pos="4812"/>
        </w:tabs>
        <w:ind w:left="3368"/>
      </w:pPr>
      <w:r>
        <w:t>第五章</w:t>
      </w:r>
      <w:r>
        <w:tab/>
      </w:r>
      <w:r>
        <w:t>评审程序</w:t>
      </w:r>
    </w:p>
    <w:p>
      <w:pPr>
        <w:pStyle w:val="2"/>
        <w:spacing w:before="1"/>
        <w:rPr>
          <w:rFonts w:ascii="Microsoft JhengHei"/>
          <w:b/>
          <w:sz w:val="22"/>
        </w:rPr>
      </w:pPr>
    </w:p>
    <w:p>
      <w:pPr>
        <w:pStyle w:val="9"/>
        <w:numPr>
          <w:ilvl w:val="0"/>
          <w:numId w:val="5"/>
        </w:numPr>
        <w:tabs>
          <w:tab w:val="left" w:pos="1056"/>
        </w:tabs>
        <w:ind w:hanging="243"/>
      </w:pPr>
      <w:r>
        <w:t>总则</w:t>
      </w:r>
    </w:p>
    <w:p>
      <w:pPr>
        <w:pStyle w:val="20"/>
        <w:numPr>
          <w:ilvl w:val="1"/>
          <w:numId w:val="5"/>
        </w:numPr>
        <w:tabs>
          <w:tab w:val="left" w:pos="1175"/>
        </w:tabs>
        <w:spacing w:before="105" w:line="364" w:lineRule="auto"/>
        <w:ind w:left="333" w:right="1432" w:firstLine="480"/>
        <w:rPr>
          <w:sz w:val="24"/>
        </w:rPr>
      </w:pPr>
      <w:r>
        <w:rPr>
          <w:spacing w:val="-4"/>
          <w:sz w:val="24"/>
        </w:rPr>
        <w:t>根据《中华人民共和国政府采购法》和《政府采购货物和服务招标投标管理办</w:t>
      </w:r>
      <w:r>
        <w:rPr>
          <w:sz w:val="24"/>
        </w:rPr>
        <w:t>法》（</w:t>
      </w:r>
      <w:r>
        <w:rPr>
          <w:spacing w:val="-12"/>
          <w:sz w:val="24"/>
        </w:rPr>
        <w:t xml:space="preserve">财政部第 </w:t>
      </w:r>
      <w:r>
        <w:rPr>
          <w:sz w:val="24"/>
        </w:rPr>
        <w:t>87</w:t>
      </w:r>
      <w:r>
        <w:rPr>
          <w:spacing w:val="-20"/>
          <w:sz w:val="24"/>
        </w:rPr>
        <w:t xml:space="preserve"> 号令</w:t>
      </w:r>
      <w:r>
        <w:rPr>
          <w:sz w:val="24"/>
        </w:rPr>
        <w:t>）等法律规章，结合采购项目特点制定本评标办法。</w:t>
      </w:r>
    </w:p>
    <w:p>
      <w:pPr>
        <w:pStyle w:val="20"/>
        <w:numPr>
          <w:ilvl w:val="1"/>
          <w:numId w:val="5"/>
        </w:numPr>
        <w:tabs>
          <w:tab w:val="left" w:pos="1175"/>
        </w:tabs>
        <w:spacing w:line="364" w:lineRule="auto"/>
        <w:ind w:left="333" w:right="1432" w:firstLine="480"/>
        <w:rPr>
          <w:sz w:val="24"/>
        </w:rPr>
      </w:pPr>
      <w:r>
        <w:rPr>
          <w:spacing w:val="-5"/>
          <w:sz w:val="24"/>
        </w:rPr>
        <w:t>评标工作由招标人负责组织，具体评标事务由招标人依法组建的评标委员会负</w:t>
      </w:r>
      <w:r>
        <w:rPr>
          <w:sz w:val="24"/>
        </w:rPr>
        <w:t>责。评标委员会由采购人代表和有关技术、经济等方面的专家组成。</w:t>
      </w:r>
    </w:p>
    <w:p>
      <w:pPr>
        <w:pStyle w:val="20"/>
        <w:numPr>
          <w:ilvl w:val="1"/>
          <w:numId w:val="5"/>
        </w:numPr>
        <w:tabs>
          <w:tab w:val="left" w:pos="1175"/>
        </w:tabs>
        <w:spacing w:line="364" w:lineRule="auto"/>
        <w:ind w:left="333" w:right="1432" w:firstLine="480"/>
        <w:rPr>
          <w:sz w:val="24"/>
        </w:rPr>
      </w:pPr>
      <w:r>
        <w:rPr>
          <w:spacing w:val="-5"/>
          <w:sz w:val="24"/>
        </w:rPr>
        <w:t>评标工作应遵循公平、公正、科学及择优的原则，并以相同的评标程序和标准</w:t>
      </w:r>
      <w:r>
        <w:rPr>
          <w:sz w:val="24"/>
        </w:rPr>
        <w:t>对待所有的投标人。</w:t>
      </w:r>
    </w:p>
    <w:p>
      <w:pPr>
        <w:pStyle w:val="20"/>
        <w:numPr>
          <w:ilvl w:val="1"/>
          <w:numId w:val="5"/>
        </w:numPr>
        <w:tabs>
          <w:tab w:val="left" w:pos="1175"/>
        </w:tabs>
        <w:spacing w:line="364" w:lineRule="auto"/>
        <w:ind w:left="333" w:right="1432" w:firstLine="480"/>
        <w:rPr>
          <w:sz w:val="24"/>
        </w:rPr>
      </w:pPr>
      <w:r>
        <w:rPr>
          <w:spacing w:val="-3"/>
          <w:sz w:val="24"/>
        </w:rPr>
        <w:t>评标委员会按照招标文件规定的评标方法和标准进行评标，并独立履行下列职</w:t>
      </w:r>
      <w:r>
        <w:rPr>
          <w:sz w:val="24"/>
        </w:rPr>
        <w:t>责：</w:t>
      </w:r>
    </w:p>
    <w:p>
      <w:pPr>
        <w:pStyle w:val="20"/>
        <w:numPr>
          <w:ilvl w:val="0"/>
          <w:numId w:val="6"/>
        </w:numPr>
        <w:tabs>
          <w:tab w:val="left" w:pos="1415"/>
        </w:tabs>
        <w:spacing w:line="306" w:lineRule="exact"/>
        <w:ind w:hanging="602"/>
        <w:rPr>
          <w:sz w:val="24"/>
        </w:rPr>
      </w:pPr>
      <w:r>
        <w:rPr>
          <w:sz w:val="24"/>
        </w:rPr>
        <w:t>审查投标文件是否符合招标文件要求，并作出评价；</w:t>
      </w:r>
    </w:p>
    <w:p>
      <w:pPr>
        <w:pStyle w:val="20"/>
        <w:numPr>
          <w:ilvl w:val="0"/>
          <w:numId w:val="6"/>
        </w:numPr>
        <w:tabs>
          <w:tab w:val="left" w:pos="1415"/>
        </w:tabs>
        <w:spacing w:before="156"/>
        <w:ind w:hanging="602"/>
        <w:rPr>
          <w:sz w:val="24"/>
        </w:rPr>
      </w:pPr>
      <w:r>
        <w:rPr>
          <w:sz w:val="24"/>
        </w:rPr>
        <w:t>要求投标人对投标文件有关事项作出解释或者澄清；</w:t>
      </w:r>
    </w:p>
    <w:p>
      <w:pPr>
        <w:pStyle w:val="20"/>
        <w:numPr>
          <w:ilvl w:val="0"/>
          <w:numId w:val="6"/>
        </w:numPr>
        <w:tabs>
          <w:tab w:val="left" w:pos="1415"/>
        </w:tabs>
        <w:spacing w:before="159" w:line="364" w:lineRule="auto"/>
        <w:ind w:left="333" w:right="1432" w:firstLine="480"/>
        <w:rPr>
          <w:sz w:val="24"/>
        </w:rPr>
      </w:pPr>
      <w:r>
        <w:rPr>
          <w:sz w:val="24"/>
        </w:rPr>
        <w:t>推荐中标候选投标人名单，或者受采购人委托按照事先确定的办法直接确</w:t>
      </w:r>
      <w:r>
        <w:rPr>
          <w:spacing w:val="-4"/>
          <w:sz w:val="24"/>
        </w:rPr>
        <w:t>定中标投标人；</w:t>
      </w:r>
    </w:p>
    <w:p>
      <w:pPr>
        <w:pStyle w:val="20"/>
        <w:numPr>
          <w:ilvl w:val="0"/>
          <w:numId w:val="6"/>
        </w:numPr>
        <w:tabs>
          <w:tab w:val="left" w:pos="1415"/>
        </w:tabs>
        <w:spacing w:line="306" w:lineRule="exact"/>
        <w:ind w:hanging="602"/>
        <w:rPr>
          <w:sz w:val="24"/>
        </w:rPr>
      </w:pPr>
      <w:r>
        <w:rPr>
          <w:sz w:val="24"/>
        </w:rPr>
        <w:t>向招标采购单位或者有关部门报告非法干预评标工作的行为。</w:t>
      </w:r>
    </w:p>
    <w:p>
      <w:pPr>
        <w:pStyle w:val="20"/>
        <w:numPr>
          <w:ilvl w:val="1"/>
          <w:numId w:val="5"/>
        </w:numPr>
        <w:tabs>
          <w:tab w:val="left" w:pos="1175"/>
        </w:tabs>
        <w:spacing w:before="160" w:line="364" w:lineRule="auto"/>
        <w:ind w:left="333" w:right="1432" w:firstLine="480"/>
        <w:rPr>
          <w:sz w:val="24"/>
        </w:rPr>
      </w:pPr>
      <w:r>
        <w:rPr>
          <w:spacing w:val="-6"/>
          <w:sz w:val="24"/>
        </w:rPr>
        <w:t>评标过程严格保密。投标人对评委会的评标过程或合同授予决定施加影响的任</w:t>
      </w:r>
      <w:r>
        <w:rPr>
          <w:sz w:val="24"/>
        </w:rPr>
        <w:t>何行为都可能导致其投标被拒绝。</w:t>
      </w:r>
    </w:p>
    <w:p>
      <w:pPr>
        <w:pStyle w:val="20"/>
        <w:numPr>
          <w:ilvl w:val="1"/>
          <w:numId w:val="5"/>
        </w:numPr>
        <w:tabs>
          <w:tab w:val="left" w:pos="1234"/>
        </w:tabs>
        <w:spacing w:line="306" w:lineRule="exact"/>
        <w:ind w:left="1234" w:hanging="421"/>
        <w:rPr>
          <w:sz w:val="24"/>
        </w:rPr>
      </w:pPr>
      <w:r>
        <w:rPr>
          <w:spacing w:val="-5"/>
          <w:sz w:val="24"/>
        </w:rPr>
        <w:t>评委会决定投标文件的响应性依据投标文件本身的内容，而不寻求外部的证据。</w:t>
      </w:r>
    </w:p>
    <w:p>
      <w:pPr>
        <w:pStyle w:val="20"/>
        <w:numPr>
          <w:ilvl w:val="1"/>
          <w:numId w:val="5"/>
        </w:numPr>
        <w:tabs>
          <w:tab w:val="left" w:pos="1234"/>
        </w:tabs>
        <w:spacing w:before="159" w:line="364" w:lineRule="auto"/>
        <w:ind w:left="333" w:right="1432" w:firstLine="480"/>
        <w:jc w:val="both"/>
        <w:rPr>
          <w:sz w:val="24"/>
        </w:rPr>
      </w:pPr>
      <w:r>
        <w:rPr>
          <w:spacing w:val="-6"/>
          <w:sz w:val="24"/>
        </w:rPr>
        <w:t>评委会发现招标文件表述不明确或需要说明的事项，可提请招标采购单位书面</w:t>
      </w:r>
      <w:r>
        <w:rPr>
          <w:spacing w:val="-1"/>
          <w:sz w:val="24"/>
        </w:rPr>
        <w:t>解释说明。发现招标文件违反有关法律、法规和规章的，可以拒绝评标，并向招标采</w:t>
      </w:r>
      <w:r>
        <w:rPr>
          <w:sz w:val="24"/>
        </w:rPr>
        <w:t>购单位书面说明情况。</w:t>
      </w:r>
    </w:p>
    <w:p>
      <w:pPr>
        <w:pStyle w:val="9"/>
        <w:numPr>
          <w:ilvl w:val="0"/>
          <w:numId w:val="5"/>
        </w:numPr>
        <w:tabs>
          <w:tab w:val="left" w:pos="1056"/>
        </w:tabs>
        <w:spacing w:line="360" w:lineRule="exact"/>
        <w:ind w:hanging="243"/>
      </w:pPr>
      <w:r>
        <w:t>评标方法</w:t>
      </w:r>
    </w:p>
    <w:p>
      <w:pPr>
        <w:pStyle w:val="20"/>
        <w:numPr>
          <w:ilvl w:val="1"/>
          <w:numId w:val="5"/>
        </w:numPr>
        <w:tabs>
          <w:tab w:val="left" w:pos="1234"/>
        </w:tabs>
        <w:spacing w:before="105"/>
        <w:ind w:left="1234" w:hanging="421"/>
        <w:rPr>
          <w:sz w:val="24"/>
        </w:rPr>
      </w:pPr>
      <w:r>
        <w:rPr>
          <w:sz w:val="24"/>
        </w:rPr>
        <w:t>本项目评标方法为：综合评分法。</w:t>
      </w:r>
    </w:p>
    <w:p>
      <w:pPr>
        <w:pStyle w:val="9"/>
        <w:numPr>
          <w:ilvl w:val="0"/>
          <w:numId w:val="5"/>
        </w:numPr>
        <w:tabs>
          <w:tab w:val="left" w:pos="1056"/>
        </w:tabs>
        <w:spacing w:before="80"/>
        <w:ind w:hanging="243"/>
      </w:pPr>
      <w:r>
        <w:t>评标程序</w:t>
      </w:r>
    </w:p>
    <w:p>
      <w:pPr>
        <w:pStyle w:val="20"/>
        <w:numPr>
          <w:ilvl w:val="1"/>
          <w:numId w:val="5"/>
        </w:numPr>
        <w:tabs>
          <w:tab w:val="left" w:pos="1234"/>
        </w:tabs>
        <w:spacing w:before="105"/>
        <w:ind w:left="1234" w:hanging="421"/>
        <w:rPr>
          <w:sz w:val="24"/>
        </w:rPr>
      </w:pPr>
      <w:r>
        <w:rPr>
          <w:sz w:val="24"/>
        </w:rPr>
        <w:t>投标文件初审。初审分为资格性审查和符合性审查。</w:t>
      </w:r>
    </w:p>
    <w:p>
      <w:pPr>
        <w:pStyle w:val="20"/>
        <w:numPr>
          <w:ilvl w:val="2"/>
          <w:numId w:val="5"/>
        </w:numPr>
        <w:tabs>
          <w:tab w:val="left" w:pos="1474"/>
        </w:tabs>
        <w:spacing w:before="159" w:line="364" w:lineRule="auto"/>
        <w:ind w:left="333" w:right="1332" w:firstLine="480"/>
        <w:rPr>
          <w:sz w:val="24"/>
        </w:rPr>
      </w:pPr>
      <w:r>
        <w:rPr>
          <w:spacing w:val="-1"/>
          <w:sz w:val="24"/>
        </w:rPr>
        <w:t>资格性审查。依据法律法规和招标文件的规定，对投标文件中的资格证明、</w:t>
      </w:r>
      <w:r>
        <w:rPr>
          <w:sz w:val="24"/>
        </w:rPr>
        <w:t>投标保证金等进行审查，以确定投标投标人是否具备投标资格。投标人投标文件属于下列情况之一的，在资格性审查时按照无效投标处理：详见《资格审查表》。</w:t>
      </w:r>
    </w:p>
    <w:p>
      <w:pPr>
        <w:pStyle w:val="20"/>
        <w:tabs>
          <w:tab w:val="left" w:pos="1234"/>
        </w:tabs>
        <w:spacing w:line="364" w:lineRule="auto"/>
        <w:ind w:left="813" w:right="1432" w:firstLine="0"/>
        <w:jc w:val="both"/>
      </w:pPr>
      <w:r>
        <w:t>3.1.3</w:t>
      </w:r>
      <w:r>
        <w:rPr>
          <w:spacing w:val="-15"/>
        </w:rPr>
        <w:t xml:space="preserve"> 在投标文件初审过程中，如果出现评标委员会成员意见不一致的情况，按照</w:t>
      </w:r>
      <w:r>
        <w:t>少数服从多数的原则确定，但不得违背政府采购基本原则和招标文件规定。</w:t>
      </w:r>
    </w:p>
    <w:p>
      <w:pPr>
        <w:pStyle w:val="20"/>
        <w:tabs>
          <w:tab w:val="left" w:pos="1234"/>
        </w:tabs>
        <w:spacing w:line="364" w:lineRule="auto"/>
        <w:ind w:left="813" w:right="1432" w:firstLine="0"/>
        <w:jc w:val="both"/>
        <w:rPr>
          <w:sz w:val="24"/>
        </w:rPr>
      </w:pPr>
      <w:r>
        <w:rPr>
          <w:rFonts w:hint="eastAsia"/>
          <w:lang w:val="en-US"/>
        </w:rPr>
        <w:t xml:space="preserve">3.2 </w:t>
      </w:r>
      <w:r>
        <w:rPr>
          <w:spacing w:val="-11"/>
          <w:sz w:val="24"/>
        </w:rPr>
        <w:t>澄清有关问题。对投标文件中含义不明确、同类问题表述不一致或者有明显文</w:t>
      </w:r>
      <w:r>
        <w:rPr>
          <w:sz w:val="24"/>
        </w:rPr>
        <w:t>字和计算错误的内容，评标委员会可以书面形式（应当由评标委员会专家签字）</w:t>
      </w:r>
      <w:r>
        <w:rPr>
          <w:spacing w:val="-5"/>
          <w:sz w:val="24"/>
        </w:rPr>
        <w:t>要求</w:t>
      </w:r>
      <w:r>
        <w:rPr>
          <w:spacing w:val="-1"/>
          <w:sz w:val="24"/>
        </w:rPr>
        <w:t>投标人作出必要的澄清、说明或者纠正。投标人的澄清、说明或者补正应当采用书面形式，由其授权的代表签字，并不得超出投标文件的范围或者改变投标文件的实质性</w:t>
      </w:r>
      <w:r>
        <w:rPr>
          <w:sz w:val="24"/>
        </w:rPr>
        <w:t>内容。</w:t>
      </w:r>
    </w:p>
    <w:p>
      <w:pPr>
        <w:pStyle w:val="20"/>
        <w:tabs>
          <w:tab w:val="left" w:pos="1234"/>
        </w:tabs>
        <w:spacing w:line="364" w:lineRule="auto"/>
        <w:ind w:left="813" w:right="1432" w:firstLine="0"/>
        <w:rPr>
          <w:sz w:val="24"/>
        </w:rPr>
      </w:pPr>
      <w:r>
        <w:rPr>
          <w:rFonts w:hint="eastAsia"/>
          <w:spacing w:val="-10"/>
          <w:sz w:val="24"/>
          <w:lang w:val="en-US"/>
        </w:rPr>
        <w:t xml:space="preserve">3.3 </w:t>
      </w:r>
      <w:r>
        <w:rPr>
          <w:spacing w:val="-10"/>
          <w:sz w:val="24"/>
        </w:rPr>
        <w:t>比较与评价。按招标文件中规定的评标方法和标准，对资格性审查和符合性审</w:t>
      </w:r>
      <w:r>
        <w:rPr>
          <w:sz w:val="24"/>
        </w:rPr>
        <w:t>查合格的投标文件进行商务和技术评估，综合比较与评价。</w:t>
      </w:r>
    </w:p>
    <w:p>
      <w:pPr>
        <w:pStyle w:val="20"/>
        <w:tabs>
          <w:tab w:val="left" w:pos="1234"/>
        </w:tabs>
        <w:spacing w:line="364" w:lineRule="auto"/>
        <w:ind w:left="813" w:right="1432" w:firstLine="0"/>
        <w:rPr>
          <w:sz w:val="24"/>
        </w:rPr>
      </w:pPr>
      <w:r>
        <w:rPr>
          <w:rFonts w:hint="eastAsia"/>
          <w:spacing w:val="-8"/>
          <w:sz w:val="24"/>
          <w:lang w:val="en-US"/>
        </w:rPr>
        <w:t xml:space="preserve">3.4 </w:t>
      </w:r>
      <w:r>
        <w:rPr>
          <w:spacing w:val="-8"/>
          <w:sz w:val="24"/>
        </w:rPr>
        <w:t>推荐中标候选投标人名单。中标候选投标人数量应当根据采购需要确定，但必</w:t>
      </w:r>
      <w:r>
        <w:rPr>
          <w:sz w:val="24"/>
        </w:rPr>
        <w:t>须按顺序排列中标候选投标人。</w:t>
      </w:r>
    </w:p>
    <w:p>
      <w:pPr>
        <w:pStyle w:val="20"/>
        <w:tabs>
          <w:tab w:val="left" w:pos="1175"/>
        </w:tabs>
        <w:spacing w:line="364" w:lineRule="auto"/>
        <w:ind w:left="813" w:right="1432" w:firstLine="0"/>
        <w:rPr>
          <w:sz w:val="24"/>
        </w:rPr>
      </w:pPr>
      <w:r>
        <w:rPr>
          <w:rFonts w:hint="eastAsia"/>
          <w:spacing w:val="-5"/>
          <w:sz w:val="24"/>
          <w:lang w:val="en-US"/>
        </w:rPr>
        <w:t xml:space="preserve">3.5 </w:t>
      </w:r>
      <w:r>
        <w:rPr>
          <w:spacing w:val="-5"/>
          <w:sz w:val="24"/>
        </w:rPr>
        <w:t>本项目采用综合评分法，按评审后得分由高到低顺序排列。得分相同的，按投</w:t>
      </w:r>
      <w:r>
        <w:rPr>
          <w:sz w:val="24"/>
        </w:rPr>
        <w:t>标报价由低到高顺序排列。得分且投标报价相同的，按技术指标优劣顺序排列。</w:t>
      </w:r>
    </w:p>
    <w:p>
      <w:pPr>
        <w:pStyle w:val="20"/>
        <w:tabs>
          <w:tab w:val="left" w:pos="1234"/>
        </w:tabs>
        <w:spacing w:line="364" w:lineRule="auto"/>
        <w:ind w:left="813" w:right="1432" w:firstLine="0"/>
        <w:rPr>
          <w:sz w:val="24"/>
        </w:rPr>
      </w:pPr>
      <w:r>
        <w:rPr>
          <w:rFonts w:hint="eastAsia"/>
          <w:spacing w:val="-12"/>
          <w:sz w:val="24"/>
          <w:lang w:val="en-US"/>
        </w:rPr>
        <w:t xml:space="preserve">3.6 </w:t>
      </w:r>
      <w:r>
        <w:rPr>
          <w:spacing w:val="-12"/>
          <w:sz w:val="24"/>
        </w:rPr>
        <w:t>编写评标报告。评标报告是评标委员会根据全体评标成员签字的原始评标记录</w:t>
      </w:r>
      <w:r>
        <w:rPr>
          <w:sz w:val="24"/>
        </w:rPr>
        <w:t>和评标结果编写的报告，其主要内容包括：</w:t>
      </w:r>
    </w:p>
    <w:p>
      <w:pPr>
        <w:pStyle w:val="20"/>
        <w:numPr>
          <w:ilvl w:val="0"/>
          <w:numId w:val="7"/>
        </w:numPr>
        <w:tabs>
          <w:tab w:val="left" w:pos="1415"/>
        </w:tabs>
        <w:spacing w:line="306" w:lineRule="exact"/>
        <w:ind w:hanging="602"/>
        <w:rPr>
          <w:sz w:val="24"/>
        </w:rPr>
      </w:pPr>
      <w:r>
        <w:rPr>
          <w:sz w:val="24"/>
        </w:rPr>
        <w:t>招标公告刊登的媒体名称、开标日期和地点；</w:t>
      </w:r>
    </w:p>
    <w:p>
      <w:pPr>
        <w:pStyle w:val="20"/>
        <w:numPr>
          <w:ilvl w:val="0"/>
          <w:numId w:val="7"/>
        </w:numPr>
        <w:tabs>
          <w:tab w:val="left" w:pos="1415"/>
        </w:tabs>
        <w:spacing w:before="150"/>
        <w:ind w:hanging="602"/>
        <w:rPr>
          <w:sz w:val="24"/>
        </w:rPr>
      </w:pPr>
      <w:r>
        <w:rPr>
          <w:sz w:val="24"/>
        </w:rPr>
        <w:t>购买招标文件的投标人名单和评标委员会成员名单；</w:t>
      </w:r>
    </w:p>
    <w:p>
      <w:pPr>
        <w:pStyle w:val="20"/>
        <w:numPr>
          <w:ilvl w:val="0"/>
          <w:numId w:val="7"/>
        </w:numPr>
        <w:tabs>
          <w:tab w:val="left" w:pos="1415"/>
        </w:tabs>
        <w:spacing w:before="159"/>
        <w:ind w:hanging="602"/>
        <w:rPr>
          <w:sz w:val="24"/>
        </w:rPr>
      </w:pPr>
      <w:r>
        <w:rPr>
          <w:sz w:val="24"/>
        </w:rPr>
        <w:t>评标方法和标准；</w:t>
      </w:r>
    </w:p>
    <w:p>
      <w:pPr>
        <w:pStyle w:val="20"/>
        <w:numPr>
          <w:ilvl w:val="0"/>
          <w:numId w:val="7"/>
        </w:numPr>
        <w:tabs>
          <w:tab w:val="left" w:pos="1415"/>
        </w:tabs>
        <w:spacing w:before="160"/>
        <w:ind w:hanging="602"/>
        <w:rPr>
          <w:sz w:val="24"/>
        </w:rPr>
      </w:pPr>
      <w:r>
        <w:rPr>
          <w:sz w:val="24"/>
        </w:rPr>
        <w:t>开标记录和评标情况及说明，包括投标无效投标人名单及原因；</w:t>
      </w:r>
    </w:p>
    <w:p>
      <w:pPr>
        <w:pStyle w:val="20"/>
        <w:numPr>
          <w:ilvl w:val="0"/>
          <w:numId w:val="7"/>
        </w:numPr>
        <w:tabs>
          <w:tab w:val="left" w:pos="1415"/>
        </w:tabs>
        <w:spacing w:before="159"/>
        <w:ind w:hanging="602"/>
        <w:rPr>
          <w:sz w:val="24"/>
        </w:rPr>
      </w:pPr>
      <w:r>
        <w:rPr>
          <w:sz w:val="24"/>
        </w:rPr>
        <w:t>评标结果和中标候选投标人排序表；</w:t>
      </w:r>
    </w:p>
    <w:p>
      <w:pPr>
        <w:pStyle w:val="20"/>
        <w:numPr>
          <w:ilvl w:val="0"/>
          <w:numId w:val="7"/>
        </w:numPr>
        <w:tabs>
          <w:tab w:val="left" w:pos="1415"/>
        </w:tabs>
        <w:spacing w:before="159"/>
        <w:ind w:hanging="602"/>
        <w:rPr>
          <w:sz w:val="24"/>
        </w:rPr>
      </w:pPr>
      <w:r>
        <w:rPr>
          <w:sz w:val="24"/>
        </w:rPr>
        <w:t>评标委员会的授标建议。</w:t>
      </w:r>
    </w:p>
    <w:p>
      <w:pPr>
        <w:pStyle w:val="9"/>
        <w:numPr>
          <w:ilvl w:val="0"/>
          <w:numId w:val="5"/>
        </w:numPr>
        <w:tabs>
          <w:tab w:val="left" w:pos="1056"/>
        </w:tabs>
        <w:spacing w:before="81"/>
        <w:ind w:hanging="243"/>
      </w:pPr>
      <w:r>
        <w:t>评标细则及标准</w:t>
      </w:r>
    </w:p>
    <w:p>
      <w:pPr>
        <w:pStyle w:val="20"/>
        <w:tabs>
          <w:tab w:val="left" w:pos="1175"/>
        </w:tabs>
        <w:spacing w:before="104" w:line="364" w:lineRule="auto"/>
        <w:ind w:left="813" w:right="1272" w:firstLine="0"/>
        <w:rPr>
          <w:sz w:val="24"/>
        </w:rPr>
      </w:pPr>
      <w:r>
        <w:rPr>
          <w:rFonts w:hint="eastAsia"/>
          <w:spacing w:val="-1"/>
          <w:sz w:val="24"/>
          <w:lang w:val="en-US"/>
        </w:rPr>
        <w:t xml:space="preserve">4.1 </w:t>
      </w:r>
      <w:r>
        <w:rPr>
          <w:spacing w:val="-1"/>
          <w:sz w:val="24"/>
        </w:rPr>
        <w:t>评委会只对通过初审的投标文件，根据招标文件的要求采用相同的评标程序、</w:t>
      </w:r>
      <w:r>
        <w:rPr>
          <w:sz w:val="24"/>
        </w:rPr>
        <w:t>评分办法及标准进行评价和比较。</w:t>
      </w:r>
    </w:p>
    <w:p>
      <w:pPr>
        <w:pStyle w:val="20"/>
        <w:tabs>
          <w:tab w:val="left" w:pos="1175"/>
        </w:tabs>
        <w:spacing w:line="306" w:lineRule="exact"/>
        <w:ind w:left="813" w:firstLine="0"/>
        <w:rPr>
          <w:sz w:val="24"/>
        </w:rPr>
      </w:pPr>
      <w:r>
        <w:rPr>
          <w:rFonts w:hint="eastAsia"/>
          <w:sz w:val="24"/>
          <w:lang w:val="en-US"/>
        </w:rPr>
        <w:t xml:space="preserve">4.2 </w:t>
      </w:r>
      <w:r>
        <w:rPr>
          <w:sz w:val="24"/>
        </w:rPr>
        <w:t>本次综合评分的因素是：价格、技术、服务、对招标文件的响应程度等。</w:t>
      </w:r>
    </w:p>
    <w:p>
      <w:pPr>
        <w:pStyle w:val="20"/>
        <w:tabs>
          <w:tab w:val="left" w:pos="1175"/>
        </w:tabs>
        <w:spacing w:before="160"/>
        <w:ind w:left="813" w:firstLine="0"/>
        <w:rPr>
          <w:sz w:val="24"/>
        </w:rPr>
      </w:pPr>
      <w:r>
        <w:rPr>
          <w:rFonts w:hint="eastAsia"/>
          <w:spacing w:val="-6"/>
          <w:sz w:val="24"/>
          <w:lang w:val="en-US"/>
        </w:rPr>
        <w:t xml:space="preserve">4.3 </w:t>
      </w:r>
      <w:r>
        <w:rPr>
          <w:spacing w:val="-6"/>
          <w:sz w:val="24"/>
        </w:rPr>
        <w:t>除价格因素外，评委会成员应依据投标文件规定的评分标准和方法独立对其他</w:t>
      </w:r>
    </w:p>
    <w:p>
      <w:pPr>
        <w:rPr>
          <w:sz w:val="24"/>
        </w:rPr>
        <w:sectPr>
          <w:headerReference r:id="rId5" w:type="default"/>
          <w:footerReference r:id="rId6" w:type="default"/>
          <w:pgSz w:w="11910" w:h="16840"/>
          <w:pgMar w:top="1360" w:right="40" w:bottom="1180" w:left="1140" w:header="884" w:footer="990" w:gutter="0"/>
          <w:cols w:space="720" w:num="1"/>
        </w:sectPr>
      </w:pPr>
    </w:p>
    <w:p>
      <w:pPr>
        <w:pStyle w:val="2"/>
        <w:spacing w:line="20" w:lineRule="exact"/>
        <w:ind w:left="300"/>
        <w:rPr>
          <w:sz w:val="2"/>
        </w:rPr>
      </w:pPr>
    </w:p>
    <w:p>
      <w:pPr>
        <w:pStyle w:val="2"/>
        <w:spacing w:before="8"/>
        <w:ind w:left="333"/>
      </w:pPr>
      <w:r>
        <w:t>因素进行比较打分。</w:t>
      </w:r>
    </w:p>
    <w:p>
      <w:pPr>
        <w:pStyle w:val="20"/>
        <w:tabs>
          <w:tab w:val="left" w:pos="1175"/>
        </w:tabs>
        <w:spacing w:before="159" w:line="364" w:lineRule="auto"/>
        <w:ind w:left="813" w:right="1432" w:firstLine="0"/>
        <w:rPr>
          <w:sz w:val="24"/>
        </w:rPr>
      </w:pPr>
      <w:r>
        <w:rPr>
          <w:rFonts w:hint="eastAsia"/>
          <w:spacing w:val="-5"/>
          <w:sz w:val="24"/>
          <w:lang w:val="en-US"/>
        </w:rPr>
        <w:t>4.4</w:t>
      </w:r>
      <w:r>
        <w:rPr>
          <w:spacing w:val="-5"/>
          <w:sz w:val="24"/>
        </w:rPr>
        <w:t>在评标过程中，投标文件有下列情况之一，评标委员会成员应当按照招标文件</w:t>
      </w:r>
      <w:r>
        <w:rPr>
          <w:sz w:val="24"/>
        </w:rPr>
        <w:t>规定的非实质性偏离进行扣分：</w:t>
      </w:r>
    </w:p>
    <w:p>
      <w:pPr>
        <w:pStyle w:val="20"/>
        <w:numPr>
          <w:ilvl w:val="0"/>
          <w:numId w:val="8"/>
        </w:numPr>
        <w:tabs>
          <w:tab w:val="left" w:pos="1415"/>
        </w:tabs>
        <w:spacing w:line="364" w:lineRule="auto"/>
        <w:ind w:left="333" w:right="1432" w:firstLine="480"/>
        <w:jc w:val="both"/>
        <w:rPr>
          <w:sz w:val="24"/>
        </w:rPr>
      </w:pPr>
      <w:r>
        <w:rPr>
          <w:sz w:val="24"/>
        </w:rPr>
        <w:t>文字表述的内容含义不明确，或者同类问题表述不一致，或者有明显文字</w:t>
      </w:r>
      <w:r>
        <w:rPr>
          <w:spacing w:val="-4"/>
          <w:sz w:val="24"/>
        </w:rPr>
        <w:t>和计算错误，或者提供的技术信息和数据资料不完整，投标人拒不或在规定的时间内</w:t>
      </w:r>
      <w:r>
        <w:rPr>
          <w:spacing w:val="-3"/>
          <w:sz w:val="24"/>
        </w:rPr>
        <w:t>没有进行澄清、说明或补正或澄清、说明、补正的内容也不能说明问题的；</w:t>
      </w:r>
    </w:p>
    <w:p>
      <w:pPr>
        <w:pStyle w:val="20"/>
        <w:numPr>
          <w:ilvl w:val="0"/>
          <w:numId w:val="8"/>
        </w:numPr>
        <w:tabs>
          <w:tab w:val="left" w:pos="1415"/>
        </w:tabs>
        <w:spacing w:line="306" w:lineRule="exact"/>
        <w:ind w:left="1415" w:hanging="602"/>
        <w:rPr>
          <w:sz w:val="24"/>
        </w:rPr>
      </w:pPr>
      <w:r>
        <w:rPr>
          <w:sz w:val="24"/>
        </w:rPr>
        <w:t>投标文件未按招标文件要求进行装订或未编制目录、页码；</w:t>
      </w:r>
    </w:p>
    <w:p>
      <w:pPr>
        <w:pStyle w:val="20"/>
        <w:numPr>
          <w:ilvl w:val="0"/>
          <w:numId w:val="8"/>
        </w:numPr>
        <w:tabs>
          <w:tab w:val="left" w:pos="1415"/>
        </w:tabs>
        <w:spacing w:before="158"/>
        <w:ind w:left="1415" w:hanging="602"/>
        <w:rPr>
          <w:sz w:val="24"/>
        </w:rPr>
      </w:pPr>
      <w:r>
        <w:rPr>
          <w:sz w:val="24"/>
        </w:rPr>
        <w:t>认定的其他非实质性偏离。</w:t>
      </w:r>
    </w:p>
    <w:p>
      <w:pPr>
        <w:pStyle w:val="20"/>
        <w:tabs>
          <w:tab w:val="left" w:pos="1234"/>
        </w:tabs>
        <w:spacing w:before="160"/>
        <w:ind w:left="813" w:firstLine="0"/>
        <w:rPr>
          <w:sz w:val="24"/>
        </w:rPr>
      </w:pPr>
      <w:r>
        <w:rPr>
          <w:rFonts w:hint="eastAsia"/>
          <w:sz w:val="24"/>
          <w:lang w:val="en-US"/>
        </w:rPr>
        <w:t xml:space="preserve">4.5 </w:t>
      </w:r>
      <w:r>
        <w:rPr>
          <w:sz w:val="24"/>
        </w:rPr>
        <w:t>商务技术评分</w:t>
      </w:r>
    </w:p>
    <w:p>
      <w:pPr>
        <w:pStyle w:val="20"/>
        <w:tabs>
          <w:tab w:val="left" w:pos="1474"/>
        </w:tabs>
        <w:spacing w:before="159"/>
        <w:ind w:left="813" w:firstLine="0"/>
        <w:rPr>
          <w:sz w:val="24"/>
        </w:rPr>
      </w:pPr>
      <w:r>
        <w:rPr>
          <w:rFonts w:hint="eastAsia"/>
          <w:sz w:val="24"/>
          <w:lang w:val="en-US"/>
        </w:rPr>
        <w:t>4.5.1</w:t>
      </w:r>
      <w:r>
        <w:rPr>
          <w:sz w:val="24"/>
        </w:rPr>
        <w:t>商务技术评分的制定以科学合理、降低评标委员会自由裁量权为原则。</w:t>
      </w:r>
    </w:p>
    <w:p>
      <w:pPr>
        <w:pStyle w:val="20"/>
        <w:tabs>
          <w:tab w:val="left" w:pos="1474"/>
        </w:tabs>
        <w:spacing w:before="160"/>
        <w:ind w:left="813" w:firstLine="0"/>
        <w:rPr>
          <w:sz w:val="24"/>
        </w:rPr>
      </w:pPr>
      <w:r>
        <w:rPr>
          <w:lang w:val="en-US" w:bidi="ar-SA"/>
        </w:rPr>
        <mc:AlternateContent>
          <mc:Choice Requires="wps">
            <w:drawing>
              <wp:anchor distT="0" distB="0" distL="114300" distR="114300" simplePos="0" relativeHeight="251659264" behindDoc="0" locked="0" layoutInCell="1" allowOverlap="1">
                <wp:simplePos x="0" y="0"/>
                <wp:positionH relativeFrom="page">
                  <wp:posOffset>1081405</wp:posOffset>
                </wp:positionH>
                <wp:positionV relativeFrom="paragraph">
                  <wp:posOffset>395605</wp:posOffset>
                </wp:positionV>
                <wp:extent cx="5400040" cy="828675"/>
                <wp:effectExtent l="0" t="0" r="0" b="0"/>
                <wp:wrapNone/>
                <wp:docPr id="1" name="文本框 68"/>
                <wp:cNvGraphicFramePr/>
                <a:graphic xmlns:a="http://schemas.openxmlformats.org/drawingml/2006/main">
                  <a:graphicData uri="http://schemas.microsoft.com/office/word/2010/wordprocessingShape">
                    <wps:wsp>
                      <wps:cNvSpPr txBox="1"/>
                      <wps:spPr>
                        <a:xfrm>
                          <a:off x="0" y="0"/>
                          <a:ext cx="5400040" cy="828675"/>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3546"/>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421" w:type="dxa"/>
                                </w:tcPr>
                                <w:p>
                                  <w:pPr>
                                    <w:pStyle w:val="21"/>
                                    <w:spacing w:before="87"/>
                                    <w:ind w:right="492"/>
                                    <w:jc w:val="right"/>
                                    <w:rPr>
                                      <w:rFonts w:ascii="Microsoft JhengHei" w:eastAsia="Microsoft JhengHei"/>
                                      <w:b/>
                                      <w:sz w:val="21"/>
                                    </w:rPr>
                                  </w:pPr>
                                  <w:r>
                                    <w:rPr>
                                      <w:rFonts w:hint="eastAsia" w:ascii="Microsoft JhengHei" w:eastAsia="Microsoft JhengHei"/>
                                      <w:b/>
                                      <w:sz w:val="21"/>
                                    </w:rPr>
                                    <w:t>类别</w:t>
                                  </w:r>
                                </w:p>
                              </w:tc>
                              <w:tc>
                                <w:tcPr>
                                  <w:tcW w:w="3546" w:type="dxa"/>
                                </w:tcPr>
                                <w:p>
                                  <w:pPr>
                                    <w:pStyle w:val="21"/>
                                    <w:spacing w:before="87"/>
                                    <w:ind w:left="1234" w:right="1225"/>
                                    <w:jc w:val="center"/>
                                    <w:rPr>
                                      <w:rFonts w:ascii="Microsoft JhengHei" w:eastAsia="Microsoft JhengHei"/>
                                      <w:b/>
                                      <w:sz w:val="21"/>
                                    </w:rPr>
                                  </w:pPr>
                                  <w:r>
                                    <w:rPr>
                                      <w:rFonts w:hint="eastAsia" w:ascii="Microsoft JhengHei" w:eastAsia="Microsoft JhengHei"/>
                                      <w:b/>
                                      <w:sz w:val="21"/>
                                    </w:rPr>
                                    <w:t>技术、商务</w:t>
                                  </w:r>
                                </w:p>
                              </w:tc>
                              <w:tc>
                                <w:tcPr>
                                  <w:tcW w:w="3492" w:type="dxa"/>
                                </w:tcPr>
                                <w:p>
                                  <w:pPr>
                                    <w:pStyle w:val="21"/>
                                    <w:spacing w:before="87"/>
                                    <w:ind w:left="1469" w:right="1460"/>
                                    <w:jc w:val="center"/>
                                    <w:rPr>
                                      <w:rFonts w:ascii="Microsoft JhengHei" w:eastAsia="Microsoft JhengHei"/>
                                      <w:b/>
                                      <w:sz w:val="21"/>
                                    </w:rPr>
                                  </w:pPr>
                                  <w:r>
                                    <w:rPr>
                                      <w:rFonts w:hint="eastAsia" w:ascii="Microsoft JhengHei" w:eastAsia="Microsoft JhengHei"/>
                                      <w:b/>
                                      <w:sz w:val="21"/>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421" w:type="dxa"/>
                                </w:tcPr>
                                <w:p>
                                  <w:pPr>
                                    <w:pStyle w:val="21"/>
                                    <w:spacing w:before="9"/>
                                    <w:rPr>
                                      <w:sz w:val="16"/>
                                    </w:rPr>
                                  </w:pPr>
                                </w:p>
                                <w:p>
                                  <w:pPr>
                                    <w:pStyle w:val="21"/>
                                    <w:ind w:right="492"/>
                                    <w:jc w:val="right"/>
                                    <w:rPr>
                                      <w:sz w:val="21"/>
                                    </w:rPr>
                                  </w:pPr>
                                  <w:r>
                                    <w:rPr>
                                      <w:sz w:val="21"/>
                                    </w:rPr>
                                    <w:t>权重</w:t>
                                  </w:r>
                                </w:p>
                              </w:tc>
                              <w:tc>
                                <w:tcPr>
                                  <w:tcW w:w="3546" w:type="dxa"/>
                                </w:tcPr>
                                <w:p>
                                  <w:pPr>
                                    <w:pStyle w:val="21"/>
                                    <w:spacing w:before="9"/>
                                    <w:rPr>
                                      <w:color w:val="auto"/>
                                      <w:sz w:val="16"/>
                                    </w:rPr>
                                  </w:pPr>
                                </w:p>
                                <w:p>
                                  <w:pPr>
                                    <w:pStyle w:val="21"/>
                                    <w:ind w:left="1234" w:right="1225"/>
                                    <w:jc w:val="center"/>
                                    <w:rPr>
                                      <w:color w:val="auto"/>
                                      <w:sz w:val="21"/>
                                    </w:rPr>
                                  </w:pPr>
                                  <w:r>
                                    <w:rPr>
                                      <w:color w:val="auto"/>
                                      <w:sz w:val="21"/>
                                      <w:lang w:val="en-US"/>
                                    </w:rPr>
                                    <w:t>60</w:t>
                                  </w:r>
                                  <w:r>
                                    <w:rPr>
                                      <w:rFonts w:hint="eastAsia"/>
                                      <w:color w:val="auto"/>
                                      <w:sz w:val="21"/>
                                      <w:lang w:val="en-US"/>
                                    </w:rPr>
                                    <w:t xml:space="preserve"> </w:t>
                                  </w:r>
                                  <w:r>
                                    <w:rPr>
                                      <w:color w:val="auto"/>
                                      <w:sz w:val="21"/>
                                    </w:rPr>
                                    <w:t>分</w:t>
                                  </w:r>
                                </w:p>
                              </w:tc>
                              <w:tc>
                                <w:tcPr>
                                  <w:tcW w:w="3492" w:type="dxa"/>
                                </w:tcPr>
                                <w:p>
                                  <w:pPr>
                                    <w:pStyle w:val="21"/>
                                    <w:spacing w:before="9"/>
                                    <w:rPr>
                                      <w:color w:val="auto"/>
                                      <w:sz w:val="16"/>
                                    </w:rPr>
                                  </w:pPr>
                                </w:p>
                                <w:p>
                                  <w:pPr>
                                    <w:pStyle w:val="21"/>
                                    <w:ind w:left="1469" w:right="1460"/>
                                    <w:jc w:val="center"/>
                                    <w:rPr>
                                      <w:color w:val="auto"/>
                                      <w:sz w:val="21"/>
                                    </w:rPr>
                                  </w:pPr>
                                  <w:r>
                                    <w:rPr>
                                      <w:rFonts w:hint="eastAsia"/>
                                      <w:color w:val="auto"/>
                                      <w:sz w:val="21"/>
                                      <w:lang w:val="en-US"/>
                                    </w:rPr>
                                    <w:t>4</w:t>
                                  </w:r>
                                  <w:r>
                                    <w:rPr>
                                      <w:color w:val="auto"/>
                                      <w:sz w:val="21"/>
                                      <w:lang w:val="en-US"/>
                                    </w:rPr>
                                    <w:t>0</w:t>
                                  </w:r>
                                  <w:r>
                                    <w:rPr>
                                      <w:color w:val="auto"/>
                                      <w:sz w:val="21"/>
                                    </w:rPr>
                                    <w:t xml:space="preserve"> 分</w:t>
                                  </w:r>
                                </w:p>
                              </w:tc>
                            </w:tr>
                          </w:tbl>
                          <w:p>
                            <w:pPr>
                              <w:pStyle w:val="2"/>
                            </w:pPr>
                          </w:p>
                        </w:txbxContent>
                      </wps:txbx>
                      <wps:bodyPr lIns="0" tIns="0" rIns="0" bIns="0" upright="1"/>
                    </wps:wsp>
                  </a:graphicData>
                </a:graphic>
              </wp:anchor>
            </w:drawing>
          </mc:Choice>
          <mc:Fallback>
            <w:pict>
              <v:shape id="文本框 68" o:spid="_x0000_s1026" o:spt="202" type="#_x0000_t202" style="position:absolute;left:0pt;margin-left:85.15pt;margin-top:31.15pt;height:65.25pt;width:425.2pt;mso-position-horizontal-relative:page;z-index:251659264;mso-width-relative:page;mso-height-relative:page;" filled="f" stroked="f" coordsize="21600,21600" o:gfxdata="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BmW7NkAAAALAQAADwAAAAAAAAABACAAAAAiAAAAZHJzL2Rvd25yZXYueG1sUEsB&#10;AhQAFAAAAAgAh07iQPpfJTe7AQAAcwMAAA4AAAAAAAAAAQAgAAAAKAEAAGRycy9lMm9Eb2MueG1s&#10;UEsFBgAAAAAGAAYAWQEAAFUFA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3546"/>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421" w:type="dxa"/>
                          </w:tcPr>
                          <w:p>
                            <w:pPr>
                              <w:pStyle w:val="21"/>
                              <w:spacing w:before="87"/>
                              <w:ind w:right="492"/>
                              <w:jc w:val="right"/>
                              <w:rPr>
                                <w:rFonts w:ascii="Microsoft JhengHei" w:eastAsia="Microsoft JhengHei"/>
                                <w:b/>
                                <w:sz w:val="21"/>
                              </w:rPr>
                            </w:pPr>
                            <w:r>
                              <w:rPr>
                                <w:rFonts w:hint="eastAsia" w:ascii="Microsoft JhengHei" w:eastAsia="Microsoft JhengHei"/>
                                <w:b/>
                                <w:sz w:val="21"/>
                              </w:rPr>
                              <w:t>类别</w:t>
                            </w:r>
                          </w:p>
                        </w:tc>
                        <w:tc>
                          <w:tcPr>
                            <w:tcW w:w="3546" w:type="dxa"/>
                          </w:tcPr>
                          <w:p>
                            <w:pPr>
                              <w:pStyle w:val="21"/>
                              <w:spacing w:before="87"/>
                              <w:ind w:left="1234" w:right="1225"/>
                              <w:jc w:val="center"/>
                              <w:rPr>
                                <w:rFonts w:ascii="Microsoft JhengHei" w:eastAsia="Microsoft JhengHei"/>
                                <w:b/>
                                <w:sz w:val="21"/>
                              </w:rPr>
                            </w:pPr>
                            <w:r>
                              <w:rPr>
                                <w:rFonts w:hint="eastAsia" w:ascii="Microsoft JhengHei" w:eastAsia="Microsoft JhengHei"/>
                                <w:b/>
                                <w:sz w:val="21"/>
                              </w:rPr>
                              <w:t>技术、商务</w:t>
                            </w:r>
                          </w:p>
                        </w:tc>
                        <w:tc>
                          <w:tcPr>
                            <w:tcW w:w="3492" w:type="dxa"/>
                          </w:tcPr>
                          <w:p>
                            <w:pPr>
                              <w:pStyle w:val="21"/>
                              <w:spacing w:before="87"/>
                              <w:ind w:left="1469" w:right="1460"/>
                              <w:jc w:val="center"/>
                              <w:rPr>
                                <w:rFonts w:ascii="Microsoft JhengHei" w:eastAsia="Microsoft JhengHei"/>
                                <w:b/>
                                <w:sz w:val="21"/>
                              </w:rPr>
                            </w:pPr>
                            <w:r>
                              <w:rPr>
                                <w:rFonts w:hint="eastAsia" w:ascii="Microsoft JhengHei" w:eastAsia="Microsoft JhengHei"/>
                                <w:b/>
                                <w:sz w:val="21"/>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421" w:type="dxa"/>
                          </w:tcPr>
                          <w:p>
                            <w:pPr>
                              <w:pStyle w:val="21"/>
                              <w:spacing w:before="9"/>
                              <w:rPr>
                                <w:sz w:val="16"/>
                              </w:rPr>
                            </w:pPr>
                          </w:p>
                          <w:p>
                            <w:pPr>
                              <w:pStyle w:val="21"/>
                              <w:ind w:right="492"/>
                              <w:jc w:val="right"/>
                              <w:rPr>
                                <w:sz w:val="21"/>
                              </w:rPr>
                            </w:pPr>
                            <w:r>
                              <w:rPr>
                                <w:sz w:val="21"/>
                              </w:rPr>
                              <w:t>权重</w:t>
                            </w:r>
                          </w:p>
                        </w:tc>
                        <w:tc>
                          <w:tcPr>
                            <w:tcW w:w="3546" w:type="dxa"/>
                          </w:tcPr>
                          <w:p>
                            <w:pPr>
                              <w:pStyle w:val="21"/>
                              <w:spacing w:before="9"/>
                              <w:rPr>
                                <w:color w:val="auto"/>
                                <w:sz w:val="16"/>
                              </w:rPr>
                            </w:pPr>
                          </w:p>
                          <w:p>
                            <w:pPr>
                              <w:pStyle w:val="21"/>
                              <w:ind w:left="1234" w:right="1225"/>
                              <w:jc w:val="center"/>
                              <w:rPr>
                                <w:color w:val="auto"/>
                                <w:sz w:val="21"/>
                              </w:rPr>
                            </w:pPr>
                            <w:r>
                              <w:rPr>
                                <w:color w:val="auto"/>
                                <w:sz w:val="21"/>
                                <w:lang w:val="en-US"/>
                              </w:rPr>
                              <w:t>60</w:t>
                            </w:r>
                            <w:r>
                              <w:rPr>
                                <w:rFonts w:hint="eastAsia"/>
                                <w:color w:val="auto"/>
                                <w:sz w:val="21"/>
                                <w:lang w:val="en-US"/>
                              </w:rPr>
                              <w:t xml:space="preserve"> </w:t>
                            </w:r>
                            <w:r>
                              <w:rPr>
                                <w:color w:val="auto"/>
                                <w:sz w:val="21"/>
                              </w:rPr>
                              <w:t>分</w:t>
                            </w:r>
                          </w:p>
                        </w:tc>
                        <w:tc>
                          <w:tcPr>
                            <w:tcW w:w="3492" w:type="dxa"/>
                          </w:tcPr>
                          <w:p>
                            <w:pPr>
                              <w:pStyle w:val="21"/>
                              <w:spacing w:before="9"/>
                              <w:rPr>
                                <w:color w:val="auto"/>
                                <w:sz w:val="16"/>
                              </w:rPr>
                            </w:pPr>
                          </w:p>
                          <w:p>
                            <w:pPr>
                              <w:pStyle w:val="21"/>
                              <w:ind w:left="1469" w:right="1460"/>
                              <w:jc w:val="center"/>
                              <w:rPr>
                                <w:color w:val="auto"/>
                                <w:sz w:val="21"/>
                              </w:rPr>
                            </w:pPr>
                            <w:r>
                              <w:rPr>
                                <w:rFonts w:hint="eastAsia"/>
                                <w:color w:val="auto"/>
                                <w:sz w:val="21"/>
                                <w:lang w:val="en-US"/>
                              </w:rPr>
                              <w:t>4</w:t>
                            </w:r>
                            <w:r>
                              <w:rPr>
                                <w:color w:val="auto"/>
                                <w:sz w:val="21"/>
                                <w:lang w:val="en-US"/>
                              </w:rPr>
                              <w:t>0</w:t>
                            </w:r>
                            <w:r>
                              <w:rPr>
                                <w:color w:val="auto"/>
                                <w:sz w:val="21"/>
                              </w:rPr>
                              <w:t xml:space="preserve"> 分</w:t>
                            </w:r>
                          </w:p>
                        </w:tc>
                      </w:tr>
                    </w:tbl>
                    <w:p>
                      <w:pPr>
                        <w:pStyle w:val="2"/>
                      </w:pPr>
                    </w:p>
                  </w:txbxContent>
                </v:textbox>
              </v:shape>
            </w:pict>
          </mc:Fallback>
        </mc:AlternateContent>
      </w:r>
      <w:r>
        <w:rPr>
          <w:rFonts w:hint="eastAsia"/>
          <w:sz w:val="24"/>
          <w:lang w:val="en-US"/>
        </w:rPr>
        <w:t>4.5.2</w:t>
      </w:r>
      <w:r>
        <w:rPr>
          <w:sz w:val="24"/>
        </w:rPr>
        <w:t>商务技术评分见《综合评分表》</w:t>
      </w:r>
    </w:p>
    <w:p>
      <w:pPr>
        <w:pStyle w:val="2"/>
      </w:pPr>
    </w:p>
    <w:p>
      <w:pPr>
        <w:pStyle w:val="2"/>
      </w:pPr>
    </w:p>
    <w:p>
      <w:pPr>
        <w:pStyle w:val="2"/>
      </w:pPr>
    </w:p>
    <w:p>
      <w:pPr>
        <w:pStyle w:val="2"/>
      </w:pPr>
    </w:p>
    <w:p>
      <w:pPr>
        <w:pStyle w:val="9"/>
        <w:numPr>
          <w:ilvl w:val="0"/>
          <w:numId w:val="5"/>
        </w:numPr>
        <w:tabs>
          <w:tab w:val="left" w:pos="1056"/>
        </w:tabs>
        <w:spacing w:before="155"/>
        <w:ind w:hanging="243"/>
      </w:pPr>
      <w:r>
        <w:t>废标</w:t>
      </w:r>
    </w:p>
    <w:p>
      <w:pPr>
        <w:pStyle w:val="2"/>
        <w:spacing w:before="104"/>
        <w:ind w:left="813"/>
      </w:pPr>
      <w:r>
        <w:t>本次政府采购活动中，出现下列情形之一的，予以废标：</w:t>
      </w:r>
    </w:p>
    <w:p>
      <w:pPr>
        <w:pStyle w:val="20"/>
        <w:numPr>
          <w:ilvl w:val="0"/>
          <w:numId w:val="9"/>
        </w:numPr>
        <w:tabs>
          <w:tab w:val="left" w:pos="1415"/>
        </w:tabs>
        <w:spacing w:before="160"/>
        <w:ind w:hanging="602"/>
        <w:rPr>
          <w:sz w:val="24"/>
        </w:rPr>
      </w:pPr>
      <w:r>
        <w:rPr>
          <w:sz w:val="24"/>
        </w:rPr>
        <w:t>符合专业条件的投标人或者对招标文件作实质响应的投标人不足三家的；</w:t>
      </w:r>
    </w:p>
    <w:p>
      <w:pPr>
        <w:pStyle w:val="20"/>
        <w:numPr>
          <w:ilvl w:val="0"/>
          <w:numId w:val="9"/>
        </w:numPr>
        <w:tabs>
          <w:tab w:val="left" w:pos="1415"/>
        </w:tabs>
        <w:spacing w:before="159"/>
        <w:ind w:hanging="602"/>
        <w:rPr>
          <w:sz w:val="24"/>
        </w:rPr>
      </w:pPr>
      <w:r>
        <w:rPr>
          <w:sz w:val="24"/>
        </w:rPr>
        <w:t>出现影响采购公正的违法、违规行为的；</w:t>
      </w:r>
    </w:p>
    <w:p>
      <w:pPr>
        <w:pStyle w:val="20"/>
        <w:numPr>
          <w:ilvl w:val="0"/>
          <w:numId w:val="9"/>
        </w:numPr>
        <w:tabs>
          <w:tab w:val="left" w:pos="1415"/>
        </w:tabs>
        <w:spacing w:before="160"/>
        <w:ind w:hanging="602"/>
        <w:rPr>
          <w:sz w:val="24"/>
        </w:rPr>
      </w:pPr>
      <w:r>
        <w:rPr>
          <w:sz w:val="24"/>
        </w:rPr>
        <w:t>因重大变故，采购任务取消的。</w:t>
      </w:r>
    </w:p>
    <w:p>
      <w:pPr>
        <w:pStyle w:val="2"/>
        <w:spacing w:before="159"/>
        <w:ind w:left="813"/>
      </w:pPr>
      <w:r>
        <w:t>废标后，采购代理机构应在法定指定媒体上公告，并公告废标的详细理由。</w:t>
      </w:r>
    </w:p>
    <w:p>
      <w:pPr>
        <w:pStyle w:val="9"/>
        <w:numPr>
          <w:ilvl w:val="0"/>
          <w:numId w:val="5"/>
        </w:numPr>
        <w:tabs>
          <w:tab w:val="left" w:pos="1056"/>
        </w:tabs>
        <w:spacing w:before="80"/>
        <w:ind w:hanging="243"/>
      </w:pPr>
      <w:r>
        <w:t>定标</w:t>
      </w:r>
    </w:p>
    <w:p>
      <w:pPr>
        <w:pStyle w:val="20"/>
        <w:numPr>
          <w:ilvl w:val="1"/>
          <w:numId w:val="10"/>
        </w:numPr>
        <w:tabs>
          <w:tab w:val="left" w:pos="1295"/>
        </w:tabs>
        <w:spacing w:before="105"/>
        <w:ind w:hanging="482"/>
        <w:rPr>
          <w:sz w:val="24"/>
        </w:rPr>
      </w:pPr>
      <w:r>
        <w:rPr>
          <w:sz w:val="24"/>
        </w:rPr>
        <w:t>定标原则：本项目根据评委会推荐的中标候选人名单，按顺序确定中标人。</w:t>
      </w:r>
    </w:p>
    <w:p>
      <w:pPr>
        <w:pStyle w:val="20"/>
        <w:numPr>
          <w:ilvl w:val="1"/>
          <w:numId w:val="10"/>
        </w:numPr>
        <w:tabs>
          <w:tab w:val="left" w:pos="1295"/>
        </w:tabs>
        <w:spacing w:before="159"/>
        <w:ind w:hanging="482"/>
        <w:rPr>
          <w:sz w:val="24"/>
        </w:rPr>
      </w:pPr>
      <w:r>
        <w:rPr>
          <w:sz w:val="24"/>
        </w:rPr>
        <w:t>定标程序</w:t>
      </w:r>
    </w:p>
    <w:p>
      <w:pPr>
        <w:pStyle w:val="20"/>
        <w:numPr>
          <w:ilvl w:val="2"/>
          <w:numId w:val="10"/>
        </w:numPr>
        <w:tabs>
          <w:tab w:val="left" w:pos="1415"/>
        </w:tabs>
        <w:spacing w:before="160" w:line="364" w:lineRule="auto"/>
        <w:ind w:left="333" w:right="1432" w:firstLine="480"/>
        <w:jc w:val="both"/>
        <w:rPr>
          <w:sz w:val="24"/>
        </w:rPr>
      </w:pPr>
      <w:r>
        <w:rPr>
          <w:spacing w:val="-4"/>
          <w:sz w:val="24"/>
        </w:rPr>
        <w:t>评委会将评标情况写出书面报告，推荐中标候选人，并按照综合得分高低标</w:t>
      </w:r>
      <w:r>
        <w:rPr>
          <w:spacing w:val="-1"/>
          <w:sz w:val="24"/>
        </w:rPr>
        <w:t>明排列顺序。综合得分相同的，按投标报价由低到高顺序排列。得分且投标报价相同</w:t>
      </w:r>
      <w:r>
        <w:rPr>
          <w:sz w:val="24"/>
        </w:rPr>
        <w:t>的，按技术指标优劣顺序排列。</w:t>
      </w:r>
    </w:p>
    <w:p>
      <w:pPr>
        <w:pStyle w:val="20"/>
        <w:numPr>
          <w:ilvl w:val="2"/>
          <w:numId w:val="10"/>
        </w:numPr>
        <w:tabs>
          <w:tab w:val="left" w:pos="1415"/>
        </w:tabs>
        <w:spacing w:line="306" w:lineRule="exact"/>
        <w:ind w:left="1415" w:hanging="602"/>
        <w:jc w:val="both"/>
        <w:rPr>
          <w:sz w:val="24"/>
        </w:rPr>
      </w:pPr>
      <w:r>
        <w:rPr>
          <w:spacing w:val="-4"/>
          <w:sz w:val="24"/>
        </w:rPr>
        <w:t xml:space="preserve">采购代理机构应当在评标报告结束后 </w:t>
      </w:r>
      <w:r>
        <w:rPr>
          <w:sz w:val="24"/>
        </w:rPr>
        <w:t>1</w:t>
      </w:r>
      <w:r>
        <w:rPr>
          <w:spacing w:val="-8"/>
          <w:sz w:val="24"/>
        </w:rPr>
        <w:t xml:space="preserve"> 个工作日内将评标报告送采购人。</w:t>
      </w:r>
    </w:p>
    <w:p>
      <w:pPr>
        <w:pStyle w:val="20"/>
        <w:numPr>
          <w:ilvl w:val="2"/>
          <w:numId w:val="10"/>
        </w:numPr>
        <w:tabs>
          <w:tab w:val="left" w:pos="1415"/>
        </w:tabs>
        <w:spacing w:before="159" w:line="364" w:lineRule="auto"/>
        <w:ind w:left="333" w:right="1432" w:firstLine="480"/>
        <w:rPr>
          <w:sz w:val="24"/>
        </w:rPr>
      </w:pPr>
      <w:r>
        <w:rPr>
          <w:spacing w:val="-5"/>
          <w:sz w:val="24"/>
        </w:rPr>
        <w:t xml:space="preserve">采购人在收到评标报告后 </w:t>
      </w:r>
      <w:r>
        <w:rPr>
          <w:sz w:val="24"/>
        </w:rPr>
        <w:t>2</w:t>
      </w:r>
      <w:r>
        <w:rPr>
          <w:spacing w:val="-12"/>
          <w:sz w:val="24"/>
        </w:rPr>
        <w:t xml:space="preserve"> 个工作日内，按照评标报告中推荐的中标候选人</w:t>
      </w:r>
      <w:r>
        <w:rPr>
          <w:sz w:val="24"/>
        </w:rPr>
        <w:t>顺序确定中标人。</w:t>
      </w:r>
    </w:p>
    <w:p>
      <w:pPr>
        <w:pStyle w:val="2"/>
        <w:spacing w:line="306" w:lineRule="exact"/>
        <w:ind w:left="813"/>
      </w:pPr>
      <w:r>
        <w:t>注意，采购人按照推荐的中标候选人顺序确定中标人，不能认为采购人只能确定</w:t>
      </w:r>
    </w:p>
    <w:p>
      <w:pPr>
        <w:spacing w:line="306" w:lineRule="exact"/>
        <w:sectPr>
          <w:pgSz w:w="11910" w:h="16840"/>
          <w:pgMar w:top="1360" w:right="40" w:bottom="1180" w:left="1140" w:header="884" w:footer="990" w:gutter="0"/>
          <w:cols w:space="720" w:num="1"/>
        </w:sectPr>
      </w:pPr>
    </w:p>
    <w:p>
      <w:pPr>
        <w:pStyle w:val="2"/>
        <w:spacing w:line="20" w:lineRule="exact"/>
        <w:ind w:left="300"/>
        <w:rPr>
          <w:sz w:val="2"/>
        </w:rPr>
      </w:pPr>
    </w:p>
    <w:p>
      <w:pPr>
        <w:pStyle w:val="2"/>
        <w:spacing w:before="8" w:line="364" w:lineRule="auto"/>
        <w:ind w:left="333" w:right="1432"/>
      </w:pPr>
      <w:r>
        <w:t>第一中标候选人为中标人，采购人有正当理由的，可以确定后一顺序中标候选人为中标人，依次类推。</w:t>
      </w:r>
    </w:p>
    <w:p>
      <w:pPr>
        <w:pStyle w:val="20"/>
        <w:numPr>
          <w:ilvl w:val="2"/>
          <w:numId w:val="10"/>
        </w:numPr>
        <w:tabs>
          <w:tab w:val="left" w:pos="1415"/>
        </w:tabs>
        <w:spacing w:line="364" w:lineRule="auto"/>
        <w:ind w:left="333" w:right="1432" w:firstLine="480"/>
        <w:rPr>
          <w:sz w:val="24"/>
        </w:rPr>
      </w:pPr>
      <w:r>
        <w:rPr>
          <w:spacing w:val="-4"/>
          <w:sz w:val="24"/>
        </w:rPr>
        <w:t>根据采购人确定的中标人，招标人在法定指定媒体上发布中标公告，同时向</w:t>
      </w:r>
      <w:r>
        <w:rPr>
          <w:sz w:val="24"/>
        </w:rPr>
        <w:t>中标人发出中标通知书。</w:t>
      </w:r>
    </w:p>
    <w:p>
      <w:pPr>
        <w:pStyle w:val="20"/>
        <w:numPr>
          <w:ilvl w:val="2"/>
          <w:numId w:val="10"/>
        </w:numPr>
        <w:tabs>
          <w:tab w:val="left" w:pos="1415"/>
        </w:tabs>
        <w:spacing w:line="306" w:lineRule="exact"/>
        <w:ind w:left="1415" w:hanging="602"/>
        <w:rPr>
          <w:sz w:val="24"/>
        </w:rPr>
      </w:pPr>
      <w:r>
        <w:rPr>
          <w:sz w:val="24"/>
        </w:rPr>
        <w:t>招标采购单位不解释中标或落标原因，不退回投标文件和其他投标资料。</w:t>
      </w:r>
    </w:p>
    <w:p>
      <w:pPr>
        <w:pStyle w:val="9"/>
        <w:numPr>
          <w:ilvl w:val="0"/>
          <w:numId w:val="5"/>
        </w:numPr>
        <w:tabs>
          <w:tab w:val="left" w:pos="1056"/>
        </w:tabs>
        <w:spacing w:before="79"/>
        <w:ind w:hanging="243"/>
      </w:pPr>
      <w:r>
        <w:t>评标专家在政府采购活动中承担以下义务：</w:t>
      </w:r>
    </w:p>
    <w:p>
      <w:pPr>
        <w:pStyle w:val="20"/>
        <w:tabs>
          <w:tab w:val="left" w:pos="1175"/>
        </w:tabs>
        <w:spacing w:before="105"/>
        <w:ind w:left="813" w:firstLine="0"/>
        <w:rPr>
          <w:sz w:val="24"/>
        </w:rPr>
      </w:pPr>
      <w:r>
        <w:rPr>
          <w:rFonts w:hint="eastAsia"/>
          <w:sz w:val="24"/>
          <w:lang w:val="en-US"/>
        </w:rPr>
        <w:t xml:space="preserve">7.1 </w:t>
      </w:r>
      <w:r>
        <w:rPr>
          <w:sz w:val="24"/>
        </w:rPr>
        <w:t>遵纪守法，客观、公正、廉洁地履行职责。</w:t>
      </w:r>
    </w:p>
    <w:p>
      <w:pPr>
        <w:pStyle w:val="20"/>
        <w:tabs>
          <w:tab w:val="left" w:pos="1175"/>
        </w:tabs>
        <w:spacing w:before="159" w:line="364" w:lineRule="auto"/>
        <w:ind w:left="813" w:right="1432" w:firstLine="0"/>
        <w:jc w:val="both"/>
        <w:rPr>
          <w:sz w:val="24"/>
        </w:rPr>
      </w:pPr>
      <w:r>
        <w:rPr>
          <w:rFonts w:hint="eastAsia"/>
          <w:sz w:val="24"/>
          <w:lang w:val="en-US"/>
        </w:rPr>
        <w:t xml:space="preserve">7.2 </w:t>
      </w:r>
      <w:r>
        <w:rPr>
          <w:sz w:val="24"/>
        </w:rPr>
        <w:t>按照政府采购法律法规和采购文件的规定要求对投标人的资格条件和投标人</w:t>
      </w:r>
      <w:r>
        <w:rPr>
          <w:spacing w:val="-1"/>
          <w:sz w:val="24"/>
        </w:rPr>
        <w:t>提供的产品价格、技术、服务等方面严格进行评判，提供科学合理、公平公正的评审</w:t>
      </w:r>
      <w:r>
        <w:rPr>
          <w:sz w:val="24"/>
        </w:rPr>
        <w:t>意见，参与起草评审报告，并予签字确认。</w:t>
      </w:r>
    </w:p>
    <w:p>
      <w:pPr>
        <w:pStyle w:val="20"/>
        <w:tabs>
          <w:tab w:val="left" w:pos="1175"/>
        </w:tabs>
        <w:spacing w:line="364" w:lineRule="auto"/>
        <w:ind w:left="813" w:right="1432" w:firstLine="0"/>
        <w:rPr>
          <w:sz w:val="24"/>
        </w:rPr>
      </w:pPr>
      <w:r>
        <w:rPr>
          <w:rFonts w:hint="eastAsia"/>
          <w:spacing w:val="-7"/>
          <w:sz w:val="24"/>
          <w:lang w:val="en-US"/>
        </w:rPr>
        <w:t xml:space="preserve">7.3 </w:t>
      </w:r>
      <w:r>
        <w:rPr>
          <w:spacing w:val="-7"/>
          <w:sz w:val="24"/>
        </w:rPr>
        <w:t>保守秘密。不得透露采购文件咨询情况，不得泄漏投标人的投标文件及知悉的</w:t>
      </w:r>
      <w:r>
        <w:rPr>
          <w:sz w:val="24"/>
        </w:rPr>
        <w:t>商业秘密，不得向投标人透露评审情况。</w:t>
      </w:r>
    </w:p>
    <w:p>
      <w:pPr>
        <w:pStyle w:val="20"/>
        <w:tabs>
          <w:tab w:val="left" w:pos="1175"/>
        </w:tabs>
        <w:spacing w:line="364" w:lineRule="auto"/>
        <w:ind w:left="813" w:right="1432" w:firstLine="0"/>
        <w:rPr>
          <w:sz w:val="24"/>
        </w:rPr>
      </w:pPr>
      <w:r>
        <w:rPr>
          <w:rFonts w:hint="eastAsia"/>
          <w:spacing w:val="-3"/>
          <w:sz w:val="24"/>
          <w:lang w:val="en-US"/>
        </w:rPr>
        <w:t xml:space="preserve">7.4 </w:t>
      </w:r>
      <w:r>
        <w:rPr>
          <w:spacing w:val="-3"/>
          <w:sz w:val="24"/>
        </w:rPr>
        <w:t>发现投标人在政府采购活动中有不正当竞争或恶意串通等违规行为，及时向政</w:t>
      </w:r>
      <w:r>
        <w:rPr>
          <w:sz w:val="24"/>
        </w:rPr>
        <w:t>府采购评审工作的组织者或财政部门报告并加以制止。</w:t>
      </w:r>
    </w:p>
    <w:p>
      <w:pPr>
        <w:pStyle w:val="2"/>
        <w:spacing w:line="364" w:lineRule="auto"/>
        <w:ind w:left="333" w:right="1432" w:firstLine="480"/>
        <w:jc w:val="both"/>
      </w:pPr>
      <w:r>
        <w:t>发现采购人、政府采购代理机构及其工作人员在政府采购活动中有干预评审、发表倾向性和歧视性言论、受贿或者接受投标人的其他好处及其他违法违规行为，及时向财政部门报告。</w:t>
      </w:r>
    </w:p>
    <w:p>
      <w:pPr>
        <w:pStyle w:val="20"/>
        <w:tabs>
          <w:tab w:val="left" w:pos="1175"/>
        </w:tabs>
        <w:spacing w:line="364" w:lineRule="auto"/>
        <w:ind w:left="813" w:right="1432" w:firstLine="0"/>
        <w:rPr>
          <w:sz w:val="24"/>
        </w:rPr>
      </w:pPr>
      <w:r>
        <w:rPr>
          <w:rFonts w:hint="eastAsia"/>
          <w:spacing w:val="-3"/>
          <w:sz w:val="24"/>
          <w:lang w:val="en-US"/>
        </w:rPr>
        <w:t xml:space="preserve">7.5 </w:t>
      </w:r>
      <w:r>
        <w:rPr>
          <w:spacing w:val="-3"/>
          <w:sz w:val="24"/>
        </w:rPr>
        <w:t>解答有关方面对政府采购评审工作中有关问题的询问，配合采购人或者政府采</w:t>
      </w:r>
      <w:r>
        <w:rPr>
          <w:sz w:val="24"/>
        </w:rPr>
        <w:t>购代理机构答复投标人质疑，配合财政部门的投诉处理工作等事宜。</w:t>
      </w:r>
    </w:p>
    <w:p>
      <w:pPr>
        <w:pStyle w:val="20"/>
        <w:tabs>
          <w:tab w:val="left" w:pos="1175"/>
        </w:tabs>
        <w:spacing w:line="306" w:lineRule="exact"/>
        <w:ind w:left="813" w:firstLine="0"/>
        <w:rPr>
          <w:sz w:val="24"/>
        </w:rPr>
      </w:pPr>
      <w:r>
        <w:rPr>
          <w:rFonts w:hint="eastAsia"/>
          <w:sz w:val="24"/>
          <w:lang w:val="en-US"/>
        </w:rPr>
        <w:t xml:space="preserve">7.6 </w:t>
      </w:r>
      <w:r>
        <w:rPr>
          <w:sz w:val="24"/>
        </w:rPr>
        <w:t>法律、法规和规章规定的其他义务。</w:t>
      </w:r>
    </w:p>
    <w:p>
      <w:pPr>
        <w:pStyle w:val="9"/>
        <w:numPr>
          <w:ilvl w:val="0"/>
          <w:numId w:val="5"/>
        </w:numPr>
        <w:tabs>
          <w:tab w:val="left" w:pos="1056"/>
        </w:tabs>
        <w:spacing w:before="75"/>
        <w:ind w:hanging="243"/>
      </w:pPr>
      <w:r>
        <w:t>评审专家在政府采购活动中应当遵守以下工作纪律：</w:t>
      </w:r>
    </w:p>
    <w:p>
      <w:pPr>
        <w:pStyle w:val="20"/>
        <w:tabs>
          <w:tab w:val="left" w:pos="1175"/>
        </w:tabs>
        <w:spacing w:before="105" w:line="364" w:lineRule="auto"/>
        <w:ind w:left="813" w:right="1432" w:firstLine="0"/>
        <w:jc w:val="both"/>
        <w:rPr>
          <w:sz w:val="24"/>
        </w:rPr>
      </w:pPr>
      <w:r>
        <w:rPr>
          <w:rFonts w:hint="eastAsia"/>
          <w:spacing w:val="-4"/>
          <w:sz w:val="24"/>
          <w:lang w:val="en-US"/>
        </w:rPr>
        <w:t xml:space="preserve">8.1 </w:t>
      </w:r>
      <w:r>
        <w:rPr>
          <w:spacing w:val="-4"/>
          <w:sz w:val="24"/>
        </w:rPr>
        <w:t>应邀按时参加评审和咨询活动。遇特殊情况不能出席或途中遇阻不能按时参加</w:t>
      </w:r>
      <w:r>
        <w:rPr>
          <w:spacing w:val="-1"/>
          <w:sz w:val="24"/>
        </w:rPr>
        <w:t>评审或咨询的，应及时告知财政部门或者采购人或者政府采购代理机构，不得私自转</w:t>
      </w:r>
      <w:r>
        <w:rPr>
          <w:sz w:val="24"/>
        </w:rPr>
        <w:t>托他人。</w:t>
      </w:r>
    </w:p>
    <w:p>
      <w:pPr>
        <w:pStyle w:val="20"/>
        <w:tabs>
          <w:tab w:val="left" w:pos="1175"/>
        </w:tabs>
        <w:spacing w:line="364" w:lineRule="auto"/>
        <w:ind w:left="813" w:right="1432" w:firstLine="0"/>
        <w:jc w:val="both"/>
        <w:rPr>
          <w:sz w:val="24"/>
        </w:rPr>
      </w:pPr>
      <w:r>
        <w:rPr>
          <w:rFonts w:hint="eastAsia"/>
          <w:spacing w:val="-3"/>
          <w:sz w:val="24"/>
          <w:lang w:val="en-US"/>
        </w:rPr>
        <w:t xml:space="preserve">8.2 </w:t>
      </w:r>
      <w:r>
        <w:rPr>
          <w:spacing w:val="-3"/>
          <w:sz w:val="24"/>
        </w:rPr>
        <w:t>不得参加与自己有利害关系的政府采购项目的评审活动。对与自己有利害关系</w:t>
      </w:r>
      <w:r>
        <w:rPr>
          <w:spacing w:val="-1"/>
          <w:sz w:val="24"/>
        </w:rPr>
        <w:t>的评审项目，如受到邀请，应主动提出回避。财政部门、采购人或政府采购代理机构</w:t>
      </w:r>
      <w:r>
        <w:rPr>
          <w:sz w:val="24"/>
        </w:rPr>
        <w:t>也可要求该评审专家回避。</w:t>
      </w:r>
    </w:p>
    <w:p>
      <w:pPr>
        <w:pStyle w:val="2"/>
        <w:spacing w:line="364" w:lineRule="auto"/>
        <w:ind w:left="333" w:right="1432" w:firstLine="480"/>
        <w:jc w:val="both"/>
      </w:pPr>
      <w: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spacing w:line="364" w:lineRule="auto"/>
        <w:jc w:val="both"/>
        <w:sectPr>
          <w:pgSz w:w="11910" w:h="16840"/>
          <w:pgMar w:top="1360" w:right="40" w:bottom="1180" w:left="1140" w:header="884" w:footer="990" w:gutter="0"/>
          <w:cols w:space="720" w:num="1"/>
        </w:sectPr>
      </w:pPr>
    </w:p>
    <w:p>
      <w:pPr>
        <w:pStyle w:val="2"/>
        <w:spacing w:before="11"/>
        <w:rPr>
          <w:sz w:val="3"/>
        </w:rPr>
      </w:pPr>
    </w:p>
    <w:p>
      <w:pPr>
        <w:pStyle w:val="2"/>
        <w:spacing w:line="20" w:lineRule="exact"/>
        <w:ind w:left="300"/>
        <w:rPr>
          <w:sz w:val="2"/>
        </w:rPr>
      </w:pPr>
    </w:p>
    <w:p>
      <w:pPr>
        <w:pStyle w:val="20"/>
        <w:tabs>
          <w:tab w:val="left" w:pos="1175"/>
        </w:tabs>
        <w:spacing w:before="8" w:line="364" w:lineRule="auto"/>
        <w:ind w:left="813" w:right="1432" w:firstLine="0"/>
        <w:rPr>
          <w:sz w:val="24"/>
        </w:rPr>
      </w:pPr>
      <w:r>
        <w:rPr>
          <w:rFonts w:hint="eastAsia"/>
          <w:spacing w:val="-4"/>
          <w:sz w:val="24"/>
          <w:lang w:val="en-US"/>
        </w:rPr>
        <w:t xml:space="preserve">8.3 </w:t>
      </w:r>
      <w:r>
        <w:rPr>
          <w:spacing w:val="-4"/>
          <w:sz w:val="24"/>
        </w:rPr>
        <w:t>评审或咨询过程中关闭通讯设备，不得与外界联系。因发生不可预见情况，确</w:t>
      </w:r>
      <w:r>
        <w:rPr>
          <w:sz w:val="24"/>
        </w:rPr>
        <w:t>实需要与外界联系的，应当有在场工作人员陪同。</w:t>
      </w:r>
    </w:p>
    <w:p>
      <w:pPr>
        <w:pStyle w:val="20"/>
        <w:tabs>
          <w:tab w:val="left" w:pos="1175"/>
        </w:tabs>
        <w:spacing w:line="364" w:lineRule="auto"/>
        <w:ind w:left="813" w:right="1432" w:firstLine="0"/>
        <w:jc w:val="both"/>
        <w:rPr>
          <w:sz w:val="24"/>
        </w:rPr>
      </w:pPr>
      <w:r>
        <w:rPr>
          <w:rFonts w:hint="eastAsia"/>
          <w:spacing w:val="-3"/>
          <w:sz w:val="24"/>
          <w:lang w:val="en-US"/>
        </w:rPr>
        <w:t xml:space="preserve">8.4 </w:t>
      </w:r>
      <w:r>
        <w:rPr>
          <w:spacing w:val="-3"/>
          <w:sz w:val="24"/>
        </w:rPr>
        <w:t>评审过程中，不得发表影响评审公正的倾向性、歧视性言论；不得征询或者接</w:t>
      </w:r>
      <w:r>
        <w:rPr>
          <w:spacing w:val="-1"/>
          <w:sz w:val="24"/>
        </w:rPr>
        <w:t>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w:t>
      </w:r>
      <w:r>
        <w:rPr>
          <w:sz w:val="24"/>
        </w:rPr>
        <w:t>意见；不得拒绝对自己的评审意见签字确认。</w:t>
      </w:r>
    </w:p>
    <w:p>
      <w:pPr>
        <w:pStyle w:val="20"/>
        <w:tabs>
          <w:tab w:val="left" w:pos="1175"/>
        </w:tabs>
        <w:spacing w:line="364" w:lineRule="auto"/>
        <w:ind w:left="813" w:right="1432" w:firstLine="0"/>
        <w:jc w:val="both"/>
        <w:rPr>
          <w:sz w:val="24"/>
        </w:rPr>
      </w:pPr>
      <w:r>
        <w:rPr>
          <w:rFonts w:hint="eastAsia"/>
          <w:spacing w:val="-5"/>
          <w:sz w:val="24"/>
          <w:lang w:val="en-US"/>
        </w:rPr>
        <w:t xml:space="preserve">8.5 </w:t>
      </w:r>
      <w:r>
        <w:rPr>
          <w:spacing w:val="-5"/>
          <w:sz w:val="24"/>
        </w:rPr>
        <w:t>在咨询工作中，严格执行国家产业政策和产品标准，认真听取咨询方的合理要</w:t>
      </w:r>
      <w:r>
        <w:rPr>
          <w:spacing w:val="-1"/>
          <w:sz w:val="24"/>
        </w:rPr>
        <w:t>求，提出科学合理的、无倾向性和歧视性的咨询方案，并对所提出的意见和建议承担</w:t>
      </w:r>
      <w:r>
        <w:rPr>
          <w:sz w:val="24"/>
        </w:rPr>
        <w:t>个人责任。</w:t>
      </w:r>
    </w:p>
    <w:p>
      <w:pPr>
        <w:pStyle w:val="20"/>
        <w:tabs>
          <w:tab w:val="left" w:pos="1175"/>
        </w:tabs>
        <w:spacing w:line="306" w:lineRule="exact"/>
        <w:ind w:left="813" w:firstLine="0"/>
        <w:rPr>
          <w:sz w:val="24"/>
        </w:rPr>
      </w:pPr>
      <w:r>
        <w:rPr>
          <w:rFonts w:hint="eastAsia"/>
          <w:sz w:val="24"/>
          <w:lang w:val="en-US"/>
        </w:rPr>
        <w:t xml:space="preserve">8.6 </w:t>
      </w:r>
      <w:r>
        <w:rPr>
          <w:sz w:val="24"/>
        </w:rPr>
        <w:t>有关部门（机构）制定的其他评审工作纪律。</w:t>
      </w:r>
    </w:p>
    <w:p>
      <w:pPr>
        <w:spacing w:line="306" w:lineRule="exact"/>
        <w:rPr>
          <w:sz w:val="24"/>
        </w:rPr>
        <w:sectPr>
          <w:pgSz w:w="11910" w:h="16840"/>
          <w:pgMar w:top="1360" w:right="40" w:bottom="1180" w:left="1140" w:header="884" w:footer="990" w:gutter="0"/>
          <w:cols w:space="720" w:num="1"/>
        </w:sectPr>
      </w:pPr>
    </w:p>
    <w:p>
      <w:pPr>
        <w:pStyle w:val="8"/>
        <w:ind w:left="315" w:right="1414"/>
        <w:jc w:val="center"/>
      </w:pPr>
      <w:r>
        <w:t>资格性审查表</w:t>
      </w:r>
    </w:p>
    <w:p>
      <w:pPr>
        <w:pStyle w:val="2"/>
        <w:spacing w:before="15"/>
        <w:rPr>
          <w:rFonts w:ascii="Microsoft JhengHei"/>
          <w:b/>
          <w:sz w:val="21"/>
        </w:rPr>
      </w:pPr>
    </w:p>
    <w:p>
      <w:pPr>
        <w:pStyle w:val="2"/>
        <w:tabs>
          <w:tab w:val="left" w:pos="5733"/>
        </w:tabs>
        <w:ind w:left="813"/>
      </w:pPr>
      <w:r>
        <w:t>项目名称：</w:t>
      </w:r>
      <w:r>
        <w:tab/>
      </w: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957"/>
        <w:gridCol w:w="3263"/>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48" w:type="dxa"/>
          </w:tcPr>
          <w:p>
            <w:pPr>
              <w:pStyle w:val="21"/>
              <w:spacing w:before="152"/>
              <w:ind w:left="93" w:right="84"/>
              <w:jc w:val="center"/>
              <w:rPr>
                <w:rFonts w:ascii="Microsoft JhengHei" w:eastAsia="Microsoft JhengHei"/>
                <w:b/>
                <w:sz w:val="21"/>
              </w:rPr>
            </w:pPr>
            <w:r>
              <w:rPr>
                <w:rFonts w:hint="eastAsia" w:ascii="Microsoft JhengHei" w:eastAsia="Microsoft JhengHei"/>
                <w:b/>
                <w:sz w:val="21"/>
              </w:rPr>
              <w:t>序号</w:t>
            </w:r>
          </w:p>
        </w:tc>
        <w:tc>
          <w:tcPr>
            <w:tcW w:w="1957" w:type="dxa"/>
          </w:tcPr>
          <w:p>
            <w:pPr>
              <w:pStyle w:val="21"/>
              <w:spacing w:before="152"/>
              <w:ind w:left="327" w:right="318"/>
              <w:jc w:val="center"/>
              <w:rPr>
                <w:rFonts w:ascii="Microsoft JhengHei" w:eastAsia="Microsoft JhengHei"/>
                <w:b/>
                <w:sz w:val="21"/>
              </w:rPr>
            </w:pPr>
            <w:r>
              <w:rPr>
                <w:rFonts w:hint="eastAsia" w:ascii="Microsoft JhengHei" w:eastAsia="Microsoft JhengHei"/>
                <w:b/>
                <w:sz w:val="21"/>
              </w:rPr>
              <w:t>审查项目</w:t>
            </w:r>
          </w:p>
        </w:tc>
        <w:tc>
          <w:tcPr>
            <w:tcW w:w="3263" w:type="dxa"/>
          </w:tcPr>
          <w:p>
            <w:pPr>
              <w:pStyle w:val="21"/>
              <w:spacing w:before="152"/>
              <w:ind w:left="159"/>
              <w:rPr>
                <w:sz w:val="21"/>
              </w:rPr>
            </w:pPr>
            <w:r>
              <w:rPr>
                <w:rFonts w:hint="eastAsia" w:ascii="Microsoft JhengHei" w:eastAsia="Microsoft JhengHei"/>
                <w:b/>
                <w:sz w:val="21"/>
              </w:rPr>
              <w:t>评议内容</w:t>
            </w:r>
            <w:r>
              <w:rPr>
                <w:sz w:val="21"/>
              </w:rPr>
              <w:t>（无效投标认定条件）</w:t>
            </w:r>
          </w:p>
        </w:tc>
        <w:tc>
          <w:tcPr>
            <w:tcW w:w="1080" w:type="dxa"/>
          </w:tcPr>
          <w:p>
            <w:pPr>
              <w:pStyle w:val="21"/>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1</w:t>
            </w:r>
          </w:p>
        </w:tc>
        <w:tc>
          <w:tcPr>
            <w:tcW w:w="1080" w:type="dxa"/>
          </w:tcPr>
          <w:p>
            <w:pPr>
              <w:pStyle w:val="21"/>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2</w:t>
            </w:r>
          </w:p>
        </w:tc>
        <w:tc>
          <w:tcPr>
            <w:tcW w:w="1080" w:type="dxa"/>
          </w:tcPr>
          <w:p>
            <w:pPr>
              <w:pStyle w:val="21"/>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1"/>
            </w:pPr>
          </w:p>
          <w:p>
            <w:pPr>
              <w:pStyle w:val="21"/>
              <w:spacing w:before="146"/>
              <w:ind w:left="10"/>
              <w:jc w:val="center"/>
              <w:rPr>
                <w:rFonts w:ascii="Times New Roman"/>
                <w:sz w:val="21"/>
              </w:rPr>
            </w:pPr>
            <w:r>
              <w:rPr>
                <w:rFonts w:ascii="Times New Roman"/>
                <w:sz w:val="21"/>
              </w:rPr>
              <w:t>1</w:t>
            </w:r>
          </w:p>
        </w:tc>
        <w:tc>
          <w:tcPr>
            <w:tcW w:w="1957" w:type="dxa"/>
          </w:tcPr>
          <w:p>
            <w:pPr>
              <w:pStyle w:val="21"/>
              <w:rPr>
                <w:sz w:val="20"/>
              </w:rPr>
            </w:pPr>
          </w:p>
          <w:p>
            <w:pPr>
              <w:pStyle w:val="21"/>
              <w:spacing w:before="157"/>
              <w:ind w:left="328" w:right="318"/>
              <w:jc w:val="center"/>
              <w:rPr>
                <w:sz w:val="21"/>
              </w:rPr>
            </w:pPr>
            <w:r>
              <w:rPr>
                <w:sz w:val="21"/>
              </w:rPr>
              <w:t>投标人的资格</w:t>
            </w:r>
          </w:p>
        </w:tc>
        <w:tc>
          <w:tcPr>
            <w:tcW w:w="3263" w:type="dxa"/>
          </w:tcPr>
          <w:p>
            <w:pPr>
              <w:pStyle w:val="21"/>
              <w:spacing w:line="480" w:lineRule="exact"/>
              <w:ind w:left="108" w:right="204"/>
              <w:rPr>
                <w:sz w:val="21"/>
              </w:rPr>
            </w:pPr>
            <w:r>
              <w:rPr>
                <w:sz w:val="21"/>
              </w:rPr>
              <w:t>是否符合第一章招标公告申请人的资格要求</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1"/>
            </w:pPr>
          </w:p>
          <w:p>
            <w:pPr>
              <w:pStyle w:val="21"/>
              <w:spacing w:before="146"/>
              <w:ind w:left="10"/>
              <w:jc w:val="center"/>
              <w:rPr>
                <w:rFonts w:ascii="Times New Roman"/>
                <w:sz w:val="21"/>
              </w:rPr>
            </w:pPr>
            <w:r>
              <w:rPr>
                <w:rFonts w:ascii="Times New Roman"/>
                <w:sz w:val="21"/>
              </w:rPr>
              <w:t>2</w:t>
            </w:r>
          </w:p>
        </w:tc>
        <w:tc>
          <w:tcPr>
            <w:tcW w:w="1957" w:type="dxa"/>
          </w:tcPr>
          <w:p>
            <w:pPr>
              <w:pStyle w:val="21"/>
              <w:rPr>
                <w:sz w:val="20"/>
              </w:rPr>
            </w:pPr>
          </w:p>
          <w:p>
            <w:pPr>
              <w:pStyle w:val="21"/>
              <w:spacing w:before="157"/>
              <w:ind w:left="328" w:right="318"/>
              <w:jc w:val="center"/>
              <w:rPr>
                <w:sz w:val="21"/>
              </w:rPr>
            </w:pPr>
            <w:r>
              <w:rPr>
                <w:sz w:val="21"/>
              </w:rPr>
              <w:t>投标保证金</w:t>
            </w:r>
          </w:p>
        </w:tc>
        <w:tc>
          <w:tcPr>
            <w:tcW w:w="3263" w:type="dxa"/>
          </w:tcPr>
          <w:p>
            <w:pPr>
              <w:pStyle w:val="21"/>
              <w:spacing w:line="480" w:lineRule="exact"/>
              <w:ind w:left="108" w:right="95"/>
              <w:rPr>
                <w:sz w:val="21"/>
              </w:rPr>
            </w:pPr>
            <w:r>
              <w:rPr>
                <w:spacing w:val="-11"/>
                <w:sz w:val="21"/>
              </w:rPr>
              <w:t>是否提交保证金的，是否符合招标</w:t>
            </w:r>
            <w:r>
              <w:rPr>
                <w:sz w:val="21"/>
              </w:rPr>
              <w:t>文件要求</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648" w:type="dxa"/>
          </w:tcPr>
          <w:p>
            <w:pPr>
              <w:pStyle w:val="21"/>
            </w:pPr>
          </w:p>
          <w:p>
            <w:pPr>
              <w:pStyle w:val="21"/>
              <w:spacing w:before="9"/>
              <w:rPr>
                <w:sz w:val="16"/>
              </w:rPr>
            </w:pPr>
          </w:p>
          <w:p>
            <w:pPr>
              <w:pStyle w:val="21"/>
              <w:ind w:left="10"/>
              <w:jc w:val="center"/>
              <w:rPr>
                <w:rFonts w:ascii="Times New Roman"/>
                <w:sz w:val="21"/>
              </w:rPr>
            </w:pPr>
            <w:r>
              <w:rPr>
                <w:rFonts w:ascii="Times New Roman"/>
                <w:sz w:val="21"/>
              </w:rPr>
              <w:t>3</w:t>
            </w:r>
          </w:p>
        </w:tc>
        <w:tc>
          <w:tcPr>
            <w:tcW w:w="1957" w:type="dxa"/>
          </w:tcPr>
          <w:p>
            <w:pPr>
              <w:pStyle w:val="21"/>
              <w:spacing w:before="143" w:line="364" w:lineRule="auto"/>
              <w:ind w:left="109" w:right="97" w:firstLine="29"/>
              <w:rPr>
                <w:sz w:val="21"/>
              </w:rPr>
            </w:pPr>
            <w:r>
              <w:fldChar w:fldCharType="begin"/>
            </w:r>
            <w:r>
              <w:instrText xml:space="preserve"> HYPERLINK \l "_bookmark7" </w:instrText>
            </w:r>
            <w:r>
              <w:fldChar w:fldCharType="separate"/>
            </w:r>
            <w:r>
              <w:rPr>
                <w:sz w:val="21"/>
              </w:rPr>
              <w:t>法定代表人身份证</w:t>
            </w:r>
            <w:r>
              <w:rPr>
                <w:sz w:val="21"/>
              </w:rPr>
              <w:fldChar w:fldCharType="end"/>
            </w:r>
            <w:r>
              <w:fldChar w:fldCharType="begin"/>
            </w:r>
            <w:r>
              <w:instrText xml:space="preserve"> HYPERLINK \l "_bookmark7" </w:instrText>
            </w:r>
            <w:r>
              <w:fldChar w:fldCharType="separate"/>
            </w:r>
            <w:r>
              <w:rPr>
                <w:sz w:val="21"/>
              </w:rPr>
              <w:t>明</w:t>
            </w:r>
            <w:r>
              <w:rPr>
                <w:rFonts w:ascii="Times New Roman" w:eastAsia="Times New Roman"/>
                <w:sz w:val="21"/>
              </w:rPr>
              <w:t>/</w:t>
            </w:r>
            <w:r>
              <w:rPr>
                <w:rFonts w:ascii="Times New Roman" w:eastAsia="Times New Roman"/>
                <w:sz w:val="21"/>
              </w:rPr>
              <w:fldChar w:fldCharType="end"/>
            </w:r>
            <w:r>
              <w:rPr>
                <w:sz w:val="21"/>
              </w:rPr>
              <w:t>法人授权委托书</w:t>
            </w:r>
          </w:p>
        </w:tc>
        <w:tc>
          <w:tcPr>
            <w:tcW w:w="3263" w:type="dxa"/>
          </w:tcPr>
          <w:p>
            <w:pPr>
              <w:pStyle w:val="21"/>
              <w:rPr>
                <w:sz w:val="20"/>
              </w:rPr>
            </w:pPr>
          </w:p>
          <w:p>
            <w:pPr>
              <w:pStyle w:val="21"/>
              <w:spacing w:before="8"/>
              <w:rPr>
                <w:sz w:val="17"/>
              </w:rPr>
            </w:pPr>
          </w:p>
          <w:p>
            <w:pPr>
              <w:pStyle w:val="21"/>
              <w:ind w:left="108"/>
              <w:rPr>
                <w:sz w:val="21"/>
              </w:rPr>
            </w:pPr>
            <w:r>
              <w:rPr>
                <w:sz w:val="21"/>
              </w:rPr>
              <w:t>是否符合招标文件要求</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868" w:type="dxa"/>
            <w:gridSpan w:val="3"/>
          </w:tcPr>
          <w:p>
            <w:pPr>
              <w:pStyle w:val="21"/>
              <w:tabs>
                <w:tab w:val="left" w:pos="1155"/>
              </w:tabs>
              <w:spacing w:before="104" w:line="355" w:lineRule="exact"/>
              <w:ind w:right="494"/>
              <w:jc w:val="center"/>
              <w:rPr>
                <w:rFonts w:ascii="Microsoft JhengHei" w:eastAsia="Microsoft JhengHei"/>
                <w:b/>
                <w:sz w:val="21"/>
              </w:rPr>
            </w:pPr>
            <w:r>
              <w:rPr>
                <w:rFonts w:hint="eastAsia" w:ascii="Microsoft JhengHei" w:eastAsia="Microsoft JhengHei"/>
                <w:b/>
                <w:sz w:val="21"/>
              </w:rPr>
              <w:t>结</w:t>
            </w:r>
            <w:r>
              <w:rPr>
                <w:rFonts w:hint="eastAsia" w:ascii="Microsoft JhengHei" w:eastAsia="Microsoft JhengHei"/>
                <w:b/>
                <w:sz w:val="21"/>
              </w:rPr>
              <w:tab/>
            </w:r>
            <w:r>
              <w:rPr>
                <w:rFonts w:hint="eastAsia" w:ascii="Microsoft JhengHei" w:eastAsia="Microsoft JhengHei"/>
                <w:b/>
                <w:sz w:val="21"/>
              </w:rPr>
              <w:t>论</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r>
    </w:tbl>
    <w:p>
      <w:pPr>
        <w:pStyle w:val="2"/>
        <w:spacing w:before="144"/>
        <w:ind w:left="333"/>
      </w:pPr>
      <w:r>
        <w:rPr>
          <w:rFonts w:ascii="Times New Roman" w:hAnsi="Times New Roman" w:eastAsia="Times New Roman"/>
        </w:rPr>
        <w:t>1</w:t>
      </w:r>
      <w:r>
        <w:t>、表中只需填写“√</w:t>
      </w:r>
      <w:r>
        <w:rPr>
          <w:rFonts w:ascii="Times New Roman" w:hAnsi="Times New Roman" w:eastAsia="Times New Roman"/>
        </w:rPr>
        <w:t>/</w:t>
      </w:r>
      <w:r>
        <w:t>通过”或“×</w:t>
      </w:r>
      <w:r>
        <w:rPr>
          <w:rFonts w:ascii="Times New Roman" w:hAnsi="Times New Roman" w:eastAsia="Times New Roman"/>
        </w:rPr>
        <w:t>/</w:t>
      </w:r>
      <w:r>
        <w:t>不通过”。</w:t>
      </w:r>
    </w:p>
    <w:p>
      <w:pPr>
        <w:pStyle w:val="2"/>
        <w:spacing w:before="172" w:line="374" w:lineRule="auto"/>
        <w:ind w:left="333" w:right="1432"/>
      </w:pPr>
      <w:r>
        <w:rPr>
          <w:rFonts w:ascii="Times New Roman" w:hAnsi="Times New Roman" w:eastAsia="Times New Roman"/>
        </w:rPr>
        <w:t>2</w:t>
      </w:r>
      <w:r>
        <w:rPr>
          <w:spacing w:val="-5"/>
        </w:rPr>
        <w:t>、在结论中按“一项否决”的原则，只有全部是√</w:t>
      </w:r>
      <w:r>
        <w:rPr>
          <w:rFonts w:ascii="Times New Roman" w:hAnsi="Times New Roman" w:eastAsia="Times New Roman"/>
        </w:rPr>
        <w:t>/</w:t>
      </w:r>
      <w:r>
        <w:rPr>
          <w:spacing w:val="-6"/>
        </w:rPr>
        <w:t>通过的，填写“合格”；只要其中</w:t>
      </w:r>
      <w:r>
        <w:t>有一项是×</w:t>
      </w:r>
      <w:r>
        <w:rPr>
          <w:rFonts w:ascii="Times New Roman" w:hAnsi="Times New Roman" w:eastAsia="Times New Roman"/>
        </w:rPr>
        <w:t>/</w:t>
      </w:r>
      <w:r>
        <w:t>不通过的，填写“不合格”。</w:t>
      </w:r>
    </w:p>
    <w:p>
      <w:pPr>
        <w:pStyle w:val="2"/>
        <w:spacing w:before="1"/>
        <w:ind w:left="333"/>
      </w:pPr>
      <w:r>
        <w:rPr>
          <w:rFonts w:ascii="Times New Roman" w:eastAsia="Times New Roman"/>
        </w:rPr>
        <w:t>3</w:t>
      </w:r>
      <w:r>
        <w:t>、结论是合格的，才能进入下一轮；不合格的被淘汰。</w:t>
      </w:r>
    </w:p>
    <w:p>
      <w:pPr>
        <w:sectPr>
          <w:pgSz w:w="11910" w:h="16840"/>
          <w:pgMar w:top="1360" w:right="40" w:bottom="1180" w:left="1140" w:header="884" w:footer="990" w:gutter="0"/>
          <w:cols w:space="720" w:num="1"/>
        </w:sectPr>
      </w:pPr>
    </w:p>
    <w:p>
      <w:pPr>
        <w:pStyle w:val="8"/>
        <w:ind w:left="315" w:right="1414"/>
        <w:jc w:val="center"/>
      </w:pPr>
      <w:r>
        <w:t>符合性审查表</w:t>
      </w:r>
    </w:p>
    <w:p>
      <w:pPr>
        <w:pStyle w:val="2"/>
        <w:spacing w:before="2"/>
        <w:rPr>
          <w:rFonts w:ascii="Microsoft JhengHei"/>
          <w:b/>
          <w:sz w:val="29"/>
        </w:rPr>
      </w:pPr>
    </w:p>
    <w:p>
      <w:pPr>
        <w:pStyle w:val="2"/>
        <w:tabs>
          <w:tab w:val="left" w:pos="5733"/>
        </w:tabs>
        <w:ind w:left="813"/>
      </w:pPr>
      <w:r>
        <w:t>项目名称：</w:t>
      </w:r>
      <w:r>
        <w:tab/>
      </w: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800"/>
        <w:gridCol w:w="342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48" w:type="dxa"/>
          </w:tcPr>
          <w:p>
            <w:pPr>
              <w:pStyle w:val="21"/>
              <w:spacing w:before="152"/>
              <w:ind w:left="93" w:right="84"/>
              <w:jc w:val="center"/>
              <w:rPr>
                <w:rFonts w:ascii="Microsoft JhengHei" w:eastAsia="Microsoft JhengHei"/>
                <w:b/>
                <w:sz w:val="21"/>
              </w:rPr>
            </w:pPr>
            <w:r>
              <w:rPr>
                <w:rFonts w:hint="eastAsia" w:ascii="Microsoft JhengHei" w:eastAsia="Microsoft JhengHei"/>
                <w:b/>
                <w:sz w:val="21"/>
              </w:rPr>
              <w:t>序号</w:t>
            </w:r>
          </w:p>
        </w:tc>
        <w:tc>
          <w:tcPr>
            <w:tcW w:w="1800" w:type="dxa"/>
          </w:tcPr>
          <w:p>
            <w:pPr>
              <w:pStyle w:val="21"/>
              <w:spacing w:before="152"/>
              <w:ind w:left="144" w:right="135"/>
              <w:jc w:val="center"/>
              <w:rPr>
                <w:rFonts w:ascii="Microsoft JhengHei" w:eastAsia="Microsoft JhengHei"/>
                <w:b/>
                <w:sz w:val="21"/>
              </w:rPr>
            </w:pPr>
            <w:r>
              <w:rPr>
                <w:rFonts w:hint="eastAsia" w:ascii="Microsoft JhengHei" w:eastAsia="Microsoft JhengHei"/>
                <w:b/>
                <w:sz w:val="21"/>
              </w:rPr>
              <w:t>审查项目</w:t>
            </w:r>
          </w:p>
        </w:tc>
        <w:tc>
          <w:tcPr>
            <w:tcW w:w="3420" w:type="dxa"/>
          </w:tcPr>
          <w:p>
            <w:pPr>
              <w:pStyle w:val="21"/>
              <w:spacing w:before="152"/>
              <w:ind w:left="238"/>
              <w:rPr>
                <w:sz w:val="21"/>
              </w:rPr>
            </w:pPr>
            <w:r>
              <w:rPr>
                <w:rFonts w:hint="eastAsia" w:ascii="Microsoft JhengHei" w:eastAsia="Microsoft JhengHei"/>
                <w:b/>
                <w:sz w:val="21"/>
              </w:rPr>
              <w:t>评议内容</w:t>
            </w:r>
            <w:r>
              <w:rPr>
                <w:sz w:val="21"/>
              </w:rPr>
              <w:t>（无效投标认定条件）</w:t>
            </w:r>
          </w:p>
        </w:tc>
        <w:tc>
          <w:tcPr>
            <w:tcW w:w="1080" w:type="dxa"/>
          </w:tcPr>
          <w:p>
            <w:pPr>
              <w:pStyle w:val="21"/>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1</w:t>
            </w:r>
          </w:p>
        </w:tc>
        <w:tc>
          <w:tcPr>
            <w:tcW w:w="1080" w:type="dxa"/>
          </w:tcPr>
          <w:p>
            <w:pPr>
              <w:pStyle w:val="21"/>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2</w:t>
            </w:r>
          </w:p>
        </w:tc>
        <w:tc>
          <w:tcPr>
            <w:tcW w:w="1080" w:type="dxa"/>
          </w:tcPr>
          <w:p>
            <w:pPr>
              <w:pStyle w:val="21"/>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648" w:type="dxa"/>
          </w:tcPr>
          <w:p>
            <w:pPr>
              <w:pStyle w:val="21"/>
              <w:spacing w:before="7"/>
              <w:rPr>
                <w:sz w:val="29"/>
              </w:rPr>
            </w:pPr>
          </w:p>
          <w:p>
            <w:pPr>
              <w:pStyle w:val="21"/>
              <w:ind w:left="10"/>
              <w:jc w:val="center"/>
              <w:rPr>
                <w:rFonts w:ascii="Times New Roman"/>
                <w:sz w:val="21"/>
              </w:rPr>
            </w:pPr>
            <w:r>
              <w:rPr>
                <w:rFonts w:ascii="Times New Roman"/>
                <w:sz w:val="21"/>
              </w:rPr>
              <w:t>1</w:t>
            </w:r>
          </w:p>
        </w:tc>
        <w:tc>
          <w:tcPr>
            <w:tcW w:w="1800" w:type="dxa"/>
          </w:tcPr>
          <w:p>
            <w:pPr>
              <w:pStyle w:val="21"/>
              <w:spacing w:before="4"/>
              <w:rPr>
                <w:sz w:val="28"/>
              </w:rPr>
            </w:pPr>
          </w:p>
          <w:p>
            <w:pPr>
              <w:pStyle w:val="21"/>
              <w:ind w:left="145" w:right="135"/>
              <w:jc w:val="center"/>
              <w:rPr>
                <w:sz w:val="21"/>
              </w:rPr>
            </w:pPr>
            <w:r>
              <w:rPr>
                <w:sz w:val="21"/>
              </w:rPr>
              <w:t>投标文件符合性</w:t>
            </w:r>
          </w:p>
        </w:tc>
        <w:tc>
          <w:tcPr>
            <w:tcW w:w="3420" w:type="dxa"/>
          </w:tcPr>
          <w:p>
            <w:pPr>
              <w:pStyle w:val="21"/>
              <w:spacing w:before="4"/>
              <w:rPr>
                <w:sz w:val="28"/>
              </w:rPr>
            </w:pPr>
          </w:p>
          <w:p>
            <w:pPr>
              <w:pStyle w:val="21"/>
              <w:ind w:left="108"/>
              <w:rPr>
                <w:sz w:val="21"/>
              </w:rPr>
            </w:pPr>
            <w:r>
              <w:rPr>
                <w:sz w:val="21"/>
              </w:rPr>
              <w:t>是否满足招标文件的实质性要求</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648" w:type="dxa"/>
          </w:tcPr>
          <w:p>
            <w:pPr>
              <w:pStyle w:val="21"/>
              <w:spacing w:before="188"/>
              <w:ind w:left="10"/>
              <w:jc w:val="center"/>
              <w:rPr>
                <w:rFonts w:ascii="Times New Roman"/>
                <w:sz w:val="21"/>
              </w:rPr>
            </w:pPr>
            <w:r>
              <w:rPr>
                <w:rFonts w:ascii="Times New Roman"/>
                <w:sz w:val="21"/>
              </w:rPr>
              <w:t>2</w:t>
            </w:r>
          </w:p>
        </w:tc>
        <w:tc>
          <w:tcPr>
            <w:tcW w:w="1800" w:type="dxa"/>
          </w:tcPr>
          <w:p>
            <w:pPr>
              <w:pStyle w:val="21"/>
              <w:spacing w:before="13" w:line="480" w:lineRule="atLeast"/>
              <w:ind w:left="375" w:right="154" w:hanging="210"/>
              <w:rPr>
                <w:sz w:val="21"/>
              </w:rPr>
            </w:pPr>
            <w:r>
              <w:rPr>
                <w:sz w:val="21"/>
              </w:rPr>
              <w:t>投标文件的有效性、完整性</w:t>
            </w:r>
          </w:p>
        </w:tc>
        <w:tc>
          <w:tcPr>
            <w:tcW w:w="3420" w:type="dxa"/>
          </w:tcPr>
          <w:p>
            <w:pPr>
              <w:pStyle w:val="21"/>
              <w:rPr>
                <w:sz w:val="15"/>
              </w:rPr>
            </w:pPr>
          </w:p>
          <w:p>
            <w:pPr>
              <w:pStyle w:val="21"/>
              <w:spacing w:line="304" w:lineRule="auto"/>
              <w:ind w:left="108" w:right="96"/>
              <w:rPr>
                <w:sz w:val="21"/>
              </w:rPr>
            </w:pPr>
            <w:r>
              <w:rPr>
                <w:sz w:val="21"/>
              </w:rPr>
              <w:t>是否符合招标文件的式样和签署要求且内容完整无缺漏</w:t>
            </w:r>
          </w:p>
        </w:tc>
        <w:tc>
          <w:tcPr>
            <w:tcW w:w="1080" w:type="dxa"/>
          </w:tcPr>
          <w:p>
            <w:pPr>
              <w:pStyle w:val="21"/>
              <w:rPr>
                <w:rFonts w:ascii="Times New Roman"/>
                <w:sz w:val="20"/>
              </w:rPr>
            </w:pPr>
          </w:p>
        </w:tc>
        <w:tc>
          <w:tcPr>
            <w:tcW w:w="1080" w:type="dxa"/>
          </w:tcPr>
          <w:p>
            <w:pPr>
              <w:pStyle w:val="21"/>
              <w:rPr>
                <w:rFonts w:ascii="Times New Roman"/>
                <w:sz w:val="20"/>
              </w:rPr>
            </w:pPr>
          </w:p>
        </w:tc>
        <w:tc>
          <w:tcPr>
            <w:tcW w:w="108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1"/>
              <w:spacing w:before="188"/>
              <w:ind w:left="10"/>
              <w:jc w:val="center"/>
              <w:rPr>
                <w:rFonts w:ascii="Times New Roman"/>
                <w:sz w:val="21"/>
              </w:rPr>
            </w:pPr>
            <w:r>
              <w:rPr>
                <w:rFonts w:ascii="Times New Roman"/>
                <w:sz w:val="21"/>
              </w:rPr>
              <w:t>3</w:t>
            </w:r>
          </w:p>
        </w:tc>
        <w:tc>
          <w:tcPr>
            <w:tcW w:w="1800" w:type="dxa"/>
          </w:tcPr>
          <w:p>
            <w:pPr>
              <w:pStyle w:val="21"/>
              <w:spacing w:line="480" w:lineRule="exact"/>
              <w:ind w:left="690" w:right="154" w:hanging="525"/>
              <w:rPr>
                <w:sz w:val="21"/>
              </w:rPr>
            </w:pPr>
            <w:r>
              <w:rPr>
                <w:sz w:val="21"/>
              </w:rPr>
              <w:t>投标报价项目完整性</w:t>
            </w:r>
          </w:p>
        </w:tc>
        <w:tc>
          <w:tcPr>
            <w:tcW w:w="3420" w:type="dxa"/>
          </w:tcPr>
          <w:p>
            <w:pPr>
              <w:pStyle w:val="21"/>
              <w:spacing w:before="143" w:line="304" w:lineRule="auto"/>
              <w:ind w:left="108" w:right="96"/>
              <w:rPr>
                <w:sz w:val="21"/>
              </w:rPr>
            </w:pPr>
            <w:r>
              <w:rPr>
                <w:sz w:val="21"/>
              </w:rPr>
              <w:t>是否对本项目内所有的内容进行投标，漏报其投标将被拒绝</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48" w:type="dxa"/>
          </w:tcPr>
          <w:p>
            <w:pPr>
              <w:pStyle w:val="21"/>
              <w:spacing w:before="188"/>
              <w:ind w:left="10"/>
              <w:jc w:val="center"/>
              <w:rPr>
                <w:rFonts w:ascii="Times New Roman"/>
                <w:sz w:val="21"/>
              </w:rPr>
            </w:pPr>
            <w:r>
              <w:rPr>
                <w:rFonts w:ascii="Times New Roman"/>
                <w:sz w:val="21"/>
              </w:rPr>
              <w:t>4</w:t>
            </w:r>
          </w:p>
        </w:tc>
        <w:tc>
          <w:tcPr>
            <w:tcW w:w="1800" w:type="dxa"/>
          </w:tcPr>
          <w:p>
            <w:pPr>
              <w:pStyle w:val="21"/>
              <w:spacing w:before="173"/>
              <w:ind w:left="145" w:right="135"/>
              <w:jc w:val="center"/>
              <w:rPr>
                <w:sz w:val="21"/>
              </w:rPr>
            </w:pPr>
            <w:r>
              <w:rPr>
                <w:sz w:val="21"/>
              </w:rPr>
              <w:t>投标报价</w:t>
            </w:r>
          </w:p>
        </w:tc>
        <w:tc>
          <w:tcPr>
            <w:tcW w:w="3420" w:type="dxa"/>
          </w:tcPr>
          <w:p>
            <w:pPr>
              <w:pStyle w:val="21"/>
              <w:spacing w:before="3"/>
              <w:ind w:left="108"/>
              <w:rPr>
                <w:sz w:val="21"/>
              </w:rPr>
            </w:pPr>
            <w:r>
              <w:rPr>
                <w:sz w:val="21"/>
              </w:rPr>
              <w:t>投标价是否固定价且投标价是唯一</w:t>
            </w:r>
          </w:p>
          <w:p>
            <w:pPr>
              <w:pStyle w:val="21"/>
              <w:spacing w:before="71"/>
              <w:ind w:left="108"/>
              <w:rPr>
                <w:sz w:val="21"/>
              </w:rPr>
            </w:pPr>
            <w:r>
              <w:rPr>
                <w:sz w:val="21"/>
              </w:rPr>
              <w:t>的，且不超过最高限价或预算金额</w:t>
            </w:r>
          </w:p>
        </w:tc>
        <w:tc>
          <w:tcPr>
            <w:tcW w:w="1080" w:type="dxa"/>
          </w:tcPr>
          <w:p>
            <w:pPr>
              <w:pStyle w:val="21"/>
              <w:rPr>
                <w:rFonts w:ascii="Times New Roman"/>
                <w:sz w:val="20"/>
              </w:rPr>
            </w:pPr>
          </w:p>
        </w:tc>
        <w:tc>
          <w:tcPr>
            <w:tcW w:w="1080" w:type="dxa"/>
          </w:tcPr>
          <w:p>
            <w:pPr>
              <w:pStyle w:val="21"/>
              <w:rPr>
                <w:rFonts w:ascii="Times New Roman"/>
                <w:sz w:val="20"/>
              </w:rPr>
            </w:pPr>
          </w:p>
        </w:tc>
        <w:tc>
          <w:tcPr>
            <w:tcW w:w="108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48" w:type="dxa"/>
          </w:tcPr>
          <w:p>
            <w:pPr>
              <w:pStyle w:val="21"/>
              <w:spacing w:before="188"/>
              <w:ind w:left="10"/>
              <w:jc w:val="center"/>
              <w:rPr>
                <w:rFonts w:ascii="Times New Roman"/>
                <w:sz w:val="21"/>
              </w:rPr>
            </w:pPr>
            <w:r>
              <w:rPr>
                <w:rFonts w:ascii="Times New Roman"/>
                <w:sz w:val="21"/>
              </w:rPr>
              <w:t>5</w:t>
            </w:r>
          </w:p>
        </w:tc>
        <w:tc>
          <w:tcPr>
            <w:tcW w:w="1800" w:type="dxa"/>
          </w:tcPr>
          <w:p>
            <w:pPr>
              <w:pStyle w:val="21"/>
              <w:spacing w:before="174"/>
              <w:ind w:left="145" w:right="135"/>
              <w:jc w:val="center"/>
              <w:rPr>
                <w:sz w:val="21"/>
              </w:rPr>
            </w:pPr>
            <w:r>
              <w:rPr>
                <w:sz w:val="21"/>
              </w:rPr>
              <w:t>投标有效期</w:t>
            </w:r>
          </w:p>
        </w:tc>
        <w:tc>
          <w:tcPr>
            <w:tcW w:w="3420" w:type="dxa"/>
          </w:tcPr>
          <w:p>
            <w:pPr>
              <w:pStyle w:val="21"/>
              <w:spacing w:before="73"/>
              <w:ind w:left="108"/>
              <w:rPr>
                <w:sz w:val="21"/>
              </w:rPr>
            </w:pPr>
            <w:r>
              <w:rPr>
                <w:sz w:val="21"/>
              </w:rPr>
              <w:t>是否满足招标文件要求</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48" w:type="dxa"/>
          </w:tcPr>
          <w:p>
            <w:pPr>
              <w:pStyle w:val="21"/>
              <w:spacing w:before="188"/>
              <w:ind w:left="10"/>
              <w:jc w:val="center"/>
              <w:rPr>
                <w:rFonts w:ascii="Times New Roman"/>
                <w:sz w:val="21"/>
              </w:rPr>
            </w:pPr>
            <w:r>
              <w:rPr>
                <w:rFonts w:ascii="Times New Roman"/>
                <w:sz w:val="21"/>
              </w:rPr>
              <w:t>6</w:t>
            </w:r>
          </w:p>
        </w:tc>
        <w:tc>
          <w:tcPr>
            <w:tcW w:w="1800" w:type="dxa"/>
          </w:tcPr>
          <w:p>
            <w:pPr>
              <w:pStyle w:val="21"/>
              <w:spacing w:before="107"/>
              <w:ind w:left="145" w:right="135"/>
              <w:jc w:val="center"/>
              <w:rPr>
                <w:sz w:val="21"/>
              </w:rPr>
            </w:pPr>
            <w:r>
              <w:rPr>
                <w:rFonts w:hint="eastAsia"/>
                <w:sz w:val="21"/>
                <w:lang w:val="en-US"/>
              </w:rPr>
              <w:t>交付</w:t>
            </w:r>
            <w:r>
              <w:rPr>
                <w:sz w:val="21"/>
              </w:rPr>
              <w:t>期</w:t>
            </w:r>
          </w:p>
        </w:tc>
        <w:tc>
          <w:tcPr>
            <w:tcW w:w="3420" w:type="dxa"/>
          </w:tcPr>
          <w:p>
            <w:pPr>
              <w:pStyle w:val="21"/>
              <w:spacing w:before="73"/>
              <w:ind w:left="108"/>
              <w:rPr>
                <w:sz w:val="21"/>
              </w:rPr>
            </w:pPr>
            <w:r>
              <w:rPr>
                <w:sz w:val="21"/>
              </w:rPr>
              <w:t>是否满足招标文件要求</w:t>
            </w:r>
          </w:p>
        </w:tc>
        <w:tc>
          <w:tcPr>
            <w:tcW w:w="1080" w:type="dxa"/>
          </w:tcPr>
          <w:p>
            <w:pPr>
              <w:pStyle w:val="21"/>
              <w:rPr>
                <w:rFonts w:ascii="Times New Roman"/>
                <w:sz w:val="20"/>
              </w:rPr>
            </w:pPr>
          </w:p>
        </w:tc>
        <w:tc>
          <w:tcPr>
            <w:tcW w:w="1080" w:type="dxa"/>
          </w:tcPr>
          <w:p>
            <w:pPr>
              <w:pStyle w:val="21"/>
              <w:rPr>
                <w:rFonts w:ascii="Times New Roman"/>
                <w:sz w:val="20"/>
              </w:rPr>
            </w:pPr>
          </w:p>
        </w:tc>
        <w:tc>
          <w:tcPr>
            <w:tcW w:w="1080"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48" w:type="dxa"/>
          </w:tcPr>
          <w:p>
            <w:pPr>
              <w:pStyle w:val="21"/>
              <w:spacing w:before="188"/>
              <w:ind w:left="10"/>
              <w:jc w:val="center"/>
              <w:rPr>
                <w:rFonts w:ascii="Times New Roman"/>
                <w:sz w:val="21"/>
              </w:rPr>
            </w:pPr>
            <w:r>
              <w:rPr>
                <w:rFonts w:ascii="Times New Roman"/>
                <w:sz w:val="21"/>
              </w:rPr>
              <w:t>7</w:t>
            </w:r>
          </w:p>
        </w:tc>
        <w:tc>
          <w:tcPr>
            <w:tcW w:w="1800" w:type="dxa"/>
          </w:tcPr>
          <w:p>
            <w:pPr>
              <w:pStyle w:val="21"/>
              <w:rPr>
                <w:sz w:val="18"/>
              </w:rPr>
            </w:pPr>
          </w:p>
          <w:p>
            <w:pPr>
              <w:pStyle w:val="21"/>
              <w:spacing w:before="1"/>
              <w:ind w:left="145" w:right="135"/>
              <w:jc w:val="center"/>
              <w:rPr>
                <w:sz w:val="21"/>
              </w:rPr>
            </w:pPr>
            <w:r>
              <w:rPr>
                <w:sz w:val="21"/>
              </w:rPr>
              <w:t>其它</w:t>
            </w:r>
          </w:p>
        </w:tc>
        <w:tc>
          <w:tcPr>
            <w:tcW w:w="3420" w:type="dxa"/>
          </w:tcPr>
          <w:p>
            <w:pPr>
              <w:pStyle w:val="21"/>
              <w:spacing w:before="130"/>
              <w:ind w:left="108"/>
              <w:rPr>
                <w:sz w:val="21"/>
              </w:rPr>
            </w:pPr>
            <w:r>
              <w:rPr>
                <w:sz w:val="21"/>
              </w:rPr>
              <w:t>无其它无效投标认定条件</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c>
          <w:tcPr>
            <w:tcW w:w="1080" w:type="dxa"/>
          </w:tcPr>
          <w:p>
            <w:pPr>
              <w:pStyle w:val="21"/>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868" w:type="dxa"/>
            <w:gridSpan w:val="3"/>
          </w:tcPr>
          <w:p>
            <w:pPr>
              <w:pStyle w:val="21"/>
              <w:tabs>
                <w:tab w:val="left" w:pos="1155"/>
              </w:tabs>
              <w:spacing w:before="104" w:line="355" w:lineRule="exact"/>
              <w:ind w:right="494"/>
              <w:jc w:val="center"/>
              <w:rPr>
                <w:rFonts w:ascii="Microsoft JhengHei" w:eastAsia="Microsoft JhengHei"/>
                <w:b/>
                <w:sz w:val="21"/>
              </w:rPr>
            </w:pPr>
            <w:r>
              <w:rPr>
                <w:rFonts w:hint="eastAsia" w:ascii="Microsoft JhengHei" w:eastAsia="Microsoft JhengHei"/>
                <w:b/>
                <w:sz w:val="21"/>
              </w:rPr>
              <w:t>结</w:t>
            </w:r>
            <w:r>
              <w:rPr>
                <w:rFonts w:hint="eastAsia" w:ascii="Microsoft JhengHei" w:eastAsia="Microsoft JhengHei"/>
                <w:b/>
                <w:sz w:val="21"/>
              </w:rPr>
              <w:tab/>
            </w:r>
            <w:r>
              <w:rPr>
                <w:rFonts w:hint="eastAsia" w:ascii="Microsoft JhengHei" w:eastAsia="Microsoft JhengHei"/>
                <w:b/>
                <w:sz w:val="21"/>
              </w:rPr>
              <w:t>论</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1"/>
              <w:spacing w:before="104" w:line="355" w:lineRule="exact"/>
              <w:ind w:right="93"/>
              <w:jc w:val="center"/>
              <w:rPr>
                <w:rFonts w:ascii="Microsoft JhengHei"/>
                <w:b/>
                <w:sz w:val="21"/>
              </w:rPr>
            </w:pPr>
            <w:r>
              <w:rPr>
                <w:rFonts w:ascii="Microsoft JhengHei"/>
                <w:b/>
                <w:w w:val="200"/>
                <w:sz w:val="21"/>
              </w:rPr>
              <w:t xml:space="preserve"> </w:t>
            </w:r>
          </w:p>
        </w:tc>
      </w:tr>
    </w:tbl>
    <w:p>
      <w:pPr>
        <w:pStyle w:val="2"/>
        <w:spacing w:before="144"/>
        <w:ind w:left="333"/>
      </w:pPr>
      <w:r>
        <w:rPr>
          <w:rFonts w:ascii="Times New Roman" w:hAnsi="Times New Roman" w:eastAsia="Times New Roman"/>
        </w:rPr>
        <w:t>1</w:t>
      </w:r>
      <w:r>
        <w:t>、表中只需填写“√</w:t>
      </w:r>
      <w:r>
        <w:rPr>
          <w:rFonts w:ascii="Times New Roman" w:hAnsi="Times New Roman" w:eastAsia="Times New Roman"/>
        </w:rPr>
        <w:t>/</w:t>
      </w:r>
      <w:r>
        <w:t>通过”或“×</w:t>
      </w:r>
      <w:r>
        <w:rPr>
          <w:rFonts w:ascii="Times New Roman" w:hAnsi="Times New Roman" w:eastAsia="Times New Roman"/>
        </w:rPr>
        <w:t>/</w:t>
      </w:r>
      <w:r>
        <w:t>不通过”。</w:t>
      </w:r>
    </w:p>
    <w:p>
      <w:pPr>
        <w:pStyle w:val="2"/>
        <w:spacing w:line="480" w:lineRule="atLeast"/>
        <w:ind w:left="333" w:right="1432"/>
      </w:pPr>
      <w:r>
        <w:rPr>
          <w:rFonts w:ascii="Times New Roman" w:hAnsi="Times New Roman" w:eastAsia="Times New Roman"/>
        </w:rPr>
        <w:t>2</w:t>
      </w:r>
      <w:r>
        <w:rPr>
          <w:spacing w:val="-5"/>
        </w:rPr>
        <w:t>、在结论中按“一项否决”的原则，只有全部是√</w:t>
      </w:r>
      <w:r>
        <w:rPr>
          <w:rFonts w:ascii="Times New Roman" w:hAnsi="Times New Roman" w:eastAsia="Times New Roman"/>
        </w:rPr>
        <w:t>/</w:t>
      </w:r>
      <w:r>
        <w:rPr>
          <w:spacing w:val="-6"/>
        </w:rPr>
        <w:t>通过的，填写“合格”；只要其中</w:t>
      </w:r>
      <w:r>
        <w:t>有一项是×</w:t>
      </w:r>
      <w:r>
        <w:rPr>
          <w:rFonts w:ascii="Times New Roman" w:hAnsi="Times New Roman" w:eastAsia="Times New Roman"/>
        </w:rPr>
        <w:t>/</w:t>
      </w:r>
      <w:r>
        <w:t>不通过的，填写“不合格”。</w:t>
      </w:r>
    </w:p>
    <w:p>
      <w:pPr>
        <w:pStyle w:val="2"/>
        <w:spacing w:before="107"/>
        <w:ind w:left="753"/>
        <w:sectPr>
          <w:headerReference r:id="rId7" w:type="default"/>
          <w:pgSz w:w="11910" w:h="16840"/>
          <w:pgMar w:top="1360" w:right="40" w:bottom="1180" w:left="1140" w:header="884" w:footer="990" w:gutter="0"/>
          <w:cols w:space="720" w:num="1"/>
        </w:sectPr>
      </w:pPr>
      <w:r>
        <w:rPr>
          <w:rFonts w:ascii="Verdana" w:eastAsia="Verdana"/>
        </w:rPr>
        <w:t>3</w:t>
      </w:r>
      <w:r>
        <w:t>、结论是合格的，才能进入下一轮；不合格的被淘汰</w:t>
      </w:r>
    </w:p>
    <w:p>
      <w:pPr>
        <w:pStyle w:val="2"/>
        <w:spacing w:line="20" w:lineRule="exact"/>
        <w:rPr>
          <w:sz w:val="2"/>
        </w:rPr>
      </w:pPr>
    </w:p>
    <w:p>
      <w:pPr>
        <w:pStyle w:val="8"/>
        <w:spacing w:after="58" w:line="240" w:lineRule="auto"/>
        <w:ind w:left="315" w:right="714"/>
        <w:jc w:val="center"/>
      </w:pPr>
      <w:r>
        <w:t>综合评分表（100 分）</w:t>
      </w:r>
    </w:p>
    <w:tbl>
      <w:tblPr>
        <w:tblStyle w:val="17"/>
        <w:tblpPr w:leftFromText="180" w:rightFromText="180" w:vertAnchor="text" w:horzAnchor="page" w:tblpXSpec="center" w:tblpY="282"/>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2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9835"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57"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526"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价格分（</w:t>
            </w:r>
            <w:r>
              <w:rPr>
                <w:rFonts w:hint="eastAsia" w:asciiTheme="minorEastAsia" w:hAnsiTheme="minorEastAsia" w:eastAsiaTheme="minorEastAsia"/>
                <w:sz w:val="21"/>
                <w:szCs w:val="21"/>
                <w:lang w:val="en-US"/>
              </w:rPr>
              <w:t>40</w:t>
            </w:r>
            <w:r>
              <w:rPr>
                <w:rFonts w:hint="eastAsia" w:asciiTheme="minorEastAsia" w:hAnsiTheme="minorEastAsia" w:eastAsiaTheme="minorEastAsia"/>
                <w:sz w:val="21"/>
                <w:szCs w:val="21"/>
              </w:rPr>
              <w:t>分）</w:t>
            </w:r>
          </w:p>
        </w:tc>
        <w:tc>
          <w:tcPr>
            <w:tcW w:w="7852"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 xml:space="preserve">报价得分=（评标基准价/价格扣除后的投标报价） </w:t>
            </w:r>
          </w:p>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 xml:space="preserve">*100*报价分值权重；评标基准价等于有效投标单位中价格扣除后报价的最小值。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tabs>
                <w:tab w:val="left" w:pos="0"/>
              </w:tabs>
              <w:contextualSpacing/>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2</w:t>
            </w:r>
          </w:p>
        </w:tc>
        <w:tc>
          <w:tcPr>
            <w:tcW w:w="1526"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产品配置及技术参数响应（</w:t>
            </w:r>
            <w:r>
              <w:rPr>
                <w:rFonts w:hint="eastAsia" w:asciiTheme="minorEastAsia" w:hAnsiTheme="minorEastAsia" w:eastAsiaTheme="minorEastAsia"/>
                <w:sz w:val="21"/>
                <w:szCs w:val="21"/>
                <w:lang w:val="en-US" w:eastAsia="zh-CN"/>
              </w:rPr>
              <w:t>32</w:t>
            </w:r>
            <w:r>
              <w:rPr>
                <w:rFonts w:hint="eastAsia" w:asciiTheme="minorEastAsia" w:hAnsiTheme="minorEastAsia" w:eastAsiaTheme="minorEastAsia"/>
                <w:sz w:val="21"/>
                <w:szCs w:val="21"/>
              </w:rPr>
              <w:t>分）</w:t>
            </w:r>
          </w:p>
        </w:tc>
        <w:tc>
          <w:tcPr>
            <w:tcW w:w="7852"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“技术参数及要求”条款数量共</w:t>
            </w:r>
            <w:r>
              <w:rPr>
                <w:rFonts w:asciiTheme="minorEastAsia" w:hAnsiTheme="minorEastAsia" w:eastAsiaTheme="minorEastAsia"/>
                <w:sz w:val="21"/>
                <w:szCs w:val="21"/>
                <w:lang w:val="en-US"/>
              </w:rPr>
              <w:t>44</w:t>
            </w:r>
            <w:r>
              <w:rPr>
                <w:rFonts w:hint="eastAsia" w:asciiTheme="minorEastAsia" w:hAnsiTheme="minorEastAsia" w:eastAsiaTheme="minorEastAsia"/>
                <w:sz w:val="21"/>
                <w:szCs w:val="21"/>
              </w:rPr>
              <w:t>条，非“▲”“★”参数（共</w:t>
            </w:r>
            <w:r>
              <w:rPr>
                <w:rFonts w:hint="eastAsia" w:asciiTheme="minorEastAsia" w:hAnsiTheme="minorEastAsia" w:eastAsiaTheme="minorEastAsia"/>
                <w:sz w:val="21"/>
                <w:szCs w:val="21"/>
                <w:lang w:val="en-US"/>
              </w:rPr>
              <w:t>4</w:t>
            </w:r>
            <w:r>
              <w:rPr>
                <w:rFonts w:asciiTheme="minorEastAsia" w:hAnsiTheme="minorEastAsia" w:eastAsiaTheme="minorEastAsia"/>
                <w:sz w:val="21"/>
                <w:szCs w:val="21"/>
                <w:lang w:val="en-US"/>
              </w:rPr>
              <w:t>0</w:t>
            </w:r>
            <w:r>
              <w:rPr>
                <w:rFonts w:hint="eastAsia" w:asciiTheme="minorEastAsia" w:hAnsiTheme="minorEastAsia" w:eastAsiaTheme="minorEastAsia"/>
                <w:sz w:val="21"/>
                <w:szCs w:val="21"/>
              </w:rPr>
              <w:t>项）每有一项负偏离扣</w:t>
            </w:r>
            <w:r>
              <w:rPr>
                <w:rFonts w:hint="eastAsia" w:asciiTheme="minorEastAsia" w:hAnsiTheme="minorEastAsia" w:eastAsiaTheme="minorEastAsia"/>
                <w:sz w:val="21"/>
                <w:szCs w:val="21"/>
                <w:lang w:val="en-US" w:eastAsia="zh-CN"/>
              </w:rPr>
              <w:t>0.7</w:t>
            </w:r>
            <w:r>
              <w:rPr>
                <w:rFonts w:hint="eastAsia" w:asciiTheme="minorEastAsia" w:hAnsiTheme="minorEastAsia" w:eastAsiaTheme="minorEastAsia"/>
                <w:sz w:val="21"/>
                <w:szCs w:val="21"/>
              </w:rPr>
              <w:t>分；▲参数（共</w:t>
            </w:r>
            <w:r>
              <w:rPr>
                <w:rFonts w:asciiTheme="minorEastAsia" w:hAnsiTheme="minorEastAsia" w:eastAsiaTheme="minorEastAsia"/>
                <w:sz w:val="21"/>
                <w:szCs w:val="21"/>
              </w:rPr>
              <w:t>2</w:t>
            </w:r>
            <w:r>
              <w:rPr>
                <w:rFonts w:hint="eastAsia" w:asciiTheme="minorEastAsia" w:hAnsiTheme="minorEastAsia" w:eastAsiaTheme="minorEastAsia"/>
                <w:sz w:val="21"/>
                <w:szCs w:val="21"/>
              </w:rPr>
              <w:t>项）每有一项负偏离扣</w:t>
            </w:r>
            <w:r>
              <w:rPr>
                <w:rFonts w:asciiTheme="minorEastAsia" w:hAnsiTheme="minorEastAsia" w:eastAsiaTheme="minorEastAsia"/>
                <w:sz w:val="21"/>
                <w:szCs w:val="21"/>
                <w:lang w:val="en-US"/>
              </w:rPr>
              <w:t>2</w:t>
            </w:r>
            <w:r>
              <w:rPr>
                <w:rFonts w:hint="eastAsia" w:asciiTheme="minorEastAsia" w:hAnsiTheme="minorEastAsia" w:eastAsiaTheme="minorEastAsia"/>
                <w:sz w:val="21"/>
                <w:szCs w:val="21"/>
              </w:rPr>
              <w:t>分；扣完本项分值为止。</w:t>
            </w:r>
          </w:p>
          <w:p>
            <w:pPr>
              <w:tabs>
                <w:tab w:val="left" w:pos="0"/>
              </w:tabs>
              <w:contextualSpacing/>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 xml:space="preserve">说明：招标文件“技术参数及要求”中有明确规定，则按照规定提供技术参数及要求的佐证材料，否则不予认定。标记“★”参数为本项目实质性要求，应当在符合性审查时审查，不参与此项评审。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3</w:t>
            </w:r>
          </w:p>
        </w:tc>
        <w:tc>
          <w:tcPr>
            <w:tcW w:w="1526" w:type="dxa"/>
            <w:vAlign w:val="center"/>
          </w:tcPr>
          <w:p>
            <w:pPr>
              <w:rPr>
                <w:rFonts w:asciiTheme="minorEastAsia" w:hAnsiTheme="minorEastAsia" w:eastAsiaTheme="minorEastAsia" w:cstheme="minorBidi"/>
                <w:kern w:val="2"/>
                <w:sz w:val="21"/>
                <w:szCs w:val="21"/>
                <w:lang w:val="en-US" w:bidi="ar-SA"/>
              </w:rPr>
            </w:pP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stheme="minorBidi"/>
                <w:kern w:val="2"/>
                <w:sz w:val="21"/>
                <w:szCs w:val="21"/>
                <w:lang w:val="en-US" w:eastAsia="zh-CN" w:bidi="ar-SA"/>
              </w:rPr>
              <w:t>方案</w:t>
            </w:r>
            <w:r>
              <w:rPr>
                <w:rFonts w:hint="eastAsia" w:asciiTheme="minorEastAsia" w:hAnsiTheme="minorEastAsia" w:eastAsiaTheme="minorEastAsia" w:cstheme="minorBidi"/>
                <w:kern w:val="2"/>
                <w:sz w:val="21"/>
                <w:szCs w:val="21"/>
                <w:lang w:val="en-US" w:bidi="ar-SA"/>
              </w:rPr>
              <w:t>（</w:t>
            </w:r>
            <w:r>
              <w:rPr>
                <w:rFonts w:hint="eastAsia" w:asciiTheme="minorEastAsia" w:hAnsiTheme="minorEastAsia" w:eastAsiaTheme="minorEastAsia" w:cstheme="minorBidi"/>
                <w:kern w:val="2"/>
                <w:sz w:val="21"/>
                <w:szCs w:val="21"/>
                <w:lang w:val="en-US" w:eastAsia="zh-CN" w:bidi="ar-SA"/>
              </w:rPr>
              <w:t>10</w:t>
            </w:r>
            <w:r>
              <w:rPr>
                <w:rFonts w:hint="eastAsia" w:asciiTheme="minorEastAsia" w:hAnsiTheme="minorEastAsia" w:eastAsiaTheme="minorEastAsia" w:cstheme="minorBidi"/>
                <w:kern w:val="2"/>
                <w:sz w:val="21"/>
                <w:szCs w:val="21"/>
                <w:lang w:val="en-US" w:bidi="ar-SA"/>
              </w:rPr>
              <w:t>分）</w:t>
            </w:r>
          </w:p>
        </w:tc>
        <w:tc>
          <w:tcPr>
            <w:tcW w:w="7852" w:type="dxa"/>
            <w:vAlign w:val="center"/>
          </w:tcPr>
          <w:p>
            <w:pPr>
              <w:rPr>
                <w:rFonts w:asciiTheme="minorEastAsia" w:hAnsiTheme="minorEastAsia" w:eastAsiaTheme="minorEastAsia" w:cstheme="minorBidi"/>
                <w:color w:val="auto"/>
                <w:kern w:val="2"/>
                <w:sz w:val="21"/>
                <w:szCs w:val="21"/>
                <w:lang w:val="en-US" w:bidi="ar-SA"/>
              </w:rPr>
            </w:pPr>
            <w:r>
              <w:rPr>
                <w:rFonts w:hint="eastAsia" w:asciiTheme="minorEastAsia" w:hAnsiTheme="minorEastAsia" w:eastAsiaTheme="minorEastAsia" w:cstheme="minorBidi"/>
                <w:color w:val="auto"/>
                <w:kern w:val="2"/>
                <w:sz w:val="21"/>
                <w:szCs w:val="21"/>
                <w:lang w:val="en-US" w:bidi="ar-SA"/>
              </w:rPr>
              <w:t>评标委员会根据各投标人提供的实施方案</w:t>
            </w:r>
            <w:r>
              <w:rPr>
                <w:rFonts w:hint="eastAsia" w:asciiTheme="minorEastAsia" w:hAnsiTheme="minorEastAsia" w:eastAsiaTheme="minorEastAsia" w:cstheme="minorBidi"/>
                <w:color w:val="auto"/>
                <w:kern w:val="2"/>
                <w:sz w:val="21"/>
                <w:szCs w:val="21"/>
                <w:lang w:val="en-US" w:eastAsia="zh-CN" w:bidi="ar-SA"/>
              </w:rPr>
              <w:t>（</w:t>
            </w:r>
            <w:r>
              <w:rPr>
                <w:rFonts w:hint="eastAsia" w:asciiTheme="minorEastAsia" w:hAnsiTheme="minorEastAsia" w:eastAsiaTheme="minorEastAsia" w:cstheme="minorBidi"/>
                <w:color w:val="auto"/>
                <w:kern w:val="2"/>
                <w:sz w:val="21"/>
                <w:szCs w:val="21"/>
                <w:lang w:val="en-US" w:bidi="ar-SA"/>
              </w:rPr>
              <w:t>包括①照明产品设计图纸，②实施质量控制措施，③安全文明施工保障措施，④供货、工期、进度计划以及进度控制措施、保障措施，⑤技术人员配备，⑥主要设备工具配备，⑦安装方法及安装工艺，⑧调试及验收等</w:t>
            </w:r>
            <w:r>
              <w:rPr>
                <w:rFonts w:hint="eastAsia" w:asciiTheme="minorEastAsia" w:hAnsiTheme="minorEastAsia" w:eastAsiaTheme="minorEastAsia" w:cstheme="minorBidi"/>
                <w:color w:val="auto"/>
                <w:kern w:val="2"/>
                <w:sz w:val="21"/>
                <w:szCs w:val="21"/>
                <w:lang w:val="en-US" w:eastAsia="zh-CN" w:bidi="ar-SA"/>
              </w:rPr>
              <w:t>；）</w:t>
            </w:r>
            <w:r>
              <w:rPr>
                <w:rFonts w:hint="eastAsia" w:asciiTheme="minorEastAsia" w:hAnsiTheme="minorEastAsia" w:eastAsiaTheme="minorEastAsia" w:cstheme="minorBidi"/>
                <w:color w:val="auto"/>
                <w:kern w:val="2"/>
                <w:sz w:val="21"/>
                <w:szCs w:val="21"/>
                <w:lang w:val="en-US" w:bidi="ar-SA"/>
              </w:rPr>
              <w:t>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stheme="minorBidi"/>
                <w:color w:val="auto"/>
                <w:kern w:val="2"/>
                <w:sz w:val="21"/>
                <w:szCs w:val="21"/>
                <w:lang w:val="en-US" w:bidi="ar-SA"/>
              </w:rPr>
              <w:t>：</w:t>
            </w:r>
            <w:r>
              <w:rPr>
                <w:rFonts w:hint="eastAsia" w:asciiTheme="minorEastAsia" w:hAnsiTheme="minorEastAsia" w:eastAsiaTheme="minorEastAsia"/>
                <w:color w:val="auto"/>
                <w:sz w:val="21"/>
                <w:szCs w:val="21"/>
                <w:lang w:val="en-US" w:eastAsia="zh-CN"/>
              </w:rPr>
              <w:t>（1）提供上述内容的，每提供一项得0.5分，满分4分，未提供则不得分。（2）A.</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完整无缺项漏项、实施方案的合理性、可行性、针对性完全符合本项目实际情况的得6分； B.</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存在缺项漏项，实施方案的合理性、可行性，针对性基本符合本项目实际情况的得3分； C.</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方案内容严重缺失、实施方案的可行性、针对性不能符合本项目实际情况的得1分；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lang w:val="en-US"/>
              </w:rPr>
              <w:t>4</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lang w:val="en-US"/>
              </w:rPr>
              <w:t>分）</w:t>
            </w:r>
          </w:p>
        </w:tc>
        <w:tc>
          <w:tcPr>
            <w:tcW w:w="7852" w:type="dxa"/>
            <w:vAlign w:val="center"/>
          </w:tcPr>
          <w:p>
            <w:pPr>
              <w:rPr>
                <w:rFonts w:hint="default"/>
                <w:color w:val="auto"/>
                <w:lang w:val="en-US"/>
              </w:rPr>
            </w:pPr>
            <w:r>
              <w:rPr>
                <w:rFonts w:hint="eastAsia" w:asciiTheme="minorEastAsia" w:hAnsiTheme="minorEastAsia" w:eastAsiaTheme="minorEastAsia"/>
                <w:color w:val="auto"/>
                <w:sz w:val="21"/>
                <w:szCs w:val="21"/>
                <w:lang w:val="en-US"/>
              </w:rPr>
              <w:t>评标委员会根据各投标人提供的售后服务方案</w:t>
            </w:r>
            <w:r>
              <w:rPr>
                <w:rFonts w:hint="eastAsia" w:asciiTheme="minorEastAsia" w:hAnsiTheme="minorEastAsia" w:eastAsiaTheme="minorEastAsia"/>
                <w:color w:val="auto"/>
                <w:sz w:val="21"/>
                <w:szCs w:val="21"/>
                <w:lang w:val="en-US" w:eastAsia="zh-CN"/>
              </w:rPr>
              <w:t>（包括</w:t>
            </w:r>
            <w:r>
              <w:rPr>
                <w:rFonts w:hint="eastAsia" w:asciiTheme="minorEastAsia" w:hAnsiTheme="minorEastAsia" w:eastAsiaTheme="minorEastAsia"/>
                <w:color w:val="auto"/>
                <w:sz w:val="21"/>
                <w:szCs w:val="21"/>
              </w:rPr>
              <w:t>：①投标人及所投产品制造商售后服务机构及对响应时间（</w:t>
            </w:r>
            <w:r>
              <w:rPr>
                <w:rFonts w:hint="eastAsia" w:asciiTheme="minorEastAsia" w:hAnsiTheme="minorEastAsia" w:eastAsiaTheme="minorEastAsia"/>
                <w:color w:val="auto"/>
                <w:sz w:val="21"/>
                <w:szCs w:val="21"/>
                <w:lang w:val="en-US" w:eastAsia="zh-CN"/>
              </w:rPr>
              <w:t>投标单位须提供承诺函</w:t>
            </w:r>
            <w:r>
              <w:rPr>
                <w:rFonts w:hint="eastAsia" w:asciiTheme="minorEastAsia" w:hAnsiTheme="minorEastAsia" w:eastAsiaTheme="minorEastAsia"/>
                <w:color w:val="auto"/>
                <w:sz w:val="21"/>
                <w:szCs w:val="21"/>
              </w:rPr>
              <w:t>），②售后服务人员配备（</w:t>
            </w:r>
            <w:r>
              <w:rPr>
                <w:rFonts w:hint="eastAsia" w:asciiTheme="minorEastAsia" w:hAnsiTheme="minorEastAsia" w:eastAsiaTheme="minorEastAsia" w:cstheme="minorBidi"/>
                <w:color w:val="auto"/>
                <w:kern w:val="2"/>
                <w:sz w:val="21"/>
                <w:szCs w:val="21"/>
                <w:lang w:val="en-US" w:bidi="ar-SA"/>
              </w:rPr>
              <w:t>投标人或所投产品制造商应有不少于1</w:t>
            </w:r>
            <w:r>
              <w:rPr>
                <w:rFonts w:asciiTheme="minorEastAsia" w:hAnsiTheme="minorEastAsia" w:eastAsiaTheme="minorEastAsia" w:cstheme="minorBidi"/>
                <w:color w:val="auto"/>
                <w:kern w:val="2"/>
                <w:sz w:val="21"/>
                <w:szCs w:val="21"/>
                <w:lang w:val="en-US" w:bidi="ar-SA"/>
              </w:rPr>
              <w:t>0人的固定维护人员</w:t>
            </w:r>
            <w:r>
              <w:rPr>
                <w:rFonts w:hint="eastAsia" w:asciiTheme="minorEastAsia" w:hAnsiTheme="minorEastAsia" w:eastAsiaTheme="minorEastAsia" w:cstheme="minorBidi"/>
                <w:color w:val="auto"/>
                <w:kern w:val="2"/>
                <w:sz w:val="21"/>
                <w:szCs w:val="21"/>
                <w:lang w:val="en-US" w:bidi="ar-SA"/>
              </w:rPr>
              <w:t>，</w:t>
            </w:r>
            <w:r>
              <w:rPr>
                <w:rFonts w:hint="eastAsia" w:asciiTheme="minorEastAsia" w:hAnsiTheme="minorEastAsia" w:eastAsiaTheme="minorEastAsia"/>
                <w:color w:val="auto"/>
                <w:sz w:val="21"/>
                <w:szCs w:val="21"/>
              </w:rPr>
              <w:t>至少提供</w:t>
            </w:r>
            <w:r>
              <w:rPr>
                <w:rFonts w:hint="eastAsia" w:asciiTheme="minorEastAsia" w:hAnsiTheme="minorEastAsia" w:eastAsiaTheme="minorEastAsia"/>
                <w:color w:val="auto"/>
                <w:sz w:val="21"/>
                <w:szCs w:val="21"/>
                <w:lang w:val="en-US" w:eastAsia="zh-CN"/>
              </w:rPr>
              <w:t>不少于2人</w:t>
            </w:r>
            <w:r>
              <w:rPr>
                <w:rFonts w:hint="eastAsia" w:asciiTheme="minorEastAsia" w:hAnsiTheme="minorEastAsia" w:eastAsiaTheme="minorEastAsia"/>
                <w:color w:val="auto"/>
                <w:sz w:val="21"/>
                <w:szCs w:val="21"/>
              </w:rPr>
              <w:t>低压电工操作证</w:t>
            </w:r>
            <w:r>
              <w:rPr>
                <w:rFonts w:hint="eastAsia" w:asciiTheme="minorEastAsia" w:hAnsiTheme="minorEastAsia" w:eastAsiaTheme="minorEastAsia" w:cstheme="minorBidi"/>
                <w:color w:val="auto"/>
                <w:kern w:val="2"/>
                <w:sz w:val="21"/>
                <w:szCs w:val="21"/>
                <w:lang w:val="en-US" w:bidi="ar-SA"/>
              </w:rPr>
              <w:t>及</w:t>
            </w:r>
            <w:r>
              <w:rPr>
                <w:rFonts w:hint="eastAsia" w:asciiTheme="minorEastAsia" w:hAnsiTheme="minorEastAsia" w:eastAsiaTheme="minorEastAsia" w:cstheme="minorBidi"/>
                <w:color w:val="auto"/>
                <w:kern w:val="2"/>
                <w:sz w:val="21"/>
                <w:szCs w:val="21"/>
                <w:lang w:val="en-US" w:eastAsia="zh-CN" w:bidi="ar-SA"/>
              </w:rPr>
              <w:t>2023年1月1日至今</w:t>
            </w:r>
            <w:r>
              <w:rPr>
                <w:rFonts w:hint="eastAsia" w:asciiTheme="minorEastAsia" w:hAnsiTheme="minorEastAsia" w:eastAsiaTheme="minorEastAsia" w:cstheme="minorBidi"/>
                <w:color w:val="auto"/>
                <w:kern w:val="2"/>
                <w:sz w:val="21"/>
                <w:szCs w:val="21"/>
                <w:lang w:val="en-US" w:bidi="ar-SA"/>
              </w:rPr>
              <w:t>连续</w:t>
            </w:r>
            <w:r>
              <w:rPr>
                <w:rFonts w:asciiTheme="minorEastAsia" w:hAnsiTheme="minorEastAsia" w:eastAsiaTheme="minorEastAsia" w:cstheme="minorBidi"/>
                <w:color w:val="auto"/>
                <w:kern w:val="2"/>
                <w:sz w:val="21"/>
                <w:szCs w:val="21"/>
                <w:lang w:val="en-US" w:bidi="ar-SA"/>
              </w:rPr>
              <w:t>3个月</w:t>
            </w:r>
            <w:r>
              <w:rPr>
                <w:rFonts w:hint="eastAsia" w:asciiTheme="minorEastAsia" w:hAnsiTheme="minorEastAsia" w:eastAsiaTheme="minorEastAsia" w:cstheme="minorBidi"/>
                <w:color w:val="auto"/>
                <w:kern w:val="2"/>
                <w:sz w:val="21"/>
                <w:szCs w:val="21"/>
                <w:lang w:val="en-US" w:eastAsia="zh-CN" w:bidi="ar-SA"/>
              </w:rPr>
              <w:t>在本单位的</w:t>
            </w:r>
            <w:r>
              <w:rPr>
                <w:rFonts w:hint="eastAsia" w:asciiTheme="minorEastAsia" w:hAnsiTheme="minorEastAsia" w:eastAsiaTheme="minorEastAsia" w:cstheme="minorBidi"/>
                <w:color w:val="auto"/>
                <w:kern w:val="2"/>
                <w:sz w:val="21"/>
                <w:szCs w:val="21"/>
                <w:lang w:val="en-US" w:bidi="ar-SA"/>
              </w:rPr>
              <w:t>社保证明复印件</w:t>
            </w:r>
            <w:r>
              <w:rPr>
                <w:rFonts w:hint="eastAsia" w:asciiTheme="minorEastAsia" w:hAnsiTheme="minorEastAsia" w:eastAsiaTheme="minorEastAsia"/>
                <w:color w:val="auto"/>
                <w:sz w:val="21"/>
                <w:szCs w:val="21"/>
              </w:rPr>
              <w:t>），③维护方式、维护提醒，④定期巡检制度，⑤售后服务体系及制度，⑥应急措施及预案，⑦备品备件及专用工具，⑧质保期后售后服务内容等</w:t>
            </w:r>
            <w:r>
              <w:rPr>
                <w:rFonts w:hint="eastAsia" w:asciiTheme="minorEastAsia" w:hAnsiTheme="minorEastAsia" w:eastAsiaTheme="minorEastAsia"/>
                <w:color w:val="auto"/>
                <w:sz w:val="21"/>
                <w:szCs w:val="21"/>
                <w:lang w:val="en-US" w:eastAsia="zh-CN"/>
              </w:rPr>
              <w:t>）</w:t>
            </w:r>
            <w:r>
              <w:rPr>
                <w:rFonts w:hint="eastAsia" w:asciiTheme="minorEastAsia" w:hAnsiTheme="minorEastAsia" w:eastAsiaTheme="minorEastAsia"/>
                <w:color w:val="auto"/>
                <w:sz w:val="21"/>
                <w:szCs w:val="21"/>
                <w:lang w:val="en-US"/>
              </w:rPr>
              <w:t>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r>
              <w:rPr>
                <w:rFonts w:hint="eastAsia" w:asciiTheme="minorEastAsia" w:hAnsiTheme="minorEastAsia" w:eastAsiaTheme="minorEastAsia"/>
                <w:color w:val="auto"/>
                <w:sz w:val="21"/>
                <w:szCs w:val="21"/>
                <w:lang w:val="en-US" w:eastAsia="zh-CN"/>
              </w:rPr>
              <w:t>（1）提供上述内容的，每提供一项得0.5分，满分4分，未提供则不得分。（2）A.</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完整无缺项漏项、</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的合理性、可行性、针对性完全符合本项目实际情况的得6分； B.</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存在缺项漏项，</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的合理性、可行性，针对性基本符合本项目实际情况的得3分； C.</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内容严重缺失、</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的可行性、针对性不能符合本项目实际情况的得1</w:t>
            </w:r>
            <w:bookmarkStart w:id="43" w:name="_GoBack"/>
            <w:bookmarkEnd w:id="43"/>
            <w:r>
              <w:rPr>
                <w:rFonts w:hint="eastAsia" w:asciiTheme="minorEastAsia" w:hAnsiTheme="minorEastAsia" w:eastAsiaTheme="minorEastAsia"/>
                <w:color w:val="auto"/>
                <w:sz w:val="21"/>
                <w:szCs w:val="21"/>
                <w:lang w:val="en-US" w:eastAsia="zh-CN"/>
              </w:rPr>
              <w:t>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57"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lang w:val="en-US"/>
              </w:rPr>
              <w:t>5</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质量保证方案（</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分）</w:t>
            </w:r>
          </w:p>
        </w:tc>
        <w:tc>
          <w:tcPr>
            <w:tcW w:w="7852" w:type="dxa"/>
            <w:vAlign w:val="center"/>
          </w:tcPr>
          <w:p>
            <w:pPr>
              <w:rPr>
                <w:rFonts w:hint="eastAsia"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lang w:val="en-US"/>
              </w:rPr>
              <w:t>评标委员会根据各投标人提供的质量保证方案进行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p>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质量保证措施和承诺（从原材料：如支架、电源、面板、背板、反光材料、光珠等的质量保证到生产灯具到成品等，做好每一步质量控制措施方案）</w:t>
            </w:r>
            <w:r>
              <w:rPr>
                <w:rFonts w:hint="eastAsia" w:asciiTheme="minorEastAsia" w:hAnsiTheme="minorEastAsia" w:eastAsiaTheme="minorEastAsia"/>
                <w:color w:val="auto"/>
                <w:sz w:val="21"/>
                <w:szCs w:val="21"/>
              </w:rPr>
              <w:t>；</w:t>
            </w:r>
          </w:p>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质量保证措施和承诺（产品整体质量状况，产品加工工艺及材质、功能结构、材料选用、耐用性、细节处理，关键部件的品质先进、稳定、安全、耐用）</w:t>
            </w:r>
            <w:r>
              <w:rPr>
                <w:rFonts w:hint="eastAsia" w:asciiTheme="minorEastAsia" w:hAnsiTheme="minorEastAsia" w:eastAsiaTheme="minorEastAsia"/>
                <w:color w:val="auto"/>
                <w:sz w:val="21"/>
                <w:szCs w:val="21"/>
              </w:rPr>
              <w:t>；</w:t>
            </w:r>
          </w:p>
          <w:p>
            <w:pPr>
              <w:rPr>
                <w:rFonts w:asciiTheme="minorEastAsia" w:hAnsiTheme="minorEastAsia" w:eastAsiaTheme="minorEastAsia" w:cstheme="minorBidi"/>
                <w:b/>
                <w:color w:val="auto"/>
                <w:kern w:val="2"/>
                <w:sz w:val="21"/>
                <w:szCs w:val="21"/>
                <w:lang w:val="en-US" w:bidi="ar-SA"/>
              </w:rPr>
            </w:pPr>
            <w:r>
              <w:rPr>
                <w:rFonts w:hint="eastAsia" w:asciiTheme="minorEastAsia" w:hAnsiTheme="minorEastAsia" w:eastAsiaTheme="minorEastAsia"/>
                <w:color w:val="auto"/>
                <w:sz w:val="21"/>
                <w:szCs w:val="21"/>
                <w:lang w:val="en-US" w:eastAsia="zh-CN"/>
              </w:rPr>
              <w:t>（1）提供上述内容的，每提供一项得0.5分，满分1分，未提供则不得分。（2）A.</w:t>
            </w:r>
            <w:r>
              <w:rPr>
                <w:rFonts w:hint="eastAsia" w:asciiTheme="minorEastAsia" w:hAnsiTheme="minorEastAsia" w:eastAsiaTheme="minorEastAsia"/>
                <w:sz w:val="21"/>
                <w:szCs w:val="21"/>
              </w:rPr>
              <w:t>质量保证</w:t>
            </w:r>
            <w:r>
              <w:rPr>
                <w:rFonts w:hint="eastAsia" w:asciiTheme="minorEastAsia" w:hAnsiTheme="minorEastAsia" w:eastAsiaTheme="minorEastAsia"/>
                <w:color w:val="auto"/>
                <w:sz w:val="21"/>
                <w:szCs w:val="21"/>
                <w:lang w:val="en-US" w:eastAsia="zh-CN"/>
              </w:rPr>
              <w:t>方案完整性、合理性、可行性强且完全符合本项目实际情况的得3.1-4.0分； B.</w:t>
            </w:r>
            <w:r>
              <w:rPr>
                <w:rFonts w:hint="eastAsia" w:asciiTheme="minorEastAsia" w:hAnsiTheme="minorEastAsia" w:eastAsiaTheme="minorEastAsia"/>
                <w:sz w:val="21"/>
                <w:szCs w:val="21"/>
              </w:rPr>
              <w:t>质量保证</w:t>
            </w:r>
            <w:r>
              <w:rPr>
                <w:rFonts w:hint="eastAsia" w:asciiTheme="minorEastAsia" w:hAnsiTheme="minorEastAsia" w:eastAsiaTheme="minorEastAsia"/>
                <w:color w:val="auto"/>
                <w:sz w:val="21"/>
                <w:szCs w:val="21"/>
                <w:lang w:val="en-US" w:eastAsia="zh-CN"/>
              </w:rPr>
              <w:t>方案基本完整，具有较强的合理性、可行性，基本符合本项目实际情况的得2.1-3.0分； C.</w:t>
            </w:r>
            <w:r>
              <w:rPr>
                <w:rFonts w:hint="eastAsia" w:asciiTheme="minorEastAsia" w:hAnsiTheme="minorEastAsia" w:eastAsiaTheme="minorEastAsia"/>
                <w:sz w:val="21"/>
                <w:szCs w:val="21"/>
              </w:rPr>
              <w:t>质量保证</w:t>
            </w:r>
            <w:r>
              <w:rPr>
                <w:rFonts w:hint="eastAsia" w:asciiTheme="minorEastAsia" w:hAnsiTheme="minorEastAsia" w:eastAsiaTheme="minorEastAsia"/>
                <w:sz w:val="21"/>
                <w:szCs w:val="21"/>
                <w:lang w:val="en-US" w:eastAsia="zh-CN"/>
              </w:rPr>
              <w:t>方案</w:t>
            </w:r>
            <w:r>
              <w:rPr>
                <w:rFonts w:hint="eastAsia" w:asciiTheme="minorEastAsia" w:hAnsiTheme="minorEastAsia" w:eastAsiaTheme="minorEastAsia"/>
                <w:color w:val="auto"/>
                <w:sz w:val="21"/>
                <w:szCs w:val="21"/>
                <w:lang w:val="en-US" w:eastAsia="zh-CN"/>
              </w:rPr>
              <w:t>内容缺失或不完整、可行性不强、不能符合本项目实际情况的得0.1-2.0分；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457" w:type="dxa"/>
            <w:vAlign w:val="center"/>
          </w:tcPr>
          <w:p>
            <w:pPr>
              <w:rPr>
                <w:rFonts w:asciiTheme="minorEastAsia" w:hAnsiTheme="minorEastAsia" w:eastAsiaTheme="minorEastAsia"/>
                <w:sz w:val="21"/>
                <w:szCs w:val="21"/>
                <w:lang w:val="en-US"/>
              </w:rPr>
            </w:pPr>
            <w:r>
              <w:rPr>
                <w:rFonts w:asciiTheme="minorEastAsia" w:hAnsiTheme="minorEastAsia" w:eastAsiaTheme="minorEastAsia"/>
                <w:sz w:val="21"/>
                <w:szCs w:val="21"/>
                <w:lang w:val="en-US"/>
              </w:rPr>
              <w:t>6</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培训方案（3分）</w:t>
            </w:r>
          </w:p>
        </w:tc>
        <w:tc>
          <w:tcPr>
            <w:tcW w:w="7852" w:type="dxa"/>
            <w:vAlign w:val="center"/>
          </w:tcPr>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lang w:val="en-US"/>
              </w:rPr>
              <w:t>评标委员会根据各投标人提供的培训方案进行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r>
              <w:rPr>
                <w:rFonts w:hint="eastAsia" w:asciiTheme="minorEastAsia" w:hAnsiTheme="minorEastAsia" w:eastAsiaTheme="minorEastAsia"/>
                <w:color w:val="auto"/>
                <w:sz w:val="21"/>
                <w:szCs w:val="21"/>
                <w:lang w:val="en-US" w:eastAsia="zh-CN"/>
              </w:rPr>
              <w:t>内容包括但不限于</w:t>
            </w:r>
            <w:r>
              <w:rPr>
                <w:rFonts w:hint="eastAsia" w:asciiTheme="minorEastAsia" w:hAnsiTheme="minorEastAsia" w:eastAsiaTheme="minorEastAsia"/>
                <w:color w:val="auto"/>
                <w:sz w:val="21"/>
                <w:szCs w:val="21"/>
              </w:rPr>
              <w:t xml:space="preserve"> （1）培训计划；（2）培训内容；（3）培训方式；上述三项内容分析描述要结合本项目的实际特点进行综合考虑</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lang w:eastAsia="zh-CN"/>
              </w:rPr>
              <w:t>）</w:t>
            </w:r>
            <w:r>
              <w:rPr>
                <w:rFonts w:hint="eastAsia" w:ascii="宋体" w:hAnsi="宋体" w:eastAsia="宋体" w:cs="宋体"/>
                <w:color w:val="000000"/>
                <w:kern w:val="0"/>
                <w:sz w:val="21"/>
                <w:szCs w:val="21"/>
                <w:lang w:val="en-US" w:eastAsia="zh-CN" w:bidi="ar"/>
              </w:rPr>
              <w:t>方案内容完整不缺项漏项：每项内容的完整性、针对性、可操作性、清晰程度</w:t>
            </w:r>
            <w:r>
              <w:rPr>
                <w:rFonts w:hint="eastAsia" w:cs="宋体"/>
                <w:color w:val="000000"/>
                <w:kern w:val="0"/>
                <w:sz w:val="21"/>
                <w:szCs w:val="21"/>
                <w:lang w:val="en-US" w:eastAsia="zh-CN" w:bidi="ar"/>
              </w:rPr>
              <w:t>符合实际情况</w:t>
            </w:r>
            <w:r>
              <w:rPr>
                <w:rFonts w:hint="eastAsia" w:ascii="宋体" w:hAnsi="宋体" w:eastAsia="宋体" w:cs="宋体"/>
                <w:color w:val="000000"/>
                <w:kern w:val="0"/>
                <w:sz w:val="21"/>
                <w:szCs w:val="21"/>
                <w:lang w:val="en-US" w:eastAsia="zh-CN" w:bidi="ar"/>
              </w:rPr>
              <w:t>得</w:t>
            </w:r>
            <w:r>
              <w:rPr>
                <w:rFonts w:hint="default" w:ascii="Times New Roman" w:hAnsi="Times New Roman" w:eastAsia="宋体" w:cs="Times New Roman"/>
                <w:color w:val="000000"/>
                <w:kern w:val="0"/>
                <w:sz w:val="21"/>
                <w:szCs w:val="21"/>
                <w:lang w:val="en-US" w:eastAsia="zh-CN" w:bidi="ar"/>
              </w:rPr>
              <w:t xml:space="preserve">3 </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）方案内容基本完整：描述内容的完整性、可操作性、清晰程度</w:t>
            </w:r>
            <w:r>
              <w:rPr>
                <w:rFonts w:hint="eastAsia" w:cs="宋体"/>
                <w:color w:val="000000"/>
                <w:kern w:val="0"/>
                <w:sz w:val="21"/>
                <w:szCs w:val="21"/>
                <w:lang w:val="en-US" w:eastAsia="zh-CN" w:bidi="ar"/>
              </w:rPr>
              <w:t>基本符合实际情况</w:t>
            </w:r>
            <w:r>
              <w:rPr>
                <w:rFonts w:hint="eastAsia" w:ascii="宋体" w:hAnsi="宋体" w:eastAsia="宋体" w:cs="宋体"/>
                <w:color w:val="000000"/>
                <w:kern w:val="0"/>
                <w:sz w:val="21"/>
                <w:szCs w:val="21"/>
                <w:lang w:val="en-US" w:eastAsia="zh-CN" w:bidi="ar"/>
              </w:rPr>
              <w:t>得</w:t>
            </w: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）方案内容缺项漏项不完整：描述内容的完整性、可操作性</w:t>
            </w:r>
            <w:r>
              <w:rPr>
                <w:rFonts w:hint="eastAsia"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清晰程度</w:t>
            </w:r>
            <w:r>
              <w:rPr>
                <w:rFonts w:hint="eastAsia" w:cs="宋体"/>
                <w:color w:val="000000"/>
                <w:kern w:val="0"/>
                <w:sz w:val="21"/>
                <w:szCs w:val="21"/>
                <w:lang w:val="en-US" w:eastAsia="zh-CN" w:bidi="ar"/>
              </w:rPr>
              <w:t>不符合实际情况</w:t>
            </w:r>
            <w:r>
              <w:rPr>
                <w:rFonts w:hint="eastAsia" w:ascii="宋体" w:hAnsi="宋体" w:eastAsia="宋体" w:cs="宋体"/>
                <w:color w:val="000000"/>
                <w:kern w:val="0"/>
                <w:sz w:val="21"/>
                <w:szCs w:val="21"/>
                <w:lang w:val="en-US" w:eastAsia="zh-CN" w:bidi="ar"/>
              </w:rPr>
              <w:t xml:space="preserve">得 </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分； （</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）不提供培训方案的得 </w:t>
            </w:r>
            <w:r>
              <w:rPr>
                <w:rFonts w:hint="default" w:ascii="Times New Roman" w:hAnsi="Times New Roman" w:eastAsia="宋体" w:cs="Times New Roman"/>
                <w:color w:val="000000"/>
                <w:kern w:val="0"/>
                <w:sz w:val="21"/>
                <w:szCs w:val="21"/>
                <w:lang w:val="en-US" w:eastAsia="zh-CN" w:bidi="ar"/>
              </w:rPr>
              <w:t xml:space="preserve">0 </w:t>
            </w:r>
            <w:r>
              <w:rPr>
                <w:rFonts w:hint="eastAsia" w:ascii="宋体" w:hAnsi="宋体" w:eastAsia="宋体" w:cs="宋体"/>
                <w:color w:val="000000"/>
                <w:kern w:val="0"/>
                <w:sz w:val="21"/>
                <w:szCs w:val="21"/>
                <w:lang w:val="en-US" w:eastAsia="zh-CN" w:bidi="ar"/>
              </w:rPr>
              <w:t xml:space="preserve">分。 </w:t>
            </w:r>
          </w:p>
        </w:tc>
      </w:tr>
    </w:tbl>
    <w:p>
      <w:pPr>
        <w:rPr>
          <w:lang w:val="en-US"/>
        </w:rPr>
      </w:pPr>
    </w:p>
    <w:p>
      <w:pPr>
        <w:jc w:val="center"/>
        <w:rPr>
          <w:sz w:val="21"/>
          <w:lang w:val="en-US"/>
        </w:rPr>
      </w:pPr>
    </w:p>
    <w:p>
      <w:pPr>
        <w:pStyle w:val="2"/>
        <w:rPr>
          <w:lang w:val="en-US"/>
        </w:rPr>
        <w:sectPr>
          <w:pgSz w:w="11910" w:h="16840"/>
          <w:pgMar w:top="1360" w:right="40" w:bottom="1180" w:left="1140" w:header="884" w:footer="990" w:gutter="0"/>
          <w:cols w:space="720" w:num="1"/>
        </w:sectPr>
      </w:pPr>
    </w:p>
    <w:p>
      <w:pPr>
        <w:pStyle w:val="3"/>
        <w:numPr>
          <w:ilvl w:val="0"/>
          <w:numId w:val="11"/>
        </w:numPr>
        <w:tabs>
          <w:tab w:val="left" w:pos="4451"/>
        </w:tabs>
        <w:jc w:val="center"/>
      </w:pPr>
      <w:r>
        <w:rPr>
          <w:rFonts w:hint="eastAsia" w:eastAsia="宋体"/>
          <w:lang w:val="en-US"/>
        </w:rPr>
        <w:t xml:space="preserve">  </w:t>
      </w:r>
      <w:r>
        <w:t>投标文件格式</w:t>
      </w:r>
    </w:p>
    <w:p>
      <w:pPr>
        <w:pStyle w:val="2"/>
      </w:pPr>
    </w:p>
    <w:p>
      <w:pPr>
        <w:pStyle w:val="2"/>
        <w:spacing w:before="17"/>
        <w:rPr>
          <w:rFonts w:ascii="Microsoft JhengHei"/>
          <w:b/>
          <w:sz w:val="10"/>
        </w:rPr>
      </w:pPr>
    </w:p>
    <w:p>
      <w:pPr>
        <w:spacing w:line="598" w:lineRule="exact"/>
        <w:ind w:left="2752"/>
        <w:rPr>
          <w:rFonts w:ascii="微软雅黑" w:eastAsia="微软雅黑"/>
          <w:b/>
          <w:sz w:val="36"/>
        </w:rPr>
      </w:pPr>
      <w:bookmarkStart w:id="36" w:name="响应文件封面"/>
      <w:bookmarkEnd w:id="36"/>
      <w:r>
        <w:rPr>
          <w:rFonts w:hint="eastAsia" w:ascii="微软雅黑" w:eastAsia="微软雅黑"/>
          <w:b/>
          <w:spacing w:val="11"/>
          <w:sz w:val="36"/>
        </w:rPr>
        <w:t>公开招标响应文件</w:t>
      </w:r>
    </w:p>
    <w:p>
      <w:pPr>
        <w:pStyle w:val="2"/>
        <w:rPr>
          <w:rFonts w:ascii="微软雅黑"/>
          <w:b/>
          <w:sz w:val="36"/>
        </w:rPr>
      </w:pPr>
    </w:p>
    <w:p>
      <w:pPr>
        <w:pStyle w:val="2"/>
        <w:spacing w:before="2"/>
        <w:rPr>
          <w:rFonts w:ascii="微软雅黑"/>
          <w:b/>
          <w:sz w:val="47"/>
        </w:rPr>
      </w:pPr>
    </w:p>
    <w:p>
      <w:pPr>
        <w:pStyle w:val="4"/>
        <w:tabs>
          <w:tab w:val="left" w:pos="5699"/>
        </w:tabs>
        <w:rPr>
          <w:spacing w:val="13"/>
        </w:rPr>
      </w:pPr>
    </w:p>
    <w:p>
      <w:pPr>
        <w:pStyle w:val="4"/>
        <w:tabs>
          <w:tab w:val="left" w:pos="5699"/>
        </w:tabs>
        <w:rPr>
          <w:rFonts w:ascii="Times New Roman" w:eastAsia="Times New Roman"/>
        </w:rPr>
      </w:pPr>
      <w:r>
        <w:rPr>
          <w:spacing w:val="13"/>
        </w:rPr>
        <w:t>项目编号</w:t>
      </w:r>
      <w:r>
        <w:t>：</w:t>
      </w:r>
      <w:r>
        <w:rPr>
          <w:spacing w:val="-72"/>
        </w:rPr>
        <w:t xml:space="preserve"> </w:t>
      </w:r>
      <w:r>
        <w:rPr>
          <w:rFonts w:ascii="Times New Roman" w:eastAsia="Times New Roman"/>
          <w:w w:val="101"/>
          <w:u w:val="single"/>
        </w:rPr>
        <w:t xml:space="preserve"> </w:t>
      </w:r>
      <w:r>
        <w:rPr>
          <w:rFonts w:ascii="Times New Roman" w:eastAsia="Times New Roman"/>
          <w:u w:val="single"/>
        </w:rPr>
        <w:tab/>
      </w:r>
    </w:p>
    <w:p>
      <w:pPr>
        <w:pStyle w:val="2"/>
        <w:spacing w:before="10"/>
        <w:rPr>
          <w:rFonts w:ascii="Times New Roman"/>
          <w:b/>
          <w:sz w:val="8"/>
        </w:rPr>
      </w:pPr>
    </w:p>
    <w:p>
      <w:pPr>
        <w:tabs>
          <w:tab w:val="left" w:pos="5699"/>
        </w:tabs>
        <w:spacing w:line="544" w:lineRule="exact"/>
        <w:ind w:left="2887"/>
        <w:rPr>
          <w:rFonts w:ascii="Times New Roman" w:eastAsia="Times New Roman"/>
          <w:b/>
          <w:sz w:val="31"/>
        </w:rPr>
      </w:pPr>
      <w:r>
        <w:rPr>
          <w:rFonts w:hint="eastAsia" w:ascii="微软雅黑" w:eastAsia="微软雅黑"/>
          <w:b/>
          <w:spacing w:val="13"/>
          <w:sz w:val="31"/>
        </w:rPr>
        <w:t>项目名称</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spacing w:before="10"/>
        <w:rPr>
          <w:rFonts w:ascii="Times New Roman"/>
          <w:b/>
          <w:sz w:val="8"/>
        </w:rPr>
      </w:pPr>
    </w:p>
    <w:p>
      <w:pPr>
        <w:tabs>
          <w:tab w:val="left" w:pos="5699"/>
        </w:tabs>
        <w:spacing w:line="543" w:lineRule="exact"/>
        <w:ind w:left="2887"/>
        <w:rPr>
          <w:rFonts w:ascii="Times New Roman" w:eastAsia="Times New Roman"/>
          <w:b/>
          <w:sz w:val="31"/>
        </w:rPr>
      </w:pPr>
      <w:r>
        <w:rPr>
          <w:rFonts w:hint="eastAsia" w:ascii="微软雅黑" w:eastAsia="微软雅黑"/>
          <w:b/>
          <w:spacing w:val="13"/>
          <w:sz w:val="31"/>
        </w:rPr>
        <w:t>标包名称</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spacing w:before="10"/>
        <w:rPr>
          <w:rFonts w:ascii="Times New Roman"/>
          <w:b/>
          <w:sz w:val="8"/>
        </w:rPr>
      </w:pPr>
    </w:p>
    <w:p>
      <w:pPr>
        <w:tabs>
          <w:tab w:val="left" w:pos="5699"/>
        </w:tabs>
        <w:spacing w:line="543" w:lineRule="exact"/>
        <w:ind w:left="2887"/>
        <w:rPr>
          <w:rFonts w:ascii="Times New Roman" w:eastAsia="Times New Roman"/>
          <w:b/>
          <w:sz w:val="31"/>
        </w:rPr>
      </w:pPr>
      <w:r>
        <w:rPr>
          <w:rFonts w:hint="eastAsia" w:ascii="微软雅黑" w:eastAsia="微软雅黑"/>
          <w:b/>
          <w:spacing w:val="13"/>
          <w:sz w:val="31"/>
        </w:rPr>
        <w:t>标包编号</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spacing w:before="4"/>
        <w:rPr>
          <w:rFonts w:ascii="Times New Roman"/>
          <w:b/>
          <w:sz w:val="22"/>
        </w:rPr>
      </w:pPr>
    </w:p>
    <w:p>
      <w:pPr>
        <w:tabs>
          <w:tab w:val="left" w:pos="4912"/>
        </w:tabs>
        <w:spacing w:line="543" w:lineRule="exact"/>
        <w:ind w:left="2152"/>
        <w:rPr>
          <w:rFonts w:ascii="微软雅黑" w:eastAsia="微软雅黑"/>
          <w:b/>
          <w:sz w:val="31"/>
        </w:rPr>
      </w:pPr>
      <w:r>
        <w:rPr>
          <w:rFonts w:hint="eastAsia" w:ascii="微软雅黑" w:eastAsia="微软雅黑"/>
          <w:b/>
          <w:spacing w:val="13"/>
          <w:sz w:val="31"/>
        </w:rPr>
        <w:t>供应商</w:t>
      </w:r>
      <w:r>
        <w:rPr>
          <w:rFonts w:hint="eastAsia" w:ascii="微软雅黑" w:eastAsia="微软雅黑"/>
          <w:b/>
          <w:sz w:val="31"/>
        </w:rPr>
        <w:t>：</w:t>
      </w:r>
      <w:r>
        <w:rPr>
          <w:rFonts w:hint="eastAsia" w:ascii="微软雅黑" w:eastAsia="微软雅黑"/>
          <w:b/>
          <w:sz w:val="31"/>
          <w:u w:val="single"/>
        </w:rPr>
        <w:t xml:space="preserve"> </w:t>
      </w:r>
      <w:r>
        <w:rPr>
          <w:rFonts w:hint="eastAsia" w:ascii="微软雅黑" w:eastAsia="微软雅黑"/>
          <w:b/>
          <w:sz w:val="31"/>
          <w:u w:val="single"/>
        </w:rPr>
        <w:tab/>
      </w:r>
      <w:r>
        <w:rPr>
          <w:rFonts w:hint="eastAsia" w:ascii="微软雅黑" w:eastAsia="微软雅黑"/>
          <w:b/>
          <w:spacing w:val="13"/>
          <w:sz w:val="31"/>
        </w:rPr>
        <w:t>（单位盖章</w:t>
      </w:r>
      <w:r>
        <w:rPr>
          <w:rFonts w:hint="eastAsia" w:ascii="微软雅黑" w:eastAsia="微软雅黑"/>
          <w:b/>
          <w:sz w:val="31"/>
        </w:rPr>
        <w:t>）</w:t>
      </w:r>
    </w:p>
    <w:p>
      <w:pPr>
        <w:tabs>
          <w:tab w:val="left" w:pos="3682"/>
          <w:tab w:val="left" w:pos="4372"/>
        </w:tabs>
        <w:spacing w:before="73"/>
        <w:ind w:left="2152"/>
        <w:rPr>
          <w:rFonts w:ascii="微软雅黑" w:eastAsia="微软雅黑"/>
          <w:b/>
          <w:sz w:val="31"/>
        </w:rPr>
      </w:pPr>
      <w:r>
        <w:rPr>
          <w:rFonts w:hint="eastAsia" w:ascii="微软雅黑" w:eastAsia="微软雅黑"/>
          <w:b/>
          <w:sz w:val="31"/>
        </w:rPr>
        <w:t xml:space="preserve">日 </w:t>
      </w:r>
      <w:r>
        <w:rPr>
          <w:rFonts w:hint="eastAsia" w:ascii="微软雅黑" w:eastAsia="微软雅黑"/>
          <w:b/>
          <w:spacing w:val="16"/>
          <w:sz w:val="31"/>
        </w:rPr>
        <w:t xml:space="preserve"> </w:t>
      </w:r>
      <w:r>
        <w:rPr>
          <w:rFonts w:hint="eastAsia" w:ascii="微软雅黑" w:eastAsia="微软雅黑"/>
          <w:b/>
          <w:spacing w:val="13"/>
          <w:sz w:val="31"/>
        </w:rPr>
        <w:t>期</w:t>
      </w:r>
      <w:r>
        <w:rPr>
          <w:rFonts w:hint="eastAsia" w:ascii="微软雅黑" w:eastAsia="微软雅黑"/>
          <w:b/>
          <w:sz w:val="31"/>
        </w:rPr>
        <w:t>：</w:t>
      </w:r>
      <w:r>
        <w:rPr>
          <w:rFonts w:hint="eastAsia" w:ascii="微软雅黑" w:eastAsia="微软雅黑"/>
          <w:b/>
          <w:sz w:val="31"/>
          <w:u w:val="single"/>
        </w:rPr>
        <w:t xml:space="preserve"> </w:t>
      </w:r>
      <w:r>
        <w:rPr>
          <w:rFonts w:hint="eastAsia" w:ascii="微软雅黑" w:eastAsia="微软雅黑"/>
          <w:b/>
          <w:sz w:val="31"/>
          <w:u w:val="single"/>
        </w:rPr>
        <w:tab/>
      </w:r>
      <w:r>
        <w:rPr>
          <w:rFonts w:hint="eastAsia" w:ascii="微软雅黑" w:eastAsia="微软雅黑"/>
          <w:b/>
          <w:spacing w:val="21"/>
          <w:sz w:val="31"/>
        </w:rPr>
        <w:t>年</w:t>
      </w:r>
      <w:r>
        <w:rPr>
          <w:rFonts w:hint="eastAsia" w:ascii="微软雅黑" w:eastAsia="微软雅黑"/>
          <w:b/>
          <w:spacing w:val="21"/>
          <w:sz w:val="31"/>
          <w:u w:val="single"/>
        </w:rPr>
        <w:t xml:space="preserve"> </w:t>
      </w:r>
      <w:r>
        <w:rPr>
          <w:rFonts w:hint="eastAsia" w:ascii="微软雅黑" w:eastAsia="微软雅黑"/>
          <w:b/>
          <w:spacing w:val="21"/>
          <w:sz w:val="31"/>
          <w:u w:val="single"/>
        </w:rPr>
        <w:tab/>
      </w:r>
      <w:r>
        <w:rPr>
          <w:rFonts w:hint="eastAsia" w:ascii="微软雅黑" w:eastAsia="微软雅黑"/>
          <w:b/>
          <w:sz w:val="31"/>
        </w:rPr>
        <w:t>月</w:t>
      </w:r>
    </w:p>
    <w:p>
      <w:pPr>
        <w:rPr>
          <w:rFonts w:ascii="微软雅黑" w:eastAsia="微软雅黑"/>
          <w:sz w:val="31"/>
        </w:rPr>
        <w:sectPr>
          <w:pgSz w:w="11900" w:h="16840"/>
          <w:pgMar w:top="1600" w:right="0" w:bottom="480" w:left="1680" w:header="0" w:footer="207" w:gutter="0"/>
          <w:cols w:space="720" w:num="1"/>
        </w:sectPr>
      </w:pPr>
    </w:p>
    <w:p>
      <w:pPr>
        <w:pStyle w:val="4"/>
        <w:tabs>
          <w:tab w:val="left" w:pos="641"/>
        </w:tabs>
        <w:spacing w:line="562" w:lineRule="exact"/>
        <w:ind w:left="0" w:right="1099" w:firstLine="4162" w:firstLineChars="1300"/>
        <w:jc w:val="both"/>
      </w:pPr>
      <w:r>
        <w:t>目</w:t>
      </w:r>
      <w:r>
        <w:tab/>
      </w:r>
      <w:r>
        <w:t>录</w:t>
      </w:r>
    </w:p>
    <w:p>
      <w:pPr>
        <w:pStyle w:val="2"/>
        <w:spacing w:before="16"/>
        <w:rPr>
          <w:rFonts w:ascii="Microsoft JhengHei"/>
          <w:b/>
          <w:sz w:val="33"/>
        </w:rPr>
      </w:pPr>
    </w:p>
    <w:p>
      <w:pPr>
        <w:pStyle w:val="7"/>
      </w:pPr>
      <w:r>
        <w:fldChar w:fldCharType="begin"/>
      </w:r>
      <w:r>
        <w:instrText xml:space="preserve"> HYPERLINK \l "_bookmark6" </w:instrText>
      </w:r>
      <w:r>
        <w:fldChar w:fldCharType="separate"/>
      </w:r>
      <w:r>
        <w:t>一、投 标 函</w:t>
      </w:r>
      <w:r>
        <w:fldChar w:fldCharType="end"/>
      </w:r>
    </w:p>
    <w:p>
      <w:pPr>
        <w:pStyle w:val="7"/>
        <w:spacing w:before="200" w:line="364" w:lineRule="auto"/>
        <w:ind w:left="1233" w:right="3582" w:hanging="690"/>
      </w:pPr>
      <w:r>
        <w:fldChar w:fldCharType="begin"/>
      </w:r>
      <w:r>
        <w:instrText xml:space="preserve"> HYPERLINK \l "_bookmark7" </w:instrText>
      </w:r>
      <w:r>
        <w:fldChar w:fldCharType="separate"/>
      </w:r>
      <w:r>
        <w:t xml:space="preserve">二、法定代表人身份证明（法定代表人参加投标） </w:t>
      </w:r>
      <w:r>
        <w:fldChar w:fldCharType="end"/>
      </w:r>
      <w:r>
        <w:t>法人授权委托书（被授权人参加投标）</w:t>
      </w:r>
    </w:p>
    <w:p>
      <w:pPr>
        <w:pStyle w:val="7"/>
        <w:spacing w:line="383" w:lineRule="exact"/>
      </w:pPr>
      <w:r>
        <w:fldChar w:fldCharType="begin"/>
      </w:r>
      <w:r>
        <w:instrText xml:space="preserve"> HYPERLINK \l "_bookmark8" </w:instrText>
      </w:r>
      <w:r>
        <w:fldChar w:fldCharType="separate"/>
      </w:r>
      <w:r>
        <w:t>三、承诺函</w:t>
      </w:r>
      <w:r>
        <w:fldChar w:fldCharType="end"/>
      </w:r>
    </w:p>
    <w:p>
      <w:pPr>
        <w:pStyle w:val="7"/>
        <w:spacing w:before="199" w:line="364" w:lineRule="auto"/>
        <w:ind w:right="6882"/>
      </w:pPr>
      <w:r>
        <w:fldChar w:fldCharType="begin"/>
      </w:r>
      <w:r>
        <w:instrText xml:space="preserve"> HYPERLINK \l "_bookmark9" </w:instrText>
      </w:r>
      <w:r>
        <w:fldChar w:fldCharType="separate"/>
      </w:r>
      <w:r>
        <w:t>四、投标人的基本情况表</w:t>
      </w:r>
      <w:r>
        <w:fldChar w:fldCharType="end"/>
      </w:r>
      <w:r>
        <w:fldChar w:fldCharType="begin"/>
      </w:r>
      <w:r>
        <w:instrText xml:space="preserve"> HYPERLINK \l "_bookmark10" </w:instrText>
      </w:r>
      <w:r>
        <w:fldChar w:fldCharType="separate"/>
      </w:r>
      <w:r>
        <w:t>五、资格证明材料</w:t>
      </w:r>
      <w:r>
        <w:fldChar w:fldCharType="end"/>
      </w:r>
    </w:p>
    <w:p>
      <w:pPr>
        <w:pStyle w:val="7"/>
        <w:spacing w:line="383" w:lineRule="exact"/>
      </w:pPr>
      <w:r>
        <w:t>六、开标一览表</w:t>
      </w:r>
    </w:p>
    <w:p>
      <w:pPr>
        <w:pStyle w:val="7"/>
        <w:spacing w:before="199" w:line="364" w:lineRule="auto"/>
        <w:ind w:right="7362"/>
      </w:pPr>
      <w:r>
        <w:t>七、分项报价明细表</w:t>
      </w:r>
      <w:r>
        <w:fldChar w:fldCharType="begin"/>
      </w:r>
      <w:r>
        <w:instrText xml:space="preserve"> HYPERLINK \l "_bookmark11" </w:instrText>
      </w:r>
      <w:r>
        <w:fldChar w:fldCharType="separate"/>
      </w:r>
      <w:r>
        <w:t>八、采购需求响应表</w:t>
      </w:r>
      <w:r>
        <w:fldChar w:fldCharType="end"/>
      </w:r>
      <w:r>
        <w:fldChar w:fldCharType="begin"/>
      </w:r>
      <w:r>
        <w:instrText xml:space="preserve"> HYPERLINK \l "_bookmark12" </w:instrText>
      </w:r>
      <w:r>
        <w:fldChar w:fldCharType="separate"/>
      </w:r>
      <w:r>
        <w:t>九、其他材料</w:t>
      </w:r>
      <w:r>
        <w:fldChar w:fldCharType="end"/>
      </w:r>
    </w:p>
    <w:p>
      <w:pPr>
        <w:pStyle w:val="7"/>
        <w:spacing w:line="382" w:lineRule="exact"/>
      </w:pPr>
      <w:r>
        <w:t>十、中小企业声明函</w:t>
      </w:r>
    </w:p>
    <w:p>
      <w:pPr>
        <w:pStyle w:val="7"/>
        <w:spacing w:before="199" w:line="364" w:lineRule="auto"/>
        <w:ind w:right="5982"/>
      </w:pPr>
      <w:r>
        <w:t>十一、残疾人福利性单位声明函十二、监狱企业</w:t>
      </w:r>
    </w:p>
    <w:p>
      <w:pPr>
        <w:spacing w:line="364" w:lineRule="auto"/>
        <w:sectPr>
          <w:pgSz w:w="11910" w:h="16840"/>
          <w:pgMar w:top="1360" w:right="40" w:bottom="1180" w:left="1140" w:header="884" w:footer="990" w:gutter="0"/>
          <w:cols w:space="720" w:num="1"/>
        </w:sectPr>
      </w:pPr>
    </w:p>
    <w:p>
      <w:pPr>
        <w:pStyle w:val="5"/>
      </w:pPr>
      <w:r>
        <w:t>初步评审表各项页码索引表</w:t>
      </w:r>
    </w:p>
    <w:p>
      <w:pPr>
        <w:pStyle w:val="2"/>
        <w:spacing w:before="8" w:after="1"/>
        <w:rPr>
          <w:rFonts w:ascii="Microsoft JhengHei"/>
          <w:b/>
          <w:sz w:val="26"/>
        </w:rPr>
      </w:pPr>
    </w:p>
    <w:tbl>
      <w:tblPr>
        <w:tblStyle w:val="17"/>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3740"/>
        <w:gridCol w:w="1543"/>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71" w:type="dxa"/>
          </w:tcPr>
          <w:p>
            <w:pPr>
              <w:pStyle w:val="21"/>
              <w:spacing w:before="70"/>
              <w:ind w:left="255" w:right="246"/>
              <w:jc w:val="center"/>
              <w:rPr>
                <w:rFonts w:ascii="Microsoft JhengHei" w:eastAsia="Microsoft JhengHei"/>
                <w:b/>
                <w:sz w:val="21"/>
              </w:rPr>
            </w:pPr>
            <w:r>
              <w:rPr>
                <w:rFonts w:hint="eastAsia" w:ascii="Microsoft JhengHei" w:eastAsia="Microsoft JhengHei"/>
                <w:b/>
                <w:sz w:val="21"/>
              </w:rPr>
              <w:t>序号</w:t>
            </w:r>
          </w:p>
        </w:tc>
        <w:tc>
          <w:tcPr>
            <w:tcW w:w="3740" w:type="dxa"/>
          </w:tcPr>
          <w:p>
            <w:pPr>
              <w:pStyle w:val="21"/>
              <w:spacing w:before="70"/>
              <w:ind w:right="1542"/>
              <w:jc w:val="right"/>
              <w:rPr>
                <w:rFonts w:ascii="Microsoft JhengHei" w:eastAsia="Microsoft JhengHei"/>
                <w:b/>
                <w:sz w:val="21"/>
              </w:rPr>
            </w:pPr>
            <w:r>
              <w:rPr>
                <w:rFonts w:hint="eastAsia" w:ascii="Microsoft JhengHei" w:eastAsia="Microsoft JhengHei"/>
                <w:b/>
                <w:sz w:val="21"/>
              </w:rPr>
              <w:t>评审项</w:t>
            </w:r>
          </w:p>
        </w:tc>
        <w:tc>
          <w:tcPr>
            <w:tcW w:w="1543" w:type="dxa"/>
          </w:tcPr>
          <w:p>
            <w:pPr>
              <w:pStyle w:val="21"/>
              <w:spacing w:before="70"/>
              <w:ind w:left="349"/>
              <w:rPr>
                <w:rFonts w:ascii="Microsoft JhengHei" w:eastAsia="Microsoft JhengHei"/>
                <w:b/>
                <w:sz w:val="21"/>
              </w:rPr>
            </w:pPr>
            <w:r>
              <w:rPr>
                <w:rFonts w:hint="eastAsia" w:ascii="Microsoft JhengHei" w:eastAsia="Microsoft JhengHei"/>
                <w:b/>
                <w:sz w:val="21"/>
              </w:rPr>
              <w:t>响应情况</w:t>
            </w:r>
          </w:p>
        </w:tc>
        <w:tc>
          <w:tcPr>
            <w:tcW w:w="2904" w:type="dxa"/>
          </w:tcPr>
          <w:p>
            <w:pPr>
              <w:pStyle w:val="21"/>
              <w:spacing w:line="263" w:lineRule="exact"/>
              <w:ind w:left="819"/>
              <w:rPr>
                <w:rFonts w:ascii="Microsoft JhengHei" w:eastAsia="Microsoft JhengHei"/>
                <w:b/>
                <w:sz w:val="21"/>
              </w:rPr>
            </w:pPr>
            <w:r>
              <w:rPr>
                <w:rFonts w:hint="eastAsia" w:ascii="Microsoft JhengHei" w:eastAsia="Microsoft JhengHei"/>
                <w:b/>
                <w:sz w:val="21"/>
              </w:rPr>
              <w:t>材料所在页码</w:t>
            </w:r>
            <w:r>
              <w:rPr>
                <w:rFonts w:hint="eastAsia" w:ascii="Microsoft JhengHei" w:eastAsia="Microsoft JhengHei"/>
                <w:b/>
                <w:w w:val="200"/>
                <w:sz w:val="21"/>
              </w:rPr>
              <w:t xml:space="preserve"> </w:t>
            </w:r>
          </w:p>
          <w:p>
            <w:pPr>
              <w:pStyle w:val="21"/>
              <w:spacing w:line="261" w:lineRule="exact"/>
              <w:ind w:left="820"/>
              <w:rPr>
                <w:rFonts w:ascii="Microsoft JhengHei" w:eastAsia="Microsoft JhengHei"/>
                <w:b/>
                <w:sz w:val="21"/>
              </w:rPr>
            </w:pPr>
            <w:r>
              <w:rPr>
                <w:rFonts w:hint="eastAsia" w:ascii="Microsoft JhengHei" w:eastAsia="Microsoft JhengHei"/>
                <w:b/>
                <w:sz w:val="21"/>
              </w:rPr>
              <w:t>（ 第</w:t>
            </w:r>
            <w:r>
              <w:rPr>
                <w:rFonts w:hint="eastAsia" w:ascii="Microsoft JhengHei" w:eastAsia="Microsoft JhengHei"/>
                <w:b/>
                <w:spacing w:val="9"/>
                <w:sz w:val="21"/>
                <w:u w:val="single"/>
              </w:rPr>
              <w:t xml:space="preserve">     </w:t>
            </w:r>
            <w:r>
              <w:rPr>
                <w:rFonts w:hint="eastAsia" w:ascii="Microsoft JhengHei" w:eastAsia="Microsoft JhengHei"/>
                <w:b/>
                <w:sz w:val="21"/>
              </w:rPr>
              <w:t>页 ）</w:t>
            </w:r>
            <w:r>
              <w:rPr>
                <w:rFonts w:hint="eastAsia" w:ascii="Microsoft JhengHei" w:eastAsia="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71" w:type="dxa"/>
          </w:tcPr>
          <w:p>
            <w:pPr>
              <w:pStyle w:val="21"/>
              <w:spacing w:before="128"/>
              <w:ind w:left="10"/>
              <w:jc w:val="center"/>
              <w:rPr>
                <w:sz w:val="21"/>
              </w:rPr>
            </w:pPr>
            <w:r>
              <w:rPr>
                <w:sz w:val="21"/>
              </w:rPr>
              <w:t>1</w:t>
            </w:r>
          </w:p>
        </w:tc>
        <w:tc>
          <w:tcPr>
            <w:tcW w:w="3740" w:type="dxa"/>
          </w:tcPr>
          <w:p>
            <w:pPr>
              <w:pStyle w:val="21"/>
              <w:rPr>
                <w:rFonts w:ascii="Times New Roman"/>
              </w:rPr>
            </w:pPr>
          </w:p>
        </w:tc>
        <w:tc>
          <w:tcPr>
            <w:tcW w:w="1543"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71" w:type="dxa"/>
          </w:tcPr>
          <w:p>
            <w:pPr>
              <w:pStyle w:val="21"/>
              <w:spacing w:before="70"/>
              <w:ind w:left="10"/>
              <w:jc w:val="center"/>
              <w:rPr>
                <w:sz w:val="21"/>
              </w:rPr>
            </w:pPr>
            <w:r>
              <w:rPr>
                <w:sz w:val="21"/>
              </w:rPr>
              <w:t>2</w:t>
            </w:r>
          </w:p>
        </w:tc>
        <w:tc>
          <w:tcPr>
            <w:tcW w:w="3740" w:type="dxa"/>
          </w:tcPr>
          <w:p>
            <w:pPr>
              <w:pStyle w:val="21"/>
              <w:rPr>
                <w:rFonts w:ascii="Times New Roman"/>
              </w:rPr>
            </w:pPr>
          </w:p>
        </w:tc>
        <w:tc>
          <w:tcPr>
            <w:tcW w:w="1543"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71" w:type="dxa"/>
          </w:tcPr>
          <w:p>
            <w:pPr>
              <w:pStyle w:val="21"/>
              <w:spacing w:before="98"/>
              <w:ind w:left="10"/>
              <w:jc w:val="center"/>
              <w:rPr>
                <w:sz w:val="21"/>
              </w:rPr>
            </w:pPr>
            <w:r>
              <w:rPr>
                <w:sz w:val="21"/>
              </w:rPr>
              <w:t>3</w:t>
            </w:r>
          </w:p>
        </w:tc>
        <w:tc>
          <w:tcPr>
            <w:tcW w:w="3740" w:type="dxa"/>
          </w:tcPr>
          <w:p>
            <w:pPr>
              <w:pStyle w:val="21"/>
              <w:rPr>
                <w:rFonts w:ascii="Times New Roman"/>
              </w:rPr>
            </w:pPr>
          </w:p>
        </w:tc>
        <w:tc>
          <w:tcPr>
            <w:tcW w:w="1543"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971" w:type="dxa"/>
          </w:tcPr>
          <w:p>
            <w:pPr>
              <w:pStyle w:val="21"/>
              <w:spacing w:before="132"/>
              <w:ind w:left="10"/>
              <w:jc w:val="center"/>
              <w:rPr>
                <w:sz w:val="21"/>
              </w:rPr>
            </w:pPr>
            <w:r>
              <w:rPr>
                <w:sz w:val="21"/>
              </w:rPr>
              <w:t>4</w:t>
            </w:r>
          </w:p>
        </w:tc>
        <w:tc>
          <w:tcPr>
            <w:tcW w:w="3740" w:type="dxa"/>
          </w:tcPr>
          <w:p>
            <w:pPr>
              <w:pStyle w:val="21"/>
              <w:spacing w:before="132"/>
              <w:ind w:right="1543"/>
              <w:jc w:val="right"/>
              <w:rPr>
                <w:sz w:val="21"/>
              </w:rPr>
            </w:pPr>
            <w:r>
              <w:rPr>
                <w:sz w:val="21"/>
              </w:rPr>
              <w:t>......</w:t>
            </w:r>
          </w:p>
        </w:tc>
        <w:tc>
          <w:tcPr>
            <w:tcW w:w="1543" w:type="dxa"/>
          </w:tcPr>
          <w:p>
            <w:pPr>
              <w:pStyle w:val="21"/>
              <w:rPr>
                <w:rFonts w:ascii="Times New Roman"/>
              </w:rPr>
            </w:pPr>
          </w:p>
        </w:tc>
        <w:tc>
          <w:tcPr>
            <w:tcW w:w="2904" w:type="dxa"/>
          </w:tcPr>
          <w:p>
            <w:pPr>
              <w:pStyle w:val="21"/>
              <w:rPr>
                <w:rFonts w:ascii="Times New Roman"/>
              </w:rPr>
            </w:pPr>
          </w:p>
        </w:tc>
      </w:tr>
    </w:tbl>
    <w:p>
      <w:pPr>
        <w:rPr>
          <w:rFonts w:ascii="Times New Roman"/>
        </w:rPr>
        <w:sectPr>
          <w:pgSz w:w="11910" w:h="16840"/>
          <w:pgMar w:top="1360" w:right="40" w:bottom="1180" w:left="1140" w:header="884" w:footer="990" w:gutter="0"/>
          <w:cols w:space="720" w:num="1"/>
        </w:sectPr>
      </w:pPr>
    </w:p>
    <w:p>
      <w:pPr>
        <w:pStyle w:val="5"/>
      </w:pPr>
      <w:r>
        <w:t>综合评分表各项页码索引表</w:t>
      </w:r>
    </w:p>
    <w:p>
      <w:pPr>
        <w:pStyle w:val="2"/>
        <w:rPr>
          <w:rFonts w:ascii="Microsoft JhengHei"/>
          <w:b/>
          <w:sz w:val="20"/>
        </w:rPr>
      </w:pPr>
    </w:p>
    <w:p>
      <w:pPr>
        <w:pStyle w:val="2"/>
        <w:spacing w:before="7"/>
        <w:rPr>
          <w:rFonts w:ascii="Microsoft JhengHei"/>
          <w:b/>
          <w:sz w:val="17"/>
        </w:rPr>
      </w:pPr>
    </w:p>
    <w:tbl>
      <w:tblPr>
        <w:tblStyle w:val="17"/>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3066"/>
        <w:gridCol w:w="2217"/>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71" w:type="dxa"/>
          </w:tcPr>
          <w:p>
            <w:pPr>
              <w:pStyle w:val="21"/>
              <w:spacing w:before="70"/>
              <w:ind w:left="255" w:right="246"/>
              <w:jc w:val="center"/>
              <w:rPr>
                <w:rFonts w:ascii="Microsoft JhengHei" w:eastAsia="Microsoft JhengHei"/>
                <w:b/>
                <w:sz w:val="21"/>
              </w:rPr>
            </w:pPr>
            <w:r>
              <w:rPr>
                <w:rFonts w:hint="eastAsia" w:ascii="Microsoft JhengHei" w:eastAsia="Microsoft JhengHei"/>
                <w:b/>
                <w:sz w:val="21"/>
              </w:rPr>
              <w:t>序号</w:t>
            </w:r>
          </w:p>
        </w:tc>
        <w:tc>
          <w:tcPr>
            <w:tcW w:w="3066" w:type="dxa"/>
          </w:tcPr>
          <w:p>
            <w:pPr>
              <w:pStyle w:val="21"/>
              <w:spacing w:before="70"/>
              <w:ind w:left="1197" w:right="1188"/>
              <w:jc w:val="center"/>
              <w:rPr>
                <w:rFonts w:ascii="Microsoft JhengHei" w:eastAsia="Microsoft JhengHei"/>
                <w:b/>
                <w:sz w:val="21"/>
              </w:rPr>
            </w:pPr>
            <w:r>
              <w:rPr>
                <w:rFonts w:hint="eastAsia" w:ascii="Microsoft JhengHei" w:eastAsia="Microsoft JhengHei"/>
                <w:b/>
                <w:sz w:val="21"/>
              </w:rPr>
              <w:t>评审项</w:t>
            </w:r>
          </w:p>
        </w:tc>
        <w:tc>
          <w:tcPr>
            <w:tcW w:w="2217" w:type="dxa"/>
          </w:tcPr>
          <w:p>
            <w:pPr>
              <w:pStyle w:val="21"/>
              <w:spacing w:before="70"/>
              <w:ind w:left="686"/>
              <w:rPr>
                <w:rFonts w:ascii="Microsoft JhengHei" w:eastAsia="Microsoft JhengHei"/>
                <w:b/>
                <w:sz w:val="21"/>
              </w:rPr>
            </w:pPr>
            <w:r>
              <w:rPr>
                <w:rFonts w:hint="eastAsia" w:ascii="Microsoft JhengHei" w:eastAsia="Microsoft JhengHei"/>
                <w:b/>
                <w:sz w:val="21"/>
              </w:rPr>
              <w:t>响应情况</w:t>
            </w:r>
          </w:p>
        </w:tc>
        <w:tc>
          <w:tcPr>
            <w:tcW w:w="2904" w:type="dxa"/>
          </w:tcPr>
          <w:p>
            <w:pPr>
              <w:pStyle w:val="21"/>
              <w:spacing w:line="263" w:lineRule="exact"/>
              <w:ind w:left="819"/>
              <w:rPr>
                <w:rFonts w:ascii="Microsoft JhengHei" w:eastAsia="Microsoft JhengHei"/>
                <w:b/>
                <w:sz w:val="21"/>
              </w:rPr>
            </w:pPr>
            <w:r>
              <w:rPr>
                <w:rFonts w:hint="eastAsia" w:ascii="Microsoft JhengHei" w:eastAsia="Microsoft JhengHei"/>
                <w:b/>
                <w:sz w:val="21"/>
              </w:rPr>
              <w:t>材料所在页码</w:t>
            </w:r>
            <w:r>
              <w:rPr>
                <w:rFonts w:hint="eastAsia" w:ascii="Microsoft JhengHei" w:eastAsia="Microsoft JhengHei"/>
                <w:b/>
                <w:w w:val="200"/>
                <w:sz w:val="21"/>
              </w:rPr>
              <w:t xml:space="preserve"> </w:t>
            </w:r>
          </w:p>
          <w:p>
            <w:pPr>
              <w:pStyle w:val="21"/>
              <w:spacing w:line="261" w:lineRule="exact"/>
              <w:ind w:left="820"/>
              <w:rPr>
                <w:rFonts w:ascii="Microsoft JhengHei" w:eastAsia="Microsoft JhengHei"/>
                <w:b/>
                <w:sz w:val="21"/>
              </w:rPr>
            </w:pPr>
            <w:r>
              <w:rPr>
                <w:rFonts w:hint="eastAsia" w:ascii="Microsoft JhengHei" w:eastAsia="Microsoft JhengHei"/>
                <w:b/>
                <w:sz w:val="21"/>
              </w:rPr>
              <w:t>（ 第</w:t>
            </w:r>
            <w:r>
              <w:rPr>
                <w:rFonts w:hint="eastAsia" w:ascii="Microsoft JhengHei" w:eastAsia="Microsoft JhengHei"/>
                <w:b/>
                <w:spacing w:val="9"/>
                <w:sz w:val="21"/>
                <w:u w:val="single"/>
              </w:rPr>
              <w:t xml:space="preserve">     </w:t>
            </w:r>
            <w:r>
              <w:rPr>
                <w:rFonts w:hint="eastAsia" w:ascii="Microsoft JhengHei" w:eastAsia="Microsoft JhengHei"/>
                <w:b/>
                <w:sz w:val="21"/>
              </w:rPr>
              <w:t>页 ）</w:t>
            </w:r>
            <w:r>
              <w:rPr>
                <w:rFonts w:hint="eastAsia" w:ascii="Microsoft JhengHei" w:eastAsia="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71" w:type="dxa"/>
          </w:tcPr>
          <w:p>
            <w:pPr>
              <w:pStyle w:val="21"/>
              <w:spacing w:before="128"/>
              <w:ind w:left="10"/>
              <w:jc w:val="center"/>
              <w:rPr>
                <w:sz w:val="21"/>
              </w:rPr>
            </w:pPr>
            <w:r>
              <w:rPr>
                <w:sz w:val="21"/>
              </w:rPr>
              <w:t>1</w:t>
            </w:r>
          </w:p>
        </w:tc>
        <w:tc>
          <w:tcPr>
            <w:tcW w:w="3066" w:type="dxa"/>
          </w:tcPr>
          <w:p>
            <w:pPr>
              <w:pStyle w:val="21"/>
              <w:rPr>
                <w:rFonts w:ascii="Times New Roman"/>
              </w:rPr>
            </w:pPr>
          </w:p>
        </w:tc>
        <w:tc>
          <w:tcPr>
            <w:tcW w:w="2217"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71" w:type="dxa"/>
          </w:tcPr>
          <w:p>
            <w:pPr>
              <w:pStyle w:val="21"/>
              <w:spacing w:before="124"/>
              <w:ind w:left="10"/>
              <w:jc w:val="center"/>
              <w:rPr>
                <w:sz w:val="21"/>
              </w:rPr>
            </w:pPr>
            <w:r>
              <w:rPr>
                <w:sz w:val="21"/>
              </w:rPr>
              <w:t>2</w:t>
            </w:r>
          </w:p>
        </w:tc>
        <w:tc>
          <w:tcPr>
            <w:tcW w:w="3066" w:type="dxa"/>
          </w:tcPr>
          <w:p>
            <w:pPr>
              <w:pStyle w:val="21"/>
              <w:rPr>
                <w:rFonts w:ascii="Times New Roman"/>
              </w:rPr>
            </w:pPr>
          </w:p>
        </w:tc>
        <w:tc>
          <w:tcPr>
            <w:tcW w:w="2217"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71" w:type="dxa"/>
          </w:tcPr>
          <w:p>
            <w:pPr>
              <w:pStyle w:val="21"/>
              <w:spacing w:before="125"/>
              <w:ind w:left="10"/>
              <w:jc w:val="center"/>
              <w:rPr>
                <w:sz w:val="21"/>
              </w:rPr>
            </w:pPr>
            <w:r>
              <w:rPr>
                <w:sz w:val="21"/>
              </w:rPr>
              <w:t>3</w:t>
            </w:r>
          </w:p>
        </w:tc>
        <w:tc>
          <w:tcPr>
            <w:tcW w:w="3066" w:type="dxa"/>
          </w:tcPr>
          <w:p>
            <w:pPr>
              <w:pStyle w:val="21"/>
              <w:rPr>
                <w:rFonts w:ascii="Times New Roman"/>
              </w:rPr>
            </w:pPr>
          </w:p>
        </w:tc>
        <w:tc>
          <w:tcPr>
            <w:tcW w:w="2217" w:type="dxa"/>
          </w:tcPr>
          <w:p>
            <w:pPr>
              <w:pStyle w:val="21"/>
              <w:rPr>
                <w:rFonts w:ascii="Times New Roman"/>
              </w:rPr>
            </w:pPr>
          </w:p>
        </w:tc>
        <w:tc>
          <w:tcPr>
            <w:tcW w:w="290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971" w:type="dxa"/>
          </w:tcPr>
          <w:p>
            <w:pPr>
              <w:pStyle w:val="21"/>
              <w:spacing w:before="173"/>
              <w:ind w:left="10"/>
              <w:jc w:val="center"/>
              <w:rPr>
                <w:sz w:val="21"/>
              </w:rPr>
            </w:pPr>
            <w:r>
              <w:rPr>
                <w:sz w:val="21"/>
              </w:rPr>
              <w:t>4</w:t>
            </w:r>
          </w:p>
        </w:tc>
        <w:tc>
          <w:tcPr>
            <w:tcW w:w="3066" w:type="dxa"/>
          </w:tcPr>
          <w:p>
            <w:pPr>
              <w:pStyle w:val="21"/>
              <w:spacing w:before="173"/>
              <w:ind w:left="1197" w:right="1187"/>
              <w:jc w:val="center"/>
              <w:rPr>
                <w:sz w:val="21"/>
              </w:rPr>
            </w:pPr>
            <w:r>
              <w:rPr>
                <w:sz w:val="21"/>
              </w:rPr>
              <w:t>......</w:t>
            </w:r>
          </w:p>
        </w:tc>
        <w:tc>
          <w:tcPr>
            <w:tcW w:w="2217" w:type="dxa"/>
          </w:tcPr>
          <w:p>
            <w:pPr>
              <w:pStyle w:val="21"/>
              <w:rPr>
                <w:rFonts w:ascii="Times New Roman"/>
              </w:rPr>
            </w:pPr>
          </w:p>
        </w:tc>
        <w:tc>
          <w:tcPr>
            <w:tcW w:w="2904" w:type="dxa"/>
          </w:tcPr>
          <w:p>
            <w:pPr>
              <w:pStyle w:val="21"/>
              <w:rPr>
                <w:rFonts w:ascii="Times New Roman"/>
              </w:rPr>
            </w:pPr>
          </w:p>
        </w:tc>
      </w:tr>
    </w:tbl>
    <w:p>
      <w:pPr>
        <w:rPr>
          <w:rFonts w:ascii="Times New Roman"/>
        </w:rPr>
        <w:sectPr>
          <w:pgSz w:w="11910" w:h="16840"/>
          <w:pgMar w:top="1360" w:right="40" w:bottom="1180" w:left="1140" w:header="884" w:footer="990" w:gutter="0"/>
          <w:cols w:space="720" w:num="1"/>
        </w:sectPr>
      </w:pPr>
    </w:p>
    <w:p>
      <w:pPr>
        <w:pStyle w:val="6"/>
        <w:ind w:left="297" w:right="1416"/>
      </w:pPr>
      <w:bookmarkStart w:id="37" w:name="_bookmark6"/>
      <w:bookmarkEnd w:id="37"/>
      <w:r>
        <w:t>一、投  标  函</w:t>
      </w:r>
    </w:p>
    <w:p>
      <w:pPr>
        <w:pStyle w:val="2"/>
        <w:spacing w:before="14"/>
        <w:rPr>
          <w:rFonts w:ascii="Microsoft JhengHei"/>
          <w:b/>
          <w:sz w:val="34"/>
        </w:rPr>
      </w:pPr>
    </w:p>
    <w:p>
      <w:pPr>
        <w:pStyle w:val="2"/>
        <w:spacing w:line="340" w:lineRule="exact"/>
        <w:ind w:left="753"/>
      </w:pPr>
      <w:r>
        <w:rPr>
          <w:rFonts w:hint="eastAsia"/>
          <w:u w:val="single"/>
        </w:rPr>
        <w:t>海南双达项目管理有限公司</w:t>
      </w:r>
      <w:r>
        <w:t>：</w:t>
      </w:r>
    </w:p>
    <w:p>
      <w:pPr>
        <w:pStyle w:val="2"/>
        <w:spacing w:before="6" w:line="340" w:lineRule="exact"/>
        <w:rPr>
          <w:sz w:val="15"/>
        </w:rPr>
      </w:pPr>
    </w:p>
    <w:p>
      <w:pPr>
        <w:pStyle w:val="2"/>
        <w:tabs>
          <w:tab w:val="left" w:pos="6993"/>
          <w:tab w:val="left" w:pos="8193"/>
        </w:tabs>
        <w:spacing w:before="75" w:line="340" w:lineRule="exact"/>
        <w:ind w:left="753" w:right="1331" w:firstLine="480"/>
      </w:pPr>
      <w:r>
        <w:rPr>
          <w:spacing w:val="4"/>
        </w:rPr>
        <w:t>我方全面研究</w:t>
      </w:r>
      <w:r>
        <w:t>了</w:t>
      </w:r>
      <w:r>
        <w:rPr>
          <w:spacing w:val="8"/>
        </w:rPr>
        <w:t xml:space="preserve"> </w:t>
      </w:r>
      <w:r>
        <w:rPr>
          <w:spacing w:val="4"/>
        </w:rPr>
        <w:t>“</w:t>
      </w:r>
      <w:r>
        <w:rPr>
          <w:rFonts w:hint="eastAsia"/>
          <w:spacing w:val="4"/>
          <w:u w:val="single"/>
        </w:rPr>
        <w:t>校园照明综合改造</w:t>
      </w:r>
      <w:r>
        <w:t>”</w:t>
      </w:r>
      <w:r>
        <w:rPr>
          <w:spacing w:val="-6"/>
        </w:rPr>
        <w:t xml:space="preserve"> </w:t>
      </w:r>
      <w:r>
        <w:t>招标文件（项目编号：</w:t>
      </w:r>
      <w:r>
        <w:rPr>
          <w:rFonts w:hint="eastAsia" w:ascii="Times New Roman" w:hAnsi="Times New Roman"/>
          <w:u w:val="single"/>
          <w:lang w:eastAsia="zh-CN"/>
        </w:rPr>
        <w:t>sdzb2022-063RR</w:t>
      </w:r>
      <w:r>
        <w:t>）</w:t>
      </w:r>
      <w:r>
        <w:rPr>
          <w:u w:val="single"/>
        </w:rPr>
        <w:t xml:space="preserve"> </w:t>
      </w:r>
      <w:r>
        <w:rPr>
          <w:u w:val="single"/>
        </w:rPr>
        <w:tab/>
      </w:r>
      <w:r>
        <w:t>包，决定参加贵单位组织的本项目投标。我方授权</w:t>
      </w:r>
      <w:r>
        <w:rPr>
          <w:u w:val="single"/>
        </w:rPr>
        <w:t xml:space="preserve"> </w:t>
      </w:r>
      <w:r>
        <w:rPr>
          <w:u w:val="single"/>
        </w:rPr>
        <w:tab/>
      </w:r>
      <w:r>
        <w:t>（姓名）代表我方</w:t>
      </w:r>
    </w:p>
    <w:p>
      <w:pPr>
        <w:pStyle w:val="2"/>
        <w:tabs>
          <w:tab w:val="left" w:pos="2373"/>
        </w:tabs>
        <w:spacing w:before="116" w:line="340" w:lineRule="exact"/>
        <w:ind w:left="813"/>
      </w:pPr>
      <w:r>
        <w:rPr>
          <w:rFonts w:ascii="Times New Roman" w:eastAsia="Times New Roman"/>
          <w:u w:val="single"/>
        </w:rPr>
        <w:t xml:space="preserve"> </w:t>
      </w:r>
      <w:r>
        <w:rPr>
          <w:rFonts w:ascii="Times New Roman" w:eastAsia="Times New Roman"/>
          <w:u w:val="single"/>
        </w:rPr>
        <w:tab/>
      </w:r>
      <w:r>
        <w:t>（投标单位的名称）全权处理本项目投标的有关事宜。</w:t>
      </w:r>
    </w:p>
    <w:p>
      <w:pPr>
        <w:pStyle w:val="2"/>
        <w:spacing w:before="6" w:line="340" w:lineRule="exact"/>
        <w:rPr>
          <w:sz w:val="15"/>
        </w:rPr>
      </w:pPr>
    </w:p>
    <w:p>
      <w:pPr>
        <w:pStyle w:val="2"/>
        <w:tabs>
          <w:tab w:val="left" w:pos="3633"/>
          <w:tab w:val="left" w:pos="8073"/>
        </w:tabs>
        <w:spacing w:before="74" w:line="340" w:lineRule="exact"/>
        <w:ind w:left="753" w:right="1432" w:firstLine="480"/>
      </w:pPr>
      <w:r>
        <w:rPr>
          <w:rFonts w:ascii="Times New Roman" w:eastAsia="Times New Roman"/>
        </w:rPr>
        <w:t>1</w:t>
      </w:r>
      <w:r>
        <w:rPr>
          <w:spacing w:val="-24"/>
        </w:rPr>
        <w:t>、</w:t>
      </w:r>
      <w:r>
        <w:t>我方自愿按照招标文件规定的各项要求向采购人提供所需货物</w:t>
      </w:r>
      <w:r>
        <w:rPr>
          <w:rFonts w:ascii="Times New Roman" w:eastAsia="Times New Roman"/>
        </w:rPr>
        <w:t>/</w:t>
      </w:r>
      <w:r>
        <w:t>服务</w:t>
      </w:r>
      <w:r>
        <w:rPr>
          <w:spacing w:val="-24"/>
        </w:rPr>
        <w:t>，</w:t>
      </w:r>
      <w:r>
        <w:t>总</w:t>
      </w:r>
      <w:r>
        <w:rPr>
          <w:spacing w:val="-16"/>
        </w:rPr>
        <w:t>投</w:t>
      </w:r>
      <w:r>
        <w:t>标价为人民币</w:t>
      </w:r>
      <w:r>
        <w:rPr>
          <w:u w:val="single"/>
        </w:rPr>
        <w:t xml:space="preserve"> </w:t>
      </w:r>
      <w:r>
        <w:rPr>
          <w:u w:val="single"/>
        </w:rPr>
        <w:tab/>
      </w:r>
      <w:r>
        <w:t>元（大写：</w:t>
      </w:r>
      <w:r>
        <w:rPr>
          <w:u w:val="single"/>
        </w:rPr>
        <w:t xml:space="preserve"> </w:t>
      </w:r>
      <w:r>
        <w:rPr>
          <w:u w:val="single"/>
        </w:rPr>
        <w:tab/>
      </w:r>
      <w:r>
        <w:t>）。</w:t>
      </w:r>
    </w:p>
    <w:p>
      <w:pPr>
        <w:pStyle w:val="2"/>
        <w:spacing w:before="118" w:line="340" w:lineRule="exact"/>
        <w:ind w:left="1233"/>
      </w:pPr>
      <w:r>
        <w:rPr>
          <w:rFonts w:ascii="Times New Roman" w:eastAsia="Times New Roman"/>
        </w:rPr>
        <w:t>2</w:t>
      </w:r>
      <w:r>
        <w:t>、一旦我方中标，我方将严格履行合同规定的责任和义务。</w:t>
      </w:r>
    </w:p>
    <w:p>
      <w:pPr>
        <w:pStyle w:val="2"/>
        <w:spacing w:before="3" w:line="340" w:lineRule="exact"/>
        <w:rPr>
          <w:sz w:val="21"/>
        </w:rPr>
      </w:pPr>
    </w:p>
    <w:p>
      <w:pPr>
        <w:pStyle w:val="2"/>
        <w:tabs>
          <w:tab w:val="left" w:pos="7926"/>
          <w:tab w:val="left" w:pos="10372"/>
        </w:tabs>
        <w:spacing w:line="340" w:lineRule="exact"/>
        <w:ind w:left="753" w:right="112" w:firstLine="480"/>
      </w:pPr>
      <w:r>
        <w:rPr>
          <w:rFonts w:ascii="Times New Roman" w:eastAsia="Times New Roman"/>
        </w:rPr>
        <w:t>3</w:t>
      </w:r>
      <w:r>
        <w:rPr>
          <w:spacing w:val="-74"/>
        </w:rPr>
        <w:t>、</w:t>
      </w:r>
      <w:r>
        <w:t>我方同意按照招标文件的要求</w:t>
      </w:r>
      <w:r>
        <w:rPr>
          <w:spacing w:val="-74"/>
        </w:rPr>
        <w:t>，</w:t>
      </w:r>
      <w:r>
        <w:t>向贵单位交纳人民币</w:t>
      </w:r>
      <w:r>
        <w:rPr>
          <w:u w:val="single"/>
        </w:rPr>
        <w:t xml:space="preserve"> </w:t>
      </w:r>
      <w:r>
        <w:rPr>
          <w:u w:val="single"/>
        </w:rPr>
        <w:tab/>
      </w:r>
      <w:r>
        <w:rPr>
          <w:spacing w:val="-74"/>
        </w:rPr>
        <w:t>元</w:t>
      </w:r>
      <w:r>
        <w:t>（大</w:t>
      </w:r>
      <w:r>
        <w:rPr>
          <w:spacing w:val="-60"/>
        </w:rPr>
        <w:t>写</w:t>
      </w:r>
      <w:r>
        <w:t>：</w:t>
      </w:r>
      <w:r>
        <w:tab/>
      </w:r>
      <w:r>
        <w:rPr>
          <w:spacing w:val="-17"/>
        </w:rPr>
        <w:t xml:space="preserve">） </w:t>
      </w:r>
      <w:r>
        <w:t>的投标保证金。并承诺：下列任何情况发生时，我方将不要求退还投标保证金：</w:t>
      </w:r>
    </w:p>
    <w:p>
      <w:pPr>
        <w:pStyle w:val="20"/>
        <w:numPr>
          <w:ilvl w:val="0"/>
          <w:numId w:val="12"/>
        </w:numPr>
        <w:tabs>
          <w:tab w:val="left" w:pos="1835"/>
        </w:tabs>
        <w:spacing w:before="118" w:line="340" w:lineRule="exact"/>
        <w:ind w:hanging="602"/>
        <w:rPr>
          <w:sz w:val="24"/>
        </w:rPr>
      </w:pPr>
      <w:r>
        <w:rPr>
          <w:sz w:val="24"/>
        </w:rPr>
        <w:t>如果我方在投标有效期内撤回投标；</w:t>
      </w:r>
    </w:p>
    <w:p>
      <w:pPr>
        <w:pStyle w:val="2"/>
        <w:spacing w:before="3" w:line="340" w:lineRule="exact"/>
        <w:rPr>
          <w:sz w:val="21"/>
        </w:rPr>
      </w:pPr>
    </w:p>
    <w:p>
      <w:pPr>
        <w:pStyle w:val="20"/>
        <w:numPr>
          <w:ilvl w:val="0"/>
          <w:numId w:val="12"/>
        </w:numPr>
        <w:tabs>
          <w:tab w:val="left" w:pos="1835"/>
        </w:tabs>
        <w:spacing w:line="340" w:lineRule="exact"/>
        <w:ind w:hanging="602"/>
        <w:rPr>
          <w:sz w:val="24"/>
        </w:rPr>
      </w:pPr>
      <w:r>
        <w:rPr>
          <w:sz w:val="24"/>
        </w:rPr>
        <w:t>我方提供了虚假响应招标文件的投标文件；</w:t>
      </w:r>
    </w:p>
    <w:p>
      <w:pPr>
        <w:pStyle w:val="2"/>
        <w:spacing w:before="3" w:line="340" w:lineRule="exact"/>
        <w:rPr>
          <w:sz w:val="21"/>
        </w:rPr>
      </w:pPr>
    </w:p>
    <w:p>
      <w:pPr>
        <w:pStyle w:val="20"/>
        <w:numPr>
          <w:ilvl w:val="0"/>
          <w:numId w:val="12"/>
        </w:numPr>
        <w:tabs>
          <w:tab w:val="left" w:pos="1835"/>
        </w:tabs>
        <w:spacing w:line="340" w:lineRule="exact"/>
        <w:ind w:hanging="602"/>
        <w:rPr>
          <w:sz w:val="24"/>
        </w:rPr>
      </w:pPr>
      <w:r>
        <w:rPr>
          <w:sz w:val="24"/>
        </w:rPr>
        <w:t>在投标过程中有违规违纪行为；</w:t>
      </w:r>
    </w:p>
    <w:p>
      <w:pPr>
        <w:pStyle w:val="2"/>
        <w:spacing w:before="4" w:line="340" w:lineRule="exact"/>
        <w:rPr>
          <w:sz w:val="21"/>
        </w:rPr>
      </w:pPr>
    </w:p>
    <w:p>
      <w:pPr>
        <w:pStyle w:val="20"/>
        <w:numPr>
          <w:ilvl w:val="0"/>
          <w:numId w:val="12"/>
        </w:numPr>
        <w:tabs>
          <w:tab w:val="left" w:pos="1837"/>
        </w:tabs>
        <w:spacing w:line="340" w:lineRule="exact"/>
        <w:ind w:left="753" w:right="1432" w:firstLine="480"/>
        <w:rPr>
          <w:sz w:val="24"/>
        </w:rPr>
      </w:pPr>
      <w:r>
        <w:rPr>
          <w:sz w:val="24"/>
        </w:rPr>
        <w:t>我方在投标有效期内收到中标通知书后，由于我方原因未能按照招标文件要求提交履约保证金或与采购人签订并履行合同。</w:t>
      </w:r>
    </w:p>
    <w:p>
      <w:pPr>
        <w:pStyle w:val="2"/>
        <w:spacing w:before="117" w:line="340" w:lineRule="exact"/>
        <w:ind w:left="753" w:right="1437" w:firstLine="480"/>
      </w:pPr>
      <w:r>
        <w:rPr>
          <w:rFonts w:ascii="Times New Roman" w:hAnsi="Times New Roman" w:eastAsia="Times New Roman"/>
        </w:rPr>
        <w:t>4</w:t>
      </w:r>
      <w:r>
        <w:t xml:space="preserve">、我方为本项目提交的投标文件正本 </w:t>
      </w:r>
      <w:r>
        <w:rPr>
          <w:rFonts w:ascii="Times New Roman" w:hAnsi="Times New Roman" w:eastAsia="Times New Roman"/>
        </w:rPr>
        <w:t xml:space="preserve">1 </w:t>
      </w:r>
      <w:r>
        <w:t xml:space="preserve">份，副本 </w:t>
      </w:r>
      <w:r>
        <w:rPr>
          <w:rFonts w:ascii="Times New Roman" w:hAnsi="Times New Roman" w:eastAsia="Times New Roman"/>
        </w:rPr>
        <w:t xml:space="preserve">4 </w:t>
      </w:r>
      <w:r>
        <w:t>份，电子文档（</w:t>
      </w:r>
      <w:r>
        <w:rPr>
          <w:rFonts w:ascii="Times New Roman" w:hAnsi="Times New Roman" w:eastAsia="Times New Roman"/>
        </w:rPr>
        <w:t xml:space="preserve">U </w:t>
      </w:r>
      <w:r>
        <w:t>盘）</w:t>
      </w:r>
      <w:r>
        <w:rPr>
          <w:rFonts w:ascii="Times New Roman" w:hAnsi="Times New Roman" w:eastAsia="Times New Roman"/>
        </w:rPr>
        <w:t xml:space="preserve">1 </w:t>
      </w:r>
      <w:r>
        <w:t>份，用于开标唱标的“开标一览表”</w:t>
      </w:r>
      <w:r>
        <w:rPr>
          <w:rFonts w:ascii="Times New Roman" w:hAnsi="Times New Roman" w:eastAsia="Times New Roman"/>
        </w:rPr>
        <w:t xml:space="preserve">1 </w:t>
      </w:r>
      <w:r>
        <w:t>份。</w:t>
      </w:r>
    </w:p>
    <w:p>
      <w:pPr>
        <w:pStyle w:val="2"/>
        <w:tabs>
          <w:tab w:val="left" w:pos="7113"/>
        </w:tabs>
        <w:spacing w:before="118" w:line="340" w:lineRule="exact"/>
        <w:ind w:left="1233"/>
      </w:pPr>
      <w:r>
        <w:rPr>
          <w:rFonts w:ascii="Times New Roman" w:eastAsia="Times New Roman"/>
        </w:rPr>
        <w:t>5</w:t>
      </w:r>
      <w:r>
        <w:t>、我方承诺投标有效期为投标文件递交截止之日起</w:t>
      </w:r>
      <w:r>
        <w:rPr>
          <w:u w:val="single"/>
        </w:rPr>
        <w:t xml:space="preserve"> </w:t>
      </w:r>
      <w:r>
        <w:rPr>
          <w:u w:val="single"/>
        </w:rPr>
        <w:tab/>
      </w:r>
      <w:r>
        <w:t>天（日历日）。</w:t>
      </w:r>
    </w:p>
    <w:p>
      <w:pPr>
        <w:pStyle w:val="2"/>
        <w:spacing w:before="6" w:line="340" w:lineRule="exact"/>
        <w:rPr>
          <w:sz w:val="15"/>
        </w:rPr>
      </w:pPr>
    </w:p>
    <w:p>
      <w:pPr>
        <w:pStyle w:val="2"/>
        <w:spacing w:before="74" w:line="340" w:lineRule="exact"/>
        <w:ind w:left="753" w:right="1432" w:firstLine="480"/>
      </w:pPr>
      <w:r>
        <w:rPr>
          <w:rFonts w:ascii="Times New Roman" w:eastAsia="Times New Roman"/>
        </w:rPr>
        <w:t>6</w:t>
      </w:r>
      <w:r>
        <w:t>、我方愿意提供贵公司可能另外要求的，与投标有关的文件资料，并保证我方已提供和将要提供的文件资料是真实、准确的。</w:t>
      </w:r>
    </w:p>
    <w:p>
      <w:pPr>
        <w:pStyle w:val="2"/>
        <w:tabs>
          <w:tab w:val="left" w:pos="3633"/>
        </w:tabs>
        <w:spacing w:before="118" w:line="340" w:lineRule="exact"/>
        <w:ind w:left="1233" w:right="2172"/>
      </w:pPr>
      <w:r>
        <w:rPr>
          <w:rFonts w:ascii="Times New Roman" w:eastAsia="Times New Roman"/>
        </w:rPr>
        <w:t>7</w:t>
      </w:r>
      <w:r>
        <w:t>、我方完全理解采购人不一定将合同授予最低报价的投标人的行为</w:t>
      </w:r>
      <w:r>
        <w:rPr>
          <w:spacing w:val="-18"/>
        </w:rPr>
        <w:t>。</w:t>
      </w:r>
      <w:r>
        <w:t>投标人名称：</w:t>
      </w:r>
      <w:r>
        <w:rPr>
          <w:u w:val="single"/>
        </w:rPr>
        <w:t xml:space="preserve"> </w:t>
      </w:r>
      <w:r>
        <w:rPr>
          <w:u w:val="single"/>
        </w:rPr>
        <w:tab/>
      </w:r>
      <w:r>
        <w:t>（盖章）</w:t>
      </w:r>
    </w:p>
    <w:p>
      <w:pPr>
        <w:pStyle w:val="2"/>
        <w:spacing w:line="340" w:lineRule="exact"/>
        <w:ind w:left="1233" w:right="5892"/>
      </w:pPr>
      <w:r>
        <w:t>法定代表人或授权代表（签字）： 通讯地址：</w:t>
      </w:r>
    </w:p>
    <w:p>
      <w:pPr>
        <w:pStyle w:val="2"/>
        <w:spacing w:before="132" w:line="340" w:lineRule="exact"/>
        <w:ind w:left="1233" w:right="8292"/>
        <w:jc w:val="both"/>
      </w:pPr>
      <w:r>
        <w:rPr>
          <w:spacing w:val="-4"/>
        </w:rPr>
        <w:t xml:space="preserve">邮政编码： 联系电话： </w:t>
      </w:r>
      <w:r>
        <w:rPr>
          <w:spacing w:val="-3"/>
        </w:rPr>
        <w:t>传   真 ：</w:t>
      </w:r>
    </w:p>
    <w:p>
      <w:pPr>
        <w:pStyle w:val="15"/>
        <w:spacing w:line="340" w:lineRule="exact"/>
        <w:ind w:firstLine="1200" w:firstLineChars="500"/>
        <w:rPr>
          <w:lang w:val="en-US"/>
        </w:rPr>
      </w:pPr>
      <w:r>
        <w:t>日   期 ：</w:t>
      </w:r>
    </w:p>
    <w:p>
      <w:pPr>
        <w:spacing w:line="340" w:lineRule="exact"/>
        <w:sectPr>
          <w:pgSz w:w="11910" w:h="16840"/>
          <w:pgMar w:top="1360" w:right="40" w:bottom="1180" w:left="1140" w:header="884" w:footer="990" w:gutter="0"/>
          <w:cols w:space="720" w:num="1"/>
        </w:sectPr>
      </w:pPr>
    </w:p>
    <w:p>
      <w:pPr>
        <w:pStyle w:val="6"/>
        <w:ind w:left="1500" w:right="0"/>
        <w:jc w:val="left"/>
      </w:pPr>
      <w:r>
        <w:t>二、法定代表人身份证明（法定代表人参加投标）</w:t>
      </w:r>
    </w:p>
    <w:p>
      <w:pPr>
        <w:pStyle w:val="2"/>
        <w:rPr>
          <w:rFonts w:ascii="Microsoft JhengHei"/>
          <w:b/>
          <w:sz w:val="30"/>
        </w:rPr>
      </w:pPr>
    </w:p>
    <w:p>
      <w:pPr>
        <w:pStyle w:val="2"/>
        <w:spacing w:before="4"/>
        <w:rPr>
          <w:rFonts w:ascii="Microsoft JhengHei"/>
          <w:b/>
          <w:sz w:val="21"/>
        </w:rPr>
      </w:pPr>
    </w:p>
    <w:p>
      <w:pPr>
        <w:pStyle w:val="2"/>
        <w:tabs>
          <w:tab w:val="left" w:pos="2253"/>
          <w:tab w:val="left" w:pos="4828"/>
        </w:tabs>
        <w:spacing w:line="364" w:lineRule="auto"/>
        <w:ind w:left="333" w:right="5897"/>
        <w:jc w:val="both"/>
      </w:pPr>
      <w:r>
        <w:t>投标人名称：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注册号：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注册地址：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成立时间：</w:t>
      </w:r>
      <w:r>
        <w:rPr>
          <w:u w:val="single"/>
        </w:rPr>
        <w:t xml:space="preserve"> </w:t>
      </w:r>
      <w:r>
        <w:rPr>
          <w:u w:val="single"/>
        </w:rPr>
        <w:tab/>
      </w:r>
      <w:r>
        <w:t>年</w:t>
      </w:r>
      <w:r>
        <w:rPr>
          <w:u w:val="single"/>
        </w:rPr>
        <w:t xml:space="preserve"> </w:t>
      </w:r>
      <w:r>
        <w:t>月</w:t>
      </w:r>
      <w:r>
        <w:rPr>
          <w:u w:val="single"/>
        </w:rPr>
        <w:t xml:space="preserve"> </w:t>
      </w:r>
      <w:r>
        <w:t>日</w:t>
      </w:r>
    </w:p>
    <w:p>
      <w:pPr>
        <w:pStyle w:val="2"/>
        <w:tabs>
          <w:tab w:val="left" w:pos="4348"/>
        </w:tabs>
        <w:spacing w:line="305" w:lineRule="exact"/>
        <w:ind w:left="333"/>
        <w:rPr>
          <w:rFonts w:ascii="Times New Roman" w:eastAsia="Times New Roman"/>
        </w:rPr>
      </w:pPr>
      <w:r>
        <w:t>经营范围：</w:t>
      </w:r>
      <w:r>
        <w:rPr>
          <w:rFonts w:ascii="Times New Roman" w:eastAsia="Times New Roman"/>
          <w:u w:val="single"/>
        </w:rPr>
        <w:t xml:space="preserve"> </w:t>
      </w:r>
      <w:r>
        <w:rPr>
          <w:rFonts w:ascii="Times New Roman" w:eastAsia="Times New Roman"/>
          <w:u w:val="single"/>
        </w:rPr>
        <w:tab/>
      </w:r>
    </w:p>
    <w:p>
      <w:pPr>
        <w:pStyle w:val="2"/>
        <w:tabs>
          <w:tab w:val="left" w:pos="2188"/>
          <w:tab w:val="left" w:pos="4228"/>
          <w:tab w:val="left" w:pos="5908"/>
          <w:tab w:val="left" w:pos="8613"/>
        </w:tabs>
        <w:spacing w:before="159" w:line="364" w:lineRule="auto"/>
        <w:ind w:left="333" w:right="1392"/>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系</w:t>
      </w:r>
      <w:r>
        <w:rPr>
          <w:u w:val="single"/>
        </w:rPr>
        <w:t xml:space="preserve"> </w:t>
      </w:r>
      <w:r>
        <w:rPr>
          <w:u w:val="single"/>
        </w:rPr>
        <w:tab/>
      </w:r>
      <w:r>
        <w:t>（投</w:t>
      </w:r>
      <w:r>
        <w:rPr>
          <w:spacing w:val="-18"/>
        </w:rPr>
        <w:t>标</w:t>
      </w:r>
      <w:r>
        <w:t>人名称）的法定代表人。</w:t>
      </w:r>
    </w:p>
    <w:p>
      <w:pPr>
        <w:pStyle w:val="2"/>
        <w:spacing w:line="306" w:lineRule="exact"/>
        <w:ind w:left="333"/>
      </w:pPr>
      <w:r>
        <w:t>特此说明。</w:t>
      </w:r>
    </w:p>
    <w:p>
      <w:pPr>
        <w:pStyle w:val="2"/>
        <w:rPr>
          <w:sz w:val="20"/>
        </w:rPr>
      </w:pPr>
    </w:p>
    <w:p>
      <w:pPr>
        <w:pStyle w:val="2"/>
        <w:spacing w:before="7"/>
        <w:rPr>
          <w:sz w:val="19"/>
        </w:rPr>
      </w:pPr>
    </w:p>
    <w:p>
      <w:pPr>
        <w:rPr>
          <w:sz w:val="19"/>
        </w:rPr>
        <w:sectPr>
          <w:pgSz w:w="11910" w:h="16840"/>
          <w:pgMar w:top="1360" w:right="40" w:bottom="1180" w:left="1140" w:header="884" w:footer="990" w:gutter="0"/>
          <w:cols w:space="720" w:num="1"/>
        </w:sectPr>
      </w:pPr>
    </w:p>
    <w:p>
      <w:pPr>
        <w:pStyle w:val="2"/>
      </w:pPr>
    </w:p>
    <w:p>
      <w:pPr>
        <w:pStyle w:val="2"/>
      </w:pPr>
    </w:p>
    <w:p>
      <w:pPr>
        <w:pStyle w:val="2"/>
        <w:spacing w:before="1"/>
        <w:rPr>
          <w:sz w:val="30"/>
        </w:rPr>
      </w:pPr>
    </w:p>
    <w:p>
      <w:pPr>
        <w:pStyle w:val="2"/>
        <w:ind w:left="333"/>
      </w:pPr>
      <w:r>
        <w:t>附件：法定代表人身份证复印件</w:t>
      </w:r>
    </w:p>
    <w:p>
      <w:pPr>
        <w:pStyle w:val="2"/>
        <w:tabs>
          <w:tab w:val="left" w:pos="1053"/>
          <w:tab w:val="left" w:pos="2893"/>
        </w:tabs>
        <w:spacing w:before="67" w:line="364" w:lineRule="auto"/>
        <w:ind w:left="333" w:right="1433" w:firstLine="39"/>
      </w:pPr>
      <w:r>
        <w:br w:type="column"/>
      </w:r>
      <w:r>
        <w:t>投标人名称：</w:t>
      </w:r>
      <w:r>
        <w:tab/>
      </w:r>
      <w:r>
        <w:t>（盖章</w:t>
      </w:r>
      <w:r>
        <w:rPr>
          <w:spacing w:val="-19"/>
        </w:rPr>
        <w:t xml:space="preserve">） </w:t>
      </w:r>
      <w:r>
        <w:t>日</w:t>
      </w:r>
      <w:r>
        <w:tab/>
      </w:r>
      <w:r>
        <w:t>期：</w:t>
      </w:r>
    </w:p>
    <w:p>
      <w:pPr>
        <w:spacing w:line="364" w:lineRule="auto"/>
        <w:sectPr>
          <w:type w:val="continuous"/>
          <w:pgSz w:w="11910" w:h="16840"/>
          <w:pgMar w:top="1380" w:right="40" w:bottom="280" w:left="1140" w:header="720" w:footer="720" w:gutter="0"/>
          <w:cols w:equalWidth="0" w:num="2">
            <w:col w:w="3735" w:space="1705"/>
            <w:col w:w="5290"/>
          </w:cols>
        </w:sectPr>
      </w:pPr>
    </w:p>
    <w:p>
      <w:pPr>
        <w:pStyle w:val="6"/>
        <w:ind w:left="2253" w:right="0"/>
        <w:jc w:val="left"/>
      </w:pPr>
      <w:bookmarkStart w:id="38" w:name="_bookmark8"/>
      <w:bookmarkEnd w:id="38"/>
      <w:r>
        <w:t>法人授权委托书（被授权人参加投标）</w:t>
      </w:r>
    </w:p>
    <w:p>
      <w:pPr>
        <w:pStyle w:val="2"/>
        <w:spacing w:before="10"/>
        <w:rPr>
          <w:rFonts w:ascii="Microsoft JhengHei"/>
          <w:b/>
          <w:sz w:val="29"/>
        </w:rPr>
      </w:pPr>
    </w:p>
    <w:p>
      <w:pPr>
        <w:pStyle w:val="2"/>
        <w:ind w:left="333"/>
      </w:pPr>
      <w:r>
        <w:rPr>
          <w:rFonts w:hint="eastAsia"/>
          <w:u w:val="single"/>
        </w:rPr>
        <w:t>海南双达项目管理有限公司</w:t>
      </w:r>
      <w:r>
        <w:t>：</w:t>
      </w:r>
    </w:p>
    <w:p>
      <w:pPr>
        <w:pStyle w:val="2"/>
        <w:tabs>
          <w:tab w:val="left" w:pos="6502"/>
        </w:tabs>
        <w:spacing w:before="160"/>
        <w:ind w:left="813"/>
        <w:jc w:val="both"/>
      </w:pPr>
      <w:r>
        <w:t>本</w:t>
      </w:r>
      <w:r>
        <w:rPr>
          <w:spacing w:val="-42"/>
        </w:rPr>
        <w:t xml:space="preserve"> </w:t>
      </w:r>
      <w:r>
        <w:t>授</w:t>
      </w:r>
      <w:r>
        <w:rPr>
          <w:spacing w:val="-42"/>
        </w:rPr>
        <w:t xml:space="preserve"> </w:t>
      </w:r>
      <w:r>
        <w:t>权</w:t>
      </w:r>
      <w:r>
        <w:rPr>
          <w:spacing w:val="-42"/>
        </w:rPr>
        <w:t xml:space="preserve"> </w:t>
      </w:r>
      <w:r>
        <w:t>声</w:t>
      </w:r>
      <w:r>
        <w:rPr>
          <w:spacing w:val="-42"/>
        </w:rPr>
        <w:t xml:space="preserve"> </w:t>
      </w:r>
      <w:r>
        <w:t>明</w:t>
      </w:r>
      <w:r>
        <w:rPr>
          <w:spacing w:val="-42"/>
        </w:rPr>
        <w:t xml:space="preserve"> </w:t>
      </w:r>
      <w:r>
        <w:t>：</w:t>
      </w:r>
      <w:r>
        <w:rPr>
          <w:u w:val="single"/>
        </w:rPr>
        <w:t xml:space="preserve"> </w:t>
      </w:r>
      <w:r>
        <w:rPr>
          <w:u w:val="single"/>
        </w:rPr>
        <w:tab/>
      </w:r>
      <w:r>
        <w:t>（</w:t>
      </w:r>
      <w:r>
        <w:rPr>
          <w:spacing w:val="-42"/>
        </w:rPr>
        <w:t xml:space="preserve"> </w:t>
      </w:r>
      <w:r>
        <w:t>投</w:t>
      </w:r>
      <w:r>
        <w:rPr>
          <w:spacing w:val="-42"/>
        </w:rPr>
        <w:t xml:space="preserve"> </w:t>
      </w:r>
      <w:r>
        <w:t>标</w:t>
      </w:r>
      <w:r>
        <w:rPr>
          <w:spacing w:val="-42"/>
        </w:rPr>
        <w:t xml:space="preserve"> </w:t>
      </w:r>
      <w:r>
        <w:t>人</w:t>
      </w:r>
      <w:r>
        <w:rPr>
          <w:spacing w:val="-42"/>
        </w:rPr>
        <w:t xml:space="preserve"> </w:t>
      </w:r>
      <w:r>
        <w:t>名</w:t>
      </w:r>
      <w:r>
        <w:rPr>
          <w:spacing w:val="-42"/>
        </w:rPr>
        <w:t xml:space="preserve"> </w:t>
      </w:r>
      <w:r>
        <w:t>称</w:t>
      </w:r>
      <w:r>
        <w:rPr>
          <w:spacing w:val="-42"/>
        </w:rPr>
        <w:t xml:space="preserve"> </w:t>
      </w:r>
      <w:r>
        <w:t>）</w:t>
      </w:r>
      <w:r>
        <w:rPr>
          <w:spacing w:val="-42"/>
        </w:rPr>
        <w:t xml:space="preserve"> </w:t>
      </w:r>
      <w:r>
        <w:t>授</w:t>
      </w:r>
      <w:r>
        <w:rPr>
          <w:spacing w:val="-42"/>
        </w:rPr>
        <w:t xml:space="preserve"> </w:t>
      </w:r>
      <w:r>
        <w:t>权</w:t>
      </w:r>
    </w:p>
    <w:p>
      <w:pPr>
        <w:pStyle w:val="2"/>
        <w:tabs>
          <w:tab w:val="left" w:pos="6812"/>
        </w:tabs>
        <w:spacing w:before="159" w:line="364" w:lineRule="auto"/>
        <w:ind w:left="333" w:right="1391"/>
        <w:jc w:val="both"/>
      </w:pPr>
      <w:r>
        <w:t>（</w:t>
      </w:r>
      <w:r>
        <w:rPr>
          <w:spacing w:val="-79"/>
        </w:rPr>
        <w:t xml:space="preserve"> </w:t>
      </w:r>
      <w:r>
        <w:rPr>
          <w:spacing w:val="41"/>
        </w:rPr>
        <w:t>被授权人姓</w:t>
      </w:r>
      <w:r>
        <w:rPr>
          <w:spacing w:val="42"/>
        </w:rPr>
        <w:t>名</w:t>
      </w:r>
      <w:r>
        <w:t>、</w:t>
      </w:r>
      <w:r>
        <w:rPr>
          <w:spacing w:val="-79"/>
        </w:rPr>
        <w:t xml:space="preserve"> </w:t>
      </w:r>
      <w:r>
        <w:rPr>
          <w:spacing w:val="41"/>
        </w:rPr>
        <w:t>职务</w:t>
      </w:r>
      <w:r>
        <w:t>）</w:t>
      </w:r>
      <w:r>
        <w:rPr>
          <w:spacing w:val="-79"/>
        </w:rPr>
        <w:t xml:space="preserve"> </w:t>
      </w:r>
      <w:r>
        <w:rPr>
          <w:spacing w:val="41"/>
        </w:rPr>
        <w:t>为我</w:t>
      </w:r>
      <w:r>
        <w:t>方</w:t>
      </w:r>
      <w:r>
        <w:rPr>
          <w:spacing w:val="83"/>
        </w:rPr>
        <w:t xml:space="preserve"> </w:t>
      </w:r>
      <w:r>
        <w:rPr>
          <w:rFonts w:ascii="Times New Roman" w:hAnsi="Times New Roman" w:eastAsia="Times New Roman"/>
        </w:rP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w:t>
      </w:r>
      <w:r>
        <w:rPr>
          <w:rFonts w:ascii="Times New Roman" w:hAnsi="Times New Roman" w:eastAsia="Times New Roman"/>
          <w:spacing w:val="41"/>
        </w:rPr>
        <w:t xml:space="preserve"> </w:t>
      </w:r>
      <w:r>
        <w:rPr>
          <w:spacing w:val="41"/>
        </w:rPr>
        <w:t>项目</w:t>
      </w:r>
      <w:r>
        <w:t>（</w:t>
      </w:r>
      <w:r>
        <w:rPr>
          <w:spacing w:val="-79"/>
        </w:rPr>
        <w:t xml:space="preserve"> </w:t>
      </w:r>
      <w:r>
        <w:rPr>
          <w:spacing w:val="41"/>
        </w:rPr>
        <w:t>项</w:t>
      </w:r>
      <w:r>
        <w:rPr>
          <w:spacing w:val="42"/>
        </w:rPr>
        <w:t>目</w:t>
      </w:r>
      <w:r>
        <w:rPr>
          <w:spacing w:val="41"/>
        </w:rPr>
        <w:t>编号</w:t>
      </w:r>
      <w:r>
        <w:t xml:space="preserve">： </w:t>
      </w:r>
      <w:r>
        <w:rPr>
          <w:rFonts w:hint="eastAsia" w:ascii="Times New Roman" w:hAnsi="Times New Roman"/>
          <w:spacing w:val="-1"/>
          <w:u w:val="single"/>
          <w:lang w:eastAsia="zh-CN"/>
        </w:rPr>
        <w:t>sdzb2022-063RR</w:t>
      </w:r>
      <w:r>
        <w:rPr>
          <w:spacing w:val="-1"/>
        </w:rPr>
        <w:t>）</w:t>
      </w:r>
      <w:r>
        <w:t>投标活动的合法代表，以我方名义全权处理该项目有关投标、签订合同以及执行合同等一切事宜。</w:t>
      </w:r>
    </w:p>
    <w:p>
      <w:pPr>
        <w:pStyle w:val="2"/>
        <w:spacing w:line="306" w:lineRule="exact"/>
        <w:ind w:left="813"/>
      </w:pPr>
      <w:r>
        <w:t>特此声明。</w:t>
      </w:r>
    </w:p>
    <w:p>
      <w:pPr>
        <w:pStyle w:val="2"/>
        <w:spacing w:before="159" w:line="364" w:lineRule="auto"/>
        <w:ind w:left="813" w:right="7272"/>
      </w:pPr>
      <w:r>
        <w:t>法定代表人签字或盖章： 授权代表签字：</w:t>
      </w:r>
    </w:p>
    <w:p>
      <w:pPr>
        <w:pStyle w:val="2"/>
        <w:tabs>
          <w:tab w:val="left" w:pos="1533"/>
          <w:tab w:val="left" w:pos="2253"/>
          <w:tab w:val="left" w:pos="2733"/>
          <w:tab w:val="left" w:pos="3213"/>
          <w:tab w:val="left" w:pos="3333"/>
        </w:tabs>
        <w:spacing w:line="364" w:lineRule="auto"/>
        <w:ind w:left="813" w:right="6432"/>
      </w:pPr>
      <w:r>
        <w:t>投标人名称：</w:t>
      </w:r>
      <w:r>
        <w:tab/>
      </w:r>
      <w:r>
        <w:tab/>
      </w:r>
      <w:r>
        <w:tab/>
      </w:r>
      <w:r>
        <w:tab/>
      </w:r>
      <w:r>
        <w:t>（盖章</w:t>
      </w:r>
      <w:r>
        <w:rPr>
          <w:spacing w:val="-18"/>
        </w:rPr>
        <w:t xml:space="preserve">） </w:t>
      </w:r>
      <w:r>
        <w:t>日</w:t>
      </w:r>
      <w:r>
        <w:tab/>
      </w:r>
      <w:r>
        <w:t>期：</w:t>
      </w:r>
      <w:r>
        <w:tab/>
      </w:r>
      <w:r>
        <w:t>年</w:t>
      </w:r>
      <w:r>
        <w:tab/>
      </w:r>
      <w:r>
        <w:t>月</w:t>
      </w:r>
      <w:r>
        <w:tab/>
      </w:r>
      <w:r>
        <w:t>日</w:t>
      </w:r>
    </w:p>
    <w:p>
      <w:pPr>
        <w:pStyle w:val="2"/>
        <w:spacing w:line="306" w:lineRule="exact"/>
        <w:ind w:left="813"/>
      </w:pPr>
      <w:r>
        <w:t>附：法定代表人身份证复印件及被授权人身份证复印件</w:t>
      </w:r>
    </w:p>
    <w:p>
      <w:pPr>
        <w:spacing w:line="306" w:lineRule="exact"/>
        <w:sectPr>
          <w:pgSz w:w="11910" w:h="16840"/>
          <w:pgMar w:top="1360" w:right="40" w:bottom="1180" w:left="1140" w:header="884" w:footer="990" w:gutter="0"/>
          <w:cols w:space="720" w:num="1"/>
        </w:sectPr>
      </w:pPr>
    </w:p>
    <w:p>
      <w:pPr>
        <w:pStyle w:val="2"/>
        <w:spacing w:before="3"/>
        <w:rPr>
          <w:sz w:val="17"/>
        </w:rPr>
      </w:pPr>
    </w:p>
    <w:p>
      <w:pPr>
        <w:pStyle w:val="6"/>
        <w:spacing w:line="511" w:lineRule="exact"/>
      </w:pPr>
      <w:bookmarkStart w:id="39" w:name="_bookmark9"/>
      <w:bookmarkEnd w:id="39"/>
      <w:r>
        <w:t>三、承诺函</w:t>
      </w:r>
    </w:p>
    <w:p>
      <w:pPr>
        <w:pStyle w:val="2"/>
        <w:spacing w:before="14"/>
        <w:rPr>
          <w:rFonts w:ascii="Microsoft JhengHei"/>
          <w:b/>
          <w:sz w:val="25"/>
        </w:rPr>
      </w:pPr>
    </w:p>
    <w:p>
      <w:pPr>
        <w:pStyle w:val="2"/>
        <w:ind w:left="333"/>
      </w:pPr>
      <w:r>
        <w:rPr>
          <w:rFonts w:hint="eastAsia"/>
        </w:rPr>
        <w:t>海南双达项目管理有限公司</w:t>
      </w:r>
      <w:r>
        <w:t>：</w:t>
      </w:r>
    </w:p>
    <w:p>
      <w:pPr>
        <w:pStyle w:val="2"/>
        <w:spacing w:before="160"/>
        <w:ind w:left="813"/>
      </w:pPr>
      <w:r>
        <w:t>我单位作为本次采购项目的投标人，根据招标文件要求，现郑重承诺如下：</w:t>
      </w:r>
    </w:p>
    <w:p>
      <w:pPr>
        <w:pStyle w:val="2"/>
        <w:spacing w:before="159"/>
        <w:ind w:left="813"/>
      </w:pPr>
      <w:r>
        <w:t>（一）具有独立承担民事责任的能力；</w:t>
      </w:r>
    </w:p>
    <w:p>
      <w:pPr>
        <w:pStyle w:val="2"/>
        <w:spacing w:before="159"/>
        <w:ind w:left="813"/>
      </w:pPr>
      <w:r>
        <w:t>（二）具有良好的商业信誉和健全的财务会计制度；</w:t>
      </w:r>
    </w:p>
    <w:p>
      <w:pPr>
        <w:pStyle w:val="2"/>
        <w:spacing w:before="160"/>
        <w:ind w:left="813"/>
      </w:pPr>
      <w:r>
        <w:t>（三）具有履行合同所必需的设备和专业技术能力；</w:t>
      </w:r>
    </w:p>
    <w:p>
      <w:pPr>
        <w:pStyle w:val="2"/>
        <w:spacing w:before="159"/>
        <w:ind w:left="813"/>
      </w:pPr>
      <w:r>
        <w:t>（四）有依法缴纳税收和社会保障资金的良好记录；</w:t>
      </w:r>
    </w:p>
    <w:p>
      <w:pPr>
        <w:pStyle w:val="2"/>
        <w:spacing w:before="159"/>
        <w:ind w:left="813"/>
      </w:pPr>
      <w:r>
        <w:t>（五）参加政府采购活动前三年内，在经营活动中没有重大违法记录；</w:t>
      </w:r>
    </w:p>
    <w:p>
      <w:pPr>
        <w:pStyle w:val="2"/>
        <w:spacing w:before="160"/>
        <w:ind w:left="813"/>
      </w:pPr>
      <w:r>
        <w:t>（六）法律、行政法规规定的其他条件；</w:t>
      </w:r>
    </w:p>
    <w:p>
      <w:pPr>
        <w:pStyle w:val="2"/>
        <w:spacing w:before="159"/>
        <w:ind w:left="813"/>
      </w:pPr>
      <w:r>
        <w:t>（七）根据采购项目提出的特殊条件。</w:t>
      </w:r>
    </w:p>
    <w:p>
      <w:pPr>
        <w:pStyle w:val="2"/>
        <w:spacing w:before="160" w:line="364" w:lineRule="auto"/>
        <w:ind w:left="333" w:right="1512" w:firstLine="480"/>
      </w:pPr>
      <w:r>
        <w:t>（八）截至响应截止日未被列入“失信被执行人、重大税收违法失信主体、政府采购严重违法失信行为记录名单”。</w:t>
      </w:r>
    </w:p>
    <w:p>
      <w:pPr>
        <w:pStyle w:val="2"/>
        <w:spacing w:line="364" w:lineRule="auto"/>
        <w:ind w:left="333" w:right="1512" w:firstLine="480"/>
      </w:pPr>
      <w:r>
        <w:t>本单位对上述承诺的内容事项真实性负责。如经查实上述承诺的内容事项存在虚假，我单位愿意接受以提供虚假材料谋取成交追究法律责任。</w:t>
      </w:r>
    </w:p>
    <w:p>
      <w:pPr>
        <w:pStyle w:val="2"/>
      </w:pPr>
    </w:p>
    <w:p>
      <w:pPr>
        <w:pStyle w:val="2"/>
      </w:pPr>
    </w:p>
    <w:p>
      <w:pPr>
        <w:pStyle w:val="2"/>
        <w:spacing w:before="1"/>
        <w:rPr>
          <w:sz w:val="34"/>
        </w:rPr>
      </w:pPr>
    </w:p>
    <w:p>
      <w:pPr>
        <w:pStyle w:val="2"/>
        <w:ind w:left="804"/>
      </w:pPr>
      <w:r>
        <w:t>投标人名称：</w:t>
      </w:r>
      <w:r>
        <w:rPr>
          <w:u w:val="single"/>
        </w:rPr>
        <w:t xml:space="preserve"> </w:t>
      </w:r>
      <w:r>
        <w:t>（单位公章）。</w:t>
      </w:r>
    </w:p>
    <w:p>
      <w:pPr>
        <w:pStyle w:val="2"/>
        <w:spacing w:before="159" w:line="364" w:lineRule="auto"/>
        <w:ind w:left="804" w:right="2000"/>
      </w:pPr>
      <w:r>
        <w:t>法定代表人/单位负责人或授权代表（签字或加盖个人印章）：</w:t>
      </w:r>
      <w:r>
        <w:rPr>
          <w:u w:val="single"/>
        </w:rPr>
        <w:t xml:space="preserve">          </w:t>
      </w:r>
      <w:r>
        <w:t xml:space="preserve">日 期 ：    </w:t>
      </w:r>
    </w:p>
    <w:p>
      <w:pPr>
        <w:spacing w:line="364" w:lineRule="auto"/>
        <w:sectPr>
          <w:headerReference r:id="rId8" w:type="default"/>
          <w:pgSz w:w="11910" w:h="16840"/>
          <w:pgMar w:top="1420" w:right="40" w:bottom="1180" w:left="1140" w:header="884" w:footer="990" w:gutter="0"/>
          <w:cols w:space="720" w:num="1"/>
        </w:sectPr>
      </w:pPr>
    </w:p>
    <w:p>
      <w:pPr>
        <w:pStyle w:val="2"/>
        <w:spacing w:before="3"/>
        <w:rPr>
          <w:sz w:val="17"/>
        </w:rPr>
      </w:pPr>
    </w:p>
    <w:p>
      <w:pPr>
        <w:pStyle w:val="6"/>
        <w:spacing w:line="511" w:lineRule="exact"/>
        <w:ind w:left="3156" w:right="0"/>
        <w:jc w:val="left"/>
      </w:pPr>
      <w:bookmarkStart w:id="40" w:name="_bookmark10"/>
      <w:bookmarkEnd w:id="40"/>
      <w:r>
        <w:t>四、投标人的基本情况表</w:t>
      </w:r>
    </w:p>
    <w:p>
      <w:pPr>
        <w:pStyle w:val="2"/>
        <w:spacing w:before="10" w:after="1"/>
        <w:rPr>
          <w:rFonts w:ascii="Microsoft JhengHei"/>
          <w:b/>
          <w:sz w:val="25"/>
        </w:rPr>
      </w:pPr>
    </w:p>
    <w:tbl>
      <w:tblPr>
        <w:tblStyle w:val="17"/>
        <w:tblW w:w="0" w:type="auto"/>
        <w:tblInd w:w="57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20"/>
        <w:gridCol w:w="958"/>
        <w:gridCol w:w="1237"/>
        <w:gridCol w:w="1243"/>
        <w:gridCol w:w="1319"/>
        <w:gridCol w:w="159"/>
        <w:gridCol w:w="1002"/>
        <w:gridCol w:w="108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1520" w:type="dxa"/>
            <w:tcBorders>
              <w:bottom w:val="single" w:color="000000" w:sz="6" w:space="0"/>
              <w:right w:val="single" w:color="000000" w:sz="6" w:space="0"/>
            </w:tcBorders>
          </w:tcPr>
          <w:p>
            <w:pPr>
              <w:pStyle w:val="21"/>
              <w:spacing w:before="111"/>
              <w:ind w:left="140" w:right="110"/>
              <w:jc w:val="center"/>
              <w:rPr>
                <w:sz w:val="24"/>
              </w:rPr>
            </w:pPr>
            <w:r>
              <w:rPr>
                <w:sz w:val="24"/>
              </w:rPr>
              <w:t>投标人名称</w:t>
            </w:r>
          </w:p>
        </w:tc>
        <w:tc>
          <w:tcPr>
            <w:tcW w:w="7002" w:type="dxa"/>
            <w:gridSpan w:val="7"/>
            <w:tcBorders>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1520" w:type="dxa"/>
            <w:tcBorders>
              <w:top w:val="single" w:color="000000" w:sz="6" w:space="0"/>
              <w:bottom w:val="single" w:color="000000" w:sz="6" w:space="0"/>
              <w:right w:val="single" w:color="000000" w:sz="6" w:space="0"/>
            </w:tcBorders>
          </w:tcPr>
          <w:p>
            <w:pPr>
              <w:pStyle w:val="21"/>
              <w:spacing w:before="111"/>
              <w:ind w:left="140" w:right="110"/>
              <w:jc w:val="center"/>
              <w:rPr>
                <w:sz w:val="24"/>
              </w:rPr>
            </w:pPr>
            <w:r>
              <w:rPr>
                <w:sz w:val="24"/>
              </w:rPr>
              <w:t>注册地址</w:t>
            </w:r>
          </w:p>
        </w:tc>
        <w:tc>
          <w:tcPr>
            <w:tcW w:w="3438" w:type="dxa"/>
            <w:gridSpan w:val="3"/>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1"/>
              <w:spacing w:before="111"/>
              <w:ind w:left="176" w:right="127"/>
              <w:jc w:val="center"/>
              <w:rPr>
                <w:sz w:val="24"/>
              </w:rPr>
            </w:pPr>
            <w:r>
              <w:rPr>
                <w:sz w:val="24"/>
              </w:rPr>
              <w:t>邮政编码</w:t>
            </w:r>
          </w:p>
        </w:tc>
        <w:tc>
          <w:tcPr>
            <w:tcW w:w="2245" w:type="dxa"/>
            <w:gridSpan w:val="3"/>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vMerge w:val="restart"/>
            <w:tcBorders>
              <w:top w:val="single" w:color="000000" w:sz="6" w:space="0"/>
              <w:bottom w:val="single" w:color="000000" w:sz="6" w:space="0"/>
              <w:right w:val="single" w:color="000000" w:sz="6" w:space="0"/>
            </w:tcBorders>
          </w:tcPr>
          <w:p>
            <w:pPr>
              <w:pStyle w:val="21"/>
              <w:spacing w:before="14"/>
              <w:rPr>
                <w:rFonts w:ascii="Microsoft JhengHei"/>
                <w:b/>
                <w:sz w:val="16"/>
              </w:rPr>
            </w:pPr>
          </w:p>
          <w:p>
            <w:pPr>
              <w:pStyle w:val="21"/>
              <w:ind w:left="280"/>
              <w:rPr>
                <w:sz w:val="24"/>
              </w:rPr>
            </w:pPr>
            <w:r>
              <w:rPr>
                <w:sz w:val="24"/>
              </w:rPr>
              <w:t>联系方式</w:t>
            </w:r>
          </w:p>
        </w:tc>
        <w:tc>
          <w:tcPr>
            <w:tcW w:w="958" w:type="dxa"/>
            <w:tcBorders>
              <w:top w:val="single" w:color="000000" w:sz="6" w:space="0"/>
              <w:left w:val="single" w:color="000000" w:sz="6" w:space="0"/>
              <w:bottom w:val="single" w:color="000000" w:sz="6" w:space="0"/>
              <w:right w:val="single" w:color="000000" w:sz="6" w:space="0"/>
            </w:tcBorders>
          </w:tcPr>
          <w:p>
            <w:pPr>
              <w:pStyle w:val="21"/>
              <w:spacing w:before="101"/>
              <w:ind w:left="114" w:right="69"/>
              <w:jc w:val="center"/>
              <w:rPr>
                <w:sz w:val="24"/>
              </w:rPr>
            </w:pPr>
            <w:r>
              <w:rPr>
                <w:sz w:val="24"/>
              </w:rPr>
              <w:t>联系人</w:t>
            </w:r>
          </w:p>
        </w:tc>
        <w:tc>
          <w:tcPr>
            <w:tcW w:w="2480"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1"/>
              <w:spacing w:before="101"/>
              <w:ind w:left="170" w:right="127"/>
              <w:jc w:val="center"/>
              <w:rPr>
                <w:sz w:val="24"/>
              </w:rPr>
            </w:pPr>
            <w:r>
              <w:rPr>
                <w:sz w:val="24"/>
              </w:rPr>
              <w:t>电话</w:t>
            </w:r>
          </w:p>
        </w:tc>
        <w:tc>
          <w:tcPr>
            <w:tcW w:w="2245" w:type="dxa"/>
            <w:gridSpan w:val="3"/>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0" w:hRule="atLeast"/>
        </w:trPr>
        <w:tc>
          <w:tcPr>
            <w:tcW w:w="1520" w:type="dxa"/>
            <w:vMerge w:val="continue"/>
            <w:tcBorders>
              <w:top w:val="nil"/>
              <w:bottom w:val="single" w:color="000000" w:sz="6" w:space="0"/>
              <w:right w:val="single" w:color="000000" w:sz="6" w:space="0"/>
            </w:tcBorders>
          </w:tcPr>
          <w:p>
            <w:pPr>
              <w:rPr>
                <w:sz w:val="2"/>
                <w:szCs w:val="2"/>
              </w:rPr>
            </w:pPr>
          </w:p>
        </w:tc>
        <w:tc>
          <w:tcPr>
            <w:tcW w:w="958" w:type="dxa"/>
            <w:tcBorders>
              <w:top w:val="single" w:color="000000" w:sz="6" w:space="0"/>
              <w:left w:val="single" w:color="000000" w:sz="6" w:space="0"/>
              <w:bottom w:val="single" w:color="000000" w:sz="6" w:space="0"/>
              <w:right w:val="single" w:color="000000" w:sz="6" w:space="0"/>
            </w:tcBorders>
          </w:tcPr>
          <w:p>
            <w:pPr>
              <w:pStyle w:val="21"/>
              <w:spacing w:before="80" w:line="300" w:lineRule="exact"/>
              <w:ind w:left="114" w:right="69"/>
              <w:jc w:val="center"/>
              <w:rPr>
                <w:sz w:val="24"/>
              </w:rPr>
            </w:pPr>
            <w:r>
              <w:rPr>
                <w:sz w:val="24"/>
              </w:rPr>
              <w:t>传真</w:t>
            </w:r>
          </w:p>
        </w:tc>
        <w:tc>
          <w:tcPr>
            <w:tcW w:w="2480"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1"/>
              <w:spacing w:before="80" w:line="300" w:lineRule="exact"/>
              <w:ind w:left="170" w:right="127"/>
              <w:jc w:val="center"/>
              <w:rPr>
                <w:sz w:val="24"/>
              </w:rPr>
            </w:pPr>
            <w:r>
              <w:rPr>
                <w:sz w:val="24"/>
              </w:rPr>
              <w:t>网址</w:t>
            </w:r>
          </w:p>
        </w:tc>
        <w:tc>
          <w:tcPr>
            <w:tcW w:w="2245" w:type="dxa"/>
            <w:gridSpan w:val="3"/>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520" w:type="dxa"/>
            <w:tcBorders>
              <w:top w:val="single" w:color="000000" w:sz="6" w:space="0"/>
              <w:bottom w:val="single" w:color="000000" w:sz="6" w:space="0"/>
              <w:right w:val="single" w:color="000000" w:sz="6" w:space="0"/>
            </w:tcBorders>
          </w:tcPr>
          <w:p>
            <w:pPr>
              <w:pStyle w:val="21"/>
              <w:spacing w:before="111"/>
              <w:ind w:left="140" w:right="110"/>
              <w:jc w:val="center"/>
              <w:rPr>
                <w:sz w:val="24"/>
              </w:rPr>
            </w:pPr>
            <w:r>
              <w:rPr>
                <w:sz w:val="24"/>
              </w:rPr>
              <w:t>法定代表人</w:t>
            </w:r>
          </w:p>
        </w:tc>
        <w:tc>
          <w:tcPr>
            <w:tcW w:w="958" w:type="dxa"/>
            <w:tcBorders>
              <w:top w:val="single" w:color="000000" w:sz="6" w:space="0"/>
              <w:left w:val="single" w:color="000000" w:sz="6" w:space="0"/>
              <w:bottom w:val="single" w:color="000000" w:sz="6" w:space="0"/>
              <w:right w:val="single" w:color="000000" w:sz="6" w:space="0"/>
            </w:tcBorders>
          </w:tcPr>
          <w:p>
            <w:pPr>
              <w:pStyle w:val="21"/>
              <w:spacing w:before="111"/>
              <w:ind w:left="114" w:right="69"/>
              <w:jc w:val="center"/>
              <w:rPr>
                <w:sz w:val="24"/>
              </w:rPr>
            </w:pPr>
            <w:r>
              <w:rPr>
                <w:sz w:val="24"/>
              </w:rPr>
              <w:t>姓名</w:t>
            </w:r>
          </w:p>
        </w:tc>
        <w:tc>
          <w:tcPr>
            <w:tcW w:w="1237"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tcBorders>
              <w:top w:val="single" w:color="000000" w:sz="6" w:space="0"/>
              <w:left w:val="single" w:color="000000" w:sz="6" w:space="0"/>
              <w:bottom w:val="single" w:color="000000" w:sz="6" w:space="0"/>
              <w:right w:val="single" w:color="000000" w:sz="6" w:space="0"/>
            </w:tcBorders>
          </w:tcPr>
          <w:p>
            <w:pPr>
              <w:pStyle w:val="21"/>
              <w:spacing w:before="111"/>
              <w:ind w:left="155"/>
              <w:rPr>
                <w:sz w:val="24"/>
              </w:rPr>
            </w:pPr>
            <w:r>
              <w:rPr>
                <w:sz w:val="24"/>
              </w:rPr>
              <w:t>技术职称</w:t>
            </w:r>
          </w:p>
        </w:tc>
        <w:tc>
          <w:tcPr>
            <w:tcW w:w="1319"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161" w:type="dxa"/>
            <w:gridSpan w:val="2"/>
            <w:tcBorders>
              <w:top w:val="single" w:color="000000" w:sz="6" w:space="0"/>
              <w:left w:val="single" w:color="000000" w:sz="6" w:space="0"/>
              <w:bottom w:val="single" w:color="000000" w:sz="6" w:space="0"/>
              <w:right w:val="single" w:color="000000" w:sz="6" w:space="0"/>
            </w:tcBorders>
          </w:tcPr>
          <w:p>
            <w:pPr>
              <w:pStyle w:val="21"/>
              <w:spacing w:before="111"/>
              <w:ind w:left="355"/>
              <w:rPr>
                <w:sz w:val="24"/>
              </w:rPr>
            </w:pPr>
            <w:r>
              <w:rPr>
                <w:sz w:val="24"/>
              </w:rPr>
              <w:t>电话</w:t>
            </w:r>
          </w:p>
        </w:tc>
        <w:tc>
          <w:tcPr>
            <w:tcW w:w="1084" w:type="dxa"/>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1520" w:type="dxa"/>
            <w:tcBorders>
              <w:top w:val="single" w:color="000000" w:sz="6" w:space="0"/>
              <w:bottom w:val="single" w:color="000000" w:sz="6" w:space="0"/>
              <w:right w:val="single" w:color="000000" w:sz="6" w:space="0"/>
            </w:tcBorders>
          </w:tcPr>
          <w:p>
            <w:pPr>
              <w:pStyle w:val="21"/>
              <w:spacing w:before="101"/>
              <w:ind w:left="140" w:right="110"/>
              <w:jc w:val="center"/>
              <w:rPr>
                <w:sz w:val="24"/>
              </w:rPr>
            </w:pPr>
            <w:r>
              <w:rPr>
                <w:sz w:val="24"/>
              </w:rPr>
              <w:t>技术负责人</w:t>
            </w:r>
          </w:p>
        </w:tc>
        <w:tc>
          <w:tcPr>
            <w:tcW w:w="958" w:type="dxa"/>
            <w:tcBorders>
              <w:top w:val="single" w:color="000000" w:sz="6" w:space="0"/>
              <w:left w:val="single" w:color="000000" w:sz="6" w:space="0"/>
              <w:bottom w:val="single" w:color="000000" w:sz="6" w:space="0"/>
              <w:right w:val="single" w:color="000000" w:sz="6" w:space="0"/>
            </w:tcBorders>
          </w:tcPr>
          <w:p>
            <w:pPr>
              <w:pStyle w:val="21"/>
              <w:spacing w:before="101"/>
              <w:ind w:left="114" w:right="69"/>
              <w:jc w:val="center"/>
              <w:rPr>
                <w:sz w:val="24"/>
              </w:rPr>
            </w:pPr>
            <w:r>
              <w:rPr>
                <w:sz w:val="24"/>
              </w:rPr>
              <w:t>姓名</w:t>
            </w:r>
          </w:p>
        </w:tc>
        <w:tc>
          <w:tcPr>
            <w:tcW w:w="1237"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tcBorders>
              <w:top w:val="single" w:color="000000" w:sz="6" w:space="0"/>
              <w:left w:val="single" w:color="000000" w:sz="6" w:space="0"/>
              <w:bottom w:val="single" w:color="000000" w:sz="6" w:space="0"/>
              <w:right w:val="single" w:color="000000" w:sz="6" w:space="0"/>
            </w:tcBorders>
          </w:tcPr>
          <w:p>
            <w:pPr>
              <w:pStyle w:val="21"/>
              <w:spacing w:before="101"/>
              <w:ind w:left="155"/>
              <w:rPr>
                <w:sz w:val="24"/>
              </w:rPr>
            </w:pPr>
            <w:r>
              <w:rPr>
                <w:sz w:val="24"/>
              </w:rPr>
              <w:t>技术职称</w:t>
            </w:r>
          </w:p>
        </w:tc>
        <w:tc>
          <w:tcPr>
            <w:tcW w:w="1319"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161" w:type="dxa"/>
            <w:gridSpan w:val="2"/>
            <w:tcBorders>
              <w:top w:val="single" w:color="000000" w:sz="6" w:space="0"/>
              <w:left w:val="single" w:color="000000" w:sz="6" w:space="0"/>
              <w:bottom w:val="single" w:color="000000" w:sz="6" w:space="0"/>
              <w:right w:val="single" w:color="000000" w:sz="6" w:space="0"/>
            </w:tcBorders>
          </w:tcPr>
          <w:p>
            <w:pPr>
              <w:pStyle w:val="21"/>
              <w:spacing w:before="101"/>
              <w:ind w:left="355"/>
              <w:rPr>
                <w:sz w:val="24"/>
              </w:rPr>
            </w:pPr>
            <w:r>
              <w:rPr>
                <w:sz w:val="24"/>
              </w:rPr>
              <w:t>电话</w:t>
            </w:r>
          </w:p>
        </w:tc>
        <w:tc>
          <w:tcPr>
            <w:tcW w:w="1084" w:type="dxa"/>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tcBorders>
              <w:top w:val="single" w:color="000000" w:sz="6" w:space="0"/>
              <w:bottom w:val="single" w:color="000000" w:sz="6" w:space="0"/>
              <w:right w:val="single" w:color="000000" w:sz="6" w:space="0"/>
            </w:tcBorders>
          </w:tcPr>
          <w:p>
            <w:pPr>
              <w:pStyle w:val="21"/>
              <w:spacing w:before="101"/>
              <w:ind w:left="140" w:right="110"/>
              <w:jc w:val="center"/>
              <w:rPr>
                <w:sz w:val="24"/>
              </w:rPr>
            </w:pPr>
            <w:r>
              <w:rPr>
                <w:sz w:val="24"/>
              </w:rPr>
              <w:t>成立时间</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4807" w:type="dxa"/>
            <w:gridSpan w:val="5"/>
            <w:tcBorders>
              <w:top w:val="single" w:color="000000" w:sz="6" w:space="0"/>
              <w:left w:val="single" w:color="000000" w:sz="6" w:space="0"/>
              <w:bottom w:val="single" w:color="000000" w:sz="6" w:space="0"/>
            </w:tcBorders>
          </w:tcPr>
          <w:p>
            <w:pPr>
              <w:pStyle w:val="21"/>
              <w:spacing w:before="101"/>
              <w:ind w:left="1803"/>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1"/>
              <w:spacing w:line="400" w:lineRule="exact"/>
              <w:ind w:left="640" w:right="129" w:hanging="480"/>
              <w:rPr>
                <w:sz w:val="24"/>
              </w:rPr>
            </w:pPr>
            <w:r>
              <w:rPr>
                <w:sz w:val="24"/>
              </w:rPr>
              <w:t>企业资质等级</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vMerge w:val="restart"/>
            <w:tcBorders>
              <w:top w:val="single" w:color="000000" w:sz="6" w:space="0"/>
              <w:left w:val="single" w:color="000000" w:sz="6" w:space="0"/>
              <w:bottom w:val="single" w:color="000000" w:sz="6" w:space="0"/>
              <w:right w:val="single" w:color="000000" w:sz="6" w:space="0"/>
            </w:tcBorders>
          </w:tcPr>
          <w:p>
            <w:pPr>
              <w:pStyle w:val="21"/>
              <w:rPr>
                <w:rFonts w:ascii="Microsoft JhengHei"/>
                <w:b/>
                <w:sz w:val="24"/>
              </w:rPr>
            </w:pPr>
          </w:p>
          <w:p>
            <w:pPr>
              <w:pStyle w:val="21"/>
              <w:rPr>
                <w:rFonts w:ascii="Microsoft JhengHei"/>
                <w:b/>
                <w:sz w:val="24"/>
              </w:rPr>
            </w:pPr>
          </w:p>
          <w:p>
            <w:pPr>
              <w:pStyle w:val="21"/>
              <w:rPr>
                <w:rFonts w:ascii="Microsoft JhengHei"/>
                <w:b/>
                <w:sz w:val="24"/>
              </w:rPr>
            </w:pPr>
          </w:p>
          <w:p>
            <w:pPr>
              <w:pStyle w:val="21"/>
              <w:spacing w:before="2"/>
              <w:rPr>
                <w:rFonts w:ascii="Microsoft JhengHei"/>
                <w:b/>
              </w:rPr>
            </w:pPr>
          </w:p>
          <w:p>
            <w:pPr>
              <w:pStyle w:val="21"/>
              <w:ind w:left="395"/>
              <w:rPr>
                <w:sz w:val="24"/>
              </w:rPr>
            </w:pPr>
            <w:r>
              <w:rPr>
                <w:sz w:val="24"/>
              </w:rPr>
              <w:t>其中</w:t>
            </w:r>
          </w:p>
        </w:tc>
        <w:tc>
          <w:tcPr>
            <w:tcW w:w="1478" w:type="dxa"/>
            <w:gridSpan w:val="2"/>
            <w:tcBorders>
              <w:top w:val="single" w:color="000000" w:sz="6" w:space="0"/>
              <w:left w:val="single" w:color="000000" w:sz="6" w:space="0"/>
              <w:bottom w:val="single" w:color="000000" w:sz="6" w:space="0"/>
              <w:right w:val="single" w:color="000000" w:sz="6" w:space="0"/>
            </w:tcBorders>
          </w:tcPr>
          <w:p>
            <w:pPr>
              <w:pStyle w:val="21"/>
              <w:spacing w:before="4"/>
              <w:rPr>
                <w:rFonts w:ascii="Microsoft JhengHei"/>
                <w:b/>
                <w:sz w:val="15"/>
              </w:rPr>
            </w:pPr>
          </w:p>
          <w:p>
            <w:pPr>
              <w:pStyle w:val="21"/>
              <w:ind w:left="273"/>
              <w:rPr>
                <w:sz w:val="24"/>
              </w:rPr>
            </w:pPr>
            <w:r>
              <w:rPr>
                <w:sz w:val="24"/>
              </w:rPr>
              <w:t>项目总监</w:t>
            </w:r>
          </w:p>
        </w:tc>
        <w:tc>
          <w:tcPr>
            <w:tcW w:w="2086"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1"/>
              <w:spacing w:before="4"/>
              <w:rPr>
                <w:rFonts w:ascii="Microsoft JhengHei"/>
                <w:b/>
                <w:sz w:val="15"/>
              </w:rPr>
            </w:pPr>
          </w:p>
          <w:p>
            <w:pPr>
              <w:pStyle w:val="21"/>
              <w:ind w:left="140" w:right="110"/>
              <w:jc w:val="center"/>
              <w:rPr>
                <w:sz w:val="24"/>
              </w:rPr>
            </w:pPr>
            <w:r>
              <w:rPr>
                <w:sz w:val="24"/>
              </w:rPr>
              <w:t>营业执照号</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1"/>
              <w:spacing w:line="400" w:lineRule="exact"/>
              <w:ind w:left="633" w:right="109" w:hanging="480"/>
              <w:rPr>
                <w:sz w:val="24"/>
              </w:rPr>
            </w:pPr>
            <w:r>
              <w:rPr>
                <w:sz w:val="24"/>
              </w:rPr>
              <w:t>高级职称人员</w:t>
            </w:r>
          </w:p>
        </w:tc>
        <w:tc>
          <w:tcPr>
            <w:tcW w:w="2086"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1"/>
              <w:spacing w:before="4"/>
              <w:rPr>
                <w:rFonts w:ascii="Microsoft JhengHei"/>
                <w:b/>
                <w:sz w:val="15"/>
              </w:rPr>
            </w:pPr>
          </w:p>
          <w:p>
            <w:pPr>
              <w:pStyle w:val="21"/>
              <w:ind w:left="140" w:right="110"/>
              <w:jc w:val="center"/>
              <w:rPr>
                <w:sz w:val="24"/>
              </w:rPr>
            </w:pPr>
            <w:r>
              <w:rPr>
                <w:sz w:val="24"/>
              </w:rPr>
              <w:t>注册资金</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1"/>
              <w:spacing w:line="400" w:lineRule="exact"/>
              <w:ind w:left="633" w:right="109" w:hanging="480"/>
              <w:rPr>
                <w:sz w:val="24"/>
              </w:rPr>
            </w:pPr>
            <w:r>
              <w:rPr>
                <w:sz w:val="24"/>
              </w:rPr>
              <w:t>中级职称人员</w:t>
            </w:r>
          </w:p>
        </w:tc>
        <w:tc>
          <w:tcPr>
            <w:tcW w:w="2086"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1"/>
              <w:spacing w:before="4"/>
              <w:rPr>
                <w:rFonts w:ascii="Microsoft JhengHei"/>
                <w:b/>
                <w:sz w:val="15"/>
              </w:rPr>
            </w:pPr>
          </w:p>
          <w:p>
            <w:pPr>
              <w:pStyle w:val="21"/>
              <w:ind w:left="140" w:right="110"/>
              <w:jc w:val="center"/>
              <w:rPr>
                <w:sz w:val="24"/>
              </w:rPr>
            </w:pPr>
            <w:r>
              <w:rPr>
                <w:sz w:val="24"/>
              </w:rPr>
              <w:t>开户银行</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1"/>
              <w:spacing w:line="400" w:lineRule="exact"/>
              <w:ind w:left="633" w:right="109" w:hanging="480"/>
              <w:rPr>
                <w:sz w:val="24"/>
              </w:rPr>
            </w:pPr>
            <w:r>
              <w:rPr>
                <w:sz w:val="24"/>
              </w:rPr>
              <w:t>初级职称人员</w:t>
            </w:r>
          </w:p>
        </w:tc>
        <w:tc>
          <w:tcPr>
            <w:tcW w:w="2086"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tcBorders>
              <w:top w:val="single" w:color="000000" w:sz="6" w:space="0"/>
              <w:bottom w:val="single" w:color="000000" w:sz="6" w:space="0"/>
              <w:right w:val="single" w:color="000000" w:sz="6" w:space="0"/>
            </w:tcBorders>
          </w:tcPr>
          <w:p>
            <w:pPr>
              <w:pStyle w:val="21"/>
              <w:spacing w:before="101"/>
              <w:ind w:left="140" w:right="110"/>
              <w:jc w:val="center"/>
              <w:rPr>
                <w:sz w:val="24"/>
              </w:rPr>
            </w:pPr>
            <w:r>
              <w:rPr>
                <w:sz w:val="24"/>
              </w:rPr>
              <w:t>账号</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1"/>
              <w:spacing w:before="101"/>
              <w:ind w:left="513"/>
              <w:rPr>
                <w:sz w:val="24"/>
              </w:rPr>
            </w:pPr>
            <w:r>
              <w:rPr>
                <w:sz w:val="24"/>
              </w:rPr>
              <w:t>技工</w:t>
            </w:r>
          </w:p>
        </w:tc>
        <w:tc>
          <w:tcPr>
            <w:tcW w:w="2086"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92" w:hRule="atLeast"/>
        </w:trPr>
        <w:tc>
          <w:tcPr>
            <w:tcW w:w="1520" w:type="dxa"/>
            <w:tcBorders>
              <w:top w:val="single" w:color="000000" w:sz="6" w:space="0"/>
              <w:bottom w:val="single" w:color="000000" w:sz="6" w:space="0"/>
              <w:right w:val="single" w:color="000000" w:sz="6" w:space="0"/>
            </w:tcBorders>
          </w:tcPr>
          <w:p>
            <w:pPr>
              <w:pStyle w:val="21"/>
              <w:rPr>
                <w:rFonts w:ascii="Microsoft JhengHei"/>
                <w:b/>
                <w:sz w:val="24"/>
              </w:rPr>
            </w:pPr>
          </w:p>
          <w:p>
            <w:pPr>
              <w:pStyle w:val="21"/>
              <w:spacing w:before="6"/>
              <w:rPr>
                <w:rFonts w:ascii="Microsoft JhengHei"/>
                <w:b/>
                <w:sz w:val="26"/>
              </w:rPr>
            </w:pPr>
          </w:p>
          <w:p>
            <w:pPr>
              <w:pStyle w:val="21"/>
              <w:ind w:left="140" w:right="110"/>
              <w:jc w:val="center"/>
              <w:rPr>
                <w:sz w:val="24"/>
              </w:rPr>
            </w:pPr>
            <w:r>
              <w:rPr>
                <w:sz w:val="24"/>
              </w:rPr>
              <w:t>经营范围</w:t>
            </w:r>
          </w:p>
        </w:tc>
        <w:tc>
          <w:tcPr>
            <w:tcW w:w="7002" w:type="dxa"/>
            <w:gridSpan w:val="7"/>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2" w:hRule="atLeast"/>
        </w:trPr>
        <w:tc>
          <w:tcPr>
            <w:tcW w:w="1520" w:type="dxa"/>
            <w:tcBorders>
              <w:top w:val="single" w:color="000000" w:sz="6" w:space="0"/>
              <w:right w:val="single" w:color="000000" w:sz="6" w:space="0"/>
            </w:tcBorders>
          </w:tcPr>
          <w:p>
            <w:pPr>
              <w:pStyle w:val="21"/>
              <w:spacing w:before="80"/>
              <w:ind w:left="140" w:right="110"/>
              <w:jc w:val="center"/>
              <w:rPr>
                <w:sz w:val="24"/>
              </w:rPr>
            </w:pPr>
            <w:r>
              <w:rPr>
                <w:sz w:val="24"/>
              </w:rPr>
              <w:t>备注</w:t>
            </w:r>
          </w:p>
        </w:tc>
        <w:tc>
          <w:tcPr>
            <w:tcW w:w="7002" w:type="dxa"/>
            <w:gridSpan w:val="7"/>
            <w:tcBorders>
              <w:top w:val="single" w:color="000000" w:sz="6" w:space="0"/>
              <w:left w:val="single" w:color="000000" w:sz="6" w:space="0"/>
            </w:tcBorders>
          </w:tcPr>
          <w:p>
            <w:pPr>
              <w:pStyle w:val="21"/>
              <w:rPr>
                <w:rFonts w:ascii="Times New Roman"/>
              </w:rPr>
            </w:pPr>
          </w:p>
        </w:tc>
      </w:tr>
    </w:tbl>
    <w:p>
      <w:pPr>
        <w:rPr>
          <w:rFonts w:ascii="Times New Roman"/>
        </w:rPr>
        <w:sectPr>
          <w:pgSz w:w="11910" w:h="16840"/>
          <w:pgMar w:top="1420" w:right="40" w:bottom="1180" w:left="1140" w:header="884" w:footer="990" w:gutter="0"/>
          <w:cols w:space="720" w:num="1"/>
        </w:sectPr>
      </w:pPr>
    </w:p>
    <w:p>
      <w:pPr>
        <w:pStyle w:val="2"/>
        <w:rPr>
          <w:rFonts w:ascii="Microsoft JhengHei"/>
          <w:b/>
          <w:sz w:val="12"/>
        </w:rPr>
      </w:pPr>
    </w:p>
    <w:p>
      <w:pPr>
        <w:pStyle w:val="6"/>
        <w:spacing w:line="511" w:lineRule="exact"/>
      </w:pPr>
      <w:r>
        <w:t>五、资格证明材料</w:t>
      </w:r>
    </w:p>
    <w:p>
      <w:pPr>
        <w:pStyle w:val="2"/>
        <w:spacing w:before="14"/>
        <w:rPr>
          <w:rFonts w:ascii="Microsoft JhengHei"/>
          <w:b/>
          <w:sz w:val="25"/>
        </w:rPr>
      </w:pPr>
    </w:p>
    <w:p>
      <w:pPr>
        <w:pStyle w:val="2"/>
        <w:spacing w:line="364" w:lineRule="auto"/>
        <w:ind w:left="333" w:right="1392" w:firstLine="480"/>
      </w:pPr>
      <w:r>
        <w:t>投标人根据本招标文件第一章、第五章提供相关证明资料 ，有格式要求的从其要求，无格式要求的格式自拟。</w:t>
      </w:r>
    </w:p>
    <w:p>
      <w:pPr>
        <w:spacing w:line="364" w:lineRule="auto"/>
        <w:sectPr>
          <w:pgSz w:w="11910" w:h="16840"/>
          <w:pgMar w:top="1420" w:right="40" w:bottom="1180" w:left="1140" w:header="884" w:footer="990" w:gutter="0"/>
          <w:cols w:space="720" w:num="1"/>
        </w:sectPr>
      </w:pPr>
    </w:p>
    <w:p>
      <w:pPr>
        <w:pStyle w:val="6"/>
      </w:pPr>
      <w:r>
        <w:t>六、开标一览表</w:t>
      </w:r>
    </w:p>
    <w:p>
      <w:pPr>
        <w:pStyle w:val="2"/>
        <w:spacing w:before="7"/>
        <w:rPr>
          <w:rFonts w:ascii="Microsoft JhengHei"/>
          <w:b/>
          <w:sz w:val="14"/>
        </w:rPr>
      </w:pPr>
    </w:p>
    <w:p>
      <w:pPr>
        <w:pStyle w:val="2"/>
        <w:spacing w:before="74" w:line="360" w:lineRule="auto"/>
        <w:ind w:left="573" w:right="8429" w:hanging="25"/>
      </w:pPr>
      <w:r>
        <w:rPr>
          <w:lang w:val="en-US" w:bidi="ar-SA"/>
        </w:rPr>
        <mc:AlternateContent>
          <mc:Choice Requires="wps">
            <w:drawing>
              <wp:anchor distT="0" distB="0" distL="114300" distR="114300" simplePos="0" relativeHeight="251660288" behindDoc="0" locked="0" layoutInCell="1" allowOverlap="1">
                <wp:simplePos x="0" y="0"/>
                <wp:positionH relativeFrom="page">
                  <wp:posOffset>746760</wp:posOffset>
                </wp:positionH>
                <wp:positionV relativeFrom="paragraph">
                  <wp:posOffset>549275</wp:posOffset>
                </wp:positionV>
                <wp:extent cx="6144260" cy="2236470"/>
                <wp:effectExtent l="0" t="0" r="0" b="0"/>
                <wp:wrapNone/>
                <wp:docPr id="2" name="文本框 91"/>
                <wp:cNvGraphicFramePr/>
                <a:graphic xmlns:a="http://schemas.openxmlformats.org/drawingml/2006/main">
                  <a:graphicData uri="http://schemas.microsoft.com/office/word/2010/wordprocessingShape">
                    <wps:wsp>
                      <wps:cNvSpPr txBox="1"/>
                      <wps:spPr>
                        <a:xfrm>
                          <a:off x="0" y="0"/>
                          <a:ext cx="6144260" cy="2236470"/>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1755"/>
                              <w:gridCol w:w="930"/>
                              <w:gridCol w:w="2635"/>
                              <w:gridCol w:w="1835"/>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119" w:type="dxa"/>
                                </w:tcPr>
                                <w:p>
                                  <w:pPr>
                                    <w:pStyle w:val="21"/>
                                    <w:spacing w:before="11"/>
                                    <w:rPr>
                                      <w:sz w:val="25"/>
                                    </w:rPr>
                                  </w:pPr>
                                </w:p>
                                <w:p>
                                  <w:pPr>
                                    <w:pStyle w:val="21"/>
                                    <w:spacing w:before="1"/>
                                    <w:ind w:left="318"/>
                                    <w:rPr>
                                      <w:rFonts w:ascii="Microsoft JhengHei" w:eastAsia="Microsoft JhengHei"/>
                                      <w:b/>
                                      <w:sz w:val="24"/>
                                    </w:rPr>
                                  </w:pPr>
                                  <w:r>
                                    <w:rPr>
                                      <w:rFonts w:hint="eastAsia" w:ascii="Microsoft JhengHei" w:eastAsia="Microsoft JhengHei"/>
                                      <w:b/>
                                      <w:sz w:val="24"/>
                                    </w:rPr>
                                    <w:t>包号</w:t>
                                  </w:r>
                                </w:p>
                              </w:tc>
                              <w:tc>
                                <w:tcPr>
                                  <w:tcW w:w="1755" w:type="dxa"/>
                                </w:tcPr>
                                <w:p>
                                  <w:pPr>
                                    <w:pStyle w:val="21"/>
                                    <w:spacing w:before="11"/>
                                    <w:rPr>
                                      <w:sz w:val="25"/>
                                    </w:rPr>
                                  </w:pPr>
                                </w:p>
                                <w:p>
                                  <w:pPr>
                                    <w:pStyle w:val="21"/>
                                    <w:spacing w:before="1"/>
                                    <w:ind w:left="376" w:right="367"/>
                                    <w:jc w:val="center"/>
                                    <w:rPr>
                                      <w:rFonts w:ascii="Microsoft JhengHei" w:eastAsia="Microsoft JhengHei"/>
                                      <w:b/>
                                      <w:sz w:val="24"/>
                                    </w:rPr>
                                  </w:pPr>
                                  <w:r>
                                    <w:rPr>
                                      <w:rFonts w:hint="eastAsia" w:ascii="Microsoft JhengHei" w:eastAsia="Microsoft JhengHei"/>
                                      <w:b/>
                                      <w:sz w:val="24"/>
                                    </w:rPr>
                                    <w:t>项目内容</w:t>
                                  </w:r>
                                </w:p>
                              </w:tc>
                              <w:tc>
                                <w:tcPr>
                                  <w:tcW w:w="930" w:type="dxa"/>
                                </w:tcPr>
                                <w:p>
                                  <w:pPr>
                                    <w:pStyle w:val="21"/>
                                    <w:spacing w:before="11"/>
                                    <w:rPr>
                                      <w:sz w:val="25"/>
                                    </w:rPr>
                                  </w:pPr>
                                </w:p>
                                <w:p>
                                  <w:pPr>
                                    <w:pStyle w:val="21"/>
                                    <w:spacing w:before="1"/>
                                    <w:ind w:right="213"/>
                                    <w:jc w:val="right"/>
                                    <w:rPr>
                                      <w:rFonts w:ascii="Microsoft JhengHei" w:eastAsia="Microsoft JhengHei"/>
                                      <w:b/>
                                      <w:sz w:val="24"/>
                                    </w:rPr>
                                  </w:pPr>
                                  <w:r>
                                    <w:rPr>
                                      <w:rFonts w:hint="eastAsia" w:ascii="Microsoft JhengHei" w:eastAsia="Microsoft JhengHei"/>
                                      <w:b/>
                                      <w:sz w:val="24"/>
                                    </w:rPr>
                                    <w:t>数量</w:t>
                                  </w:r>
                                </w:p>
                              </w:tc>
                              <w:tc>
                                <w:tcPr>
                                  <w:tcW w:w="2635" w:type="dxa"/>
                                </w:tcPr>
                                <w:p>
                                  <w:pPr>
                                    <w:pStyle w:val="21"/>
                                    <w:spacing w:before="102"/>
                                    <w:ind w:left="543" w:right="534"/>
                                    <w:jc w:val="center"/>
                                    <w:rPr>
                                      <w:rFonts w:ascii="Microsoft JhengHei" w:eastAsia="Microsoft JhengHei"/>
                                      <w:b/>
                                      <w:sz w:val="24"/>
                                    </w:rPr>
                                  </w:pPr>
                                  <w:r>
                                    <w:rPr>
                                      <w:rFonts w:hint="eastAsia" w:ascii="Microsoft JhengHei" w:eastAsia="Microsoft JhengHei"/>
                                      <w:b/>
                                      <w:sz w:val="24"/>
                                    </w:rPr>
                                    <w:t>投标报价</w:t>
                                  </w:r>
                                </w:p>
                                <w:p>
                                  <w:pPr>
                                    <w:pStyle w:val="21"/>
                                    <w:spacing w:before="19"/>
                                    <w:ind w:left="543" w:right="534"/>
                                    <w:jc w:val="center"/>
                                    <w:rPr>
                                      <w:rFonts w:ascii="Microsoft JhengHei" w:eastAsia="Microsoft JhengHei"/>
                                      <w:b/>
                                      <w:sz w:val="24"/>
                                    </w:rPr>
                                  </w:pPr>
                                  <w:r>
                                    <w:rPr>
                                      <w:rFonts w:hint="eastAsia" w:ascii="Microsoft JhengHei" w:eastAsia="Microsoft JhengHei"/>
                                      <w:b/>
                                      <w:sz w:val="24"/>
                                    </w:rPr>
                                    <w:t>（人民币</w:t>
                                  </w:r>
                                  <w:r>
                                    <w:rPr>
                                      <w:rFonts w:ascii="Times New Roman" w:eastAsia="Times New Roman"/>
                                      <w:b/>
                                      <w:sz w:val="24"/>
                                    </w:rPr>
                                    <w:t>/</w:t>
                                  </w:r>
                                  <w:r>
                                    <w:rPr>
                                      <w:rFonts w:hint="eastAsia" w:ascii="Microsoft JhengHei" w:eastAsia="Microsoft JhengHei"/>
                                      <w:b/>
                                      <w:sz w:val="24"/>
                                    </w:rPr>
                                    <w:t>元）</w:t>
                                  </w:r>
                                </w:p>
                              </w:tc>
                              <w:tc>
                                <w:tcPr>
                                  <w:tcW w:w="1835" w:type="dxa"/>
                                </w:tcPr>
                                <w:p>
                                  <w:pPr>
                                    <w:pStyle w:val="21"/>
                                    <w:spacing w:before="102"/>
                                    <w:ind w:left="177" w:right="168"/>
                                    <w:jc w:val="center"/>
                                    <w:rPr>
                                      <w:rFonts w:ascii="Microsoft JhengHei" w:eastAsia="Microsoft JhengHei"/>
                                      <w:b/>
                                      <w:sz w:val="24"/>
                                    </w:rPr>
                                  </w:pPr>
                                  <w:r>
                                    <w:rPr>
                                      <w:rFonts w:hint="eastAsia" w:ascii="Microsoft JhengHei" w:eastAsia="Microsoft JhengHei"/>
                                      <w:b/>
                                      <w:sz w:val="24"/>
                                    </w:rPr>
                                    <w:t>合同履行期限</w:t>
                                  </w:r>
                                </w:p>
                                <w:p>
                                  <w:pPr>
                                    <w:pStyle w:val="21"/>
                                    <w:spacing w:before="19"/>
                                    <w:ind w:left="177" w:right="168"/>
                                    <w:jc w:val="center"/>
                                    <w:rPr>
                                      <w:rFonts w:ascii="Microsoft JhengHei" w:eastAsia="Microsoft JhengHei"/>
                                      <w:b/>
                                      <w:sz w:val="24"/>
                                    </w:rPr>
                                  </w:pPr>
                                  <w:r>
                                    <w:rPr>
                                      <w:rFonts w:hint="eastAsia" w:ascii="Microsoft JhengHei" w:eastAsia="Microsoft JhengHei"/>
                                      <w:b/>
                                      <w:sz w:val="24"/>
                                    </w:rPr>
                                    <w:t>（交货期）</w:t>
                                  </w:r>
                                </w:p>
                              </w:tc>
                              <w:tc>
                                <w:tcPr>
                                  <w:tcW w:w="729" w:type="dxa"/>
                                </w:tcPr>
                                <w:p>
                                  <w:pPr>
                                    <w:pStyle w:val="21"/>
                                    <w:spacing w:before="11"/>
                                    <w:rPr>
                                      <w:sz w:val="25"/>
                                    </w:rPr>
                                  </w:pPr>
                                </w:p>
                                <w:p>
                                  <w:pPr>
                                    <w:pStyle w:val="21"/>
                                    <w:spacing w:before="1"/>
                                    <w:ind w:left="123"/>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trPr>
                              <w:tc>
                                <w:tcPr>
                                  <w:tcW w:w="1119" w:type="dxa"/>
                                </w:tcPr>
                                <w:p>
                                  <w:pPr>
                                    <w:pStyle w:val="21"/>
                                    <w:rPr>
                                      <w:rFonts w:ascii="Times New Roman"/>
                                    </w:rPr>
                                  </w:pPr>
                                </w:p>
                              </w:tc>
                              <w:tc>
                                <w:tcPr>
                                  <w:tcW w:w="1755" w:type="dxa"/>
                                </w:tcPr>
                                <w:p>
                                  <w:pPr>
                                    <w:pStyle w:val="21"/>
                                    <w:rPr>
                                      <w:sz w:val="24"/>
                                    </w:rPr>
                                  </w:pPr>
                                </w:p>
                                <w:p>
                                  <w:pPr>
                                    <w:pStyle w:val="21"/>
                                    <w:rPr>
                                      <w:sz w:val="24"/>
                                    </w:rPr>
                                  </w:pPr>
                                </w:p>
                                <w:p>
                                  <w:pPr>
                                    <w:pStyle w:val="21"/>
                                    <w:spacing w:before="9"/>
                                    <w:rPr>
                                      <w:sz w:val="29"/>
                                    </w:rPr>
                                  </w:pPr>
                                </w:p>
                                <w:p>
                                  <w:pPr>
                                    <w:pStyle w:val="21"/>
                                    <w:ind w:left="377" w:right="367"/>
                                    <w:jc w:val="center"/>
                                    <w:rPr>
                                      <w:sz w:val="24"/>
                                    </w:rPr>
                                  </w:pPr>
                                </w:p>
                              </w:tc>
                              <w:tc>
                                <w:tcPr>
                                  <w:tcW w:w="930" w:type="dxa"/>
                                </w:tcPr>
                                <w:p>
                                  <w:pPr>
                                    <w:pStyle w:val="21"/>
                                    <w:rPr>
                                      <w:sz w:val="24"/>
                                    </w:rPr>
                                  </w:pPr>
                                </w:p>
                                <w:p>
                                  <w:pPr>
                                    <w:pStyle w:val="21"/>
                                    <w:rPr>
                                      <w:sz w:val="24"/>
                                    </w:rPr>
                                  </w:pPr>
                                </w:p>
                                <w:p>
                                  <w:pPr>
                                    <w:pStyle w:val="21"/>
                                    <w:spacing w:before="9"/>
                                    <w:rPr>
                                      <w:sz w:val="29"/>
                                    </w:rPr>
                                  </w:pPr>
                                </w:p>
                                <w:p>
                                  <w:pPr>
                                    <w:pStyle w:val="21"/>
                                    <w:ind w:right="273"/>
                                    <w:jc w:val="right"/>
                                    <w:rPr>
                                      <w:sz w:val="24"/>
                                    </w:rPr>
                                  </w:pPr>
                                </w:p>
                              </w:tc>
                              <w:tc>
                                <w:tcPr>
                                  <w:tcW w:w="2635" w:type="dxa"/>
                                </w:tcPr>
                                <w:p>
                                  <w:pPr>
                                    <w:pStyle w:val="21"/>
                                    <w:spacing w:before="40" w:line="920" w:lineRule="exact"/>
                                    <w:ind w:left="107" w:right="1795"/>
                                    <w:rPr>
                                      <w:sz w:val="24"/>
                                    </w:rPr>
                                  </w:pPr>
                                  <w:r>
                                    <w:rPr>
                                      <w:sz w:val="24"/>
                                    </w:rPr>
                                    <w:t>大写： 小写：</w:t>
                                  </w:r>
                                </w:p>
                              </w:tc>
                              <w:tc>
                                <w:tcPr>
                                  <w:tcW w:w="1835" w:type="dxa"/>
                                </w:tcPr>
                                <w:p>
                                  <w:pPr>
                                    <w:pStyle w:val="21"/>
                                    <w:rPr>
                                      <w:rFonts w:ascii="Times New Roman"/>
                                    </w:rPr>
                                  </w:pPr>
                                </w:p>
                              </w:tc>
                              <w:tc>
                                <w:tcPr>
                                  <w:tcW w:w="729" w:type="dxa"/>
                                </w:tcPr>
                                <w:p>
                                  <w:pPr>
                                    <w:pStyle w:val="21"/>
                                    <w:rPr>
                                      <w:rFonts w:ascii="Times New Roman"/>
                                    </w:rPr>
                                  </w:pPr>
                                </w:p>
                              </w:tc>
                            </w:tr>
                          </w:tbl>
                          <w:p>
                            <w:pPr>
                              <w:pStyle w:val="2"/>
                            </w:pPr>
                          </w:p>
                        </w:txbxContent>
                      </wps:txbx>
                      <wps:bodyPr lIns="0" tIns="0" rIns="0" bIns="0" upright="1"/>
                    </wps:wsp>
                  </a:graphicData>
                </a:graphic>
              </wp:anchor>
            </w:drawing>
          </mc:Choice>
          <mc:Fallback>
            <w:pict>
              <v:shape id="文本框 91" o:spid="_x0000_s1026" o:spt="202" type="#_x0000_t202" style="position:absolute;left:0pt;margin-left:58.8pt;margin-top:43.25pt;height:176.1pt;width:483.8pt;mso-position-horizontal-relative:page;z-index:251660288;mso-width-relative:page;mso-height-relative:page;" filled="f" stroked="f" coordsize="21600,21600" o:gfxdata="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20R9oAAAALAQAADwAAAAAAAAABACAAAAAiAAAAZHJzL2Rvd25yZXYueG1s&#10;UEsBAhQAFAAAAAgAh07iQMGIB1y9AQAAdAMAAA4AAAAAAAAAAQAgAAAAKQEAAGRycy9lMm9Eb2Mu&#10;eG1sUEsFBgAAAAAGAAYAWQEAAFgFA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1755"/>
                        <w:gridCol w:w="930"/>
                        <w:gridCol w:w="2635"/>
                        <w:gridCol w:w="1835"/>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119" w:type="dxa"/>
                          </w:tcPr>
                          <w:p>
                            <w:pPr>
                              <w:pStyle w:val="21"/>
                              <w:spacing w:before="11"/>
                              <w:rPr>
                                <w:sz w:val="25"/>
                              </w:rPr>
                            </w:pPr>
                          </w:p>
                          <w:p>
                            <w:pPr>
                              <w:pStyle w:val="21"/>
                              <w:spacing w:before="1"/>
                              <w:ind w:left="318"/>
                              <w:rPr>
                                <w:rFonts w:ascii="Microsoft JhengHei" w:eastAsia="Microsoft JhengHei"/>
                                <w:b/>
                                <w:sz w:val="24"/>
                              </w:rPr>
                            </w:pPr>
                            <w:r>
                              <w:rPr>
                                <w:rFonts w:hint="eastAsia" w:ascii="Microsoft JhengHei" w:eastAsia="Microsoft JhengHei"/>
                                <w:b/>
                                <w:sz w:val="24"/>
                              </w:rPr>
                              <w:t>包号</w:t>
                            </w:r>
                          </w:p>
                        </w:tc>
                        <w:tc>
                          <w:tcPr>
                            <w:tcW w:w="1755" w:type="dxa"/>
                          </w:tcPr>
                          <w:p>
                            <w:pPr>
                              <w:pStyle w:val="21"/>
                              <w:spacing w:before="11"/>
                              <w:rPr>
                                <w:sz w:val="25"/>
                              </w:rPr>
                            </w:pPr>
                          </w:p>
                          <w:p>
                            <w:pPr>
                              <w:pStyle w:val="21"/>
                              <w:spacing w:before="1"/>
                              <w:ind w:left="376" w:right="367"/>
                              <w:jc w:val="center"/>
                              <w:rPr>
                                <w:rFonts w:ascii="Microsoft JhengHei" w:eastAsia="Microsoft JhengHei"/>
                                <w:b/>
                                <w:sz w:val="24"/>
                              </w:rPr>
                            </w:pPr>
                            <w:r>
                              <w:rPr>
                                <w:rFonts w:hint="eastAsia" w:ascii="Microsoft JhengHei" w:eastAsia="Microsoft JhengHei"/>
                                <w:b/>
                                <w:sz w:val="24"/>
                              </w:rPr>
                              <w:t>项目内容</w:t>
                            </w:r>
                          </w:p>
                        </w:tc>
                        <w:tc>
                          <w:tcPr>
                            <w:tcW w:w="930" w:type="dxa"/>
                          </w:tcPr>
                          <w:p>
                            <w:pPr>
                              <w:pStyle w:val="21"/>
                              <w:spacing w:before="11"/>
                              <w:rPr>
                                <w:sz w:val="25"/>
                              </w:rPr>
                            </w:pPr>
                          </w:p>
                          <w:p>
                            <w:pPr>
                              <w:pStyle w:val="21"/>
                              <w:spacing w:before="1"/>
                              <w:ind w:right="213"/>
                              <w:jc w:val="right"/>
                              <w:rPr>
                                <w:rFonts w:ascii="Microsoft JhengHei" w:eastAsia="Microsoft JhengHei"/>
                                <w:b/>
                                <w:sz w:val="24"/>
                              </w:rPr>
                            </w:pPr>
                            <w:r>
                              <w:rPr>
                                <w:rFonts w:hint="eastAsia" w:ascii="Microsoft JhengHei" w:eastAsia="Microsoft JhengHei"/>
                                <w:b/>
                                <w:sz w:val="24"/>
                              </w:rPr>
                              <w:t>数量</w:t>
                            </w:r>
                          </w:p>
                        </w:tc>
                        <w:tc>
                          <w:tcPr>
                            <w:tcW w:w="2635" w:type="dxa"/>
                          </w:tcPr>
                          <w:p>
                            <w:pPr>
                              <w:pStyle w:val="21"/>
                              <w:spacing w:before="102"/>
                              <w:ind w:left="543" w:right="534"/>
                              <w:jc w:val="center"/>
                              <w:rPr>
                                <w:rFonts w:ascii="Microsoft JhengHei" w:eastAsia="Microsoft JhengHei"/>
                                <w:b/>
                                <w:sz w:val="24"/>
                              </w:rPr>
                            </w:pPr>
                            <w:r>
                              <w:rPr>
                                <w:rFonts w:hint="eastAsia" w:ascii="Microsoft JhengHei" w:eastAsia="Microsoft JhengHei"/>
                                <w:b/>
                                <w:sz w:val="24"/>
                              </w:rPr>
                              <w:t>投标报价</w:t>
                            </w:r>
                          </w:p>
                          <w:p>
                            <w:pPr>
                              <w:pStyle w:val="21"/>
                              <w:spacing w:before="19"/>
                              <w:ind w:left="543" w:right="534"/>
                              <w:jc w:val="center"/>
                              <w:rPr>
                                <w:rFonts w:ascii="Microsoft JhengHei" w:eastAsia="Microsoft JhengHei"/>
                                <w:b/>
                                <w:sz w:val="24"/>
                              </w:rPr>
                            </w:pPr>
                            <w:r>
                              <w:rPr>
                                <w:rFonts w:hint="eastAsia" w:ascii="Microsoft JhengHei" w:eastAsia="Microsoft JhengHei"/>
                                <w:b/>
                                <w:sz w:val="24"/>
                              </w:rPr>
                              <w:t>（人民币</w:t>
                            </w:r>
                            <w:r>
                              <w:rPr>
                                <w:rFonts w:ascii="Times New Roman" w:eastAsia="Times New Roman"/>
                                <w:b/>
                                <w:sz w:val="24"/>
                              </w:rPr>
                              <w:t>/</w:t>
                            </w:r>
                            <w:r>
                              <w:rPr>
                                <w:rFonts w:hint="eastAsia" w:ascii="Microsoft JhengHei" w:eastAsia="Microsoft JhengHei"/>
                                <w:b/>
                                <w:sz w:val="24"/>
                              </w:rPr>
                              <w:t>元）</w:t>
                            </w:r>
                          </w:p>
                        </w:tc>
                        <w:tc>
                          <w:tcPr>
                            <w:tcW w:w="1835" w:type="dxa"/>
                          </w:tcPr>
                          <w:p>
                            <w:pPr>
                              <w:pStyle w:val="21"/>
                              <w:spacing w:before="102"/>
                              <w:ind w:left="177" w:right="168"/>
                              <w:jc w:val="center"/>
                              <w:rPr>
                                <w:rFonts w:ascii="Microsoft JhengHei" w:eastAsia="Microsoft JhengHei"/>
                                <w:b/>
                                <w:sz w:val="24"/>
                              </w:rPr>
                            </w:pPr>
                            <w:r>
                              <w:rPr>
                                <w:rFonts w:hint="eastAsia" w:ascii="Microsoft JhengHei" w:eastAsia="Microsoft JhengHei"/>
                                <w:b/>
                                <w:sz w:val="24"/>
                              </w:rPr>
                              <w:t>合同履行期限</w:t>
                            </w:r>
                          </w:p>
                          <w:p>
                            <w:pPr>
                              <w:pStyle w:val="21"/>
                              <w:spacing w:before="19"/>
                              <w:ind w:left="177" w:right="168"/>
                              <w:jc w:val="center"/>
                              <w:rPr>
                                <w:rFonts w:ascii="Microsoft JhengHei" w:eastAsia="Microsoft JhengHei"/>
                                <w:b/>
                                <w:sz w:val="24"/>
                              </w:rPr>
                            </w:pPr>
                            <w:r>
                              <w:rPr>
                                <w:rFonts w:hint="eastAsia" w:ascii="Microsoft JhengHei" w:eastAsia="Microsoft JhengHei"/>
                                <w:b/>
                                <w:sz w:val="24"/>
                              </w:rPr>
                              <w:t>（交货期）</w:t>
                            </w:r>
                          </w:p>
                        </w:tc>
                        <w:tc>
                          <w:tcPr>
                            <w:tcW w:w="729" w:type="dxa"/>
                          </w:tcPr>
                          <w:p>
                            <w:pPr>
                              <w:pStyle w:val="21"/>
                              <w:spacing w:before="11"/>
                              <w:rPr>
                                <w:sz w:val="25"/>
                              </w:rPr>
                            </w:pPr>
                          </w:p>
                          <w:p>
                            <w:pPr>
                              <w:pStyle w:val="21"/>
                              <w:spacing w:before="1"/>
                              <w:ind w:left="123"/>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trPr>
                        <w:tc>
                          <w:tcPr>
                            <w:tcW w:w="1119" w:type="dxa"/>
                          </w:tcPr>
                          <w:p>
                            <w:pPr>
                              <w:pStyle w:val="21"/>
                              <w:rPr>
                                <w:rFonts w:ascii="Times New Roman"/>
                              </w:rPr>
                            </w:pPr>
                          </w:p>
                        </w:tc>
                        <w:tc>
                          <w:tcPr>
                            <w:tcW w:w="1755" w:type="dxa"/>
                          </w:tcPr>
                          <w:p>
                            <w:pPr>
                              <w:pStyle w:val="21"/>
                              <w:rPr>
                                <w:sz w:val="24"/>
                              </w:rPr>
                            </w:pPr>
                          </w:p>
                          <w:p>
                            <w:pPr>
                              <w:pStyle w:val="21"/>
                              <w:rPr>
                                <w:sz w:val="24"/>
                              </w:rPr>
                            </w:pPr>
                          </w:p>
                          <w:p>
                            <w:pPr>
                              <w:pStyle w:val="21"/>
                              <w:spacing w:before="9"/>
                              <w:rPr>
                                <w:sz w:val="29"/>
                              </w:rPr>
                            </w:pPr>
                          </w:p>
                          <w:p>
                            <w:pPr>
                              <w:pStyle w:val="21"/>
                              <w:ind w:left="377" w:right="367"/>
                              <w:jc w:val="center"/>
                              <w:rPr>
                                <w:sz w:val="24"/>
                              </w:rPr>
                            </w:pPr>
                          </w:p>
                        </w:tc>
                        <w:tc>
                          <w:tcPr>
                            <w:tcW w:w="930" w:type="dxa"/>
                          </w:tcPr>
                          <w:p>
                            <w:pPr>
                              <w:pStyle w:val="21"/>
                              <w:rPr>
                                <w:sz w:val="24"/>
                              </w:rPr>
                            </w:pPr>
                          </w:p>
                          <w:p>
                            <w:pPr>
                              <w:pStyle w:val="21"/>
                              <w:rPr>
                                <w:sz w:val="24"/>
                              </w:rPr>
                            </w:pPr>
                          </w:p>
                          <w:p>
                            <w:pPr>
                              <w:pStyle w:val="21"/>
                              <w:spacing w:before="9"/>
                              <w:rPr>
                                <w:sz w:val="29"/>
                              </w:rPr>
                            </w:pPr>
                          </w:p>
                          <w:p>
                            <w:pPr>
                              <w:pStyle w:val="21"/>
                              <w:ind w:right="273"/>
                              <w:jc w:val="right"/>
                              <w:rPr>
                                <w:sz w:val="24"/>
                              </w:rPr>
                            </w:pPr>
                          </w:p>
                        </w:tc>
                        <w:tc>
                          <w:tcPr>
                            <w:tcW w:w="2635" w:type="dxa"/>
                          </w:tcPr>
                          <w:p>
                            <w:pPr>
                              <w:pStyle w:val="21"/>
                              <w:spacing w:before="40" w:line="920" w:lineRule="exact"/>
                              <w:ind w:left="107" w:right="1795"/>
                              <w:rPr>
                                <w:sz w:val="24"/>
                              </w:rPr>
                            </w:pPr>
                            <w:r>
                              <w:rPr>
                                <w:sz w:val="24"/>
                              </w:rPr>
                              <w:t>大写： 小写：</w:t>
                            </w:r>
                          </w:p>
                        </w:tc>
                        <w:tc>
                          <w:tcPr>
                            <w:tcW w:w="1835" w:type="dxa"/>
                          </w:tcPr>
                          <w:p>
                            <w:pPr>
                              <w:pStyle w:val="21"/>
                              <w:rPr>
                                <w:rFonts w:ascii="Times New Roman"/>
                              </w:rPr>
                            </w:pPr>
                          </w:p>
                        </w:tc>
                        <w:tc>
                          <w:tcPr>
                            <w:tcW w:w="729" w:type="dxa"/>
                          </w:tcPr>
                          <w:p>
                            <w:pPr>
                              <w:pStyle w:val="21"/>
                              <w:rPr>
                                <w:rFonts w:ascii="Times New Roman"/>
                              </w:rPr>
                            </w:pPr>
                          </w:p>
                        </w:tc>
                      </w:tr>
                    </w:tbl>
                    <w:p>
                      <w:pPr>
                        <w:pStyle w:val="2"/>
                      </w:pPr>
                    </w:p>
                  </w:txbxContent>
                </v:textbox>
              </v:shape>
            </w:pict>
          </mc:Fallback>
        </mc:AlternateContent>
      </w:r>
      <w:r>
        <w:t>项目编号</w:t>
      </w:r>
      <w:r>
        <w:rPr>
          <w:rFonts w:ascii="Times New Roman" w:eastAsia="Times New Roman"/>
        </w:rPr>
        <w:t>/</w:t>
      </w:r>
      <w:r>
        <w:t>包号： 项目名称：</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0"/>
        <w:rPr>
          <w:sz w:val="21"/>
        </w:rPr>
      </w:pPr>
    </w:p>
    <w:p>
      <w:pPr>
        <w:pStyle w:val="2"/>
        <w:ind w:left="453"/>
      </w:pPr>
      <w:r>
        <w:t>注：</w:t>
      </w:r>
      <w:r>
        <w:rPr>
          <w:rFonts w:ascii="Times New Roman" w:eastAsia="Times New Roman"/>
        </w:rPr>
        <w:t xml:space="preserve">1. </w:t>
      </w:r>
      <w:r>
        <w:t>投标报价应是最终用户验收合格后的总价，包含完成本项目的全部费用。</w:t>
      </w:r>
    </w:p>
    <w:p>
      <w:pPr>
        <w:pStyle w:val="20"/>
        <w:numPr>
          <w:ilvl w:val="0"/>
          <w:numId w:val="13"/>
        </w:numPr>
        <w:tabs>
          <w:tab w:val="left" w:pos="1115"/>
        </w:tabs>
        <w:spacing w:before="153" w:line="360" w:lineRule="auto"/>
        <w:ind w:left="693" w:right="1432" w:firstLine="240"/>
        <w:rPr>
          <w:sz w:val="24"/>
        </w:rPr>
      </w:pPr>
      <w:r>
        <w:rPr>
          <w:sz w:val="24"/>
        </w:rPr>
        <w:t>“开标一览表”为多页的，每页均需由法定代表人或授权代表签字并盖投标人印章。</w:t>
      </w:r>
    </w:p>
    <w:p>
      <w:pPr>
        <w:pStyle w:val="20"/>
        <w:numPr>
          <w:ilvl w:val="0"/>
          <w:numId w:val="13"/>
        </w:numPr>
        <w:tabs>
          <w:tab w:val="left" w:pos="1295"/>
        </w:tabs>
        <w:spacing w:line="253" w:lineRule="exact"/>
        <w:ind w:left="1295" w:hanging="362"/>
        <w:rPr>
          <w:sz w:val="24"/>
        </w:rPr>
      </w:pPr>
      <w:r>
        <w:rPr>
          <w:sz w:val="24"/>
        </w:rPr>
        <w:t>“开标一览表”以包为单位填写。</w:t>
      </w:r>
    </w:p>
    <w:p>
      <w:pPr>
        <w:pStyle w:val="2"/>
        <w:rPr>
          <w:sz w:val="26"/>
        </w:rPr>
      </w:pPr>
    </w:p>
    <w:p>
      <w:pPr>
        <w:pStyle w:val="2"/>
        <w:rPr>
          <w:sz w:val="26"/>
        </w:rPr>
      </w:pPr>
    </w:p>
    <w:p>
      <w:pPr>
        <w:pStyle w:val="2"/>
        <w:rPr>
          <w:sz w:val="26"/>
        </w:rPr>
      </w:pPr>
    </w:p>
    <w:p>
      <w:pPr>
        <w:pStyle w:val="2"/>
        <w:spacing w:before="12"/>
        <w:rPr>
          <w:sz w:val="35"/>
        </w:rPr>
      </w:pPr>
    </w:p>
    <w:p>
      <w:pPr>
        <w:pStyle w:val="2"/>
        <w:tabs>
          <w:tab w:val="left" w:pos="1893"/>
          <w:tab w:val="left" w:pos="2493"/>
          <w:tab w:val="left" w:pos="3093"/>
          <w:tab w:val="left" w:pos="3213"/>
        </w:tabs>
        <w:spacing w:line="484" w:lineRule="auto"/>
        <w:ind w:left="813" w:right="6312"/>
      </w:pPr>
      <w:r>
        <w:t>投标人名称：</w:t>
      </w:r>
      <w:r>
        <w:tab/>
      </w:r>
      <w:r>
        <w:tab/>
      </w:r>
      <w:r>
        <w:tab/>
      </w:r>
      <w:r>
        <w:t>（盖章） 法定代表人或授权代表（签字</w:t>
      </w:r>
      <w:r>
        <w:rPr>
          <w:spacing w:val="-9"/>
        </w:rPr>
        <w:t xml:space="preserve">）： </w:t>
      </w:r>
      <w:r>
        <w:t>日期：</w:t>
      </w:r>
      <w:r>
        <w:tab/>
      </w:r>
      <w:r>
        <w:t>年</w:t>
      </w:r>
      <w:r>
        <w:tab/>
      </w:r>
      <w:r>
        <w:t>月</w:t>
      </w:r>
      <w:r>
        <w:tab/>
      </w:r>
      <w:r>
        <w:t>日</w:t>
      </w:r>
    </w:p>
    <w:p>
      <w:pPr>
        <w:spacing w:line="484" w:lineRule="auto"/>
        <w:sectPr>
          <w:headerReference r:id="rId9" w:type="default"/>
          <w:pgSz w:w="11910" w:h="16840"/>
          <w:pgMar w:top="1360" w:right="40" w:bottom="1180" w:left="1140" w:header="884" w:footer="990" w:gutter="0"/>
          <w:cols w:space="720" w:num="1"/>
        </w:sectPr>
      </w:pPr>
    </w:p>
    <w:p>
      <w:pPr>
        <w:pStyle w:val="6"/>
        <w:ind w:right="934"/>
      </w:pPr>
      <w:r>
        <w:t>七、分项报价明细表</w:t>
      </w:r>
    </w:p>
    <w:p>
      <w:pPr>
        <w:pStyle w:val="2"/>
        <w:spacing w:before="11"/>
        <w:rPr>
          <w:rFonts w:ascii="Microsoft JhengHei"/>
          <w:b/>
          <w:sz w:val="13"/>
        </w:rPr>
      </w:pPr>
    </w:p>
    <w:p>
      <w:pPr>
        <w:pStyle w:val="2"/>
        <w:spacing w:before="74" w:line="364" w:lineRule="auto"/>
        <w:ind w:left="573" w:right="8404"/>
      </w:pPr>
      <w:r>
        <w:t>项目编号</w:t>
      </w:r>
      <w:r>
        <w:rPr>
          <w:rFonts w:ascii="Times New Roman" w:eastAsia="Times New Roman"/>
        </w:rPr>
        <w:t>/</w:t>
      </w:r>
      <w:r>
        <w:t>包号： 项目名称：</w:t>
      </w:r>
    </w:p>
    <w:tbl>
      <w:tblPr>
        <w:tblStyle w:val="17"/>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330"/>
        <w:gridCol w:w="1140"/>
        <w:gridCol w:w="1244"/>
        <w:gridCol w:w="829"/>
        <w:gridCol w:w="829"/>
        <w:gridCol w:w="829"/>
        <w:gridCol w:w="932"/>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95" w:type="dxa"/>
          </w:tcPr>
          <w:p>
            <w:pPr>
              <w:pStyle w:val="21"/>
              <w:spacing w:before="94"/>
              <w:ind w:left="177"/>
            </w:pPr>
            <w:r>
              <w:t>序号</w:t>
            </w:r>
          </w:p>
        </w:tc>
        <w:tc>
          <w:tcPr>
            <w:tcW w:w="1330" w:type="dxa"/>
          </w:tcPr>
          <w:p>
            <w:pPr>
              <w:pStyle w:val="21"/>
              <w:spacing w:before="94"/>
              <w:ind w:left="225"/>
            </w:pPr>
            <w:r>
              <w:t>产品名称</w:t>
            </w:r>
          </w:p>
        </w:tc>
        <w:tc>
          <w:tcPr>
            <w:tcW w:w="1140" w:type="dxa"/>
          </w:tcPr>
          <w:p>
            <w:pPr>
              <w:pStyle w:val="21"/>
              <w:spacing w:before="94"/>
              <w:ind w:left="350"/>
            </w:pPr>
            <w:r>
              <w:t>品牌</w:t>
            </w:r>
          </w:p>
        </w:tc>
        <w:tc>
          <w:tcPr>
            <w:tcW w:w="1244" w:type="dxa"/>
          </w:tcPr>
          <w:p>
            <w:pPr>
              <w:pStyle w:val="21"/>
              <w:spacing w:before="94"/>
              <w:ind w:left="151"/>
            </w:pPr>
            <w:r>
              <w:t>规格</w:t>
            </w:r>
            <w:r>
              <w:rPr>
                <w:rFonts w:ascii="Times New Roman" w:eastAsia="Times New Roman"/>
              </w:rPr>
              <w:t>/</w:t>
            </w:r>
            <w:r>
              <w:t>型号</w:t>
            </w:r>
          </w:p>
        </w:tc>
        <w:tc>
          <w:tcPr>
            <w:tcW w:w="829" w:type="dxa"/>
          </w:tcPr>
          <w:p>
            <w:pPr>
              <w:pStyle w:val="21"/>
              <w:spacing w:before="94"/>
              <w:ind w:left="194"/>
            </w:pPr>
            <w:r>
              <w:t>单位</w:t>
            </w:r>
          </w:p>
        </w:tc>
        <w:tc>
          <w:tcPr>
            <w:tcW w:w="829" w:type="dxa"/>
          </w:tcPr>
          <w:p>
            <w:pPr>
              <w:pStyle w:val="21"/>
              <w:spacing w:before="94"/>
              <w:ind w:left="194"/>
            </w:pPr>
            <w:r>
              <w:t>数量</w:t>
            </w:r>
          </w:p>
        </w:tc>
        <w:tc>
          <w:tcPr>
            <w:tcW w:w="829" w:type="dxa"/>
          </w:tcPr>
          <w:p>
            <w:pPr>
              <w:pStyle w:val="21"/>
              <w:spacing w:before="94"/>
              <w:ind w:left="194"/>
            </w:pPr>
            <w:r>
              <w:t>单价</w:t>
            </w:r>
          </w:p>
        </w:tc>
        <w:tc>
          <w:tcPr>
            <w:tcW w:w="932" w:type="dxa"/>
          </w:tcPr>
          <w:p>
            <w:pPr>
              <w:pStyle w:val="21"/>
              <w:spacing w:before="94"/>
              <w:ind w:left="245"/>
            </w:pPr>
            <w:r>
              <w:t>金额</w:t>
            </w:r>
          </w:p>
        </w:tc>
        <w:tc>
          <w:tcPr>
            <w:tcW w:w="1227" w:type="dxa"/>
          </w:tcPr>
          <w:p>
            <w:pPr>
              <w:pStyle w:val="21"/>
              <w:spacing w:before="94"/>
              <w:ind w:left="448"/>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1"/>
              <w:rPr>
                <w:rFonts w:ascii="Times New Roman"/>
              </w:rPr>
            </w:pPr>
          </w:p>
        </w:tc>
        <w:tc>
          <w:tcPr>
            <w:tcW w:w="1330" w:type="dxa"/>
          </w:tcPr>
          <w:p>
            <w:pPr>
              <w:pStyle w:val="21"/>
              <w:rPr>
                <w:rFonts w:ascii="Times New Roman"/>
              </w:rPr>
            </w:pPr>
          </w:p>
        </w:tc>
        <w:tc>
          <w:tcPr>
            <w:tcW w:w="1140" w:type="dxa"/>
          </w:tcPr>
          <w:p>
            <w:pPr>
              <w:pStyle w:val="21"/>
              <w:rPr>
                <w:rFonts w:ascii="Times New Roman"/>
              </w:rPr>
            </w:pPr>
          </w:p>
        </w:tc>
        <w:tc>
          <w:tcPr>
            <w:tcW w:w="1244"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829" w:type="dxa"/>
          </w:tcPr>
          <w:p>
            <w:pPr>
              <w:pStyle w:val="21"/>
              <w:rPr>
                <w:rFonts w:ascii="Times New Roman"/>
              </w:rPr>
            </w:pPr>
          </w:p>
        </w:tc>
        <w:tc>
          <w:tcPr>
            <w:tcW w:w="932" w:type="dxa"/>
          </w:tcPr>
          <w:p>
            <w:pPr>
              <w:pStyle w:val="21"/>
              <w:rPr>
                <w:rFonts w:ascii="Times New Roman"/>
              </w:rPr>
            </w:pPr>
          </w:p>
        </w:tc>
        <w:tc>
          <w:tcPr>
            <w:tcW w:w="122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9155" w:type="dxa"/>
            <w:gridSpan w:val="9"/>
          </w:tcPr>
          <w:p>
            <w:pPr>
              <w:pStyle w:val="21"/>
              <w:spacing w:before="109"/>
              <w:ind w:left="108"/>
              <w:rPr>
                <w:rFonts w:ascii="Times New Roman" w:eastAsia="Times New Roman"/>
                <w:sz w:val="24"/>
              </w:rPr>
            </w:pPr>
            <w:r>
              <w:rPr>
                <w:sz w:val="24"/>
              </w:rPr>
              <w:t>分项报价合计（人民币</w:t>
            </w:r>
            <w:r>
              <w:rPr>
                <w:rFonts w:ascii="Times New Roman" w:eastAsia="Times New Roman"/>
                <w:sz w:val="24"/>
              </w:rPr>
              <w:t>/</w:t>
            </w:r>
            <w:r>
              <w:rPr>
                <w:sz w:val="24"/>
              </w:rPr>
              <w:t>元）</w:t>
            </w:r>
            <w:r>
              <w:rPr>
                <w:rFonts w:ascii="Times New Roman" w:eastAsia="Times New Roman"/>
                <w:sz w:val="24"/>
              </w:rPr>
              <w:t>:</w:t>
            </w:r>
          </w:p>
        </w:tc>
      </w:tr>
    </w:tbl>
    <w:p>
      <w:pPr>
        <w:pStyle w:val="2"/>
        <w:spacing w:before="3"/>
        <w:rPr>
          <w:sz w:val="32"/>
        </w:rPr>
      </w:pPr>
    </w:p>
    <w:p>
      <w:pPr>
        <w:pStyle w:val="2"/>
        <w:spacing w:line="364" w:lineRule="auto"/>
        <w:ind w:left="1173" w:right="1432" w:hanging="840"/>
        <w:jc w:val="both"/>
      </w:pPr>
      <w:r>
        <w:t>注：</w:t>
      </w:r>
      <w:r>
        <w:rPr>
          <w:rFonts w:ascii="Times New Roman" w:hAnsi="Times New Roman" w:eastAsia="Times New Roman"/>
        </w:rPr>
        <w:t>1</w:t>
      </w:r>
      <w:r>
        <w:rPr>
          <w:spacing w:val="-4"/>
        </w:rPr>
        <w:t>、投标人必须按“分项报价明细表”的格式详细报出投标总价的各个组成部分的</w:t>
      </w:r>
      <w:r>
        <w:rPr>
          <w:spacing w:val="-7"/>
        </w:rPr>
        <w:t>报价，报价含设计、货物供应、安装、调试、培训、验收、技术服务，保质期</w:t>
      </w:r>
      <w:r>
        <w:t>保障、税费等涉及的全部费用，否则作无效投标处理。</w:t>
      </w:r>
    </w:p>
    <w:p>
      <w:pPr>
        <w:pStyle w:val="2"/>
        <w:spacing w:line="306" w:lineRule="exact"/>
        <w:ind w:left="813"/>
      </w:pPr>
      <w:r>
        <w:rPr>
          <w:rFonts w:ascii="Times New Roman" w:hAnsi="Times New Roman" w:eastAsia="Times New Roman"/>
        </w:rPr>
        <w:t>2</w:t>
      </w:r>
      <w:r>
        <w:t>、“分项报价明细表”各分项报价合计应当与“开标一览表”报价合计相等。</w:t>
      </w:r>
    </w:p>
    <w:p>
      <w:pPr>
        <w:pStyle w:val="2"/>
        <w:rPr>
          <w:sz w:val="26"/>
        </w:rPr>
      </w:pPr>
    </w:p>
    <w:p>
      <w:pPr>
        <w:pStyle w:val="2"/>
        <w:rPr>
          <w:sz w:val="26"/>
        </w:rPr>
      </w:pPr>
    </w:p>
    <w:p>
      <w:pPr>
        <w:pStyle w:val="2"/>
        <w:spacing w:before="6"/>
        <w:rPr>
          <w:sz w:val="30"/>
        </w:rPr>
      </w:pPr>
    </w:p>
    <w:p>
      <w:pPr>
        <w:pStyle w:val="2"/>
        <w:tabs>
          <w:tab w:val="left" w:pos="1893"/>
          <w:tab w:val="left" w:pos="2493"/>
          <w:tab w:val="left" w:pos="3093"/>
          <w:tab w:val="left" w:pos="3213"/>
        </w:tabs>
        <w:spacing w:line="686" w:lineRule="auto"/>
        <w:ind w:left="813" w:right="6312"/>
      </w:pPr>
      <w:r>
        <w:t>投标人名称：</w:t>
      </w:r>
      <w:r>
        <w:tab/>
      </w:r>
      <w:r>
        <w:tab/>
      </w:r>
      <w:r>
        <w:tab/>
      </w:r>
      <w:r>
        <w:t>（盖章） 法定代表人或授权代表（签字</w:t>
      </w:r>
      <w:r>
        <w:rPr>
          <w:spacing w:val="-9"/>
        </w:rPr>
        <w:t xml:space="preserve">）： </w:t>
      </w:r>
      <w:r>
        <w:t>日期：</w:t>
      </w:r>
      <w:r>
        <w:tab/>
      </w:r>
      <w:r>
        <w:t>年</w:t>
      </w:r>
      <w:r>
        <w:tab/>
      </w:r>
      <w:r>
        <w:t>月</w:t>
      </w:r>
      <w:r>
        <w:tab/>
      </w:r>
      <w:r>
        <w:t>日</w:t>
      </w:r>
    </w:p>
    <w:p>
      <w:pPr>
        <w:spacing w:line="686" w:lineRule="auto"/>
        <w:sectPr>
          <w:pgSz w:w="11910" w:h="16840"/>
          <w:pgMar w:top="1360" w:right="40" w:bottom="1180" w:left="1140" w:header="884" w:footer="990" w:gutter="0"/>
          <w:cols w:space="720" w:num="1"/>
        </w:sectPr>
      </w:pPr>
    </w:p>
    <w:p>
      <w:pPr>
        <w:pStyle w:val="6"/>
        <w:ind w:left="3458" w:right="0"/>
        <w:jc w:val="left"/>
      </w:pPr>
      <w:bookmarkStart w:id="41" w:name="_bookmark11"/>
      <w:bookmarkEnd w:id="41"/>
      <w:r>
        <w:t>八、采购需求响应表</w:t>
      </w:r>
    </w:p>
    <w:p>
      <w:pPr>
        <w:pStyle w:val="2"/>
        <w:spacing w:before="7"/>
        <w:rPr>
          <w:rFonts w:ascii="Microsoft JhengHei"/>
          <w:b/>
          <w:sz w:val="10"/>
        </w:rPr>
      </w:pPr>
    </w:p>
    <w:p>
      <w:pPr>
        <w:pStyle w:val="2"/>
        <w:spacing w:before="74" w:line="364" w:lineRule="auto"/>
        <w:ind w:left="333" w:right="8644"/>
      </w:pPr>
      <w:r>
        <w:t>项目编号</w:t>
      </w:r>
      <w:r>
        <w:rPr>
          <w:rFonts w:ascii="Times New Roman" w:eastAsia="Times New Roman"/>
        </w:rPr>
        <w:t>/</w:t>
      </w:r>
      <w:r>
        <w:t>包号： 项目名称：</w:t>
      </w:r>
    </w:p>
    <w:tbl>
      <w:tblPr>
        <w:tblStyle w:val="17"/>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3014"/>
        <w:gridCol w:w="2269"/>
        <w:gridCol w:w="1833"/>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2" w:type="dxa"/>
          </w:tcPr>
          <w:p>
            <w:pPr>
              <w:pStyle w:val="21"/>
              <w:spacing w:before="158"/>
              <w:ind w:left="225"/>
              <w:rPr>
                <w:rFonts w:ascii="Microsoft JhengHei" w:eastAsia="Microsoft JhengHei"/>
                <w:b/>
                <w:sz w:val="24"/>
              </w:rPr>
            </w:pPr>
            <w:r>
              <w:rPr>
                <w:rFonts w:hint="eastAsia" w:ascii="Microsoft JhengHei" w:eastAsia="Microsoft JhengHei"/>
                <w:b/>
                <w:sz w:val="24"/>
              </w:rPr>
              <w:t>序号</w:t>
            </w:r>
          </w:p>
        </w:tc>
        <w:tc>
          <w:tcPr>
            <w:tcW w:w="3014" w:type="dxa"/>
          </w:tcPr>
          <w:p>
            <w:pPr>
              <w:pStyle w:val="21"/>
              <w:spacing w:before="158"/>
              <w:ind w:left="543"/>
              <w:rPr>
                <w:rFonts w:ascii="Microsoft JhengHei" w:eastAsia="Microsoft JhengHei"/>
                <w:b/>
                <w:sz w:val="24"/>
              </w:rPr>
            </w:pPr>
            <w:r>
              <w:rPr>
                <w:rFonts w:hint="eastAsia" w:ascii="Microsoft JhengHei" w:eastAsia="Microsoft JhengHei"/>
                <w:b/>
                <w:sz w:val="24"/>
              </w:rPr>
              <w:t>招标文件采购要求</w:t>
            </w:r>
          </w:p>
        </w:tc>
        <w:tc>
          <w:tcPr>
            <w:tcW w:w="2269" w:type="dxa"/>
          </w:tcPr>
          <w:p>
            <w:pPr>
              <w:pStyle w:val="21"/>
              <w:spacing w:before="158"/>
              <w:ind w:left="170"/>
              <w:rPr>
                <w:rFonts w:ascii="Microsoft JhengHei" w:eastAsia="Microsoft JhengHei"/>
                <w:b/>
                <w:sz w:val="24"/>
              </w:rPr>
            </w:pPr>
            <w:r>
              <w:rPr>
                <w:rFonts w:hint="eastAsia" w:ascii="Microsoft JhengHei" w:eastAsia="Microsoft JhengHei"/>
                <w:b/>
                <w:sz w:val="24"/>
              </w:rPr>
              <w:t>投标文件响应情况</w:t>
            </w:r>
          </w:p>
        </w:tc>
        <w:tc>
          <w:tcPr>
            <w:tcW w:w="1833" w:type="dxa"/>
          </w:tcPr>
          <w:p>
            <w:pPr>
              <w:pStyle w:val="21"/>
              <w:spacing w:before="158"/>
              <w:ind w:left="401"/>
              <w:rPr>
                <w:rFonts w:ascii="Microsoft JhengHei" w:eastAsia="Microsoft JhengHei"/>
                <w:b/>
                <w:sz w:val="24"/>
              </w:rPr>
            </w:pPr>
            <w:r>
              <w:rPr>
                <w:rFonts w:hint="eastAsia" w:ascii="Microsoft JhengHei" w:eastAsia="Microsoft JhengHei"/>
                <w:b/>
                <w:sz w:val="24"/>
              </w:rPr>
              <w:t>偏离</w:t>
            </w:r>
            <w:r>
              <w:rPr>
                <w:rFonts w:ascii="Times New Roman" w:eastAsia="Times New Roman"/>
                <w:b/>
                <w:sz w:val="24"/>
              </w:rPr>
              <w:t>/</w:t>
            </w:r>
            <w:r>
              <w:rPr>
                <w:rFonts w:hint="eastAsia" w:ascii="Microsoft JhengHei" w:eastAsia="Microsoft JhengHei"/>
                <w:b/>
                <w:sz w:val="24"/>
              </w:rPr>
              <w:t>响应</w:t>
            </w:r>
          </w:p>
        </w:tc>
        <w:tc>
          <w:tcPr>
            <w:tcW w:w="1012" w:type="dxa"/>
          </w:tcPr>
          <w:p>
            <w:pPr>
              <w:pStyle w:val="21"/>
              <w:spacing w:before="158"/>
              <w:ind w:left="265"/>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2" w:type="dxa"/>
          </w:tcPr>
          <w:p>
            <w:pPr>
              <w:pStyle w:val="21"/>
              <w:rPr>
                <w:rFonts w:ascii="Times New Roman"/>
              </w:rPr>
            </w:pPr>
          </w:p>
        </w:tc>
        <w:tc>
          <w:tcPr>
            <w:tcW w:w="3014" w:type="dxa"/>
          </w:tcPr>
          <w:p>
            <w:pPr>
              <w:pStyle w:val="21"/>
              <w:rPr>
                <w:rFonts w:ascii="Times New Roman"/>
              </w:rPr>
            </w:pPr>
          </w:p>
        </w:tc>
        <w:tc>
          <w:tcPr>
            <w:tcW w:w="2269" w:type="dxa"/>
          </w:tcPr>
          <w:p>
            <w:pPr>
              <w:pStyle w:val="21"/>
              <w:rPr>
                <w:rFonts w:ascii="Times New Roman"/>
              </w:rPr>
            </w:pPr>
          </w:p>
        </w:tc>
        <w:tc>
          <w:tcPr>
            <w:tcW w:w="1833" w:type="dxa"/>
          </w:tcPr>
          <w:p>
            <w:pPr>
              <w:pStyle w:val="21"/>
              <w:rPr>
                <w:rFonts w:ascii="Times New Roman"/>
              </w:rPr>
            </w:pPr>
          </w:p>
        </w:tc>
        <w:tc>
          <w:tcPr>
            <w:tcW w:w="1012" w:type="dxa"/>
          </w:tcPr>
          <w:p>
            <w:pPr>
              <w:pStyle w:val="21"/>
              <w:rPr>
                <w:rFonts w:ascii="Times New Roman"/>
              </w:rPr>
            </w:pPr>
          </w:p>
        </w:tc>
      </w:tr>
    </w:tbl>
    <w:p>
      <w:pPr>
        <w:pStyle w:val="2"/>
        <w:spacing w:before="3"/>
        <w:rPr>
          <w:sz w:val="32"/>
        </w:rPr>
      </w:pPr>
    </w:p>
    <w:p>
      <w:pPr>
        <w:pStyle w:val="2"/>
        <w:spacing w:line="364" w:lineRule="auto"/>
        <w:ind w:left="333" w:right="1365" w:firstLine="420"/>
      </w:pPr>
      <w:r>
        <w:t>注：</w:t>
      </w:r>
      <w:r>
        <w:rPr>
          <w:rFonts w:ascii="Times New Roman" w:hAnsi="Times New Roman" w:eastAsia="Times New Roman"/>
        </w:rPr>
        <w:t>1</w:t>
      </w:r>
      <w:r>
        <w:t>．按照采购需求逐条响应，完全响应在</w:t>
      </w:r>
      <w:r>
        <w:rPr>
          <w:rFonts w:ascii="Times New Roman" w:hAnsi="Times New Roman" w:eastAsia="Times New Roman"/>
        </w:rPr>
        <w:t>“</w:t>
      </w:r>
      <w:r>
        <w:t>投标文件响应情况</w:t>
      </w:r>
      <w:r>
        <w:rPr>
          <w:rFonts w:ascii="Times New Roman" w:hAnsi="Times New Roman" w:eastAsia="Times New Roman"/>
        </w:rPr>
        <w:t>”</w:t>
      </w:r>
      <w:r>
        <w:t>下打</w:t>
      </w:r>
      <w:r>
        <w:rPr>
          <w:rFonts w:ascii="Times New Roman" w:hAnsi="Times New Roman" w:eastAsia="Times New Roman"/>
        </w:rPr>
        <w:t>“√”</w:t>
      </w:r>
      <w:r>
        <w:t>，如有偏离如实填写，在</w:t>
      </w:r>
      <w:r>
        <w:rPr>
          <w:rFonts w:ascii="Times New Roman" w:hAnsi="Times New Roman" w:eastAsia="Times New Roman"/>
        </w:rPr>
        <w:t>“</w:t>
      </w:r>
      <w:r>
        <w:t>响应</w:t>
      </w:r>
      <w:r>
        <w:rPr>
          <w:rFonts w:ascii="Times New Roman" w:hAnsi="Times New Roman" w:eastAsia="Times New Roman"/>
        </w:rPr>
        <w:t>/</w:t>
      </w:r>
      <w:r>
        <w:t>偏离</w:t>
      </w:r>
      <w:r>
        <w:rPr>
          <w:rFonts w:ascii="Times New Roman" w:hAnsi="Times New Roman" w:eastAsia="Times New Roman"/>
        </w:rPr>
        <w:t>”</w:t>
      </w:r>
      <w:r>
        <w:t>处填</w:t>
      </w:r>
      <w:r>
        <w:rPr>
          <w:rFonts w:ascii="Times New Roman" w:hAnsi="Times New Roman" w:eastAsia="Times New Roman"/>
        </w:rPr>
        <w:t>“</w:t>
      </w:r>
      <w:r>
        <w:t>响应</w:t>
      </w:r>
      <w:r>
        <w:rPr>
          <w:rFonts w:ascii="Times New Roman" w:hAnsi="Times New Roman" w:eastAsia="Times New Roman"/>
        </w:rPr>
        <w:t>”</w:t>
      </w:r>
      <w:r>
        <w:t>或</w:t>
      </w:r>
      <w:r>
        <w:rPr>
          <w:rFonts w:ascii="Times New Roman" w:hAnsi="Times New Roman" w:eastAsia="Times New Roman"/>
        </w:rPr>
        <w:t>“</w:t>
      </w:r>
      <w:r>
        <w:t>偏离</w:t>
      </w:r>
      <w:r>
        <w:rPr>
          <w:rFonts w:ascii="Times New Roman" w:hAnsi="Times New Roman" w:eastAsia="Times New Roman"/>
        </w:rPr>
        <w:t>”</w:t>
      </w:r>
      <w:r>
        <w:t>。</w:t>
      </w:r>
    </w:p>
    <w:p>
      <w:pPr>
        <w:pStyle w:val="2"/>
        <w:spacing w:line="306" w:lineRule="exact"/>
        <w:ind w:left="813"/>
      </w:pPr>
      <w:r>
        <w:rPr>
          <w:rFonts w:ascii="Times New Roman" w:eastAsia="Times New Roman"/>
        </w:rPr>
        <w:t>2</w:t>
      </w:r>
      <w:r>
        <w:t>．投标人必须据实填写，不得虚假响应，否则将取消其报价或中选资格。</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tabs>
          <w:tab w:val="left" w:pos="3153"/>
        </w:tabs>
        <w:spacing w:before="231" w:line="364" w:lineRule="auto"/>
        <w:ind w:left="693" w:right="6372" w:firstLine="60"/>
        <w:rPr>
          <w:rFonts w:ascii="Times New Roman" w:eastAsia="Times New Roman"/>
        </w:rPr>
      </w:pPr>
      <w:r>
        <w:t>投标人名称：</w:t>
      </w:r>
      <w:r>
        <w:tab/>
      </w:r>
      <w:r>
        <w:t>（盖章） 法定代表人或授权代表（签字）： 日期</w:t>
      </w:r>
      <w:r>
        <w:rPr>
          <w:rFonts w:ascii="Times New Roman" w:eastAsia="Times New Roman"/>
        </w:rPr>
        <w:t>:</w:t>
      </w:r>
    </w:p>
    <w:p>
      <w:pPr>
        <w:spacing w:line="364" w:lineRule="auto"/>
        <w:rPr>
          <w:rFonts w:ascii="Times New Roman" w:eastAsia="Times New Roman"/>
        </w:rPr>
        <w:sectPr>
          <w:pgSz w:w="11910" w:h="16840"/>
          <w:pgMar w:top="1360" w:right="40" w:bottom="1180" w:left="1140" w:header="884" w:footer="990" w:gutter="0"/>
          <w:cols w:space="720" w:num="1"/>
        </w:sectPr>
      </w:pPr>
    </w:p>
    <w:p>
      <w:pPr>
        <w:pStyle w:val="6"/>
      </w:pPr>
      <w:bookmarkStart w:id="42" w:name="_bookmark12"/>
      <w:bookmarkEnd w:id="42"/>
      <w:r>
        <w:t>九、其他材料</w:t>
      </w:r>
    </w:p>
    <w:p>
      <w:pPr>
        <w:pStyle w:val="2"/>
        <w:spacing w:before="17"/>
        <w:rPr>
          <w:rFonts w:ascii="Microsoft JhengHei"/>
          <w:b/>
          <w:sz w:val="36"/>
        </w:rPr>
      </w:pPr>
    </w:p>
    <w:p>
      <w:pPr>
        <w:pStyle w:val="2"/>
        <w:spacing w:line="364" w:lineRule="auto"/>
        <w:ind w:left="333" w:right="1252" w:firstLine="480"/>
      </w:pPr>
      <w:r>
        <w:rPr>
          <w:spacing w:val="-12"/>
        </w:rPr>
        <w:t xml:space="preserve">投标人根据《招标文件 第五章》综合评分标准表要求认为需提供的其他说明材料， </w:t>
      </w:r>
      <w:r>
        <w:t>格式自定。</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tabs>
          <w:tab w:val="left" w:pos="3333"/>
        </w:tabs>
        <w:spacing w:before="165" w:line="364" w:lineRule="auto"/>
        <w:ind w:left="813" w:right="6252"/>
        <w:rPr>
          <w:rFonts w:ascii="Times New Roman" w:eastAsia="Times New Roman"/>
        </w:rPr>
      </w:pPr>
      <w:r>
        <w:t>投标人名称：</w:t>
      </w:r>
      <w:r>
        <w:tab/>
      </w:r>
      <w:r>
        <w:t>（盖章） 法定代表人或授权代表（签字）： 日期</w:t>
      </w:r>
      <w:r>
        <w:rPr>
          <w:rFonts w:ascii="Times New Roman" w:eastAsia="Times New Roman"/>
        </w:rPr>
        <w:t>:</w:t>
      </w:r>
    </w:p>
    <w:p>
      <w:pPr>
        <w:spacing w:line="364" w:lineRule="auto"/>
        <w:rPr>
          <w:rFonts w:ascii="Times New Roman" w:eastAsia="Times New Roman"/>
        </w:rPr>
        <w:sectPr>
          <w:pgSz w:w="11910" w:h="16840"/>
          <w:pgMar w:top="1360" w:right="40" w:bottom="1180" w:left="1140" w:header="884" w:footer="990" w:gutter="0"/>
          <w:cols w:space="720" w:num="1"/>
        </w:sectPr>
      </w:pPr>
    </w:p>
    <w:p>
      <w:pPr>
        <w:pStyle w:val="6"/>
      </w:pPr>
      <w:r>
        <w:t>十、中小企业声明函</w:t>
      </w:r>
    </w:p>
    <w:p>
      <w:pPr>
        <w:pStyle w:val="2"/>
        <w:spacing w:before="8"/>
        <w:rPr>
          <w:rFonts w:ascii="Microsoft JhengHei"/>
          <w:b/>
          <w:sz w:val="44"/>
        </w:rPr>
      </w:pPr>
    </w:p>
    <w:p>
      <w:pPr>
        <w:pStyle w:val="2"/>
        <w:spacing w:line="364" w:lineRule="auto"/>
        <w:ind w:left="333" w:right="1392"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 的具体情况如下：</w:t>
      </w:r>
    </w:p>
    <w:p>
      <w:pPr>
        <w:pStyle w:val="2"/>
        <w:spacing w:line="364" w:lineRule="auto"/>
        <w:ind w:left="333" w:right="1432"/>
        <w:jc w:val="both"/>
      </w:pPr>
      <w:r>
        <w:t xml:space="preserve">   </w:t>
      </w:r>
      <w:r>
        <w:rPr>
          <w:spacing w:val="3"/>
        </w:rPr>
        <w:t>1.</w:t>
      </w:r>
      <w:r>
        <w:rPr>
          <w:spacing w:val="3"/>
          <w:u w:val="single"/>
        </w:rPr>
        <w:t>（</w:t>
      </w:r>
      <w:r>
        <w:rPr>
          <w:spacing w:val="5"/>
          <w:u w:val="single"/>
        </w:rPr>
        <w:t>标的名称）</w:t>
      </w:r>
      <w:r>
        <w:rPr>
          <w:spacing w:val="5"/>
        </w:rPr>
        <w:t>，属于</w:t>
      </w:r>
      <w:r>
        <w:rPr>
          <w:spacing w:val="6"/>
          <w:u w:val="single"/>
        </w:rPr>
        <w:t>（</w:t>
      </w:r>
      <w:r>
        <w:rPr>
          <w:rFonts w:hint="eastAsia"/>
          <w:color w:val="FF0000"/>
          <w:spacing w:val="5"/>
          <w:highlight w:val="yellow"/>
          <w:u w:val="single"/>
        </w:rPr>
        <w:t>工业</w:t>
      </w:r>
      <w:r>
        <w:rPr>
          <w:spacing w:val="5"/>
          <w:u w:val="single"/>
        </w:rPr>
        <w:t>）行业</w:t>
      </w:r>
      <w:r>
        <w:rPr>
          <w:spacing w:val="5"/>
        </w:rPr>
        <w:t>；制造商为</w:t>
      </w:r>
      <w:r>
        <w:rPr>
          <w:spacing w:val="6"/>
          <w:u w:val="single"/>
        </w:rPr>
        <w:t>（</w:t>
      </w:r>
      <w:r>
        <w:rPr>
          <w:spacing w:val="3"/>
          <w:u w:val="single"/>
        </w:rPr>
        <w:t>企业名</w:t>
      </w:r>
      <w:r>
        <w:rPr>
          <w:spacing w:val="-239"/>
          <w:u w:val="single"/>
        </w:rPr>
        <w:t>称</w:t>
      </w:r>
      <w:r>
        <w:rPr>
          <w:spacing w:val="-230"/>
          <w:u w:val="single"/>
        </w:rPr>
        <w:t>）</w:t>
      </w:r>
      <w:r>
        <w:rPr>
          <w:spacing w:val="-230"/>
        </w:rPr>
        <w:t>，</w:t>
      </w:r>
      <w:r>
        <w:rPr>
          <w:spacing w:val="-118"/>
        </w:rPr>
        <w:t xml:space="preserve"> </w:t>
      </w:r>
      <w:r>
        <w:t>从业人员</w:t>
      </w:r>
      <w:r>
        <w:rPr>
          <w:spacing w:val="20"/>
          <w:u w:val="single"/>
        </w:rPr>
        <w:t xml:space="preserve">   </w:t>
      </w:r>
      <w:r>
        <w:t>人，营业收入为</w:t>
      </w:r>
      <w:r>
        <w:rPr>
          <w:u w:val="single"/>
        </w:rPr>
        <w:t xml:space="preserve">   </w:t>
      </w:r>
      <w:r>
        <w:t>万元，资产总额为</w:t>
      </w:r>
      <w:r>
        <w:rPr>
          <w:u w:val="single"/>
        </w:rPr>
        <w:t xml:space="preserve">    </w:t>
      </w:r>
      <w:r>
        <w:rPr>
          <w:spacing w:val="-20"/>
        </w:rPr>
        <w:t xml:space="preserve">万元 </w:t>
      </w:r>
      <w:r>
        <w:rPr>
          <w:position w:val="7"/>
          <w:sz w:val="16"/>
        </w:rPr>
        <w:t>1</w:t>
      </w:r>
      <w:r>
        <w:t>，属于</w:t>
      </w:r>
      <w:r>
        <w:rPr>
          <w:u w:val="single"/>
        </w:rPr>
        <w:t>（中型企业、小型企业、微型企业）</w:t>
      </w:r>
      <w:r>
        <w:t>；</w:t>
      </w:r>
    </w:p>
    <w:p>
      <w:pPr>
        <w:pStyle w:val="2"/>
        <w:tabs>
          <w:tab w:val="left" w:pos="2433"/>
          <w:tab w:val="left" w:pos="4533"/>
        </w:tabs>
        <w:spacing w:line="364" w:lineRule="auto"/>
        <w:ind w:left="333" w:right="1152"/>
      </w:pPr>
      <w:r>
        <w:t xml:space="preserve">   </w:t>
      </w:r>
      <w:r>
        <w:rPr>
          <w:spacing w:val="3"/>
        </w:rPr>
        <w:t>2.</w:t>
      </w:r>
      <w:r>
        <w:rPr>
          <w:spacing w:val="3"/>
          <w:u w:val="single"/>
        </w:rPr>
        <w:t>（</w:t>
      </w:r>
      <w:r>
        <w:rPr>
          <w:spacing w:val="5"/>
          <w:u w:val="single"/>
        </w:rPr>
        <w:t>标的</w:t>
      </w:r>
      <w:r>
        <w:rPr>
          <w:spacing w:val="6"/>
          <w:u w:val="single"/>
        </w:rPr>
        <w:t>名</w:t>
      </w:r>
      <w:r>
        <w:rPr>
          <w:spacing w:val="5"/>
          <w:u w:val="single"/>
        </w:rPr>
        <w:t>称）</w:t>
      </w:r>
      <w:r>
        <w:rPr>
          <w:spacing w:val="5"/>
        </w:rPr>
        <w:t>，属于</w:t>
      </w:r>
      <w:r>
        <w:rPr>
          <w:spacing w:val="6"/>
          <w:u w:val="single"/>
        </w:rPr>
        <w:t>（</w:t>
      </w:r>
      <w:r>
        <w:rPr>
          <w:rFonts w:hint="eastAsia"/>
          <w:color w:val="FF0000"/>
          <w:spacing w:val="5"/>
          <w:highlight w:val="yellow"/>
          <w:u w:val="single"/>
        </w:rPr>
        <w:t>工业</w:t>
      </w:r>
      <w:r>
        <w:rPr>
          <w:spacing w:val="5"/>
          <w:u w:val="single"/>
        </w:rPr>
        <w:t>）行</w:t>
      </w:r>
      <w:r>
        <w:rPr>
          <w:spacing w:val="6"/>
          <w:u w:val="single"/>
        </w:rPr>
        <w:t>业</w:t>
      </w:r>
      <w:r>
        <w:rPr>
          <w:spacing w:val="5"/>
        </w:rPr>
        <w:t>；制</w:t>
      </w:r>
      <w:r>
        <w:rPr>
          <w:spacing w:val="6"/>
        </w:rPr>
        <w:t>造</w:t>
      </w:r>
      <w:r>
        <w:rPr>
          <w:spacing w:val="5"/>
        </w:rPr>
        <w:t>商为</w:t>
      </w:r>
      <w:r>
        <w:rPr>
          <w:spacing w:val="6"/>
          <w:u w:val="single"/>
        </w:rPr>
        <w:t>（</w:t>
      </w:r>
      <w:r>
        <w:rPr>
          <w:spacing w:val="5"/>
          <w:u w:val="single"/>
        </w:rPr>
        <w:t>企业</w:t>
      </w:r>
      <w:r>
        <w:rPr>
          <w:u w:val="single"/>
        </w:rPr>
        <w:t>名称）</w:t>
      </w:r>
      <w:r>
        <w:t>，从业人员</w:t>
      </w:r>
      <w:r>
        <w:rPr>
          <w:u w:val="single"/>
        </w:rPr>
        <w:t xml:space="preserve"> </w:t>
      </w:r>
      <w:r>
        <w:rPr>
          <w:u w:val="single"/>
        </w:rPr>
        <w:tab/>
      </w:r>
      <w:r>
        <w:t>人，营业收入为</w:t>
      </w:r>
      <w:r>
        <w:rPr>
          <w:u w:val="single"/>
        </w:rPr>
        <w:t xml:space="preserve"> </w:t>
      </w:r>
      <w:r>
        <w:rPr>
          <w:u w:val="single"/>
        </w:rPr>
        <w:tab/>
      </w:r>
      <w:r>
        <w:t>万元，资产总额为</w:t>
      </w:r>
      <w:r>
        <w:rPr>
          <w:u w:val="single"/>
        </w:rPr>
        <w:t xml:space="preserve">   </w:t>
      </w:r>
      <w:r>
        <w:t>万元，属于</w:t>
      </w:r>
      <w:r>
        <w:rPr>
          <w:u w:val="single"/>
        </w:rPr>
        <w:t>（中型企业、小型企业、微型企业）</w:t>
      </w:r>
      <w:r>
        <w:t>；</w:t>
      </w:r>
    </w:p>
    <w:p>
      <w:pPr>
        <w:pStyle w:val="2"/>
        <w:spacing w:line="306" w:lineRule="exact"/>
        <w:ind w:left="813"/>
      </w:pPr>
      <w:r>
        <w:t>……</w:t>
      </w:r>
    </w:p>
    <w:p>
      <w:pPr>
        <w:pStyle w:val="2"/>
        <w:spacing w:before="156" w:line="364" w:lineRule="auto"/>
        <w:ind w:left="333" w:right="1432" w:firstLine="480"/>
      </w:pPr>
      <w:r>
        <w:t>以上企业，不属于大企业的分支机构，不存在控股股东为大企业的情形，也不存在与大企业的负责人为同一人的情形。</w:t>
      </w:r>
    </w:p>
    <w:p>
      <w:pPr>
        <w:pStyle w:val="2"/>
        <w:spacing w:line="306" w:lineRule="exact"/>
        <w:ind w:left="753"/>
      </w:pPr>
      <w:r>
        <w:t>本企业对上述声明内容的真实性负责。如有虚假，将依法承担相应责任。</w:t>
      </w:r>
    </w:p>
    <w:p>
      <w:pPr>
        <w:pStyle w:val="2"/>
        <w:spacing w:before="159"/>
        <w:ind w:left="4813"/>
      </w:pPr>
      <w:r>
        <w:t xml:space="preserve">                                 </w:t>
      </w:r>
    </w:p>
    <w:p>
      <w:pPr>
        <w:pStyle w:val="2"/>
        <w:spacing w:before="159"/>
        <w:ind w:right="1099"/>
        <w:jc w:val="center"/>
      </w:pPr>
      <w:r>
        <w:t xml:space="preserve">                                   企业名称（盖章）：</w:t>
      </w:r>
    </w:p>
    <w:p>
      <w:pPr>
        <w:pStyle w:val="2"/>
        <w:spacing w:before="160"/>
        <w:ind w:left="4813"/>
      </w:pPr>
      <w:r>
        <w:t xml:space="preserve">                        </w:t>
      </w:r>
    </w:p>
    <w:p>
      <w:pPr>
        <w:pStyle w:val="2"/>
        <w:spacing w:before="159"/>
        <w:ind w:right="1099"/>
        <w:jc w:val="center"/>
      </w:pPr>
      <w:r>
        <w:t xml:space="preserve">                         日 期：</w:t>
      </w:r>
    </w:p>
    <w:p>
      <w:pPr>
        <w:pStyle w:val="2"/>
      </w:pPr>
    </w:p>
    <w:p>
      <w:pPr>
        <w:pStyle w:val="2"/>
        <w:spacing w:before="5"/>
        <w:rPr>
          <w:sz w:val="19"/>
        </w:rPr>
      </w:pPr>
    </w:p>
    <w:p>
      <w:pPr>
        <w:ind w:left="333"/>
        <w:rPr>
          <w:rFonts w:ascii="Microsoft JhengHei" w:eastAsia="Microsoft JhengHei"/>
          <w:b/>
          <w:sz w:val="21"/>
        </w:rPr>
      </w:pPr>
      <w:r>
        <w:rPr>
          <w:rFonts w:hint="eastAsia" w:ascii="Microsoft JhengHei" w:eastAsia="Microsoft JhengHei"/>
          <w:b/>
          <w:sz w:val="21"/>
        </w:rPr>
        <w:t>注：从业人员、营业收入、资产总额填报上一年度数据，无上一年度数据的新成立企业可不填报。</w:t>
      </w:r>
    </w:p>
    <w:p>
      <w:pPr>
        <w:rPr>
          <w:rFonts w:ascii="Microsoft JhengHei" w:eastAsia="Microsoft JhengHei"/>
          <w:sz w:val="21"/>
        </w:rPr>
        <w:sectPr>
          <w:pgSz w:w="11910" w:h="16840"/>
          <w:pgMar w:top="1360" w:right="40" w:bottom="1180" w:left="1140" w:header="884" w:footer="990" w:gutter="0"/>
          <w:cols w:space="720" w:num="1"/>
        </w:sectPr>
      </w:pPr>
    </w:p>
    <w:p>
      <w:pPr>
        <w:pStyle w:val="4"/>
        <w:spacing w:line="562" w:lineRule="exact"/>
        <w:ind w:left="2484" w:right="0"/>
        <w:jc w:val="left"/>
      </w:pPr>
      <w:r>
        <w:t>十一、 残疾人福利性单位声明函</w:t>
      </w:r>
    </w:p>
    <w:p>
      <w:pPr>
        <w:pStyle w:val="2"/>
        <w:rPr>
          <w:rFonts w:ascii="Microsoft JhengHei"/>
          <w:b/>
          <w:sz w:val="32"/>
        </w:rPr>
      </w:pPr>
    </w:p>
    <w:p>
      <w:pPr>
        <w:pStyle w:val="2"/>
        <w:spacing w:before="15"/>
        <w:rPr>
          <w:rFonts w:ascii="Microsoft JhengHei"/>
          <w:b/>
          <w:sz w:val="19"/>
        </w:rPr>
      </w:pPr>
    </w:p>
    <w:p>
      <w:pPr>
        <w:pStyle w:val="2"/>
        <w:spacing w:line="458" w:lineRule="auto"/>
        <w:ind w:left="333" w:right="1332" w:firstLine="492"/>
        <w:jc w:val="both"/>
      </w:pPr>
      <w:r>
        <w:t xml:space="preserve">本单位郑重声明，根据《财政部 民政部 中国残疾人联合会关于促进残疾人就业政府采购政策的通知》（财库〔2017〕 141 号）的规定，本单位为符合条件的残疾人福利性单位，且本单位参加 </w:t>
      </w:r>
      <w:r>
        <w:rPr>
          <w:u w:val="single"/>
        </w:rPr>
        <w:t>XXXX</w:t>
      </w:r>
      <w:r>
        <w:t xml:space="preserve"> 单位的 </w:t>
      </w:r>
      <w:r>
        <w:rPr>
          <w:u w:val="single"/>
        </w:rPr>
        <w:t>XXXX</w:t>
      </w:r>
      <w:r>
        <w:t xml:space="preserve"> 项目采购活动提供本单位制造的</w:t>
      </w:r>
    </w:p>
    <w:p>
      <w:pPr>
        <w:pStyle w:val="2"/>
        <w:spacing w:before="2" w:line="458" w:lineRule="auto"/>
        <w:ind w:left="333" w:right="1444"/>
      </w:pPr>
      <w:r>
        <w:t>货物（由本单位承担工程/提供服务），或者提供其他残疾人福利性单位制造的货物（不包括使用非残疾人福利性单位注册商标的货物）。</w:t>
      </w:r>
    </w:p>
    <w:p>
      <w:pPr>
        <w:pStyle w:val="2"/>
        <w:spacing w:before="1"/>
        <w:ind w:left="825"/>
      </w:pPr>
      <w:r>
        <w:t>本单位对上述声明的真实性负责。如有虚假，将依法承担相应责任。</w:t>
      </w:r>
    </w:p>
    <w:p>
      <w:pPr>
        <w:pStyle w:val="2"/>
      </w:pPr>
    </w:p>
    <w:p>
      <w:pPr>
        <w:pStyle w:val="2"/>
      </w:pPr>
    </w:p>
    <w:p>
      <w:pPr>
        <w:pStyle w:val="2"/>
      </w:pPr>
    </w:p>
    <w:p>
      <w:pPr>
        <w:pStyle w:val="2"/>
      </w:pPr>
    </w:p>
    <w:p>
      <w:pPr>
        <w:pStyle w:val="2"/>
        <w:spacing w:before="9"/>
        <w:rPr>
          <w:sz w:val="17"/>
        </w:rPr>
      </w:pPr>
    </w:p>
    <w:p>
      <w:pPr>
        <w:pStyle w:val="2"/>
        <w:spacing w:line="283" w:lineRule="auto"/>
        <w:ind w:left="4761" w:right="3708"/>
      </w:pPr>
      <w:r>
        <w:t>单位名称（盖章）： 日 期 ：</w:t>
      </w:r>
    </w:p>
    <w:p>
      <w:pPr>
        <w:pStyle w:val="2"/>
      </w:pPr>
    </w:p>
    <w:p>
      <w:pPr>
        <w:pStyle w:val="2"/>
        <w:spacing w:before="5"/>
        <w:rPr>
          <w:sz w:val="30"/>
        </w:rPr>
      </w:pPr>
    </w:p>
    <w:p>
      <w:pPr>
        <w:spacing w:line="170" w:lineRule="auto"/>
        <w:ind w:left="1173" w:right="1433" w:hanging="840"/>
        <w:rPr>
          <w:rFonts w:ascii="Microsoft JhengHei" w:eastAsia="Microsoft JhengHei"/>
          <w:b/>
          <w:sz w:val="21"/>
        </w:rPr>
      </w:pPr>
      <w:r>
        <w:rPr>
          <w:rFonts w:hint="eastAsia" w:ascii="Microsoft JhengHei" w:eastAsia="Microsoft JhengHei"/>
          <w:b/>
          <w:sz w:val="21"/>
        </w:rPr>
        <w:t>注：1、残疾人福利性单位视同小型、微型企业，享受预留份额、评审中价格扣除等促进中小企业发展的政府采购政策。残疾人福利性单位属于小型、微型企业的，不重复享受政策。</w:t>
      </w:r>
    </w:p>
    <w:p>
      <w:pPr>
        <w:spacing w:line="301" w:lineRule="exact"/>
        <w:ind w:left="753"/>
        <w:rPr>
          <w:rFonts w:ascii="Microsoft JhengHei" w:eastAsia="Microsoft JhengHei"/>
          <w:b/>
          <w:sz w:val="21"/>
        </w:rPr>
      </w:pPr>
      <w:r>
        <w:rPr>
          <w:rFonts w:hint="eastAsia" w:ascii="Microsoft JhengHei" w:eastAsia="Microsoft JhengHei"/>
          <w:b/>
          <w:sz w:val="21"/>
        </w:rPr>
        <w:t>2、投标人为非残疾人福利性单位的，可不提供此声明。</w:t>
      </w:r>
    </w:p>
    <w:p>
      <w:pPr>
        <w:spacing w:line="301" w:lineRule="exact"/>
        <w:rPr>
          <w:rFonts w:ascii="Microsoft JhengHei" w:eastAsia="Microsoft JhengHei"/>
          <w:sz w:val="21"/>
        </w:rPr>
        <w:sectPr>
          <w:pgSz w:w="11910" w:h="16840"/>
          <w:pgMar w:top="1360" w:right="40" w:bottom="1180" w:left="1140" w:header="884" w:footer="990" w:gutter="0"/>
          <w:cols w:space="720" w:num="1"/>
        </w:sectPr>
      </w:pPr>
    </w:p>
    <w:p>
      <w:pPr>
        <w:pStyle w:val="4"/>
        <w:spacing w:line="562" w:lineRule="exact"/>
      </w:pPr>
      <w:r>
        <w:t>十二、监狱企业</w:t>
      </w:r>
    </w:p>
    <w:p>
      <w:pPr>
        <w:pStyle w:val="2"/>
        <w:spacing w:before="4"/>
        <w:rPr>
          <w:rFonts w:ascii="Microsoft JhengHei"/>
          <w:b/>
          <w:sz w:val="28"/>
        </w:rPr>
      </w:pPr>
    </w:p>
    <w:p>
      <w:pPr>
        <w:pStyle w:val="2"/>
        <w:spacing w:line="364" w:lineRule="auto"/>
        <w:ind w:left="333" w:right="1432" w:firstLine="480"/>
        <w:jc w:val="both"/>
      </w:pPr>
      <w:r>
        <w:t>根据《政府采购支持监狱企业发展有关问题的通知》（财库〔2014〕68</w:t>
      </w:r>
      <w:r>
        <w:rPr>
          <w:spacing w:val="-30"/>
        </w:rPr>
        <w:t xml:space="preserve"> 号</w:t>
      </w:r>
      <w:r>
        <w:t>）的规</w:t>
      </w:r>
      <w:r>
        <w:rPr>
          <w:spacing w:val="-4"/>
        </w:rPr>
        <w:t>定监狱企业参加采购活动的，应提供由省级以上监狱管理局、戒毒管理局(含新疆生产</w:t>
      </w:r>
      <w:r>
        <w:t>建设兵团)出具的属于监狱企业的证明文件。</w:t>
      </w:r>
    </w:p>
    <w:p>
      <w:pPr>
        <w:pStyle w:val="2"/>
      </w:pPr>
    </w:p>
    <w:p>
      <w:pPr>
        <w:pStyle w:val="2"/>
        <w:spacing w:before="157"/>
        <w:ind w:left="333"/>
      </w:pPr>
      <w:r>
        <w:t>注：</w:t>
      </w:r>
    </w:p>
    <w:p>
      <w:pPr>
        <w:pStyle w:val="2"/>
        <w:spacing w:before="160"/>
        <w:ind w:left="813"/>
      </w:pPr>
      <w:r>
        <w:t>1、投标人符合《政府采购支持监狱企业发展有关问题的通知》（财库〔2014〕68</w:t>
      </w:r>
    </w:p>
    <w:p>
      <w:pPr>
        <w:pStyle w:val="2"/>
        <w:spacing w:before="159"/>
        <w:ind w:left="333"/>
      </w:pPr>
      <w:r>
        <w:t>号）规定的划分标准为监狱企业适用。</w:t>
      </w:r>
    </w:p>
    <w:p>
      <w:pPr>
        <w:pStyle w:val="2"/>
        <w:spacing w:before="160" w:line="364" w:lineRule="auto"/>
        <w:ind w:left="333" w:right="1432" w:firstLine="480"/>
      </w:pPr>
      <w:r>
        <w:t>2</w:t>
      </w:r>
      <w:r>
        <w:rPr>
          <w:spacing w:val="-8"/>
        </w:rPr>
        <w:t>、在政府采购活动中，监狱企业视同小型、微型企业，享受预留份额、评审中价</w:t>
      </w:r>
      <w:r>
        <w:t>格扣除等政府采购促进中小企业发展的政府采购政策。</w:t>
      </w:r>
    </w:p>
    <w:p>
      <w:pPr>
        <w:spacing w:line="364" w:lineRule="auto"/>
        <w:sectPr>
          <w:pgSz w:w="11910" w:h="16840"/>
          <w:pgMar w:top="1360" w:right="40" w:bottom="1180" w:left="1140" w:header="884" w:footer="990" w:gutter="0"/>
          <w:cols w:space="720" w:num="1"/>
        </w:sectPr>
      </w:pPr>
    </w:p>
    <w:p>
      <w:pPr>
        <w:pStyle w:val="2"/>
        <w:spacing w:before="11"/>
        <w:rPr>
          <w:sz w:val="3"/>
        </w:rPr>
      </w:pPr>
    </w:p>
    <w:p>
      <w:pPr>
        <w:pStyle w:val="2"/>
        <w:spacing w:line="20" w:lineRule="exact"/>
        <w:ind w:left="300"/>
        <w:rPr>
          <w:sz w:val="2"/>
        </w:rPr>
      </w:pPr>
    </w:p>
    <w:p>
      <w:pPr>
        <w:pStyle w:val="2"/>
        <w:tabs>
          <w:tab w:val="left" w:pos="4893"/>
        </w:tabs>
        <w:spacing w:before="8" w:line="364" w:lineRule="auto"/>
        <w:ind w:left="333" w:right="5112"/>
      </w:pPr>
      <w:r>
        <w:t>附件一：保证金退还账户信息确认表</w:t>
      </w:r>
      <w:r>
        <w:tab/>
      </w:r>
      <w:r>
        <w:t>时间</w:t>
      </w:r>
      <w:r>
        <w:rPr>
          <w:spacing w:val="-18"/>
        </w:rPr>
        <w:t xml:space="preserve">： </w:t>
      </w:r>
      <w:r>
        <w:t>项目名称：</w:t>
      </w:r>
    </w:p>
    <w:p>
      <w:pPr>
        <w:pStyle w:val="2"/>
        <w:spacing w:line="306" w:lineRule="exact"/>
        <w:ind w:left="333"/>
      </w:pP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6"/>
        <w:gridCol w:w="2337"/>
        <w:gridCol w:w="3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2236" w:type="dxa"/>
            <w:vMerge w:val="restart"/>
          </w:tcPr>
          <w:p>
            <w:pPr>
              <w:pStyle w:val="21"/>
              <w:spacing w:before="11"/>
              <w:rPr>
                <w:sz w:val="18"/>
              </w:rPr>
            </w:pPr>
          </w:p>
          <w:p>
            <w:pPr>
              <w:pStyle w:val="21"/>
              <w:ind w:left="108"/>
              <w:rPr>
                <w:sz w:val="24"/>
              </w:rPr>
            </w:pPr>
            <w:r>
              <w:rPr>
                <w:sz w:val="24"/>
              </w:rPr>
              <w:t>应退投标保证金</w:t>
            </w:r>
          </w:p>
        </w:tc>
        <w:tc>
          <w:tcPr>
            <w:tcW w:w="6284" w:type="dxa"/>
            <w:gridSpan w:val="2"/>
          </w:tcPr>
          <w:p>
            <w:pPr>
              <w:pStyle w:val="21"/>
              <w:tabs>
                <w:tab w:val="left" w:pos="587"/>
              </w:tabs>
              <w:spacing w:before="3"/>
              <w:ind w:left="108"/>
              <w:rPr>
                <w:sz w:val="24"/>
              </w:rPr>
            </w:pPr>
            <w:r>
              <w:rPr>
                <w:sz w:val="24"/>
              </w:rPr>
              <w:t>小</w:t>
            </w:r>
            <w:r>
              <w:rPr>
                <w:sz w:val="24"/>
              </w:rPr>
              <w:tab/>
            </w:r>
            <w:r>
              <w:rPr>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6284" w:type="dxa"/>
            <w:gridSpan w:val="2"/>
          </w:tcPr>
          <w:p>
            <w:pPr>
              <w:pStyle w:val="21"/>
              <w:tabs>
                <w:tab w:val="left" w:pos="587"/>
              </w:tabs>
              <w:spacing w:before="3"/>
              <w:ind w:left="108"/>
              <w:rPr>
                <w:sz w:val="24"/>
              </w:rPr>
            </w:pPr>
            <w:r>
              <w:rPr>
                <w:sz w:val="24"/>
              </w:rPr>
              <w:t>大</w:t>
            </w:r>
            <w:r>
              <w:rPr>
                <w:sz w:val="24"/>
              </w:rPr>
              <w:tab/>
            </w:r>
            <w:r>
              <w:rPr>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restart"/>
          </w:tcPr>
          <w:p>
            <w:pPr>
              <w:pStyle w:val="21"/>
              <w:rPr>
                <w:sz w:val="24"/>
              </w:rPr>
            </w:pPr>
          </w:p>
          <w:p>
            <w:pPr>
              <w:pStyle w:val="21"/>
              <w:spacing w:before="3"/>
              <w:rPr>
                <w:sz w:val="32"/>
              </w:rPr>
            </w:pPr>
          </w:p>
          <w:p>
            <w:pPr>
              <w:pStyle w:val="21"/>
              <w:ind w:left="108"/>
              <w:rPr>
                <w:sz w:val="24"/>
              </w:rPr>
            </w:pPr>
            <w:r>
              <w:rPr>
                <w:sz w:val="24"/>
              </w:rPr>
              <w:t>单位（盖章）</w:t>
            </w:r>
          </w:p>
        </w:tc>
        <w:tc>
          <w:tcPr>
            <w:tcW w:w="2337" w:type="dxa"/>
          </w:tcPr>
          <w:p>
            <w:pPr>
              <w:pStyle w:val="21"/>
              <w:tabs>
                <w:tab w:val="left" w:pos="587"/>
              </w:tabs>
              <w:spacing w:before="3"/>
              <w:ind w:left="108"/>
              <w:rPr>
                <w:sz w:val="24"/>
              </w:rPr>
            </w:pPr>
            <w:r>
              <w:rPr>
                <w:sz w:val="24"/>
              </w:rPr>
              <w:t>单</w:t>
            </w:r>
            <w:r>
              <w:rPr>
                <w:sz w:val="24"/>
              </w:rPr>
              <w:tab/>
            </w:r>
            <w:r>
              <w:rPr>
                <w:sz w:val="24"/>
              </w:rPr>
              <w:t>位 名 称</w:t>
            </w:r>
          </w:p>
        </w:tc>
        <w:tc>
          <w:tcPr>
            <w:tcW w:w="394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2337" w:type="dxa"/>
          </w:tcPr>
          <w:p>
            <w:pPr>
              <w:pStyle w:val="21"/>
              <w:tabs>
                <w:tab w:val="left" w:pos="707"/>
                <w:tab w:val="left" w:pos="1307"/>
              </w:tabs>
              <w:spacing w:before="3"/>
              <w:ind w:left="108"/>
              <w:rPr>
                <w:sz w:val="24"/>
              </w:rPr>
            </w:pPr>
            <w:r>
              <w:rPr>
                <w:sz w:val="24"/>
              </w:rPr>
              <w:t>开</w:t>
            </w:r>
            <w:r>
              <w:rPr>
                <w:sz w:val="24"/>
              </w:rPr>
              <w:tab/>
            </w:r>
            <w:r>
              <w:rPr>
                <w:sz w:val="24"/>
              </w:rPr>
              <w:t>户</w:t>
            </w:r>
            <w:r>
              <w:rPr>
                <w:sz w:val="24"/>
              </w:rPr>
              <w:tab/>
            </w:r>
            <w:r>
              <w:rPr>
                <w:sz w:val="24"/>
              </w:rPr>
              <w:t>行</w:t>
            </w:r>
          </w:p>
        </w:tc>
        <w:tc>
          <w:tcPr>
            <w:tcW w:w="394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2337" w:type="dxa"/>
          </w:tcPr>
          <w:p>
            <w:pPr>
              <w:pStyle w:val="21"/>
              <w:tabs>
                <w:tab w:val="left" w:pos="1307"/>
              </w:tabs>
              <w:spacing w:before="3"/>
              <w:ind w:left="108"/>
              <w:rPr>
                <w:sz w:val="24"/>
              </w:rPr>
            </w:pPr>
            <w:r>
              <w:rPr>
                <w:sz w:val="24"/>
              </w:rPr>
              <w:t>账</w:t>
            </w:r>
            <w:r>
              <w:rPr>
                <w:sz w:val="24"/>
              </w:rPr>
              <w:tab/>
            </w:r>
            <w:r>
              <w:rPr>
                <w:sz w:val="24"/>
              </w:rPr>
              <w:t>号</w:t>
            </w:r>
          </w:p>
        </w:tc>
        <w:tc>
          <w:tcPr>
            <w:tcW w:w="3947"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36" w:type="dxa"/>
            <w:vMerge w:val="continue"/>
            <w:tcBorders>
              <w:top w:val="nil"/>
            </w:tcBorders>
          </w:tcPr>
          <w:p>
            <w:pPr>
              <w:rPr>
                <w:sz w:val="2"/>
                <w:szCs w:val="2"/>
              </w:rPr>
            </w:pPr>
          </w:p>
        </w:tc>
        <w:tc>
          <w:tcPr>
            <w:tcW w:w="2337" w:type="dxa"/>
          </w:tcPr>
          <w:p>
            <w:pPr>
              <w:pStyle w:val="21"/>
              <w:spacing w:before="5"/>
              <w:ind w:left="108"/>
              <w:rPr>
                <w:sz w:val="24"/>
              </w:rPr>
            </w:pPr>
            <w:r>
              <w:rPr>
                <w:sz w:val="24"/>
              </w:rPr>
              <w:t>联系人及电话</w:t>
            </w:r>
          </w:p>
        </w:tc>
        <w:tc>
          <w:tcPr>
            <w:tcW w:w="3947" w:type="dxa"/>
          </w:tcPr>
          <w:p>
            <w:pPr>
              <w:pStyle w:val="21"/>
              <w:rPr>
                <w:rFonts w:ascii="Times New Roman"/>
              </w:rPr>
            </w:pPr>
          </w:p>
        </w:tc>
      </w:tr>
    </w:tbl>
    <w:p>
      <w:pPr>
        <w:pStyle w:val="2"/>
        <w:spacing w:before="7"/>
        <w:rPr>
          <w:sz w:val="32"/>
        </w:rPr>
      </w:pPr>
    </w:p>
    <w:p>
      <w:pPr>
        <w:pStyle w:val="2"/>
        <w:ind w:left="333"/>
      </w:pPr>
      <w:r>
        <w:t>附件二：原交款、汇款凭证复印件</w:t>
      </w:r>
    </w:p>
    <w:sectPr>
      <w:pgSz w:w="11910" w:h="16840"/>
      <w:pgMar w:top="1360" w:right="40" w:bottom="1180" w:left="1140" w:header="884"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6"/>
      <w:numFmt w:val="decimal"/>
      <w:lvlText w:val="%1"/>
      <w:lvlJc w:val="left"/>
      <w:pPr>
        <w:ind w:left="1295" w:hanging="481"/>
      </w:pPr>
      <w:rPr>
        <w:rFonts w:hint="default"/>
        <w:lang w:val="zh-CN" w:eastAsia="zh-CN" w:bidi="zh-CN"/>
      </w:rPr>
    </w:lvl>
    <w:lvl w:ilvl="1" w:tentative="0">
      <w:start w:val="1"/>
      <w:numFmt w:val="decimal"/>
      <w:lvlText w:val="%1.%2."/>
      <w:lvlJc w:val="left"/>
      <w:pPr>
        <w:ind w:left="1295" w:hanging="481"/>
      </w:pPr>
      <w:rPr>
        <w:rFonts w:hint="default" w:ascii="宋体" w:hAnsi="宋体" w:eastAsia="宋体" w:cs="宋体"/>
        <w:w w:val="100"/>
        <w:sz w:val="22"/>
        <w:szCs w:val="22"/>
        <w:lang w:val="zh-CN" w:eastAsia="zh-CN" w:bidi="zh-CN"/>
      </w:rPr>
    </w:lvl>
    <w:lvl w:ilvl="2" w:tentative="0">
      <w:start w:val="1"/>
      <w:numFmt w:val="decimal"/>
      <w:lvlText w:val="%1.%2.%3"/>
      <w:lvlJc w:val="left"/>
      <w:pPr>
        <w:ind w:left="334"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3394" w:hanging="601"/>
      </w:pPr>
      <w:rPr>
        <w:rFonts w:hint="default"/>
        <w:lang w:val="zh-CN" w:eastAsia="zh-CN" w:bidi="zh-CN"/>
      </w:rPr>
    </w:lvl>
    <w:lvl w:ilvl="4" w:tentative="0">
      <w:start w:val="0"/>
      <w:numFmt w:val="bullet"/>
      <w:lvlText w:val="•"/>
      <w:lvlJc w:val="left"/>
      <w:pPr>
        <w:ind w:left="4442" w:hanging="601"/>
      </w:pPr>
      <w:rPr>
        <w:rFonts w:hint="default"/>
        <w:lang w:val="zh-CN" w:eastAsia="zh-CN" w:bidi="zh-CN"/>
      </w:rPr>
    </w:lvl>
    <w:lvl w:ilvl="5" w:tentative="0">
      <w:start w:val="0"/>
      <w:numFmt w:val="bullet"/>
      <w:lvlText w:val="•"/>
      <w:lvlJc w:val="left"/>
      <w:pPr>
        <w:ind w:left="5489" w:hanging="601"/>
      </w:pPr>
      <w:rPr>
        <w:rFonts w:hint="default"/>
        <w:lang w:val="zh-CN" w:eastAsia="zh-CN" w:bidi="zh-CN"/>
      </w:rPr>
    </w:lvl>
    <w:lvl w:ilvl="6" w:tentative="0">
      <w:start w:val="0"/>
      <w:numFmt w:val="bullet"/>
      <w:lvlText w:val="•"/>
      <w:lvlJc w:val="left"/>
      <w:pPr>
        <w:ind w:left="6537" w:hanging="601"/>
      </w:pPr>
      <w:rPr>
        <w:rFonts w:hint="default"/>
        <w:lang w:val="zh-CN" w:eastAsia="zh-CN" w:bidi="zh-CN"/>
      </w:rPr>
    </w:lvl>
    <w:lvl w:ilvl="7" w:tentative="0">
      <w:start w:val="0"/>
      <w:numFmt w:val="bullet"/>
      <w:lvlText w:val="•"/>
      <w:lvlJc w:val="left"/>
      <w:pPr>
        <w:ind w:left="7584" w:hanging="601"/>
      </w:pPr>
      <w:rPr>
        <w:rFonts w:hint="default"/>
        <w:lang w:val="zh-CN" w:eastAsia="zh-CN" w:bidi="zh-CN"/>
      </w:rPr>
    </w:lvl>
    <w:lvl w:ilvl="8" w:tentative="0">
      <w:start w:val="0"/>
      <w:numFmt w:val="bullet"/>
      <w:lvlText w:val="•"/>
      <w:lvlJc w:val="left"/>
      <w:pPr>
        <w:ind w:left="8632" w:hanging="601"/>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abstractNum w:abstractNumId="2">
    <w:nsid w:val="8AD23AFB"/>
    <w:multiLevelType w:val="singleLevel"/>
    <w:tmpl w:val="8AD23AFB"/>
    <w:lvl w:ilvl="0" w:tentative="0">
      <w:start w:val="2"/>
      <w:numFmt w:val="decimal"/>
      <w:suff w:val="nothing"/>
      <w:lvlText w:val="%1、"/>
      <w:lvlJc w:val="left"/>
    </w:lvl>
  </w:abstractNum>
  <w:abstractNum w:abstractNumId="3">
    <w:nsid w:val="9288B902"/>
    <w:multiLevelType w:val="multilevel"/>
    <w:tmpl w:val="9288B902"/>
    <w:lvl w:ilvl="0" w:tentative="0">
      <w:start w:val="1"/>
      <w:numFmt w:val="decimal"/>
      <w:lvlText w:val="%1."/>
      <w:lvlJc w:val="left"/>
      <w:pPr>
        <w:ind w:left="1055" w:hanging="242"/>
      </w:pPr>
      <w:rPr>
        <w:rFonts w:hint="default" w:ascii="Microsoft JhengHei" w:hAnsi="Microsoft JhengHei" w:eastAsia="Microsoft JhengHei" w:cs="Microsoft JhengHei"/>
        <w:b/>
        <w:bCs/>
        <w:w w:val="83"/>
        <w:sz w:val="22"/>
        <w:szCs w:val="22"/>
        <w:lang w:val="zh-CN" w:eastAsia="zh-CN" w:bidi="zh-CN"/>
      </w:rPr>
    </w:lvl>
    <w:lvl w:ilvl="1" w:tentative="0">
      <w:start w:val="1"/>
      <w:numFmt w:val="decimal"/>
      <w:lvlText w:val="%1.%2"/>
      <w:lvlJc w:val="left"/>
      <w:pPr>
        <w:ind w:left="334" w:hanging="361"/>
      </w:pPr>
      <w:rPr>
        <w:rFonts w:hint="default" w:ascii="宋体" w:hAnsi="宋体" w:eastAsia="宋体" w:cs="宋体"/>
        <w:w w:val="100"/>
        <w:sz w:val="22"/>
        <w:szCs w:val="22"/>
        <w:lang w:val="zh-CN" w:eastAsia="zh-CN" w:bidi="zh-CN"/>
      </w:rPr>
    </w:lvl>
    <w:lvl w:ilvl="2" w:tentative="0">
      <w:start w:val="1"/>
      <w:numFmt w:val="decimal"/>
      <w:lvlText w:val="%1.%2.%3"/>
      <w:lvlJc w:val="left"/>
      <w:pPr>
        <w:ind w:left="3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240" w:hanging="660"/>
      </w:pPr>
      <w:rPr>
        <w:rFonts w:hint="default"/>
        <w:lang w:val="zh-CN" w:eastAsia="zh-CN" w:bidi="zh-CN"/>
      </w:rPr>
    </w:lvl>
    <w:lvl w:ilvl="4" w:tentative="0">
      <w:start w:val="0"/>
      <w:numFmt w:val="bullet"/>
      <w:lvlText w:val="•"/>
      <w:lvlJc w:val="left"/>
      <w:pPr>
        <w:ind w:left="1480" w:hanging="660"/>
      </w:pPr>
      <w:rPr>
        <w:rFonts w:hint="default"/>
        <w:lang w:val="zh-CN" w:eastAsia="zh-CN" w:bidi="zh-CN"/>
      </w:rPr>
    </w:lvl>
    <w:lvl w:ilvl="5" w:tentative="0">
      <w:start w:val="0"/>
      <w:numFmt w:val="bullet"/>
      <w:lvlText w:val="•"/>
      <w:lvlJc w:val="left"/>
      <w:pPr>
        <w:ind w:left="302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6103" w:hanging="660"/>
      </w:pPr>
      <w:rPr>
        <w:rFonts w:hint="default"/>
        <w:lang w:val="zh-CN" w:eastAsia="zh-CN" w:bidi="zh-CN"/>
      </w:rPr>
    </w:lvl>
    <w:lvl w:ilvl="8" w:tentative="0">
      <w:start w:val="0"/>
      <w:numFmt w:val="bullet"/>
      <w:lvlText w:val="•"/>
      <w:lvlJc w:val="left"/>
      <w:pPr>
        <w:ind w:left="7644" w:hanging="660"/>
      </w:pPr>
      <w:rPr>
        <w:rFonts w:hint="default"/>
        <w:lang w:val="zh-CN" w:eastAsia="zh-CN" w:bidi="zh-CN"/>
      </w:rPr>
    </w:lvl>
  </w:abstractNum>
  <w:abstractNum w:abstractNumId="4">
    <w:nsid w:val="D463706B"/>
    <w:multiLevelType w:val="singleLevel"/>
    <w:tmpl w:val="D463706B"/>
    <w:lvl w:ilvl="0" w:tentative="0">
      <w:start w:val="1"/>
      <w:numFmt w:val="decimal"/>
      <w:suff w:val="nothing"/>
      <w:lvlText w:val="（%1）"/>
      <w:lvlJc w:val="left"/>
    </w:lvl>
  </w:abstractNum>
  <w:abstractNum w:abstractNumId="5">
    <w:nsid w:val="E093A4B0"/>
    <w:multiLevelType w:val="multilevel"/>
    <w:tmpl w:val="E093A4B0"/>
    <w:lvl w:ilvl="0" w:tentative="0">
      <w:start w:val="1"/>
      <w:numFmt w:val="decimal"/>
      <w:lvlText w:val="（%1）"/>
      <w:lvlJc w:val="left"/>
      <w:pPr>
        <w:ind w:left="183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728" w:hanging="601"/>
      </w:pPr>
      <w:rPr>
        <w:rFonts w:hint="default"/>
        <w:lang w:val="zh-CN" w:eastAsia="zh-CN" w:bidi="zh-CN"/>
      </w:rPr>
    </w:lvl>
    <w:lvl w:ilvl="2" w:tentative="0">
      <w:start w:val="0"/>
      <w:numFmt w:val="bullet"/>
      <w:lvlText w:val="•"/>
      <w:lvlJc w:val="left"/>
      <w:pPr>
        <w:ind w:left="3617" w:hanging="601"/>
      </w:pPr>
      <w:rPr>
        <w:rFonts w:hint="default"/>
        <w:lang w:val="zh-CN" w:eastAsia="zh-CN" w:bidi="zh-CN"/>
      </w:rPr>
    </w:lvl>
    <w:lvl w:ilvl="3" w:tentative="0">
      <w:start w:val="0"/>
      <w:numFmt w:val="bullet"/>
      <w:lvlText w:val="•"/>
      <w:lvlJc w:val="left"/>
      <w:pPr>
        <w:ind w:left="4506" w:hanging="601"/>
      </w:pPr>
      <w:rPr>
        <w:rFonts w:hint="default"/>
        <w:lang w:val="zh-CN" w:eastAsia="zh-CN" w:bidi="zh-CN"/>
      </w:rPr>
    </w:lvl>
    <w:lvl w:ilvl="4" w:tentative="0">
      <w:start w:val="0"/>
      <w:numFmt w:val="bullet"/>
      <w:lvlText w:val="•"/>
      <w:lvlJc w:val="left"/>
      <w:pPr>
        <w:ind w:left="5394" w:hanging="601"/>
      </w:pPr>
      <w:rPr>
        <w:rFonts w:hint="default"/>
        <w:lang w:val="zh-CN" w:eastAsia="zh-CN" w:bidi="zh-CN"/>
      </w:rPr>
    </w:lvl>
    <w:lvl w:ilvl="5" w:tentative="0">
      <w:start w:val="0"/>
      <w:numFmt w:val="bullet"/>
      <w:lvlText w:val="•"/>
      <w:lvlJc w:val="left"/>
      <w:pPr>
        <w:ind w:left="6283" w:hanging="601"/>
      </w:pPr>
      <w:rPr>
        <w:rFonts w:hint="default"/>
        <w:lang w:val="zh-CN" w:eastAsia="zh-CN" w:bidi="zh-CN"/>
      </w:rPr>
    </w:lvl>
    <w:lvl w:ilvl="6" w:tentative="0">
      <w:start w:val="0"/>
      <w:numFmt w:val="bullet"/>
      <w:lvlText w:val="•"/>
      <w:lvlJc w:val="left"/>
      <w:pPr>
        <w:ind w:left="7172" w:hanging="601"/>
      </w:pPr>
      <w:rPr>
        <w:rFonts w:hint="default"/>
        <w:lang w:val="zh-CN" w:eastAsia="zh-CN" w:bidi="zh-CN"/>
      </w:rPr>
    </w:lvl>
    <w:lvl w:ilvl="7" w:tentative="0">
      <w:start w:val="0"/>
      <w:numFmt w:val="bullet"/>
      <w:lvlText w:val="•"/>
      <w:lvlJc w:val="left"/>
      <w:pPr>
        <w:ind w:left="8060" w:hanging="601"/>
      </w:pPr>
      <w:rPr>
        <w:rFonts w:hint="default"/>
        <w:lang w:val="zh-CN" w:eastAsia="zh-CN" w:bidi="zh-CN"/>
      </w:rPr>
    </w:lvl>
    <w:lvl w:ilvl="8" w:tentative="0">
      <w:start w:val="0"/>
      <w:numFmt w:val="bullet"/>
      <w:lvlText w:val="•"/>
      <w:lvlJc w:val="left"/>
      <w:pPr>
        <w:ind w:left="8949" w:hanging="601"/>
      </w:pPr>
      <w:rPr>
        <w:rFonts w:hint="default"/>
        <w:lang w:val="zh-CN" w:eastAsia="zh-CN" w:bidi="zh-CN"/>
      </w:rPr>
    </w:lvl>
  </w:abstractNum>
  <w:abstractNum w:abstractNumId="6">
    <w:nsid w:val="23D5B638"/>
    <w:multiLevelType w:val="singleLevel"/>
    <w:tmpl w:val="23D5B638"/>
    <w:lvl w:ilvl="0" w:tentative="0">
      <w:start w:val="6"/>
      <w:numFmt w:val="chineseCounting"/>
      <w:suff w:val="space"/>
      <w:lvlText w:val="第%1章"/>
      <w:lvlJc w:val="left"/>
      <w:rPr>
        <w:rFonts w:hint="eastAsia"/>
      </w:rPr>
    </w:lvl>
  </w:abstractNum>
  <w:abstractNum w:abstractNumId="7">
    <w:nsid w:val="30FC5B15"/>
    <w:multiLevelType w:val="multilevel"/>
    <w:tmpl w:val="30FC5B15"/>
    <w:lvl w:ilvl="0" w:tentative="0">
      <w:start w:val="2"/>
      <w:numFmt w:val="decimal"/>
      <w:lvlText w:val="%1."/>
      <w:lvlJc w:val="left"/>
      <w:pPr>
        <w:ind w:left="694" w:hanging="181"/>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702" w:hanging="181"/>
      </w:pPr>
      <w:rPr>
        <w:rFonts w:hint="default"/>
        <w:lang w:val="zh-CN" w:eastAsia="zh-CN" w:bidi="zh-CN"/>
      </w:rPr>
    </w:lvl>
    <w:lvl w:ilvl="2" w:tentative="0">
      <w:start w:val="0"/>
      <w:numFmt w:val="bullet"/>
      <w:lvlText w:val="•"/>
      <w:lvlJc w:val="left"/>
      <w:pPr>
        <w:ind w:left="2705" w:hanging="181"/>
      </w:pPr>
      <w:rPr>
        <w:rFonts w:hint="default"/>
        <w:lang w:val="zh-CN" w:eastAsia="zh-CN" w:bidi="zh-CN"/>
      </w:rPr>
    </w:lvl>
    <w:lvl w:ilvl="3" w:tentative="0">
      <w:start w:val="0"/>
      <w:numFmt w:val="bullet"/>
      <w:lvlText w:val="•"/>
      <w:lvlJc w:val="left"/>
      <w:pPr>
        <w:ind w:left="3708" w:hanging="181"/>
      </w:pPr>
      <w:rPr>
        <w:rFonts w:hint="default"/>
        <w:lang w:val="zh-CN" w:eastAsia="zh-CN" w:bidi="zh-CN"/>
      </w:rPr>
    </w:lvl>
    <w:lvl w:ilvl="4" w:tentative="0">
      <w:start w:val="0"/>
      <w:numFmt w:val="bullet"/>
      <w:lvlText w:val="•"/>
      <w:lvlJc w:val="left"/>
      <w:pPr>
        <w:ind w:left="4710" w:hanging="181"/>
      </w:pPr>
      <w:rPr>
        <w:rFonts w:hint="default"/>
        <w:lang w:val="zh-CN" w:eastAsia="zh-CN" w:bidi="zh-CN"/>
      </w:rPr>
    </w:lvl>
    <w:lvl w:ilvl="5" w:tentative="0">
      <w:start w:val="0"/>
      <w:numFmt w:val="bullet"/>
      <w:lvlText w:val="•"/>
      <w:lvlJc w:val="left"/>
      <w:pPr>
        <w:ind w:left="5713" w:hanging="181"/>
      </w:pPr>
      <w:rPr>
        <w:rFonts w:hint="default"/>
        <w:lang w:val="zh-CN" w:eastAsia="zh-CN" w:bidi="zh-CN"/>
      </w:rPr>
    </w:lvl>
    <w:lvl w:ilvl="6" w:tentative="0">
      <w:start w:val="0"/>
      <w:numFmt w:val="bullet"/>
      <w:lvlText w:val="•"/>
      <w:lvlJc w:val="left"/>
      <w:pPr>
        <w:ind w:left="6716" w:hanging="181"/>
      </w:pPr>
      <w:rPr>
        <w:rFonts w:hint="default"/>
        <w:lang w:val="zh-CN" w:eastAsia="zh-CN" w:bidi="zh-CN"/>
      </w:rPr>
    </w:lvl>
    <w:lvl w:ilvl="7" w:tentative="0">
      <w:start w:val="0"/>
      <w:numFmt w:val="bullet"/>
      <w:lvlText w:val="•"/>
      <w:lvlJc w:val="left"/>
      <w:pPr>
        <w:ind w:left="7718" w:hanging="181"/>
      </w:pPr>
      <w:rPr>
        <w:rFonts w:hint="default"/>
        <w:lang w:val="zh-CN" w:eastAsia="zh-CN" w:bidi="zh-CN"/>
      </w:rPr>
    </w:lvl>
    <w:lvl w:ilvl="8" w:tentative="0">
      <w:start w:val="0"/>
      <w:numFmt w:val="bullet"/>
      <w:lvlText w:val="•"/>
      <w:lvlJc w:val="left"/>
      <w:pPr>
        <w:ind w:left="8721" w:hanging="181"/>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abstractNum w:abstractNumId="9">
    <w:nsid w:val="4B2D1D55"/>
    <w:multiLevelType w:val="singleLevel"/>
    <w:tmpl w:val="4B2D1D55"/>
    <w:lvl w:ilvl="0" w:tentative="0">
      <w:start w:val="10"/>
      <w:numFmt w:val="decimal"/>
      <w:suff w:val="nothing"/>
      <w:lvlText w:val="%1、"/>
      <w:lvlJc w:val="left"/>
    </w:lvl>
  </w:abstractNum>
  <w:abstractNum w:abstractNumId="10">
    <w:nsid w:val="58765686"/>
    <w:multiLevelType w:val="multilevel"/>
    <w:tmpl w:val="58765686"/>
    <w:lvl w:ilvl="0" w:tentative="0">
      <w:start w:val="1"/>
      <w:numFmt w:val="decimal"/>
      <w:lvlText w:val="（%1）"/>
      <w:lvlJc w:val="left"/>
      <w:pPr>
        <w:ind w:left="334" w:hanging="601"/>
      </w:pPr>
      <w:rPr>
        <w:rFonts w:hint="default" w:ascii="宋体" w:hAnsi="宋体" w:eastAsia="宋体" w:cs="宋体"/>
        <w:spacing w:val="-42"/>
        <w:w w:val="100"/>
        <w:sz w:val="22"/>
        <w:szCs w:val="22"/>
        <w:lang w:val="zh-CN" w:eastAsia="zh-CN" w:bidi="zh-CN"/>
      </w:rPr>
    </w:lvl>
    <w:lvl w:ilvl="1" w:tentative="0">
      <w:start w:val="0"/>
      <w:numFmt w:val="bullet"/>
      <w:lvlText w:val="•"/>
      <w:lvlJc w:val="left"/>
      <w:pPr>
        <w:ind w:left="1378" w:hanging="601"/>
      </w:pPr>
      <w:rPr>
        <w:rFonts w:hint="default"/>
        <w:lang w:val="zh-CN" w:eastAsia="zh-CN" w:bidi="zh-CN"/>
      </w:rPr>
    </w:lvl>
    <w:lvl w:ilvl="2" w:tentative="0">
      <w:start w:val="0"/>
      <w:numFmt w:val="bullet"/>
      <w:lvlText w:val="•"/>
      <w:lvlJc w:val="left"/>
      <w:pPr>
        <w:ind w:left="2417" w:hanging="601"/>
      </w:pPr>
      <w:rPr>
        <w:rFonts w:hint="default"/>
        <w:lang w:val="zh-CN" w:eastAsia="zh-CN" w:bidi="zh-CN"/>
      </w:rPr>
    </w:lvl>
    <w:lvl w:ilvl="3" w:tentative="0">
      <w:start w:val="0"/>
      <w:numFmt w:val="bullet"/>
      <w:lvlText w:val="•"/>
      <w:lvlJc w:val="left"/>
      <w:pPr>
        <w:ind w:left="3456" w:hanging="601"/>
      </w:pPr>
      <w:rPr>
        <w:rFonts w:hint="default"/>
        <w:lang w:val="zh-CN" w:eastAsia="zh-CN" w:bidi="zh-CN"/>
      </w:rPr>
    </w:lvl>
    <w:lvl w:ilvl="4" w:tentative="0">
      <w:start w:val="0"/>
      <w:numFmt w:val="bullet"/>
      <w:lvlText w:val="•"/>
      <w:lvlJc w:val="left"/>
      <w:pPr>
        <w:ind w:left="4494" w:hanging="601"/>
      </w:pPr>
      <w:rPr>
        <w:rFonts w:hint="default"/>
        <w:lang w:val="zh-CN" w:eastAsia="zh-CN" w:bidi="zh-CN"/>
      </w:rPr>
    </w:lvl>
    <w:lvl w:ilvl="5" w:tentative="0">
      <w:start w:val="0"/>
      <w:numFmt w:val="bullet"/>
      <w:lvlText w:val="•"/>
      <w:lvlJc w:val="left"/>
      <w:pPr>
        <w:ind w:left="5533" w:hanging="601"/>
      </w:pPr>
      <w:rPr>
        <w:rFonts w:hint="default"/>
        <w:lang w:val="zh-CN" w:eastAsia="zh-CN" w:bidi="zh-CN"/>
      </w:rPr>
    </w:lvl>
    <w:lvl w:ilvl="6" w:tentative="0">
      <w:start w:val="0"/>
      <w:numFmt w:val="bullet"/>
      <w:lvlText w:val="•"/>
      <w:lvlJc w:val="left"/>
      <w:pPr>
        <w:ind w:left="6572" w:hanging="601"/>
      </w:pPr>
      <w:rPr>
        <w:rFonts w:hint="default"/>
        <w:lang w:val="zh-CN" w:eastAsia="zh-CN" w:bidi="zh-CN"/>
      </w:rPr>
    </w:lvl>
    <w:lvl w:ilvl="7" w:tentative="0">
      <w:start w:val="0"/>
      <w:numFmt w:val="bullet"/>
      <w:lvlText w:val="•"/>
      <w:lvlJc w:val="left"/>
      <w:pPr>
        <w:ind w:left="7610" w:hanging="601"/>
      </w:pPr>
      <w:rPr>
        <w:rFonts w:hint="default"/>
        <w:lang w:val="zh-CN" w:eastAsia="zh-CN" w:bidi="zh-CN"/>
      </w:rPr>
    </w:lvl>
    <w:lvl w:ilvl="8" w:tentative="0">
      <w:start w:val="0"/>
      <w:numFmt w:val="bullet"/>
      <w:lvlText w:val="•"/>
      <w:lvlJc w:val="left"/>
      <w:pPr>
        <w:ind w:left="8649" w:hanging="601"/>
      </w:pPr>
      <w:rPr>
        <w:rFonts w:hint="default"/>
        <w:lang w:val="zh-CN" w:eastAsia="zh-CN" w:bidi="zh-CN"/>
      </w:rPr>
    </w:lvl>
  </w:abstractNum>
  <w:abstractNum w:abstractNumId="11">
    <w:nsid w:val="6A6E3CD7"/>
    <w:multiLevelType w:val="multilevel"/>
    <w:tmpl w:val="6A6E3C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DEC2089"/>
    <w:multiLevelType w:val="multilevel"/>
    <w:tmpl w:val="7DEC2089"/>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num w:numId="1">
    <w:abstractNumId w:val="11"/>
  </w:num>
  <w:num w:numId="2">
    <w:abstractNumId w:val="9"/>
  </w:num>
  <w:num w:numId="3">
    <w:abstractNumId w:val="4"/>
  </w:num>
  <w:num w:numId="4">
    <w:abstractNumId w:val="2"/>
  </w:num>
  <w:num w:numId="5">
    <w:abstractNumId w:val="3"/>
  </w:num>
  <w:num w:numId="6">
    <w:abstractNumId w:val="8"/>
  </w:num>
  <w:num w:numId="7">
    <w:abstractNumId w:val="1"/>
  </w:num>
  <w:num w:numId="8">
    <w:abstractNumId w:val="10"/>
  </w:num>
  <w:num w:numId="9">
    <w:abstractNumId w:val="12"/>
  </w:num>
  <w:num w:numId="10">
    <w:abstractNumId w:val="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OWJkOTRjNTJkNDZkZTJhYzBiMWVhNTY0ZWNlOWIifQ=="/>
  </w:docVars>
  <w:rsids>
    <w:rsidRoot w:val="00BA7735"/>
    <w:rsid w:val="000819EF"/>
    <w:rsid w:val="00082C72"/>
    <w:rsid w:val="000E3434"/>
    <w:rsid w:val="00110CF8"/>
    <w:rsid w:val="001206F6"/>
    <w:rsid w:val="001270DC"/>
    <w:rsid w:val="0012771A"/>
    <w:rsid w:val="0016433B"/>
    <w:rsid w:val="002164CE"/>
    <w:rsid w:val="00233022"/>
    <w:rsid w:val="003004C5"/>
    <w:rsid w:val="00353392"/>
    <w:rsid w:val="00354EE5"/>
    <w:rsid w:val="00403571"/>
    <w:rsid w:val="00454F92"/>
    <w:rsid w:val="005600E3"/>
    <w:rsid w:val="00574F71"/>
    <w:rsid w:val="00594ABF"/>
    <w:rsid w:val="005B247C"/>
    <w:rsid w:val="006534E0"/>
    <w:rsid w:val="00654BB5"/>
    <w:rsid w:val="006F1CF2"/>
    <w:rsid w:val="00774A06"/>
    <w:rsid w:val="00780AD1"/>
    <w:rsid w:val="007A04BD"/>
    <w:rsid w:val="00813A5B"/>
    <w:rsid w:val="008326CB"/>
    <w:rsid w:val="008A0D51"/>
    <w:rsid w:val="008E3AF9"/>
    <w:rsid w:val="00900C8E"/>
    <w:rsid w:val="009707EF"/>
    <w:rsid w:val="009A2CD4"/>
    <w:rsid w:val="00A55D0B"/>
    <w:rsid w:val="00A80651"/>
    <w:rsid w:val="00AA21A3"/>
    <w:rsid w:val="00AA3C88"/>
    <w:rsid w:val="00AD4A06"/>
    <w:rsid w:val="00AF291E"/>
    <w:rsid w:val="00B16B04"/>
    <w:rsid w:val="00B85E37"/>
    <w:rsid w:val="00BA7735"/>
    <w:rsid w:val="00BE369C"/>
    <w:rsid w:val="00CB42F5"/>
    <w:rsid w:val="00D636CA"/>
    <w:rsid w:val="00D8683E"/>
    <w:rsid w:val="00D87CAD"/>
    <w:rsid w:val="00DE33E2"/>
    <w:rsid w:val="00DF2034"/>
    <w:rsid w:val="00E007A5"/>
    <w:rsid w:val="00F836DB"/>
    <w:rsid w:val="01401F5A"/>
    <w:rsid w:val="04307D33"/>
    <w:rsid w:val="05A476DD"/>
    <w:rsid w:val="06177E9E"/>
    <w:rsid w:val="075873F6"/>
    <w:rsid w:val="097961D9"/>
    <w:rsid w:val="09AE2D27"/>
    <w:rsid w:val="0AEE2870"/>
    <w:rsid w:val="0B765A72"/>
    <w:rsid w:val="0D342200"/>
    <w:rsid w:val="0EF8218A"/>
    <w:rsid w:val="0FB55EDA"/>
    <w:rsid w:val="11082151"/>
    <w:rsid w:val="11185F97"/>
    <w:rsid w:val="11CC03BD"/>
    <w:rsid w:val="128123D2"/>
    <w:rsid w:val="12F157AA"/>
    <w:rsid w:val="12FE50C5"/>
    <w:rsid w:val="14B44CE1"/>
    <w:rsid w:val="15EB0C77"/>
    <w:rsid w:val="162D31F8"/>
    <w:rsid w:val="16421999"/>
    <w:rsid w:val="16ED4509"/>
    <w:rsid w:val="174B6DAA"/>
    <w:rsid w:val="18646E38"/>
    <w:rsid w:val="1CDB16B7"/>
    <w:rsid w:val="1D190A9D"/>
    <w:rsid w:val="1D44109D"/>
    <w:rsid w:val="1FDF57D7"/>
    <w:rsid w:val="22584709"/>
    <w:rsid w:val="22BC7E47"/>
    <w:rsid w:val="252134F5"/>
    <w:rsid w:val="257B7155"/>
    <w:rsid w:val="25E1345C"/>
    <w:rsid w:val="26D134D1"/>
    <w:rsid w:val="26F929C3"/>
    <w:rsid w:val="270C5323"/>
    <w:rsid w:val="29767442"/>
    <w:rsid w:val="2BD650E5"/>
    <w:rsid w:val="2D0F4D53"/>
    <w:rsid w:val="2DEC5E79"/>
    <w:rsid w:val="2E1A7F0F"/>
    <w:rsid w:val="2E991DFC"/>
    <w:rsid w:val="2ED53E60"/>
    <w:rsid w:val="307D4EA9"/>
    <w:rsid w:val="34883202"/>
    <w:rsid w:val="352B0250"/>
    <w:rsid w:val="35470E02"/>
    <w:rsid w:val="3725656C"/>
    <w:rsid w:val="372A62DE"/>
    <w:rsid w:val="38763ED8"/>
    <w:rsid w:val="390414E4"/>
    <w:rsid w:val="39171FBA"/>
    <w:rsid w:val="396254EB"/>
    <w:rsid w:val="39AB0E18"/>
    <w:rsid w:val="3A995C5C"/>
    <w:rsid w:val="3B13550B"/>
    <w:rsid w:val="3B385475"/>
    <w:rsid w:val="3C153A08"/>
    <w:rsid w:val="3D3C0CD9"/>
    <w:rsid w:val="3E015FF2"/>
    <w:rsid w:val="3F4F2BAC"/>
    <w:rsid w:val="3FBF656F"/>
    <w:rsid w:val="410A3397"/>
    <w:rsid w:val="4185270A"/>
    <w:rsid w:val="4429251C"/>
    <w:rsid w:val="4530540F"/>
    <w:rsid w:val="460D0775"/>
    <w:rsid w:val="475278BE"/>
    <w:rsid w:val="475B0886"/>
    <w:rsid w:val="480844BE"/>
    <w:rsid w:val="493F41BC"/>
    <w:rsid w:val="49A34A17"/>
    <w:rsid w:val="49E85752"/>
    <w:rsid w:val="49EB7B56"/>
    <w:rsid w:val="4AC80D07"/>
    <w:rsid w:val="4BC82845"/>
    <w:rsid w:val="4BF45C18"/>
    <w:rsid w:val="4CF54F70"/>
    <w:rsid w:val="4DE44FE8"/>
    <w:rsid w:val="4F12408A"/>
    <w:rsid w:val="4F366C90"/>
    <w:rsid w:val="4FAF3CA1"/>
    <w:rsid w:val="4FE94B38"/>
    <w:rsid w:val="50872738"/>
    <w:rsid w:val="52F24F0F"/>
    <w:rsid w:val="55846350"/>
    <w:rsid w:val="55CE1506"/>
    <w:rsid w:val="56F13D8B"/>
    <w:rsid w:val="582274DA"/>
    <w:rsid w:val="58647451"/>
    <w:rsid w:val="58753A6F"/>
    <w:rsid w:val="58957378"/>
    <w:rsid w:val="590945CA"/>
    <w:rsid w:val="5BEC1760"/>
    <w:rsid w:val="5C2B3F35"/>
    <w:rsid w:val="5D02548B"/>
    <w:rsid w:val="6066129C"/>
    <w:rsid w:val="60B44FE4"/>
    <w:rsid w:val="61C5101F"/>
    <w:rsid w:val="62EB0A8F"/>
    <w:rsid w:val="65845638"/>
    <w:rsid w:val="659868BE"/>
    <w:rsid w:val="669002C5"/>
    <w:rsid w:val="67742DAB"/>
    <w:rsid w:val="677B6565"/>
    <w:rsid w:val="67827569"/>
    <w:rsid w:val="69AE2C22"/>
    <w:rsid w:val="6A241438"/>
    <w:rsid w:val="6AE12B83"/>
    <w:rsid w:val="6AEE0EB8"/>
    <w:rsid w:val="6BC77FCB"/>
    <w:rsid w:val="6C81627F"/>
    <w:rsid w:val="6CAF6D97"/>
    <w:rsid w:val="6E401923"/>
    <w:rsid w:val="6F05737C"/>
    <w:rsid w:val="702C6BDD"/>
    <w:rsid w:val="71175551"/>
    <w:rsid w:val="7122704E"/>
    <w:rsid w:val="7130216F"/>
    <w:rsid w:val="72E477C6"/>
    <w:rsid w:val="737A7A3E"/>
    <w:rsid w:val="766E5C13"/>
    <w:rsid w:val="78D67D8F"/>
    <w:rsid w:val="7935622D"/>
    <w:rsid w:val="79755A9A"/>
    <w:rsid w:val="7AA95495"/>
    <w:rsid w:val="7B31415C"/>
    <w:rsid w:val="7BA67BFD"/>
    <w:rsid w:val="7E585DE0"/>
    <w:rsid w:val="7F34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593" w:lineRule="exact"/>
      <w:outlineLvl w:val="0"/>
    </w:pPr>
    <w:rPr>
      <w:rFonts w:ascii="Microsoft JhengHei" w:hAnsi="Microsoft JhengHei" w:eastAsia="Microsoft JhengHei" w:cs="Microsoft JhengHei"/>
      <w:b/>
      <w:bCs/>
      <w:sz w:val="36"/>
      <w:szCs w:val="36"/>
    </w:rPr>
  </w:style>
  <w:style w:type="paragraph" w:styleId="4">
    <w:name w:val="heading 2"/>
    <w:basedOn w:val="1"/>
    <w:next w:val="1"/>
    <w:qFormat/>
    <w:uiPriority w:val="1"/>
    <w:pPr>
      <w:ind w:left="315" w:right="1414"/>
      <w:jc w:val="center"/>
      <w:outlineLvl w:val="1"/>
    </w:pPr>
    <w:rPr>
      <w:rFonts w:ascii="Microsoft JhengHei" w:hAnsi="Microsoft JhengHei" w:eastAsia="Microsoft JhengHei" w:cs="Microsoft JhengHei"/>
      <w:b/>
      <w:bCs/>
      <w:sz w:val="32"/>
      <w:szCs w:val="32"/>
    </w:rPr>
  </w:style>
  <w:style w:type="paragraph" w:styleId="5">
    <w:name w:val="heading 3"/>
    <w:basedOn w:val="1"/>
    <w:next w:val="1"/>
    <w:qFormat/>
    <w:uiPriority w:val="1"/>
    <w:pPr>
      <w:spacing w:line="546" w:lineRule="exact"/>
      <w:ind w:left="2946"/>
      <w:outlineLvl w:val="2"/>
    </w:pPr>
    <w:rPr>
      <w:rFonts w:ascii="Microsoft JhengHei" w:hAnsi="Microsoft JhengHei" w:eastAsia="Microsoft JhengHei" w:cs="Microsoft JhengHei"/>
      <w:b/>
      <w:bCs/>
      <w:sz w:val="31"/>
      <w:szCs w:val="31"/>
    </w:rPr>
  </w:style>
  <w:style w:type="paragraph" w:styleId="6">
    <w:name w:val="heading 4"/>
    <w:basedOn w:val="1"/>
    <w:next w:val="1"/>
    <w:qFormat/>
    <w:uiPriority w:val="1"/>
    <w:pPr>
      <w:spacing w:line="531" w:lineRule="exact"/>
      <w:ind w:left="315" w:right="1414"/>
      <w:jc w:val="center"/>
      <w:outlineLvl w:val="3"/>
    </w:pPr>
    <w:rPr>
      <w:rFonts w:ascii="Microsoft JhengHei" w:hAnsi="Microsoft JhengHei" w:eastAsia="Microsoft JhengHei" w:cs="Microsoft JhengHei"/>
      <w:b/>
      <w:bCs/>
      <w:sz w:val="30"/>
      <w:szCs w:val="30"/>
    </w:rPr>
  </w:style>
  <w:style w:type="paragraph" w:styleId="7">
    <w:name w:val="heading 5"/>
    <w:basedOn w:val="1"/>
    <w:next w:val="1"/>
    <w:qFormat/>
    <w:uiPriority w:val="1"/>
    <w:pPr>
      <w:ind w:left="543"/>
      <w:outlineLvl w:val="4"/>
    </w:pPr>
    <w:rPr>
      <w:sz w:val="30"/>
      <w:szCs w:val="30"/>
    </w:rPr>
  </w:style>
  <w:style w:type="paragraph" w:styleId="8">
    <w:name w:val="heading 6"/>
    <w:basedOn w:val="1"/>
    <w:next w:val="1"/>
    <w:qFormat/>
    <w:uiPriority w:val="1"/>
    <w:pPr>
      <w:spacing w:line="501" w:lineRule="exact"/>
      <w:ind w:left="333"/>
      <w:outlineLvl w:val="5"/>
    </w:pPr>
    <w:rPr>
      <w:rFonts w:ascii="Microsoft JhengHei" w:hAnsi="Microsoft JhengHei" w:eastAsia="Microsoft JhengHei" w:cs="Microsoft JhengHei"/>
      <w:b/>
      <w:bCs/>
      <w:sz w:val="28"/>
      <w:szCs w:val="28"/>
    </w:rPr>
  </w:style>
  <w:style w:type="paragraph" w:styleId="9">
    <w:name w:val="heading 7"/>
    <w:basedOn w:val="1"/>
    <w:next w:val="1"/>
    <w:qFormat/>
    <w:uiPriority w:val="1"/>
    <w:pPr>
      <w:ind w:left="1055"/>
      <w:outlineLvl w:val="6"/>
    </w:pPr>
    <w:rPr>
      <w:rFonts w:ascii="Microsoft JhengHei" w:hAnsi="Microsoft JhengHei" w:eastAsia="Microsoft JhengHei" w:cs="Microsoft JhengHei"/>
      <w:b/>
      <w:bCs/>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10">
    <w:name w:val="Body Text Indent"/>
    <w:basedOn w:val="1"/>
    <w:qFormat/>
    <w:uiPriority w:val="0"/>
    <w:pPr>
      <w:spacing w:line="360" w:lineRule="auto"/>
      <w:ind w:firstLine="420"/>
    </w:pPr>
    <w:rPr>
      <w:rFonts w:hAnsi="Times New Roman"/>
      <w:sz w:val="24"/>
      <w:szCs w:val="20"/>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150"/>
      <w:ind w:left="333"/>
    </w:pPr>
    <w:rPr>
      <w:rFonts w:ascii="Microsoft JhengHei" w:hAnsi="Microsoft JhengHei" w:eastAsia="Microsoft JhengHei" w:cs="Microsoft JhengHei"/>
      <w:b/>
      <w:bCs/>
      <w:sz w:val="28"/>
      <w:szCs w:val="28"/>
    </w:rPr>
  </w:style>
  <w:style w:type="paragraph" w:styleId="15">
    <w:name w:val="Body Text First Indent"/>
    <w:basedOn w:val="2"/>
    <w:qFormat/>
    <w:uiPriority w:val="0"/>
    <w:pPr>
      <w:ind w:firstLine="420" w:firstLineChars="100"/>
    </w:pPr>
  </w:style>
  <w:style w:type="paragraph" w:styleId="16">
    <w:name w:val="Body Text First Indent 2"/>
    <w:basedOn w:val="10"/>
    <w:next w:val="2"/>
    <w:qFormat/>
    <w:uiPriority w:val="99"/>
    <w:pPr>
      <w:ind w:firstLine="200" w:firstLineChars="200"/>
    </w:p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333" w:firstLine="480"/>
    </w:pPr>
  </w:style>
  <w:style w:type="paragraph" w:customStyle="1" w:styleId="21">
    <w:name w:val="Table Paragraph"/>
    <w:basedOn w:val="1"/>
    <w:qFormat/>
    <w:uiPriority w:val="1"/>
  </w:style>
  <w:style w:type="character" w:customStyle="1" w:styleId="22">
    <w:name w:val="fontstyle01"/>
    <w:basedOn w:val="18"/>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29872</Words>
  <Characters>31853</Characters>
  <Lines>262</Lines>
  <Paragraphs>73</Paragraphs>
  <TotalTime>1</TotalTime>
  <ScaleCrop>false</ScaleCrop>
  <LinksUpToDate>false</LinksUpToDate>
  <CharactersWithSpaces>35816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2022-12-19T03:46:00Z</dcterms:created>
  <dc:creator>Administrator</dc:creator>
  <cp:lastModifiedBy>Josenli</cp:lastModifiedBy>
  <dcterms:modified xsi:type="dcterms:W3CDTF">2023-09-19T01:48:49Z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LastSaved">
    <vt:filetime>2022-12-19T00:00:00Z</vt:filetime>
  </property>
  <property fmtid="{D5CDD505-2E9C-101B-9397-08002B2CF9AE}" pid="4" name="KSOProductBuildVer">
    <vt:lpwstr>2052-12.1.0.15358</vt:lpwstr>
  </property>
  <property fmtid="{D5CDD505-2E9C-101B-9397-08002B2CF9AE}" pid="5" name="ICV">
    <vt:lpwstr>0C4C20E11E7D4FB08B3832ED5094B49E_13</vt:lpwstr>
  </property>
</Properties>
</file>