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numPr>
          <w:numId w:val="0"/>
        </w:numPr>
        <w:spacing w:before="0" w:after="0" w:line="276" w:lineRule="auto"/>
        <w:ind w:leftChars="0"/>
        <w:jc w:val="center"/>
        <w:rPr>
          <w:rFonts w:hint="eastAsia" w:ascii="仿宋" w:hAnsi="仿宋" w:eastAsia="仿宋"/>
          <w:color w:val="auto"/>
          <w:sz w:val="44"/>
          <w:szCs w:val="44"/>
          <w:highlight w:val="none"/>
          <w:lang w:val="en-US" w:eastAsia="zh-CN"/>
        </w:rPr>
      </w:pPr>
      <w:r>
        <w:rPr>
          <w:rFonts w:hint="eastAsia" w:ascii="仿宋" w:hAnsi="仿宋" w:eastAsia="仿宋"/>
          <w:color w:val="auto"/>
          <w:sz w:val="44"/>
          <w:szCs w:val="44"/>
          <w:highlight w:val="none"/>
          <w:lang w:val="en-US" w:eastAsia="zh-CN"/>
        </w:rPr>
        <w:t>用户</w:t>
      </w:r>
      <w:bookmarkStart w:id="0" w:name="_GoBack"/>
      <w:bookmarkEnd w:id="0"/>
      <w:r>
        <w:rPr>
          <w:rFonts w:hint="eastAsia" w:ascii="仿宋" w:hAnsi="仿宋" w:eastAsia="仿宋"/>
          <w:color w:val="auto"/>
          <w:sz w:val="44"/>
          <w:szCs w:val="44"/>
          <w:highlight w:val="none"/>
        </w:rPr>
        <w:t>需求书</w:t>
      </w:r>
    </w:p>
    <w:p>
      <w:pPr>
        <w:pStyle w:val="7"/>
        <w:numPr>
          <w:ilvl w:val="0"/>
          <w:numId w:val="0"/>
        </w:numPr>
        <w:rPr>
          <w:rFonts w:hint="eastAsia" w:ascii="仿宋" w:hAnsi="仿宋" w:eastAsia="仿宋" w:cs="仿宋"/>
          <w:b/>
          <w:bCs/>
          <w:color w:val="auto"/>
          <w:lang w:eastAsia="zh-CN"/>
        </w:rPr>
      </w:pPr>
      <w:r>
        <w:rPr>
          <w:rFonts w:hint="eastAsia" w:ascii="仿宋" w:hAnsi="仿宋" w:eastAsia="仿宋" w:cs="仿宋"/>
          <w:b/>
          <w:bCs/>
          <w:color w:val="auto"/>
          <w:lang w:val="en-US" w:eastAsia="zh-CN"/>
        </w:rPr>
        <w:t>一、项目概况</w:t>
      </w:r>
    </w:p>
    <w:p>
      <w:pPr>
        <w:pStyle w:val="7"/>
        <w:numPr>
          <w:ilvl w:val="0"/>
          <w:numId w:val="0"/>
        </w:numPr>
        <w:rPr>
          <w:rFonts w:hint="eastAsia" w:ascii="仿宋" w:hAnsi="仿宋" w:eastAsia="仿宋" w:cs="仿宋"/>
          <w:color w:val="auto"/>
          <w:lang w:eastAsia="zh-CN"/>
        </w:rPr>
      </w:pPr>
      <w:r>
        <w:rPr>
          <w:rFonts w:hint="eastAsia" w:ascii="仿宋" w:hAnsi="仿宋" w:eastAsia="仿宋" w:cs="仿宋"/>
          <w:color w:val="auto"/>
          <w:lang w:val="en-US" w:eastAsia="zh-CN"/>
        </w:rPr>
        <w:t>（一）</w:t>
      </w:r>
      <w:r>
        <w:rPr>
          <w:rFonts w:hint="eastAsia" w:ascii="仿宋" w:hAnsi="仿宋" w:eastAsia="仿宋" w:cs="仿宋"/>
          <w:color w:val="auto"/>
          <w:lang w:eastAsia="zh-CN"/>
        </w:rPr>
        <w:t>项目名称：</w:t>
      </w:r>
      <w:r>
        <w:rPr>
          <w:rFonts w:hint="eastAsia" w:ascii="仿宋" w:hAnsi="仿宋" w:eastAsia="仿宋" w:cs="仿宋"/>
          <w:color w:val="auto"/>
          <w:lang w:val="en-US" w:eastAsia="zh-CN"/>
        </w:rPr>
        <w:t>海口市龙华区农村供水工程专业化管理委托运营项目(第二次采购)</w:t>
      </w:r>
    </w:p>
    <w:p>
      <w:pPr>
        <w:pStyle w:val="7"/>
        <w:numPr>
          <w:ilvl w:val="0"/>
          <w:numId w:val="0"/>
        </w:numPr>
        <w:rPr>
          <w:rFonts w:hint="eastAsia" w:ascii="仿宋" w:hAnsi="仿宋" w:eastAsia="仿宋" w:cs="仿宋"/>
          <w:color w:val="auto"/>
          <w:lang w:val="en-US" w:eastAsia="zh-CN"/>
        </w:rPr>
      </w:pPr>
      <w:r>
        <w:rPr>
          <w:rFonts w:hint="eastAsia" w:ascii="仿宋" w:hAnsi="仿宋" w:eastAsia="仿宋" w:cs="仿宋"/>
          <w:color w:val="auto"/>
          <w:lang w:val="en-US" w:eastAsia="zh-CN"/>
        </w:rPr>
        <w:t>（二）</w:t>
      </w:r>
      <w:r>
        <w:rPr>
          <w:rFonts w:hint="eastAsia" w:ascii="仿宋" w:hAnsi="仿宋" w:eastAsia="仿宋" w:cs="仿宋"/>
          <w:color w:val="auto"/>
          <w:lang w:eastAsia="zh-CN"/>
        </w:rPr>
        <w:t>采购预算：</w:t>
      </w:r>
      <w:r>
        <w:rPr>
          <w:rFonts w:hint="eastAsia" w:ascii="仿宋" w:hAnsi="仿宋" w:eastAsia="仿宋" w:cs="仿宋"/>
          <w:color w:val="auto"/>
          <w:lang w:val="en-US" w:eastAsia="zh-CN"/>
        </w:rPr>
        <w:t>2965160.00元</w:t>
      </w:r>
    </w:p>
    <w:p>
      <w:pPr>
        <w:pStyle w:val="7"/>
        <w:numPr>
          <w:ilvl w:val="0"/>
          <w:numId w:val="0"/>
        </w:numPr>
        <w:rPr>
          <w:rFonts w:hint="eastAsia" w:ascii="仿宋" w:hAnsi="仿宋" w:eastAsia="仿宋" w:cs="仿宋"/>
          <w:color w:val="auto"/>
          <w:lang w:eastAsia="zh-CN"/>
        </w:rPr>
      </w:pPr>
      <w:r>
        <w:rPr>
          <w:rFonts w:hint="eastAsia" w:ascii="仿宋" w:hAnsi="仿宋" w:eastAsia="仿宋" w:cs="仿宋"/>
          <w:color w:val="auto"/>
          <w:lang w:val="en-US" w:eastAsia="zh-CN"/>
        </w:rPr>
        <w:t>（三）</w:t>
      </w:r>
      <w:r>
        <w:rPr>
          <w:rFonts w:hint="eastAsia" w:ascii="仿宋" w:hAnsi="仿宋" w:eastAsia="仿宋" w:cs="仿宋"/>
          <w:color w:val="auto"/>
          <w:lang w:eastAsia="zh-CN"/>
        </w:rPr>
        <w:t>项目实施地点：海口市龙华区城西镇、龙桥镇、龙泉镇、遵谭镇和新坡镇</w:t>
      </w:r>
    </w:p>
    <w:p>
      <w:pPr>
        <w:pStyle w:val="7"/>
        <w:numPr>
          <w:ilvl w:val="0"/>
          <w:numId w:val="0"/>
        </w:numPr>
        <w:rPr>
          <w:rFonts w:hint="eastAsia" w:ascii="仿宋" w:hAnsi="仿宋" w:eastAsia="仿宋" w:cs="仿宋"/>
          <w:color w:val="auto"/>
          <w:lang w:val="en-US" w:eastAsia="zh-CN"/>
        </w:rPr>
      </w:pPr>
      <w:r>
        <w:rPr>
          <w:rFonts w:hint="eastAsia" w:ascii="仿宋" w:hAnsi="仿宋" w:eastAsia="仿宋" w:cs="仿宋"/>
          <w:color w:val="auto"/>
          <w:lang w:val="en-US" w:eastAsia="zh-CN"/>
        </w:rPr>
        <w:t>（四）</w:t>
      </w:r>
      <w:r>
        <w:rPr>
          <w:rFonts w:hint="eastAsia" w:ascii="仿宋" w:hAnsi="仿宋" w:eastAsia="仿宋" w:cs="仿宋"/>
          <w:color w:val="auto"/>
          <w:lang w:eastAsia="zh-CN"/>
        </w:rPr>
        <w:t>项目完成时间（服务期限）：</w:t>
      </w:r>
      <w:r>
        <w:rPr>
          <w:rFonts w:hint="eastAsia" w:ascii="仿宋" w:hAnsi="仿宋" w:eastAsia="仿宋" w:cs="仿宋"/>
          <w:color w:val="auto"/>
          <w:lang w:val="en-US" w:eastAsia="zh-CN"/>
        </w:rPr>
        <w:t>自合同签订之日起一年</w:t>
      </w:r>
    </w:p>
    <w:p>
      <w:pPr>
        <w:rPr>
          <w:rFonts w:hint="eastAsia"/>
          <w:color w:val="auto"/>
          <w:lang w:val="en-US" w:eastAsia="zh-CN"/>
        </w:rPr>
      </w:pPr>
      <w:r>
        <w:rPr>
          <w:rFonts w:hint="eastAsia" w:ascii="仿宋" w:hAnsi="仿宋" w:eastAsia="仿宋" w:cs="仿宋"/>
          <w:color w:val="auto"/>
          <w:kern w:val="2"/>
          <w:sz w:val="24"/>
          <w:szCs w:val="22"/>
          <w:lang w:val="en-US" w:eastAsia="zh-CN" w:bidi="ar-SA"/>
        </w:rPr>
        <w:t>（五）验收方式：由采购人组织有关部门按照国家有关标准的规定进行验收</w:t>
      </w:r>
    </w:p>
    <w:p>
      <w:pPr>
        <w:pStyle w:val="7"/>
        <w:numPr>
          <w:ilvl w:val="0"/>
          <w:numId w:val="0"/>
        </w:numP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二、项目概述</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一</w:t>
      </w:r>
      <w:r>
        <w:rPr>
          <w:rFonts w:hint="eastAsia" w:ascii="仿宋" w:hAnsi="仿宋" w:eastAsia="仿宋" w:cs="仿宋"/>
          <w:color w:val="auto"/>
          <w:lang w:eastAsia="zh-CN"/>
        </w:rPr>
        <w:t>）</w:t>
      </w:r>
      <w:r>
        <w:rPr>
          <w:rFonts w:hint="eastAsia" w:ascii="仿宋" w:hAnsi="仿宋" w:eastAsia="仿宋" w:cs="仿宋"/>
          <w:color w:val="auto"/>
          <w:lang w:val="en-US" w:eastAsia="zh-CN"/>
        </w:rPr>
        <w:t>主要对全区168个农村供水工程进行专业化管理，包括水塔、水池、机井、泵房、净水设备、消毒设备、供水管道等供水设施设备的运营管理；水塔、泵房、机井等设施周边20米内卫生的管理；对管理范围内的所有供水水质进行检测，确保水质达到国家卫生饮用水标准</w:t>
      </w:r>
      <w:r>
        <w:rPr>
          <w:rFonts w:hint="eastAsia" w:ascii="仿宋" w:hAnsi="仿宋" w:eastAsia="仿宋" w:cs="仿宋"/>
          <w:color w:val="auto"/>
          <w:lang w:eastAsia="zh-CN"/>
        </w:rPr>
        <w:t>。</w:t>
      </w:r>
    </w:p>
    <w:p>
      <w:pPr>
        <w:pStyle w:val="7"/>
        <w:numPr>
          <w:ilvl w:val="0"/>
          <w:numId w:val="0"/>
        </w:numPr>
        <w:rPr>
          <w:rFonts w:hint="eastAsia" w:ascii="仿宋" w:hAnsi="仿宋" w:eastAsia="仿宋" w:cs="仿宋"/>
          <w:b/>
          <w:bCs/>
          <w:color w:val="auto"/>
          <w:lang w:eastAsia="zh-CN"/>
        </w:rPr>
      </w:pPr>
      <w:r>
        <w:rPr>
          <w:rFonts w:hint="eastAsia" w:ascii="仿宋" w:hAnsi="仿宋" w:eastAsia="仿宋" w:cs="仿宋"/>
          <w:b/>
          <w:bCs/>
          <w:color w:val="auto"/>
          <w:lang w:val="en-US" w:eastAsia="zh-CN"/>
        </w:rPr>
        <w:t>三</w:t>
      </w:r>
      <w:r>
        <w:rPr>
          <w:rFonts w:hint="eastAsia" w:ascii="仿宋" w:hAnsi="仿宋" w:eastAsia="仿宋" w:cs="仿宋"/>
          <w:b/>
          <w:bCs/>
          <w:color w:val="auto"/>
          <w:lang w:eastAsia="zh-CN"/>
        </w:rPr>
        <w:t>、服务需求</w:t>
      </w:r>
    </w:p>
    <w:p>
      <w:pPr>
        <w:pStyle w:val="7"/>
        <w:keepNext w:val="0"/>
        <w:keepLines w:val="0"/>
        <w:pageBreakBefore w:val="0"/>
        <w:widowControl/>
        <w:numPr>
          <w:ilvl w:val="0"/>
          <w:numId w:val="0"/>
        </w:numPr>
        <w:kinsoku/>
        <w:wordWrap/>
        <w:overflowPunct/>
        <w:topLinePunct w:val="0"/>
        <w:autoSpaceDE/>
        <w:autoSpaceDN/>
        <w:bidi w:val="0"/>
        <w:adjustRightInd w:val="0"/>
        <w:snapToGrid w:val="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（一）、指导思想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以习近平新时代中国特色社会主义思想和党的二十大精神为指导，按照构建和谐社会和建设社会主义新农村的总体要求，以提高农村供水质量、改善农村饮用水条件、保障农村饮水安全、促进城乡供水一体化为目标，建立科学合理和高效稳定的农村饮水安全工程运营、服务、监管体系。 </w:t>
      </w:r>
    </w:p>
    <w:p>
      <w:pPr>
        <w:pStyle w:val="7"/>
        <w:keepNext w:val="0"/>
        <w:keepLines w:val="0"/>
        <w:pageBreakBefore w:val="0"/>
        <w:widowControl/>
        <w:numPr>
          <w:ilvl w:val="0"/>
          <w:numId w:val="0"/>
        </w:numPr>
        <w:kinsoku/>
        <w:wordWrap/>
        <w:overflowPunct/>
        <w:topLinePunct w:val="0"/>
        <w:autoSpaceDE/>
        <w:autoSpaceDN/>
        <w:bidi w:val="0"/>
        <w:adjustRightInd w:val="0"/>
        <w:snapToGrid w:val="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（二）、工作原则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1.政府主导。强化政府责任，落实农村饮水“三个责任”， 加强组织领导，调动各方积极性，综合推进农村饮水安全工程管理工作。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2.权责一致。明晰所有权，界定管理权，落实管理的主体和责任。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3.突出重点。重点解决落实管理主体、管理责任和管理经费等问题。</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4.因地制宜。结合本地实际情况和工程特点制定管理方案，不搞“一刀切”，积极探索社会化和专业化等多种管理模式，建立科学、合理和高效稳定的农村饮水安全工程运营、服务、监管体系。 </w:t>
      </w:r>
    </w:p>
    <w:p>
      <w:pPr>
        <w:pStyle w:val="7"/>
        <w:keepNext w:val="0"/>
        <w:keepLines w:val="0"/>
        <w:pageBreakBefore w:val="0"/>
        <w:widowControl/>
        <w:numPr>
          <w:ilvl w:val="0"/>
          <w:numId w:val="0"/>
        </w:numPr>
        <w:kinsoku/>
        <w:wordWrap/>
        <w:overflowPunct/>
        <w:topLinePunct w:val="0"/>
        <w:autoSpaceDE/>
        <w:autoSpaceDN/>
        <w:bidi w:val="0"/>
        <w:adjustRightInd w:val="0"/>
        <w:snapToGrid w:val="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（三）、工作目标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为保障我区农村饮水安全工程长效运行，实现“专业人做专业事”，制定制度健全、管理规范的运行机制，扭转我区农村饮水安全工程设施管理不到位的被动局面，实现每宗农村饮水安全工程设施有人管、有钱修、长效益，进一步提高农村饮水安全工程供水保证率和水质达标率，确保群众饮用水安全。 </w:t>
      </w:r>
    </w:p>
    <w:p>
      <w:pPr>
        <w:pStyle w:val="7"/>
        <w:keepNext w:val="0"/>
        <w:keepLines w:val="0"/>
        <w:pageBreakBefore w:val="0"/>
        <w:widowControl/>
        <w:numPr>
          <w:ilvl w:val="0"/>
          <w:numId w:val="0"/>
        </w:numPr>
        <w:kinsoku/>
        <w:wordWrap/>
        <w:overflowPunct/>
        <w:topLinePunct w:val="0"/>
        <w:autoSpaceDE/>
        <w:autoSpaceDN/>
        <w:bidi w:val="0"/>
        <w:adjustRightInd w:val="0"/>
        <w:snapToGrid w:val="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（四）、管理范围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管理范围为我区行政区域内的各类农村饮水安全工程设施，含集体投资及私人投资兴建用于群众公共用水安全保障的农村饮水安全工程。主要包括:水塔、水池、机井、泵房、净水设备、消毒设备、供水管道等供水设施设备的运营管理；水塔、泵房、机井等设施周边 20 米内卫生的管理；对管理范围内的所有供水水质进行检测。 </w:t>
      </w:r>
    </w:p>
    <w:p>
      <w:pPr>
        <w:pStyle w:val="7"/>
        <w:keepNext w:val="0"/>
        <w:keepLines w:val="0"/>
        <w:pageBreakBefore w:val="0"/>
        <w:widowControl/>
        <w:numPr>
          <w:ilvl w:val="0"/>
          <w:numId w:val="0"/>
        </w:numPr>
        <w:kinsoku/>
        <w:wordWrap/>
        <w:overflowPunct/>
        <w:topLinePunct w:val="0"/>
        <w:autoSpaceDE/>
        <w:autoSpaceDN/>
        <w:bidi w:val="0"/>
        <w:adjustRightInd w:val="0"/>
        <w:snapToGrid w:val="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（五）、管理内容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1.水塔的运行管理。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（1）每年分 2 次（上半年和下半年各 1 次）对水塔水箱进行清洗和消毒。</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（2）每月分 2 次对水塔周围 20 米内卫生进行清理，保持干净。</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（3）建立水塔管理档案，详细记录水塔建设位置、年限、结构、高度、水箱容积、大修理、更新、突发事故处理及其他与水塔有关设施设备等情况。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2.深水井的运行管理。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（1）每月分 2 次对机井周围 20 米内卫生进行清理，保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持干净。</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（2）每年分 2 次（上半年和下半年各 1 次）对正常使用的机井进行清洗和消毒；维修机井在投入使用前消毒 1次。</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（3）如其他原因造成机井，机井停用期间，每隔 15 天进行一次维理性抽水，每次抽水时间 2~4 小时，确保机井正常使用。</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（4）每年对机井测量 1 次静水位、动水位和出水量情况，并对水质进行检测，确保水质达标。</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（5）每年一次对机井设备进行刷漆养护。</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（6）建立机井管理档案，详细记录机井建设位置、深度、静水位、动水位、出水量、水泵位置、水泵有关参数、机电设备大修理、更新、突发事故处理以及与机井有关设施设备相关系数等情况。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3.泵房的运行管理。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（1）每月分 2 次对泵房周围 20 米内卫生进行清理，每月分4 次对泵房内卫生进行清理，保持干净；</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 xml:space="preserve">（2）对泵房内及外墙用电设施设备、相关饮水管理制度牌等设施设备进行整理，确保泵房内外设施设备及有关制度牌悬挂整齐、规范；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（3）对泵房内用电设备进行刷漆养护，确保正常运行；</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（4）建立泵房管理档案，详细记录泵房建设位置、结构尺寸参 数、设施设备大修理、更新、突发事故处理及与泵房有关设 施设备相关系数等情况。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4.净水设备的运行管理。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1）当深水井水质出现浑浊时需及时上报相关部门，增设净水过滤罐，便于把浑浊度较高的水通过该设备进行过滤。这样有效截留除去水中的悬浮物、有机物、胶质颗粒、微生物、氯、嗅味及部分重金属离子等，最终达到降低水浑浊度、净化水质效果，从而使水质达到饮用水标准；</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2）加强净水设备（包括但不限于净水过滤罐）的日常管理，每年分2次对净水过滤罐进行清洗和消毒，特别是过滤罐长期停运后，重新开启时，要对滤料进行约5~30分钟的正洗，冲洗至出水清澈为止。另外过滤罐初次运行或长期停运后再运行时，应对设备进行排气，同时设备反洗时应控制好反冲洗强度，确保清洗干净；</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（3）建立净水设备管理档案，详细记录净水设备安装年限、材质及有关参数、大修理、更新、突发事故处理及与净水设备有关设施设备相关系数等情况。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5.消毒设备的运行管理。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（1）每年分2次（上半年和下半年各1次）对消毒设备（包含但不限于次氯酸钠投加器）进行清洗和消毒；</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次氯酸钠投加器开机前，检查次氯酸钠溶液出口阀门是否打开；</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次氯酸钠投加器运行时应及时检查投药桶里是否有次氯酸钠溶液，投药管是否与上水管连接；</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短时间停机检修时，需先关闭总电源开关，直至次氯酸钠投加器上的电源指示灯熄灭。根据检修对象及步骤确定切断次氯酸钠溶液的供应；</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（5）次氯酸钠的投加量与原水水质有关，当仅用作消毒时，一般投加0.2~1.0毫克/升；当兼用作氧化时，一般投加0.5~1.5毫克/升；投加量必须保证管网末梢能有0.05毫克/升的余氯或不小于0.02毫克/升的二氧化氯余量；</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（6）次氯酸钠溶液的制备及原料储存，应有防毒、防火、 防爆等安全措施；</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（7）建立消毒设备管理档案，详细记录安装年限、材质及有关参数、消毒设备大修理、更新、突发事故处理及有关设施设备相关系数等情况。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6.供水管道的运行管理。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（1）为确保农村饮用水的水质质量，对负责范围内DN50以上的输水管道每年进行一次定期排放、冲洗的管理工作，确保水质清澈、卫生和合格；</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2）为确保负责范围内供水管道的正常运行，须不定时（以村为单位，每月不少于2次）的对供水管道进行巡检，发现供水管道有漏或是损坏及时上报相关部门快捷维修、维护，保障供水管道正常运行，从而减少漏损，提高供水经济效益和社会效益；</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（3）建立供水管道管理档案，详细记录供水管道建设年限、材质及有关参数、大修理、更新、突发事故处理及有关设施设备相关系数等情况。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7.负责农村饮水管理台账的建立，助力乡村振兴工作。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8.配合各镇开展龙华区农村饮水安全情况摸底调查工作，加强做好水源地的保护和管理工作，禁止一切影响水质安全的行为，确保水源安全。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9.配合解决群众、12345平台及有关媒体反映的有关供水问题。 </w:t>
      </w:r>
    </w:p>
    <w:p>
      <w:pPr>
        <w:pStyle w:val="7"/>
        <w:keepNext w:val="0"/>
        <w:keepLines w:val="0"/>
        <w:pageBreakBefore w:val="0"/>
        <w:widowControl/>
        <w:numPr>
          <w:ilvl w:val="0"/>
          <w:numId w:val="0"/>
        </w:numPr>
        <w:kinsoku/>
        <w:wordWrap/>
        <w:overflowPunct/>
        <w:topLinePunct w:val="0"/>
        <w:autoSpaceDE/>
        <w:autoSpaceDN/>
        <w:bidi w:val="0"/>
        <w:adjustRightInd w:val="0"/>
        <w:snapToGrid w:val="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（六）、管理模式</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采取政府购买方式，由区水务局委托第三方管理机构进行专业化管理。建立健全区级农村供水管理服务、加强供水水质保障措施、加强卫生管理、增强管理人员的业务能力培训、加强工程运营管理经费保障机制，确保工程长效运营，实现水塔、水井、供水管道、泵房设施设备、净水消毒设备正常运行，水质符合国家卫生饮用水标准。 </w:t>
      </w:r>
    </w:p>
    <w:p>
      <w:pPr>
        <w:pStyle w:val="7"/>
        <w:keepNext w:val="0"/>
        <w:keepLines w:val="0"/>
        <w:pageBreakBefore w:val="0"/>
        <w:widowControl/>
        <w:numPr>
          <w:ilvl w:val="0"/>
          <w:numId w:val="0"/>
        </w:numPr>
        <w:kinsoku/>
        <w:wordWrap/>
        <w:overflowPunct/>
        <w:topLinePunct w:val="0"/>
        <w:autoSpaceDE/>
        <w:autoSpaceDN/>
        <w:bidi w:val="0"/>
        <w:adjustRightInd w:val="0"/>
        <w:snapToGrid w:val="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（七）、设施设备维修管理工作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第三方管理运营机构在管理过程中，如发现设备、设施损坏等问题需要维修或更换时，采取应急保障措施优先保障群众用水，并第一时间上报属地镇政府，由当地镇政府及水务部门派员核查落实后申请财政资金解决。维修费用10万元以下的由属地镇政府负责维修或更换，维修或更换费用10万以上的由水务部门负责维修或更换。 </w:t>
      </w:r>
    </w:p>
    <w:p>
      <w:pPr>
        <w:pStyle w:val="7"/>
        <w:keepNext w:val="0"/>
        <w:keepLines w:val="0"/>
        <w:pageBreakBefore w:val="0"/>
        <w:widowControl/>
        <w:numPr>
          <w:ilvl w:val="0"/>
          <w:numId w:val="0"/>
        </w:numPr>
        <w:kinsoku/>
        <w:wordWrap/>
        <w:overflowPunct/>
        <w:topLinePunct w:val="0"/>
        <w:autoSpaceDE/>
        <w:autoSpaceDN/>
        <w:bidi w:val="0"/>
        <w:adjustRightInd w:val="0"/>
        <w:snapToGrid w:val="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（八）、资金来源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1.委托运营管理费用列入年度政府财政预算。供水工程运营管理费由水塔、深机井、泵房、净水设备、消毒设备、供水管道运行管理费及油漆费、消毒药剂费等部分组成。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2.支付方式：根据区财政局下达资金情况，区水务局按季度进行考核支付。 </w:t>
      </w:r>
    </w:p>
    <w:p>
      <w:pPr>
        <w:pStyle w:val="7"/>
        <w:keepNext w:val="0"/>
        <w:keepLines w:val="0"/>
        <w:pageBreakBefore w:val="0"/>
        <w:widowControl/>
        <w:numPr>
          <w:ilvl w:val="0"/>
          <w:numId w:val="0"/>
        </w:numPr>
        <w:kinsoku/>
        <w:wordWrap/>
        <w:overflowPunct/>
        <w:topLinePunct w:val="0"/>
        <w:autoSpaceDE/>
        <w:autoSpaceDN/>
        <w:bidi w:val="0"/>
        <w:adjustRightInd w:val="0"/>
        <w:snapToGrid w:val="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（九）、保障措施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1.加强组织领导。为确保我区农村饮水安全标准化管理工作有计划、有步骤地顺利实施，使农村饮水工程建设达到“高水平、高质量、高效益”的预期目标，区财政、区卫健、区水务、各镇等有关部门共同参与协调和处理有关工作，及时对工作落实情况进行督促、检查、监督，助力推进我区加快实现城乡供水一体化。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2.强化经费保障。将农村供水工程专业化管理委托运营经费列入年度财政预算，加强资金的使用和管理，使有限的资金发挥最大的效益，确保我区农村供水工程专业化管理顺利推进。 </w:t>
      </w:r>
    </w:p>
    <w:p>
      <w:pPr>
        <w:pStyle w:val="7"/>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3.强化工作考核。采取按月考核和季度考核相结合的方式，对管理情况进行绩效考核，将农村供水工程标准化管理成果作为工作考核的重要依据，重点考核管理人员业务技能、设备运行、水质检测、卫生状况、资料完善、群众满意度等多项综合指标。并根据考核结果，进行通报，鼓励和引导提升服务质量。 </w:t>
      </w:r>
    </w:p>
    <w:p>
      <w:r>
        <w:rPr>
          <w:rFonts w:hint="eastAsia" w:ascii="仿宋" w:hAnsi="仿宋" w:eastAsia="仿宋" w:cs="仿宋"/>
          <w:color w:val="auto"/>
          <w:lang w:val="en-US" w:eastAsia="zh-CN"/>
        </w:rPr>
        <w:t>4.加强总结宣传。及时总结我区开展农村供水工程专业化管理工作的经验，做法。通过组织观摩、报刊、新媒体等方式进行广泛宣传推广，发挥辐射带动效应。充分利用广播、报纸、互联网、手册等多种形式，广泛开展农村饮水安全及水质保护等常识宣传教育工作，加强培训管理人员业务技能、设备运行维护、水质检测等综合管理能力，提高管理人员专业素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altName w:val="微软雅黑"/>
    <w:panose1 w:val="02010800040101010101"/>
    <w:charset w:val="86"/>
    <w:family w:val="auto"/>
    <w:pitch w:val="default"/>
    <w:sig w:usb0="00000000" w:usb1="00000000" w:usb2="00000000" w:usb3="00000000" w:csb0="00040000" w:csb1="00000000"/>
  </w:font>
  <w:font w:name="Century Gothic">
    <w:altName w:val="Yu Gothic UI"/>
    <w:panose1 w:val="020B0502020202020204"/>
    <w:charset w:val="00"/>
    <w:family w:val="swiss"/>
    <w:pitch w:val="default"/>
    <w:sig w:usb0="00000000"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zNGQ5NGI5MmExMzA1ZDMxZTExZmI1ZmMwOTBlNTAifQ=="/>
  </w:docVars>
  <w:rsids>
    <w:rsidRoot w:val="4CC5763D"/>
    <w:rsid w:val="4CC5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b/>
      <w:kern w:val="44"/>
      <w:sz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表格文字"/>
    <w:basedOn w:val="1"/>
    <w:qFormat/>
    <w:uiPriority w:val="0"/>
    <w:rPr>
      <w:rFonts w:hAnsi="宋体"/>
      <w:sz w:val="18"/>
      <w:szCs w:val="18"/>
    </w:rPr>
  </w:style>
  <w:style w:type="paragraph" w:styleId="4">
    <w:name w:val="caption"/>
    <w:basedOn w:val="1"/>
    <w:next w:val="1"/>
    <w:qFormat/>
    <w:uiPriority w:val="0"/>
    <w:pPr>
      <w:jc w:val="center"/>
    </w:pPr>
    <w:rPr>
      <w:rFonts w:ascii="华文彩云" w:hAnsi="Century Gothic" w:cs="Arial"/>
      <w:b/>
      <w:bCs/>
      <w:sz w:val="52"/>
      <w:szCs w:val="72"/>
    </w:rPr>
  </w:style>
  <w:style w:type="paragraph" w:styleId="5">
    <w:name w:val="Body Text"/>
    <w:basedOn w:val="1"/>
    <w:next w:val="6"/>
    <w:qFormat/>
    <w:uiPriority w:val="0"/>
    <w:pPr>
      <w:widowControl/>
      <w:spacing w:after="120"/>
      <w:jc w:val="left"/>
    </w:pPr>
    <w:rPr>
      <w:rFonts w:ascii="Calibri" w:hAnsi="Calibri" w:cs="黑体"/>
      <w:kern w:val="2"/>
      <w:sz w:val="21"/>
      <w:szCs w:val="22"/>
    </w:rPr>
  </w:style>
  <w:style w:type="paragraph" w:styleId="6">
    <w:name w:val="header"/>
    <w:basedOn w:val="1"/>
    <w:next w:val="4"/>
    <w:qFormat/>
    <w:uiPriority w:val="99"/>
    <w:pPr>
      <w:pBdr>
        <w:bottom w:val="single" w:color="auto" w:sz="6" w:space="1"/>
      </w:pBdr>
      <w:tabs>
        <w:tab w:val="center" w:pos="4153"/>
        <w:tab w:val="right" w:pos="8306"/>
      </w:tabs>
      <w:snapToGrid w:val="0"/>
      <w:jc w:val="center"/>
    </w:pPr>
    <w:rPr>
      <w:rFonts w:ascii="Times New Roman"/>
      <w:sz w:val="18"/>
      <w:szCs w:val="18"/>
    </w:rPr>
  </w:style>
  <w:style w:type="paragraph" w:styleId="7">
    <w:name w:val="Body Text First Indent"/>
    <w:basedOn w:val="5"/>
    <w:next w:val="1"/>
    <w:qFormat/>
    <w:uiPriority w:val="0"/>
    <w:pPr>
      <w:adjustRightInd w:val="0"/>
      <w:snapToGrid w:val="0"/>
      <w:spacing w:line="400" w:lineRule="exact"/>
      <w:ind w:firstLine="51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2023-11-02T03:32:00Z</dcterms:created>
  <dc:creator>Administrator</dc:creator>
  <cp:lastModifiedBy>Administrator</cp:lastModifiedBy>
  <dcterms:modified xsi:type="dcterms:W3CDTF">2023-11-02T03:32:32Z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9930E2EA01B3441EAE11B570CE4118C4_11</vt:lpwstr>
  </property>
</Properties>
</file>