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val="en-US" w:eastAsia="zh-CN"/>
        </w:rPr>
      </w:pPr>
      <w:r>
        <w:rPr>
          <w:rFonts w:hint="eastAsia"/>
          <w:sz w:val="40"/>
          <w:szCs w:val="48"/>
          <w:lang w:val="en-US" w:eastAsia="zh-CN"/>
        </w:rPr>
        <w:t>用户需求书</w:t>
      </w:r>
    </w:p>
    <w:p>
      <w:pPr>
        <w:numPr>
          <w:ilvl w:val="0"/>
          <w:numId w:val="1"/>
        </w:numPr>
        <w:jc w:val="both"/>
        <w:rPr>
          <w:rFonts w:hint="eastAsia"/>
          <w:sz w:val="36"/>
          <w:szCs w:val="44"/>
          <w:lang w:val="en-US" w:eastAsia="zh-CN"/>
        </w:rPr>
      </w:pPr>
      <w:r>
        <w:rPr>
          <w:rFonts w:hint="eastAsia"/>
          <w:sz w:val="36"/>
          <w:szCs w:val="44"/>
          <w:lang w:val="en-US" w:eastAsia="zh-CN"/>
        </w:rPr>
        <w:t>项目名称</w:t>
      </w:r>
    </w:p>
    <w:p>
      <w:pPr>
        <w:numPr>
          <w:ilvl w:val="0"/>
          <w:numId w:val="0"/>
        </w:numPr>
        <w:jc w:val="both"/>
        <w:rPr>
          <w:rFonts w:hint="eastAsia"/>
          <w:sz w:val="36"/>
          <w:szCs w:val="44"/>
          <w:lang w:val="en-US" w:eastAsia="zh-CN"/>
        </w:rPr>
      </w:pPr>
      <w:r>
        <w:rPr>
          <w:rFonts w:hint="eastAsia"/>
          <w:sz w:val="36"/>
          <w:szCs w:val="44"/>
          <w:lang w:val="en-US" w:eastAsia="zh-CN"/>
        </w:rPr>
        <w:t>2024年度三沙市船务管理局船舶保险项目</w:t>
      </w:r>
    </w:p>
    <w:p>
      <w:pPr>
        <w:numPr>
          <w:ilvl w:val="0"/>
          <w:numId w:val="1"/>
        </w:numPr>
        <w:ind w:left="0" w:leftChars="0" w:firstLine="0" w:firstLineChars="0"/>
        <w:jc w:val="both"/>
        <w:rPr>
          <w:rFonts w:hint="eastAsia"/>
          <w:sz w:val="36"/>
          <w:szCs w:val="44"/>
          <w:lang w:val="en-US" w:eastAsia="zh-CN"/>
        </w:rPr>
      </w:pPr>
      <w:r>
        <w:rPr>
          <w:rFonts w:hint="eastAsia"/>
          <w:sz w:val="36"/>
          <w:szCs w:val="44"/>
          <w:lang w:val="en-US" w:eastAsia="zh-CN"/>
        </w:rPr>
        <w:t>船舶简要信息</w:t>
      </w:r>
    </w:p>
    <w:tbl>
      <w:tblPr>
        <w:tblStyle w:val="4"/>
        <w:tblW w:w="80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0"/>
        <w:gridCol w:w="2020"/>
        <w:gridCol w:w="816"/>
        <w:gridCol w:w="2175"/>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船舶名称</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总吨位</w:t>
            </w:r>
          </w:p>
        </w:tc>
        <w:tc>
          <w:tcPr>
            <w:tcW w:w="21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船籍港</w:t>
            </w:r>
          </w:p>
        </w:tc>
        <w:tc>
          <w:tcPr>
            <w:tcW w:w="24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建造年份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三沙1号（客滚船）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12545</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三沙2号（客滚船）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11572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琼沙3号（客货船）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三沙综合保障01（拖轮）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三沙综合保障02（拖轮）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三沙综合保障03（拖轮）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807</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银屿（公务船）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晋卿（公务船）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金银岛（散货船）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673</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永乐平台1（科考平台、包含三艘浮驳）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4789</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三沙运01（特种船）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w:t>
            </w:r>
          </w:p>
        </w:tc>
      </w:tr>
    </w:tbl>
    <w:p>
      <w:pPr>
        <w:numPr>
          <w:ilvl w:val="0"/>
          <w:numId w:val="1"/>
        </w:numPr>
        <w:ind w:left="0" w:leftChars="0" w:firstLine="0" w:firstLineChars="0"/>
        <w:jc w:val="both"/>
        <w:rPr>
          <w:rFonts w:hint="eastAsia"/>
          <w:sz w:val="36"/>
          <w:szCs w:val="44"/>
          <w:lang w:val="en-US" w:eastAsia="zh-CN"/>
        </w:rPr>
      </w:pPr>
      <w:r>
        <w:rPr>
          <w:rFonts w:hint="eastAsia"/>
          <w:sz w:val="36"/>
          <w:szCs w:val="44"/>
          <w:lang w:val="en-US" w:eastAsia="zh-CN"/>
        </w:rPr>
        <w:t>采购内容</w:t>
      </w:r>
    </w:p>
    <w:p>
      <w:pPr>
        <w:numPr>
          <w:ilvl w:val="0"/>
          <w:numId w:val="0"/>
        </w:numPr>
        <w:ind w:leftChars="0"/>
        <w:jc w:val="both"/>
        <w:rPr>
          <w:rFonts w:hint="eastAsia"/>
          <w:sz w:val="36"/>
          <w:szCs w:val="44"/>
          <w:lang w:val="en-US" w:eastAsia="zh-CN"/>
        </w:rPr>
      </w:pPr>
      <w:r>
        <w:rPr>
          <w:rFonts w:hint="eastAsia"/>
          <w:sz w:val="36"/>
          <w:szCs w:val="44"/>
          <w:lang w:val="en-US" w:eastAsia="zh-CN"/>
        </w:rPr>
        <w:t>本项目采购分为两个标包，每家投标人只可中标1个标包，具体分包情况如下：</w:t>
      </w:r>
    </w:p>
    <w:tbl>
      <w:tblPr>
        <w:tblStyle w:val="5"/>
        <w:tblpPr w:leftFromText="180" w:rightFromText="180" w:vertAnchor="text" w:horzAnchor="page" w:tblpX="825" w:tblpY="769"/>
        <w:tblOverlap w:val="never"/>
        <w:tblW w:w="10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127"/>
        <w:gridCol w:w="2127"/>
        <w:gridCol w:w="2127"/>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127" w:type="dxa"/>
          </w:tcPr>
          <w:p>
            <w:pPr>
              <w:pStyle w:val="2"/>
              <w:rPr>
                <w:rFonts w:hint="default"/>
                <w:vertAlign w:val="baseline"/>
                <w:lang w:val="en-US" w:eastAsia="zh-CN"/>
              </w:rPr>
            </w:pPr>
            <w:r>
              <w:rPr>
                <w:rFonts w:hint="eastAsia"/>
                <w:vertAlign w:val="baseline"/>
                <w:lang w:val="en-US" w:eastAsia="zh-CN"/>
              </w:rPr>
              <w:t>序号</w:t>
            </w:r>
          </w:p>
        </w:tc>
        <w:tc>
          <w:tcPr>
            <w:tcW w:w="2127" w:type="dxa"/>
          </w:tcPr>
          <w:p>
            <w:pPr>
              <w:pStyle w:val="2"/>
              <w:rPr>
                <w:rFonts w:hint="default"/>
                <w:vertAlign w:val="baseline"/>
                <w:lang w:val="en-US" w:eastAsia="zh-CN"/>
              </w:rPr>
            </w:pPr>
            <w:r>
              <w:rPr>
                <w:rFonts w:hint="eastAsia"/>
                <w:vertAlign w:val="baseline"/>
                <w:lang w:val="en-US" w:eastAsia="zh-CN"/>
              </w:rPr>
              <w:t>标包内容</w:t>
            </w:r>
          </w:p>
        </w:tc>
        <w:tc>
          <w:tcPr>
            <w:tcW w:w="2127" w:type="dxa"/>
          </w:tcPr>
          <w:p>
            <w:pPr>
              <w:pStyle w:val="2"/>
              <w:rPr>
                <w:rFonts w:hint="default"/>
                <w:vertAlign w:val="baseline"/>
                <w:lang w:val="en-US" w:eastAsia="zh-CN"/>
              </w:rPr>
            </w:pPr>
            <w:r>
              <w:rPr>
                <w:rFonts w:hint="eastAsia"/>
                <w:vertAlign w:val="baseline"/>
                <w:lang w:val="en-US" w:eastAsia="zh-CN"/>
              </w:rPr>
              <w:t>船名</w:t>
            </w:r>
          </w:p>
        </w:tc>
        <w:tc>
          <w:tcPr>
            <w:tcW w:w="2127" w:type="dxa"/>
          </w:tcPr>
          <w:p>
            <w:pPr>
              <w:pStyle w:val="2"/>
              <w:rPr>
                <w:rFonts w:hint="default"/>
                <w:vertAlign w:val="baseline"/>
                <w:lang w:val="en-US" w:eastAsia="zh-CN"/>
              </w:rPr>
            </w:pPr>
            <w:r>
              <w:rPr>
                <w:rFonts w:hint="eastAsia"/>
                <w:vertAlign w:val="baseline"/>
                <w:lang w:val="en-US" w:eastAsia="zh-CN"/>
              </w:rPr>
              <w:t>被保险人员</w:t>
            </w:r>
          </w:p>
        </w:tc>
        <w:tc>
          <w:tcPr>
            <w:tcW w:w="2129" w:type="dxa"/>
          </w:tcPr>
          <w:p>
            <w:pPr>
              <w:pStyle w:val="2"/>
              <w:rPr>
                <w:rFonts w:hint="default"/>
                <w:vertAlign w:val="baseline"/>
                <w:lang w:val="en-US" w:eastAsia="zh-CN"/>
              </w:rPr>
            </w:pPr>
            <w:r>
              <w:rPr>
                <w:rFonts w:hint="eastAsia"/>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2127" w:type="dxa"/>
          </w:tcPr>
          <w:p>
            <w:pPr>
              <w:pStyle w:val="2"/>
              <w:rPr>
                <w:rFonts w:hint="default"/>
                <w:vertAlign w:val="baseline"/>
                <w:lang w:val="en-US" w:eastAsia="zh-CN"/>
              </w:rPr>
            </w:pPr>
            <w:r>
              <w:rPr>
                <w:rFonts w:hint="eastAsia"/>
                <w:vertAlign w:val="baseline"/>
                <w:lang w:val="en-US" w:eastAsia="zh-CN"/>
              </w:rPr>
              <w:t>1</w:t>
            </w:r>
          </w:p>
        </w:tc>
        <w:tc>
          <w:tcPr>
            <w:tcW w:w="2127" w:type="dxa"/>
          </w:tcPr>
          <w:p>
            <w:pPr>
              <w:pStyle w:val="2"/>
              <w:rPr>
                <w:rFonts w:hint="default"/>
                <w:vertAlign w:val="baseline"/>
                <w:lang w:val="en-US" w:eastAsia="zh-CN"/>
              </w:rPr>
            </w:pPr>
            <w:r>
              <w:rPr>
                <w:rFonts w:hint="eastAsia"/>
                <w:vertAlign w:val="baseline"/>
                <w:lang w:val="en-US" w:eastAsia="zh-CN"/>
              </w:rPr>
              <w:t>标包1（包含六艘船及岸基人员加标包2以外的船务管理局所属船员）</w:t>
            </w:r>
          </w:p>
        </w:tc>
        <w:tc>
          <w:tcPr>
            <w:tcW w:w="2127" w:type="dxa"/>
          </w:tcPr>
          <w:p>
            <w:pPr>
              <w:pStyle w:val="2"/>
              <w:rPr>
                <w:rFonts w:hint="default"/>
                <w:vertAlign w:val="baseline"/>
                <w:lang w:val="en-US" w:eastAsia="zh-CN"/>
              </w:rPr>
            </w:pPr>
            <w:r>
              <w:rPr>
                <w:rFonts w:hint="eastAsia"/>
                <w:vertAlign w:val="baseline"/>
                <w:lang w:val="en-US" w:eastAsia="zh-CN"/>
              </w:rPr>
              <w:t>三沙1号、琼沙3号、永乐平台1（科考平台、包含三</w:t>
            </w:r>
            <w:bookmarkStart w:id="0" w:name="_GoBack"/>
            <w:bookmarkEnd w:id="0"/>
            <w:r>
              <w:rPr>
                <w:rFonts w:hint="eastAsia"/>
                <w:vertAlign w:val="baseline"/>
                <w:lang w:val="en-US" w:eastAsia="zh-CN"/>
              </w:rPr>
              <w:t>艘浮驳）、银屿、晋卿、金银岛</w:t>
            </w:r>
          </w:p>
        </w:tc>
        <w:tc>
          <w:tcPr>
            <w:tcW w:w="2127" w:type="dxa"/>
          </w:tcPr>
          <w:p>
            <w:pPr>
              <w:pStyle w:val="2"/>
              <w:rPr>
                <w:rFonts w:hint="default"/>
                <w:vertAlign w:val="baseline"/>
                <w:lang w:val="en-US" w:eastAsia="zh-CN"/>
              </w:rPr>
            </w:pPr>
            <w:r>
              <w:rPr>
                <w:rFonts w:hint="eastAsia"/>
                <w:vertAlign w:val="baseline"/>
                <w:lang w:val="en-US" w:eastAsia="zh-CN"/>
              </w:rPr>
              <w:t>岸基人员加标包2以外的船务管理局所属船员合计184人</w:t>
            </w:r>
          </w:p>
        </w:tc>
        <w:tc>
          <w:tcPr>
            <w:tcW w:w="2129" w:type="dxa"/>
          </w:tcPr>
          <w:p>
            <w:pPr>
              <w:pStyle w:val="2"/>
              <w:rPr>
                <w:rFonts w:hint="default"/>
                <w:vertAlign w:val="baseline"/>
                <w:lang w:val="en-US" w:eastAsia="zh-CN"/>
              </w:rPr>
            </w:pPr>
            <w:r>
              <w:rPr>
                <w:rFonts w:hint="eastAsia"/>
                <w:vertAlign w:val="baseline"/>
                <w:lang w:val="en-US" w:eastAsia="zh-CN"/>
              </w:rPr>
              <w:t>420万元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2127" w:type="dxa"/>
          </w:tcPr>
          <w:p>
            <w:pPr>
              <w:pStyle w:val="2"/>
              <w:rPr>
                <w:rFonts w:hint="default"/>
                <w:vertAlign w:val="baseline"/>
                <w:lang w:val="en-US" w:eastAsia="zh-CN"/>
              </w:rPr>
            </w:pPr>
            <w:r>
              <w:rPr>
                <w:rFonts w:hint="eastAsia"/>
                <w:vertAlign w:val="baseline"/>
                <w:lang w:val="en-US" w:eastAsia="zh-CN"/>
              </w:rPr>
              <w:t>2</w:t>
            </w:r>
          </w:p>
        </w:tc>
        <w:tc>
          <w:tcPr>
            <w:tcW w:w="2127" w:type="dxa"/>
          </w:tcPr>
          <w:p>
            <w:pPr>
              <w:pStyle w:val="2"/>
              <w:rPr>
                <w:rFonts w:hint="default"/>
                <w:vertAlign w:val="baseline"/>
                <w:lang w:val="en-US" w:eastAsia="zh-CN"/>
              </w:rPr>
            </w:pPr>
            <w:r>
              <w:rPr>
                <w:rFonts w:hint="eastAsia"/>
                <w:vertAlign w:val="baseline"/>
                <w:lang w:val="en-US" w:eastAsia="zh-CN"/>
              </w:rPr>
              <w:t>标包2（包含五艘船及船务管理局所属三沙1号、琼沙3号、永乐平台1（科考平台）船员）</w:t>
            </w:r>
          </w:p>
        </w:tc>
        <w:tc>
          <w:tcPr>
            <w:tcW w:w="2127" w:type="dxa"/>
          </w:tcPr>
          <w:p>
            <w:pPr>
              <w:pStyle w:val="2"/>
              <w:rPr>
                <w:rFonts w:hint="default"/>
                <w:vertAlign w:val="baseline"/>
                <w:lang w:val="en-US" w:eastAsia="zh-CN"/>
              </w:rPr>
            </w:pPr>
            <w:r>
              <w:rPr>
                <w:rFonts w:hint="eastAsia"/>
                <w:vertAlign w:val="baseline"/>
                <w:lang w:val="en-US" w:eastAsia="zh-CN"/>
              </w:rPr>
              <w:t>三沙2号、三沙综合保障01、三沙综合保障02、三沙综合保障03、三沙运01</w:t>
            </w:r>
          </w:p>
        </w:tc>
        <w:tc>
          <w:tcPr>
            <w:tcW w:w="2127" w:type="dxa"/>
          </w:tcPr>
          <w:p>
            <w:pPr>
              <w:pStyle w:val="2"/>
              <w:rPr>
                <w:rFonts w:hint="default"/>
                <w:vertAlign w:val="baseline"/>
                <w:lang w:val="en-US" w:eastAsia="zh-CN"/>
              </w:rPr>
            </w:pPr>
            <w:r>
              <w:rPr>
                <w:rFonts w:hint="eastAsia"/>
                <w:vertAlign w:val="baseline"/>
                <w:lang w:val="en-US" w:eastAsia="zh-CN"/>
              </w:rPr>
              <w:t>船务管理局所属三沙1号、琼沙3号、永乐平台1（科考平台）船员合计136人</w:t>
            </w:r>
          </w:p>
        </w:tc>
        <w:tc>
          <w:tcPr>
            <w:tcW w:w="2129" w:type="dxa"/>
          </w:tcPr>
          <w:p>
            <w:pPr>
              <w:pStyle w:val="2"/>
              <w:rPr>
                <w:rFonts w:hint="default"/>
                <w:vertAlign w:val="baseline"/>
                <w:lang w:val="en-US" w:eastAsia="zh-CN"/>
              </w:rPr>
            </w:pPr>
            <w:r>
              <w:rPr>
                <w:rFonts w:hint="eastAsia"/>
                <w:vertAlign w:val="baseline"/>
                <w:lang w:val="en-US" w:eastAsia="zh-CN"/>
              </w:rPr>
              <w:t>420万元</w:t>
            </w:r>
          </w:p>
        </w:tc>
      </w:tr>
    </w:tbl>
    <w:p>
      <w:pPr>
        <w:pStyle w:val="2"/>
        <w:rPr>
          <w:rFonts w:hint="default"/>
          <w:lang w:val="en-US" w:eastAsia="zh-CN"/>
        </w:rPr>
      </w:pPr>
    </w:p>
    <w:p>
      <w:pPr>
        <w:pStyle w:val="3"/>
        <w:rPr>
          <w:rFonts w:hint="default"/>
          <w:lang w:val="en-US" w:eastAsia="zh-CN"/>
        </w:rPr>
      </w:pPr>
    </w:p>
    <w:p>
      <w:pPr>
        <w:numPr>
          <w:ilvl w:val="0"/>
          <w:numId w:val="0"/>
        </w:numPr>
        <w:ind w:leftChars="0"/>
        <w:jc w:val="both"/>
        <w:rPr>
          <w:rFonts w:hint="eastAsia"/>
          <w:sz w:val="36"/>
          <w:szCs w:val="44"/>
          <w:lang w:val="en-US" w:eastAsia="zh-CN"/>
        </w:rPr>
      </w:pPr>
      <w:r>
        <w:rPr>
          <w:rFonts w:hint="eastAsia"/>
          <w:sz w:val="36"/>
          <w:szCs w:val="44"/>
          <w:lang w:val="en-US" w:eastAsia="zh-CN"/>
        </w:rPr>
        <w:t>详细采购清单如下：</w:t>
      </w:r>
    </w:p>
    <w:tbl>
      <w:tblPr>
        <w:tblStyle w:val="4"/>
        <w:tblW w:w="1049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1"/>
        <w:gridCol w:w="991"/>
        <w:gridCol w:w="2194"/>
        <w:gridCol w:w="6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5" w:hRule="atLeast"/>
        </w:trPr>
        <w:tc>
          <w:tcPr>
            <w:tcW w:w="74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 船舶名称</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保险项目</w:t>
            </w:r>
          </w:p>
        </w:tc>
        <w:tc>
          <w:tcPr>
            <w:tcW w:w="6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保险保障内容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0"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三沙1号（客滚船）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1、主险：远洋船舶一切险（保额人民币29000万元）；（覆盖船体及自然灾害，雷击、台风、冰凌等）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（2）附加油污责任条款（累计及每次事故赔偿责任限额为2000万元）；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（3）附加残骸清除责任保险条款（累计及每次事故赔偿责任限额为4000万元）；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（7）附加货物运输承运人责任保险（累计赔偿限额为人民币2000万元，每次事故责任限额为人民币1000万元）；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（8）附加第三者人身伤亡责任保险（保额8000万，每人每次事故责任限额为人民币100万元，其中医疗费用每人每次事故赔偿责任限额为人民币20万元）。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（9）代位赔偿、代位追责；附加指定检验人或公估人条款；直升机许可条款。</w:t>
            </w:r>
            <w:r>
              <w:rPr>
                <w:rStyle w:val="8"/>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8"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（2）附加油污责任，每次事故绝对免赔额为人民币20000元。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1" w:hRule="atLeast"/>
        </w:trPr>
        <w:tc>
          <w:tcPr>
            <w:tcW w:w="74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三沙2号（客滚船）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1、主险：远洋船舶一切险（保额人民币37598万元）；（覆盖船体及自然灾害，雷击、台风、冰凌等）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（2）附加油污责任条款（累计及每次事故赔偿责任限额为2000万元）；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（3）附加残骸清除责任保险条款（累计及每次事故赔偿责任限额为4000万元）；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（7）附加货物运输承运人责任保险（累计赔偿限额为人民币2000万元，每次事故责任限额为人民币1000万元）；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（8）附加第三者人身伤亡责任保险（保额8000万，每人每次事故责任限额为人民币100万元，其中医疗费用每人每次事故赔偿责任限额为人民币20万元）。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（9）代位赔偿、代位追责；附加指定检验人或公估人条款；直升机许可条款。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8" w:hRule="atLeast"/>
        </w:trPr>
        <w:tc>
          <w:tcPr>
            <w:tcW w:w="74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（2）附加油污责任，每次事故绝对免赔额为人民币20000元。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3"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琼沙3号（客货船）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1、主险：远洋船舶一切险（保额人民币4500万元）；（覆盖船体及自然灾害，雷击、台风、冰凌等）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（2）附加油污责任条款（责任限额为500万元）；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（7）附加货物运输承运人责任保险（累计赔偿限额为人民币500万元，每次事故责任限额为人民币500万元）；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（8）附加第三者人身伤亡责任保险（保额4000万，每人每次事故责任限额为人民币100万元，其中医疗费用每人每次事故赔偿责任限额为人民币20万元）。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8"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（2）附加油污责任，每次事故绝对免赔额为人民币20000元。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6"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三沙综合保障01（拖轮）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1、主险：远洋船舶一切险（保额人民币5400万元）；（覆盖船体及自然灾害，雷击、台风、冰凌等）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（2）附加拖轮拖带责任保险（责任限额为1000万元）；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（3）附加油污责任条款（责任限额为200万元）；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（8）附加货物运输承运人责任保险（累计赔偿限额为人民币100万元，每次事故责任限额为人民币100万元）；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（9）附加第三者人身伤亡责任保险（每人每次事故责任限额为人民币100万元，其中医疗费用每人每次事故赔偿责任限额为人民币20万元）。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（1）附加碰撞桥梁及附属设施、水产养殖及设备、捕捞设施、水下设施责任保险 ，免赔额为每次事故人民币5000元或核定损失金额的5%，二者以高者为准。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（2）附加拖轮拖带责任，每次事故绝对免赔额为人民币1万元或损失金额的10%，以高者为准。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7" w:hRule="atLeast"/>
        </w:trPr>
        <w:tc>
          <w:tcPr>
            <w:tcW w:w="741"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991"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三沙综合保障02（拖轮）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1、主险：远洋船舶一切险（保额人民币4958万元）；（覆盖船体及自然灾害，雷击、台风、冰凌等）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（2）附加拖轮拖带责任保险（责任限额为1000万元）；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（3）附加油污责任条款（责任限额为200万元）；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（8）附加货物运输承运人责任保险（累计赔偿限额为人民币100万元，每次事故责任限额为人民币100万元）；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（9）附加第三者人身伤亡责任保险（每人每次事故责任限额为人民币100万元，其中医疗费用每人每次事故赔偿责任限额为人民币20万元）。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5" w:hRule="atLeast"/>
        </w:trPr>
        <w:tc>
          <w:tcPr>
            <w:tcW w:w="741"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（1）附加碰撞桥梁及附属设施、水产养殖及设备、捕捞设施、水下设施责任保险 ，免赔额为每次事故人民币5000元或核定损失金额的5%，二者以高者为准。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（2）附加拖轮拖带责任，每次事故绝对免赔额为人民币1万元或损失金额的10%，以高者为准。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0"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三沙综合保障03（拖轮）</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1、主险：远洋船舶一切险（保额人民币4958万元）；（覆盖船体及自然灾害，雷击、台风、冰凌等）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（2）附加拖轮拖带责任保险（责任限额为1000万元）；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（3）附加油污责任条款（责任限额为200万元）；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（8）附加货物运输承运人责任保险（累计赔偿限额为人民币100万元，每次事故责任限额为人民币100万元）；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（9）附加第三者人身伤亡责任保险（每人每次事故责任限额为人民币100万元，其中医疗费用每人每次事故赔偿责任限额为人民币20万元）。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（10）代位赔偿、代位追责；附加指定检验人或公估人条款；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5"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（1）附加碰撞桥梁及附属设施、水产养殖及设备、捕捞设施、水下设施责任保险 ，免赔额为每次事故人民币5000元或核定损失金额的5%，二者以高者为准。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（2）附加拖轮拖带责任，每次事故绝对免赔额为人民币1万元或损失金额的10%，以高者为准。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3"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银屿（公务船）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1、主险：远洋船舶一切险（保额人民币10650万元）；（覆盖船体及自然灾害，雷击、台风、冰凌等）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（2）附加油污责任条款（责任限额为200万元）；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（3）附加残骸清除责任保险条款（责任限额为2000万元）；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（7）附加货物运输承运人责任保险（累计赔偿限额为人民币200万元，每次事故责任限额为人民币200万元）；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（8）附加第三者人身伤亡责任保险（保额4000万，每人每次事故责任限额为人民币100万元，其中医疗费用每人每次事故赔偿责任限额为人民币20万元）。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8"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3"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晋卿（公务船）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1、主险：远洋船舶一切险（保额人民币2000万元）；（覆盖船体及自然灾害，雷击、台风、冰凌等）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（7）附加货物运输承运人责任保险（累计赔偿限额为人民币100万元，每次事故责任限额为人民币100万元）；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（8）附加第三者人身伤亡责任保险（保额4000万，每人每次事故责任限额为人民币100万元，其中医疗费用每人每次事故赔偿责任限额为人民币20万元）。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8"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3" w:hRule="atLeast"/>
        </w:trPr>
        <w:tc>
          <w:tcPr>
            <w:tcW w:w="741"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金银岛（散货船）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1、主险：远洋船舶一切险（保额人民币2200万元）；（覆盖船体及自然灾害，雷击、台风、冰凌等）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（7）附加货物运输承运人责任保险（累计赔偿限额为人民币500万元，每次事故责任限额为人民币500万元）；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8" w:hRule="atLeast"/>
        </w:trPr>
        <w:tc>
          <w:tcPr>
            <w:tcW w:w="741"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5"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永乐平台1（科考平台、包含三艘浮驳）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1、主险：远洋船舶一切险（保额人民币18800.7444万元）；（覆盖船体及自然灾害，雷击、台风、冰凌等）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（1）附加平台附属设施三艘浮驳、水产养殖及设备、捕捞设施、水下设备保险（覆盖光缆损坏等水下设施损害）（累计赔偿限额为人民币1000万元，每次事故责任限额为人民币1000万元）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（3）附加残骸清除责任保险条款（责任限额为4000万元）；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（7）附加第三者人身伤亡责任保险（保额2000万，每人每次事故责任限额为人民币100万元，其中医疗费用每人每次事故赔偿责任限额为人民币20万元）。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（8）代位赔偿、代位追责；附加指定检验人或公估人条款；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3"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3"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三沙运01（特种船）  </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1、主险：远洋船舶一切险（保额人民币15000万元）；（覆盖船体及自然灾害，雷击、台风、冰凌等）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（1）附加碰撞桥梁及附属设施、水产养殖及设备、捕捞设施、水下设备保险（覆盖光缆损坏等水下设施损害）（累计赔偿限额为人民币200万元，每次事故责任限额为人民币100万元）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（2）附加油污责任条款（责任限额为2000万元）；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（3）附加残骸清除责任保险条款（责任限额为4000万元）；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（4）附加姐妹船保险条款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（5）附加损失检验与理算条款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（6）附加预付赔款条款（50%）；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（7）附加货物运输承运人责任保险（累计赔偿限额为人民币2000万元，每次事故责任限额为人民币1000万元）；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（8）附加第三者人身伤亡责任保险（保额4000万，每人每次事故责任限额为人民币100万元，其中医疗费用每人每次事故赔偿责任限额为人民币20万元）。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（9）代位赔偿、代位追责；附加指定检验人或公估人条款；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1"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远洋船舶一切险及相关附加险（免赔额）</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主险：部分损失为每次事故人民币5000元或损失金额的5%，以高者为准；全损或推定全损为绝对免赔率5%；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（1）附加碰撞桥梁及附属设施、水产养殖及设备、捕捞设施、水下设施责任保险 ，免赔额为每次事故人民币5000元或核定损失金额的5%，二者以高者为准。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（2）附加油污责任，每次事故绝对免赔额为人民币20000元。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（3）残骸清除责任：每次事故绝对免赔额为人民币50000元。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（4）附加货物运输承运人责任，每次事故绝对免赔额为人民币1000元。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（5）附加第三者人身伤亡责任，医疗费用每次事故绝对免赔额为人民币1000元。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（6）姐妹船约定：发生碰撞事故时，被保险人其它姐妹船可视为第三者船舶处理。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6"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船员300人+岸基20人，合计320人</w:t>
            </w:r>
          </w:p>
        </w:tc>
        <w:tc>
          <w:tcPr>
            <w:tcW w:w="2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雇主保险</w:t>
            </w:r>
          </w:p>
        </w:tc>
        <w:tc>
          <w:tcPr>
            <w:tcW w:w="6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1、险种：雇主责任保险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2、保险范围：每人人身伤亡赔偿限额人民币100万元，每人医疗费用赔偿限额人民币20万元，每人每日误工费用赔偿限额100元、累计最高给付日数180天、每次免赔日数3天。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3、附加险责任：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（1）附加特殊天气条款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（2）附加社交和娱乐活动条款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（3）附加境内公出保险条款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（4）附加24小时意外险特别扩展条款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4、本保单的投保方式为实名制投保。</w:t>
            </w:r>
          </w:p>
        </w:tc>
      </w:tr>
    </w:tbl>
    <w:p>
      <w:pPr>
        <w:widowControl w:val="0"/>
        <w:numPr>
          <w:ilvl w:val="0"/>
          <w:numId w:val="0"/>
        </w:numPr>
        <w:jc w:val="both"/>
        <w:rPr>
          <w:rFonts w:hint="default"/>
          <w:sz w:val="36"/>
          <w:szCs w:val="44"/>
          <w:lang w:val="en-US" w:eastAsia="zh-CN"/>
        </w:rPr>
      </w:pPr>
      <w:r>
        <w:rPr>
          <w:rFonts w:hint="eastAsia"/>
          <w:sz w:val="36"/>
          <w:szCs w:val="44"/>
          <w:lang w:val="en-US" w:eastAsia="zh-CN"/>
        </w:rPr>
        <w:t>注：船舶详细情况及详细起保时间请咨询采购人。</w:t>
      </w:r>
    </w:p>
    <w:p>
      <w:pPr>
        <w:numPr>
          <w:ilvl w:val="0"/>
          <w:numId w:val="1"/>
        </w:numPr>
        <w:ind w:left="0" w:leftChars="0" w:firstLine="0" w:firstLineChars="0"/>
        <w:jc w:val="both"/>
        <w:rPr>
          <w:rFonts w:hint="eastAsia"/>
          <w:sz w:val="36"/>
          <w:szCs w:val="44"/>
          <w:lang w:val="en-US" w:eastAsia="zh-CN"/>
        </w:rPr>
      </w:pPr>
      <w:r>
        <w:rPr>
          <w:rFonts w:hint="eastAsia"/>
          <w:sz w:val="36"/>
          <w:szCs w:val="44"/>
          <w:lang w:val="en-US" w:eastAsia="zh-CN"/>
        </w:rPr>
        <w:t>项目要求</w:t>
      </w:r>
    </w:p>
    <w:p>
      <w:pPr>
        <w:numPr>
          <w:ilvl w:val="0"/>
          <w:numId w:val="2"/>
        </w:numPr>
        <w:ind w:leftChars="0"/>
        <w:jc w:val="both"/>
        <w:rPr>
          <w:rFonts w:hint="eastAsia"/>
          <w:sz w:val="36"/>
          <w:szCs w:val="44"/>
          <w:lang w:val="en-US" w:eastAsia="zh-CN"/>
        </w:rPr>
      </w:pPr>
      <w:r>
        <w:rPr>
          <w:rFonts w:hint="eastAsia"/>
          <w:sz w:val="36"/>
          <w:szCs w:val="44"/>
          <w:lang w:val="en-US" w:eastAsia="zh-CN"/>
        </w:rPr>
        <w:t>服务期限：自保单生效之日起一年</w:t>
      </w:r>
    </w:p>
    <w:p>
      <w:pPr>
        <w:numPr>
          <w:ilvl w:val="0"/>
          <w:numId w:val="2"/>
        </w:numPr>
        <w:ind w:leftChars="0"/>
        <w:jc w:val="both"/>
        <w:rPr>
          <w:rFonts w:hint="default"/>
          <w:sz w:val="36"/>
          <w:szCs w:val="44"/>
          <w:lang w:val="en-US" w:eastAsia="zh-CN"/>
        </w:rPr>
      </w:pPr>
      <w:r>
        <w:rPr>
          <w:rFonts w:hint="eastAsia"/>
          <w:sz w:val="36"/>
          <w:szCs w:val="44"/>
          <w:lang w:val="en-US" w:eastAsia="zh-CN"/>
        </w:rPr>
        <w:t>服务要求：</w:t>
      </w:r>
    </w:p>
    <w:p>
      <w:pPr>
        <w:numPr>
          <w:ilvl w:val="0"/>
          <w:numId w:val="0"/>
        </w:numPr>
        <w:jc w:val="both"/>
        <w:rPr>
          <w:rFonts w:hint="default"/>
          <w:sz w:val="36"/>
          <w:szCs w:val="44"/>
          <w:lang w:val="en-US" w:eastAsia="zh-CN"/>
        </w:rPr>
      </w:pPr>
      <w:r>
        <w:rPr>
          <w:rFonts w:hint="default"/>
          <w:sz w:val="36"/>
          <w:szCs w:val="44"/>
          <w:lang w:val="en-US" w:eastAsia="zh-CN"/>
        </w:rPr>
        <w:t>(1) 公司设立保险服务专线电话，随时接受被保险人的出险报案及咨询，并保证 24 小时通讯畅通。</w:t>
      </w:r>
    </w:p>
    <w:p>
      <w:pPr>
        <w:numPr>
          <w:ilvl w:val="0"/>
          <w:numId w:val="0"/>
        </w:numPr>
        <w:jc w:val="both"/>
        <w:rPr>
          <w:rFonts w:hint="default"/>
          <w:sz w:val="36"/>
          <w:szCs w:val="44"/>
          <w:lang w:val="en-US" w:eastAsia="zh-CN"/>
        </w:rPr>
      </w:pPr>
      <w:r>
        <w:rPr>
          <w:rFonts w:hint="default"/>
          <w:sz w:val="36"/>
          <w:szCs w:val="44"/>
          <w:lang w:val="en-US" w:eastAsia="zh-CN"/>
        </w:rPr>
        <w:t>(2) 发生保险事故后，保险人在接到被保险人的报案后，应在 30 分钟内提出处理意见，应尽快指派专门人员或委托事先经被保险人确认的公估公司赶到损失现场，进行现场勘查。</w:t>
      </w:r>
    </w:p>
    <w:p>
      <w:pPr>
        <w:numPr>
          <w:ilvl w:val="0"/>
          <w:numId w:val="0"/>
        </w:numPr>
        <w:jc w:val="both"/>
        <w:rPr>
          <w:rFonts w:hint="default"/>
          <w:sz w:val="36"/>
          <w:szCs w:val="44"/>
          <w:lang w:val="en-US" w:eastAsia="zh-CN"/>
        </w:rPr>
      </w:pPr>
      <w:r>
        <w:rPr>
          <w:rFonts w:hint="default"/>
          <w:sz w:val="36"/>
          <w:szCs w:val="44"/>
          <w:lang w:val="en-US" w:eastAsia="zh-CN"/>
        </w:rPr>
        <w:t>(3) 公司指派的专职理赔人员应向投保人或被保险人提供索赔手续办理咨询与帮助，使被保险人能按公司要求及时做好理赔资料申报，并及时向投保人或被保险人通报赔案处理进展情况，协调安排日常及非常时期的风险管理与防灾防损服务事宜等。</w:t>
      </w:r>
    </w:p>
    <w:p>
      <w:pPr>
        <w:numPr>
          <w:ilvl w:val="0"/>
          <w:numId w:val="0"/>
        </w:numPr>
        <w:jc w:val="both"/>
        <w:rPr>
          <w:rFonts w:hint="default"/>
          <w:sz w:val="36"/>
          <w:szCs w:val="44"/>
          <w:lang w:val="en-US" w:eastAsia="zh-CN"/>
        </w:rPr>
      </w:pPr>
      <w:r>
        <w:rPr>
          <w:rFonts w:hint="default"/>
          <w:sz w:val="36"/>
          <w:szCs w:val="44"/>
          <w:lang w:val="en-US" w:eastAsia="zh-CN"/>
        </w:rPr>
        <w:t>(4)保险服务期间，公司应向投保人或被保险人提供如何报案、就诊注意事项以及保险金申请应备材料等理赔服务指引,使被保险人享受更便捷的理赔服务。</w:t>
      </w:r>
    </w:p>
    <w:p>
      <w:pPr>
        <w:numPr>
          <w:ilvl w:val="0"/>
          <w:numId w:val="0"/>
        </w:numPr>
        <w:jc w:val="both"/>
        <w:rPr>
          <w:rFonts w:hint="default"/>
          <w:sz w:val="36"/>
          <w:szCs w:val="44"/>
          <w:lang w:val="en-US" w:eastAsia="zh-CN"/>
        </w:rPr>
      </w:pPr>
      <w:r>
        <w:rPr>
          <w:rFonts w:hint="default"/>
          <w:sz w:val="36"/>
          <w:szCs w:val="44"/>
          <w:lang w:val="en-US" w:eastAsia="zh-CN"/>
        </w:rPr>
        <w:t>(5) 保险服务期间，投保方如发生参保人员变动，保险公司应无条件及时调整，并在 3 个工作日内完成各种手续批改。若造成投保方参保人员脱保，一切责任由保险公司承担。</w:t>
      </w:r>
    </w:p>
    <w:p>
      <w:pPr>
        <w:numPr>
          <w:ilvl w:val="0"/>
          <w:numId w:val="0"/>
        </w:numPr>
        <w:jc w:val="both"/>
        <w:rPr>
          <w:rFonts w:hint="eastAsia"/>
          <w:sz w:val="36"/>
          <w:szCs w:val="44"/>
          <w:lang w:val="en-US" w:eastAsia="zh-CN"/>
        </w:rPr>
      </w:pPr>
      <w:r>
        <w:rPr>
          <w:rFonts w:hint="default"/>
          <w:sz w:val="36"/>
          <w:szCs w:val="44"/>
          <w:lang w:val="en-US" w:eastAsia="zh-CN"/>
        </w:rPr>
        <w:t>(</w:t>
      </w:r>
      <w:r>
        <w:rPr>
          <w:rFonts w:hint="eastAsia"/>
          <w:sz w:val="36"/>
          <w:szCs w:val="44"/>
          <w:lang w:val="en-US" w:eastAsia="zh-CN"/>
        </w:rPr>
        <w:t>6</w:t>
      </w:r>
      <w:r>
        <w:rPr>
          <w:rFonts w:hint="default"/>
          <w:sz w:val="36"/>
          <w:szCs w:val="44"/>
          <w:lang w:val="en-US" w:eastAsia="zh-CN"/>
        </w:rPr>
        <w:t>)</w:t>
      </w:r>
      <w:r>
        <w:rPr>
          <w:rFonts w:hint="eastAsia"/>
          <w:sz w:val="36"/>
          <w:szCs w:val="44"/>
          <w:lang w:val="en-US" w:eastAsia="zh-CN"/>
        </w:rPr>
        <w:t xml:space="preserve"> 时效要求：</w:t>
      </w:r>
    </w:p>
    <w:p>
      <w:pPr>
        <w:numPr>
          <w:ilvl w:val="0"/>
          <w:numId w:val="0"/>
        </w:numPr>
        <w:jc w:val="both"/>
        <w:rPr>
          <w:rFonts w:hint="eastAsia"/>
          <w:sz w:val="36"/>
          <w:szCs w:val="44"/>
          <w:lang w:val="en-US" w:eastAsia="zh-CN"/>
        </w:rPr>
      </w:pPr>
      <w:r>
        <w:rPr>
          <w:rFonts w:hint="eastAsia"/>
          <w:sz w:val="36"/>
          <w:szCs w:val="44"/>
          <w:lang w:val="en-US" w:eastAsia="zh-CN"/>
        </w:rPr>
        <w:t>定损定责时效要求：</w:t>
      </w:r>
    </w:p>
    <w:tbl>
      <w:tblPr>
        <w:tblStyle w:val="4"/>
        <w:tblW w:w="0" w:type="auto"/>
        <w:jc w:val="center"/>
        <w:tblLayout w:type="fixed"/>
        <w:tblCellMar>
          <w:top w:w="0" w:type="dxa"/>
          <w:left w:w="108" w:type="dxa"/>
          <w:bottom w:w="0" w:type="dxa"/>
          <w:right w:w="108" w:type="dxa"/>
        </w:tblCellMar>
      </w:tblPr>
      <w:tblGrid>
        <w:gridCol w:w="4082"/>
        <w:gridCol w:w="4312"/>
      </w:tblGrid>
      <w:tr>
        <w:tblPrEx>
          <w:tblCellMar>
            <w:top w:w="0" w:type="dxa"/>
            <w:left w:w="108" w:type="dxa"/>
            <w:bottom w:w="0" w:type="dxa"/>
            <w:right w:w="108" w:type="dxa"/>
          </w:tblCellMar>
        </w:tblPrEx>
        <w:trPr>
          <w:trHeight w:val="469" w:hRule="atLeast"/>
          <w:jc w:val="center"/>
        </w:trPr>
        <w:tc>
          <w:tcPr>
            <w:tcW w:w="4082"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numPr>
                <w:ilvl w:val="0"/>
                <w:numId w:val="0"/>
              </w:numPr>
              <w:jc w:val="both"/>
              <w:rPr>
                <w:rFonts w:hint="default"/>
                <w:sz w:val="36"/>
                <w:szCs w:val="44"/>
                <w:lang w:val="en-US" w:eastAsia="zh-CN"/>
              </w:rPr>
            </w:pPr>
            <w:r>
              <w:rPr>
                <w:rFonts w:hint="eastAsia"/>
                <w:sz w:val="36"/>
                <w:szCs w:val="44"/>
                <w:lang w:val="en-US" w:eastAsia="zh-CN"/>
              </w:rPr>
              <w:t>索赔金额 ( RMB )</w:t>
            </w:r>
          </w:p>
        </w:tc>
        <w:tc>
          <w:tcPr>
            <w:tcW w:w="4312" w:type="dxa"/>
            <w:tcBorders>
              <w:top w:val="single" w:color="000000" w:sz="4" w:space="0"/>
              <w:left w:val="nil"/>
              <w:bottom w:val="single" w:color="000000" w:sz="4" w:space="0"/>
              <w:right w:val="single" w:color="000000" w:sz="4" w:space="0"/>
            </w:tcBorders>
            <w:shd w:val="clear" w:color="auto" w:fill="E6E6E6"/>
            <w:noWrap w:val="0"/>
            <w:vAlign w:val="center"/>
          </w:tcPr>
          <w:p>
            <w:pPr>
              <w:numPr>
                <w:ilvl w:val="0"/>
                <w:numId w:val="0"/>
              </w:numPr>
              <w:jc w:val="both"/>
              <w:rPr>
                <w:rFonts w:hint="default"/>
                <w:sz w:val="36"/>
                <w:szCs w:val="44"/>
                <w:lang w:val="en-US" w:eastAsia="zh-CN"/>
              </w:rPr>
            </w:pPr>
            <w:r>
              <w:rPr>
                <w:rFonts w:hint="eastAsia"/>
                <w:sz w:val="36"/>
                <w:szCs w:val="44"/>
                <w:lang w:val="en-US" w:eastAsia="zh-CN"/>
              </w:rPr>
              <w:t>定责定损时限</w:t>
            </w:r>
          </w:p>
        </w:tc>
      </w:tr>
      <w:tr>
        <w:tblPrEx>
          <w:tblCellMar>
            <w:top w:w="0" w:type="dxa"/>
            <w:left w:w="108" w:type="dxa"/>
            <w:bottom w:w="0" w:type="dxa"/>
            <w:right w:w="108" w:type="dxa"/>
          </w:tblCellMar>
        </w:tblPrEx>
        <w:trPr>
          <w:trHeight w:val="485" w:hRule="atLeast"/>
          <w:jc w:val="center"/>
        </w:trPr>
        <w:tc>
          <w:tcPr>
            <w:tcW w:w="40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20万元（含）及以下</w:t>
            </w:r>
          </w:p>
        </w:tc>
        <w:tc>
          <w:tcPr>
            <w:tcW w:w="4312"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3个工作日</w:t>
            </w:r>
          </w:p>
        </w:tc>
      </w:tr>
      <w:tr>
        <w:tblPrEx>
          <w:tblCellMar>
            <w:top w:w="0" w:type="dxa"/>
            <w:left w:w="108" w:type="dxa"/>
            <w:bottom w:w="0" w:type="dxa"/>
            <w:right w:w="108" w:type="dxa"/>
          </w:tblCellMar>
        </w:tblPrEx>
        <w:trPr>
          <w:trHeight w:val="485" w:hRule="atLeast"/>
          <w:jc w:val="center"/>
        </w:trPr>
        <w:tc>
          <w:tcPr>
            <w:tcW w:w="40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20万—50万元（含）</w:t>
            </w:r>
          </w:p>
        </w:tc>
        <w:tc>
          <w:tcPr>
            <w:tcW w:w="4312"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5个工作日</w:t>
            </w:r>
          </w:p>
        </w:tc>
      </w:tr>
      <w:tr>
        <w:tblPrEx>
          <w:tblCellMar>
            <w:top w:w="0" w:type="dxa"/>
            <w:left w:w="108" w:type="dxa"/>
            <w:bottom w:w="0" w:type="dxa"/>
            <w:right w:w="108" w:type="dxa"/>
          </w:tblCellMar>
        </w:tblPrEx>
        <w:trPr>
          <w:trHeight w:val="485" w:hRule="atLeast"/>
          <w:jc w:val="center"/>
        </w:trPr>
        <w:tc>
          <w:tcPr>
            <w:tcW w:w="40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50万—100万元（含）</w:t>
            </w:r>
          </w:p>
        </w:tc>
        <w:tc>
          <w:tcPr>
            <w:tcW w:w="4312"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8个工作日</w:t>
            </w:r>
          </w:p>
        </w:tc>
      </w:tr>
      <w:tr>
        <w:tblPrEx>
          <w:tblCellMar>
            <w:top w:w="0" w:type="dxa"/>
            <w:left w:w="108" w:type="dxa"/>
            <w:bottom w:w="0" w:type="dxa"/>
            <w:right w:w="108" w:type="dxa"/>
          </w:tblCellMar>
        </w:tblPrEx>
        <w:trPr>
          <w:trHeight w:val="501" w:hRule="atLeast"/>
          <w:jc w:val="center"/>
        </w:trPr>
        <w:tc>
          <w:tcPr>
            <w:tcW w:w="4082"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100万元以上</w:t>
            </w:r>
          </w:p>
        </w:tc>
        <w:tc>
          <w:tcPr>
            <w:tcW w:w="4312"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default"/>
                <w:sz w:val="36"/>
                <w:szCs w:val="44"/>
                <w:lang w:val="en-US" w:eastAsia="zh-CN"/>
              </w:rPr>
            </w:pPr>
            <w:r>
              <w:rPr>
                <w:rFonts w:hint="eastAsia"/>
                <w:sz w:val="36"/>
                <w:szCs w:val="44"/>
                <w:lang w:val="en-US" w:eastAsia="zh-CN"/>
              </w:rPr>
              <w:t>13个工作日</w:t>
            </w:r>
          </w:p>
        </w:tc>
      </w:tr>
    </w:tbl>
    <w:p>
      <w:pPr>
        <w:numPr>
          <w:ilvl w:val="0"/>
          <w:numId w:val="0"/>
        </w:numPr>
        <w:jc w:val="both"/>
        <w:rPr>
          <w:rFonts w:hint="eastAsia"/>
          <w:sz w:val="36"/>
          <w:szCs w:val="44"/>
          <w:lang w:val="en-US" w:eastAsia="zh-CN"/>
        </w:rPr>
      </w:pPr>
      <w:r>
        <w:rPr>
          <w:rFonts w:hint="eastAsia"/>
          <w:sz w:val="36"/>
          <w:szCs w:val="44"/>
          <w:lang w:val="en-US" w:eastAsia="zh-CN"/>
        </w:rPr>
        <w:t>结案赔付时效要求：（申请理赔材料齐全）</w:t>
      </w:r>
    </w:p>
    <w:tbl>
      <w:tblPr>
        <w:tblStyle w:val="4"/>
        <w:tblW w:w="0" w:type="auto"/>
        <w:jc w:val="center"/>
        <w:tblLayout w:type="fixed"/>
        <w:tblCellMar>
          <w:top w:w="0" w:type="dxa"/>
          <w:left w:w="108" w:type="dxa"/>
          <w:bottom w:w="0" w:type="dxa"/>
          <w:right w:w="108" w:type="dxa"/>
        </w:tblCellMar>
      </w:tblPr>
      <w:tblGrid>
        <w:gridCol w:w="3991"/>
        <w:gridCol w:w="4383"/>
      </w:tblGrid>
      <w:tr>
        <w:tblPrEx>
          <w:tblCellMar>
            <w:top w:w="0" w:type="dxa"/>
            <w:left w:w="108" w:type="dxa"/>
            <w:bottom w:w="0" w:type="dxa"/>
            <w:right w:w="108" w:type="dxa"/>
          </w:tblCellMar>
        </w:tblPrEx>
        <w:trPr>
          <w:trHeight w:val="448" w:hRule="atLeast"/>
          <w:jc w:val="center"/>
        </w:trPr>
        <w:tc>
          <w:tcPr>
            <w:tcW w:w="3991" w:type="dxa"/>
            <w:tcBorders>
              <w:top w:val="single" w:color="000000" w:sz="4" w:space="0"/>
              <w:left w:val="single" w:color="000000" w:sz="4" w:space="0"/>
              <w:bottom w:val="single" w:color="000000" w:sz="4" w:space="0"/>
              <w:right w:val="single" w:color="000000" w:sz="4" w:space="0"/>
            </w:tcBorders>
            <w:shd w:val="clear" w:color="auto" w:fill="E6E6E6"/>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赔偿金额（RMB）</w:t>
            </w:r>
          </w:p>
        </w:tc>
        <w:tc>
          <w:tcPr>
            <w:tcW w:w="4383" w:type="dxa"/>
            <w:tcBorders>
              <w:top w:val="single" w:color="000000" w:sz="4" w:space="0"/>
              <w:left w:val="nil"/>
              <w:bottom w:val="single" w:color="000000" w:sz="4" w:space="0"/>
              <w:right w:val="single" w:color="000000" w:sz="4" w:space="0"/>
            </w:tcBorders>
            <w:shd w:val="clear" w:color="auto" w:fill="E6E6E6"/>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结案赔付时限</w:t>
            </w:r>
          </w:p>
        </w:tc>
      </w:tr>
      <w:tr>
        <w:tblPrEx>
          <w:tblCellMar>
            <w:top w:w="0" w:type="dxa"/>
            <w:left w:w="108" w:type="dxa"/>
            <w:bottom w:w="0" w:type="dxa"/>
            <w:right w:w="108" w:type="dxa"/>
          </w:tblCellMar>
        </w:tblPrEx>
        <w:trPr>
          <w:trHeight w:val="464" w:hRule="atLeast"/>
          <w:jc w:val="center"/>
        </w:trPr>
        <w:tc>
          <w:tcPr>
            <w:tcW w:w="399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50万元（含）及以下</w:t>
            </w:r>
          </w:p>
        </w:tc>
        <w:tc>
          <w:tcPr>
            <w:tcW w:w="4383"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3个工作日</w:t>
            </w:r>
          </w:p>
        </w:tc>
      </w:tr>
      <w:tr>
        <w:tblPrEx>
          <w:tblCellMar>
            <w:top w:w="0" w:type="dxa"/>
            <w:left w:w="108" w:type="dxa"/>
            <w:bottom w:w="0" w:type="dxa"/>
            <w:right w:w="108" w:type="dxa"/>
          </w:tblCellMar>
        </w:tblPrEx>
        <w:trPr>
          <w:trHeight w:val="464" w:hRule="atLeast"/>
          <w:jc w:val="center"/>
        </w:trPr>
        <w:tc>
          <w:tcPr>
            <w:tcW w:w="399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50万—100万元（含）</w:t>
            </w:r>
          </w:p>
        </w:tc>
        <w:tc>
          <w:tcPr>
            <w:tcW w:w="4383"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5个工作日</w:t>
            </w:r>
          </w:p>
        </w:tc>
      </w:tr>
      <w:tr>
        <w:tblPrEx>
          <w:tblCellMar>
            <w:top w:w="0" w:type="dxa"/>
            <w:left w:w="108" w:type="dxa"/>
            <w:bottom w:w="0" w:type="dxa"/>
            <w:right w:w="108" w:type="dxa"/>
          </w:tblCellMar>
        </w:tblPrEx>
        <w:trPr>
          <w:trHeight w:val="479" w:hRule="atLeast"/>
          <w:jc w:val="center"/>
        </w:trPr>
        <w:tc>
          <w:tcPr>
            <w:tcW w:w="3991"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100万元以上</w:t>
            </w:r>
          </w:p>
        </w:tc>
        <w:tc>
          <w:tcPr>
            <w:tcW w:w="4383" w:type="dxa"/>
            <w:tcBorders>
              <w:top w:val="single" w:color="000000" w:sz="4" w:space="0"/>
              <w:left w:val="nil"/>
              <w:bottom w:val="single" w:color="000000" w:sz="4" w:space="0"/>
              <w:right w:val="single" w:color="000000" w:sz="4" w:space="0"/>
            </w:tcBorders>
            <w:noWrap w:val="0"/>
            <w:vAlign w:val="center"/>
          </w:tcPr>
          <w:p>
            <w:pPr>
              <w:numPr>
                <w:ilvl w:val="0"/>
                <w:numId w:val="0"/>
              </w:numPr>
              <w:jc w:val="both"/>
              <w:rPr>
                <w:rFonts w:hint="eastAsia"/>
                <w:sz w:val="36"/>
                <w:szCs w:val="44"/>
                <w:lang w:val="en-US" w:eastAsia="zh-CN"/>
              </w:rPr>
            </w:pPr>
            <w:r>
              <w:rPr>
                <w:rFonts w:hint="eastAsia"/>
                <w:sz w:val="36"/>
                <w:szCs w:val="44"/>
                <w:lang w:val="en-US" w:eastAsia="zh-CN"/>
              </w:rPr>
              <w:t>8个工作日</w:t>
            </w:r>
          </w:p>
        </w:tc>
      </w:tr>
    </w:tbl>
    <w:p>
      <w:pPr>
        <w:numPr>
          <w:ilvl w:val="0"/>
          <w:numId w:val="0"/>
        </w:numPr>
        <w:jc w:val="both"/>
        <w:rPr>
          <w:rFonts w:hint="default"/>
          <w:sz w:val="36"/>
          <w:szCs w:val="44"/>
          <w:lang w:val="en-US" w:eastAsia="zh-CN"/>
        </w:rPr>
      </w:pPr>
      <w:r>
        <w:rPr>
          <w:rFonts w:hint="default"/>
          <w:sz w:val="36"/>
          <w:szCs w:val="44"/>
          <w:lang w:val="en-US" w:eastAsia="zh-CN"/>
        </w:rPr>
        <w:t>3、中标人要保持同采购人的密切联系，遇有重大事项及时报告和反馈信息,尊重采购人的意见，接受采购人的提议、监督和指导。</w:t>
      </w:r>
    </w:p>
    <w:p>
      <w:pPr>
        <w:numPr>
          <w:ilvl w:val="0"/>
          <w:numId w:val="0"/>
        </w:numPr>
        <w:jc w:val="both"/>
        <w:rPr>
          <w:rFonts w:hint="default"/>
          <w:sz w:val="36"/>
          <w:szCs w:val="44"/>
          <w:lang w:val="en-US" w:eastAsia="zh-CN"/>
        </w:rPr>
      </w:pPr>
      <w:r>
        <w:rPr>
          <w:rFonts w:hint="default"/>
          <w:sz w:val="36"/>
          <w:szCs w:val="44"/>
          <w:lang w:val="en-US" w:eastAsia="zh-CN"/>
        </w:rPr>
        <w:t>4、在中标结果公示期间，采购人有权对中标候选人的资投标文件等进行核查，如发现与其响应文件中的描述不一，代理机构将报政府采购主管部门严肃处理</w:t>
      </w:r>
      <w:r>
        <w:rPr>
          <w:rFonts w:hint="eastAsia"/>
          <w:sz w:val="36"/>
          <w:szCs w:val="44"/>
          <w:lang w:val="en-US" w:eastAsia="zh-CN"/>
        </w:rPr>
        <w:t>。</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590E4"/>
    <w:multiLevelType w:val="singleLevel"/>
    <w:tmpl w:val="927590E4"/>
    <w:lvl w:ilvl="0" w:tentative="0">
      <w:start w:val="1"/>
      <w:numFmt w:val="chineseCounting"/>
      <w:suff w:val="nothing"/>
      <w:lvlText w:val="%1、"/>
      <w:lvlJc w:val="left"/>
      <w:rPr>
        <w:rFonts w:hint="eastAsia"/>
      </w:rPr>
    </w:lvl>
  </w:abstractNum>
  <w:abstractNum w:abstractNumId="1">
    <w:nsid w:val="B142F2F0"/>
    <w:multiLevelType w:val="singleLevel"/>
    <w:tmpl w:val="B142F2F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E3C2B54"/>
    <w:rsid w:val="03867954"/>
    <w:rsid w:val="1E3C2B54"/>
    <w:rsid w:val="377916B1"/>
    <w:rsid w:val="37AB72D6"/>
    <w:rsid w:val="6E76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keepNext/>
      <w:keepLines/>
      <w:spacing w:before="260" w:after="260" w:line="416" w:lineRule="auto"/>
      <w:outlineLvl w:val="1"/>
    </w:pPr>
    <w:rPr>
      <w:rFonts w:ascii="Calibri Light" w:hAnsi="Calibri Light" w:eastAsia="华文宋体" w:cs="Times New Roman"/>
      <w:bCs/>
      <w:sz w:val="28"/>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12" w:lineRule="atLeast"/>
      <w:ind w:firstLine="420"/>
      <w:textAlignment w:val="baseline"/>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1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2023-12-19T08:13:00Z</dcterms:created>
  <dc:creator>刘嘉文</dc:creator>
  <cp:lastModifiedBy>刘嘉文</cp:lastModifiedBy>
  <dcterms:modified xsi:type="dcterms:W3CDTF">2023-12-19T10:27:07Z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1E56C65E0FE14FB5AA7B814CE865A6FC_13</vt:lpwstr>
  </property>
</Properties>
</file>