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numPr>
          <w:ilvl w:val="0"/>
          <w:numId w:val="1"/>
        </w:numPr>
        <w:spacing w:beforeLines="100" w:line="360" w:lineRule="auto"/>
        <w:ind w:firstLine="723" w:firstLineChars="200"/>
        <w:jc w:val="center"/>
        <w:outlineLvl w:val="0"/>
        <w:rPr>
          <w:rFonts w:ascii="宋体" w:hAnsi="宋体" w:eastAsia="宋体" w:cs="宋体"/>
          <w:b/>
          <w:bCs/>
          <w:color w:val="000000" w:themeColor="text1"/>
          <w:sz w:val="36"/>
          <w:szCs w:val="36"/>
        </w:rPr>
      </w:pPr>
      <w:bookmarkStart w:id="0" w:name="_Toc16654"/>
      <w:r>
        <w:rPr>
          <w:rFonts w:hint="eastAsia" w:ascii="宋体" w:hAnsi="宋体" w:eastAsia="宋体" w:cs="宋体"/>
          <w:b/>
          <w:bCs/>
          <w:color w:val="000000" w:themeColor="text1"/>
          <w:sz w:val="36"/>
          <w:szCs w:val="36"/>
        </w:rPr>
        <w:t>采购需求</w:t>
      </w:r>
      <w:bookmarkEnd w:id="0"/>
    </w:p>
    <w:p>
      <w:pPr>
        <w:pStyle w:val="2"/>
        <w:rPr>
          <w:color w:val="000000" w:themeColor="text1"/>
        </w:rPr>
      </w:pPr>
      <w:bookmarkStart w:id="1" w:name="_Toc103263082"/>
      <w:r>
        <w:rPr>
          <w:rFonts w:hint="eastAsia"/>
          <w:color w:val="000000" w:themeColor="text1"/>
        </w:rPr>
        <w:t>1、投标人须知前附表</w:t>
      </w:r>
      <w:bookmarkEnd w:id="1"/>
    </w:p>
    <w:tbl>
      <w:tblPr>
        <w:tblStyle w:val="19"/>
        <w:tblW w:w="95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71"/>
        <w:gridCol w:w="2545"/>
        <w:gridCol w:w="62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671" w:type="dxa"/>
            <w:vAlign w:val="center"/>
          </w:tcPr>
          <w:p>
            <w:pPr>
              <w:jc w:val="center"/>
              <w:rPr>
                <w:color w:val="000000" w:themeColor="text1"/>
                <w:sz w:val="24"/>
              </w:rPr>
            </w:pPr>
            <w:r>
              <w:rPr>
                <w:rFonts w:hint="eastAsia"/>
                <w:color w:val="000000" w:themeColor="text1"/>
                <w:sz w:val="24"/>
              </w:rPr>
              <w:t>序号</w:t>
            </w:r>
          </w:p>
        </w:tc>
        <w:tc>
          <w:tcPr>
            <w:tcW w:w="2545" w:type="dxa"/>
            <w:vAlign w:val="center"/>
          </w:tcPr>
          <w:p>
            <w:pPr>
              <w:jc w:val="center"/>
              <w:rPr>
                <w:color w:val="000000" w:themeColor="text1"/>
                <w:sz w:val="24"/>
              </w:rPr>
            </w:pPr>
            <w:r>
              <w:rPr>
                <w:rFonts w:hint="eastAsia"/>
                <w:color w:val="000000" w:themeColor="text1"/>
                <w:sz w:val="24"/>
              </w:rPr>
              <w:t>条款名称</w:t>
            </w:r>
          </w:p>
        </w:tc>
        <w:tc>
          <w:tcPr>
            <w:tcW w:w="6295" w:type="dxa"/>
            <w:vAlign w:val="center"/>
          </w:tcPr>
          <w:p>
            <w:pPr>
              <w:jc w:val="center"/>
              <w:rPr>
                <w:color w:val="000000" w:themeColor="text1"/>
                <w:sz w:val="24"/>
              </w:rPr>
            </w:pPr>
            <w:r>
              <w:rPr>
                <w:rFonts w:hint="eastAsia"/>
                <w:color w:val="000000" w:themeColor="text1"/>
                <w:sz w:val="24"/>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6" w:hRule="atLeast"/>
          <w:jc w:val="center"/>
        </w:trPr>
        <w:tc>
          <w:tcPr>
            <w:tcW w:w="671" w:type="dxa"/>
            <w:vAlign w:val="center"/>
          </w:tcPr>
          <w:p>
            <w:pPr>
              <w:jc w:val="center"/>
              <w:rPr>
                <w:color w:val="000000" w:themeColor="text1"/>
                <w:sz w:val="24"/>
              </w:rPr>
            </w:pPr>
            <w:r>
              <w:rPr>
                <w:color w:val="000000" w:themeColor="text1"/>
                <w:sz w:val="24"/>
              </w:rPr>
              <w:t>1</w:t>
            </w:r>
          </w:p>
        </w:tc>
        <w:tc>
          <w:tcPr>
            <w:tcW w:w="2545" w:type="dxa"/>
            <w:vAlign w:val="center"/>
          </w:tcPr>
          <w:p>
            <w:pPr>
              <w:rPr>
                <w:color w:val="000000" w:themeColor="text1"/>
                <w:sz w:val="24"/>
              </w:rPr>
            </w:pPr>
            <w:r>
              <w:rPr>
                <w:rFonts w:hint="eastAsia"/>
                <w:color w:val="000000" w:themeColor="text1"/>
                <w:sz w:val="24"/>
              </w:rPr>
              <w:t>项目预算</w:t>
            </w:r>
          </w:p>
        </w:tc>
        <w:tc>
          <w:tcPr>
            <w:tcW w:w="6295" w:type="dxa"/>
          </w:tcPr>
          <w:p>
            <w:pPr>
              <w:rPr>
                <w:color w:val="000000" w:themeColor="text1"/>
                <w:sz w:val="24"/>
              </w:rPr>
            </w:pPr>
            <w:r>
              <w:rPr>
                <w:rFonts w:hint="eastAsia"/>
                <w:color w:val="000000" w:themeColor="text1"/>
                <w:sz w:val="24"/>
              </w:rPr>
              <w:t>639.579109万元</w:t>
            </w:r>
          </w:p>
          <w:p>
            <w:pPr>
              <w:rPr>
                <w:color w:val="000000" w:themeColor="text1"/>
                <w:sz w:val="24"/>
              </w:rPr>
            </w:pPr>
            <w:r>
              <w:rPr>
                <w:rFonts w:hint="eastAsia"/>
                <w:color w:val="000000" w:themeColor="text1"/>
                <w:sz w:val="24"/>
              </w:rPr>
              <w:t>投标人总报价不能超过采购预算</w:t>
            </w:r>
            <w:r>
              <w:rPr>
                <w:rFonts w:hint="eastAsia" w:eastAsia="宋体"/>
                <w:color w:val="000000" w:themeColor="text1"/>
                <w:sz w:val="24"/>
              </w:rPr>
              <w:t>及最高限价</w:t>
            </w:r>
            <w:r>
              <w:rPr>
                <w:rFonts w:hint="eastAsia"/>
                <w:color w:val="000000" w:themeColor="text1"/>
                <w:sz w:val="24"/>
              </w:rPr>
              <w:t>，超过视为无效投标。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atLeast"/>
          <w:jc w:val="center"/>
        </w:trPr>
        <w:tc>
          <w:tcPr>
            <w:tcW w:w="671" w:type="dxa"/>
            <w:vAlign w:val="center"/>
          </w:tcPr>
          <w:p>
            <w:pPr>
              <w:jc w:val="center"/>
              <w:rPr>
                <w:color w:val="000000" w:themeColor="text1"/>
                <w:sz w:val="24"/>
              </w:rPr>
            </w:pPr>
            <w:r>
              <w:rPr>
                <w:color w:val="000000" w:themeColor="text1"/>
                <w:sz w:val="24"/>
              </w:rPr>
              <w:t>2</w:t>
            </w:r>
          </w:p>
        </w:tc>
        <w:tc>
          <w:tcPr>
            <w:tcW w:w="2545" w:type="dxa"/>
            <w:vAlign w:val="center"/>
          </w:tcPr>
          <w:p>
            <w:pPr>
              <w:rPr>
                <w:color w:val="000000" w:themeColor="text1"/>
                <w:sz w:val="24"/>
              </w:rPr>
            </w:pPr>
            <w:r>
              <w:rPr>
                <w:rFonts w:hint="eastAsia"/>
                <w:color w:val="000000" w:themeColor="text1"/>
                <w:sz w:val="24"/>
              </w:rPr>
              <w:t>是否接受</w:t>
            </w:r>
            <w:r>
              <w:rPr>
                <w:rFonts w:hint="eastAsia" w:eastAsiaTheme="minorEastAsia"/>
                <w:color w:val="000000" w:themeColor="text1"/>
                <w:sz w:val="24"/>
              </w:rPr>
              <w:t>原装</w:t>
            </w:r>
            <w:r>
              <w:rPr>
                <w:rFonts w:hint="eastAsia"/>
                <w:color w:val="000000" w:themeColor="text1"/>
                <w:sz w:val="24"/>
              </w:rPr>
              <w:t>进口产品投标</w:t>
            </w:r>
          </w:p>
        </w:tc>
        <w:tc>
          <w:tcPr>
            <w:tcW w:w="6295" w:type="dxa"/>
            <w:vAlign w:val="center"/>
          </w:tcPr>
          <w:p>
            <w:pPr>
              <w:rPr>
                <w:rFonts w:eastAsiaTheme="minorEastAsia"/>
                <w:color w:val="000000" w:themeColor="text1"/>
                <w:sz w:val="24"/>
              </w:rPr>
            </w:pPr>
            <w:r>
              <w:rPr>
                <w:rFonts w:hint="eastAsia"/>
                <w:color w:val="000000" w:themeColor="text1"/>
                <w:sz w:val="24"/>
              </w:rPr>
              <w:t>接受（）不接受（√）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 w:hRule="atLeast"/>
          <w:jc w:val="center"/>
        </w:trPr>
        <w:tc>
          <w:tcPr>
            <w:tcW w:w="671" w:type="dxa"/>
            <w:vAlign w:val="center"/>
          </w:tcPr>
          <w:p>
            <w:pPr>
              <w:jc w:val="center"/>
              <w:rPr>
                <w:color w:val="000000" w:themeColor="text1"/>
                <w:sz w:val="24"/>
              </w:rPr>
            </w:pPr>
            <w:r>
              <w:rPr>
                <w:color w:val="000000" w:themeColor="text1"/>
                <w:sz w:val="24"/>
              </w:rPr>
              <w:t>3</w:t>
            </w:r>
          </w:p>
        </w:tc>
        <w:tc>
          <w:tcPr>
            <w:tcW w:w="2545" w:type="dxa"/>
            <w:vAlign w:val="center"/>
          </w:tcPr>
          <w:p>
            <w:pPr>
              <w:rPr>
                <w:color w:val="000000" w:themeColor="text1"/>
                <w:sz w:val="24"/>
              </w:rPr>
            </w:pPr>
            <w:r>
              <w:rPr>
                <w:rFonts w:hint="eastAsia"/>
                <w:color w:val="000000" w:themeColor="text1"/>
                <w:sz w:val="24"/>
              </w:rPr>
              <w:t>标前踏勘现场或</w:t>
            </w:r>
            <w:r>
              <w:rPr>
                <w:color w:val="000000" w:themeColor="text1"/>
                <w:sz w:val="24"/>
              </w:rPr>
              <w:t>/</w:t>
            </w:r>
            <w:r>
              <w:rPr>
                <w:rFonts w:hint="eastAsia"/>
                <w:color w:val="000000" w:themeColor="text1"/>
                <w:sz w:val="24"/>
              </w:rPr>
              <w:t>和标前答疑会</w:t>
            </w:r>
          </w:p>
        </w:tc>
        <w:tc>
          <w:tcPr>
            <w:tcW w:w="6295" w:type="dxa"/>
            <w:vAlign w:val="center"/>
          </w:tcPr>
          <w:p>
            <w:pPr>
              <w:rPr>
                <w:color w:val="000000" w:themeColor="text1"/>
                <w:sz w:val="24"/>
              </w:rPr>
            </w:pPr>
            <w:r>
              <w:rPr>
                <w:rFonts w:hint="eastAsia"/>
                <w:color w:val="000000" w:themeColor="text1"/>
                <w:sz w:val="24"/>
              </w:rPr>
              <w:t>组织（）不组织（√）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 w:hRule="atLeast"/>
          <w:jc w:val="center"/>
        </w:trPr>
        <w:tc>
          <w:tcPr>
            <w:tcW w:w="671" w:type="dxa"/>
            <w:vAlign w:val="center"/>
          </w:tcPr>
          <w:p>
            <w:pPr>
              <w:jc w:val="center"/>
              <w:rPr>
                <w:color w:val="000000" w:themeColor="text1"/>
                <w:sz w:val="24"/>
              </w:rPr>
            </w:pPr>
            <w:r>
              <w:rPr>
                <w:color w:val="000000" w:themeColor="text1"/>
                <w:sz w:val="24"/>
              </w:rPr>
              <w:t>4</w:t>
            </w:r>
          </w:p>
        </w:tc>
        <w:tc>
          <w:tcPr>
            <w:tcW w:w="2545" w:type="dxa"/>
            <w:vAlign w:val="center"/>
          </w:tcPr>
          <w:p>
            <w:pPr>
              <w:rPr>
                <w:color w:val="000000" w:themeColor="text1"/>
                <w:sz w:val="24"/>
              </w:rPr>
            </w:pPr>
            <w:r>
              <w:rPr>
                <w:rFonts w:hint="eastAsia"/>
                <w:color w:val="000000" w:themeColor="text1"/>
                <w:sz w:val="24"/>
              </w:rPr>
              <w:t>述标和</w:t>
            </w:r>
            <w:r>
              <w:rPr>
                <w:color w:val="000000" w:themeColor="text1"/>
                <w:sz w:val="24"/>
              </w:rPr>
              <w:t>/</w:t>
            </w:r>
            <w:r>
              <w:rPr>
                <w:rFonts w:hint="eastAsia"/>
                <w:color w:val="000000" w:themeColor="text1"/>
                <w:sz w:val="24"/>
              </w:rPr>
              <w:t>或产（样）品演（展）示</w:t>
            </w:r>
          </w:p>
        </w:tc>
        <w:tc>
          <w:tcPr>
            <w:tcW w:w="6295" w:type="dxa"/>
            <w:vAlign w:val="center"/>
          </w:tcPr>
          <w:p>
            <w:pPr>
              <w:rPr>
                <w:color w:val="000000" w:themeColor="text1"/>
                <w:sz w:val="24"/>
              </w:rPr>
            </w:pPr>
            <w:r>
              <w:rPr>
                <w:rFonts w:hint="eastAsia"/>
                <w:color w:val="000000" w:themeColor="text1"/>
                <w:sz w:val="24"/>
              </w:rPr>
              <w:t>有（）无（√）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671" w:type="dxa"/>
            <w:vAlign w:val="center"/>
          </w:tcPr>
          <w:p>
            <w:pPr>
              <w:jc w:val="center"/>
              <w:rPr>
                <w:color w:val="000000" w:themeColor="text1"/>
                <w:sz w:val="24"/>
              </w:rPr>
            </w:pPr>
            <w:r>
              <w:rPr>
                <w:color w:val="000000" w:themeColor="text1"/>
                <w:sz w:val="24"/>
              </w:rPr>
              <w:t>5</w:t>
            </w:r>
          </w:p>
        </w:tc>
        <w:tc>
          <w:tcPr>
            <w:tcW w:w="2545" w:type="dxa"/>
            <w:vAlign w:val="center"/>
          </w:tcPr>
          <w:p>
            <w:pPr>
              <w:rPr>
                <w:color w:val="000000" w:themeColor="text1"/>
                <w:sz w:val="24"/>
              </w:rPr>
            </w:pPr>
            <w:r>
              <w:rPr>
                <w:rFonts w:hint="eastAsia"/>
                <w:color w:val="000000" w:themeColor="text1"/>
                <w:sz w:val="24"/>
              </w:rPr>
              <w:t>投标有效期</w:t>
            </w:r>
          </w:p>
        </w:tc>
        <w:tc>
          <w:tcPr>
            <w:tcW w:w="6295" w:type="dxa"/>
            <w:vAlign w:val="center"/>
          </w:tcPr>
          <w:p>
            <w:pPr>
              <w:rPr>
                <w:color w:val="000000" w:themeColor="text1"/>
                <w:sz w:val="24"/>
              </w:rPr>
            </w:pPr>
            <w:r>
              <w:rPr>
                <w:rFonts w:hint="eastAsia"/>
                <w:color w:val="000000" w:themeColor="text1"/>
                <w:sz w:val="24"/>
              </w:rPr>
              <w:t>从提交投标文件的截止之日起算的90天内有效。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7" w:hRule="atLeast"/>
          <w:jc w:val="center"/>
        </w:trPr>
        <w:tc>
          <w:tcPr>
            <w:tcW w:w="671" w:type="dxa"/>
            <w:vAlign w:val="center"/>
          </w:tcPr>
          <w:p>
            <w:pPr>
              <w:jc w:val="center"/>
              <w:rPr>
                <w:color w:val="000000" w:themeColor="text1"/>
                <w:sz w:val="24"/>
              </w:rPr>
            </w:pPr>
            <w:r>
              <w:rPr>
                <w:color w:val="000000" w:themeColor="text1"/>
                <w:sz w:val="24"/>
              </w:rPr>
              <w:t>6</w:t>
            </w:r>
          </w:p>
        </w:tc>
        <w:tc>
          <w:tcPr>
            <w:tcW w:w="2545" w:type="dxa"/>
            <w:vAlign w:val="center"/>
          </w:tcPr>
          <w:p>
            <w:pPr>
              <w:rPr>
                <w:color w:val="000000" w:themeColor="text1"/>
                <w:sz w:val="24"/>
              </w:rPr>
            </w:pPr>
            <w:r>
              <w:rPr>
                <w:rFonts w:hint="eastAsia"/>
                <w:color w:val="000000" w:themeColor="text1"/>
                <w:sz w:val="24"/>
              </w:rPr>
              <w:t>投标要求</w:t>
            </w:r>
          </w:p>
        </w:tc>
        <w:tc>
          <w:tcPr>
            <w:tcW w:w="6295" w:type="dxa"/>
            <w:vAlign w:val="center"/>
          </w:tcPr>
          <w:p>
            <w:pPr>
              <w:rPr>
                <w:color w:val="000000" w:themeColor="text1"/>
                <w:sz w:val="24"/>
              </w:rPr>
            </w:pPr>
            <w:r>
              <w:rPr>
                <w:color w:val="000000" w:themeColor="text1"/>
                <w:sz w:val="24"/>
              </w:rPr>
              <w:t>开标必须携带加密投标文件的CA数字证书、U盘</w:t>
            </w:r>
            <w:r>
              <w:rPr>
                <w:rFonts w:hint="eastAsia" w:eastAsiaTheme="minorEastAsia"/>
                <w:color w:val="000000" w:themeColor="text1"/>
                <w:sz w:val="24"/>
              </w:rPr>
              <w:t>和光盘</w:t>
            </w:r>
            <w:r>
              <w:rPr>
                <w:color w:val="000000" w:themeColor="text1"/>
                <w:sz w:val="24"/>
              </w:rPr>
              <w:t>内需拷贝投标文件</w:t>
            </w:r>
            <w:r>
              <w:rPr>
                <w:rFonts w:hint="eastAsia" w:eastAsiaTheme="minorEastAsia"/>
                <w:color w:val="000000" w:themeColor="text1"/>
                <w:sz w:val="24"/>
              </w:rPr>
              <w:t>、</w:t>
            </w:r>
            <w:r>
              <w:rPr>
                <w:color w:val="000000" w:themeColor="text1"/>
                <w:sz w:val="24"/>
              </w:rPr>
              <w:t>转换为PDF格式的盖章彩色扫描件</w:t>
            </w:r>
            <w:r>
              <w:rPr>
                <w:rFonts w:hint="eastAsia" w:eastAsiaTheme="minorEastAsia"/>
                <w:color w:val="000000" w:themeColor="text1"/>
                <w:sz w:val="24"/>
              </w:rPr>
              <w:t>投标文件，和</w:t>
            </w:r>
            <w:r>
              <w:rPr>
                <w:rFonts w:hint="eastAsia" w:ascii="宋体" w:hAnsi="宋体" w:eastAsia="宋体" w:cs="宋体"/>
                <w:color w:val="000000" w:themeColor="text1"/>
                <w:kern w:val="2"/>
                <w:sz w:val="24"/>
                <w:szCs w:val="24"/>
              </w:rPr>
              <w:t>多扫描一份开标一览表、分项报价明细表和技术标偏离表并加盖公章</w:t>
            </w:r>
            <w:r>
              <w:rPr>
                <w:color w:val="000000" w:themeColor="text1"/>
                <w:sz w:val="24"/>
              </w:rPr>
              <w:t>。（或者是投标工具导出的PDF格式）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671" w:type="dxa"/>
            <w:vAlign w:val="center"/>
          </w:tcPr>
          <w:p>
            <w:pPr>
              <w:jc w:val="center"/>
              <w:rPr>
                <w:color w:val="000000" w:themeColor="text1"/>
                <w:sz w:val="24"/>
              </w:rPr>
            </w:pPr>
            <w:r>
              <w:rPr>
                <w:color w:val="000000" w:themeColor="text1"/>
                <w:sz w:val="24"/>
              </w:rPr>
              <w:t>7</w:t>
            </w:r>
          </w:p>
        </w:tc>
        <w:tc>
          <w:tcPr>
            <w:tcW w:w="2545" w:type="dxa"/>
            <w:vAlign w:val="center"/>
          </w:tcPr>
          <w:p>
            <w:pPr>
              <w:rPr>
                <w:color w:val="000000" w:themeColor="text1"/>
                <w:sz w:val="24"/>
              </w:rPr>
            </w:pPr>
            <w:r>
              <w:rPr>
                <w:rFonts w:hint="eastAsia"/>
                <w:color w:val="000000" w:themeColor="text1"/>
                <w:sz w:val="24"/>
              </w:rPr>
              <w:t>评标方法</w:t>
            </w:r>
          </w:p>
        </w:tc>
        <w:tc>
          <w:tcPr>
            <w:tcW w:w="6295" w:type="dxa"/>
            <w:vAlign w:val="center"/>
          </w:tcPr>
          <w:p>
            <w:pPr>
              <w:rPr>
                <w:color w:val="000000" w:themeColor="text1"/>
                <w:sz w:val="24"/>
              </w:rPr>
            </w:pPr>
            <w:r>
              <w:rPr>
                <w:rFonts w:hint="eastAsia"/>
                <w:color w:val="000000" w:themeColor="text1"/>
                <w:sz w:val="24"/>
              </w:rPr>
              <w:t>最低评标价法（）综合评分法（√）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jc w:val="center"/>
        </w:trPr>
        <w:tc>
          <w:tcPr>
            <w:tcW w:w="671" w:type="dxa"/>
            <w:vAlign w:val="center"/>
          </w:tcPr>
          <w:p>
            <w:pPr>
              <w:jc w:val="center"/>
              <w:rPr>
                <w:color w:val="000000" w:themeColor="text1"/>
                <w:sz w:val="24"/>
              </w:rPr>
            </w:pPr>
            <w:r>
              <w:rPr>
                <w:color w:val="000000" w:themeColor="text1"/>
                <w:sz w:val="24"/>
              </w:rPr>
              <w:t>8</w:t>
            </w:r>
          </w:p>
        </w:tc>
        <w:tc>
          <w:tcPr>
            <w:tcW w:w="2545" w:type="dxa"/>
            <w:vAlign w:val="center"/>
          </w:tcPr>
          <w:p>
            <w:pPr>
              <w:rPr>
                <w:color w:val="000000" w:themeColor="text1"/>
                <w:sz w:val="24"/>
              </w:rPr>
            </w:pPr>
            <w:r>
              <w:rPr>
                <w:rFonts w:hint="eastAsia"/>
                <w:color w:val="000000" w:themeColor="text1"/>
                <w:sz w:val="24"/>
              </w:rPr>
              <w:t>采购需求</w:t>
            </w:r>
          </w:p>
        </w:tc>
        <w:tc>
          <w:tcPr>
            <w:tcW w:w="6295" w:type="dxa"/>
            <w:vAlign w:val="center"/>
          </w:tcPr>
          <w:p>
            <w:pPr>
              <w:rPr>
                <w:color w:val="000000" w:themeColor="text1"/>
                <w:sz w:val="24"/>
              </w:rPr>
            </w:pPr>
            <w:r>
              <w:rPr>
                <w:rFonts w:hint="eastAsia"/>
                <w:color w:val="000000" w:themeColor="text1"/>
                <w:sz w:val="24"/>
              </w:rPr>
              <w:t>详见采购清单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color w:val="000000" w:themeColor="text1"/>
                <w:sz w:val="24"/>
              </w:rPr>
            </w:pPr>
            <w:r>
              <w:rPr>
                <w:color w:val="000000" w:themeColor="text1"/>
                <w:sz w:val="24"/>
              </w:rPr>
              <w:t>9</w:t>
            </w:r>
          </w:p>
        </w:tc>
        <w:tc>
          <w:tcPr>
            <w:tcW w:w="2545" w:type="dxa"/>
            <w:vAlign w:val="center"/>
          </w:tcPr>
          <w:p>
            <w:pPr>
              <w:rPr>
                <w:color w:val="000000" w:themeColor="text1"/>
                <w:sz w:val="24"/>
              </w:rPr>
            </w:pPr>
            <w:r>
              <w:rPr>
                <w:rFonts w:hint="eastAsia"/>
                <w:color w:val="000000" w:themeColor="text1"/>
                <w:sz w:val="24"/>
              </w:rPr>
              <w:t>交货时间</w:t>
            </w:r>
          </w:p>
        </w:tc>
        <w:tc>
          <w:tcPr>
            <w:tcW w:w="6295" w:type="dxa"/>
            <w:vAlign w:val="center"/>
          </w:tcPr>
          <w:p>
            <w:pPr>
              <w:rPr>
                <w:rFonts w:eastAsiaTheme="minorEastAsia"/>
                <w:color w:val="000000" w:themeColor="text1"/>
                <w:sz w:val="24"/>
              </w:rPr>
            </w:pPr>
            <w:r>
              <w:rPr>
                <w:rFonts w:hint="eastAsia" w:eastAsiaTheme="minorEastAsia"/>
                <w:color w:val="000000" w:themeColor="text1"/>
                <w:sz w:val="24"/>
              </w:rPr>
              <w:t>合同签订之日起</w:t>
            </w:r>
            <w:r>
              <w:rPr>
                <w:rFonts w:eastAsiaTheme="minorEastAsia"/>
                <w:color w:val="000000" w:themeColor="text1"/>
                <w:sz w:val="24"/>
              </w:rPr>
              <w:t>3</w:t>
            </w:r>
            <w:r>
              <w:rPr>
                <w:rFonts w:hint="eastAsia" w:eastAsiaTheme="minorEastAsia"/>
                <w:color w:val="000000" w:themeColor="text1"/>
                <w:sz w:val="24"/>
              </w:rPr>
              <w:t>个月内完成供货及安装调试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color w:val="000000" w:themeColor="text1"/>
                <w:sz w:val="24"/>
              </w:rPr>
            </w:pPr>
            <w:r>
              <w:rPr>
                <w:color w:val="000000" w:themeColor="text1"/>
                <w:sz w:val="24"/>
              </w:rPr>
              <w:t>10</w:t>
            </w:r>
          </w:p>
        </w:tc>
        <w:tc>
          <w:tcPr>
            <w:tcW w:w="2545" w:type="dxa"/>
            <w:vAlign w:val="center"/>
          </w:tcPr>
          <w:p>
            <w:pPr>
              <w:rPr>
                <w:color w:val="000000" w:themeColor="text1"/>
                <w:sz w:val="24"/>
              </w:rPr>
            </w:pPr>
            <w:r>
              <w:rPr>
                <w:rFonts w:hint="eastAsia"/>
                <w:color w:val="000000" w:themeColor="text1"/>
                <w:sz w:val="24"/>
              </w:rPr>
              <w:t>交货地点</w:t>
            </w:r>
          </w:p>
        </w:tc>
        <w:tc>
          <w:tcPr>
            <w:tcW w:w="6295" w:type="dxa"/>
            <w:vAlign w:val="center"/>
          </w:tcPr>
          <w:p>
            <w:pPr>
              <w:rPr>
                <w:color w:val="000000" w:themeColor="text1"/>
                <w:sz w:val="24"/>
              </w:rPr>
            </w:pPr>
            <w:r>
              <w:rPr>
                <w:rFonts w:hint="eastAsia"/>
                <w:color w:val="000000" w:themeColor="text1"/>
                <w:sz w:val="24"/>
              </w:rPr>
              <w:t>用户指定地点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color w:val="000000" w:themeColor="text1"/>
                <w:sz w:val="24"/>
              </w:rPr>
            </w:pPr>
            <w:r>
              <w:rPr>
                <w:rFonts w:hint="eastAsia"/>
                <w:color w:val="000000" w:themeColor="text1"/>
                <w:sz w:val="24"/>
              </w:rPr>
              <w:t>11</w:t>
            </w:r>
          </w:p>
        </w:tc>
        <w:tc>
          <w:tcPr>
            <w:tcW w:w="2545" w:type="dxa"/>
            <w:vAlign w:val="center"/>
          </w:tcPr>
          <w:p>
            <w:pPr>
              <w:rPr>
                <w:color w:val="000000" w:themeColor="text1"/>
                <w:sz w:val="24"/>
              </w:rPr>
            </w:pPr>
            <w:r>
              <w:rPr>
                <w:rFonts w:hint="eastAsia"/>
                <w:color w:val="000000" w:themeColor="text1"/>
                <w:sz w:val="24"/>
              </w:rPr>
              <w:t>本项目所属行业</w:t>
            </w:r>
          </w:p>
        </w:tc>
        <w:tc>
          <w:tcPr>
            <w:tcW w:w="6295" w:type="dxa"/>
          </w:tcPr>
          <w:p>
            <w:pPr>
              <w:rPr>
                <w:color w:val="000000" w:themeColor="text1"/>
                <w:sz w:val="24"/>
              </w:rPr>
            </w:pPr>
            <w:r>
              <w:rPr>
                <w:rFonts w:hint="eastAsia"/>
                <w:color w:val="000000" w:themeColor="text1"/>
                <w:sz w:val="24"/>
              </w:rPr>
              <w:t>根据《统计上大中小微型企业划分办法（2017）》，本项目所属行业为工业。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color w:val="000000" w:themeColor="text1"/>
                <w:sz w:val="24"/>
              </w:rPr>
            </w:pPr>
            <w:r>
              <w:rPr>
                <w:rFonts w:hint="eastAsia"/>
                <w:color w:val="000000" w:themeColor="text1"/>
                <w:sz w:val="24"/>
              </w:rPr>
              <w:t>12</w:t>
            </w:r>
          </w:p>
        </w:tc>
        <w:tc>
          <w:tcPr>
            <w:tcW w:w="2545" w:type="dxa"/>
            <w:vAlign w:val="center"/>
          </w:tcPr>
          <w:p>
            <w:pPr>
              <w:rPr>
                <w:color w:val="000000" w:themeColor="text1"/>
                <w:sz w:val="24"/>
              </w:rPr>
            </w:pPr>
            <w:r>
              <w:rPr>
                <w:rFonts w:hint="eastAsia"/>
                <w:color w:val="000000" w:themeColor="text1"/>
                <w:sz w:val="24"/>
              </w:rPr>
              <w:t>备注</w:t>
            </w:r>
          </w:p>
        </w:tc>
        <w:tc>
          <w:tcPr>
            <w:tcW w:w="6295" w:type="dxa"/>
            <w:vAlign w:val="center"/>
          </w:tcPr>
          <w:p>
            <w:pPr>
              <w:rPr>
                <w:color w:val="000000" w:themeColor="text1"/>
                <w:sz w:val="24"/>
              </w:rPr>
            </w:pPr>
            <w:r>
              <w:rPr>
                <w:rFonts w:hint="eastAsia"/>
                <w:color w:val="000000" w:themeColor="text1"/>
                <w:sz w:val="24"/>
              </w:rPr>
              <w:t>1、采购需求中未列明偏差的除特殊订制类货物以外，列明的尺寸、重量及体积允许±5</w:t>
            </w:r>
            <w:r>
              <w:rPr>
                <w:color w:val="000000" w:themeColor="text1"/>
                <w:sz w:val="24"/>
              </w:rPr>
              <w:t>%</w:t>
            </w:r>
            <w:r>
              <w:rPr>
                <w:rFonts w:hint="eastAsia"/>
                <w:color w:val="000000" w:themeColor="text1"/>
                <w:sz w:val="24"/>
              </w:rPr>
              <w:t>偏差。</w:t>
            </w:r>
          </w:p>
          <w:p>
            <w:pPr>
              <w:rPr>
                <w:color w:val="000000" w:themeColor="text1"/>
                <w:sz w:val="24"/>
              </w:rPr>
            </w:pPr>
            <w:r>
              <w:rPr>
                <w:rFonts w:hint="eastAsia"/>
                <w:color w:val="000000" w:themeColor="text1"/>
                <w:sz w:val="24"/>
              </w:rPr>
              <w:t>2、采购标的物需按照国家相关标准、行业标准、地方标准或者其他标准、规范执行。</w:t>
            </w:r>
          </w:p>
        </w:tc>
      </w:tr>
    </w:tbl>
    <w:p>
      <w:pPr>
        <w:rPr>
          <w:color w:val="000000" w:themeColor="text1"/>
        </w:rPr>
      </w:pPr>
      <w:bookmarkStart w:id="2" w:name="_Hlk88409803"/>
    </w:p>
    <w:p>
      <w:pPr>
        <w:pStyle w:val="2"/>
        <w:rPr>
          <w:color w:val="000000" w:themeColor="text1"/>
        </w:rPr>
      </w:pPr>
      <w:bookmarkStart w:id="3" w:name="_Toc103263083"/>
    </w:p>
    <w:p>
      <w:pPr>
        <w:rPr>
          <w:rFonts w:eastAsiaTheme="minorEastAsia"/>
          <w:color w:val="000000" w:themeColor="text1"/>
        </w:rPr>
      </w:pPr>
    </w:p>
    <w:p>
      <w:pPr>
        <w:rPr>
          <w:rFonts w:eastAsiaTheme="minorEastAsia"/>
          <w:color w:val="000000" w:themeColor="text1"/>
        </w:rPr>
      </w:pPr>
    </w:p>
    <w:p>
      <w:pPr>
        <w:rPr>
          <w:rFonts w:eastAsiaTheme="minorEastAsia"/>
          <w:color w:val="000000" w:themeColor="text1"/>
        </w:rPr>
      </w:pPr>
    </w:p>
    <w:p>
      <w:pPr>
        <w:rPr>
          <w:rFonts w:eastAsiaTheme="minorEastAsia"/>
          <w:color w:val="000000" w:themeColor="text1"/>
        </w:rPr>
      </w:pPr>
    </w:p>
    <w:p>
      <w:pPr>
        <w:rPr>
          <w:rFonts w:eastAsiaTheme="minorEastAsia"/>
          <w:color w:val="000000" w:themeColor="text1"/>
        </w:rPr>
      </w:pPr>
    </w:p>
    <w:p>
      <w:pPr>
        <w:rPr>
          <w:rFonts w:eastAsiaTheme="minorEastAsia"/>
          <w:color w:val="000000" w:themeColor="text1"/>
        </w:rPr>
      </w:pPr>
    </w:p>
    <w:p>
      <w:pPr>
        <w:pStyle w:val="2"/>
        <w:rPr>
          <w:color w:val="000000" w:themeColor="text1"/>
        </w:rPr>
      </w:pPr>
      <w:r>
        <w:rPr>
          <w:rFonts w:hint="eastAsia"/>
          <w:color w:val="000000" w:themeColor="text1"/>
        </w:rPr>
        <w:t>2、</w:t>
      </w:r>
      <w:bookmarkEnd w:id="3"/>
      <w:bookmarkStart w:id="4" w:name="_Toc103263084"/>
      <w:r>
        <w:rPr>
          <w:rFonts w:hint="eastAsia"/>
          <w:color w:val="000000" w:themeColor="text1"/>
        </w:rPr>
        <w:t>采购需求</w:t>
      </w:r>
      <w:bookmarkEnd w:id="2"/>
      <w:bookmarkEnd w:id="4"/>
    </w:p>
    <w:p>
      <w:pPr>
        <w:spacing w:line="360" w:lineRule="auto"/>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（带★的规格配置及技术参数要求为重点性技术参数要求，如不满足或负偏离在技术响应中做加重扣分）</w:t>
      </w:r>
    </w:p>
    <w:tbl>
      <w:tblPr>
        <w:tblStyle w:val="19"/>
        <w:tblW w:w="10041" w:type="dxa"/>
        <w:jc w:val="center"/>
        <w:tblLayout w:type="fixed"/>
        <w:tblCellMar>
          <w:top w:w="0" w:type="dxa"/>
          <w:left w:w="108" w:type="dxa"/>
          <w:bottom w:w="0" w:type="dxa"/>
          <w:right w:w="108" w:type="dxa"/>
        </w:tblCellMar>
      </w:tblPr>
      <w:tblGrid>
        <w:gridCol w:w="713"/>
        <w:gridCol w:w="2160"/>
        <w:gridCol w:w="5510"/>
        <w:gridCol w:w="753"/>
        <w:gridCol w:w="905"/>
      </w:tblGrid>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一、综合布线（内外系统）</w:t>
            </w:r>
          </w:p>
        </w:tc>
      </w:tr>
      <w:tr>
        <w:tblPrEx>
          <w:tblCellMar>
            <w:top w:w="0" w:type="dxa"/>
            <w:left w:w="108" w:type="dxa"/>
            <w:bottom w:w="0" w:type="dxa"/>
            <w:right w:w="108" w:type="dxa"/>
          </w:tblCellMar>
        </w:tblPrEx>
        <w:trPr>
          <w:trHeight w:val="467"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货物名称</w:t>
            </w:r>
          </w:p>
        </w:tc>
        <w:tc>
          <w:tcPr>
            <w:tcW w:w="5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参考规格型号、技术参数</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单位</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数量</w:t>
            </w:r>
          </w:p>
        </w:tc>
      </w:tr>
      <w:tr>
        <w:tblPrEx>
          <w:tblCellMar>
            <w:top w:w="0" w:type="dxa"/>
            <w:left w:w="108" w:type="dxa"/>
            <w:bottom w:w="0" w:type="dxa"/>
            <w:right w:w="108" w:type="dxa"/>
          </w:tblCellMar>
        </w:tblPrEx>
        <w:trPr>
          <w:trHeight w:val="467"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cs="宋体"/>
                <w:color w:val="000000" w:themeColor="text1"/>
                <w:sz w:val="24"/>
                <w:szCs w:val="24"/>
              </w:rPr>
            </w:pPr>
          </w:p>
        </w:tc>
        <w:tc>
          <w:tcPr>
            <w:tcW w:w="5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1.导体：24AWG实心无氧铜，绝缘层：高密度聚乙烯（HDPE），厚度：0.2mm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2.外护套：聚氯乙烯（PVC）厚度：0.55mm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3.线缆结构：4对8芯双绞线,每对之间采用十字骨架隔离,每芯均有颜色区分,外皮印有厂商标识及电缆编码，有撕裂绳，线缆外径6.3mm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4.标准：传输性能参数满足ISO/IEC 11801 E类标准和TIA/EIA 568.2-D六类标准；性能指标优于现行六类线缆250MHz，支持1G Base-T, 622M ATM 等高带宽应用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5.运行温度：-25至60°C                                  6.最大电容：≤5.6nF/100m                                     7.特性阻抗：(f：1-155MHz)100±15Ω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★8.提供第三方检测机构出具的带有CNAS或CMA认证标识的检测报告复印件加盖原厂公章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bookmarkStart w:id="5" w:name="_GoBack"/>
            <w:bookmarkEnd w:id="5"/>
            <w:r>
              <w:rPr>
                <w:rFonts w:hint="eastAsia" w:ascii="宋体" w:hAnsi="宋体" w:cs="宋体"/>
                <w:color w:val="000000" w:themeColor="text1"/>
                <w:kern w:val="0"/>
                <w:szCs w:val="24"/>
                <w:lang w:bidi="ar"/>
                <w14:textFill>
                  <w14:solidFill>
                    <w14:schemeClr w14:val="tx1"/>
                  </w14:solidFill>
                </w14:textFill>
              </w:rPr>
              <w:t>67475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线规24AWG/7*0.2实心无氧铜多股线</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E类和TIA/EIA 568.2-D六类 的单体跳线标准；支持1G Base-T, 622M ATM 等高带宽应用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触点材料：磷青铜，有50μm镀金层和100μm镀镍层，确保优异性能</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工作温度: -20℃～60℃</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水晶头带有明显的品牌LOGO</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额定电压：最大交流150V；</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额定电流：最大1.5A；</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接触电阻：最大为10mΩ；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绝缘层：最小为500mΩ；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3424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1.86型面板采用高阻燃ABS工程材料，阻燃性能达到UL94-V0级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2.整体扁平设计，方便模块内部线缆弯曲存放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3.组合式结构，前后双层面板设计，避免固定螺丝孔外露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4.配有防尘滑门用以保护模块、遮蔽灰尘和污物进入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5.面板表面带嵌入式标签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6.兼容所有KEYSTONE结构模块</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7.每套含1个六类非屏蔽模块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261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1.86型面板采用高阻燃ABS工程材料，阻燃性能达到UL94-V0级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2.整体扁平设计，方便模块内部线缆弯曲存放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3.组合式结构，前后双层面板设计，避免固定螺丝孔外露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4.配有防尘滑门用以保护模块、遮蔽灰尘和污物进入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5.面板表面带嵌入式标签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6.兼容所有KEYSTONE结构模块</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7.每套含2个六类非屏蔽模块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1389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1.颜色：铜质光面铜</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2.材质：铜合金/阻燃PC</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3.面板尺寸：120mmX118mm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4.底盒尺寸：100X100X60mm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5.地面装修开口小于110mmX110mm的方口</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6.兼容所有KEYSTONE结构模块</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7.每套含2个六类非屏蔽模块</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六类非屏蔽模块：</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1.模块带有保护后盖，确保芯线可靠端接并防止松脱，支持垂直进线和侧面进线两种进线方式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2.兼容T568A和T568B两种打线方式，可采用一字打线和采用专用的打线工具一次性打断8根线缆的端接方式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3.标准：传输性能参数满足ISO/IEC 11801 E类标准和TIA/EIA 568.2-D六类标准；性能指标优于现行六类线缆250MHz，支持1G Base-T, 622M ATM 等高带宽应用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4.直流电阻：≤300mΩ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5.接触电阻：≤20mΩ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6.绝缘电阻≥500MΩ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7.金针：磷青铜、50μ镀金 </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8.IDC端子：磷青铜、整体镀镍，卡接22-24AWG导体</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9.插头与插座的插合次数≥750次</w:t>
            </w:r>
          </w:p>
          <w:p>
            <w:pPr>
              <w:spacing w:line="360" w:lineRule="auto"/>
              <w:textAlignment w:val="top"/>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10.导线端接次数≥250次</w:t>
            </w:r>
          </w:p>
          <w:p>
            <w:pPr>
              <w:spacing w:line="360" w:lineRule="auto"/>
              <w:textAlignment w:val="top"/>
              <w:rPr>
                <w:color w:val="000000" w:themeColor="text1"/>
              </w:rPr>
            </w:pPr>
            <w:r>
              <w:rPr>
                <w:rFonts w:hint="eastAsia" w:ascii="宋体" w:hAnsi="宋体" w:eastAsia="宋体" w:cs="宋体"/>
                <w:color w:val="000000" w:themeColor="text1"/>
                <w:sz w:val="24"/>
                <w:szCs w:val="24"/>
                <w:lang w:val="en-US" w:eastAsia="zh-CN"/>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en-US" w:eastAsia="zh-CN"/>
              </w:rPr>
              <w:t>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1.1U24端口快捷式配线架,兼容T568A和T568B两种打线方式，IDC端子带有保护后盖确保芯线可靠端接并防止松脱，自带后置理线架</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2.标准：传输性能参数满足ISO/IEC 11801 E类标准和TIA/EIA 568.2-D六类标准；性能指标优于现行六类线缆250MHz，支持1G Base-T, 622M ATM 等高带宽应用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3.直流电阻：≤300mΩ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4.接触电阻：≤20mΩ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5.绝缘电阻：≥500MΩ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6.金针：磷青铜、50μ镀金</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7.IDC端子：磷青铜、整体镀镍，卡接22-26AWG导体</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8.插头与插座的插合次数≥750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9.导线端接次数≥250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10.理线托架：喷塑钢材＋阻燃聚碳酸脂UL 94-V0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11.金属架：冷轧钢板,粉末喷涂处理,黑色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12.塑料件：高冲击强度材料，UL 94-V0阻燃等级</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13.工作温度：-10℃～60℃</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1.铝合金设计，承载强度高，重量更轻</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2.12档卡口，前盖板可拆卸方便线缆整理</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3.与数据配线架、110配线架，光纤配线架搭配使用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4.适用于19英寸标准机柜，高度1U</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2M六类非屏蔽网</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线规24AWG/7*0.2实心无氧铜多股线</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E类和TIA/EIA 568.2-D六类 的单体跳线标准；支持1G Base-T, 622M ATM 等高带宽应用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触点材料：磷青铜，有50μm镀金层和100μm镀镍层，确保优异性能</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工作温度: -20℃～60℃</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水晶头带有明显的品牌LOGO</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额定电压：最大交流150V；</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额定电流：最大1.5A；</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接触电阻：最大为10mΩ；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绝缘层：最小为500mΩ；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3424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1.模块化结构，由基本框架组成，可以兼职ST、FC、SC、LC四种规格的适配器，同时有足够的空间保证光纤的盘绕、固定和接续</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2.自带盘纤架，为光缆端接和安装提供坚固的保护</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3.机架式设计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4.工作温度：-40℃～85℃</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4.接头类型包括ST、SC 、LC、FC跳线及混合跳线等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5.接头材料：陶瓷套管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6.重复插拔：≤0.2dB，每500次插拔</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7.插入损耗：≤0.3dB</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8.回波损耗：≥50dB</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光纤熔接，每套含1个LC适配器。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1.高精度尺寸，耐磨擦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3.分别提供ST型、SC型、FC型、LC型等多种适配器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4.材料：磷青铜、氧化锆陶瓷套管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5.重复性：≥1000次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12</w:t>
            </w:r>
            <w:r>
              <w:rPr>
                <w:rFonts w:hint="eastAsia" w:ascii="宋体" w:hAnsi="宋体" w:eastAsia="宋体" w:cs="宋体"/>
                <w:color w:val="000000" w:themeColor="text1"/>
                <w:sz w:val="24"/>
                <w:szCs w:val="24"/>
                <w:lang w:val="en-US" w:eastAsia="zh-CN"/>
              </w:rPr>
              <w:t>47</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3420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网络机柜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cs="宋体"/>
                <w:color w:val="000000" w:themeColor="text1"/>
                <w:sz w:val="24"/>
                <w:szCs w:val="24"/>
              </w:rPr>
            </w:pPr>
            <w:r>
              <w:rPr>
                <w:rFonts w:hint="eastAsia" w:ascii="宋体" w:hAnsi="宋体" w:cs="宋体"/>
                <w:color w:val="000000" w:themeColor="text1"/>
                <w:sz w:val="24"/>
                <w:szCs w:val="24"/>
              </w:rPr>
              <w:t>1.宽600*深600*高2000</w:t>
            </w:r>
          </w:p>
          <w:p>
            <w:pPr>
              <w:spacing w:line="360" w:lineRule="auto"/>
              <w:textAlignment w:val="center"/>
              <w:rPr>
                <w:rFonts w:hint="eastAsia" w:ascii="宋体" w:hAnsi="宋体" w:cs="宋体"/>
                <w:color w:val="000000" w:themeColor="text1"/>
                <w:sz w:val="24"/>
                <w:szCs w:val="24"/>
              </w:rPr>
            </w:pPr>
            <w:r>
              <w:rPr>
                <w:rFonts w:hint="eastAsia" w:ascii="宋体" w:hAnsi="宋体" w:cs="宋体"/>
                <w:color w:val="000000" w:themeColor="text1"/>
                <w:sz w:val="24"/>
                <w:szCs w:val="24"/>
              </w:rPr>
              <w:t>2.双网门</w:t>
            </w:r>
          </w:p>
          <w:p>
            <w:pPr>
              <w:spacing w:line="360" w:lineRule="auto"/>
              <w:textAlignment w:val="center"/>
              <w:rPr>
                <w:rFonts w:hint="eastAsia" w:ascii="宋体" w:hAnsi="宋体" w:cs="宋体"/>
                <w:color w:val="000000" w:themeColor="text1"/>
                <w:sz w:val="24"/>
                <w:szCs w:val="24"/>
              </w:rPr>
            </w:pPr>
            <w:r>
              <w:rPr>
                <w:rFonts w:hint="eastAsia" w:ascii="宋体" w:hAnsi="宋体" w:cs="宋体"/>
                <w:color w:val="000000" w:themeColor="text1"/>
                <w:sz w:val="24"/>
                <w:szCs w:val="24"/>
              </w:rPr>
              <w:t>3.箱体1.0.立柱镀锌2.0，含隔板一块，风扇一个，PDU一个。</w:t>
            </w:r>
          </w:p>
          <w:p>
            <w:pPr>
              <w:spacing w:line="360" w:lineRule="auto"/>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4.冷轧钢板；黑色。</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壁挂机柜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1.宽600*深600*高1200</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2.双网门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3.箱体1.0.立柱镀锌2.0，含隔板一块，风扇一个，PDU一个。</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4.冷轧钢板；黑色。</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1.耐拉伸护套加高品质芳纶，提高线缆的拉伸性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2.允许拉伸力（N）：长期130，短期440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3.压扁力（N/100mm）：长期1000，短期300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5.储存、使用温度：－20℃～60℃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6.光纤衰减：OS2: 1310nm≤ 0.36 dB/km,1550≤0.23dB/km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4415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1.采用扎纹钢带铠装护套和钢丝加强件，抗拉、抗压，具有良好的机械性能</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2.外护套采用聚乙烯PE料，添加UV防晒材料，具有抗UV、耐高低温、不易老化</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3.管内间隙填充特种油膏保护光纤同时有效防水。内套和护套之间的间隙填充复合物连续填充特种防水化合物。</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4.允许拉伸力（N）：长期500，短期1000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5.压扁力（N/100mm）：长期300，短期1000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7.储存、使用温度：－40℃～70℃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8.光纤衰减: OS2: 1310nm≤ 0.36 dB/km,1550≤0.23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color w:val="000000" w:themeColor="text1"/>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3300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1.模块化结构，由基本框架组成，可以兼职ST、FC、SC、LC四种规格的适配器，同时有足够的空间保证光纤的盘绕、固定和接续</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2.自带盘纤架，为光缆端接和安装提供坚固的保护</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3.机架式设计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4.工作温度：-40℃～85℃</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4.接头类型包括ST、SC 、LC、FC跳线及混合跳线等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5.接头材料：陶瓷套管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6.重复插拔：≤0.2dB，每500次插拔</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7.插入损耗：≤0.3dB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光纤熔接，每套含1个LC适配器。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1.高精度尺寸，耐磨擦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3.分别提供ST型、SC型、FC型、LC型等多种适配器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4.材料：磷青铜、氧化锆陶瓷套管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5.重复性：≥1000次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r>
              <w:rPr>
                <w:rFonts w:hint="eastAsia" w:ascii="宋体" w:hAnsi="宋体" w:cs="宋体"/>
                <w:color w:val="000000" w:themeColor="text1"/>
                <w:sz w:val="24"/>
                <w:szCs w:val="24"/>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3999</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二、外网系统</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1.导体:24AWG实心无氧铜，</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绝缘层：高密度聚乙烯（HDPE），厚度：0.2mm </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外护套：聚氯乙烯（PVC）厚度：0.55mm</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线缆结构：4对8芯双绞线,每对之间采用十字骨架隔离,每芯均有颜色区分,外皮印有厂商标识及电缆编码，有撕裂绳，线缆外径6.3mm</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E类标准和TIA/EIA 568.2-D六类标准；性能指标优于现行六类线缆250MHz，支持1G Base-T, 622M ATM 等高带宽应用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运行温度：-25至60°C</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最大电容：≤5.6nF/100m</w:t>
            </w:r>
          </w:p>
          <w:p>
            <w:pPr>
              <w:spacing w:line="360" w:lineRule="auto"/>
              <w:textAlignment w:val="top"/>
              <w:rPr>
                <w:color w:val="000000" w:themeColor="text1"/>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特性阻抗：(f：1-155MHz)100±15Ω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4760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线规24AWG/7*0.2实心无氧铜多股线</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E类和TIA/EIA 568.2-D六类 的单体跳线标准；支持1G Base-T, 622M ATM 等高带宽应用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触点材料：磷青铜，有50μm镀金层和100μm镀镍层，确保优异性能</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工作温度: -20℃～60℃</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水晶头带有明显的品牌LOGO</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额定电压：最大交流150V；</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额定电流：最大1.5A；</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接触电阻：最大为10mΩ；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绝缘层：最小为500mΩ；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外护套：CM阻燃级别</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2198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1.86型面板采用高阻燃ABS工程材料，阻燃性能达到UL94-V0级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2.整体扁平设计，方便模块内部线缆弯曲存放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3.组合式结构，前后双层面板设计，避免固定螺丝孔外露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4.配有防尘滑门用以保护模块、遮蔽灰尘和污物进入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5.面板表面带嵌入式标签</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6.兼容所有KEYSTONE结构模块</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7.每套含1个六类非屏蔽模块</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★8.86型面板和六类非屏蔽模块提供第三方检测机构出具的带有CNAS或CMA认证标识的测试报告及链路测试报告复印件加盖原厂公章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1251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1.1U24端口快捷式配线架,兼容T568A和T568B两种打线方式，IDC端子带有保护后盖确保芯线可靠端接并防止松脱，自带后置理线架</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2.标准：传输性能参数满足ISO/IEC 11801 E类标准和TIA/EIA 568.2-D六类标准；性能指标优于现行六类线缆250MHz，支持1G Base-T, 622M ATM 等高带宽应用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3.直流电阻：≤300mΩ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4.接触电阻：≤20mΩ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5.绝缘电阻：≥500MΩ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6.金针：磷青铜、50μ镀金</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7.IDC端子：磷青铜、整体镀镍，卡接22-26AWG导体</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8.插头与插座的插合次数≥750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9.导线端接次数≥250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10.理线托架：喷塑钢材＋阻燃聚碳酸脂UL 94-V0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11.金属架：冷轧钢板,粉末喷涂处理,黑色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12.塑料件：高冲击强度材料，UL 94-V0阻燃等级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1.铝合金设计，承载强度高，重量更轻</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2.12档卡口，前盖板可拆卸方便线缆整理</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3.与数据配线架、110配线架，光纤配线架搭配使用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4.适用于19英寸标准机柜，高度1U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4.接头类型包括ST、SC 、LC、FC跳线及混合跳线等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5.接头材料：陶瓷套管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6.重复插拔：≤0.2dB，每500次插拔</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7.插入损耗：≤0.3dB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1.模块化结构，由基本框架组成，可以兼职ST、FC、SC、LC四种规格的适配器，同时有足够的空间保证光纤的盘绕、固定和接续</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2.自带盘纤架，为光缆端接和安装提供坚固的保护</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3.机架式设计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4.工作温度：-40℃～85℃</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光纤熔接，每套含1个LC适配器。</w:t>
            </w:r>
          </w:p>
          <w:p>
            <w:pPr>
              <w:numPr>
                <w:ilvl w:val="0"/>
                <w:numId w:val="2"/>
              </w:num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高精度尺寸，耐磨擦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3.分别提供ST型、SC型、FC型、LC型等多种适配器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4.材料：磷青铜、氧化锆陶瓷套管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5.重复性：≥1000次</w:t>
            </w:r>
          </w:p>
          <w:p>
            <w:pPr>
              <w:spacing w:line="360" w:lineRule="auto"/>
              <w:textAlignment w:val="center"/>
              <w:rPr>
                <w:color w:val="000000" w:themeColor="text1"/>
              </w:rPr>
            </w:pPr>
            <w:r>
              <w:rPr>
                <w:rFonts w:hint="eastAsia" w:ascii="宋体" w:hAnsi="宋体" w:eastAsia="宋体" w:cs="宋体"/>
                <w:color w:val="000000" w:themeColor="text1"/>
                <w:sz w:val="24"/>
                <w:szCs w:val="24"/>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1287</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1.耐拉伸护套加高品质芳纶，提高线缆的拉伸性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2.允许拉伸力（N）：长期130，短期440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3.压扁力（N/100mm）：长期1000，短期300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5.储存、使用温度：－20℃～60℃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6.光纤衰减：OS2: 1310nm≤ 0.36 dB/km,1550≤0.23dB/km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1.采用扎纹钢带铠装护套和钢丝加强件，抗拉、抗压，具有良好的机械性能</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2.外护套采用聚乙烯PE料，添加UV防晒材料，具有抗UV、耐高低温、不易老化</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3.管内间隙填充特种油膏保护光纤同时有效防水。内套和护套之间的间隙填充复合物连续填充特种防水化合物。4.允许拉伸力（N）：长期500，短期1000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5.压扁力（N/100mm）：长期300，短期1000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7.储存、使用温度：－40℃～70℃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8.光纤衰减: OS2: 1310nm≤ 0.36 dB/km,1550≤0.23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1.模块化结构，由基本框架组成，可以兼职ST、FC、SC、LC四种规格的适配器，同时有足够的空间保证光纤的盘绕、固定和接续</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2.自带盘纤架，为光缆端接和安装提供坚固的保护</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3.机架式设计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4.工作温度：-40℃～85℃</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4.接头类型包括ST、SC 、LC、FC跳线及混合跳线等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5.接头材料：陶瓷套管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6.重复插拔：≤0.2dB，每500次插拔</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7.插入损耗：≤0.3dB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光纤熔接，每套含1个LC适配器。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1.高精度尺寸，耐磨擦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3.分别提供ST型、SC型、FC型、LC型等多种适配器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4.材料：磷青铜、氧化锆陶瓷套管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5.重复性：≥1000次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暗装线管开槽及恢复</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剔堵槽、沟 砖结构 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室外挖沟槽</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剔堵槽、沟 混泥土结构宽3.0mm*深3.0mm(适配放管）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3000</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三、设备网系统</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1.耐拉伸护套加高品质芳纶，提高线缆的拉伸性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2.允许拉伸力（N）：长期130，短期440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3.压扁力（N/100mm）：长期1000，短期300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5.储存、使用温度：－20℃～60℃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6.光纤衰减：OS2: 1310nm≤ 0.36 dB/km,1550≤0.23dB/km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885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1.采用扎纹钢带铠装护套和钢丝加强件，抗拉、抗压，具有良好的机械性能</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2.外护套采用聚乙烯PE料，添加UV防晒材料，具有抗UV、耐高低温、不易老化</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3.管内间隙填充特种油膏保护光纤同时有效防水。内套和护套之间的间隙填充复合物连续填充特种防水化合物。</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4.允许拉伸力（N）：长期500，短期1000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5.压扁力（N/100mm）：长期300，短期1000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7.储存、使用温度：－40℃～70℃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8.光纤衰减: OS2: 1310nm≤ 0.36 dB/km,1550≤0.23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3700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1.采用扎纹钢带铠装护套和钢丝加强件，抗拉、抗压，具有良好的机械性能</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2.外护套采用聚乙烯PE料，添加UV防晒材料，具有抗UV、耐高低温、不易老化</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3.管内间隙填充特种油膏保护光纤同时有效防水。内套和护套之间的间隙填充复合物连续填充特种防水化合物。</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4.允许拉伸力（N）：长期500，短期1000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5.压扁力（N/100mm）：长期300，短期1000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6.弯曲半径：长期30D，短期15D</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7.储存、使用温度：－40℃～70℃</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8.光纤衰减: OS2: 1310nm≤ 0.36 dB/km,1550≤0.23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OM1：852nm≤3.0 dB/km，1300nm≤ 1.0 dB/km</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OM2：852nm≤3.0 dB/km，1300nm≤ 1.0 dB/km </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OM3：852nm≤3.0 dB/km，1300nm≤ 1.1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10000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1.模块化结构，由基本框架组成，可以兼职ST、FC、SC、LC四种规格的适配器，同时有足够的空间保证光纤的盘绕、固定和接续</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2.自带盘纤架，为光缆端接和安装提供坚固的保护</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3.机架式设计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4.工作温度：-40℃～85℃</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5.材料：优质冷扎钢板</w:t>
            </w:r>
          </w:p>
          <w:p>
            <w:pPr>
              <w:spacing w:line="360" w:lineRule="auto"/>
              <w:textAlignment w:val="top"/>
              <w:rPr>
                <w:rFonts w:ascii="宋体" w:hAnsi="宋体" w:eastAsia="宋体" w:cs="宋体"/>
                <w:color w:val="000000" w:themeColor="text1"/>
                <w:sz w:val="24"/>
                <w:szCs w:val="24"/>
              </w:rPr>
            </w:pPr>
            <w:r>
              <w:rPr>
                <w:rFonts w:ascii="宋体" w:hAnsi="宋体" w:eastAsia="宋体" w:cs="宋体"/>
                <w:color w:val="000000" w:themeColor="text1"/>
                <w:sz w:val="24"/>
                <w:szCs w:val="24"/>
              </w:rPr>
              <w:t>★6.</w:t>
            </w:r>
            <w:r>
              <w:rPr>
                <w:rFonts w:hint="eastAsia" w:ascii="宋体" w:hAnsi="宋体" w:eastAsia="宋体" w:cs="宋体"/>
                <w:color w:val="000000" w:themeColor="text1"/>
                <w:sz w:val="24"/>
                <w:szCs w:val="24"/>
              </w:rPr>
              <w:t>提供第三方检测机构出具的带有CNAS或CMA认证标识的测试报告及链路测试报告复印件加盖原厂公章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4.接头类型包括ST、SC 、LC、FC跳线及混合跳线等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5.接头材料：陶瓷套管</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6.重复插拔：≤0.2dB，每500次插拔</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7.插入损耗：≤0.3dB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1428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光纤熔接，每套含1个LC适配器。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1.高精度尺寸，耐磨擦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3.分别提供ST型、SC型、FC型、LC型等多种适配器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4.材料：磷青铜、氧化锆陶瓷套管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5.重复性：≥1000次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1428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1.导体:24AWG实心无氧铜，</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绝缘层：高密度聚乙烯（HDPE），厚度：0.2mm </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外护套：聚氯乙烯（PVC）厚度：0.55mm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线缆结构：4对8芯双绞线,每对之间采用十字骨架隔离,每芯均有颜色区分,外皮印有厂商标识及电缆编码，有撕裂绳，线缆外径6.3mm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E类标准和TIA/EIA 568.2-D六类标准；性能指标优于现行六类线缆250MHz，支持1G Base-T, 622M ATM 等高带宽应用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运行温度：-25至60°C</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最大电容：≤5.6nF/100m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特性阻抗：(f：1-155MHz)100±15Ω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14335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ZA-BVR3*2.5M²电缆线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3000</w:t>
            </w:r>
          </w:p>
        </w:tc>
      </w:tr>
      <w:tr>
        <w:tblPrEx>
          <w:tblCellMar>
            <w:top w:w="0" w:type="dxa"/>
            <w:left w:w="108" w:type="dxa"/>
            <w:bottom w:w="0" w:type="dxa"/>
            <w:right w:w="108" w:type="dxa"/>
          </w:tblCellMar>
        </w:tblPrEx>
        <w:trPr>
          <w:trHeight w:val="395"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r>
              <w:rPr>
                <w:rFonts w:hint="eastAsia" w:ascii="宋体" w:hAnsi="宋体" w:cs="宋体"/>
                <w:color w:val="000000" w:themeColor="text1"/>
                <w:sz w:val="24"/>
                <w:szCs w:val="24"/>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1314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10420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2*1.0M²电缆线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2*1.0M²电缆线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4215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1.导体:24AWG实心无氧铜，</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绝缘层：高密度聚乙烯（HDPE），厚度：0.2mm </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外护套：聚氯乙烯（PVC）厚度：0.55mm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线缆结构：4对8芯双绞线,每对之间采用十字骨架隔离,每芯均有颜色区分,外皮印有厂商标识及电缆编码，有撕裂绳，线缆外径6.3mm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E类标准和TIA/EIA 568.2-D六类标准；性能指标优于现行六类线缆250MHz，支持1G Base-T, 622M ATM 等高带宽应用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运行温度：-25至60°C</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最大电容：≤5.6nF/100m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特性阻抗：(f：1-155MHz)100±15Ω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r>
              <w:rPr>
                <w:rFonts w:hint="eastAsia" w:ascii="宋体" w:hAnsi="宋体" w:cs="宋体"/>
                <w:color w:val="000000" w:themeColor="text1"/>
                <w:sz w:val="24"/>
                <w:szCs w:val="24"/>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RVVP4*1.0m2电缆线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RVVP4*1.0m2电缆线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6000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PVC管25mm</w:t>
            </w:r>
            <w:r>
              <w:rPr>
                <w:rFonts w:hint="eastAsia" w:ascii="宋体" w:hAnsi="宋体" w:cs="宋体"/>
                <w:color w:val="000000" w:themeColor="text1"/>
                <w:sz w:val="24"/>
                <w:szCs w:val="24"/>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800</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四、公共安全系统（LED屏显示系统）</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LED全彩屏P2.5</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1.像素间距：2.5mm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2.像素密度≥160000点/㎡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3.LED灯珠</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4.驱动刷新:刷新≥3840HZ</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5.视角：水平视角≥160°，垂直视角≥160°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6.显示单元平整度≤0.5mm，显示单元间隙≤0.5mm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6.45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LED主控设备</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最大带载260万像素，最宽可达3840点，或最高可达1920点；支持HDMI和DVI高清数字接口，多路信号间无缝切换；支持视频源任意缩放和裁剪，输入：DVI*1、HDMI1.4*1、SDI*1、DP1.2*1;输出：千兆网口*4；双USB 2.0高速通讯接口，用于电脑调试和主控间任意级联，支持HDCP 1.4</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LED接收卡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LED配套接收卡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LED屏单红P10</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显示屏长约4.8米，高约0.32米，显示面积约1.536平方米；显示颜色是单红，平整度好，具有良好的发光一致性，显示效果好,可视角度大，水平和垂直视角均达到120度以上，且不偏色，支持手机控制。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条屏控制卡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LED条屏配套控制卡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电源控制盒</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单色屏配套电源</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1.导体:24AWG实心无氧铜，</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绝缘层：高密度聚乙烯（HDPE），厚度：0.2mm </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外护套：聚氯乙烯（PVC）厚度：0.55mm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线缆结构：4对8芯双绞线,每对之间采用十字骨架隔离,每芯均有颜色区分,外皮印有厂商标识及电缆编码，有撕裂绳，线缆外径6.3mm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E类标准和TIA/EIA 568.2-D六类标准；性能指标优于现行六类线缆250MHz，支持1G Base-T, 622M ATM 等高带宽应用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运行温度：-25至60°C</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最大电容：≤5.6nF/100m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特性阻抗：(f：1-155MHz)100±15Ω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急诊区对讲系统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急诊区医护主机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安装在护士站桌面，与系统采用IP方式相连。</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 采用7寸彩色液晶屏，中文菜单触摸式操作。</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显示窗口在多个病人呼叫时有排队，以方便护士优先选择接听，多个终端呼叫可全部储存。</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通话可选免提或手柄操作方式。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同一个病区可根据需要配置多台医护工作站，任一医护工作站均可接听病人呼叫，根据工作环境可关闭或打开语音振铃提示音，振铃提示音可选语音报号、和弦音乐、单音等。</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程序在线升级，减少设备拆装。</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★7、可广播病床、医护副机（提供第三方检测报告加盖原厂公章）。</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★8、可设置本机相关参数（提供第三方检测报告加盖原厂公章）。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急诊区病床分机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spacing w:line="360" w:lineRule="auto"/>
              <w:textAlignment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采用4.3寸彩色液晶屏，中文菜单触摸式操作。</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2、液晶屏显示：病人姓名、病床号、护理级别、年月日、时间等内容。</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3、通过护士工作站软件可设置多个时间段关闭屏幕背光。</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4、面板上的呼叫按钮为紧急状态，手持呼叫器上的按钮为普通呼叫。</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5、分级菜单有：住院费用、医疗信息、分机设置等菜单。</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6、所有菜单操作在超过一定时长没有动作时自动返回待机状态。</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7、分机独立编码，分机的号码在分机的本身设置。</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8、嵌入式安装，与系统采用RS485数字化连接。</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★9、扩展设置按需可选：串口报警、断线报警、输液报警（提供第三方检测报告加盖原厂公章）。</w:t>
            </w:r>
            <w:r>
              <w:rPr>
                <w:rFonts w:hint="eastAsia" w:ascii="宋体" w:hAnsi="宋体" w:eastAsia="宋体" w:cs="宋体"/>
                <w:color w:val="000000" w:themeColor="text1"/>
                <w:sz w:val="24"/>
                <w:szCs w:val="24"/>
                <w:lang w:val="en-US" w:eastAsia="zh-CN"/>
              </w:rPr>
              <w:br w:type="textWrapping"/>
            </w:r>
            <w:r>
              <w:rPr>
                <w:rFonts w:hint="eastAsia" w:ascii="宋体" w:hAnsi="宋体" w:eastAsia="宋体" w:cs="宋体"/>
                <w:color w:val="000000" w:themeColor="text1"/>
                <w:sz w:val="24"/>
                <w:szCs w:val="24"/>
                <w:lang w:val="en-US" w:eastAsia="zh-CN"/>
              </w:rPr>
              <w:t>★10、手持呼叫器（呼叫/灯控功能，内置高灵敏麦克风）（提供第三方检测报告加盖原厂公章）。</w:t>
            </w:r>
          </w:p>
          <w:p>
            <w:pPr>
              <w:numPr>
                <w:ilvl w:val="0"/>
                <w:numId w:val="0"/>
              </w:numPr>
              <w:spacing w:line="360" w:lineRule="auto"/>
              <w:textAlignment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★11、分机有普通与紧急呼叫和护理请求支援（提供第三方检测报告加盖原厂公章）。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急诊区系统数据处理器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1、与系统采用IP方式相连，4路RS 485 总线输出。</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2、系统语音、数据中转。</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B3医护主机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1、安装在护士站桌面，与系统采用IP方式相连。</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2、采用13.3寸彩色液晶屏，中文菜单触摸式操作。</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3、支持同步HIS，实时更新病员一览表信息。</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4、支持呼叫呼叫转移和呼叫托管功能。</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5、支持分组广播、群呼功能。</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6、显示窗口在多个病人呼叫时有排队，以方便护士优先选择接听，多个终端呼叫可全部储存。</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7、通话可选免提或手柄操作方式。</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8、同一个病区可根据需要配置多台医护工作站，任一医护工作站均可接听病人呼叫，根据工作环境可关闭或打开语音振铃提示音，振铃提示音可选语音报号、和弦音乐、单音等。</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9、程序在线升级，减少设备拆装。</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★10、可广播病床、医护副机（提供第三方检测报告加盖原厂公章）。</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★11、可设置本机相关参数（提供第三方检测报告加盖原厂公章）。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B3病房分机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超薄挂墙安装，预埋八六底盒。</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2、采用7寸彩色液晶屏，中文菜单触摸式操作。显示：房间号、病床号、主任、医师、护师、护士姓名等内容。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医护人员进入病房时按动“护理中”按键，该房间内所有病床工作站开通接听其余房间呼叫功能。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如护士在走廊走动时看到有病人呼叫可在就近的病房工作站面板上按“应答”键接听，接听完毕按“复位”键复位通话。</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连接病房卫生间紧急呼叫分机。</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 集成三色门灯功能。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面板上“护理中”按键能实现医护人员定位指示，按动“护理中”按键时病房门灯的绿色灯长亮，“请求支援”时绿色灯闪烁亮。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显示窗口在多个病人呼叫时有排队，以方便护士优先选择接听，多个终端呼叫可全部储存。</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 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B3病床分机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1、嵌入式安装。</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2、用5寸彩色液晶屏，中文菜单触摸式操作。显示 ：病人姓名、病床号、护理级别、年月日、星期、时间等。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3、通过护士工作站软件可设置多个时间段关闭屏幕背光。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4、面板上的呼叫按钮为紧急状态，手持呼叫器上的按钮为普通呼叫。</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5、分机菜单有：住院费用、医疗信息、分机设置等菜单。</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6、所有菜单操作在超过一定时长没有动作时自动返回待机状态。</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7、分机独立编码，分机的号码在分机的本身设置。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8、程序在线升级，减少设备拆装。</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9、★扩展设置按需可选：串口报警、断线报警、输液报警（提供第三方检测报告加盖原厂公章）。</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10、★手持呼叫器（呼叫/灯控功能，内置高灵敏麦克风）（提供第三方检测报告加盖原厂公章）。</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11、★分机有普通与紧急呼叫和护理请求支援（提供第三方检测报告加盖原厂公章）。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卫生间分机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1、依据国际标准八六盒设计，安装简易，预埋八六底盒。</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2、按压/拉绳两种操作方式，呼叫时为紧急状态。</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配防水垫片，确保在潮湿的环境下能正常工作。</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4、安装说明：安装于卫生间如厕位一侧墙壁离地80厘米。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三色门灯</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1、三色五状态表明病人/输液监护仪/医护人员信息；</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2、内置三种颜色超高亮度LED发光二极管；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3、红色灯长亮时表示有分机呼叫，闪烁亮时表示分机紧急呼叫；</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4、橙色灯闪烁亮时表示有输液监护仪报警；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5、绿色灯长亮时表示有医护人员在进行护理，闪烁亮时为需要增加医护人员进行护理；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1、与系统采用IP方式相连，4路RS 485 总线输出。</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2、系统语音、数据中转。</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信息发布控制器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1、与系统采用IP方式相连。</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2、对接大屏幕液晶电视用，壁装在液晶电视机背后墙面，</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3、可设置是否显示接收病人呼叫信息及标语，如有病人呼叫则多行显示，并显示还有多少个呼叫在等待队列，平时可显示时间(年月日、星期、时分)、标语、通知等信息。</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4、实时显示科室入住人员一览表、病房住院总人数、出、入院人数、住院病人手术安排;</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5、实时显示科室病区公告信息、值班医生等等信息，并能播放病区的信息公告、病区宣教信息的幻灯片等多种信息;</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6、取代传统护士站的小黑板，可手动/自动发布信息;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走廊显示屏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1、与系统采用IP方式相连。</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2、双面，六位中文字符，平时显示时间、有呼叫时显示呼叫信息，循环显示标语。</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3、具有呼叫提示音(单音、和弦音乐、语音报号可选)，提示音的音量及开通时间段可在护士工作站软件上设置。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4、走廊显示屏时间采用计算机当前时间，并能接收GPS子母钟系统数据。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护士站液晶电视</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55寸或以上，分辨率 1920*1080，带HDMI接口CPU：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医护对讲管理服务器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1)品牌要求：国产服务器品牌；</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2)处理器：≥1颗x86架构CPU，每颗CPU核心数≥12核，每颗CPU主频≥2.1GHz；</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3)内存：≥16GB DDR4 3200MHz ECC RDIMM内存；</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4)硬盘：≥1块2TB 企业级SATA硬盘；</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5)存储扩展性：前置支持≥12个3.5寸或24个2.5寸热插拔硬盘，可支持SAS/SATA/NVMe SSD混插；后置支持≥4个2.5寸硬盘，支持anybay；</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6)网卡：≥2个千兆RJ45网口；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7)扩展插槽：最大支持10个PCIe插槽；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8)★组合扩展性：支持后置8个PCIe卡且同时支持2个2.5寸硬盘作为系统盘，提供证明文件并加盖设备制造厂商公章；</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9)电源：热插拔1+1冗余电源，单个电源功率≥800W；</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10)★产品可靠性：要求产品长时间无故障运行时间MTBF≥15万小时，投标时提供MTBF认证证书复印件并加盖设备制造厂商公章；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医护对讲系统管理软件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1、负责整个系统的资料管理、交换路由控制、分级控制转移或设置，与HIS系统的数据交换对接处理等。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2、可对医院的所有病床和所有呼叫设备统一进行管理。</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3、可通过HIS系统对医院的各科室、护士站、医生护士、病人的相关信息进行记录并管理。</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4、系统在联网的情况下，将各个病区的呼叫记录汇总至网络服务器，随时查看，有助于医院管理层对临床护理的一些基本管理。</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5、标准接口协议，便于与不同项目、不同医院HIS软件厂家进行对接。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护士工作站软件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1、安装于护士站电脑，与Windows2000、XP等操作系统无缝连接。</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实现病人电子一览表功能，显示每位住院病人的信息(姓名、性别、年龄、入院时间、护理级别、诊断信息、注意事项等)实时显示；软件界面直观、数据记录清楚，利于服务的管理和监督；统计信息全面，按软件数据库格式生成报表；随时翻查以往记录呼叫信息。</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3、与医院内部HIS系统网络交换病人住院医疗数据。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4、软件界面待机状态下有年月日、星期、时分，文字显示，有呼叫时自动转换，多个呼叫排队同时显示出来且有顺序号，呼叫信息储存可翻查。</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5、病人呼叫时具有语音报号、和弦音乐或单音等可选提示音。</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6、在线设置每个病房门口的病房工作站显示单元中：房间号、病床号、主任、医师、护师、护士姓名等内容。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可向走廊中文显示屏在线输入修改显示的内容，即信息发布。</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手动/自动发布信息：与医院HIS系统联网状态下，网络服务器接收医院HIS系统数据服务器更新的信息，接收后自动传输到各科室护士工作站，由工作人员选择是手动还是自动将信息发送到病房工作站、病床工作站。</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9、系统可自成系统独立运行，又可以与HIS、医院通信专网交换语音和数据。有关病人的呼叫信息可转成其他软件容易读取、交换的格式。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10、具有多个时段振铃电子音量自动大小功能。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11、将系统当前时间发送至病房工作站、病床工作站且实时更新，可对病床工作站进行设置闹钟提醒服药时间等提示内容。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12、当设置紧急状态的终端呼叫时优先显示。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1.导体:24AWG实心无氧铜，</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绝缘层：高密度聚乙烯（HDPE），厚度：0.2mm </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外护套：聚氯乙烯（PVC）厚度：0.55mm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线缆结构：4对8芯双绞线,每对之间采用十字骨架隔离,每芯均有颜色区分,外皮印有厂商标识及电缆编码，有撕裂绳，线缆外径6.3mm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标准：传输性能参数满足ISO/IEC 11801 E类标准和TIA/EIA 568.2-D六类标准；性能指标优于现行六类线缆250MHz，支持1G Base-T, 622M ATM 等高带宽应用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运行温度：-25至60°C</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最大电容：≤5.6nF/100m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特性阻抗：(f：1-155MHz)100±15Ω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10130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RVV 2*1.5M²电缆线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2076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1116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对讲集中电源</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门禁集中配电箱 (12V30A)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急诊区网络系统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24口POE交换机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1、交换容量≥330Gbps, 包转发率≥50Mpps;</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2、≥24个千兆电口，≥4个千兆光口；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3、支持802.3at POE+功能，支持快速POE功能，整机最大提供370W POE供电；</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4、支持MAC地址≥16K，支持ARP表项≥4K；</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5、支持4K个VLAN，支持Voice VLAN，基于端口的VLAN，基于MAC的VLAN，基于协议的VLAN；支持Smart link；</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6、支持CPU保护功能；支持DHCP Snooping、DHCPv6 Snooping功能；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7、支持 ERPS 以太环保护协议（G.8032）；</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8、支持SNMP v1/v2/v3、Telnet、RMON；支持通过命令行、Web、中文图形化配置软件等方式进行配置和管理；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48口接入交换机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1、交换容量≥400Gbps, 包转发率≥80Mpps;</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2、≥48个千兆电口，≥4个千兆SFP；</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3、支持MAC地址≥16K，支持ARP表项≥4K；</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4、支持4K个VLAN，支持Voice VLAN，基于端口的VLAN，基于MAC的VLAN，基于协议的VLAN；支持Smart link；</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5、支持RIP、RIPng、OSPF、OSPFv3路由协议；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6、支持CPU保护功能；支持DHCPv6 Snooping，DAI，SAVI等安全特性；</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7、支持SNMP v1/v2/v3、Telnet、RMON；支持通过命令行、Web、中文图形化配置软件等方式进行配置和管理；</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8、支持以太网环网保护协议ERPS，故障倒换时间小于50ms；</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9、支持纵向虚拟化，作为纵向子节点零配置即插即用；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10、支持 802.3az 能效以太网 EEE，节能环保；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路由器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WAN口数：2*GE电+2*GE光，LAN口数：2*GE光+3GE电，4*SIC插槽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带机量1200台PC，转发性能9Mpps-25Mpps，免费可管理4个AP（仅Wi-Fi 5），最大支持32个</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千兆单模模块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光模块-eSFP-GE-单模模块(1310nm,10km,LC)</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LC-LC单模尾纤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1.依工业标准100%光学测试—确保可靠性</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2.高质量的陶瓷套管，提供低插入损耗和耐久性</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3.稳定的光学特性</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4.OFNR/LSZH外护套</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5.接头类型包括ST、SC 、LC、FC跳线及混合跳线等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6.接头材料：陶瓷套管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7.重复插拔：≤0.2dB，每500次插拔</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8.插入损耗：≤0.3dB</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250</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会议系统预留布线</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话简线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成品线，20米8芯航空线（一公一母）</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音频线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音箱线，300支金银线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1.颜色：铜质光面铜</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2.材质：铜合金/阻燃PC</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3.面板尺寸：120mmX118mm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4.底盒尺寸：100X100X60mm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5.地面装修开口小于110mmX110mm的方口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6.兼容所有KEYSTONE结构模块</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7.每套含2个六类非屏蔽模块</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六类非屏蔽模块：</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1.模块带有保护后盖，确保芯线可靠端接并防止松脱，支持垂直进线和侧面进线两种进线方式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2.兼容T568A和T568B两种打线方式，可采用一字打线和采用专用的打线工具一次性打断8根线缆的端接方式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3.标准：传输性能参数满足ISO/IEC 11801 E类标准和TIA/EIA 568.2-D六类标准；性能指标优于现行六类线缆250MHz，支持1G Base-T, 622M ATM 等高带宽应用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4.直流电阻：≤300mΩ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5.接触电阻：≤20mΩ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6.绝缘电阻≥500MΩ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7.金针：磷青铜、50μ镀金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8.IDC端子：磷青铜、整体镀镍，卡接22-24AWG导体</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9.插头与插座的插合次数≥750次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10.导线端接次数≥250次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监控系统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1/2.7 inch逐行扫描200万像素CMOS图像传感器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 镜头: 2.8mm/4.0mm/6.0mm可选</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编码制式: 1080P(1920*1080)最大30帧/秒</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编码协议: H.265、H.264、MJPEG</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宽动态: 120dB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 视频流: 三码流</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支持9:16走廊模式、 内置Mic</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行为检测: 运动检测、遮挡检测、声音异常、越界检测、区域入侵</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 友好密码策略检查：启用友好密码功能策略时，与样机处于同一网段的地址可以使用样机出厂密码登录和访问样机</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 网口: 10M/100M自适应以太网电口</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 电源：DC12V±25%、PoE</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 支持Onvif、GB/T28181等多种接入方式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 IP67防护等级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390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简型网络摄像机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1/2.7 inch逐行扫描400万像素CMOS图像传感器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镜头: 4.0mm/6.0mm/8.0mm可选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编码制式: 2560*1440@20fps</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编码协议: H.265、H.264、MJPEG</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宽动态: 120dB</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视频流: 三码流</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支持9:16走廊模式、 内置Mic</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 行为检测: 运动检测、遮挡检测、声音异常、越界检测、区域入侵</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 友好密码策略检查：启用友好密码功能策略时，与样机处于同一网段的地址可以使用样机出厂密码登录和访问样机</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 网口: 10M/100M自适应以太网电口</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电源：DC12V±25%、PoE</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 支持Onvif、GB/T28181等多种接入方式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 IP67防护等级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防油污摄像机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1.1/1.8'逐行扫描400万像素CMOS图像传感器</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2.镜头：4~6mm，电动变焦</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3.编码制式:400(2560*1440)最大25帧/秒</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4.编码协议:H.265,H.264, MJPEG</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5.宽动态: 120dB光学宽动态</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6.视频流: 三码流</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支持人脸检测：支持人脸检测抓拍，支持抓拍优选，自动筛选出抓拍质量最优的图片，最多可同时检测40个人脸目标</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支持周界布防：支持越界检测、进入区域、离开区域、区域入侵4种布防模式，可对机动车、非机动车、行人目标分类检测布防</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 支持人数统计：支持人流量统计和人员密度检测，适应多种场景使用需求</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10.行为检测: 越界检测、区域入侵、进入区域、离开区域、徘徊检测、快速移动、人员聚集、非法停车、遗留物检测、物品移除检测</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支持启用或关闭视频内容保护功能，启用该功能时可对视频图像码流进行随机混淆处理，即对每帧视频图像编码随机改变每帧视频数据报文中若干字节的内容后再进行网络传输；（提供公安部门有效检测报告复印件加盖原厂公章或投标专用章）</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支持启用友好密码功能策略时，与样机处于同一网段的地址可以使用样机出厂密码登录和访问样机；跨网段的地址只能使用复杂度为高的密码（至少8位，由大小写字母、数字和特殊字符组成）登录和访问样机；（提供公安部门有效检测报告复印件加盖原厂公章或投标专用章）</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★13.支持在设定的侦测区域内具有目标移动时，可在客户端给出报警提示，可同时支持396个区域移动侦测；（提供公安部门有效检测报告复印件加盖原厂公章或投标专用章）</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支持8行字符显示，字体可设置为32×32像素、48×48像素、64×64像素、72×72像素、96×96像素、128×128像素等模式，字体颜色、描边、背景、空心可设置；叠加的OSD可以在屏幕中滚动显示；可以叠加图片格式的OSD（提供公安部门有效检测报告复印件加盖原厂公章或投标专用章）</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12.兼容接入：ONVIF、GB/T28181等多种方式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13.前端存储：Micro SD，最高256GB</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14.音频输入输出:1路音频输入，1路音频输出</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15.告警接口: 1路告警输入，1路告警输出</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16.网口: 10M/100M自适应以太网电口</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17.电源：DC12V±25%，PoE（IEEE802.3af兼容）</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18.防护等级：IP67"</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全彩全景枪球智能一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定点摄像机：成像器件：1/1.8”逐行扫描400万像素CMOS图像传感器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焦距：4mm定焦</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分辨率和帧率2688×1520@30fps</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补光距离：30米白光补光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动点摄像机：成像器件：1/2.8”逐行扫描400万像素CMOS图像传感器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焦段：4.8~120mm</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倍率：25倍</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 分辨率和帧率：2560×1440@30fps</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 补光距离：100米红外补光</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 日夜切换方式：自动、手动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视频编码：H.265、H.264、MJPEG</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 支持越界检测、区域入侵、进入区域、离开区域；</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 周界布防：支持机动车、非机动车、行人目标分类检测抓拍及布防</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 定点支持：最多可同时检测40个人脸目标；支持效果优先、谏度优先、周期优选三种人脸抓拍优选模式；支持人脸、人体抓拍及关联，支持人脸属性提取；</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 人脸检测：人脸属性：性别、年龄段、戴眼镜、戴口罩</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 动点支持：支持效果优先、速度优先、周期优选三种人脸抓拍优选模式</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 人流量统计：支持总人数、进入人数、离开人数统计，支持滞留人数三级报警，支持人数统计清零；人员密度检测：支持人员密度三级报警</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 支持全景相机和特写相机联动跟踪功能 ，在跟踪模式下，被跟踪目标始终显示在特写相机画面中央；可对设定区域的机动车、二轮车、三轮车、行人进行分类跟踪，可设定持续跟踪时间，可自动变倍；（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 支持可通过界面提示用户使用强密码策略，登录和访问所使用的强密码应具有复杂度要求，密码长度至少9位，并混合使用数字、大小写字母、特殊字符；（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★20. 支持设置抓拍模式为离开后抓拍、实时抓拍、间隔抓拍，并根据所选模式存储人脸最优的一张图片，可生成的人脸图片不小于40×40像素；支持人脸统计功能，可对经过设定区域的行人进行人脸统计，并可在监视画面上显示当前统计人数；（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★21. 支持当侦测到样机监控场景发生变更时、调整焦距使监视画面 不清晰时、视频 遮挡、存储器满、网络断开、IP冲突时客户端软件或IE浏览器给出报警提示；（提供公安部门有效检测报告复印件加盖原厂公章或投标专用章）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 音频接口：音频线缆，1路音频输入，1路音频输出</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 告警接口：2路告警输入，1路告警输出</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24. 电源特性：DC12V、PoE（IEEE802.3at兼容）</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25. 防护等级：IP67</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电梯半球网络摄像机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1/2.8 inch逐行扫描200万像素CMOS图像传感器</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镜头: 2.8mm</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编码制式: 1080P(1920*1080)最大30帧/秒</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编码协议:H.265、H.264、MJPEG</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宽动态: 120dB</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视频流: 三码流</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支持人脸检测，可同时实现8张人脸并发检测、人数统计，可对进出人流量及区域内人数进行统计</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 行为检测:运动检测、遮挡检测、声音异常、越界检测、区域入侵、进入区域、离开区域</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 SD卡: Micro SD，最大支持128GB</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支持网关ARP绑定功能：设备可通过IE浏览器添加并绑定设备所在网段网关的MAC地址，当其它终端设备访问设备时，若使用正确的网关MAC地址即设备绑定的MAC地址则可以正常访问设备；（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支持友好密码功能：启用友好密码功能策略时，与设备处于同一网段的地址可以使用设备出厂密码登录和访问设备；跨网段的地址只能使用复杂度为高的密码（至少8位，由大小写字母、数字和特殊字符组成）登录和访问设备；（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视频内容保护功能：启用该功能时可对视屏图像码流进行随机混淆处理，提取设备网络通信数据包获得的视频码流无法正常播放，从设备存储介质拷贝和下载的文件需解码密钥才可播放；通过平台播放、回放下载设备的视频需要解码密钥；解码密钥应能周期性变化；（提供公安部门有效检测报告复印件加盖原厂公章或投标专用章）</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 音频输入输出: 音频接线、内置Mic</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支持防反接、过压保护\过流保护、输入短路保护</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 网口: 10M/100M自适应以太网电口，支持PoE</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 电源：DC12V±25%、PoE(IEEE802.3af)</w:t>
            </w:r>
          </w:p>
          <w:p>
            <w:pPr>
              <w:spacing w:line="360" w:lineRule="auto"/>
              <w:textAlignment w:val="top"/>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 支持Onvif、GB/T28181等多种接入方式</w:t>
            </w:r>
          </w:p>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 IP67防护等级，IK10防暴设计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全景摄像机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4个1/1.8 inch逐行扫描400万像素CMOS图像传感器</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镜头:2.8mm</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编码制式: 4800*2688最大30帧/秒</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编码协议: H.265、H.264、MJPEG</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具有网关ARP绑定功能，有效防范ARP攻击，提升安全性</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支持自定义,时间信息,串口OSD,超感信息,滚动OSD,图片OSD,环境音量,网口OSD,设备经纬度坐标</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前端存储: 支持Micro SD/SDHC/SDXC 256GB</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 行为检测：运动检测,遮挡检测,声音检测,报警输入,报警输出</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9.★支持可将 4 个传感器输出的视频画面进行拼接显示，并可对拼接后的视频画面进行图片抓拍，拼接后的视频画面水平视场角应≥ 195°，垂直视场角应≥90° ；（提供公安部门有效检测报告复印件加盖原厂公章或投标专用章）</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支持配置启用或关闭视频内容保护功能，启用该功能时可对视频图像码流进行随机混淆处理，即对每帧视频图像编码随机改变每帧视频数据报文中若干字节的内容后再进行网络传输；（提供公安部门有效检测报告复印件加盖原厂公章或投标专用章）</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11.★支持帧率 1/16～30fps 可调，支持帧率动态控制功能，当监视画面无运动物体时视频帧率自动调整到最低设定值；当检测到有运动物体时，视频录像帧率自动调整至最高设定值；（提供公安部门有效检测报告复印件加盖原厂公章或投标专用章）</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12.支持视频图像存储至 TF 卡或客户端，支持TF 卡热插拔</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9.音频输入输出：音频接线</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10.告警接口 2路告警输入，1路告警输出</w:t>
            </w:r>
          </w:p>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网口:RJ45 10M/100M自适应以太网电口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 电源：DC24V 支持18V-48V宽压；AC24V±25%；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室外警戒摄像机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1/2.8英寸逐行扫描200万像素CMOS图像传感器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 镜头: 4.0mm/6.0mm/8.0mm/12mm定焦可选</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编码制式: 1080P(1920*1080)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编码协议: H.265、H.264、MJPEG</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支持内置Mic、内置扬声器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 支持声音联动报警，内置12条语音报警信息，支持1条自定义导入</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补光：智能红外，补光距离80m、智能暖光，补光距离30m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支持内嵌深度智能算法，可进行多种行为分析，且支持机非人检测、人脸检测，可同时实现8张人脸并发检测、人数统计，可对进出人流量及区域内人数进行统计，并联动声光报警</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 网口: 10M/100M 自适应以太网电口,支持POE</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 电源：DC12V±25%、PoE（IEEE802.3af</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 支持Onvif、GB/T28181等多种接入方式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 IP66防护等级，铸铝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简型网络摄像机支架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简型网络摄像机壁装支架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全彩全景枪球智能一 体机支架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全彩全景枪球智能一体机支架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室外警戒摄像机支架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室外警戒摄像机支架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全景摄像机支架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全景摄像机支架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室外摄像机立杆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4.5米高，含地笼及基础</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室外防水设备箱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400*300*120mm 防水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平台服务器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1、CPU：Intel高性能CPU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2、内存：32G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3、硬盘：4T SATA * 2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4、网口：GE*3 </w:t>
            </w:r>
          </w:p>
          <w:p>
            <w:pPr>
              <w:spacing w:line="360" w:lineRule="auto"/>
              <w:textAlignment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5</w:t>
            </w:r>
            <w:r>
              <w:rPr>
                <w:rFonts w:hint="eastAsia" w:ascii="宋体" w:hAnsi="宋体" w:eastAsia="宋体" w:cs="宋体"/>
                <w:color w:val="000000" w:themeColor="text1"/>
                <w:sz w:val="24"/>
                <w:szCs w:val="24"/>
              </w:rPr>
              <w:t xml:space="preserve">、操作系统：64 位Linux CentOS7.6 </w:t>
            </w:r>
          </w:p>
          <w:p>
            <w:pPr>
              <w:spacing w:line="360" w:lineRule="auto"/>
              <w:textAlignment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6</w:t>
            </w:r>
            <w:r>
              <w:rPr>
                <w:rFonts w:hint="eastAsia" w:ascii="宋体" w:hAnsi="宋体" w:eastAsia="宋体" w:cs="宋体"/>
                <w:color w:val="000000" w:themeColor="text1"/>
                <w:sz w:val="24"/>
                <w:szCs w:val="24"/>
              </w:rPr>
              <w:t xml:space="preserve">、其他接口：1个RS232口，1个RS232/RS485复用口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、4个USB接口、1个HDMI视频输出接口、1个VGA视频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输出接口 </w:t>
            </w:r>
          </w:p>
          <w:p>
            <w:pPr>
              <w:spacing w:line="360" w:lineRule="auto"/>
              <w:textAlignment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7</w:t>
            </w:r>
            <w:r>
              <w:rPr>
                <w:rFonts w:hint="eastAsia" w:ascii="宋体" w:hAnsi="宋体" w:eastAsia="宋体" w:cs="宋体"/>
                <w:color w:val="000000" w:themeColor="text1"/>
                <w:sz w:val="24"/>
                <w:szCs w:val="24"/>
              </w:rPr>
              <w:t xml:space="preserve">、整机功耗：≤150W </w:t>
            </w:r>
          </w:p>
          <w:p>
            <w:pPr>
              <w:spacing w:line="360" w:lineRule="auto"/>
              <w:textAlignment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8</w:t>
            </w:r>
            <w:r>
              <w:rPr>
                <w:rFonts w:hint="eastAsia" w:ascii="宋体" w:hAnsi="宋体" w:eastAsia="宋体" w:cs="宋体"/>
                <w:color w:val="000000" w:themeColor="text1"/>
                <w:sz w:val="24"/>
                <w:szCs w:val="24"/>
              </w:rPr>
              <w:t xml:space="preserve">、★支持专用扩展槽位，可扩展4个千兆电口或者2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个万兆光口 ；（提供公安部门有效检测报告复印件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加盖原厂公章或投标专用章） </w:t>
            </w:r>
          </w:p>
          <w:p>
            <w:pPr>
              <w:spacing w:line="360" w:lineRule="auto"/>
              <w:textAlignment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9</w:t>
            </w:r>
            <w:r>
              <w:rPr>
                <w:rFonts w:hint="eastAsia" w:ascii="宋体" w:hAnsi="宋体" w:eastAsia="宋体" w:cs="宋体"/>
                <w:color w:val="000000" w:themeColor="text1"/>
                <w:sz w:val="24"/>
                <w:szCs w:val="24"/>
              </w:rPr>
              <w:t xml:space="preserve">、★标配1个300W电源，可扩展1+1冗余" ；（提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供公安部门有效检测报告复印件加盖原厂公章或投 </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综合平台管理软件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视频监控管理模块：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支持最大管理10000路视频监控</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本域设备接入数量：不低于 1500个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支持管理不少于32台报警主机，最大支持800个报警设备通道</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支持GB/T 28181双国标注册配置</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可管理IPSAN数目：不低于 64个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支持最大128个下级联域管理，支持最大2个上级联域管理</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可配置最大用户数：不低于 300 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 并发在线用户数：不低于 在线用户最大100，并发控制最大20</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 告警留存期：不低于 180天/10W</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 媒体流接入/转发：不低于 入口：512 Mbps；出口：512 Mbps</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回放路数：不低于 32路/64M</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 语音对讲：支持选择摄像机启动语音对讲</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 语音广播：支持用户选择多个摄像机建立语音广播</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 电视墙：支持实况、回放、轮切上墙"</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智能地图管理模块：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地图管理：支持添加、修改、删除地图、支持地图格式：JPG、栅格</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地图预览：支持地图上摄像机、卡口、告警源、门禁、道闸、防区等搜索、支持地图上点位搜索结果选中后地图定位到选中点位、支持地图点位移动、支持地图上进行云台控制</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设备点位：支持在地图上添加摄像机、卡口、告警源、门禁、道闸、防区等、支持地图点位的增删改查、支持设备点位一键上墙</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地图报警：支持地图报警闪烁、查看、清除报警</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智能门禁管理模块：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打卡数据保存时间：不低于180天/500W</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支持人脸终端数：不低于128个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支持室内机数：不低于2000个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支持智能锁数量：不低于20000把</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支持门禁控制器数量：不低于128台</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门禁记录：支持查看实时推送的人员出入记录，最多保留20条记录、支持按照时间段（自定义、今天、近7天、最近30天）、区域、设备、门组、校验方式（人证核验、刷卡、刷脸、按钮开门、人证核验+证号码、刷卡+刷脸、密码、温度核验）、方向、人员类型、姓名、人员编号、证件编号、是否戴口罩、温度最低值、温度最高值、部门、体温状态、红外记录、核验状态（非规定时间、核验成功、核验失败、未知）等进行查询历史的人员出入记录、支持部分和全部导出出入记录，包括部分导出文本、部分导出文本和图片、全部导出文本、全部导出文本和图片</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智能车辆管理模块：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车道数量：不低于30个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支持出入口相机数：不低于32个</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车辆管理：支持向指定部门中进行车辆添加、删除、修改、导入、导出、更改车辆所属部门、车辆续期、支持按部门、车牌号码、车牌颜色、车辆类型、车主姓名、车辆状态查询车辆，并支持查询条件重置</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车辆出入记录：支持按照时间段（自定义、今天、最近7天、最近30天）、区域、车牌号码、车辆颜色、车辆类型、车主姓名、过车方向、是否登记、设备名称等查看过车记录，并支持记录导出过车记录参数包括车牌号码、通过时间、车辆颜色、车辆类型、是否登记、车主姓名、区域、设备、过车方向、过车图片</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智能报警管理模块：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报警查询：支持对实时告警、预案告警、历史告警的查询和确认</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报警统计：支持按日、月、周对报警总数、已处理报警数、报警处理率进行统计展示、支持报警时间趋势图展示、支持报警等级占比统计、支持设备报警排行</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联动配置：支持配置告警联动存储录像、预置位、摄像机实况与警前录像、实况到监视器、开关量、备份录像、发送短信、发送邮件、中心录像存储、开启语音对讲、预案、实况到拼控电视墙</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预案配置：支持配置告警预案和通用预案</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报警订阅：支持按用户订阅和按告警源订阅"</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智能考勤管理模块：</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考勤汇总：支持对参与考勤人员的考勤信息进行汇总，支持按考勤异常时长和异常次数汇总，并可查看明细、支持按照时间段（自定义、昨天、近7天、近30天）、部门、姓名（支持关键字搜索及多个姓名查询）、编号进行查询、支持导出选中和全部考勤信息，可导出日报、周报、月报</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考勤明细：支持多种方式查询考勤明细记录，包括时间段（自定义、昨天、近7天、近30天）、状态（全部、正常、早退、未签退、迟到、迟到早退、迟到未签退、未签到、未签到早退、旷工、异常）、部门、班次、请假类型、姓名、编号、加班、请假、支持以日历形式展示个人月度考勤详情、支持导出选中和全部的考勤明细、支持对考勤异常数据进行补签处理（补签到、补签退）</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部门汇总：支持对部门人员考勤信息进行汇总，可导出日报、周报、月报</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考勤配置：支持考勤时段的设置、支持考勤班次的设置，、支持假日时间段及因假日调休产生的工作时段设置、支持考勤点设置、支持请假类型的设置、支持加班设置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55 英寸 LCD拼接屏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尺寸: 55寸拼接屏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 分辨率：1920x1080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物理拼缝(mm)：3.5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亮度（cd/m2）：500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视频输入接口：1个DVI接口，1个HDMI接口，1个VGA接口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 支持独特的拼缝补偿功能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支持屏幕防灼，图像翻转</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支持白平衡调整</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 支持红外控制和RS232环接控制</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 支持面板工作时长记录及显示</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 支持倍帧功能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 支持通电后延时启动功能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 多个液晶拼接显示单元具备一键色彩调整功能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 液晶拼接显示单元具备四级色温模式自动调整功能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拼接屏模块化底座</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拼接屏模块化框架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10米 HDMI成品线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10米 HDMI成品线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48盘位磁盘阵列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1.Intel 64位多核处理器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2.磁盘通道数：48；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3.电源模块：交流电源；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4.网络接口：3个千兆以太网接口；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5.支持自动空白盘全局热备、专有热备等多种热备方式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6.支持iSCSI块直存技术，解决文件存储固有的碎片问题</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7.支持磁盘热插拔以及磁盘漫游技术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8.支持JBOD、RAID 0、1、5、6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9.支持秒级重建，只重建数据发生变化的部分，可将重建时间缩短至秒级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10.支持磁盘健康管理，对有风险的磁盘提前进行数据预拷贝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11.支持阵列自动巡检和磁盘故障修复、磁盘坏块重映射功能有效降低磁盘故障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12.支持链路聚合和动态故障切换，在保证数据读写带宽的同时保障数据通路的可用和畅通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13.采用无线缆设计，模块之间全部使用电信级连接器互连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14.支持电源模块化冗余设计，支持热插拔及在线更换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★15.支持设备异常掉电后存储在缓存中的数据应不丢失，可通过数码管显示缓存数据的保存进度，可查看断电前1s的视频录像 ；（提供公安部门有效检测报告复印件加盖原厂公章或投标专用章）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★16.支持数码管、指示灯、蜂鸣器告警、邮件告警、SNMP Trap、短信等告警方式对IP冲突、网口降速、电源故障、风扇故障、电池故障及RAID故障、磁盘故障、降级RAID无热备盘等故障进行告警 ；（提供公安部门有效检测报告复印件加盖原厂公章或投标专用章）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★17.支持当RAID阵列中一块硬盘拔掉以后，X分钟(l~100可动态设置)之内再插上，该硬盘能够恢复到原有RAID中，仅做增量数据恢复，RAID阵列在秒级时间内自动恢复正常 ；（提供公安部门有效检测报告复印件加盖原厂公章或投标专用章）</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★18.支持设备可接入BBU电池模块；无需流媒体服务器，可将视频流直接写入存储；（提供公安部门有效检测报告复印件加盖原厂公章或投标专用章） </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19.每台含48块硬盘，单硬盘容量：10TB；、硬盘接口：SATA；、硬盘转速：7200RPM；、硬盘缓存：256M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网络监控键盘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1.支持显示屏</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2.四维摇杆控制</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3.具有键盘锁定功能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4.具备多级用户权限设置</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5.支持键盘级联功能</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6.可进行单台或多台设备的联网控制</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7.1个10M/100M自适应以太网电口、1个USB2.0接口、1个RS-232串口（DB9），2个RS-485串口（凤凰头）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12路超高清解码器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支持输入4路HDMI；分辨率为：4K接口：3840*2160（4K）@30Hz、1920*1080（1080P）@60Hz、1920*1080（1080P）@50Hz、1600*1200（UXGA）@60Hz、1440*900（WXGA）@60Hz、1280*1024（SXGA）@60Hz、1280*720（720P）@60Hz、1280*720（720P）@50Hz、1024*768（XGA）@60Hz（4K输入口：1、2）、1080P接口：1920*1080（1080P）@60Hz、1920*1080（1080P）@50Hz、1600*1200（UXGA）@60Hz、1440*900（WXGA）@60Hz、1280*1024（SXGA）@60Hz、1280*720（720P）@60Hz、1280*720（720P）@50Hz、1024*768（XGA）@60Hz（1080P输入口：3、4）</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2.支持虚拟LED</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3.支持输出12路HDMI；分辨率为：4K: 3840×2160@30Hz，WUXGA:1920×1200@60Hz，1080P:1920×1080@60Hz，UXGA:1600×1200@60Hz，WXGA+:1440×900@60Hz，SXGA:1280×1024@60Hz，720P:1280×720@60Hz，XGA:1024×768@60Hz（支持4K的输出口：1/2/4/5/7/8/10/11）</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4.支持解码格式：H.265、H.264、MPEG4等</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5.支持解码能力：16*1200W@20Hz、16*4K@30Hz、64*1080P@30Hz、144*720P@30Hz</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6.支持分屏数：1/2/3/4/5/6/7/8/9/10</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7.采用嵌入式Linux操作系统，支持7×24小时稳定运行，不易受到黑客、病毒的入侵和攻击</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8.支持开窗、漫游、画中画功能、组播、虚拟LED、小间距LED显示、大屏开关机功能</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9.支持解码G.711A、G.711U格式的音频</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10.支持本地升级和远程升级</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★11.保证用户信息的安全性，要求解码器可接入具有视频内容保护的摄像机并解码输出显示 ；（提供公安部门有效检测报告复印件加盖原厂公章或投标专用章）</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★12.电视墙布局不会发生改变的情况下，从50路视频场景切换到另外50路视频场景的切换时间≤0.3S，切换过程中无明显黑屏现象 ；（提供公安部门有效检测报告复印件加盖原厂公章或投标专用章）</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★13.为方便客户日后的扩容需求，应具备多台解码器级联功能，实现接口扩容 ；（提供公安部门有效检测报告复印件加盖原厂公章或投标专用章）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流媒体服务器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 处理器：Intel Celeron N3160，4核4线程</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 内存：4GB DDR3</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 网口：GE*4</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 USB接口：USB3.0*4</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 显示接口：1个VGA接口，1个HDMI接口</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 串口：1个RS232串口(RJ45),1个RS485串口(RJ45)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 标配硬盘：</w:t>
            </w:r>
            <w:r>
              <w:rPr>
                <w:rFonts w:hint="eastAsia" w:ascii="宋体" w:hAnsi="宋体" w:eastAsia="宋体" w:cs="宋体"/>
                <w:color w:val="000000" w:themeColor="text1"/>
                <w:sz w:val="24"/>
                <w:szCs w:val="24"/>
                <w:lang w:val="en-US" w:eastAsia="zh-CN"/>
              </w:rPr>
              <w:t>4</w:t>
            </w:r>
            <w:r>
              <w:rPr>
                <w:rFonts w:hint="eastAsia" w:ascii="宋体" w:hAnsi="宋体" w:eastAsia="宋体" w:cs="宋体"/>
                <w:color w:val="000000" w:themeColor="text1"/>
                <w:sz w:val="24"/>
                <w:szCs w:val="24"/>
              </w:rPr>
              <w:t>T SATA硬盘*1</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 主机尺寸：44.45mm(高)x440mm(宽)x345.5mm(深)</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 电源：内置54W开架式电源</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 供电：AC:100V～240V 50Hz/60Hz</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 功耗：整机≤54W</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 重量：满配&lt;10KG</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 工作温度：-10℃～55℃，推荐0℃～45℃；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 工作湿度：5%～95% R.H，无冷凝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人脸对比服务器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 支持32路320Mbps视频接入</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 2个，RJ45 10M/100M/1000M自适应以太网电口</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 支持1个HDMI、1个VGA，HDMI支持4K显示输出</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 支持最大16路同步回放和多路同步倒放</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 支持8个SATA接口，1个eSATA接口，单盘最大10TB</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 支持16个人脸库，50000张人脸、人脸抓拍记录200万张，周界抓拍记录200万张、人脸检测、人脸比对、区域入侵、越界检测、进入区域、离开区域、虚焦检测、场景变更、运动跟踪、物品遗留、物品搬移、深度周界、电瓶车检测、人脸比对、深度周界、智能运动检测、人脸检索、人脸比对检索、行为检索、车辆检索、人流量统计、人员密度统计</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 视频流人脸比对2路或图片流人脸比对8路或深度周界4路</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8.支持G.711音频编解码</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9.支持对重要录像的锁定、解锁，支持警前警后录像</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10.支持人脸检测、区域入侵、越界检测、音频检测等多种智能检测接入和联动。</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11.支持支持走廊模式分屏能力：16/12/10/9/7/5/4/3/1分屏预览模式</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支持接入具有人脸抓拍功能的门禁设备，可预览视频画面，当触发报警时可联动声音报警、发送邮件（可带报警发生时的图片附件）、联动录像、联动报警输出、预置位、抓图、报警弹框，联动预览；（提供公安部门有效检测报告复印件加盖原厂公章或投标专用章）</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13.★支持一键跳转至通道最早的录像所在时间点开始播放录像；（提供公安部门有效检测报告复印件加盖原厂公章或投标专用章）</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14.★支持抓取4000×3000,4096×2160，3840×2160及以下分辨率的图片；（提供公安部门有效检测报告复印件加盖原厂公章或投标专用章）</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15.每台含1块硬盘，单硬盘容量：10TB；、硬盘接口：SATA；、硬盘转速：7200RPM；、硬盘缓存：256MB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val="en-US" w:eastAsia="zh-CN"/>
              </w:rPr>
              <w:t>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安全防范全系统调试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textAlignment w:val="top"/>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安防系统联合调试 ≤1000点（含门禁、道闸）</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系统</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出入口控制系统</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双门磁力锁：工作电压:DC12V</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工作电流:1000mA/500mA</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承受拉力:280KG</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适用范围:木门、玻璃门、金属门、防盗门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产品尺寸:506*25*48</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单门磁力锁：工作电压:DC12V</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工作电流:500mA/250mA</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承受拉力:280KG</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适用范围:木门、玻璃门、金属门、防盗门</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产品尺寸:253*25*48</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26</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开门按钮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1.供电方式：干接点信号控制</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2.结构：PC阻燃材料</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3.规格尺寸： 86*86mm</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4.安装方式：86盒安装</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5.弹力持久、受力平稳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闭门器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闭门器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单门网络门禁控制器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单门门禁控制器：卡容量:3万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记录容量:10万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通讯方式:TCP/IP</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门控数:单门</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读头:2</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出门按钮:1</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门磁:1</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扩展输入:无</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扩展输出:1工作温度:0℃~45℃</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工作湿度:10%~90%</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额定电压:12V DC</w:t>
            </w:r>
          </w:p>
          <w:p>
            <w:pPr>
              <w:spacing w:line="360" w:lineRule="auto"/>
              <w:rPr>
                <w:rFonts w:ascii="宋体" w:hAnsi="宋体" w:eastAsia="宋体" w:cs="宋体"/>
                <w:color w:val="000000" w:themeColor="text1"/>
                <w:sz w:val="24"/>
                <w:szCs w:val="24"/>
              </w:rPr>
            </w:pPr>
            <w:r>
              <w:rPr>
                <w:rFonts w:hint="eastAsia" w:ascii="宋体" w:hAnsi="宋体" w:cs="宋体"/>
                <w:color w:val="000000" w:themeColor="text1"/>
                <w:sz w:val="24"/>
                <w:szCs w:val="24"/>
              </w:rPr>
              <w:t>额定电流:0.5A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卡容量 4.2万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记录容量 20万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通讯方式 TCP/IP</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门控数 2</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接入读卡器数 4</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韦根输入接口数（最大耐压DC14V） 4</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韦根协议格式 WG18/26/34/66</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继电器输出 2组（7A）</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门磁端口 2个</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消防模块拓展接口 1</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使用环境 室内</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工作温度 -10℃ ~ +65℃</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额定输入电压 AC100V-AC240V(50Hz or 60Hz)</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安装方式 悬挂安装</w:t>
            </w:r>
          </w:p>
          <w:p>
            <w:pPr>
              <w:spacing w:line="360" w:lineRule="auto"/>
              <w:rPr>
                <w:rFonts w:ascii="宋体" w:hAnsi="宋体" w:eastAsia="宋体" w:cs="宋体"/>
                <w:color w:val="000000" w:themeColor="text1"/>
                <w:sz w:val="24"/>
                <w:szCs w:val="24"/>
              </w:rPr>
            </w:pPr>
            <w:r>
              <w:rPr>
                <w:rFonts w:hint="eastAsia" w:ascii="宋体" w:hAnsi="宋体" w:cs="宋体"/>
                <w:color w:val="000000" w:themeColor="text1"/>
                <w:sz w:val="24"/>
                <w:szCs w:val="24"/>
              </w:rPr>
              <w:t>尺寸（长*宽*高） 235mm*305mm*76mm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四门网络门禁控制器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卡容量 4.2万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记录容量 20万</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通讯方式 TCP/IP</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门控数 4</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接入读卡器数 8</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韦根输入接口数（最大耐压DC14V） 8</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韦根协议格式 WG18/26/34/66</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继电器输出 4组（7A）</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门磁端口 4个</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消防模块拓展接口 1</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使用环境 室内</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工作温度 -10℃ ~ +65℃</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额定输入电压 AC100V-AC240V(50Hz or 60Hz)</w:t>
            </w:r>
          </w:p>
          <w:p>
            <w:pPr>
              <w:spacing w:line="360" w:lineRule="auto"/>
              <w:rPr>
                <w:rFonts w:hint="eastAsia" w:ascii="宋体" w:hAnsi="宋体" w:cs="宋体"/>
                <w:color w:val="000000" w:themeColor="text1"/>
                <w:sz w:val="24"/>
                <w:szCs w:val="24"/>
              </w:rPr>
            </w:pPr>
            <w:r>
              <w:rPr>
                <w:rFonts w:hint="eastAsia" w:ascii="宋体" w:hAnsi="宋体" w:cs="宋体"/>
                <w:color w:val="000000" w:themeColor="text1"/>
                <w:sz w:val="24"/>
                <w:szCs w:val="24"/>
              </w:rPr>
              <w:t>安装方式 悬挂安装</w:t>
            </w:r>
          </w:p>
          <w:p>
            <w:pPr>
              <w:spacing w:line="360" w:lineRule="auto"/>
              <w:rPr>
                <w:rFonts w:ascii="宋体" w:hAnsi="宋体" w:eastAsia="宋体" w:cs="宋体"/>
                <w:color w:val="000000" w:themeColor="text1"/>
                <w:sz w:val="24"/>
                <w:szCs w:val="24"/>
              </w:rPr>
            </w:pPr>
            <w:r>
              <w:rPr>
                <w:rFonts w:hint="eastAsia" w:ascii="宋体" w:hAnsi="宋体" w:cs="宋体"/>
                <w:color w:val="000000" w:themeColor="text1"/>
                <w:sz w:val="24"/>
                <w:szCs w:val="24"/>
              </w:rPr>
              <w:t>尺寸（长*宽*高） 235mm*305mm*76mm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门禁读卡器 (IC)</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IC卡读卡器：读卡类型:Mifare卡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读卡频率:13.56MHz</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通讯方式:wiegand26/34</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读卡距离:大卡：≤5cm 小卡：≤3cm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外壳材料:PVC</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指示灯:三色灯</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感应时间:＜0.5秒</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电源:DC12V±25％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工作温度:-20℃~65℃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防水等级:IP65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发卡器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通讯方式 USB-Client</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类型 非接触式读卡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工作频率 13.56MHZ</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感应时间 ＜0.1S</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感应距离 0~8cm（与使用的IC卡及使用的环境有关）</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读卡类型 二代身份证、Mifare卡</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通信接口 USB模拟键盘输出</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供电方式 USB供电</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工作温度 -10℃~+70℃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尺寸 108.5mm*108.5mm*24mm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门禁集中配电箱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门禁集中配电箱 (12V10A)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车辆出入管理系统</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进出口抓拍、显</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示、道闸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高度集成：快速道闸、智能抓拍机、补光灯、LED 屏、防砸雷达、求助按钮、语音播报、语音对讲于一体</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快速通行：集成行星齿轮道闸，传动效率高，性能稳定，快速抬杆慢速落杆，实现快速通行高清晰：200 万像素高清摄像机，最大分辨率可达1920*1080，</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帧率高达 25fps；低照度效果：1/3"逐行扫描 CMOS，成像效果好，0.022Lux 低照度监控效果，夜间看的更清；显示屏：LED 版：支持四行四字双色 LED 屏，显示内容可灵活配置补光灯：内置 6 颗高亮 LED 灯，智能补光技术，支持时控和光控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在线支付系统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支付宝、微信支付接口</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机房建设工程信息中心机房 ( 装修部分)</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基材厚度不小于 0.8mm，误差不超过 20um；表面平整无痕，拼接无缝；板面涂层采用静电粉末喷涂，正面涂层厚度不小于60μm；背面贴高级吸音无纺布；整板采用一次冲压成型，不采用间歇式翻折工艺加工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采用 38 系列镀锌轻钢龙骨，厚度不小于 0.8 </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彩钢板墙面</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金属复合墙板表面为热熔镀锌钢板基材，厚度不小于 0.6mm，</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误差不超过 20 um，正面烤漆厚度不小于 20um，背面烤漆厚度不小于 12um ；内衬 12mm 石膏板国际一流品质专业防火石膏板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采用 75 或者 50 系列镀锌轻钢龙骨，厚度不小于 0.6 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242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不锈钢踢脚线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1、黑色不锈钢踢脚线面层。</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2、包括相应的措施费。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3、按实际面积以平方米计算。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轻体砖封窗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外窗防爆、隔热、处理防水、砌轻体砖封窗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砖砌体 180mm砖墙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180mm砖墙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8.01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地面找平</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水泥砂浆找平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保温棉</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20mm+胶水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416.39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热锁锌铁皮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厚1.2mm热锁锌铁皮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6面墙防尘漆刷三遍,厚度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416.39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6面墙防水漆刷三遍,厚度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416.39</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面层采用不小于 1.5mm 厚防开裂防静电 HPL 贴面,四周有 45°</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倒角处理。表层三氧化二铝耐磨层厚度不小于 30g/cm2,耐磨转数≥2000 转。电阻在 1x106～1x1010Ω区间范围； 上层钢板采用不小于 0.8mm 厚度的冷硬钢板，下层钢板采用不小于 0.7mm 厚度的深冲拉伸板；底部中间特有双十字加强筋，另加增加凸点，半球深度达到 21mm 以上，底部四周边条加宽处理，上有直条压筋以增加强度；集中荷载：≥454KG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定制，机房进门踏步，铝合金收边，现场制作</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1、角钢支架。</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2、包括相应的措施费。</w:t>
            </w:r>
          </w:p>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0.05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50</w:t>
            </w:r>
          </w:p>
        </w:tc>
      </w:tr>
      <w:tr>
        <w:tblPrEx>
          <w:tblCellMar>
            <w:top w:w="0" w:type="dxa"/>
            <w:left w:w="108" w:type="dxa"/>
            <w:bottom w:w="0" w:type="dxa"/>
            <w:right w:w="108" w:type="dxa"/>
          </w:tblCellMar>
        </w:tblPrEx>
        <w:trPr>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安保监控机房 ( 装修部分)</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基材厚度不小于 0.8mm，误差不超过 20um；表面平整无痕，拼接无缝；板面涂层采用静电粉末喷涂，正面涂层厚度不小于60μm；背面贴高级吸音无纺布；整板采用一次冲压成型，不采  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61.68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采用 38 系列锁锌轻钢龙骨，厚度不小千 0.8毫米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61.68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墙面、地面防尘漆刷三遍,厚度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183.08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墙面、地面防水漆刷三遍,厚度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161</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面层采用不小千 1.5mm厚防开裂防静电 HPL贴面。上层钢板采用不小千 0.8mm 厚度的冷硬钢板， 下层钢板采用不小千0.7mm 厚度的深冲拉伸</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板；底部中间特有双十字加强筋，另加增加凸点，底部四周边条加宽处理；集中荷载：≥454KG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61.68</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21.52</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定制，机房进门踏步，铝合金收边，现场制作</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1、角钢支架。</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2、包括相应的措施费。</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0.05</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w:t>
            </w: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eastAsia" w:ascii="宋体" w:hAnsi="宋体" w:eastAsia="宋体" w:cs="宋体"/>
                <w:color w:val="000000" w:themeColor="text1"/>
                <w:sz w:val="24"/>
                <w:szCs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系统集成</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hint="eastAsia" w:ascii="宋体" w:hAnsi="宋体" w:eastAsia="宋体" w:cs="宋体"/>
                <w:color w:val="000000" w:themeColor="text1"/>
                <w:sz w:val="24"/>
                <w:szCs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eastAsia" w:ascii="宋体" w:hAnsi="宋体" w:eastAsia="宋体" w:cs="宋体"/>
                <w:color w:val="000000" w:themeColor="text1"/>
                <w:sz w:val="24"/>
                <w:szCs w:val="24"/>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hint="eastAsia" w:ascii="宋体" w:hAnsi="宋体" w:eastAsia="宋体" w:cs="宋体"/>
                <w:color w:val="000000" w:themeColor="text1"/>
                <w:sz w:val="24"/>
                <w:szCs w:val="24"/>
              </w:rPr>
            </w:pPr>
          </w:p>
        </w:tc>
      </w:tr>
      <w:tr>
        <w:tblPrEx>
          <w:tblCellMar>
            <w:top w:w="0" w:type="dxa"/>
            <w:left w:w="108" w:type="dxa"/>
            <w:bottom w:w="0" w:type="dxa"/>
            <w:right w:w="108" w:type="dxa"/>
          </w:tblCellMar>
        </w:tblPrEx>
        <w:trPr>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153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textAlignment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系统集成</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textAlignment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系统集成费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textAlignment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textAlignment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w:t>
            </w:r>
          </w:p>
        </w:tc>
      </w:tr>
    </w:tbl>
    <w:p>
      <w:pPr>
        <w:rPr>
          <w:color w:val="000000" w:themeColor="text1"/>
        </w:rPr>
      </w:pPr>
    </w:p>
    <w:p>
      <w:pPr>
        <w:spacing w:line="560" w:lineRule="exact"/>
        <w:ind w:firstLine="240" w:firstLineChars="100"/>
        <w:rPr>
          <w:rFonts w:ascii="宋体" w:hAnsi="宋体" w:cs="宋体"/>
          <w:b/>
          <w:bCs/>
          <w:color w:val="000000" w:themeColor="text1"/>
          <w:sz w:val="24"/>
        </w:rPr>
      </w:pPr>
      <w:r>
        <w:rPr>
          <w:rFonts w:hint="eastAsia" w:ascii="宋体" w:hAnsi="宋体" w:cs="宋体"/>
          <w:b/>
          <w:bCs/>
          <w:color w:val="000000" w:themeColor="text1"/>
          <w:sz w:val="24"/>
        </w:rPr>
        <w:t>三、商务要求</w:t>
      </w:r>
    </w:p>
    <w:p>
      <w:pPr>
        <w:spacing w:line="360" w:lineRule="auto"/>
        <w:ind w:firstLine="480" w:firstLineChars="200"/>
        <w:rPr>
          <w:rFonts w:ascii="宋体" w:hAnsi="宋体" w:eastAsia="宋体" w:cs="宋体"/>
          <w:iCs/>
          <w:color w:val="000000" w:themeColor="text1"/>
          <w:sz w:val="24"/>
        </w:rPr>
      </w:pPr>
      <w:r>
        <w:rPr>
          <w:rFonts w:hint="eastAsia" w:ascii="宋体" w:hAnsi="宋体" w:cs="宋体"/>
          <w:iCs/>
          <w:color w:val="000000" w:themeColor="text1"/>
          <w:sz w:val="24"/>
        </w:rPr>
        <w:t>3.1、交货期：</w:t>
      </w:r>
      <w:r>
        <w:rPr>
          <w:rFonts w:hint="eastAsia" w:ascii="宋体" w:hAnsi="宋体" w:cs="宋体"/>
          <w:color w:val="000000" w:themeColor="text1"/>
          <w:sz w:val="24"/>
          <w:highlight w:val="yellow"/>
          <w:shd w:val="clear" w:color="auto" w:fill="FFFFFF"/>
        </w:rPr>
        <w:t>合同签订之日起3个月内完成供货及安装调试</w:t>
      </w:r>
      <w:r>
        <w:rPr>
          <w:rFonts w:hint="eastAsia" w:ascii="宋体" w:hAnsi="宋体" w:cs="宋体"/>
          <w:color w:val="000000" w:themeColor="text1"/>
          <w:sz w:val="24"/>
          <w:shd w:val="clear" w:color="auto" w:fill="FFFFFF"/>
        </w:rPr>
        <w:t>。</w:t>
      </w:r>
    </w:p>
    <w:p>
      <w:pPr>
        <w:spacing w:line="360" w:lineRule="auto"/>
        <w:ind w:firstLine="480" w:firstLineChars="200"/>
        <w:rPr>
          <w:rFonts w:ascii="宋体" w:hAnsi="宋体" w:cs="宋体"/>
          <w:iCs/>
          <w:color w:val="000000" w:themeColor="text1"/>
          <w:sz w:val="24"/>
        </w:rPr>
      </w:pPr>
      <w:r>
        <w:rPr>
          <w:rFonts w:hint="eastAsia" w:ascii="宋体" w:hAnsi="宋体" w:cs="宋体"/>
          <w:iCs/>
          <w:color w:val="000000" w:themeColor="text1"/>
          <w:sz w:val="24"/>
        </w:rPr>
        <w:t>3.2、交货地点：用户指定地点。</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3.3、除技术参数规格要求中对保修服务有特殊要求外，其他所有软硬件设备要求2年保修服务，自项目终验合格之日起计算或遵循设备生产厂家计算标准，以日期靠后者为准。整体项目提供不少于两年的免费维护，自项目终验之日起计算。</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3.4、提供两年 5×8 小时上门保修，免费更换全部配件；提供 7×24 小时技术支持和服务，1 小时内作出实质性响应，对重大问题提供现场技术支持，8 小时内到达指定现场。问题解决后 24 小时内，提交问题处理报告，说明问题种类、问题原因、问题解决中使用的方法及造成的损失等情况。</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3.5、投标人须提供厂商原装、全新的、符合用户提出的有关质量标准的设备。所投设备应符合中华人民共和国有关规范和安全要求，须负责投标货物的运输、安装调试、验收。</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3.6、项目实施要求：</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项目实施过程中，投标人应遵循国家标准、行业标准，须做到：</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（1）提供完整的项目实施管理办法；</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（2）提供详细的项目实施方案和计划进度说明书；</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（3）项目实施完成后提供可靠的后期技术服务工作；</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（4）严格按照双方确定的计划进度保质保量完成工作；</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（5）规范项目实施过程中的文档管理。</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3.7、项目验收要求：由业主、中标人以及其他有关人员组成的验收小组，按中标人提供给业主详细的项目验收方案。</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3.8、验收标准：</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（1）标准化：项目验收最关键的指标，应确保测评过程符合国家标准规范；</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（2）系统稳定性：在测评过程中应确保软硬件环境的稳定性、运行正常；</w:t>
      </w:r>
    </w:p>
    <w:p>
      <w:pPr>
        <w:pStyle w:val="53"/>
        <w:spacing w:line="360" w:lineRule="auto"/>
        <w:ind w:firstLine="480" w:firstLineChars="200"/>
        <w:rPr>
          <w:rFonts w:hAnsi="宋体" w:eastAsia="宋体" w:cs="宋体"/>
          <w:iCs/>
          <w:color w:val="000000" w:themeColor="text1"/>
        </w:rPr>
      </w:pPr>
      <w:r>
        <w:rPr>
          <w:rFonts w:hint="eastAsia" w:hAnsi="宋体" w:eastAsia="宋体" w:cs="宋体"/>
          <w:iCs/>
          <w:color w:val="000000" w:themeColor="text1"/>
        </w:rPr>
        <w:t>（3）系统文档：验收文档是否齐全、规范、准确、详细；</w:t>
      </w:r>
    </w:p>
    <w:p>
      <w:pPr>
        <w:pStyle w:val="53"/>
        <w:spacing w:line="360" w:lineRule="auto"/>
        <w:ind w:firstLine="480" w:firstLineChars="200"/>
        <w:rPr>
          <w:rFonts w:hAnsi="宋体"/>
          <w:color w:val="000000" w:themeColor="text1"/>
        </w:rPr>
      </w:pPr>
      <w:r>
        <w:rPr>
          <w:rFonts w:hint="eastAsia" w:hAnsi="宋体" w:eastAsia="宋体" w:cs="宋体"/>
          <w:iCs/>
          <w:color w:val="000000" w:themeColor="text1"/>
        </w:rPr>
        <w:t>（4）系统可操作性：交付成果清晰、通俗易懂。</w:t>
      </w:r>
    </w:p>
    <w:p>
      <w:pPr>
        <w:spacing w:line="360" w:lineRule="auto"/>
        <w:ind w:firstLine="480" w:firstLineChars="200"/>
        <w:rPr>
          <w:rFonts w:ascii="宋体" w:hAnsi="宋体"/>
          <w:b/>
          <w:bCs/>
          <w:color w:val="000000" w:themeColor="text1"/>
          <w:sz w:val="24"/>
        </w:rPr>
      </w:pPr>
      <w:r>
        <w:rPr>
          <w:rFonts w:hint="eastAsia" w:ascii="宋体" w:hAnsi="宋体"/>
          <w:b/>
          <w:bCs/>
          <w:color w:val="000000" w:themeColor="text1"/>
          <w:sz w:val="24"/>
        </w:rPr>
        <w:t>3.9、付款条件：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（1）本合同签订后</w:t>
      </w:r>
      <w:r>
        <w:rPr>
          <w:rFonts w:ascii="宋体" w:hAnsi="宋体"/>
          <w:color w:val="000000" w:themeColor="text1"/>
          <w:sz w:val="24"/>
          <w:szCs w:val="24"/>
        </w:rPr>
        <w:t>，甲方</w:t>
      </w:r>
      <w:r>
        <w:rPr>
          <w:rFonts w:hint="eastAsia" w:ascii="宋体" w:hAnsi="宋体"/>
          <w:color w:val="000000" w:themeColor="text1"/>
          <w:sz w:val="24"/>
          <w:szCs w:val="24"/>
        </w:rPr>
        <w:t>凭乙方开具的正式有效发票在</w:t>
      </w:r>
      <w:r>
        <w:rPr>
          <w:rFonts w:hint="eastAsia" w:ascii="宋体" w:hAnsi="宋体" w:eastAsia="宋体"/>
          <w:color w:val="000000" w:themeColor="text1"/>
          <w:sz w:val="24"/>
          <w:szCs w:val="24"/>
        </w:rPr>
        <w:t>5</w:t>
      </w:r>
      <w:r>
        <w:rPr>
          <w:rFonts w:hint="eastAsia" w:ascii="宋体" w:hAnsi="宋体"/>
          <w:color w:val="000000" w:themeColor="text1"/>
          <w:sz w:val="24"/>
          <w:szCs w:val="24"/>
        </w:rPr>
        <w:t>个工作</w:t>
      </w:r>
      <w:r>
        <w:rPr>
          <w:rFonts w:ascii="宋体" w:hAnsi="宋体"/>
          <w:color w:val="000000" w:themeColor="text1"/>
          <w:sz w:val="24"/>
          <w:szCs w:val="24"/>
        </w:rPr>
        <w:t>日内</w:t>
      </w:r>
      <w:r>
        <w:rPr>
          <w:rFonts w:hint="eastAsia" w:ascii="宋体" w:hAnsi="宋体"/>
          <w:color w:val="000000" w:themeColor="text1"/>
          <w:sz w:val="24"/>
          <w:szCs w:val="24"/>
        </w:rPr>
        <w:t>，通过转账的方式，</w:t>
      </w:r>
      <w:r>
        <w:rPr>
          <w:rFonts w:ascii="宋体" w:hAnsi="宋体"/>
          <w:color w:val="000000" w:themeColor="text1"/>
          <w:sz w:val="24"/>
          <w:szCs w:val="24"/>
        </w:rPr>
        <w:t>向</w:t>
      </w:r>
      <w:r>
        <w:rPr>
          <w:rFonts w:hint="eastAsia" w:ascii="宋体" w:hAnsi="宋体"/>
          <w:color w:val="000000" w:themeColor="text1"/>
          <w:sz w:val="24"/>
          <w:szCs w:val="24"/>
        </w:rPr>
        <w:t>乙方</w:t>
      </w:r>
      <w:r>
        <w:rPr>
          <w:rFonts w:ascii="宋体" w:hAnsi="宋体"/>
          <w:color w:val="000000" w:themeColor="text1"/>
          <w:sz w:val="24"/>
          <w:szCs w:val="24"/>
        </w:rPr>
        <w:t>支付合同金额的</w:t>
      </w:r>
      <w:r>
        <w:rPr>
          <w:rFonts w:hint="eastAsia" w:ascii="宋体" w:hAnsi="宋体"/>
          <w:color w:val="000000" w:themeColor="text1"/>
          <w:sz w:val="24"/>
          <w:szCs w:val="24"/>
          <w:u w:val="single"/>
        </w:rPr>
        <w:t>30%</w:t>
      </w:r>
      <w:r>
        <w:rPr>
          <w:rFonts w:hint="eastAsia" w:ascii="宋体" w:hAnsi="宋体"/>
          <w:color w:val="000000" w:themeColor="text1"/>
          <w:sz w:val="24"/>
          <w:szCs w:val="24"/>
        </w:rPr>
        <w:t>；</w:t>
      </w:r>
    </w:p>
    <w:p>
      <w:pPr>
        <w:spacing w:line="360" w:lineRule="auto"/>
        <w:ind w:firstLine="480" w:firstLineChars="200"/>
        <w:jc w:val="both"/>
        <w:rPr>
          <w:rFonts w:ascii="宋体" w:hAnsi="宋体"/>
          <w:color w:val="000000" w:themeColor="text1"/>
          <w:sz w:val="24"/>
          <w:szCs w:val="24"/>
        </w:rPr>
      </w:pPr>
      <w:r>
        <w:rPr>
          <w:rFonts w:hint="eastAsia" w:ascii="宋体" w:hAnsi="宋体"/>
          <w:color w:val="000000" w:themeColor="text1"/>
          <w:sz w:val="24"/>
          <w:szCs w:val="24"/>
        </w:rPr>
        <w:t>（2）主要设备</w:t>
      </w:r>
      <w:r>
        <w:rPr>
          <w:rFonts w:hint="eastAsia" w:ascii="宋体" w:hAnsi="宋体"/>
          <w:color w:val="000000" w:themeColor="text1"/>
          <w:sz w:val="24"/>
        </w:rPr>
        <w:t>（监控摄像头、48盘位磁盘阵列、55英寸LCD拼接屏、流媒体服务器、12路超高清解码器）</w:t>
      </w:r>
      <w:r>
        <w:rPr>
          <w:rFonts w:hint="eastAsia" w:ascii="宋体" w:hAnsi="宋体"/>
          <w:color w:val="000000" w:themeColor="text1"/>
          <w:sz w:val="24"/>
          <w:szCs w:val="24"/>
        </w:rPr>
        <w:t>到货后，</w:t>
      </w:r>
      <w:r>
        <w:rPr>
          <w:rFonts w:ascii="宋体" w:hAnsi="宋体"/>
          <w:color w:val="000000" w:themeColor="text1"/>
          <w:sz w:val="24"/>
          <w:szCs w:val="24"/>
        </w:rPr>
        <w:t>甲方</w:t>
      </w:r>
      <w:r>
        <w:rPr>
          <w:rFonts w:hint="eastAsia" w:ascii="宋体" w:hAnsi="宋体"/>
          <w:color w:val="000000" w:themeColor="text1"/>
          <w:sz w:val="24"/>
          <w:szCs w:val="24"/>
        </w:rPr>
        <w:t>凭乙方开具的正式有效发票在</w:t>
      </w:r>
      <w:r>
        <w:rPr>
          <w:rFonts w:hint="eastAsia" w:ascii="宋体" w:hAnsi="宋体" w:eastAsia="宋体"/>
          <w:color w:val="000000" w:themeColor="text1"/>
          <w:sz w:val="24"/>
          <w:szCs w:val="24"/>
        </w:rPr>
        <w:t>5</w:t>
      </w:r>
      <w:r>
        <w:rPr>
          <w:rFonts w:hint="eastAsia" w:ascii="宋体" w:hAnsi="宋体"/>
          <w:color w:val="000000" w:themeColor="text1"/>
          <w:sz w:val="24"/>
          <w:szCs w:val="24"/>
        </w:rPr>
        <w:t>个工作</w:t>
      </w:r>
      <w:r>
        <w:rPr>
          <w:rFonts w:ascii="宋体" w:hAnsi="宋体"/>
          <w:color w:val="000000" w:themeColor="text1"/>
          <w:sz w:val="24"/>
          <w:szCs w:val="24"/>
        </w:rPr>
        <w:t>日内</w:t>
      </w:r>
      <w:r>
        <w:rPr>
          <w:rFonts w:hint="eastAsia" w:ascii="宋体" w:hAnsi="宋体"/>
          <w:color w:val="000000" w:themeColor="text1"/>
          <w:sz w:val="24"/>
          <w:szCs w:val="24"/>
        </w:rPr>
        <w:t>，通过转账的方式，向乙方支付合同金额的</w:t>
      </w:r>
      <w:r>
        <w:rPr>
          <w:rFonts w:hint="eastAsia" w:ascii="宋体" w:hAnsi="宋体"/>
          <w:color w:val="000000" w:themeColor="text1"/>
          <w:sz w:val="24"/>
          <w:szCs w:val="24"/>
          <w:u w:val="single"/>
        </w:rPr>
        <w:t>40%</w:t>
      </w:r>
      <w:r>
        <w:rPr>
          <w:rFonts w:hint="eastAsia" w:ascii="宋体" w:hAnsi="宋体"/>
          <w:color w:val="000000" w:themeColor="text1"/>
          <w:sz w:val="24"/>
          <w:szCs w:val="24"/>
        </w:rPr>
        <w:t>；</w:t>
      </w:r>
    </w:p>
    <w:p>
      <w:pPr>
        <w:spacing w:line="360" w:lineRule="auto"/>
        <w:ind w:firstLine="480" w:firstLineChars="200"/>
        <w:jc w:val="both"/>
        <w:rPr>
          <w:rFonts w:ascii="宋体" w:hAnsi="宋体"/>
          <w:color w:val="000000" w:themeColor="text1"/>
          <w:sz w:val="24"/>
          <w:szCs w:val="24"/>
        </w:rPr>
      </w:pPr>
      <w:r>
        <w:rPr>
          <w:rFonts w:hint="eastAsia" w:ascii="宋体" w:hAnsi="宋体"/>
          <w:color w:val="000000" w:themeColor="text1"/>
          <w:sz w:val="24"/>
          <w:szCs w:val="24"/>
        </w:rPr>
        <w:t>（3）项目安装、调试并通过验收后，</w:t>
      </w:r>
      <w:r>
        <w:rPr>
          <w:rFonts w:ascii="宋体" w:hAnsi="宋体"/>
          <w:color w:val="000000" w:themeColor="text1"/>
          <w:sz w:val="24"/>
          <w:szCs w:val="24"/>
        </w:rPr>
        <w:t>甲方</w:t>
      </w:r>
      <w:r>
        <w:rPr>
          <w:rFonts w:hint="eastAsia" w:ascii="宋体" w:hAnsi="宋体"/>
          <w:color w:val="000000" w:themeColor="text1"/>
          <w:sz w:val="24"/>
          <w:szCs w:val="24"/>
        </w:rPr>
        <w:t>凭乙方开具的正式有效发票</w:t>
      </w:r>
      <w:r>
        <w:rPr>
          <w:rFonts w:hint="eastAsia" w:ascii="宋体" w:hAnsi="宋体"/>
          <w:color w:val="000000" w:themeColor="text1"/>
          <w:sz w:val="24"/>
        </w:rPr>
        <w:t>及合同总价3%的银行质量保函后，</w:t>
      </w:r>
      <w:r>
        <w:rPr>
          <w:rFonts w:hint="eastAsia" w:ascii="宋体" w:hAnsi="宋体"/>
          <w:color w:val="000000" w:themeColor="text1"/>
          <w:sz w:val="24"/>
          <w:szCs w:val="24"/>
        </w:rPr>
        <w:t>在</w:t>
      </w:r>
      <w:r>
        <w:rPr>
          <w:rFonts w:hint="eastAsia" w:ascii="宋体" w:hAnsi="宋体" w:eastAsia="宋体"/>
          <w:color w:val="000000" w:themeColor="text1"/>
          <w:sz w:val="24"/>
          <w:szCs w:val="24"/>
        </w:rPr>
        <w:t>5</w:t>
      </w:r>
      <w:r>
        <w:rPr>
          <w:rFonts w:hint="eastAsia" w:ascii="宋体" w:hAnsi="宋体"/>
          <w:color w:val="000000" w:themeColor="text1"/>
          <w:sz w:val="24"/>
          <w:szCs w:val="24"/>
        </w:rPr>
        <w:t>个工作</w:t>
      </w:r>
      <w:r>
        <w:rPr>
          <w:rFonts w:ascii="宋体" w:hAnsi="宋体"/>
          <w:color w:val="000000" w:themeColor="text1"/>
          <w:sz w:val="24"/>
          <w:szCs w:val="24"/>
        </w:rPr>
        <w:t>日内</w:t>
      </w:r>
      <w:r>
        <w:rPr>
          <w:rFonts w:hint="eastAsia" w:ascii="宋体" w:hAnsi="宋体"/>
          <w:color w:val="000000" w:themeColor="text1"/>
          <w:sz w:val="24"/>
          <w:szCs w:val="24"/>
        </w:rPr>
        <w:t>，通过转账的方式，向乙方支付合同金额的</w:t>
      </w:r>
      <w:r>
        <w:rPr>
          <w:rFonts w:hint="eastAsia" w:ascii="宋体" w:hAnsi="宋体"/>
          <w:color w:val="000000" w:themeColor="text1"/>
          <w:sz w:val="24"/>
          <w:szCs w:val="24"/>
          <w:u w:val="single"/>
        </w:rPr>
        <w:t>30%</w:t>
      </w:r>
      <w:r>
        <w:rPr>
          <w:rFonts w:hint="eastAsia" w:ascii="宋体" w:hAnsi="宋体"/>
          <w:color w:val="000000" w:themeColor="text1"/>
          <w:sz w:val="24"/>
          <w:szCs w:val="24"/>
        </w:rPr>
        <w:t>；</w:t>
      </w:r>
    </w:p>
    <w:p>
      <w:pPr>
        <w:spacing w:line="360" w:lineRule="auto"/>
        <w:ind w:firstLine="480" w:firstLineChars="200"/>
        <w:jc w:val="both"/>
        <w:rPr>
          <w:rFonts w:ascii="宋体" w:hAnsi="宋体" w:eastAsia="宋体"/>
          <w:color w:val="000000" w:themeColor="text1"/>
          <w:sz w:val="24"/>
          <w:szCs w:val="24"/>
        </w:rPr>
      </w:pPr>
      <w:r>
        <w:rPr>
          <w:rFonts w:hint="eastAsia" w:ascii="宋体" w:hAnsi="宋体"/>
          <w:color w:val="000000" w:themeColor="text1"/>
          <w:sz w:val="24"/>
          <w:szCs w:val="24"/>
        </w:rPr>
        <w:t>（4）项目验收通过后两年后无质量问题，</w:t>
      </w:r>
      <w:r>
        <w:rPr>
          <w:rFonts w:ascii="宋体" w:hAnsi="宋体"/>
          <w:color w:val="000000" w:themeColor="text1"/>
          <w:sz w:val="24"/>
          <w:szCs w:val="24"/>
        </w:rPr>
        <w:t>甲方</w:t>
      </w:r>
      <w:r>
        <w:rPr>
          <w:rFonts w:hint="eastAsia" w:ascii="宋体" w:hAnsi="宋体"/>
          <w:color w:val="000000" w:themeColor="text1"/>
          <w:sz w:val="24"/>
          <w:szCs w:val="24"/>
        </w:rPr>
        <w:t>退还</w:t>
      </w:r>
      <w:r>
        <w:rPr>
          <w:rFonts w:hint="eastAsia" w:ascii="宋体" w:hAnsi="宋体"/>
          <w:color w:val="000000" w:themeColor="text1"/>
          <w:sz w:val="24"/>
        </w:rPr>
        <w:t>银行质量保函。</w:t>
      </w:r>
    </w:p>
    <w:p>
      <w:pPr>
        <w:spacing w:line="360" w:lineRule="auto"/>
        <w:ind w:firstLine="480" w:firstLineChars="200"/>
        <w:jc w:val="both"/>
        <w:rPr>
          <w:color w:val="000000" w:themeColor="text1"/>
        </w:rPr>
      </w:pPr>
      <w:r>
        <w:rPr>
          <w:rFonts w:hint="eastAsia" w:ascii="宋体" w:hAnsi="宋体"/>
          <w:b/>
          <w:bCs/>
          <w:color w:val="000000" w:themeColor="text1"/>
          <w:sz w:val="24"/>
          <w:szCs w:val="24"/>
        </w:rPr>
        <w:t>3.10、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0ED82"/>
    <w:multiLevelType w:val="singleLevel"/>
    <w:tmpl w:val="E9B0ED82"/>
    <w:lvl w:ilvl="0" w:tentative="0">
      <w:start w:val="1"/>
      <w:numFmt w:val="decimal"/>
      <w:lvlText w:val="%1."/>
      <w:lvlJc w:val="left"/>
      <w:pPr>
        <w:tabs>
          <w:tab w:val="left" w:pos="312"/>
        </w:tabs>
      </w:pPr>
    </w:lvl>
  </w:abstractNum>
  <w:abstractNum w:abstractNumId="1">
    <w:nsid w:val="70FA3C92"/>
    <w:multiLevelType w:val="singleLevel"/>
    <w:tmpl w:val="70FA3C92"/>
    <w:lvl w:ilvl="0" w:tentative="0">
      <w:start w:val="1"/>
      <w:numFmt w:val="decimal"/>
      <w:suff w:val="nothing"/>
      <w:lvlText w:val="%1、"/>
      <w:lvlJc w:val="left"/>
    </w:lvl>
  </w:abstractNum>
  <w:abstractNum w:abstractNumId="2">
    <w:nsid w:val="78CC90B4"/>
    <w:multiLevelType w:val="singleLevel"/>
    <w:tmpl w:val="78CC90B4"/>
    <w:lvl w:ilvl="0" w:tentative="0">
      <w:start w:val="3"/>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xNDc0NGU2Y2M2MWU4ZGFkZmQzNTE3MDIwYWFmZGIifQ=="/>
  </w:docVars>
  <w:rsids>
    <w:rsidRoot w:val="4B7C082C"/>
    <w:rsid w:val="00002FF5"/>
    <w:rsid w:val="00302DFA"/>
    <w:rsid w:val="00352ADB"/>
    <w:rsid w:val="0066604F"/>
    <w:rsid w:val="006A5DC2"/>
    <w:rsid w:val="0072506F"/>
    <w:rsid w:val="00764C42"/>
    <w:rsid w:val="00875B3B"/>
    <w:rsid w:val="008A2C09"/>
    <w:rsid w:val="00A80487"/>
    <w:rsid w:val="00DA32B5"/>
    <w:rsid w:val="00DD4D0A"/>
    <w:rsid w:val="00E00BC8"/>
    <w:rsid w:val="24647712"/>
    <w:rsid w:val="38A34B4F"/>
    <w:rsid w:val="3EEA3CB3"/>
    <w:rsid w:val="4B7C082C"/>
    <w:rsid w:val="4DE433A7"/>
    <w:rsid w:val="4E726463"/>
    <w:rsid w:val="5BC153F1"/>
    <w:rsid w:val="5D800988"/>
    <w:rsid w:val="5E476707"/>
    <w:rsid w:val="62A76A48"/>
    <w:rsid w:val="669A3EF5"/>
    <w:rsid w:val="6ABF4719"/>
    <w:rsid w:val="6BBD3D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2"/>
    <w:basedOn w:val="1"/>
    <w:next w:val="1"/>
    <w:qFormat/>
    <w:uiPriority w:val="0"/>
    <w:pPr>
      <w:keepNext/>
      <w:keepLines/>
      <w:spacing w:line="560" w:lineRule="exact"/>
      <w:outlineLvl w:val="1"/>
    </w:pPr>
    <w:rPr>
      <w:rFonts w:ascii="新宋体" w:hAnsi="新宋体" w:eastAsia="宋体"/>
      <w:b/>
      <w:bCs/>
      <w:szCs w:val="32"/>
    </w:rPr>
  </w:style>
  <w:style w:type="paragraph" w:styleId="3">
    <w:name w:val="heading 4"/>
    <w:basedOn w:val="1"/>
    <w:next w:val="1"/>
    <w:link w:val="28"/>
    <w:qFormat/>
    <w:uiPriority w:val="0"/>
    <w:pPr>
      <w:keepNext/>
      <w:keepLines/>
      <w:spacing w:line="360" w:lineRule="auto"/>
      <w:outlineLvl w:val="3"/>
    </w:pPr>
    <w:rPr>
      <w:rFonts w:ascii="宋体" w:hAnsi="宋体" w:eastAsia="宋体" w:cs="Times New Roman"/>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99"/>
  </w:style>
  <w:style w:type="paragraph" w:styleId="5">
    <w:name w:val="Body Text"/>
    <w:basedOn w:val="1"/>
    <w:link w:val="30"/>
    <w:qFormat/>
    <w:uiPriority w:val="0"/>
    <w:pPr>
      <w:spacing w:after="120" w:line="560" w:lineRule="exact"/>
    </w:pPr>
    <w:rPr>
      <w:rFonts w:eastAsia="宋体"/>
      <w:b/>
    </w:rPr>
  </w:style>
  <w:style w:type="paragraph" w:styleId="6">
    <w:name w:val="Body Text Indent"/>
    <w:basedOn w:val="1"/>
    <w:next w:val="7"/>
    <w:link w:val="31"/>
    <w:qFormat/>
    <w:uiPriority w:val="0"/>
    <w:pPr>
      <w:spacing w:line="460" w:lineRule="exact"/>
      <w:ind w:firstLine="480" w:firstLineChars="200"/>
    </w:pPr>
    <w:rPr>
      <w:rFonts w:ascii="宋体" w:hAnsi="宋体"/>
      <w:sz w:val="24"/>
    </w:rPr>
  </w:style>
  <w:style w:type="paragraph" w:styleId="7">
    <w:name w:val="envelope return"/>
    <w:basedOn w:val="1"/>
    <w:qFormat/>
    <w:uiPriority w:val="0"/>
    <w:pPr>
      <w:spacing w:after="200"/>
    </w:pPr>
    <w:rPr>
      <w:rFonts w:eastAsia="微软雅黑" w:cs="Times New Roman"/>
      <w:sz w:val="22"/>
      <w:szCs w:val="22"/>
    </w:rPr>
  </w:style>
  <w:style w:type="paragraph" w:styleId="8">
    <w:name w:val="Plain Text"/>
    <w:basedOn w:val="1"/>
    <w:link w:val="48"/>
    <w:qFormat/>
    <w:uiPriority w:val="0"/>
    <w:pPr>
      <w:widowControl w:val="0"/>
      <w:kinsoku/>
      <w:autoSpaceDE/>
      <w:autoSpaceDN/>
      <w:adjustRightInd/>
      <w:snapToGrid/>
      <w:jc w:val="both"/>
      <w:textAlignment w:val="auto"/>
    </w:pPr>
    <w:rPr>
      <w:rFonts w:ascii="宋体" w:hAnsi="Courier New" w:eastAsia="宋体" w:cs="Times New Roman"/>
      <w:snapToGrid/>
      <w:color w:val="auto"/>
      <w:kern w:val="2"/>
      <w:szCs w:val="20"/>
    </w:rPr>
  </w:style>
  <w:style w:type="paragraph" w:styleId="9">
    <w:name w:val="Body Text Indent 2"/>
    <w:basedOn w:val="1"/>
    <w:link w:val="33"/>
    <w:qFormat/>
    <w:uiPriority w:val="0"/>
    <w:pPr>
      <w:spacing w:after="120" w:line="480" w:lineRule="auto"/>
      <w:ind w:left="420" w:leftChars="200"/>
    </w:pPr>
  </w:style>
  <w:style w:type="paragraph" w:styleId="10">
    <w:name w:val="Balloon Text"/>
    <w:basedOn w:val="1"/>
    <w:link w:val="34"/>
    <w:qFormat/>
    <w:uiPriority w:val="0"/>
    <w:rPr>
      <w:sz w:val="18"/>
      <w:szCs w:val="18"/>
    </w:rPr>
  </w:style>
  <w:style w:type="paragraph" w:styleId="11">
    <w:name w:val="footer"/>
    <w:basedOn w:val="1"/>
    <w:link w:val="27"/>
    <w:qFormat/>
    <w:uiPriority w:val="99"/>
    <w:pPr>
      <w:tabs>
        <w:tab w:val="center" w:pos="4153"/>
        <w:tab w:val="right" w:pos="8306"/>
      </w:tabs>
    </w:pPr>
    <w:rPr>
      <w:sz w:val="18"/>
      <w:szCs w:val="18"/>
    </w:rPr>
  </w:style>
  <w:style w:type="paragraph" w:styleId="12">
    <w:name w:val="header"/>
    <w:basedOn w:val="1"/>
    <w:link w:val="26"/>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0"/>
  </w:style>
  <w:style w:type="paragraph" w:styleId="14">
    <w:name w:val="Body Text Indent 3"/>
    <w:basedOn w:val="1"/>
    <w:qFormat/>
    <w:uiPriority w:val="0"/>
    <w:pPr>
      <w:spacing w:line="360" w:lineRule="exact"/>
      <w:ind w:firstLine="420" w:firstLineChars="200"/>
    </w:pPr>
  </w:style>
  <w:style w:type="paragraph" w:styleId="15">
    <w:name w:val="Body Text 2"/>
    <w:basedOn w:val="1"/>
    <w:link w:val="35"/>
    <w:qFormat/>
    <w:uiPriority w:val="99"/>
    <w:pPr>
      <w:spacing w:after="120" w:line="480" w:lineRule="auto"/>
    </w:pPr>
  </w:style>
  <w:style w:type="paragraph" w:styleId="16">
    <w:name w:val="Normal (Web)"/>
    <w:basedOn w:val="1"/>
    <w:qFormat/>
    <w:uiPriority w:val="0"/>
    <w:pPr>
      <w:spacing w:before="100" w:beforeAutospacing="1" w:after="100" w:afterAutospacing="1"/>
    </w:pPr>
    <w:rPr>
      <w:rFonts w:ascii="宋体" w:hAnsi="宋体" w:eastAsia="宋体" w:cs="宋体"/>
      <w:sz w:val="24"/>
      <w:szCs w:val="24"/>
    </w:rPr>
  </w:style>
  <w:style w:type="paragraph" w:styleId="17">
    <w:name w:val="annotation subject"/>
    <w:basedOn w:val="4"/>
    <w:next w:val="4"/>
    <w:link w:val="36"/>
    <w:qFormat/>
    <w:uiPriority w:val="0"/>
    <w:rPr>
      <w:b/>
      <w:bCs/>
    </w:rPr>
  </w:style>
  <w:style w:type="paragraph" w:styleId="18">
    <w:name w:val="Body Text First Indent 2"/>
    <w:basedOn w:val="6"/>
    <w:next w:val="5"/>
    <w:link w:val="37"/>
    <w:qFormat/>
    <w:uiPriority w:val="0"/>
    <w:pPr>
      <w:ind w:firstLine="420"/>
    </w:pPr>
    <w:rPr>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paragraph" w:styleId="23">
    <w:name w:val="List Paragraph"/>
    <w:basedOn w:val="1"/>
    <w:link w:val="52"/>
    <w:unhideWhenUsed/>
    <w:qFormat/>
    <w:uiPriority w:val="34"/>
    <w:pPr>
      <w:ind w:firstLine="420" w:firstLineChars="200"/>
    </w:pPr>
  </w:style>
  <w:style w:type="paragraph" w:customStyle="1" w:styleId="24">
    <w:name w:val="列出段落1"/>
    <w:basedOn w:val="1"/>
    <w:qFormat/>
    <w:uiPriority w:val="34"/>
    <w:pPr>
      <w:widowControl w:val="0"/>
      <w:kinsoku/>
      <w:autoSpaceDE/>
      <w:autoSpaceDN/>
      <w:adjustRightInd/>
      <w:snapToGrid/>
      <w:ind w:firstLine="420" w:firstLineChars="200"/>
      <w:jc w:val="both"/>
      <w:textAlignment w:val="auto"/>
    </w:pPr>
    <w:rPr>
      <w:rFonts w:ascii="Times New Roman" w:hAnsi="Times New Roman" w:eastAsia="宋体" w:cs="Times New Roman"/>
      <w:snapToGrid/>
      <w:color w:val="auto"/>
      <w:kern w:val="2"/>
      <w:szCs w:val="24"/>
    </w:rPr>
  </w:style>
  <w:style w:type="paragraph" w:customStyle="1" w:styleId="25">
    <w:name w:val="Default"/>
    <w:qFormat/>
    <w:uiPriority w:val="0"/>
    <w:pPr>
      <w:widowControl w:val="0"/>
      <w:autoSpaceDE w:val="0"/>
      <w:autoSpaceDN w:val="0"/>
      <w:adjustRightInd w:val="0"/>
    </w:pPr>
    <w:rPr>
      <w:rFonts w:ascii="等线" w:eastAsia="等线" w:cs="等线" w:hAnsiTheme="minorHAnsi"/>
      <w:color w:val="000000"/>
      <w:sz w:val="24"/>
      <w:szCs w:val="24"/>
      <w:lang w:val="en-US" w:eastAsia="zh-CN" w:bidi="ar-SA"/>
    </w:rPr>
  </w:style>
  <w:style w:type="character" w:customStyle="1" w:styleId="26">
    <w:name w:val="页眉 Char"/>
    <w:basedOn w:val="21"/>
    <w:link w:val="12"/>
    <w:qFormat/>
    <w:uiPriority w:val="99"/>
    <w:rPr>
      <w:rFonts w:ascii="Arial" w:hAnsi="Arial" w:eastAsia="Arial" w:cs="Arial"/>
      <w:snapToGrid w:val="0"/>
      <w:color w:val="000000"/>
      <w:sz w:val="18"/>
      <w:szCs w:val="18"/>
    </w:rPr>
  </w:style>
  <w:style w:type="character" w:customStyle="1" w:styleId="27">
    <w:name w:val="页脚 Char"/>
    <w:basedOn w:val="21"/>
    <w:link w:val="11"/>
    <w:qFormat/>
    <w:uiPriority w:val="99"/>
    <w:rPr>
      <w:rFonts w:ascii="Arial" w:hAnsi="Arial" w:eastAsia="Arial" w:cs="Arial"/>
      <w:snapToGrid w:val="0"/>
      <w:color w:val="000000"/>
      <w:sz w:val="18"/>
      <w:szCs w:val="18"/>
    </w:rPr>
  </w:style>
  <w:style w:type="character" w:customStyle="1" w:styleId="28">
    <w:name w:val="标题 4 Char"/>
    <w:basedOn w:val="21"/>
    <w:link w:val="3"/>
    <w:qFormat/>
    <w:uiPriority w:val="0"/>
    <w:rPr>
      <w:rFonts w:ascii="宋体" w:hAnsi="宋体" w:eastAsia="宋体" w:cs="Times New Roman"/>
      <w:snapToGrid w:val="0"/>
      <w:color w:val="000000"/>
      <w:sz w:val="24"/>
      <w:szCs w:val="21"/>
    </w:rPr>
  </w:style>
  <w:style w:type="character" w:customStyle="1" w:styleId="29">
    <w:name w:val="批注文字 Char"/>
    <w:basedOn w:val="21"/>
    <w:link w:val="4"/>
    <w:qFormat/>
    <w:uiPriority w:val="99"/>
    <w:rPr>
      <w:rFonts w:ascii="Arial" w:hAnsi="Arial" w:eastAsia="Arial" w:cs="Arial"/>
      <w:snapToGrid w:val="0"/>
      <w:color w:val="000000"/>
      <w:sz w:val="21"/>
      <w:szCs w:val="21"/>
    </w:rPr>
  </w:style>
  <w:style w:type="character" w:customStyle="1" w:styleId="30">
    <w:name w:val="正文文本 Char"/>
    <w:basedOn w:val="21"/>
    <w:link w:val="5"/>
    <w:qFormat/>
    <w:uiPriority w:val="0"/>
    <w:rPr>
      <w:rFonts w:ascii="Arial" w:hAnsi="Arial" w:eastAsia="宋体" w:cs="Arial"/>
      <w:b/>
      <w:snapToGrid w:val="0"/>
      <w:color w:val="000000"/>
      <w:sz w:val="21"/>
      <w:szCs w:val="21"/>
    </w:rPr>
  </w:style>
  <w:style w:type="character" w:customStyle="1" w:styleId="31">
    <w:name w:val="正文文本缩进 Char"/>
    <w:basedOn w:val="21"/>
    <w:link w:val="6"/>
    <w:qFormat/>
    <w:uiPriority w:val="0"/>
    <w:rPr>
      <w:rFonts w:ascii="宋体" w:hAnsi="宋体" w:eastAsia="Arial" w:cs="Arial"/>
      <w:snapToGrid w:val="0"/>
      <w:color w:val="000000"/>
      <w:sz w:val="24"/>
      <w:szCs w:val="21"/>
    </w:rPr>
  </w:style>
  <w:style w:type="character" w:customStyle="1" w:styleId="32">
    <w:name w:val="纯文本 Char"/>
    <w:basedOn w:val="21"/>
    <w:qFormat/>
    <w:uiPriority w:val="0"/>
    <w:rPr>
      <w:rFonts w:ascii="宋体" w:hAnsi="Courier New" w:eastAsia="宋体" w:cs="Courier New"/>
      <w:snapToGrid w:val="0"/>
      <w:color w:val="000000"/>
      <w:sz w:val="21"/>
      <w:szCs w:val="21"/>
    </w:rPr>
  </w:style>
  <w:style w:type="character" w:customStyle="1" w:styleId="33">
    <w:name w:val="正文文本缩进 2 Char"/>
    <w:basedOn w:val="21"/>
    <w:link w:val="9"/>
    <w:qFormat/>
    <w:uiPriority w:val="0"/>
    <w:rPr>
      <w:rFonts w:ascii="Arial" w:hAnsi="Arial" w:eastAsia="Arial" w:cs="Arial"/>
      <w:snapToGrid w:val="0"/>
      <w:color w:val="000000"/>
      <w:sz w:val="21"/>
      <w:szCs w:val="21"/>
    </w:rPr>
  </w:style>
  <w:style w:type="character" w:customStyle="1" w:styleId="34">
    <w:name w:val="批注框文本 Char"/>
    <w:basedOn w:val="21"/>
    <w:link w:val="10"/>
    <w:qFormat/>
    <w:uiPriority w:val="0"/>
    <w:rPr>
      <w:rFonts w:ascii="Arial" w:hAnsi="Arial" w:eastAsia="Arial" w:cs="Arial"/>
      <w:snapToGrid w:val="0"/>
      <w:color w:val="000000"/>
      <w:sz w:val="18"/>
      <w:szCs w:val="18"/>
    </w:rPr>
  </w:style>
  <w:style w:type="character" w:customStyle="1" w:styleId="35">
    <w:name w:val="正文文本 2 Char"/>
    <w:basedOn w:val="21"/>
    <w:link w:val="15"/>
    <w:qFormat/>
    <w:uiPriority w:val="99"/>
    <w:rPr>
      <w:rFonts w:ascii="Arial" w:hAnsi="Arial" w:eastAsia="Arial" w:cs="Arial"/>
      <w:snapToGrid w:val="0"/>
      <w:color w:val="000000"/>
      <w:sz w:val="21"/>
      <w:szCs w:val="21"/>
    </w:rPr>
  </w:style>
  <w:style w:type="character" w:customStyle="1" w:styleId="36">
    <w:name w:val="批注主题 Char"/>
    <w:basedOn w:val="29"/>
    <w:link w:val="17"/>
    <w:qFormat/>
    <w:uiPriority w:val="0"/>
    <w:rPr>
      <w:rFonts w:ascii="Arial" w:hAnsi="Arial" w:eastAsia="Arial" w:cs="Arial"/>
      <w:b/>
      <w:bCs/>
      <w:snapToGrid w:val="0"/>
      <w:color w:val="000000"/>
      <w:sz w:val="21"/>
      <w:szCs w:val="21"/>
    </w:rPr>
  </w:style>
  <w:style w:type="character" w:customStyle="1" w:styleId="37">
    <w:name w:val="正文首行缩进 2 Char"/>
    <w:basedOn w:val="31"/>
    <w:link w:val="18"/>
    <w:qFormat/>
    <w:uiPriority w:val="0"/>
    <w:rPr>
      <w:rFonts w:ascii="宋体" w:hAnsi="宋体" w:eastAsia="Arial" w:cs="Arial"/>
      <w:snapToGrid w:val="0"/>
      <w:color w:val="000000"/>
      <w:sz w:val="24"/>
      <w:szCs w:val="24"/>
    </w:rPr>
  </w:style>
  <w:style w:type="character" w:customStyle="1" w:styleId="38">
    <w:name w:val="font201"/>
    <w:qFormat/>
    <w:uiPriority w:val="0"/>
    <w:rPr>
      <w:rFonts w:hint="eastAsia" w:ascii="宋体" w:hAnsi="宋体" w:eastAsia="宋体" w:cs="宋体"/>
      <w:color w:val="000000"/>
      <w:sz w:val="24"/>
      <w:szCs w:val="24"/>
      <w:u w:val="none"/>
    </w:rPr>
  </w:style>
  <w:style w:type="character" w:customStyle="1" w:styleId="39">
    <w:name w:val="font132"/>
    <w:qFormat/>
    <w:uiPriority w:val="0"/>
    <w:rPr>
      <w:rFonts w:hint="default" w:ascii="Times New Roman" w:hAnsi="Times New Roman" w:cs="Times New Roman"/>
      <w:color w:val="000000"/>
      <w:sz w:val="24"/>
      <w:szCs w:val="24"/>
      <w:u w:val="none"/>
    </w:rPr>
  </w:style>
  <w:style w:type="character" w:customStyle="1" w:styleId="40">
    <w:name w:val="font231"/>
    <w:qFormat/>
    <w:uiPriority w:val="0"/>
    <w:rPr>
      <w:rFonts w:ascii="微软雅黑" w:hAnsi="微软雅黑" w:eastAsia="微软雅黑" w:cs="微软雅黑"/>
      <w:color w:val="000000"/>
      <w:sz w:val="24"/>
      <w:szCs w:val="24"/>
      <w:u w:val="none"/>
    </w:rPr>
  </w:style>
  <w:style w:type="character" w:customStyle="1" w:styleId="41">
    <w:name w:val="font212"/>
    <w:qFormat/>
    <w:uiPriority w:val="0"/>
    <w:rPr>
      <w:rFonts w:ascii="Segoe UI Symbol" w:hAnsi="Segoe UI Symbol" w:eastAsia="Segoe UI Symbol" w:cs="Segoe UI Symbol"/>
      <w:color w:val="000000"/>
      <w:sz w:val="24"/>
      <w:szCs w:val="24"/>
      <w:u w:val="none"/>
    </w:rPr>
  </w:style>
  <w:style w:type="character" w:customStyle="1" w:styleId="42">
    <w:name w:val="font221"/>
    <w:qFormat/>
    <w:uiPriority w:val="0"/>
    <w:rPr>
      <w:rFonts w:ascii="Cambria Math" w:hAnsi="Cambria Math" w:eastAsia="Cambria Math" w:cs="Cambria Math"/>
      <w:color w:val="000000"/>
      <w:sz w:val="24"/>
      <w:szCs w:val="24"/>
      <w:u w:val="none"/>
    </w:rPr>
  </w:style>
  <w:style w:type="character" w:customStyle="1" w:styleId="43">
    <w:name w:val="font01"/>
    <w:qFormat/>
    <w:uiPriority w:val="0"/>
    <w:rPr>
      <w:rFonts w:hint="eastAsia" w:ascii="宋体" w:hAnsi="宋体" w:eastAsia="宋体" w:cs="宋体"/>
      <w:color w:val="000000"/>
      <w:sz w:val="24"/>
      <w:szCs w:val="24"/>
      <w:u w:val="none"/>
    </w:rPr>
  </w:style>
  <w:style w:type="character" w:customStyle="1" w:styleId="44">
    <w:name w:val="cf01"/>
    <w:basedOn w:val="21"/>
    <w:qFormat/>
    <w:uiPriority w:val="0"/>
    <w:rPr>
      <w:rFonts w:hint="eastAsia" w:ascii="Microsoft YaHei UI" w:hAnsi="Microsoft YaHei UI" w:eastAsia="Microsoft YaHei UI" w:cs="Microsoft YaHei UI"/>
      <w:sz w:val="18"/>
      <w:szCs w:val="18"/>
    </w:rPr>
  </w:style>
  <w:style w:type="paragraph" w:customStyle="1" w:styleId="45">
    <w:name w:val="楷体粗正文文字"/>
    <w:basedOn w:val="1"/>
    <w:next w:val="14"/>
    <w:qFormat/>
    <w:uiPriority w:val="0"/>
    <w:pPr>
      <w:spacing w:line="480" w:lineRule="exact"/>
      <w:ind w:firstLine="560"/>
    </w:pPr>
    <w:rPr>
      <w:sz w:val="28"/>
      <w:szCs w:val="20"/>
    </w:rPr>
  </w:style>
  <w:style w:type="paragraph" w:customStyle="1" w:styleId="46">
    <w:name w:val="修订1"/>
    <w:hidden/>
    <w:semiHidden/>
    <w:qFormat/>
    <w:uiPriority w:val="99"/>
    <w:rPr>
      <w:rFonts w:ascii="Arial" w:hAnsi="Arial" w:eastAsia="Arial" w:cs="Arial"/>
      <w:snapToGrid w:val="0"/>
      <w:color w:val="000000"/>
      <w:sz w:val="21"/>
      <w:szCs w:val="21"/>
      <w:lang w:val="en-US" w:eastAsia="zh-CN" w:bidi="ar-SA"/>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8">
    <w:name w:val="纯文本 Char1"/>
    <w:link w:val="8"/>
    <w:qFormat/>
    <w:uiPriority w:val="0"/>
    <w:rPr>
      <w:rFonts w:ascii="宋体" w:hAnsi="Courier New" w:eastAsia="宋体" w:cs="Times New Roman"/>
      <w:kern w:val="2"/>
      <w:sz w:val="21"/>
    </w:rPr>
  </w:style>
  <w:style w:type="paragraph" w:customStyle="1" w:styleId="49">
    <w:name w:val="修订2"/>
    <w:hidden/>
    <w:unhideWhenUsed/>
    <w:qFormat/>
    <w:uiPriority w:val="99"/>
    <w:rPr>
      <w:rFonts w:ascii="Arial" w:hAnsi="Arial" w:eastAsia="Arial" w:cs="Arial"/>
      <w:snapToGrid w:val="0"/>
      <w:color w:val="000000"/>
      <w:sz w:val="21"/>
      <w:szCs w:val="21"/>
      <w:lang w:val="en-US" w:eastAsia="zh-CN" w:bidi="ar-SA"/>
    </w:rPr>
  </w:style>
  <w:style w:type="paragraph" w:customStyle="1" w:styleId="50">
    <w:name w:val="Table Paragraph"/>
    <w:basedOn w:val="1"/>
    <w:qFormat/>
    <w:uiPriority w:val="0"/>
  </w:style>
  <w:style w:type="paragraph" w:customStyle="1" w:styleId="51">
    <w:name w:val="修订3"/>
    <w:hidden/>
    <w:unhideWhenUsed/>
    <w:qFormat/>
    <w:uiPriority w:val="99"/>
    <w:rPr>
      <w:rFonts w:ascii="Arial" w:hAnsi="Arial" w:eastAsia="Arial" w:cs="Arial"/>
      <w:snapToGrid w:val="0"/>
      <w:color w:val="000000"/>
      <w:sz w:val="21"/>
      <w:szCs w:val="21"/>
      <w:lang w:val="en-US" w:eastAsia="zh-CN" w:bidi="ar-SA"/>
    </w:rPr>
  </w:style>
  <w:style w:type="character" w:customStyle="1" w:styleId="52">
    <w:name w:val="列出段落 Char"/>
    <w:link w:val="23"/>
    <w:qFormat/>
    <w:uiPriority w:val="34"/>
    <w:rPr>
      <w:rFonts w:ascii="Arial" w:hAnsi="Arial" w:eastAsia="Arial" w:cs="Arial"/>
      <w:snapToGrid w:val="0"/>
      <w:color w:val="000000"/>
      <w:sz w:val="21"/>
      <w:szCs w:val="21"/>
    </w:rPr>
  </w:style>
  <w:style w:type="paragraph" w:customStyle="1" w:styleId="53">
    <w:name w:val="正文1"/>
    <w:qFormat/>
    <w:uiPriority w:val="0"/>
    <w:pPr>
      <w:widowControl w:val="0"/>
      <w:adjustRightInd w:val="0"/>
      <w:spacing w:line="320" w:lineRule="atLeast"/>
      <w:textAlignment w:val="baseline"/>
    </w:pPr>
    <w:rPr>
      <w:rFonts w:ascii="宋体" w:hAnsi="Arial" w:eastAsia="等线" w:cs="Arial"/>
      <w:kern w:val="24"/>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51</Pages>
  <Words>22682</Words>
  <Characters>29283</Characters>
  <Lines>228</Lines>
  <Paragraphs>64</Paragraphs>
  <TotalTime>1</TotalTime>
  <ScaleCrop>false</ScaleCrop>
  <LinksUpToDate>false</LinksUpToDate>
  <CharactersWithSpaces>30069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2023-09-25T09:23:00Z</dcterms:created>
  <dc:creator>Monster</dc:creator>
  <cp:lastModifiedBy>辉</cp:lastModifiedBy>
  <dcterms:modified xsi:type="dcterms:W3CDTF">2023-12-19T03:50:57Z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CC155AFFF86248D3B223E3182EC82B80_11</vt:lpwstr>
  </property>
</Properties>
</file>