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spacing w:before="0" w:after="0" w:line="360" w:lineRule="auto"/>
        <w:rPr>
          <w:rFonts w:eastAsia="宋体"/>
          <w:color w:val="auto"/>
          <w:sz w:val="24"/>
          <w:szCs w:val="24"/>
          <w:highlight w:val="none"/>
        </w:rPr>
      </w:pPr>
      <w:bookmarkStart w:id="0" w:name="_Toc8250"/>
      <w:r>
        <w:rPr>
          <w:rFonts w:hint="eastAsia" w:eastAsia="宋体"/>
          <w:color w:val="auto"/>
          <w:sz w:val="24"/>
          <w:szCs w:val="24"/>
          <w:highlight w:val="none"/>
        </w:rPr>
        <w:t>★第二章</w:t>
      </w:r>
      <w:r>
        <w:rPr>
          <w:rFonts w:eastAsia="宋体"/>
          <w:color w:val="auto"/>
          <w:sz w:val="24"/>
          <w:szCs w:val="24"/>
          <w:highlight w:val="none"/>
        </w:rPr>
        <w:t xml:space="preserve"> </w:t>
      </w:r>
      <w:r>
        <w:rPr>
          <w:rFonts w:hint="eastAsia" w:eastAsia="宋体"/>
          <w:color w:val="auto"/>
          <w:sz w:val="24"/>
          <w:szCs w:val="24"/>
          <w:highlight w:val="none"/>
        </w:rPr>
        <w:t>采购需求</w:t>
      </w:r>
      <w:bookmarkEnd w:id="0"/>
    </w:p>
    <w:p>
      <w:pPr>
        <w:pStyle w:val="4"/>
        <w:spacing w:after="0" w:line="360" w:lineRule="auto"/>
        <w:ind w:left="0" w:leftChars="0" w:firstLine="0" w:firstLineChars="0"/>
        <w:rPr>
          <w:b/>
          <w:bCs/>
          <w:color w:val="auto"/>
          <w:szCs w:val="21"/>
          <w:highlight w:val="none"/>
        </w:rPr>
      </w:pPr>
      <w:bookmarkStart w:id="1" w:name="_Toc104133027"/>
      <w:r>
        <w:rPr>
          <w:rFonts w:hint="eastAsia"/>
          <w:b/>
          <w:bCs/>
          <w:color w:val="auto"/>
          <w:szCs w:val="21"/>
          <w:highlight w:val="none"/>
        </w:rPr>
        <w:t>说明：</w:t>
      </w:r>
    </w:p>
    <w:p>
      <w:pPr>
        <w:pStyle w:val="4"/>
        <w:spacing w:after="0" w:line="360" w:lineRule="auto"/>
        <w:ind w:left="0" w:leftChars="0" w:firstLine="422"/>
        <w:rPr>
          <w:b/>
          <w:bCs/>
          <w:color w:val="auto"/>
          <w:szCs w:val="21"/>
          <w:highlight w:val="none"/>
        </w:rPr>
      </w:pPr>
      <w:r>
        <w:rPr>
          <w:b/>
          <w:bCs/>
          <w:color w:val="auto"/>
          <w:szCs w:val="21"/>
          <w:highlight w:val="none"/>
        </w:rPr>
        <w:t>1.</w:t>
      </w:r>
      <w:r>
        <w:rPr>
          <w:rFonts w:hint="eastAsia"/>
          <w:b/>
          <w:bCs/>
          <w:color w:val="auto"/>
          <w:szCs w:val="21"/>
          <w:highlight w:val="none"/>
        </w:rPr>
        <w:t>供应商须对本项目的采购标的进行整体响应，任何只对本项目采购标的其中一部分内容或数量进行响应的，将作无效投标（响应）处理</w:t>
      </w:r>
      <w:r>
        <w:rPr>
          <w:b/>
          <w:bCs/>
          <w:color w:val="auto"/>
          <w:szCs w:val="21"/>
          <w:highlight w:val="none"/>
        </w:rPr>
        <w:t>。</w:t>
      </w:r>
    </w:p>
    <w:p>
      <w:pPr>
        <w:pStyle w:val="4"/>
        <w:spacing w:after="0" w:line="360" w:lineRule="auto"/>
        <w:ind w:left="0" w:leftChars="0" w:firstLine="422"/>
        <w:rPr>
          <w:b/>
          <w:bCs/>
          <w:color w:val="auto"/>
          <w:szCs w:val="21"/>
          <w:highlight w:val="none"/>
        </w:rPr>
      </w:pPr>
      <w:r>
        <w:rPr>
          <w:b/>
          <w:bCs/>
          <w:color w:val="auto"/>
          <w:szCs w:val="21"/>
          <w:highlight w:val="none"/>
        </w:rPr>
        <w:t>2.采购需求中标注“★”号条款为实质性条款，供应商须按要求对其进行逐条响应，当出现负偏离或未响应，将作无效</w:t>
      </w:r>
      <w:r>
        <w:rPr>
          <w:rFonts w:hint="eastAsia"/>
          <w:b/>
          <w:bCs/>
          <w:color w:val="auto"/>
          <w:szCs w:val="21"/>
          <w:highlight w:val="none"/>
        </w:rPr>
        <w:t>投标（响应）</w:t>
      </w:r>
      <w:r>
        <w:rPr>
          <w:b/>
          <w:bCs/>
          <w:color w:val="auto"/>
          <w:szCs w:val="21"/>
          <w:highlight w:val="none"/>
        </w:rPr>
        <w:t>处理；若要求提供证明材料，还须按要求提供证明材料，否则将作无效</w:t>
      </w:r>
      <w:r>
        <w:rPr>
          <w:rFonts w:hint="eastAsia"/>
          <w:b/>
          <w:bCs/>
          <w:color w:val="auto"/>
          <w:szCs w:val="21"/>
          <w:highlight w:val="none"/>
        </w:rPr>
        <w:t>投标（响应）</w:t>
      </w:r>
      <w:r>
        <w:rPr>
          <w:b/>
          <w:bCs/>
          <w:color w:val="auto"/>
          <w:szCs w:val="21"/>
          <w:highlight w:val="none"/>
        </w:rPr>
        <w:t>处理。</w:t>
      </w:r>
    </w:p>
    <w:p>
      <w:pPr>
        <w:pStyle w:val="4"/>
        <w:spacing w:after="0" w:line="360" w:lineRule="auto"/>
        <w:ind w:left="0" w:leftChars="0" w:firstLine="422"/>
        <w:rPr>
          <w:b/>
          <w:bCs/>
          <w:color w:val="auto"/>
          <w:szCs w:val="21"/>
          <w:highlight w:val="none"/>
        </w:rPr>
      </w:pPr>
    </w:p>
    <w:p>
      <w:pPr>
        <w:pStyle w:val="7"/>
        <w:rPr>
          <w:color w:val="auto"/>
          <w:sz w:val="21"/>
          <w:szCs w:val="21"/>
          <w:highlight w:val="none"/>
          <w:lang w:eastAsia="zh-CN"/>
        </w:rPr>
      </w:pPr>
      <w:bookmarkStart w:id="2" w:name="_Toc114053418"/>
      <w:bookmarkStart w:id="3" w:name="_Toc29092"/>
      <w:r>
        <w:rPr>
          <w:rFonts w:hint="eastAsia"/>
          <w:color w:val="auto"/>
          <w:sz w:val="21"/>
          <w:szCs w:val="21"/>
          <w:highlight w:val="none"/>
          <w:lang w:eastAsia="zh-CN"/>
        </w:rPr>
        <w:t>一、项目概况</w:t>
      </w:r>
      <w:bookmarkEnd w:id="1"/>
      <w:bookmarkEnd w:id="2"/>
      <w:bookmarkEnd w:id="3"/>
    </w:p>
    <w:p>
      <w:pPr>
        <w:pStyle w:val="4"/>
        <w:spacing w:line="360" w:lineRule="auto"/>
        <w:ind w:left="0" w:leftChars="0"/>
        <w:rPr>
          <w:rFonts w:hint="eastAsia"/>
          <w:color w:val="auto"/>
          <w:szCs w:val="21"/>
          <w:highlight w:val="none"/>
        </w:rPr>
      </w:pPr>
      <w:r>
        <w:rPr>
          <w:rFonts w:hint="eastAsia"/>
          <w:color w:val="auto"/>
          <w:szCs w:val="21"/>
          <w:highlight w:val="none"/>
        </w:rPr>
        <w:t>长滨四街-长滨一路交叉口、长滨四街-长滨三路交叉口、长滨四街-长滨四路交叉口、长滨四街-长滨五路交叉口、长滨四街-长滨六路交叉口、碧海大道-海甸五西路交叉口、碧海大道-广场路交叉口共7个路口红绿灯建设。</w:t>
      </w:r>
    </w:p>
    <w:p>
      <w:pPr>
        <w:pStyle w:val="7"/>
        <w:rPr>
          <w:rFonts w:hint="eastAsia"/>
          <w:color w:val="auto"/>
          <w:sz w:val="21"/>
          <w:szCs w:val="21"/>
          <w:highlight w:val="none"/>
          <w:lang w:eastAsia="zh-CN"/>
        </w:rPr>
      </w:pPr>
      <w:bookmarkStart w:id="4" w:name="_Toc28945"/>
      <w:r>
        <w:rPr>
          <w:rFonts w:hint="eastAsia"/>
          <w:color w:val="auto"/>
          <w:sz w:val="21"/>
          <w:szCs w:val="21"/>
          <w:highlight w:val="none"/>
          <w:lang w:eastAsia="zh-CN"/>
        </w:rPr>
        <w:t>二、主要商务要求</w:t>
      </w:r>
      <w:bookmarkEnd w:id="4"/>
    </w:p>
    <w:p>
      <w:pPr>
        <w:pStyle w:val="4"/>
        <w:spacing w:line="360" w:lineRule="auto"/>
        <w:ind w:left="0" w:leftChars="0"/>
        <w:rPr>
          <w:rFonts w:hint="eastAsia" w:eastAsia="宋体"/>
          <w:color w:val="auto"/>
          <w:szCs w:val="21"/>
          <w:highlight w:val="none"/>
          <w:lang w:eastAsia="zh-CN"/>
        </w:rPr>
      </w:pPr>
      <w:r>
        <w:rPr>
          <w:rFonts w:hint="eastAsia"/>
          <w:color w:val="auto"/>
          <w:szCs w:val="21"/>
          <w:highlight w:val="none"/>
        </w:rPr>
        <w:t>1.交付时间：</w:t>
      </w:r>
      <w:r>
        <w:rPr>
          <w:rFonts w:hint="eastAsia"/>
          <w:color w:val="auto"/>
          <w:szCs w:val="21"/>
          <w:highlight w:val="none"/>
          <w:lang w:eastAsia="zh-CN"/>
        </w:rPr>
        <w:t>合同签订生效后30日历天</w:t>
      </w:r>
    </w:p>
    <w:p>
      <w:pPr>
        <w:pStyle w:val="4"/>
        <w:spacing w:line="360" w:lineRule="auto"/>
        <w:ind w:left="0" w:leftChars="0"/>
        <w:rPr>
          <w:color w:val="auto"/>
          <w:szCs w:val="21"/>
          <w:highlight w:val="none"/>
        </w:rPr>
      </w:pPr>
      <w:r>
        <w:rPr>
          <w:rFonts w:hint="eastAsia"/>
          <w:color w:val="auto"/>
          <w:szCs w:val="21"/>
          <w:highlight w:val="none"/>
        </w:rPr>
        <w:t>2.施工地点：海南省海口市（采购人指定地点）</w:t>
      </w:r>
    </w:p>
    <w:p>
      <w:pPr>
        <w:pStyle w:val="4"/>
        <w:spacing w:line="360" w:lineRule="auto"/>
        <w:ind w:left="0" w:leftChars="0"/>
        <w:rPr>
          <w:rFonts w:hint="eastAsia"/>
          <w:color w:val="auto"/>
          <w:szCs w:val="21"/>
          <w:highlight w:val="none"/>
        </w:rPr>
      </w:pPr>
      <w:r>
        <w:rPr>
          <w:rFonts w:hint="eastAsia"/>
          <w:color w:val="auto"/>
          <w:szCs w:val="21"/>
          <w:highlight w:val="none"/>
        </w:rPr>
        <w:t>3.投标有效期：从提交响应文件的截止之日起90日历天</w:t>
      </w:r>
    </w:p>
    <w:p>
      <w:pPr>
        <w:pStyle w:val="4"/>
        <w:spacing w:line="360" w:lineRule="auto"/>
        <w:ind w:left="0" w:leftChars="0"/>
        <w:rPr>
          <w:rFonts w:hint="eastAsia"/>
          <w:color w:val="auto"/>
          <w:szCs w:val="21"/>
          <w:highlight w:val="none"/>
        </w:rPr>
      </w:pPr>
      <w:r>
        <w:rPr>
          <w:rFonts w:hint="eastAsia"/>
          <w:color w:val="auto"/>
          <w:szCs w:val="21"/>
          <w:highlight w:val="none"/>
        </w:rPr>
        <w:t>4.付款方式：本工程按工程进度预付工程款。合同签订后5个工作日内甲方向乙方拨付合同总价30%的工程预付款，工程进度款以施工进度为准按实际完成工程量的80%拨付予乙方，工程进度款付至合同总价的80%后，余款待工程交工验收与竣工验收合格并经过相关政府部门或甲方指定的第三方审计通过后15天内，支付至全部工程结算价款的97%，余款3%作为工程质保金，在</w:t>
      </w:r>
      <w:r>
        <w:rPr>
          <w:rFonts w:hint="eastAsia"/>
          <w:color w:val="auto"/>
          <w:szCs w:val="21"/>
          <w:highlight w:val="none"/>
          <w:lang w:val="en-US" w:eastAsia="zh-CN"/>
        </w:rPr>
        <w:t>1</w:t>
      </w:r>
      <w:r>
        <w:rPr>
          <w:rFonts w:hint="eastAsia"/>
          <w:color w:val="auto"/>
          <w:szCs w:val="21"/>
          <w:highlight w:val="none"/>
        </w:rPr>
        <w:t>年保修期满后15天内支付（不计息）。</w:t>
      </w:r>
    </w:p>
    <w:p>
      <w:pPr>
        <w:pStyle w:val="4"/>
        <w:spacing w:line="360" w:lineRule="auto"/>
        <w:ind w:left="0" w:leftChars="0"/>
        <w:rPr>
          <w:rFonts w:hint="eastAsia"/>
          <w:color w:val="auto"/>
          <w:szCs w:val="21"/>
          <w:highlight w:val="none"/>
        </w:rPr>
      </w:pPr>
      <w:r>
        <w:rPr>
          <w:rFonts w:hint="eastAsia"/>
          <w:color w:val="auto"/>
          <w:szCs w:val="21"/>
          <w:highlight w:val="none"/>
        </w:rPr>
        <w:t>5.验收要求：</w:t>
      </w:r>
    </w:p>
    <w:p>
      <w:pPr>
        <w:pStyle w:val="4"/>
        <w:spacing w:line="360" w:lineRule="auto"/>
        <w:ind w:left="0" w:leftChars="0"/>
        <w:rPr>
          <w:rFonts w:hint="eastAsia"/>
          <w:color w:val="auto"/>
          <w:szCs w:val="21"/>
          <w:highlight w:val="none"/>
        </w:rPr>
      </w:pPr>
      <w:r>
        <w:rPr>
          <w:rFonts w:hint="eastAsia"/>
          <w:color w:val="auto"/>
          <w:szCs w:val="21"/>
          <w:highlight w:val="none"/>
        </w:rPr>
        <w:t>（1）工程竣工时，乙方向甲方递交竣工验收报告，甲方应在收到该材料及报告之日起二周内组织验收。</w:t>
      </w:r>
    </w:p>
    <w:p>
      <w:pPr>
        <w:pStyle w:val="4"/>
        <w:spacing w:line="360" w:lineRule="auto"/>
        <w:ind w:left="0" w:leftChars="0"/>
        <w:rPr>
          <w:rFonts w:hint="eastAsia"/>
          <w:color w:val="auto"/>
          <w:szCs w:val="21"/>
          <w:highlight w:val="none"/>
        </w:rPr>
      </w:pPr>
      <w:r>
        <w:rPr>
          <w:rFonts w:hint="eastAsia"/>
          <w:color w:val="auto"/>
          <w:szCs w:val="21"/>
          <w:highlight w:val="none"/>
        </w:rPr>
        <w:t>（2）工程未经验收，甲方不得提前使用。</w:t>
      </w:r>
    </w:p>
    <w:p>
      <w:pPr>
        <w:pStyle w:val="4"/>
        <w:spacing w:line="360" w:lineRule="auto"/>
        <w:ind w:left="0" w:leftChars="0"/>
        <w:rPr>
          <w:rFonts w:hint="eastAsia"/>
          <w:color w:val="auto"/>
          <w:szCs w:val="21"/>
          <w:highlight w:val="none"/>
        </w:rPr>
      </w:pPr>
      <w:r>
        <w:rPr>
          <w:rFonts w:hint="eastAsia"/>
          <w:color w:val="auto"/>
          <w:szCs w:val="21"/>
          <w:highlight w:val="none"/>
        </w:rPr>
        <w:t>（3）验收合格时，乙方向甲方实行移交。</w:t>
      </w:r>
    </w:p>
    <w:p>
      <w:pPr>
        <w:pStyle w:val="4"/>
        <w:spacing w:line="360" w:lineRule="auto"/>
        <w:ind w:left="0" w:leftChars="0"/>
        <w:rPr>
          <w:rFonts w:hint="eastAsia"/>
          <w:color w:val="auto"/>
          <w:szCs w:val="21"/>
          <w:highlight w:val="none"/>
        </w:rPr>
      </w:pPr>
      <w:r>
        <w:rPr>
          <w:rFonts w:hint="eastAsia"/>
          <w:color w:val="auto"/>
          <w:szCs w:val="21"/>
          <w:highlight w:val="none"/>
        </w:rPr>
        <w:t>验收方式：由采购人组织的项目验收小组进行验收。</w:t>
      </w:r>
    </w:p>
    <w:p>
      <w:pPr>
        <w:pStyle w:val="4"/>
        <w:spacing w:line="360" w:lineRule="auto"/>
        <w:ind w:left="0" w:leftChars="0"/>
        <w:rPr>
          <w:rFonts w:hint="eastAsia"/>
          <w:color w:val="auto"/>
          <w:szCs w:val="21"/>
          <w:highlight w:val="none"/>
        </w:rPr>
      </w:pPr>
      <w:r>
        <w:rPr>
          <w:rFonts w:hint="eastAsia"/>
          <w:color w:val="auto"/>
          <w:szCs w:val="21"/>
          <w:highlight w:val="none"/>
        </w:rPr>
        <w:t>验收标准：供应商提供的货物或服务质量符合国家及行业强制标准，采购文件要求、响应文件承诺及合同要求。</w:t>
      </w:r>
    </w:p>
    <w:p>
      <w:pPr>
        <w:pStyle w:val="4"/>
        <w:spacing w:line="360" w:lineRule="auto"/>
        <w:ind w:left="0" w:leftChars="0"/>
        <w:rPr>
          <w:color w:val="auto"/>
          <w:szCs w:val="21"/>
          <w:highlight w:val="none"/>
        </w:rPr>
      </w:pPr>
      <w:r>
        <w:rPr>
          <w:rFonts w:hint="eastAsia"/>
          <w:color w:val="auto"/>
          <w:szCs w:val="21"/>
          <w:highlight w:val="none"/>
        </w:rPr>
        <w:t>6.售后服务：质保期3年，并提供10%的备件留存在支队。</w:t>
      </w:r>
    </w:p>
    <w:p>
      <w:pPr>
        <w:pStyle w:val="7"/>
        <w:rPr>
          <w:rFonts w:hint="eastAsia"/>
          <w:color w:val="auto"/>
          <w:sz w:val="21"/>
          <w:szCs w:val="21"/>
          <w:highlight w:val="none"/>
          <w:lang w:eastAsia="zh-CN"/>
        </w:rPr>
      </w:pPr>
      <w:bookmarkStart w:id="5" w:name="_Toc19006"/>
      <w:r>
        <w:rPr>
          <w:rFonts w:hint="eastAsia"/>
          <w:color w:val="auto"/>
          <w:sz w:val="21"/>
          <w:szCs w:val="21"/>
          <w:highlight w:val="none"/>
          <w:lang w:eastAsia="zh-CN"/>
        </w:rPr>
        <w:t>三、工程量清单</w:t>
      </w:r>
      <w:bookmarkEnd w:id="5"/>
    </w:p>
    <w:p>
      <w:pPr>
        <w:pStyle w:val="7"/>
        <w:rPr>
          <w:rFonts w:hint="eastAsia"/>
          <w:color w:val="auto"/>
          <w:sz w:val="21"/>
          <w:szCs w:val="21"/>
          <w:highlight w:val="none"/>
          <w:lang w:eastAsia="zh-CN"/>
        </w:rPr>
      </w:pPr>
      <w:bookmarkStart w:id="6" w:name="_Toc24848"/>
      <w:r>
        <w:rPr>
          <w:rFonts w:hint="eastAsia"/>
          <w:color w:val="auto"/>
          <w:sz w:val="21"/>
          <w:szCs w:val="21"/>
          <w:highlight w:val="none"/>
          <w:lang w:eastAsia="zh-CN"/>
        </w:rPr>
        <w:t>详见附件《工程量清单》</w:t>
      </w:r>
      <w:bookmarkEnd w:id="6"/>
    </w:p>
    <w:p>
      <w:pPr>
        <w:pStyle w:val="7"/>
        <w:numPr>
          <w:ilvl w:val="0"/>
          <w:numId w:val="1"/>
        </w:numPr>
        <w:rPr>
          <w:rFonts w:hint="eastAsia"/>
          <w:color w:val="auto"/>
          <w:sz w:val="21"/>
          <w:szCs w:val="21"/>
          <w:highlight w:val="none"/>
          <w:lang w:eastAsia="zh-CN"/>
        </w:rPr>
      </w:pPr>
      <w:bookmarkStart w:id="7" w:name="_Toc31615"/>
      <w:r>
        <w:rPr>
          <w:rFonts w:hint="eastAsia"/>
          <w:color w:val="auto"/>
          <w:sz w:val="21"/>
          <w:szCs w:val="21"/>
          <w:highlight w:val="none"/>
          <w:lang w:eastAsia="zh-CN"/>
        </w:rPr>
        <w:t>图纸</w:t>
      </w:r>
      <w:bookmarkEnd w:id="7"/>
    </w:p>
    <w:p>
      <w:pPr>
        <w:pStyle w:val="7"/>
        <w:rPr>
          <w:color w:val="auto"/>
          <w:sz w:val="21"/>
          <w:szCs w:val="21"/>
          <w:highlight w:val="none"/>
          <w:lang w:eastAsia="zh-CN"/>
        </w:rPr>
      </w:pPr>
      <w:bookmarkStart w:id="8" w:name="_Toc32175"/>
      <w:r>
        <w:rPr>
          <w:rFonts w:hint="eastAsia"/>
          <w:color w:val="auto"/>
          <w:sz w:val="21"/>
          <w:szCs w:val="21"/>
          <w:highlight w:val="none"/>
          <w:lang w:eastAsia="zh-CN"/>
        </w:rPr>
        <w:t>详见附件《图纸》</w:t>
      </w:r>
      <w:bookmarkEnd w:id="8"/>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文鼎CS中黑">
    <w:altName w:val="黑体"/>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8F97D"/>
    <w:multiLevelType w:val="singleLevel"/>
    <w:tmpl w:val="06C8F97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53E11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宋体" w:hAnsi="宋体"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jc w:val="center"/>
      <w:outlineLvl w:val="0"/>
    </w:pPr>
    <w:rPr>
      <w:rFonts w:eastAsia="文鼎CS中黑"/>
      <w:b/>
      <w:bCs/>
      <w:kern w:val="44"/>
      <w:sz w:val="52"/>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adjustRightInd w:val="0"/>
      <w:snapToGrid w:val="0"/>
      <w:ind w:firstLine="420" w:firstLineChars="200"/>
    </w:pPr>
  </w:style>
  <w:style w:type="paragraph" w:styleId="4">
    <w:name w:val="Body Text First Indent 2"/>
    <w:basedOn w:val="3"/>
    <w:qFormat/>
    <w:uiPriority w:val="0"/>
    <w:pPr>
      <w:adjustRightInd/>
      <w:snapToGrid/>
      <w:spacing w:after="120" w:line="240" w:lineRule="auto"/>
      <w:ind w:left="420" w:leftChars="200"/>
    </w:pPr>
  </w:style>
  <w:style w:type="paragraph" w:customStyle="1" w:styleId="7">
    <w:name w:val="C"/>
    <w:basedOn w:val="1"/>
    <w:qFormat/>
    <w:uiPriority w:val="1"/>
    <w:pPr>
      <w:widowControl w:val="0"/>
      <w:autoSpaceDE w:val="0"/>
      <w:autoSpaceDN w:val="0"/>
      <w:jc w:val="left"/>
      <w:outlineLvl w:val="1"/>
    </w:pPr>
    <w:rPr>
      <w:rFonts w:cs="宋体"/>
      <w:b/>
      <w:bCs/>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2023-12-06T13:03:14Z</dcterms:created>
  <dc:creator>公诚招标</dc:creator>
  <cp:lastModifiedBy>公诚招标</cp:lastModifiedBy>
  <dcterms:modified xsi:type="dcterms:W3CDTF">2023-12-06T13:03:27Z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14095A89E75E4F499A2311D7A0C2FE74_12</vt:lpwstr>
  </property>
</Properties>
</file>