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snapToGrid w:val="0"/>
        <w:spacing w:before="0" w:after="0" w:line="360" w:lineRule="auto"/>
        <w:jc w:val="center"/>
        <w:rPr>
          <w:rFonts w:hAnsi="宋体"/>
          <w:color w:val="auto"/>
        </w:rPr>
      </w:pPr>
      <w:bookmarkStart w:id="0" w:name="_Toc386178228"/>
      <w:bookmarkStart w:id="1" w:name="_Toc16050_WPSOffice_Level1"/>
      <w:bookmarkStart w:id="2" w:name="_Toc401304796"/>
      <w:r>
        <w:rPr>
          <w:rFonts w:hint="eastAsia" w:hAnsi="宋体"/>
          <w:b w:val="0"/>
          <w:color w:val="auto"/>
          <w:sz w:val="48"/>
          <w:szCs w:val="48"/>
          <w:lang w:val="en-US" w:eastAsia="zh-CN"/>
        </w:rPr>
        <w:t xml:space="preserve"> </w:t>
      </w:r>
      <w:bookmarkStart w:id="3" w:name="_Toc12805"/>
      <w:r>
        <w:rPr>
          <w:rFonts w:hint="eastAsia" w:hAnsi="宋体"/>
          <w:color w:val="auto"/>
        </w:rPr>
        <w:t>用户需求书</w:t>
      </w:r>
      <w:bookmarkEnd w:id="0"/>
      <w:bookmarkEnd w:id="1"/>
      <w:bookmarkEnd w:id="2"/>
      <w:bookmarkEnd w:id="3"/>
    </w:p>
    <w:p>
      <w:pPr>
        <w:spacing w:line="56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（一）项目概况</w:t>
      </w:r>
    </w:p>
    <w:p>
      <w:pPr>
        <w:spacing w:line="560" w:lineRule="exact"/>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陵水黎族自治县县城陵河南片区控制性详细规划优化调整。</w:t>
      </w:r>
    </w:p>
    <w:p>
      <w:pPr>
        <w:spacing w:line="56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（二）采购项目预（概）算</w:t>
      </w:r>
    </w:p>
    <w:p>
      <w:pPr>
        <w:spacing w:line="560" w:lineRule="exact"/>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 xml:space="preserve">总 预 算： </w:t>
      </w:r>
      <w:r>
        <w:rPr>
          <w:rFonts w:hint="eastAsia" w:ascii="宋体" w:hAnsi="宋体" w:eastAsia="宋体" w:cs="宋体"/>
          <w:color w:val="auto"/>
          <w:sz w:val="28"/>
          <w:szCs w:val="28"/>
          <w:lang w:val="en-US" w:eastAsia="zh-CN"/>
        </w:rPr>
        <w:t>284.61</w:t>
      </w:r>
      <w:r>
        <w:rPr>
          <w:rFonts w:hint="eastAsia" w:ascii="宋体" w:hAnsi="宋体" w:eastAsia="宋体" w:cs="宋体"/>
          <w:color w:val="auto"/>
          <w:sz w:val="28"/>
          <w:szCs w:val="28"/>
        </w:rPr>
        <w:t xml:space="preserve">万元  </w:t>
      </w:r>
    </w:p>
    <w:p>
      <w:pPr>
        <w:spacing w:line="56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（三）采购标的汇总表</w:t>
      </w:r>
    </w:p>
    <w:tbl>
      <w:tblPr>
        <w:tblStyle w:val="4"/>
        <w:tblW w:w="87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9"/>
        <w:gridCol w:w="690"/>
        <w:gridCol w:w="1815"/>
        <w:gridCol w:w="1365"/>
        <w:gridCol w:w="855"/>
        <w:gridCol w:w="765"/>
        <w:gridCol w:w="840"/>
        <w:gridCol w:w="1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17" w:hRule="atLeast"/>
          <w:jc w:val="center"/>
        </w:trPr>
        <w:tc>
          <w:tcPr>
            <w:tcW w:w="699"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包号</w:t>
            </w:r>
          </w:p>
        </w:tc>
        <w:tc>
          <w:tcPr>
            <w:tcW w:w="690"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序号</w:t>
            </w:r>
          </w:p>
        </w:tc>
        <w:tc>
          <w:tcPr>
            <w:tcW w:w="1815"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标的名称</w:t>
            </w:r>
          </w:p>
        </w:tc>
        <w:tc>
          <w:tcPr>
            <w:tcW w:w="1365"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品目分类编码</w:t>
            </w:r>
          </w:p>
        </w:tc>
        <w:tc>
          <w:tcPr>
            <w:tcW w:w="855"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计量</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单位</w:t>
            </w:r>
          </w:p>
        </w:tc>
        <w:tc>
          <w:tcPr>
            <w:tcW w:w="765"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数量</w:t>
            </w:r>
          </w:p>
        </w:tc>
        <w:tc>
          <w:tcPr>
            <w:tcW w:w="840"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是否进口</w:t>
            </w:r>
          </w:p>
        </w:tc>
        <w:tc>
          <w:tcPr>
            <w:tcW w:w="1719" w:type="dxa"/>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分包 </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8"/>
                <w:szCs w:val="28"/>
                <w:highlight w:val="none"/>
                <w:lang w:val="en-US" w:eastAsia="zh-CN"/>
              </w:rPr>
              <w:t>1</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8"/>
                <w:szCs w:val="28"/>
                <w:highlight w:val="none"/>
                <w:lang w:val="en-US" w:eastAsia="zh-CN"/>
              </w:rPr>
              <w:t>1</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宋体" w:hAnsi="宋体" w:eastAsia="宋体" w:cs="宋体"/>
                <w:color w:val="auto"/>
                <w:sz w:val="24"/>
                <w:szCs w:val="24"/>
              </w:rPr>
            </w:pPr>
            <w:r>
              <w:rPr>
                <w:rFonts w:hint="eastAsia" w:ascii="宋体" w:hAnsi="宋体" w:eastAsia="宋体" w:cs="宋体"/>
                <w:sz w:val="28"/>
                <w:szCs w:val="28"/>
              </w:rPr>
              <w:t>陵水黎族自治县县城陵河南片区控制性详细规划优化调整</w:t>
            </w:r>
          </w:p>
        </w:tc>
        <w:tc>
          <w:tcPr>
            <w:tcW w:w="1365"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i w:val="0"/>
                <w:iCs w:val="0"/>
                <w:color w:val="auto"/>
                <w:kern w:val="0"/>
                <w:sz w:val="28"/>
                <w:szCs w:val="28"/>
                <w:highlight w:val="none"/>
                <w:u w:val="none"/>
                <w:lang w:val="en-US" w:eastAsia="zh-CN" w:bidi="ar"/>
              </w:rPr>
              <w:t>3022701-委托业务费</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8"/>
                <w:szCs w:val="28"/>
                <w:highlight w:val="none"/>
                <w:lang w:val="en-US" w:eastAsia="zh-CN"/>
              </w:rPr>
              <w:t>批</w:t>
            </w:r>
          </w:p>
        </w:tc>
        <w:tc>
          <w:tcPr>
            <w:tcW w:w="765"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8"/>
                <w:szCs w:val="28"/>
                <w:highlight w:val="no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8"/>
                <w:szCs w:val="28"/>
                <w:highlight w:val="none"/>
                <w:lang w:val="en-US" w:eastAsia="zh-CN"/>
              </w:rPr>
              <w:t>否</w:t>
            </w:r>
          </w:p>
        </w:tc>
        <w:tc>
          <w:tcPr>
            <w:tcW w:w="1719" w:type="dxa"/>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8"/>
                <w:szCs w:val="28"/>
                <w:highlight w:val="none"/>
                <w:lang w:val="en-US" w:eastAsia="zh-CN"/>
              </w:rPr>
              <w:t>否</w:t>
            </w:r>
          </w:p>
        </w:tc>
      </w:tr>
    </w:tbl>
    <w:p>
      <w:pPr>
        <w:spacing w:line="560" w:lineRule="exact"/>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（四）</w:t>
      </w:r>
      <w:r>
        <w:rPr>
          <w:rFonts w:hint="eastAsia" w:ascii="宋体" w:hAnsi="宋体" w:eastAsia="宋体" w:cs="宋体"/>
          <w:color w:val="auto"/>
          <w:sz w:val="28"/>
          <w:szCs w:val="28"/>
          <w:lang w:val="en-US" w:eastAsia="zh-CN"/>
        </w:rPr>
        <w:t>需求清单</w:t>
      </w:r>
    </w:p>
    <w:p>
      <w:pPr>
        <w:spacing w:line="56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(一) 修编背景</w:t>
      </w:r>
    </w:p>
    <w:p>
      <w:pPr>
        <w:spacing w:line="560" w:lineRule="exact"/>
        <w:ind w:firstLine="480" w:firstLineChars="200"/>
        <w:jc w:val="left"/>
        <w:rPr>
          <w:rFonts w:hint="eastAsia" w:ascii="宋体" w:hAnsi="宋体" w:eastAsia="宋体" w:cs="宋体"/>
          <w:color w:val="auto"/>
          <w:sz w:val="28"/>
          <w:szCs w:val="28"/>
        </w:rPr>
      </w:pPr>
      <w:r>
        <w:rPr>
          <w:rFonts w:hint="eastAsia" w:ascii="宋体" w:hAnsi="宋体" w:eastAsia="宋体" w:cs="宋体"/>
          <w:color w:val="auto"/>
          <w:sz w:val="24"/>
          <w:szCs w:val="24"/>
        </w:rPr>
        <w:t>《陵水黎族自治县县城陵河南片区控制性详细规划（修编）》（以下简称“现行控规”）于2020年10月12日由陵水黎族自治县人民政府批复实施，对陵河南片区的建设和发展起到了一定的促进作用。由于现行控规是依据2018 版总体规划划定的开发边界进行编制，2023年11月3日《陵水黎族自治县国土空间总体规划(2021—2035</w:t>
      </w:r>
      <w:r>
        <w:rPr>
          <w:rFonts w:hint="eastAsia" w:ascii="宋体" w:hAnsi="宋体" w:eastAsia="宋体" w:cs="宋体"/>
          <w:color w:val="auto"/>
          <w:sz w:val="24"/>
          <w:szCs w:val="24"/>
          <w:lang w:val="en-US" w:eastAsia="zh-CN"/>
        </w:rPr>
        <w:t>年）</w:t>
      </w:r>
      <w:r>
        <w:rPr>
          <w:rFonts w:hint="eastAsia" w:ascii="宋体" w:hAnsi="宋体" w:eastAsia="宋体" w:cs="宋体"/>
          <w:color w:val="auto"/>
          <w:sz w:val="24"/>
          <w:szCs w:val="24"/>
        </w:rPr>
        <w:t>》批复实施，上位规划发生改变。同时陵水县提出“2+7+3+N”重点发展格局，其中，陵水中心城区城市更新是全县7个重点打造片区之一，陵河南片区将结合城市更新统筹推进中心城区教育、 医疗卫生等一批重大基础设施和公共服务设施项目的投入和建设。 陵河南片区外部环境和内部条件均发生了较大的变化，现行控规的用地规划布局与陵水县的发展趋势已不匹配。因此，按照最新的规划编制要求，现行控规无论在规划编制的先进性与实用性，还是规范性方面，均无法实现与现行规划标准相衔接，急需进行规划优化调整，有序指导陵河南片区规划建设。</w:t>
      </w:r>
    </w:p>
    <w:p>
      <w:pPr>
        <w:spacing w:line="56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(二) 区位条件</w:t>
      </w:r>
    </w:p>
    <w:p>
      <w:pPr>
        <w:spacing w:line="560" w:lineRule="exact"/>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陵河南片区位于陵水县东部，陵水县城中心城区陵水河南岸。海南环线高速公路（G98）从片区北部经过，距高速互通口仅 2 公里，距东环高铁陵水站4公里。海榆东线（G223国道）从陵河南片区中部穿过。</w:t>
      </w:r>
    </w:p>
    <w:p>
      <w:pPr>
        <w:pStyle w:val="3"/>
        <w:spacing w:before="228" w:line="218" w:lineRule="auto"/>
        <w:ind w:left="605"/>
        <w:rPr>
          <w:rFonts w:ascii="黑体" w:hAnsi="黑体" w:eastAsia="黑体" w:cs="黑体"/>
          <w:b/>
          <w:bCs/>
          <w:sz w:val="28"/>
          <w:szCs w:val="28"/>
        </w:rPr>
      </w:pPr>
      <w:r>
        <w:rPr>
          <w:rFonts w:ascii="黑体" w:hAnsi="黑体" w:eastAsia="黑体" w:cs="黑体"/>
          <w:b/>
          <w:bCs/>
          <w:spacing w:val="-8"/>
          <w:sz w:val="28"/>
          <w:szCs w:val="28"/>
        </w:rPr>
        <w:t>(三) 规划范围</w:t>
      </w:r>
    </w:p>
    <w:p>
      <w:pPr>
        <w:pStyle w:val="3"/>
        <w:spacing w:before="227" w:line="381" w:lineRule="auto"/>
        <w:ind w:left="25" w:right="11" w:firstLine="479"/>
        <w:jc w:val="both"/>
      </w:pPr>
      <w:r>
        <w:rPr>
          <w:rFonts w:hint="eastAsia" w:ascii="宋体" w:hAnsi="宋体" w:eastAsia="宋体" w:cs="宋体"/>
          <w:iCs/>
          <w:kern w:val="0"/>
          <w:sz w:val="24"/>
          <w:szCs w:val="24"/>
          <w:lang w:val="en-US" w:eastAsia="zh-CN" w:bidi="ar-SA"/>
        </w:rPr>
        <w:t>本次规划范围为国土空间总体规划划定的中心城区南片区开发 边界，北至东线高速公路，南至规划安马大道，东临陵水河，西以文黎景观大道为界，规划范围总面积约 11.2 平方公里。</w:t>
      </w:r>
    </w:p>
    <w:p>
      <w:pPr>
        <w:spacing w:before="70" w:line="4523" w:lineRule="exact"/>
        <w:ind w:firstLine="10"/>
      </w:pPr>
      <w:r>
        <w:rPr>
          <w:position w:val="-90"/>
        </w:rPr>
        <w:drawing>
          <wp:inline distT="0" distB="0" distL="114300" distR="114300">
            <wp:extent cx="5267325" cy="2872105"/>
            <wp:effectExtent l="0" t="0" r="9525" b="444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6"/>
                    <a:stretch>
                      <a:fillRect/>
                    </a:stretch>
                  </pic:blipFill>
                  <pic:spPr>
                    <a:xfrm>
                      <a:off x="0" y="0"/>
                      <a:ext cx="5267325" cy="2872105"/>
                    </a:xfrm>
                    <a:prstGeom prst="rect">
                      <a:avLst/>
                    </a:prstGeom>
                    <a:noFill/>
                    <a:ln>
                      <a:noFill/>
                    </a:ln>
                  </pic:spPr>
                </pic:pic>
              </a:graphicData>
            </a:graphic>
          </wp:inline>
        </w:drawing>
      </w:r>
    </w:p>
    <w:p>
      <w:pPr>
        <w:spacing w:before="203" w:line="219" w:lineRule="auto"/>
        <w:ind w:left="3232"/>
        <w:rPr>
          <w:rFonts w:ascii="黑体" w:hAnsi="黑体" w:eastAsia="黑体" w:cs="黑体"/>
          <w:sz w:val="24"/>
          <w:szCs w:val="24"/>
        </w:rPr>
      </w:pPr>
      <w:r>
        <w:rPr>
          <w:rFonts w:ascii="黑体" w:hAnsi="黑体" w:eastAsia="黑体" w:cs="黑体"/>
          <w:spacing w:val="-5"/>
          <w:sz w:val="24"/>
          <w:szCs w:val="24"/>
        </w:rPr>
        <w:t>图</w:t>
      </w:r>
      <w:r>
        <w:rPr>
          <w:rFonts w:ascii="黑体" w:hAnsi="黑体" w:eastAsia="黑体" w:cs="黑体"/>
          <w:spacing w:val="-34"/>
          <w:sz w:val="24"/>
          <w:szCs w:val="24"/>
        </w:rPr>
        <w:t xml:space="preserve"> </w:t>
      </w:r>
      <w:r>
        <w:rPr>
          <w:rFonts w:ascii="黑体" w:hAnsi="黑体" w:eastAsia="黑体" w:cs="黑体"/>
          <w:spacing w:val="-5"/>
          <w:sz w:val="24"/>
          <w:szCs w:val="24"/>
        </w:rPr>
        <w:t>1：规划范围示意图</w:t>
      </w:r>
    </w:p>
    <w:p>
      <w:pPr>
        <w:spacing w:before="179" w:line="219" w:lineRule="auto"/>
        <w:ind w:left="639"/>
        <w:rPr>
          <w:rFonts w:ascii="黑体" w:hAnsi="黑体" w:eastAsia="黑体" w:cs="黑体"/>
          <w:b/>
          <w:bCs/>
          <w:sz w:val="28"/>
          <w:szCs w:val="28"/>
        </w:rPr>
      </w:pPr>
      <w:r>
        <w:rPr>
          <w:rFonts w:ascii="黑体" w:hAnsi="黑体" w:eastAsia="黑体" w:cs="黑体"/>
          <w:b/>
          <w:bCs/>
          <w:spacing w:val="-8"/>
          <w:sz w:val="28"/>
          <w:szCs w:val="28"/>
        </w:rPr>
        <w:t>(四) 现状概况</w:t>
      </w:r>
    </w:p>
    <w:p>
      <w:pPr>
        <w:pStyle w:val="3"/>
        <w:spacing w:before="168" w:line="219" w:lineRule="auto"/>
        <w:ind w:left="606"/>
        <w:outlineLvl w:val="1"/>
        <w:rPr>
          <w:b/>
          <w:bCs/>
        </w:rPr>
      </w:pPr>
      <w:r>
        <w:rPr>
          <w:b/>
          <w:bCs/>
          <w:spacing w:val="-4"/>
        </w:rPr>
        <w:t>1.</w:t>
      </w:r>
      <w:r>
        <w:rPr>
          <w:b/>
          <w:bCs/>
          <w:spacing w:val="43"/>
        </w:rPr>
        <w:t xml:space="preserve"> </w:t>
      </w:r>
      <w:r>
        <w:rPr>
          <w:b/>
          <w:bCs/>
          <w:spacing w:val="-4"/>
        </w:rPr>
        <w:t>土地利用现状情况。</w:t>
      </w:r>
    </w:p>
    <w:p>
      <w:pPr>
        <w:pStyle w:val="3"/>
        <w:spacing w:before="227" w:line="381" w:lineRule="auto"/>
        <w:ind w:left="25" w:right="11" w:firstLine="479"/>
        <w:jc w:val="both"/>
        <w:rPr>
          <w:rFonts w:hint="eastAsia" w:ascii="宋体" w:hAnsi="宋体" w:eastAsia="宋体" w:cs="宋体"/>
          <w:iCs/>
          <w:kern w:val="0"/>
          <w:sz w:val="24"/>
          <w:szCs w:val="24"/>
          <w:lang w:val="en-US" w:eastAsia="zh-CN" w:bidi="ar-SA"/>
        </w:rPr>
      </w:pPr>
      <w:r>
        <w:rPr>
          <w:rFonts w:hint="eastAsia" w:ascii="宋体" w:hAnsi="宋体" w:eastAsia="宋体" w:cs="宋体"/>
          <w:iCs/>
          <w:kern w:val="0"/>
          <w:sz w:val="24"/>
          <w:szCs w:val="24"/>
          <w:lang w:val="en-US" w:eastAsia="zh-CN" w:bidi="ar-SA"/>
        </w:rPr>
        <w:t>根据2021年度国土变更调查，本次控规修编范围内现状建设用地约908.46公顷，占规划范围的80.58%，其中，城镇住宅用地387.06公顷，占规划范围的34.33%，农村宅基地120.53 公顷，占规划范围的10.69%，公共管理和公共服务设施用地 133.07公顷，占规划范围的11.86%，商业服务业用地117.73 公顷，占规划范围的 10.44%。规划范围内现状非建设用地约 218.92公顷，占规划范围的19.42%。</w:t>
      </w:r>
    </w:p>
    <w:p>
      <w:pPr>
        <w:spacing w:line="560" w:lineRule="exact"/>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表1：陵河南片区现状用地一览表</w:t>
      </w:r>
    </w:p>
    <w:tbl>
      <w:tblPr>
        <w:tblStyle w:val="7"/>
        <w:tblpPr w:leftFromText="180" w:rightFromText="180" w:vertAnchor="text" w:horzAnchor="page" w:tblpX="1632" w:tblpY="632"/>
        <w:tblOverlap w:val="never"/>
        <w:tblW w:w="85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868"/>
        <w:gridCol w:w="2900"/>
        <w:gridCol w:w="2272"/>
        <w:gridCol w:w="17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575" w:type="dxa"/>
            <w:gridSpan w:val="2"/>
            <w:noWrap w:val="0"/>
            <w:vAlign w:val="top"/>
          </w:tcPr>
          <w:p>
            <w:pPr>
              <w:pStyle w:val="6"/>
              <w:spacing w:before="111" w:line="240" w:lineRule="auto"/>
              <w:ind w:left="553"/>
              <w:rPr>
                <w:sz w:val="24"/>
                <w:szCs w:val="24"/>
              </w:rPr>
            </w:pPr>
            <w:r>
              <w:rPr>
                <w:b/>
                <w:bCs/>
                <w:spacing w:val="-2"/>
                <w:sz w:val="24"/>
                <w:szCs w:val="24"/>
              </w:rPr>
              <w:t>用地</w:t>
            </w:r>
          </w:p>
          <w:p>
            <w:pPr>
              <w:pStyle w:val="6"/>
              <w:spacing w:before="1" w:line="240" w:lineRule="auto"/>
              <w:ind w:left="550"/>
              <w:rPr>
                <w:sz w:val="24"/>
                <w:szCs w:val="24"/>
              </w:rPr>
            </w:pPr>
            <w:r>
              <w:rPr>
                <w:b/>
                <w:bCs/>
                <w:spacing w:val="-1"/>
                <w:sz w:val="24"/>
                <w:szCs w:val="24"/>
              </w:rPr>
              <w:t>代码</w:t>
            </w:r>
          </w:p>
        </w:tc>
        <w:tc>
          <w:tcPr>
            <w:tcW w:w="2900" w:type="dxa"/>
            <w:noWrap w:val="0"/>
            <w:vAlign w:val="top"/>
          </w:tcPr>
          <w:p>
            <w:pPr>
              <w:pStyle w:val="6"/>
              <w:spacing w:before="111" w:line="240" w:lineRule="auto"/>
              <w:ind w:left="1105"/>
              <w:rPr>
                <w:sz w:val="24"/>
                <w:szCs w:val="24"/>
              </w:rPr>
            </w:pPr>
            <w:r>
              <w:rPr>
                <w:b/>
                <w:bCs/>
                <w:spacing w:val="-2"/>
                <w:sz w:val="24"/>
                <w:szCs w:val="24"/>
              </w:rPr>
              <w:t>用地</w:t>
            </w:r>
          </w:p>
          <w:p>
            <w:pPr>
              <w:pStyle w:val="6"/>
              <w:spacing w:before="1" w:line="240" w:lineRule="auto"/>
              <w:ind w:left="1100"/>
              <w:rPr>
                <w:sz w:val="24"/>
                <w:szCs w:val="24"/>
              </w:rPr>
            </w:pPr>
            <w:r>
              <w:rPr>
                <w:b/>
                <w:bCs/>
                <w:spacing w:val="-1"/>
                <w:sz w:val="24"/>
                <w:szCs w:val="24"/>
              </w:rPr>
              <w:t>分类</w:t>
            </w:r>
          </w:p>
        </w:tc>
        <w:tc>
          <w:tcPr>
            <w:tcW w:w="2272" w:type="dxa"/>
            <w:noWrap w:val="0"/>
            <w:vAlign w:val="top"/>
          </w:tcPr>
          <w:p>
            <w:pPr>
              <w:pStyle w:val="6"/>
              <w:spacing w:before="111" w:line="240" w:lineRule="auto"/>
              <w:ind w:left="679"/>
              <w:rPr>
                <w:sz w:val="24"/>
                <w:szCs w:val="24"/>
              </w:rPr>
            </w:pPr>
            <w:r>
              <w:rPr>
                <w:b/>
                <w:bCs/>
                <w:spacing w:val="-7"/>
                <w:sz w:val="24"/>
                <w:szCs w:val="24"/>
              </w:rPr>
              <w:t>占地面积</w:t>
            </w:r>
          </w:p>
          <w:p>
            <w:pPr>
              <w:pStyle w:val="6"/>
              <w:spacing w:before="1" w:line="240" w:lineRule="auto"/>
              <w:ind w:left="686"/>
              <w:rPr>
                <w:sz w:val="24"/>
                <w:szCs w:val="24"/>
              </w:rPr>
            </w:pPr>
            <w:r>
              <w:rPr>
                <w:b/>
                <w:bCs/>
                <w:spacing w:val="-13"/>
                <w:sz w:val="24"/>
                <w:szCs w:val="24"/>
              </w:rPr>
              <w:t>（公顷）</w:t>
            </w:r>
          </w:p>
        </w:tc>
        <w:tc>
          <w:tcPr>
            <w:tcW w:w="1766" w:type="dxa"/>
            <w:noWrap w:val="0"/>
            <w:vAlign w:val="top"/>
          </w:tcPr>
          <w:p>
            <w:pPr>
              <w:pStyle w:val="6"/>
              <w:spacing w:before="111" w:line="240" w:lineRule="auto"/>
              <w:ind w:left="663"/>
              <w:rPr>
                <w:sz w:val="24"/>
                <w:szCs w:val="24"/>
              </w:rPr>
            </w:pPr>
            <w:r>
              <w:rPr>
                <w:b/>
                <w:bCs/>
                <w:spacing w:val="-7"/>
                <w:sz w:val="24"/>
                <w:szCs w:val="24"/>
              </w:rPr>
              <w:t>占比</w:t>
            </w:r>
          </w:p>
          <w:p>
            <w:pPr>
              <w:pStyle w:val="6"/>
              <w:spacing w:before="1" w:line="240" w:lineRule="auto"/>
              <w:ind w:left="559"/>
              <w:rPr>
                <w:sz w:val="24"/>
                <w:szCs w:val="24"/>
              </w:rPr>
            </w:pPr>
            <w:r>
              <w:rPr>
                <w:b/>
                <w:bCs/>
                <w:spacing w:val="-11"/>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575" w:type="dxa"/>
            <w:gridSpan w:val="2"/>
            <w:noWrap w:val="0"/>
            <w:vAlign w:val="top"/>
          </w:tcPr>
          <w:p>
            <w:pPr>
              <w:pStyle w:val="6"/>
              <w:spacing w:before="115" w:line="240" w:lineRule="auto"/>
              <w:ind w:left="655"/>
              <w:rPr>
                <w:sz w:val="24"/>
                <w:szCs w:val="24"/>
              </w:rPr>
            </w:pPr>
            <w:r>
              <w:rPr>
                <w:spacing w:val="-3"/>
                <w:sz w:val="24"/>
                <w:szCs w:val="24"/>
              </w:rPr>
              <w:t>07</w:t>
            </w:r>
          </w:p>
        </w:tc>
        <w:tc>
          <w:tcPr>
            <w:tcW w:w="2900" w:type="dxa"/>
            <w:noWrap w:val="0"/>
            <w:vAlign w:val="top"/>
          </w:tcPr>
          <w:p>
            <w:pPr>
              <w:pStyle w:val="6"/>
              <w:spacing w:before="104" w:line="240" w:lineRule="auto"/>
              <w:ind w:left="861"/>
              <w:rPr>
                <w:sz w:val="24"/>
                <w:szCs w:val="24"/>
              </w:rPr>
            </w:pPr>
            <w:r>
              <w:rPr>
                <w:spacing w:val="-1"/>
                <w:sz w:val="24"/>
                <w:szCs w:val="24"/>
              </w:rPr>
              <w:t>居住用地</w:t>
            </w:r>
          </w:p>
        </w:tc>
        <w:tc>
          <w:tcPr>
            <w:tcW w:w="2272" w:type="dxa"/>
            <w:noWrap w:val="0"/>
            <w:vAlign w:val="top"/>
          </w:tcPr>
          <w:p>
            <w:pPr>
              <w:pStyle w:val="6"/>
              <w:spacing w:before="115" w:line="240" w:lineRule="auto"/>
              <w:ind w:left="772"/>
              <w:rPr>
                <w:sz w:val="24"/>
                <w:szCs w:val="24"/>
              </w:rPr>
            </w:pPr>
            <w:r>
              <w:rPr>
                <w:spacing w:val="-4"/>
                <w:sz w:val="24"/>
                <w:szCs w:val="24"/>
              </w:rPr>
              <w:t>507.59</w:t>
            </w:r>
          </w:p>
        </w:tc>
        <w:tc>
          <w:tcPr>
            <w:tcW w:w="1766" w:type="dxa"/>
            <w:noWrap w:val="0"/>
            <w:vAlign w:val="top"/>
          </w:tcPr>
          <w:p>
            <w:pPr>
              <w:pStyle w:val="6"/>
              <w:spacing w:before="115" w:line="240" w:lineRule="auto"/>
              <w:ind w:left="462"/>
              <w:rPr>
                <w:sz w:val="24"/>
                <w:szCs w:val="24"/>
              </w:rPr>
            </w:pPr>
            <w:r>
              <w:rPr>
                <w:sz w:val="24"/>
                <w:szCs w:val="24"/>
              </w:rPr>
              <w:t>45.02%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07" w:type="dxa"/>
            <w:vMerge w:val="restart"/>
            <w:tcBorders>
              <w:bottom w:val="nil"/>
            </w:tcBorders>
            <w:noWrap w:val="0"/>
            <w:textDirection w:val="tbRlV"/>
            <w:vAlign w:val="top"/>
          </w:tcPr>
          <w:p>
            <w:pPr>
              <w:pStyle w:val="6"/>
              <w:spacing w:before="123" w:line="240" w:lineRule="auto"/>
              <w:ind w:left="112"/>
              <w:rPr>
                <w:sz w:val="24"/>
                <w:szCs w:val="24"/>
              </w:rPr>
            </w:pPr>
            <w:r>
              <w:rPr>
                <w:spacing w:val="15"/>
                <w:sz w:val="24"/>
                <w:szCs w:val="24"/>
              </w:rPr>
              <w:t>其</w:t>
            </w:r>
            <w:r>
              <w:rPr>
                <w:spacing w:val="7"/>
                <w:sz w:val="24"/>
                <w:szCs w:val="24"/>
              </w:rPr>
              <w:t xml:space="preserve">  </w:t>
            </w:r>
            <w:r>
              <w:rPr>
                <w:spacing w:val="15"/>
                <w:sz w:val="24"/>
                <w:szCs w:val="24"/>
              </w:rPr>
              <w:t>中</w:t>
            </w:r>
          </w:p>
        </w:tc>
        <w:tc>
          <w:tcPr>
            <w:tcW w:w="868" w:type="dxa"/>
            <w:noWrap w:val="0"/>
            <w:vAlign w:val="top"/>
          </w:tcPr>
          <w:p>
            <w:pPr>
              <w:pStyle w:val="6"/>
              <w:spacing w:before="117" w:line="240" w:lineRule="auto"/>
              <w:ind w:left="265"/>
              <w:rPr>
                <w:sz w:val="24"/>
                <w:szCs w:val="24"/>
              </w:rPr>
            </w:pPr>
            <w:r>
              <w:rPr>
                <w:spacing w:val="-2"/>
                <w:sz w:val="24"/>
                <w:szCs w:val="24"/>
              </w:rPr>
              <w:t>0701</w:t>
            </w:r>
          </w:p>
        </w:tc>
        <w:tc>
          <w:tcPr>
            <w:tcW w:w="2900" w:type="dxa"/>
            <w:noWrap w:val="0"/>
            <w:vAlign w:val="top"/>
          </w:tcPr>
          <w:p>
            <w:pPr>
              <w:pStyle w:val="6"/>
              <w:spacing w:before="106" w:line="240" w:lineRule="auto"/>
              <w:ind w:left="620"/>
              <w:rPr>
                <w:sz w:val="24"/>
                <w:szCs w:val="24"/>
              </w:rPr>
            </w:pPr>
            <w:r>
              <w:rPr>
                <w:spacing w:val="-1"/>
                <w:sz w:val="24"/>
                <w:szCs w:val="24"/>
              </w:rPr>
              <w:t>城镇住宅用地</w:t>
            </w:r>
          </w:p>
        </w:tc>
        <w:tc>
          <w:tcPr>
            <w:tcW w:w="2272" w:type="dxa"/>
            <w:noWrap w:val="0"/>
            <w:vAlign w:val="top"/>
          </w:tcPr>
          <w:p>
            <w:pPr>
              <w:pStyle w:val="6"/>
              <w:spacing w:before="117" w:line="240" w:lineRule="auto"/>
              <w:ind w:left="769"/>
              <w:rPr>
                <w:sz w:val="24"/>
                <w:szCs w:val="24"/>
              </w:rPr>
            </w:pPr>
            <w:r>
              <w:rPr>
                <w:spacing w:val="-3"/>
                <w:sz w:val="24"/>
                <w:szCs w:val="24"/>
              </w:rPr>
              <w:t>387.06</w:t>
            </w:r>
          </w:p>
        </w:tc>
        <w:tc>
          <w:tcPr>
            <w:tcW w:w="1766" w:type="dxa"/>
            <w:noWrap w:val="0"/>
            <w:vAlign w:val="top"/>
          </w:tcPr>
          <w:p>
            <w:pPr>
              <w:pStyle w:val="6"/>
              <w:spacing w:before="117" w:line="240" w:lineRule="auto"/>
              <w:ind w:left="477"/>
              <w:rPr>
                <w:sz w:val="24"/>
                <w:szCs w:val="24"/>
              </w:rPr>
            </w:pPr>
            <w:r>
              <w:rPr>
                <w:spacing w:val="-3"/>
                <w:sz w:val="24"/>
                <w:szCs w:val="24"/>
              </w:rPr>
              <w:t>34.33%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07" w:type="dxa"/>
            <w:vMerge w:val="continue"/>
            <w:tcBorders>
              <w:top w:val="nil"/>
            </w:tcBorders>
            <w:noWrap w:val="0"/>
            <w:textDirection w:val="tbRlV"/>
            <w:vAlign w:val="top"/>
          </w:tcPr>
          <w:p>
            <w:pPr>
              <w:spacing w:line="240" w:lineRule="auto"/>
              <w:rPr>
                <w:rFonts w:ascii="Arial"/>
                <w:sz w:val="24"/>
                <w:szCs w:val="24"/>
              </w:rPr>
            </w:pPr>
          </w:p>
        </w:tc>
        <w:tc>
          <w:tcPr>
            <w:tcW w:w="868" w:type="dxa"/>
            <w:noWrap w:val="0"/>
            <w:vAlign w:val="top"/>
          </w:tcPr>
          <w:p>
            <w:pPr>
              <w:pStyle w:val="6"/>
              <w:spacing w:before="118" w:line="240" w:lineRule="auto"/>
              <w:ind w:left="265"/>
              <w:rPr>
                <w:sz w:val="24"/>
                <w:szCs w:val="24"/>
              </w:rPr>
            </w:pPr>
            <w:r>
              <w:rPr>
                <w:spacing w:val="-2"/>
                <w:sz w:val="24"/>
                <w:szCs w:val="24"/>
              </w:rPr>
              <w:t>0703</w:t>
            </w:r>
          </w:p>
        </w:tc>
        <w:tc>
          <w:tcPr>
            <w:tcW w:w="2900" w:type="dxa"/>
            <w:noWrap w:val="0"/>
            <w:vAlign w:val="top"/>
          </w:tcPr>
          <w:p>
            <w:pPr>
              <w:pStyle w:val="6"/>
              <w:spacing w:before="108" w:line="240" w:lineRule="auto"/>
              <w:ind w:left="740"/>
              <w:rPr>
                <w:sz w:val="24"/>
                <w:szCs w:val="24"/>
              </w:rPr>
            </w:pPr>
            <w:r>
              <w:rPr>
                <w:spacing w:val="-1"/>
                <w:sz w:val="24"/>
                <w:szCs w:val="24"/>
              </w:rPr>
              <w:t>农村宅基地</w:t>
            </w:r>
          </w:p>
        </w:tc>
        <w:tc>
          <w:tcPr>
            <w:tcW w:w="2272" w:type="dxa"/>
            <w:noWrap w:val="0"/>
            <w:vAlign w:val="top"/>
          </w:tcPr>
          <w:p>
            <w:pPr>
              <w:pStyle w:val="6"/>
              <w:spacing w:before="117" w:line="240" w:lineRule="auto"/>
              <w:ind w:left="777"/>
              <w:rPr>
                <w:sz w:val="24"/>
                <w:szCs w:val="24"/>
              </w:rPr>
            </w:pPr>
            <w:r>
              <w:rPr>
                <w:spacing w:val="-4"/>
                <w:sz w:val="24"/>
                <w:szCs w:val="24"/>
              </w:rPr>
              <w:t>120.53</w:t>
            </w:r>
          </w:p>
        </w:tc>
        <w:tc>
          <w:tcPr>
            <w:tcW w:w="1766" w:type="dxa"/>
            <w:noWrap w:val="0"/>
            <w:vAlign w:val="top"/>
          </w:tcPr>
          <w:p>
            <w:pPr>
              <w:pStyle w:val="6"/>
              <w:spacing w:before="117" w:line="240" w:lineRule="auto"/>
              <w:ind w:left="485"/>
              <w:rPr>
                <w:sz w:val="24"/>
                <w:szCs w:val="24"/>
              </w:rPr>
            </w:pPr>
            <w:r>
              <w:rPr>
                <w:spacing w:val="-4"/>
                <w:sz w:val="24"/>
                <w:szCs w:val="24"/>
              </w:rPr>
              <w:t>10.69%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575" w:type="dxa"/>
            <w:gridSpan w:val="2"/>
            <w:noWrap w:val="0"/>
            <w:vAlign w:val="top"/>
          </w:tcPr>
          <w:p>
            <w:pPr>
              <w:pStyle w:val="6"/>
              <w:spacing w:before="322" w:line="240" w:lineRule="auto"/>
              <w:ind w:left="655"/>
              <w:rPr>
                <w:sz w:val="24"/>
                <w:szCs w:val="24"/>
              </w:rPr>
            </w:pPr>
            <w:r>
              <w:rPr>
                <w:spacing w:val="-3"/>
                <w:sz w:val="24"/>
                <w:szCs w:val="24"/>
              </w:rPr>
              <w:t>08</w:t>
            </w:r>
          </w:p>
        </w:tc>
        <w:tc>
          <w:tcPr>
            <w:tcW w:w="2900" w:type="dxa"/>
            <w:noWrap w:val="0"/>
            <w:vAlign w:val="top"/>
          </w:tcPr>
          <w:p>
            <w:pPr>
              <w:pStyle w:val="6"/>
              <w:spacing w:before="106" w:line="240" w:lineRule="auto"/>
              <w:ind w:left="979" w:right="141" w:hanging="839"/>
              <w:rPr>
                <w:sz w:val="24"/>
                <w:szCs w:val="24"/>
              </w:rPr>
            </w:pPr>
            <w:r>
              <w:rPr>
                <w:spacing w:val="-1"/>
                <w:sz w:val="24"/>
                <w:szCs w:val="24"/>
              </w:rPr>
              <w:t>公共管理和公共服务设</w:t>
            </w:r>
            <w:r>
              <w:rPr>
                <w:spacing w:val="6"/>
                <w:sz w:val="24"/>
                <w:szCs w:val="24"/>
              </w:rPr>
              <w:t xml:space="preserve"> </w:t>
            </w:r>
            <w:r>
              <w:rPr>
                <w:spacing w:val="-1"/>
                <w:sz w:val="24"/>
                <w:szCs w:val="24"/>
              </w:rPr>
              <w:t>施用地</w:t>
            </w:r>
          </w:p>
        </w:tc>
        <w:tc>
          <w:tcPr>
            <w:tcW w:w="2272" w:type="dxa"/>
            <w:noWrap w:val="0"/>
            <w:vAlign w:val="top"/>
          </w:tcPr>
          <w:p>
            <w:pPr>
              <w:pStyle w:val="6"/>
              <w:spacing w:before="322" w:line="240" w:lineRule="auto"/>
              <w:ind w:left="777"/>
              <w:rPr>
                <w:sz w:val="24"/>
                <w:szCs w:val="24"/>
              </w:rPr>
            </w:pPr>
            <w:r>
              <w:rPr>
                <w:spacing w:val="-4"/>
                <w:sz w:val="24"/>
                <w:szCs w:val="24"/>
              </w:rPr>
              <w:t>133.70</w:t>
            </w:r>
          </w:p>
        </w:tc>
        <w:tc>
          <w:tcPr>
            <w:tcW w:w="1766" w:type="dxa"/>
            <w:noWrap w:val="0"/>
            <w:vAlign w:val="top"/>
          </w:tcPr>
          <w:p>
            <w:pPr>
              <w:pStyle w:val="6"/>
              <w:spacing w:before="322" w:line="240" w:lineRule="auto"/>
              <w:ind w:left="485"/>
              <w:rPr>
                <w:sz w:val="24"/>
                <w:szCs w:val="24"/>
              </w:rPr>
            </w:pPr>
            <w:r>
              <w:rPr>
                <w:spacing w:val="-4"/>
                <w:sz w:val="24"/>
                <w:szCs w:val="24"/>
              </w:rPr>
              <w:t>11.86%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18" w:line="240" w:lineRule="auto"/>
              <w:ind w:left="655"/>
              <w:rPr>
                <w:sz w:val="24"/>
                <w:szCs w:val="24"/>
              </w:rPr>
            </w:pPr>
            <w:r>
              <w:rPr>
                <w:spacing w:val="-3"/>
                <w:sz w:val="24"/>
                <w:szCs w:val="24"/>
              </w:rPr>
              <w:t>09</w:t>
            </w:r>
          </w:p>
        </w:tc>
        <w:tc>
          <w:tcPr>
            <w:tcW w:w="2900" w:type="dxa"/>
            <w:noWrap w:val="0"/>
            <w:vAlign w:val="top"/>
          </w:tcPr>
          <w:p>
            <w:pPr>
              <w:pStyle w:val="6"/>
              <w:spacing w:before="108" w:line="240" w:lineRule="auto"/>
              <w:ind w:left="263"/>
              <w:rPr>
                <w:sz w:val="24"/>
                <w:szCs w:val="24"/>
              </w:rPr>
            </w:pPr>
            <w:r>
              <w:rPr>
                <w:spacing w:val="-1"/>
                <w:sz w:val="24"/>
                <w:szCs w:val="24"/>
              </w:rPr>
              <w:t>商业服务业设施用地</w:t>
            </w:r>
          </w:p>
        </w:tc>
        <w:tc>
          <w:tcPr>
            <w:tcW w:w="2272" w:type="dxa"/>
            <w:noWrap w:val="0"/>
            <w:vAlign w:val="top"/>
          </w:tcPr>
          <w:p>
            <w:pPr>
              <w:pStyle w:val="6"/>
              <w:spacing w:before="118" w:line="240" w:lineRule="auto"/>
              <w:ind w:left="777"/>
              <w:rPr>
                <w:sz w:val="24"/>
                <w:szCs w:val="24"/>
              </w:rPr>
            </w:pPr>
            <w:r>
              <w:rPr>
                <w:spacing w:val="-4"/>
                <w:sz w:val="24"/>
                <w:szCs w:val="24"/>
              </w:rPr>
              <w:t>117.73</w:t>
            </w:r>
          </w:p>
        </w:tc>
        <w:tc>
          <w:tcPr>
            <w:tcW w:w="1766" w:type="dxa"/>
            <w:noWrap w:val="0"/>
            <w:vAlign w:val="top"/>
          </w:tcPr>
          <w:p>
            <w:pPr>
              <w:pStyle w:val="6"/>
              <w:spacing w:before="118" w:line="240" w:lineRule="auto"/>
              <w:ind w:left="485"/>
              <w:rPr>
                <w:sz w:val="24"/>
                <w:szCs w:val="24"/>
              </w:rPr>
            </w:pPr>
            <w:r>
              <w:rPr>
                <w:spacing w:val="-4"/>
                <w:sz w:val="24"/>
                <w:szCs w:val="24"/>
              </w:rPr>
              <w:t>10.44%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575" w:type="dxa"/>
            <w:gridSpan w:val="2"/>
            <w:noWrap w:val="0"/>
            <w:vAlign w:val="top"/>
          </w:tcPr>
          <w:p>
            <w:pPr>
              <w:pStyle w:val="6"/>
              <w:spacing w:before="116" w:line="240" w:lineRule="auto"/>
              <w:ind w:left="670"/>
              <w:rPr>
                <w:sz w:val="24"/>
                <w:szCs w:val="24"/>
              </w:rPr>
            </w:pPr>
            <w:r>
              <w:rPr>
                <w:spacing w:val="-7"/>
                <w:sz w:val="24"/>
                <w:szCs w:val="24"/>
              </w:rPr>
              <w:t>10</w:t>
            </w:r>
          </w:p>
        </w:tc>
        <w:tc>
          <w:tcPr>
            <w:tcW w:w="2900" w:type="dxa"/>
            <w:noWrap w:val="0"/>
            <w:vAlign w:val="top"/>
          </w:tcPr>
          <w:p>
            <w:pPr>
              <w:pStyle w:val="6"/>
              <w:spacing w:before="107" w:line="240" w:lineRule="auto"/>
              <w:ind w:left="865"/>
              <w:rPr>
                <w:sz w:val="24"/>
                <w:szCs w:val="24"/>
              </w:rPr>
            </w:pPr>
            <w:r>
              <w:rPr>
                <w:spacing w:val="-2"/>
                <w:sz w:val="24"/>
                <w:szCs w:val="24"/>
              </w:rPr>
              <w:t>工矿用地</w:t>
            </w:r>
          </w:p>
        </w:tc>
        <w:tc>
          <w:tcPr>
            <w:tcW w:w="2272" w:type="dxa"/>
            <w:noWrap w:val="0"/>
            <w:vAlign w:val="top"/>
          </w:tcPr>
          <w:p>
            <w:pPr>
              <w:pStyle w:val="6"/>
              <w:spacing w:before="117" w:line="240" w:lineRule="auto"/>
              <w:ind w:left="914"/>
              <w:rPr>
                <w:sz w:val="24"/>
                <w:szCs w:val="24"/>
              </w:rPr>
            </w:pPr>
            <w:r>
              <w:rPr>
                <w:spacing w:val="-5"/>
                <w:sz w:val="24"/>
                <w:szCs w:val="24"/>
              </w:rPr>
              <w:t>5.43</w:t>
            </w:r>
          </w:p>
        </w:tc>
        <w:tc>
          <w:tcPr>
            <w:tcW w:w="1766" w:type="dxa"/>
            <w:noWrap w:val="0"/>
            <w:vAlign w:val="top"/>
          </w:tcPr>
          <w:p>
            <w:pPr>
              <w:pStyle w:val="6"/>
              <w:spacing w:before="117" w:line="240" w:lineRule="auto"/>
              <w:ind w:left="542"/>
              <w:rPr>
                <w:sz w:val="24"/>
                <w:szCs w:val="24"/>
              </w:rPr>
            </w:pPr>
            <w:r>
              <w:rPr>
                <w:spacing w:val="-2"/>
                <w:sz w:val="24"/>
                <w:szCs w:val="24"/>
              </w:rPr>
              <w:t>0.48%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18" w:line="240" w:lineRule="auto"/>
              <w:ind w:left="670"/>
              <w:rPr>
                <w:sz w:val="24"/>
                <w:szCs w:val="24"/>
              </w:rPr>
            </w:pPr>
            <w:r>
              <w:rPr>
                <w:spacing w:val="-7"/>
                <w:sz w:val="24"/>
                <w:szCs w:val="24"/>
              </w:rPr>
              <w:t>11</w:t>
            </w:r>
          </w:p>
        </w:tc>
        <w:tc>
          <w:tcPr>
            <w:tcW w:w="2900" w:type="dxa"/>
            <w:noWrap w:val="0"/>
            <w:vAlign w:val="top"/>
          </w:tcPr>
          <w:p>
            <w:pPr>
              <w:pStyle w:val="6"/>
              <w:spacing w:before="108" w:line="240" w:lineRule="auto"/>
              <w:ind w:left="860"/>
              <w:rPr>
                <w:sz w:val="24"/>
                <w:szCs w:val="24"/>
              </w:rPr>
            </w:pPr>
            <w:r>
              <w:rPr>
                <w:spacing w:val="-1"/>
                <w:sz w:val="24"/>
                <w:szCs w:val="24"/>
              </w:rPr>
              <w:t>仓储用地</w:t>
            </w:r>
          </w:p>
        </w:tc>
        <w:tc>
          <w:tcPr>
            <w:tcW w:w="2272" w:type="dxa"/>
            <w:noWrap w:val="0"/>
            <w:vAlign w:val="top"/>
          </w:tcPr>
          <w:p>
            <w:pPr>
              <w:pStyle w:val="6"/>
              <w:spacing w:before="118" w:line="240" w:lineRule="auto"/>
              <w:ind w:left="907"/>
              <w:rPr>
                <w:sz w:val="24"/>
                <w:szCs w:val="24"/>
              </w:rPr>
            </w:pPr>
            <w:r>
              <w:rPr>
                <w:spacing w:val="-4"/>
                <w:sz w:val="24"/>
                <w:szCs w:val="24"/>
              </w:rPr>
              <w:t>2.22</w:t>
            </w:r>
          </w:p>
        </w:tc>
        <w:tc>
          <w:tcPr>
            <w:tcW w:w="1766" w:type="dxa"/>
            <w:noWrap w:val="0"/>
            <w:vAlign w:val="top"/>
          </w:tcPr>
          <w:p>
            <w:pPr>
              <w:pStyle w:val="6"/>
              <w:spacing w:before="118" w:line="240" w:lineRule="auto"/>
              <w:ind w:left="542"/>
              <w:rPr>
                <w:sz w:val="24"/>
                <w:szCs w:val="24"/>
              </w:rPr>
            </w:pPr>
            <w:r>
              <w:rPr>
                <w:spacing w:val="-2"/>
                <w:sz w:val="24"/>
                <w:szCs w:val="24"/>
              </w:rPr>
              <w:t>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18" w:line="240" w:lineRule="auto"/>
              <w:ind w:left="670"/>
              <w:rPr>
                <w:sz w:val="24"/>
                <w:szCs w:val="24"/>
              </w:rPr>
            </w:pPr>
            <w:r>
              <w:rPr>
                <w:spacing w:val="-7"/>
                <w:sz w:val="24"/>
                <w:szCs w:val="24"/>
              </w:rPr>
              <w:t>12</w:t>
            </w:r>
          </w:p>
        </w:tc>
        <w:tc>
          <w:tcPr>
            <w:tcW w:w="2900" w:type="dxa"/>
            <w:noWrap w:val="0"/>
            <w:vAlign w:val="top"/>
          </w:tcPr>
          <w:p>
            <w:pPr>
              <w:pStyle w:val="6"/>
              <w:spacing w:before="110" w:line="240" w:lineRule="auto"/>
              <w:ind w:left="623"/>
              <w:rPr>
                <w:sz w:val="24"/>
                <w:szCs w:val="24"/>
              </w:rPr>
            </w:pPr>
            <w:r>
              <w:rPr>
                <w:spacing w:val="-1"/>
                <w:sz w:val="24"/>
                <w:szCs w:val="24"/>
              </w:rPr>
              <w:t>交通运输用地</w:t>
            </w:r>
          </w:p>
        </w:tc>
        <w:tc>
          <w:tcPr>
            <w:tcW w:w="2272" w:type="dxa"/>
            <w:noWrap w:val="0"/>
            <w:vAlign w:val="top"/>
          </w:tcPr>
          <w:p>
            <w:pPr>
              <w:pStyle w:val="6"/>
              <w:spacing w:before="118" w:line="240" w:lineRule="auto"/>
              <w:ind w:left="777"/>
              <w:rPr>
                <w:sz w:val="24"/>
                <w:szCs w:val="24"/>
              </w:rPr>
            </w:pPr>
            <w:r>
              <w:rPr>
                <w:spacing w:val="-4"/>
                <w:sz w:val="24"/>
                <w:szCs w:val="24"/>
              </w:rPr>
              <w:t>111.18</w:t>
            </w:r>
          </w:p>
        </w:tc>
        <w:tc>
          <w:tcPr>
            <w:tcW w:w="1766" w:type="dxa"/>
            <w:noWrap w:val="0"/>
            <w:vAlign w:val="top"/>
          </w:tcPr>
          <w:p>
            <w:pPr>
              <w:pStyle w:val="6"/>
              <w:spacing w:before="120" w:line="240" w:lineRule="auto"/>
              <w:ind w:left="544"/>
              <w:rPr>
                <w:sz w:val="24"/>
                <w:szCs w:val="24"/>
              </w:rPr>
            </w:pPr>
            <w:r>
              <w:rPr>
                <w:spacing w:val="-2"/>
                <w:sz w:val="24"/>
                <w:szCs w:val="24"/>
              </w:rPr>
              <w:t>9.86%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75" w:type="dxa"/>
            <w:gridSpan w:val="2"/>
            <w:noWrap w:val="0"/>
            <w:vAlign w:val="top"/>
          </w:tcPr>
          <w:p>
            <w:pPr>
              <w:pStyle w:val="6"/>
              <w:spacing w:before="116" w:line="240" w:lineRule="auto"/>
              <w:ind w:left="670"/>
              <w:rPr>
                <w:sz w:val="24"/>
                <w:szCs w:val="24"/>
              </w:rPr>
            </w:pPr>
            <w:r>
              <w:rPr>
                <w:spacing w:val="-7"/>
                <w:sz w:val="24"/>
                <w:szCs w:val="24"/>
              </w:rPr>
              <w:t>13</w:t>
            </w:r>
          </w:p>
        </w:tc>
        <w:tc>
          <w:tcPr>
            <w:tcW w:w="2900" w:type="dxa"/>
            <w:noWrap w:val="0"/>
            <w:vAlign w:val="top"/>
          </w:tcPr>
          <w:p>
            <w:pPr>
              <w:pStyle w:val="6"/>
              <w:spacing w:before="108" w:line="240" w:lineRule="auto"/>
              <w:ind w:left="621"/>
              <w:rPr>
                <w:sz w:val="24"/>
                <w:szCs w:val="24"/>
              </w:rPr>
            </w:pPr>
            <w:r>
              <w:rPr>
                <w:spacing w:val="-1"/>
                <w:sz w:val="24"/>
                <w:szCs w:val="24"/>
              </w:rPr>
              <w:t>公用设施用地</w:t>
            </w:r>
          </w:p>
        </w:tc>
        <w:tc>
          <w:tcPr>
            <w:tcW w:w="2272" w:type="dxa"/>
            <w:noWrap w:val="0"/>
            <w:vAlign w:val="top"/>
          </w:tcPr>
          <w:p>
            <w:pPr>
              <w:pStyle w:val="6"/>
              <w:spacing w:before="116" w:line="240" w:lineRule="auto"/>
              <w:ind w:left="914"/>
              <w:rPr>
                <w:sz w:val="24"/>
                <w:szCs w:val="24"/>
              </w:rPr>
            </w:pPr>
            <w:r>
              <w:rPr>
                <w:spacing w:val="-5"/>
                <w:sz w:val="24"/>
                <w:szCs w:val="24"/>
              </w:rPr>
              <w:t>5.41</w:t>
            </w:r>
          </w:p>
        </w:tc>
        <w:tc>
          <w:tcPr>
            <w:tcW w:w="1766" w:type="dxa"/>
            <w:noWrap w:val="0"/>
            <w:vAlign w:val="top"/>
          </w:tcPr>
          <w:p>
            <w:pPr>
              <w:pStyle w:val="6"/>
              <w:spacing w:before="118" w:line="240" w:lineRule="auto"/>
              <w:ind w:left="542"/>
              <w:rPr>
                <w:sz w:val="24"/>
                <w:szCs w:val="24"/>
              </w:rPr>
            </w:pPr>
            <w:r>
              <w:rPr>
                <w:spacing w:val="-2"/>
                <w:sz w:val="24"/>
                <w:szCs w:val="24"/>
              </w:rPr>
              <w:t>0.48%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18" w:line="240" w:lineRule="auto"/>
              <w:ind w:left="670"/>
              <w:rPr>
                <w:sz w:val="24"/>
                <w:szCs w:val="24"/>
              </w:rPr>
            </w:pPr>
            <w:r>
              <w:rPr>
                <w:spacing w:val="-7"/>
                <w:sz w:val="24"/>
                <w:szCs w:val="24"/>
              </w:rPr>
              <w:t>14</w:t>
            </w:r>
          </w:p>
        </w:tc>
        <w:tc>
          <w:tcPr>
            <w:tcW w:w="2900" w:type="dxa"/>
            <w:noWrap w:val="0"/>
            <w:vAlign w:val="top"/>
          </w:tcPr>
          <w:p>
            <w:pPr>
              <w:pStyle w:val="6"/>
              <w:spacing w:before="110" w:line="240" w:lineRule="auto"/>
              <w:ind w:left="261"/>
              <w:rPr>
                <w:sz w:val="24"/>
                <w:szCs w:val="24"/>
              </w:rPr>
            </w:pPr>
            <w:r>
              <w:rPr>
                <w:spacing w:val="-1"/>
                <w:sz w:val="24"/>
                <w:szCs w:val="24"/>
              </w:rPr>
              <w:t>绿地与开敞空间用地</w:t>
            </w:r>
          </w:p>
        </w:tc>
        <w:tc>
          <w:tcPr>
            <w:tcW w:w="2272" w:type="dxa"/>
            <w:noWrap w:val="0"/>
            <w:vAlign w:val="top"/>
          </w:tcPr>
          <w:p>
            <w:pPr>
              <w:pStyle w:val="6"/>
              <w:spacing w:before="118" w:line="240" w:lineRule="auto"/>
              <w:ind w:left="849"/>
              <w:rPr>
                <w:sz w:val="24"/>
                <w:szCs w:val="24"/>
              </w:rPr>
            </w:pPr>
            <w:r>
              <w:rPr>
                <w:spacing w:val="-5"/>
                <w:sz w:val="24"/>
                <w:szCs w:val="24"/>
              </w:rPr>
              <w:t>12.60</w:t>
            </w:r>
          </w:p>
        </w:tc>
        <w:tc>
          <w:tcPr>
            <w:tcW w:w="1766" w:type="dxa"/>
            <w:noWrap w:val="0"/>
            <w:vAlign w:val="top"/>
          </w:tcPr>
          <w:p>
            <w:pPr>
              <w:pStyle w:val="6"/>
              <w:spacing w:before="118" w:line="240" w:lineRule="auto"/>
              <w:ind w:left="557"/>
              <w:rPr>
                <w:sz w:val="24"/>
                <w:szCs w:val="24"/>
              </w:rPr>
            </w:pPr>
            <w:r>
              <w:rPr>
                <w:spacing w:val="-5"/>
                <w:sz w:val="24"/>
                <w:szCs w:val="24"/>
              </w:rPr>
              <w:t>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18" w:line="240" w:lineRule="auto"/>
              <w:ind w:left="670"/>
              <w:rPr>
                <w:sz w:val="24"/>
                <w:szCs w:val="24"/>
              </w:rPr>
            </w:pPr>
            <w:r>
              <w:rPr>
                <w:spacing w:val="-7"/>
                <w:sz w:val="24"/>
                <w:szCs w:val="24"/>
              </w:rPr>
              <w:t>15</w:t>
            </w:r>
          </w:p>
        </w:tc>
        <w:tc>
          <w:tcPr>
            <w:tcW w:w="2900" w:type="dxa"/>
            <w:noWrap w:val="0"/>
            <w:vAlign w:val="top"/>
          </w:tcPr>
          <w:p>
            <w:pPr>
              <w:pStyle w:val="6"/>
              <w:spacing w:before="110" w:line="240" w:lineRule="auto"/>
              <w:ind w:left="859"/>
              <w:rPr>
                <w:sz w:val="24"/>
                <w:szCs w:val="24"/>
              </w:rPr>
            </w:pPr>
            <w:r>
              <w:rPr>
                <w:spacing w:val="-1"/>
                <w:sz w:val="24"/>
                <w:szCs w:val="24"/>
              </w:rPr>
              <w:t>特殊用地</w:t>
            </w:r>
          </w:p>
        </w:tc>
        <w:tc>
          <w:tcPr>
            <w:tcW w:w="2272" w:type="dxa"/>
            <w:noWrap w:val="0"/>
            <w:vAlign w:val="top"/>
          </w:tcPr>
          <w:p>
            <w:pPr>
              <w:pStyle w:val="6"/>
              <w:spacing w:before="118" w:line="240" w:lineRule="auto"/>
              <w:ind w:left="849"/>
              <w:rPr>
                <w:sz w:val="24"/>
                <w:szCs w:val="24"/>
              </w:rPr>
            </w:pPr>
            <w:r>
              <w:rPr>
                <w:spacing w:val="-5"/>
                <w:sz w:val="24"/>
                <w:szCs w:val="24"/>
              </w:rPr>
              <w:t>12.60</w:t>
            </w:r>
          </w:p>
        </w:tc>
        <w:tc>
          <w:tcPr>
            <w:tcW w:w="1766" w:type="dxa"/>
            <w:noWrap w:val="0"/>
            <w:vAlign w:val="top"/>
          </w:tcPr>
          <w:p>
            <w:pPr>
              <w:pStyle w:val="6"/>
              <w:spacing w:before="118" w:line="240" w:lineRule="auto"/>
              <w:ind w:left="557"/>
              <w:rPr>
                <w:sz w:val="24"/>
                <w:szCs w:val="24"/>
              </w:rPr>
            </w:pPr>
            <w:r>
              <w:rPr>
                <w:spacing w:val="-5"/>
                <w:sz w:val="24"/>
                <w:szCs w:val="24"/>
              </w:rPr>
              <w:t>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4475" w:type="dxa"/>
            <w:gridSpan w:val="3"/>
            <w:noWrap w:val="0"/>
            <w:vAlign w:val="top"/>
          </w:tcPr>
          <w:p>
            <w:pPr>
              <w:pStyle w:val="6"/>
              <w:spacing w:before="108" w:line="240" w:lineRule="auto"/>
              <w:ind w:left="1412"/>
              <w:rPr>
                <w:sz w:val="24"/>
                <w:szCs w:val="24"/>
              </w:rPr>
            </w:pPr>
            <w:r>
              <w:rPr>
                <w:b/>
                <w:bCs/>
                <w:spacing w:val="-1"/>
                <w:sz w:val="24"/>
                <w:szCs w:val="24"/>
              </w:rPr>
              <w:t>建设用地小计</w:t>
            </w:r>
          </w:p>
        </w:tc>
        <w:tc>
          <w:tcPr>
            <w:tcW w:w="2272" w:type="dxa"/>
            <w:noWrap w:val="0"/>
            <w:vAlign w:val="top"/>
          </w:tcPr>
          <w:p>
            <w:pPr>
              <w:pStyle w:val="6"/>
              <w:spacing w:before="118" w:line="240" w:lineRule="auto"/>
              <w:ind w:left="738"/>
              <w:rPr>
                <w:sz w:val="24"/>
                <w:szCs w:val="24"/>
              </w:rPr>
            </w:pPr>
            <w:r>
              <w:rPr>
                <w:b/>
                <w:bCs/>
                <w:spacing w:val="-2"/>
                <w:sz w:val="24"/>
                <w:szCs w:val="24"/>
              </w:rPr>
              <w:t>908.46</w:t>
            </w:r>
          </w:p>
        </w:tc>
        <w:tc>
          <w:tcPr>
            <w:tcW w:w="1766" w:type="dxa"/>
            <w:noWrap w:val="0"/>
            <w:vAlign w:val="top"/>
          </w:tcPr>
          <w:p>
            <w:pPr>
              <w:pStyle w:val="6"/>
              <w:spacing w:before="118" w:line="240" w:lineRule="auto"/>
              <w:ind w:left="446"/>
              <w:rPr>
                <w:sz w:val="24"/>
                <w:szCs w:val="24"/>
              </w:rPr>
            </w:pPr>
            <w:r>
              <w:rPr>
                <w:b/>
                <w:bCs/>
                <w:spacing w:val="-2"/>
                <w:sz w:val="24"/>
                <w:szCs w:val="24"/>
              </w:rPr>
              <w:t>80.58%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20" w:line="240" w:lineRule="auto"/>
              <w:ind w:left="655"/>
              <w:rPr>
                <w:sz w:val="24"/>
                <w:szCs w:val="24"/>
              </w:rPr>
            </w:pPr>
            <w:r>
              <w:rPr>
                <w:spacing w:val="-3"/>
                <w:sz w:val="24"/>
                <w:szCs w:val="24"/>
              </w:rPr>
              <w:t>01</w:t>
            </w:r>
          </w:p>
        </w:tc>
        <w:tc>
          <w:tcPr>
            <w:tcW w:w="2900" w:type="dxa"/>
            <w:noWrap w:val="0"/>
            <w:vAlign w:val="top"/>
          </w:tcPr>
          <w:p>
            <w:pPr>
              <w:pStyle w:val="6"/>
              <w:spacing w:before="110" w:line="240" w:lineRule="auto"/>
              <w:ind w:left="1101"/>
              <w:rPr>
                <w:sz w:val="24"/>
                <w:szCs w:val="24"/>
              </w:rPr>
            </w:pPr>
            <w:r>
              <w:rPr>
                <w:spacing w:val="-1"/>
                <w:sz w:val="24"/>
                <w:szCs w:val="24"/>
              </w:rPr>
              <w:t>耕地</w:t>
            </w:r>
          </w:p>
        </w:tc>
        <w:tc>
          <w:tcPr>
            <w:tcW w:w="2272" w:type="dxa"/>
            <w:noWrap w:val="0"/>
            <w:vAlign w:val="top"/>
          </w:tcPr>
          <w:p>
            <w:pPr>
              <w:pStyle w:val="6"/>
              <w:spacing w:before="120" w:line="240" w:lineRule="auto"/>
              <w:ind w:left="835"/>
              <w:rPr>
                <w:sz w:val="24"/>
                <w:szCs w:val="24"/>
              </w:rPr>
            </w:pPr>
            <w:r>
              <w:rPr>
                <w:spacing w:val="-2"/>
                <w:sz w:val="24"/>
                <w:szCs w:val="24"/>
              </w:rPr>
              <w:t>83.90</w:t>
            </w:r>
          </w:p>
        </w:tc>
        <w:tc>
          <w:tcPr>
            <w:tcW w:w="1766" w:type="dxa"/>
            <w:noWrap w:val="0"/>
            <w:vAlign w:val="top"/>
          </w:tcPr>
          <w:p>
            <w:pPr>
              <w:pStyle w:val="6"/>
              <w:spacing w:before="120" w:line="240" w:lineRule="auto"/>
              <w:ind w:left="545"/>
              <w:rPr>
                <w:sz w:val="24"/>
                <w:szCs w:val="24"/>
              </w:rPr>
            </w:pPr>
            <w:r>
              <w:rPr>
                <w:spacing w:val="-3"/>
                <w:sz w:val="24"/>
                <w:szCs w:val="24"/>
              </w:rPr>
              <w:t>7.44%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20" w:line="240" w:lineRule="auto"/>
              <w:ind w:left="655"/>
              <w:rPr>
                <w:sz w:val="24"/>
                <w:szCs w:val="24"/>
              </w:rPr>
            </w:pPr>
            <w:r>
              <w:rPr>
                <w:spacing w:val="-3"/>
                <w:sz w:val="24"/>
                <w:szCs w:val="24"/>
              </w:rPr>
              <w:t>02</w:t>
            </w:r>
          </w:p>
        </w:tc>
        <w:tc>
          <w:tcPr>
            <w:tcW w:w="2900" w:type="dxa"/>
            <w:noWrap w:val="0"/>
            <w:vAlign w:val="top"/>
          </w:tcPr>
          <w:p>
            <w:pPr>
              <w:pStyle w:val="6"/>
              <w:spacing w:before="110" w:line="240" w:lineRule="auto"/>
              <w:ind w:left="1115"/>
              <w:rPr>
                <w:sz w:val="24"/>
                <w:szCs w:val="24"/>
              </w:rPr>
            </w:pPr>
            <w:r>
              <w:rPr>
                <w:spacing w:val="-5"/>
                <w:sz w:val="24"/>
                <w:szCs w:val="24"/>
              </w:rPr>
              <w:t>园地</w:t>
            </w:r>
          </w:p>
        </w:tc>
        <w:tc>
          <w:tcPr>
            <w:tcW w:w="2272" w:type="dxa"/>
            <w:noWrap w:val="0"/>
            <w:vAlign w:val="top"/>
          </w:tcPr>
          <w:p>
            <w:pPr>
              <w:pStyle w:val="6"/>
              <w:spacing w:before="120" w:line="240" w:lineRule="auto"/>
              <w:ind w:left="838"/>
              <w:rPr>
                <w:sz w:val="24"/>
                <w:szCs w:val="24"/>
              </w:rPr>
            </w:pPr>
            <w:r>
              <w:rPr>
                <w:spacing w:val="-3"/>
                <w:sz w:val="24"/>
                <w:szCs w:val="24"/>
              </w:rPr>
              <w:t>69.75</w:t>
            </w:r>
          </w:p>
        </w:tc>
        <w:tc>
          <w:tcPr>
            <w:tcW w:w="1766" w:type="dxa"/>
            <w:noWrap w:val="0"/>
            <w:vAlign w:val="top"/>
          </w:tcPr>
          <w:p>
            <w:pPr>
              <w:pStyle w:val="6"/>
              <w:spacing w:before="120" w:line="240" w:lineRule="auto"/>
              <w:ind w:left="546"/>
              <w:rPr>
                <w:sz w:val="24"/>
                <w:szCs w:val="24"/>
              </w:rPr>
            </w:pPr>
            <w:r>
              <w:rPr>
                <w:spacing w:val="-3"/>
                <w:sz w:val="24"/>
                <w:szCs w:val="24"/>
              </w:rPr>
              <w:t>6.19%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575" w:type="dxa"/>
            <w:gridSpan w:val="2"/>
            <w:noWrap w:val="0"/>
            <w:vAlign w:val="top"/>
          </w:tcPr>
          <w:p>
            <w:pPr>
              <w:pStyle w:val="6"/>
              <w:spacing w:before="121" w:line="240" w:lineRule="auto"/>
              <w:ind w:left="655"/>
              <w:rPr>
                <w:sz w:val="24"/>
                <w:szCs w:val="24"/>
              </w:rPr>
            </w:pPr>
            <w:r>
              <w:rPr>
                <w:spacing w:val="-3"/>
                <w:sz w:val="24"/>
                <w:szCs w:val="24"/>
              </w:rPr>
              <w:t>03</w:t>
            </w:r>
          </w:p>
        </w:tc>
        <w:tc>
          <w:tcPr>
            <w:tcW w:w="2900" w:type="dxa"/>
            <w:noWrap w:val="0"/>
            <w:vAlign w:val="top"/>
          </w:tcPr>
          <w:p>
            <w:pPr>
              <w:pStyle w:val="6"/>
              <w:spacing w:before="111" w:line="240" w:lineRule="auto"/>
              <w:ind w:left="1101"/>
              <w:rPr>
                <w:sz w:val="24"/>
                <w:szCs w:val="24"/>
              </w:rPr>
            </w:pPr>
            <w:r>
              <w:rPr>
                <w:spacing w:val="-1"/>
                <w:sz w:val="24"/>
                <w:szCs w:val="24"/>
              </w:rPr>
              <w:t>林地</w:t>
            </w:r>
          </w:p>
        </w:tc>
        <w:tc>
          <w:tcPr>
            <w:tcW w:w="2272" w:type="dxa"/>
            <w:noWrap w:val="0"/>
            <w:vAlign w:val="top"/>
          </w:tcPr>
          <w:p>
            <w:pPr>
              <w:pStyle w:val="6"/>
              <w:spacing w:before="124" w:line="240" w:lineRule="auto"/>
              <w:ind w:left="826"/>
              <w:rPr>
                <w:sz w:val="24"/>
                <w:szCs w:val="24"/>
              </w:rPr>
            </w:pPr>
            <w:r>
              <w:rPr>
                <w:spacing w:val="-1"/>
                <w:sz w:val="24"/>
                <w:szCs w:val="24"/>
              </w:rPr>
              <w:t>47.54</w:t>
            </w:r>
          </w:p>
        </w:tc>
        <w:tc>
          <w:tcPr>
            <w:tcW w:w="1766" w:type="dxa"/>
            <w:noWrap w:val="0"/>
            <w:vAlign w:val="top"/>
          </w:tcPr>
          <w:p>
            <w:pPr>
              <w:pStyle w:val="6"/>
              <w:spacing w:before="121" w:line="240" w:lineRule="auto"/>
              <w:ind w:left="534"/>
              <w:rPr>
                <w:sz w:val="24"/>
                <w:szCs w:val="24"/>
              </w:rPr>
            </w:pPr>
            <w:r>
              <w:rPr>
                <w:spacing w:val="-1"/>
                <w:sz w:val="24"/>
                <w:szCs w:val="24"/>
              </w:rPr>
              <w:t>4.22%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75" w:type="dxa"/>
            <w:gridSpan w:val="2"/>
            <w:noWrap w:val="0"/>
            <w:vAlign w:val="top"/>
          </w:tcPr>
          <w:p>
            <w:pPr>
              <w:pStyle w:val="6"/>
              <w:spacing w:before="118" w:line="240" w:lineRule="auto"/>
              <w:ind w:left="655"/>
              <w:rPr>
                <w:sz w:val="24"/>
                <w:szCs w:val="24"/>
              </w:rPr>
            </w:pPr>
            <w:r>
              <w:rPr>
                <w:spacing w:val="-3"/>
                <w:sz w:val="24"/>
                <w:szCs w:val="24"/>
              </w:rPr>
              <w:t>04</w:t>
            </w:r>
          </w:p>
        </w:tc>
        <w:tc>
          <w:tcPr>
            <w:tcW w:w="2900" w:type="dxa"/>
            <w:noWrap w:val="0"/>
            <w:vAlign w:val="top"/>
          </w:tcPr>
          <w:p>
            <w:pPr>
              <w:pStyle w:val="6"/>
              <w:spacing w:before="108" w:line="240" w:lineRule="auto"/>
              <w:ind w:left="1103"/>
              <w:rPr>
                <w:sz w:val="24"/>
                <w:szCs w:val="24"/>
              </w:rPr>
            </w:pPr>
            <w:r>
              <w:rPr>
                <w:spacing w:val="-2"/>
                <w:sz w:val="24"/>
                <w:szCs w:val="24"/>
              </w:rPr>
              <w:t>草地</w:t>
            </w:r>
          </w:p>
        </w:tc>
        <w:tc>
          <w:tcPr>
            <w:tcW w:w="2272" w:type="dxa"/>
            <w:noWrap w:val="0"/>
            <w:vAlign w:val="top"/>
          </w:tcPr>
          <w:p>
            <w:pPr>
              <w:pStyle w:val="6"/>
              <w:spacing w:before="118" w:line="240" w:lineRule="auto"/>
              <w:ind w:left="904"/>
              <w:rPr>
                <w:sz w:val="24"/>
                <w:szCs w:val="24"/>
              </w:rPr>
            </w:pPr>
            <w:r>
              <w:rPr>
                <w:spacing w:val="-3"/>
                <w:sz w:val="24"/>
                <w:szCs w:val="24"/>
              </w:rPr>
              <w:t>0.64</w:t>
            </w:r>
          </w:p>
        </w:tc>
        <w:tc>
          <w:tcPr>
            <w:tcW w:w="1766" w:type="dxa"/>
            <w:noWrap w:val="0"/>
            <w:vAlign w:val="top"/>
          </w:tcPr>
          <w:p>
            <w:pPr>
              <w:pStyle w:val="6"/>
              <w:spacing w:before="118" w:line="240" w:lineRule="auto"/>
              <w:ind w:left="542"/>
              <w:rPr>
                <w:sz w:val="24"/>
                <w:szCs w:val="24"/>
              </w:rPr>
            </w:pPr>
            <w:r>
              <w:rPr>
                <w:spacing w:val="-2"/>
                <w:sz w:val="24"/>
                <w:szCs w:val="24"/>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22" w:line="240" w:lineRule="auto"/>
              <w:ind w:left="655"/>
              <w:rPr>
                <w:sz w:val="24"/>
                <w:szCs w:val="24"/>
              </w:rPr>
            </w:pPr>
            <w:r>
              <w:rPr>
                <w:spacing w:val="-3"/>
                <w:sz w:val="24"/>
                <w:szCs w:val="24"/>
              </w:rPr>
              <w:t>06</w:t>
            </w:r>
          </w:p>
        </w:tc>
        <w:tc>
          <w:tcPr>
            <w:tcW w:w="2900" w:type="dxa"/>
            <w:noWrap w:val="0"/>
            <w:vAlign w:val="top"/>
          </w:tcPr>
          <w:p>
            <w:pPr>
              <w:pStyle w:val="6"/>
              <w:spacing w:before="111" w:line="240" w:lineRule="auto"/>
              <w:ind w:left="379"/>
              <w:rPr>
                <w:sz w:val="24"/>
                <w:szCs w:val="24"/>
              </w:rPr>
            </w:pPr>
            <w:r>
              <w:rPr>
                <w:spacing w:val="-1"/>
                <w:sz w:val="24"/>
                <w:szCs w:val="24"/>
              </w:rPr>
              <w:t>农业设施建设用地</w:t>
            </w:r>
          </w:p>
        </w:tc>
        <w:tc>
          <w:tcPr>
            <w:tcW w:w="2272" w:type="dxa"/>
            <w:noWrap w:val="0"/>
            <w:vAlign w:val="top"/>
          </w:tcPr>
          <w:p>
            <w:pPr>
              <w:pStyle w:val="6"/>
              <w:spacing w:before="120" w:line="240" w:lineRule="auto"/>
              <w:ind w:left="849"/>
              <w:rPr>
                <w:sz w:val="24"/>
                <w:szCs w:val="24"/>
              </w:rPr>
            </w:pPr>
            <w:r>
              <w:rPr>
                <w:spacing w:val="-5"/>
                <w:sz w:val="24"/>
                <w:szCs w:val="24"/>
              </w:rPr>
              <w:t>10.55</w:t>
            </w:r>
          </w:p>
        </w:tc>
        <w:tc>
          <w:tcPr>
            <w:tcW w:w="1766" w:type="dxa"/>
            <w:noWrap w:val="0"/>
            <w:vAlign w:val="top"/>
          </w:tcPr>
          <w:p>
            <w:pPr>
              <w:pStyle w:val="6"/>
              <w:spacing w:before="122" w:line="240" w:lineRule="auto"/>
              <w:ind w:left="542"/>
              <w:rPr>
                <w:sz w:val="24"/>
                <w:szCs w:val="24"/>
              </w:rPr>
            </w:pPr>
            <w:r>
              <w:rPr>
                <w:spacing w:val="-2"/>
                <w:sz w:val="24"/>
                <w:szCs w:val="24"/>
              </w:rPr>
              <w:t>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75" w:type="dxa"/>
            <w:gridSpan w:val="2"/>
            <w:noWrap w:val="0"/>
            <w:vAlign w:val="top"/>
          </w:tcPr>
          <w:p>
            <w:pPr>
              <w:pStyle w:val="6"/>
              <w:spacing w:before="120" w:line="240" w:lineRule="auto"/>
              <w:ind w:left="670"/>
              <w:rPr>
                <w:sz w:val="24"/>
                <w:szCs w:val="24"/>
              </w:rPr>
            </w:pPr>
            <w:r>
              <w:rPr>
                <w:spacing w:val="-7"/>
                <w:sz w:val="24"/>
                <w:szCs w:val="24"/>
              </w:rPr>
              <w:t>17</w:t>
            </w:r>
          </w:p>
        </w:tc>
        <w:tc>
          <w:tcPr>
            <w:tcW w:w="2900" w:type="dxa"/>
            <w:noWrap w:val="0"/>
            <w:vAlign w:val="top"/>
          </w:tcPr>
          <w:p>
            <w:pPr>
              <w:pStyle w:val="6"/>
              <w:spacing w:before="111" w:line="240" w:lineRule="auto"/>
              <w:ind w:left="873"/>
              <w:rPr>
                <w:sz w:val="24"/>
                <w:szCs w:val="24"/>
              </w:rPr>
            </w:pPr>
            <w:r>
              <w:rPr>
                <w:spacing w:val="-3"/>
                <w:sz w:val="24"/>
                <w:szCs w:val="24"/>
              </w:rPr>
              <w:t>陆地水域</w:t>
            </w:r>
          </w:p>
        </w:tc>
        <w:tc>
          <w:tcPr>
            <w:tcW w:w="2272" w:type="dxa"/>
            <w:noWrap w:val="0"/>
            <w:vAlign w:val="top"/>
          </w:tcPr>
          <w:p>
            <w:pPr>
              <w:pStyle w:val="6"/>
              <w:spacing w:before="122" w:line="240" w:lineRule="auto"/>
              <w:ind w:left="914"/>
              <w:rPr>
                <w:sz w:val="24"/>
                <w:szCs w:val="24"/>
              </w:rPr>
            </w:pPr>
            <w:r>
              <w:rPr>
                <w:spacing w:val="-5"/>
                <w:sz w:val="24"/>
                <w:szCs w:val="24"/>
              </w:rPr>
              <w:t>5.97</w:t>
            </w:r>
          </w:p>
        </w:tc>
        <w:tc>
          <w:tcPr>
            <w:tcW w:w="1766" w:type="dxa"/>
            <w:noWrap w:val="0"/>
            <w:vAlign w:val="top"/>
          </w:tcPr>
          <w:p>
            <w:pPr>
              <w:pStyle w:val="6"/>
              <w:spacing w:before="122" w:line="240" w:lineRule="auto"/>
              <w:ind w:left="542"/>
              <w:rPr>
                <w:sz w:val="24"/>
                <w:szCs w:val="24"/>
              </w:rPr>
            </w:pPr>
            <w:r>
              <w:rPr>
                <w:spacing w:val="-2"/>
                <w:sz w:val="24"/>
                <w:szCs w:val="24"/>
              </w:rPr>
              <w:t>0.53%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75" w:type="dxa"/>
            <w:gridSpan w:val="2"/>
            <w:noWrap w:val="0"/>
            <w:vAlign w:val="top"/>
          </w:tcPr>
          <w:p>
            <w:pPr>
              <w:pStyle w:val="6"/>
              <w:spacing w:before="120" w:line="240" w:lineRule="auto"/>
              <w:ind w:left="659"/>
              <w:rPr>
                <w:sz w:val="24"/>
                <w:szCs w:val="24"/>
              </w:rPr>
            </w:pPr>
            <w:r>
              <w:rPr>
                <w:spacing w:val="-4"/>
                <w:sz w:val="24"/>
                <w:szCs w:val="24"/>
              </w:rPr>
              <w:t>23</w:t>
            </w:r>
          </w:p>
        </w:tc>
        <w:tc>
          <w:tcPr>
            <w:tcW w:w="2900" w:type="dxa"/>
            <w:noWrap w:val="0"/>
            <w:vAlign w:val="top"/>
          </w:tcPr>
          <w:p>
            <w:pPr>
              <w:pStyle w:val="6"/>
              <w:spacing w:before="109" w:line="240" w:lineRule="auto"/>
              <w:ind w:left="861"/>
              <w:rPr>
                <w:sz w:val="24"/>
                <w:szCs w:val="24"/>
              </w:rPr>
            </w:pPr>
            <w:r>
              <w:rPr>
                <w:spacing w:val="-1"/>
                <w:sz w:val="24"/>
                <w:szCs w:val="24"/>
              </w:rPr>
              <w:t>其他土地</w:t>
            </w:r>
          </w:p>
        </w:tc>
        <w:tc>
          <w:tcPr>
            <w:tcW w:w="2272" w:type="dxa"/>
            <w:noWrap w:val="0"/>
            <w:vAlign w:val="top"/>
          </w:tcPr>
          <w:p>
            <w:pPr>
              <w:pStyle w:val="6"/>
              <w:spacing w:before="120" w:line="240" w:lineRule="auto"/>
              <w:ind w:left="904"/>
              <w:rPr>
                <w:sz w:val="24"/>
                <w:szCs w:val="24"/>
              </w:rPr>
            </w:pPr>
            <w:r>
              <w:rPr>
                <w:spacing w:val="-3"/>
                <w:sz w:val="24"/>
                <w:szCs w:val="24"/>
              </w:rPr>
              <w:t>0.58</w:t>
            </w:r>
          </w:p>
        </w:tc>
        <w:tc>
          <w:tcPr>
            <w:tcW w:w="1766" w:type="dxa"/>
            <w:noWrap w:val="0"/>
            <w:vAlign w:val="top"/>
          </w:tcPr>
          <w:p>
            <w:pPr>
              <w:pStyle w:val="6"/>
              <w:spacing w:before="120" w:line="240" w:lineRule="auto"/>
              <w:ind w:left="542"/>
              <w:rPr>
                <w:sz w:val="24"/>
                <w:szCs w:val="24"/>
              </w:rPr>
            </w:pPr>
            <w:r>
              <w:rPr>
                <w:spacing w:val="-2"/>
                <w:sz w:val="24"/>
                <w:szCs w:val="24"/>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475" w:type="dxa"/>
            <w:gridSpan w:val="3"/>
            <w:noWrap w:val="0"/>
            <w:vAlign w:val="top"/>
          </w:tcPr>
          <w:p>
            <w:pPr>
              <w:pStyle w:val="6"/>
              <w:spacing w:before="111" w:line="240" w:lineRule="auto"/>
              <w:ind w:left="1291"/>
              <w:rPr>
                <w:sz w:val="24"/>
                <w:szCs w:val="24"/>
              </w:rPr>
            </w:pPr>
            <w:r>
              <w:rPr>
                <w:b/>
                <w:bCs/>
                <w:spacing w:val="-1"/>
                <w:sz w:val="24"/>
                <w:szCs w:val="24"/>
              </w:rPr>
              <w:t>非建设用地小计</w:t>
            </w:r>
          </w:p>
        </w:tc>
        <w:tc>
          <w:tcPr>
            <w:tcW w:w="2272" w:type="dxa"/>
            <w:noWrap w:val="0"/>
            <w:vAlign w:val="top"/>
          </w:tcPr>
          <w:p>
            <w:pPr>
              <w:pStyle w:val="6"/>
              <w:spacing w:before="120" w:line="240" w:lineRule="auto"/>
              <w:ind w:left="740"/>
              <w:rPr>
                <w:sz w:val="24"/>
                <w:szCs w:val="24"/>
              </w:rPr>
            </w:pPr>
            <w:r>
              <w:rPr>
                <w:b/>
                <w:bCs/>
                <w:spacing w:val="-2"/>
                <w:sz w:val="24"/>
                <w:szCs w:val="24"/>
              </w:rPr>
              <w:t>218.93</w:t>
            </w:r>
          </w:p>
        </w:tc>
        <w:tc>
          <w:tcPr>
            <w:tcW w:w="1766" w:type="dxa"/>
            <w:noWrap w:val="0"/>
            <w:vAlign w:val="top"/>
          </w:tcPr>
          <w:p>
            <w:pPr>
              <w:pStyle w:val="6"/>
              <w:spacing w:before="120" w:line="240" w:lineRule="auto"/>
              <w:ind w:left="458"/>
              <w:rPr>
                <w:sz w:val="24"/>
                <w:szCs w:val="24"/>
              </w:rPr>
            </w:pPr>
            <w:r>
              <w:rPr>
                <w:b/>
                <w:bCs/>
                <w:spacing w:val="-4"/>
                <w:sz w:val="24"/>
                <w:szCs w:val="24"/>
              </w:rPr>
              <w:t>19.42%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475" w:type="dxa"/>
            <w:gridSpan w:val="3"/>
            <w:noWrap w:val="0"/>
            <w:vAlign w:val="top"/>
          </w:tcPr>
          <w:p>
            <w:pPr>
              <w:pStyle w:val="6"/>
              <w:spacing w:before="111" w:line="240" w:lineRule="auto"/>
              <w:ind w:left="1891"/>
              <w:rPr>
                <w:sz w:val="24"/>
                <w:szCs w:val="24"/>
              </w:rPr>
            </w:pPr>
            <w:r>
              <w:rPr>
                <w:b/>
                <w:bCs/>
                <w:spacing w:val="-1"/>
                <w:sz w:val="24"/>
                <w:szCs w:val="24"/>
              </w:rPr>
              <w:t>合计</w:t>
            </w:r>
          </w:p>
        </w:tc>
        <w:tc>
          <w:tcPr>
            <w:tcW w:w="2272" w:type="dxa"/>
            <w:noWrap w:val="0"/>
            <w:vAlign w:val="top"/>
          </w:tcPr>
          <w:p>
            <w:pPr>
              <w:pStyle w:val="6"/>
              <w:spacing w:before="122" w:line="240" w:lineRule="auto"/>
              <w:ind w:left="860"/>
              <w:rPr>
                <w:sz w:val="24"/>
                <w:szCs w:val="24"/>
              </w:rPr>
            </w:pPr>
            <w:r>
              <w:rPr>
                <w:b/>
                <w:bCs/>
                <w:spacing w:val="-6"/>
                <w:sz w:val="24"/>
                <w:szCs w:val="24"/>
              </w:rPr>
              <w:t>1127</w:t>
            </w:r>
          </w:p>
        </w:tc>
        <w:tc>
          <w:tcPr>
            <w:tcW w:w="1766" w:type="dxa"/>
            <w:noWrap w:val="0"/>
            <w:vAlign w:val="top"/>
          </w:tcPr>
          <w:p>
            <w:pPr>
              <w:pStyle w:val="6"/>
              <w:spacing w:before="122" w:line="240" w:lineRule="auto"/>
              <w:ind w:left="566"/>
              <w:rPr>
                <w:sz w:val="24"/>
                <w:szCs w:val="24"/>
              </w:rPr>
            </w:pPr>
            <w:r>
              <w:rPr>
                <w:b/>
                <w:bCs/>
                <w:spacing w:val="-4"/>
                <w:sz w:val="24"/>
                <w:szCs w:val="24"/>
              </w:rPr>
              <w:t>100%</w:t>
            </w:r>
          </w:p>
        </w:tc>
      </w:tr>
    </w:tbl>
    <w:p>
      <w:pPr>
        <w:spacing w:before="215" w:line="5669" w:lineRule="exact"/>
        <w:ind w:firstLine="14"/>
      </w:pPr>
      <w:r>
        <w:rPr>
          <w:position w:val="-113"/>
        </w:rPr>
        <w:drawing>
          <wp:inline distT="0" distB="0" distL="114300" distR="114300">
            <wp:extent cx="5334000" cy="3599180"/>
            <wp:effectExtent l="0" t="0" r="0" b="1270"/>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7"/>
                    <a:stretch>
                      <a:fillRect/>
                    </a:stretch>
                  </pic:blipFill>
                  <pic:spPr>
                    <a:xfrm>
                      <a:off x="0" y="0"/>
                      <a:ext cx="5334000" cy="3599180"/>
                    </a:xfrm>
                    <a:prstGeom prst="rect">
                      <a:avLst/>
                    </a:prstGeom>
                    <a:noFill/>
                    <a:ln>
                      <a:noFill/>
                    </a:ln>
                  </pic:spPr>
                </pic:pic>
              </a:graphicData>
            </a:graphic>
          </wp:inline>
        </w:drawing>
      </w:r>
    </w:p>
    <w:p>
      <w:pPr>
        <w:spacing w:before="196" w:line="219" w:lineRule="auto"/>
        <w:ind w:left="2181"/>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47"/>
          <w:sz w:val="24"/>
          <w:szCs w:val="24"/>
        </w:rPr>
        <w:t xml:space="preserve"> </w:t>
      </w:r>
      <w:r>
        <w:rPr>
          <w:rFonts w:ascii="黑体" w:hAnsi="黑体" w:eastAsia="黑体" w:cs="黑体"/>
          <w:spacing w:val="-2"/>
          <w:sz w:val="24"/>
          <w:szCs w:val="24"/>
        </w:rPr>
        <w:t>2：陵河南片区国土空间用地用海现状图</w:t>
      </w:r>
    </w:p>
    <w:p>
      <w:pPr>
        <w:spacing w:line="560" w:lineRule="exact"/>
        <w:ind w:firstLine="480" w:firstLineChars="200"/>
        <w:jc w:val="left"/>
        <w:rPr>
          <w:rFonts w:hint="eastAsia" w:ascii="宋体" w:hAnsi="宋体" w:eastAsia="宋体" w:cs="宋体"/>
          <w:color w:val="auto"/>
          <w:sz w:val="24"/>
          <w:szCs w:val="24"/>
          <w:lang w:val="en-US" w:eastAsia="zh-CN"/>
        </w:rPr>
      </w:pPr>
    </w:p>
    <w:p>
      <w:pPr>
        <w:numPr>
          <w:ilvl w:val="0"/>
          <w:numId w:val="2"/>
        </w:numPr>
        <w:spacing w:line="560" w:lineRule="exact"/>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现状公共服务设施情况。</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陵河南片区公共服务设施配套可以满足基本生活需求，部分配套设施建设存在短板：</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中小学。</w:t>
      </w:r>
      <w:r>
        <w:rPr>
          <w:rFonts w:hint="eastAsia" w:ascii="宋体" w:hAnsi="宋体" w:eastAsia="宋体" w:cs="宋体"/>
          <w:color w:val="auto"/>
          <w:sz w:val="24"/>
          <w:szCs w:val="24"/>
        </w:rPr>
        <w:t xml:space="preserve"> 目前，中小学设施在空间分布上存在不均衡现象，导致部分地区服务半径覆盖不足。同时，部分小学存在大额班</w:t>
      </w:r>
      <w:r>
        <w:rPr>
          <w:rFonts w:hint="eastAsia" w:ascii="宋体" w:hAnsi="宋体" w:eastAsia="宋体" w:cs="宋体"/>
          <w:color w:val="auto"/>
          <w:sz w:val="24"/>
          <w:szCs w:val="24"/>
          <w:lang w:val="en-US" w:eastAsia="zh-CN"/>
        </w:rPr>
        <w:t>现</w:t>
      </w:r>
      <w:r>
        <w:rPr>
          <w:rFonts w:hint="eastAsia" w:ascii="宋体" w:hAnsi="宋体" w:eastAsia="宋体" w:cs="宋体"/>
          <w:color w:val="auto"/>
          <w:sz w:val="24"/>
          <w:szCs w:val="24"/>
        </w:rPr>
        <w:t>象，用地紧张，学位需求与供给之间存在缺口。</w:t>
      </w:r>
    </w:p>
    <w:p>
      <w:pPr>
        <w:spacing w:line="350" w:lineRule="auto"/>
        <w:rPr>
          <w:rFonts w:ascii="Arial"/>
          <w:sz w:val="21"/>
        </w:rPr>
      </w:pPr>
    </w:p>
    <w:p>
      <w:pPr>
        <w:spacing w:line="6161" w:lineRule="exact"/>
        <w:ind w:firstLine="10"/>
      </w:pPr>
      <w:r>
        <w:rPr>
          <w:position w:val="-123"/>
        </w:rPr>
        <w:drawing>
          <wp:inline distT="0" distB="0" distL="114300" distR="114300">
            <wp:extent cx="5267325" cy="3912235"/>
            <wp:effectExtent l="0" t="0" r="9525" b="12065"/>
            <wp:docPr id="1" name="图片 3"/>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8"/>
                    <a:stretch>
                      <a:fillRect/>
                    </a:stretch>
                  </pic:blipFill>
                  <pic:spPr>
                    <a:xfrm>
                      <a:off x="0" y="0"/>
                      <a:ext cx="5267325" cy="3912235"/>
                    </a:xfrm>
                    <a:prstGeom prst="rect">
                      <a:avLst/>
                    </a:prstGeom>
                    <a:noFill/>
                    <a:ln>
                      <a:noFill/>
                    </a:ln>
                  </pic:spPr>
                </pic:pic>
              </a:graphicData>
            </a:graphic>
          </wp:inline>
        </w:drawing>
      </w:r>
    </w:p>
    <w:p>
      <w:pPr>
        <w:spacing w:before="221" w:line="219" w:lineRule="auto"/>
        <w:ind w:left="536"/>
        <w:rPr>
          <w:rFonts w:ascii="黑体" w:hAnsi="黑体" w:eastAsia="黑体" w:cs="黑体"/>
          <w:sz w:val="21"/>
          <w:szCs w:val="21"/>
        </w:rPr>
      </w:pPr>
      <w:r>
        <w:rPr>
          <w:rFonts w:ascii="黑体" w:hAnsi="黑体" w:eastAsia="黑体" w:cs="黑体"/>
          <w:spacing w:val="-1"/>
          <w:sz w:val="21"/>
          <w:szCs w:val="21"/>
        </w:rPr>
        <w:t>图</w:t>
      </w:r>
      <w:r>
        <w:rPr>
          <w:rFonts w:ascii="黑体" w:hAnsi="黑体" w:eastAsia="黑体" w:cs="黑体"/>
          <w:spacing w:val="-29"/>
          <w:sz w:val="21"/>
          <w:szCs w:val="21"/>
        </w:rPr>
        <w:t xml:space="preserve"> </w:t>
      </w:r>
      <w:r>
        <w:rPr>
          <w:rFonts w:ascii="黑体" w:hAnsi="黑体" w:eastAsia="黑体" w:cs="黑体"/>
          <w:spacing w:val="-1"/>
          <w:sz w:val="21"/>
          <w:szCs w:val="21"/>
        </w:rPr>
        <w:t>3：陵河南片区现状中小学、幼儿园、医疗设施、社会福利设施及文体设施分布图</w:t>
      </w:r>
    </w:p>
    <w:p>
      <w:pPr>
        <w:pStyle w:val="3"/>
        <w:keepNext w:val="0"/>
        <w:keepLines w:val="0"/>
        <w:pageBreakBefore w:val="0"/>
        <w:widowControl w:val="0"/>
        <w:numPr>
          <w:ilvl w:val="0"/>
          <w:numId w:val="3"/>
        </w:numPr>
        <w:kinsoku/>
        <w:wordWrap/>
        <w:overflowPunct/>
        <w:topLinePunct w:val="0"/>
        <w:autoSpaceDE/>
        <w:autoSpaceDN/>
        <w:bidi w:val="0"/>
        <w:adjustRightInd/>
        <w:snapToGrid w:val="0"/>
        <w:spacing w:line="560" w:lineRule="exact"/>
        <w:ind w:left="0" w:leftChars="0" w:right="0" w:firstLine="486" w:firstLineChars="200"/>
        <w:textAlignment w:val="baseline"/>
        <w:rPr>
          <w:spacing w:val="-17"/>
        </w:rPr>
      </w:pPr>
      <w:r>
        <w:rPr>
          <w:b/>
          <w:bCs/>
          <w:spacing w:val="1"/>
        </w:rPr>
        <w:t>幼儿园。</w:t>
      </w:r>
      <w:r>
        <w:rPr>
          <w:spacing w:val="1"/>
        </w:rPr>
        <w:t>公办幼儿园数量不足，无法满足居民对</w:t>
      </w:r>
      <w:r>
        <w:t xml:space="preserve">优质普惠性 </w:t>
      </w:r>
      <w:r>
        <w:rPr>
          <w:spacing w:val="5"/>
        </w:rPr>
        <w:t>学前教育的需求。公办园在园幼儿数占比未达到省级和县级规划目</w:t>
      </w:r>
      <w:r>
        <w:rPr>
          <w:spacing w:val="-17"/>
        </w:rPr>
        <w:t>标。</w:t>
      </w:r>
    </w:p>
    <w:p>
      <w:pPr>
        <w:pStyle w:val="3"/>
        <w:keepNext w:val="0"/>
        <w:keepLines w:val="0"/>
        <w:pageBreakBefore w:val="0"/>
        <w:widowControl w:val="0"/>
        <w:numPr>
          <w:ilvl w:val="0"/>
          <w:numId w:val="3"/>
        </w:numPr>
        <w:kinsoku/>
        <w:wordWrap/>
        <w:overflowPunct/>
        <w:topLinePunct w:val="0"/>
        <w:autoSpaceDE/>
        <w:autoSpaceDN/>
        <w:bidi w:val="0"/>
        <w:adjustRightInd/>
        <w:snapToGrid w:val="0"/>
        <w:spacing w:line="560" w:lineRule="exact"/>
        <w:ind w:left="0" w:leftChars="0" w:right="0" w:firstLine="414" w:firstLineChars="200"/>
        <w:textAlignment w:val="baseline"/>
        <w:rPr>
          <w:spacing w:val="1"/>
        </w:rPr>
      </w:pPr>
      <w:r>
        <w:rPr>
          <w:rFonts w:hint="eastAsia" w:ascii="宋体" w:hAnsi="宋体" w:eastAsia="宋体" w:cs="宋体"/>
          <w:b/>
          <w:bCs/>
          <w:spacing w:val="-17"/>
          <w:sz w:val="24"/>
          <w:szCs w:val="24"/>
        </w:rPr>
        <w:t>医疗设施。</w:t>
      </w:r>
      <w:r>
        <w:rPr>
          <w:rFonts w:hint="eastAsia"/>
          <w:spacing w:val="1"/>
        </w:rPr>
        <w:t>陵河南片区属于旧城区，人口密集，但配套医疗设施较为陈旧，无法满足居民日益增长的医疗需求。新建的县医院距离人口密集区较远，而近居民点的社区医院及医疗点设施亟待更</w:t>
      </w:r>
      <w:r>
        <w:rPr>
          <w:spacing w:val="1"/>
        </w:rPr>
        <w:t>新。</w:t>
      </w:r>
    </w:p>
    <w:p>
      <w:pPr>
        <w:pStyle w:val="3"/>
        <w:keepNext w:val="0"/>
        <w:keepLines w:val="0"/>
        <w:pageBreakBefore w:val="0"/>
        <w:widowControl w:val="0"/>
        <w:numPr>
          <w:ilvl w:val="0"/>
          <w:numId w:val="3"/>
        </w:numPr>
        <w:kinsoku/>
        <w:wordWrap/>
        <w:overflowPunct/>
        <w:topLinePunct w:val="0"/>
        <w:autoSpaceDE/>
        <w:autoSpaceDN/>
        <w:bidi w:val="0"/>
        <w:adjustRightInd/>
        <w:snapToGrid w:val="0"/>
        <w:spacing w:line="560" w:lineRule="exact"/>
        <w:ind w:left="0" w:leftChars="0" w:right="0" w:firstLine="486" w:firstLineChars="200"/>
        <w:textAlignment w:val="baseline"/>
        <w:rPr>
          <w:spacing w:val="1"/>
        </w:rPr>
      </w:pPr>
      <w:r>
        <w:rPr>
          <w:b/>
          <w:bCs/>
          <w:spacing w:val="1"/>
        </w:rPr>
        <w:t>养老设施。</w:t>
      </w:r>
      <w:r>
        <w:rPr>
          <w:spacing w:val="1"/>
        </w:rPr>
        <w:t>社区养老体系尚不完善，现有养老服务中心的床位数无法满足日益增长的养老需求。</w:t>
      </w:r>
    </w:p>
    <w:p>
      <w:pPr>
        <w:pStyle w:val="3"/>
        <w:keepNext w:val="0"/>
        <w:keepLines w:val="0"/>
        <w:pageBreakBefore w:val="0"/>
        <w:widowControl w:val="0"/>
        <w:numPr>
          <w:ilvl w:val="0"/>
          <w:numId w:val="3"/>
        </w:numPr>
        <w:kinsoku/>
        <w:wordWrap/>
        <w:overflowPunct/>
        <w:topLinePunct w:val="0"/>
        <w:autoSpaceDE/>
        <w:autoSpaceDN/>
        <w:bidi w:val="0"/>
        <w:adjustRightInd/>
        <w:snapToGrid w:val="0"/>
        <w:spacing w:line="560" w:lineRule="exact"/>
        <w:ind w:left="0" w:leftChars="0" w:right="0" w:firstLine="486" w:firstLineChars="200"/>
        <w:textAlignment w:val="baseline"/>
        <w:rPr>
          <w:spacing w:val="1"/>
        </w:rPr>
      </w:pPr>
      <w:r>
        <w:rPr>
          <w:b/>
          <w:bCs/>
          <w:spacing w:val="1"/>
        </w:rPr>
        <w:t>文体设施。</w:t>
      </w:r>
      <w:r>
        <w:rPr>
          <w:spacing w:val="1"/>
        </w:rPr>
        <w:t>虽然县级文化设施基本满足居民需求，但基层文化设施仍存在短板，需要进一步完善公共文化服务体系。</w:t>
      </w:r>
    </w:p>
    <w:p>
      <w:pPr>
        <w:pStyle w:val="3"/>
        <w:keepNext w:val="0"/>
        <w:keepLines w:val="0"/>
        <w:pageBreakBefore w:val="0"/>
        <w:widowControl w:val="0"/>
        <w:kinsoku/>
        <w:wordWrap/>
        <w:overflowPunct/>
        <w:topLinePunct w:val="0"/>
        <w:autoSpaceDE/>
        <w:autoSpaceDN/>
        <w:bidi w:val="0"/>
        <w:adjustRightInd w:val="0"/>
        <w:snapToGrid/>
        <w:spacing w:line="560" w:lineRule="exact"/>
        <w:ind w:left="0" w:firstLine="470" w:firstLineChars="200"/>
        <w:jc w:val="left"/>
        <w:textAlignment w:val="baseline"/>
        <w:outlineLvl w:val="9"/>
        <w:rPr>
          <w:b/>
          <w:bCs/>
        </w:rPr>
      </w:pPr>
      <w:r>
        <w:rPr>
          <w:b/>
          <w:bCs/>
          <w:spacing w:val="-3"/>
        </w:rPr>
        <w:t>3.</w:t>
      </w:r>
      <w:r>
        <w:rPr>
          <w:b/>
          <w:bCs/>
          <w:spacing w:val="39"/>
        </w:rPr>
        <w:t xml:space="preserve"> </w:t>
      </w:r>
      <w:r>
        <w:rPr>
          <w:b/>
          <w:bCs/>
          <w:spacing w:val="-3"/>
        </w:rPr>
        <w:t>现状交通情况。</w:t>
      </w:r>
    </w:p>
    <w:p>
      <w:pPr>
        <w:pStyle w:val="3"/>
        <w:keepNext w:val="0"/>
        <w:keepLines w:val="0"/>
        <w:pageBreakBefore w:val="0"/>
        <w:widowControl w:val="0"/>
        <w:kinsoku/>
        <w:wordWrap/>
        <w:overflowPunct/>
        <w:topLinePunct w:val="0"/>
        <w:autoSpaceDE/>
        <w:autoSpaceDN/>
        <w:bidi w:val="0"/>
        <w:adjustRightInd w:val="0"/>
        <w:snapToGrid/>
        <w:spacing w:line="560" w:lineRule="exact"/>
        <w:ind w:left="0" w:firstLine="458" w:firstLineChars="200"/>
        <w:jc w:val="left"/>
        <w:textAlignment w:val="baseline"/>
        <w:outlineLvl w:val="9"/>
      </w:pPr>
      <w:r>
        <w:rPr>
          <w:b/>
          <w:bCs/>
          <w:spacing w:val="-6"/>
        </w:rPr>
        <w:t>1）道路等级偏低与路网结构不合理。</w:t>
      </w:r>
      <w:r>
        <w:rPr>
          <w:spacing w:val="-6"/>
        </w:rPr>
        <w:t xml:space="preserve"> 现状</w:t>
      </w:r>
      <w:r>
        <w:rPr>
          <w:spacing w:val="-7"/>
        </w:rPr>
        <w:t>建成区道路等级偏低，</w:t>
      </w:r>
      <w:r>
        <w:rPr>
          <w:spacing w:val="-4"/>
        </w:rPr>
        <w:t>街坊路约占道路总长的55%，支路以上等级道路网密度仅为</w:t>
      </w:r>
      <w:r>
        <w:rPr>
          <w:spacing w:val="-36"/>
        </w:rPr>
        <w:t xml:space="preserve"> </w:t>
      </w:r>
      <w:r>
        <w:rPr>
          <w:spacing w:val="-4"/>
        </w:rPr>
        <w:t>3.35</w:t>
      </w:r>
      <w:r>
        <w:rPr>
          <w:spacing w:val="-59"/>
        </w:rPr>
        <w:t xml:space="preserve"> </w:t>
      </w:r>
      <w:r>
        <w:rPr>
          <w:spacing w:val="-4"/>
        </w:rPr>
        <w:t>公</w:t>
      </w:r>
      <w:r>
        <w:rPr>
          <w:spacing w:val="-1"/>
        </w:rPr>
        <w:t>里/平方公里，总体路网通行效率偏低。此外路网等级结构不尽合理，主次支比例为</w:t>
      </w:r>
      <w:r>
        <w:rPr>
          <w:spacing w:val="-65"/>
        </w:rPr>
        <w:t xml:space="preserve"> </w:t>
      </w:r>
      <w:r>
        <w:rPr>
          <w:spacing w:val="-1"/>
        </w:rPr>
        <w:t>1:0.45:1.05次、支路缺乏，且断头路居多，分布不</w:t>
      </w:r>
      <w:r>
        <w:rPr>
          <w:spacing w:val="-6"/>
        </w:rPr>
        <w:t>均匀，交通压力过于集中于干路，高峰期干路交通拥</w:t>
      </w:r>
      <w:r>
        <w:rPr>
          <w:spacing w:val="-7"/>
        </w:rPr>
        <w:t>堵。</w:t>
      </w:r>
    </w:p>
    <w:p>
      <w:pPr>
        <w:pStyle w:val="3"/>
        <w:spacing w:before="231" w:line="381" w:lineRule="auto"/>
        <w:ind w:left="20" w:firstLine="583"/>
        <w:jc w:val="both"/>
      </w:pPr>
    </w:p>
    <w:p>
      <w:pPr>
        <w:spacing w:before="152" w:line="6162" w:lineRule="exact"/>
        <w:ind w:firstLine="14"/>
      </w:pPr>
      <w:r>
        <w:rPr>
          <w:position w:val="-123"/>
        </w:rPr>
        <w:drawing>
          <wp:inline distT="0" distB="0" distL="114300" distR="114300">
            <wp:extent cx="5941060" cy="3912870"/>
            <wp:effectExtent l="0" t="0" r="2540" b="11430"/>
            <wp:docPr id="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9"/>
                    <a:stretch>
                      <a:fillRect/>
                    </a:stretch>
                  </pic:blipFill>
                  <pic:spPr>
                    <a:xfrm>
                      <a:off x="0" y="0"/>
                      <a:ext cx="5941060" cy="3912870"/>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right="0" w:rightChars="0"/>
        <w:jc w:val="center"/>
        <w:textAlignment w:val="baseline"/>
        <w:rPr>
          <w:spacing w:val="1"/>
        </w:rPr>
      </w:pPr>
      <w:r>
        <w:rPr>
          <w:rFonts w:ascii="黑体" w:hAnsi="黑体" w:eastAsia="黑体" w:cs="黑体"/>
          <w:spacing w:val="-2"/>
          <w:sz w:val="24"/>
          <w:szCs w:val="24"/>
        </w:rPr>
        <w:t>图</w:t>
      </w:r>
      <w:r>
        <w:rPr>
          <w:rFonts w:ascii="黑体" w:hAnsi="黑体" w:eastAsia="黑体" w:cs="黑体"/>
          <w:spacing w:val="-51"/>
          <w:sz w:val="24"/>
          <w:szCs w:val="24"/>
        </w:rPr>
        <w:t xml:space="preserve"> </w:t>
      </w:r>
      <w:r>
        <w:rPr>
          <w:rFonts w:ascii="黑体" w:hAnsi="黑体" w:eastAsia="黑体" w:cs="黑体"/>
          <w:spacing w:val="-2"/>
          <w:sz w:val="24"/>
          <w:szCs w:val="24"/>
        </w:rPr>
        <w:t>4：陵河南片区现状道路交通分析图</w:t>
      </w:r>
    </w:p>
    <w:p>
      <w:pPr>
        <w:pStyle w:val="3"/>
        <w:spacing w:before="251" w:line="382" w:lineRule="auto"/>
        <w:ind w:left="42" w:right="209" w:firstLine="555"/>
      </w:pPr>
    </w:p>
    <w:p>
      <w:pPr>
        <w:spacing w:line="560" w:lineRule="exact"/>
        <w:jc w:val="left"/>
        <w:rPr>
          <w:rFonts w:hint="eastAsia" w:ascii="宋体" w:hAnsi="宋体" w:eastAsia="宋体" w:cs="宋体"/>
          <w:color w:val="auto"/>
          <w:sz w:val="24"/>
          <w:szCs w:val="24"/>
        </w:rPr>
      </w:pPr>
    </w:p>
    <w:p>
      <w:pPr>
        <w:keepNext w:val="0"/>
        <w:keepLines w:val="0"/>
        <w:pageBreakBefore w:val="0"/>
        <w:widowControl w:val="0"/>
        <w:numPr>
          <w:ilvl w:val="0"/>
          <w:numId w:val="4"/>
        </w:numPr>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配建停车不足与占路停车普遍。</w:t>
      </w:r>
      <w:r>
        <w:rPr>
          <w:rFonts w:hint="eastAsia" w:ascii="宋体" w:hAnsi="宋体" w:eastAsia="宋体" w:cs="宋体"/>
          <w:color w:val="auto"/>
          <w:sz w:val="24"/>
          <w:szCs w:val="24"/>
        </w:rPr>
        <w:t>由于停车位的缺乏，占路停车现象十分普遍。这不仅导致了机动车与非机动车的交织，降低 了道路的通行能力，而且还存在较大的安全隐患。在高峰时段，由于占路停车的影响，道路拥堵情况进一步加剧，严重影响了居民的日常出行。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4. 现状市政基础设施情况。</w:t>
      </w:r>
      <w:r>
        <w:rPr>
          <w:rFonts w:hint="eastAsia" w:ascii="宋体" w:hAnsi="宋体" w:eastAsia="宋体" w:cs="宋体"/>
          <w:color w:val="auto"/>
          <w:sz w:val="24"/>
          <w:szCs w:val="24"/>
        </w:rPr>
        <w:t>陵河南片区市政基础设施系统以满足现状基本供应需求为主，安全保障系数偏低，且难以支撑城市近期发展需求。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1）给水排水系统。</w:t>
      </w:r>
      <w:r>
        <w:rPr>
          <w:rFonts w:hint="eastAsia" w:ascii="宋体" w:hAnsi="宋体" w:eastAsia="宋体" w:cs="宋体"/>
          <w:color w:val="auto"/>
          <w:sz w:val="24"/>
          <w:szCs w:val="24"/>
        </w:rPr>
        <w:t>供水方面，现状青山水厂设计供水总规模 5 万吨/日。目前青山水厂已供水紧张，部分管网不健全且老化严重； 污水方面，县城污水处理厂设计规模 1.5 万吨/日，实际处理规模1.83 万吨/日，已超负荷运行；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0" w:firstLineChars="200"/>
        <w:jc w:val="left"/>
        <w:textAlignment w:val="auto"/>
        <w:rPr>
          <w:rFonts w:hint="eastAsia" w:ascii="宋体" w:hAnsi="宋体" w:eastAsia="宋体" w:cs="宋体"/>
          <w:color w:val="auto"/>
          <w:sz w:val="24"/>
          <w:szCs w:val="24"/>
        </w:rPr>
      </w:pPr>
    </w:p>
    <w:p>
      <w:pPr>
        <w:spacing w:before="151" w:line="5745" w:lineRule="exact"/>
        <w:ind w:firstLine="387"/>
      </w:pPr>
      <w:r>
        <w:rPr>
          <w:position w:val="-114"/>
        </w:rPr>
        <w:drawing>
          <wp:inline distT="0" distB="0" distL="114300" distR="114300">
            <wp:extent cx="5573395" cy="3885565"/>
            <wp:effectExtent l="0" t="0" r="8255" b="635"/>
            <wp:docPr id="17" name="图片 5"/>
            <wp:cNvGraphicFramePr/>
            <a:graphic xmlns:a="http://schemas.openxmlformats.org/drawingml/2006/main">
              <a:graphicData uri="http://schemas.openxmlformats.org/drawingml/2006/picture">
                <pic:pic xmlns:pic="http://schemas.openxmlformats.org/drawingml/2006/picture">
                  <pic:nvPicPr>
                    <pic:cNvPr id="17" name="图片 5"/>
                    <pic:cNvPicPr/>
                  </pic:nvPicPr>
                  <pic:blipFill>
                    <a:blip r:embed="rId10"/>
                    <a:stretch>
                      <a:fillRect/>
                    </a:stretch>
                  </pic:blipFill>
                  <pic:spPr>
                    <a:xfrm>
                      <a:off x="0" y="0"/>
                      <a:ext cx="5573395" cy="3885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64" w:firstLineChars="200"/>
        <w:jc w:val="center"/>
        <w:textAlignment w:val="auto"/>
        <w:rPr>
          <w:rFonts w:hint="eastAsia" w:ascii="宋体" w:hAnsi="宋体" w:eastAsia="宋体" w:cs="宋体"/>
          <w:color w:val="auto"/>
          <w:sz w:val="24"/>
          <w:szCs w:val="24"/>
        </w:rPr>
      </w:pPr>
      <w:r>
        <w:rPr>
          <w:rFonts w:ascii="黑体" w:hAnsi="黑体" w:eastAsia="黑体" w:cs="黑体"/>
          <w:spacing w:val="-4"/>
          <w:sz w:val="24"/>
          <w:szCs w:val="24"/>
        </w:rPr>
        <w:t>图</w:t>
      </w:r>
      <w:r>
        <w:rPr>
          <w:rFonts w:ascii="黑体" w:hAnsi="黑体" w:eastAsia="黑体" w:cs="黑体"/>
          <w:spacing w:val="-46"/>
          <w:sz w:val="24"/>
          <w:szCs w:val="24"/>
        </w:rPr>
        <w:t xml:space="preserve"> </w:t>
      </w:r>
      <w:r>
        <w:rPr>
          <w:rFonts w:ascii="黑体" w:hAnsi="黑体" w:eastAsia="黑体" w:cs="黑体"/>
          <w:spacing w:val="-4"/>
          <w:sz w:val="24"/>
          <w:szCs w:val="24"/>
        </w:rPr>
        <w:t>5：城南片现状基础设施分析图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jc w:val="left"/>
        <w:textAlignment w:val="auto"/>
        <w:rPr>
          <w:rFonts w:hint="eastAsia" w:ascii="宋体" w:hAnsi="宋体" w:eastAsia="宋体" w:cs="宋体"/>
          <w:color w:val="auto"/>
          <w:sz w:val="24"/>
          <w:szCs w:val="24"/>
        </w:rPr>
      </w:pPr>
    </w:p>
    <w:p>
      <w:pPr>
        <w:spacing w:line="560" w:lineRule="exact"/>
        <w:ind w:firstLine="560" w:firstLineChars="200"/>
        <w:jc w:val="left"/>
        <w:rPr>
          <w:rFonts w:hint="eastAsia" w:ascii="宋体" w:hAnsi="宋体" w:eastAsia="宋体" w:cs="宋体"/>
          <w:color w:val="auto"/>
          <w:sz w:val="28"/>
          <w:szCs w:val="28"/>
        </w:rPr>
      </w:pPr>
    </w:p>
    <w:p>
      <w:pPr>
        <w:spacing w:line="560" w:lineRule="exact"/>
        <w:jc w:val="left"/>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2）能源供应。</w:t>
      </w:r>
      <w:r>
        <w:rPr>
          <w:rFonts w:hint="eastAsia" w:ascii="宋体" w:hAnsi="宋体" w:eastAsia="宋体" w:cs="宋体"/>
          <w:color w:val="auto"/>
          <w:sz w:val="24"/>
          <w:szCs w:val="24"/>
        </w:rPr>
        <w:t>电力方面，现状由城南和东高岭 2 座 110kV 变电站联合供电，总装机容量 200 兆伏安，基本能满足片区用电需求。燃气方面，管道燃气与液化石油气并存，依靠 1 座 CNG 临时供气站供气，供气安全系数、保障能力较低。</w:t>
      </w:r>
    </w:p>
    <w:p>
      <w:pPr>
        <w:keepNext w:val="0"/>
        <w:keepLines w:val="0"/>
        <w:pageBreakBefore w:val="0"/>
        <w:widowControl w:val="0"/>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5. 现状总结</w:t>
      </w:r>
    </w:p>
    <w:p>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随着陵水陵河南片区人口的增加以及服务需求的日益提升，片区面临着一些迫切的挑战，现状“城中村”现象普遍存在，重点项目难以落地、基层服务设施配套滞后，城区道路不成系统，基础设 施趋于饱和，产业发展亟待升级等问题，离建设陵水综合服务中心的定位与目标还有一定差距。</w:t>
      </w:r>
    </w:p>
    <w:p>
      <w:pPr>
        <w:keepNext w:val="0"/>
        <w:keepLines w:val="0"/>
        <w:pageBreakBefore w:val="0"/>
        <w:widowControl w:val="0"/>
        <w:numPr>
          <w:ilvl w:val="0"/>
          <w:numId w:val="5"/>
        </w:numPr>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上位及现行规划解读</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 上位规划回顾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 《陵水黎族自治县国土空间总体规划(2021—2035 年)》</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1）城区规模。人口规模。中心城区现状人口约 9 万人；规划至 2035 年，中心城区规划常住城镇人口约 15.8 万人。 用地规模。中 心城区现状范围15.18平方千米，现状建设用地面积13.00平方千米。规划至 2035年，中心城区规划范围19.32平方千米，规划建设用地规模控制在15.99 平方千米，新增规模2.99平方千米，人均建设用地面积为 101.20平方米。</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2）总体空间结构。基于城区良好的生态本底，塑造山水田园城 市，整体形成“两轴、三区、多点”的总体格局。两轴：沿椰林干道及国道形成城区南北向城市发展轴；依托陵水河自然景观，规划滨水发展轴。三区：陵河北片区——集交通集散、商务商贸、生活居住等于一体的城市片区；陵河南片区 ——行政综合服务中心、商业商务中心的综合片区；三才片区 —— 田园风情居住片</w:t>
      </w:r>
      <w:r>
        <w:rPr>
          <w:rFonts w:hint="eastAsia" w:ascii="宋体" w:hAnsi="宋体" w:eastAsia="宋体" w:cs="宋体"/>
          <w:b w:val="0"/>
          <w:bCs w:val="0"/>
          <w:color w:val="auto"/>
          <w:sz w:val="24"/>
          <w:szCs w:val="24"/>
          <w:lang w:val="en-US" w:eastAsia="zh-CN"/>
        </w:rPr>
        <w:t>区多点；中心城区内多处重要功能节点</w:t>
      </w:r>
      <w:r>
        <w:rPr>
          <w:rFonts w:hint="eastAsia" w:ascii="宋体" w:hAnsi="宋体" w:eastAsia="宋体" w:cs="宋体"/>
          <w:b w:val="0"/>
          <w:bCs w:val="0"/>
          <w:color w:val="auto"/>
          <w:sz w:val="24"/>
          <w:szCs w:val="24"/>
        </w:rPr>
        <w:t>，包括南门岭生态公园、县人民政府、县文化中心、县体育中心等。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480" w:firstLineChars="200"/>
        <w:jc w:val="left"/>
        <w:textAlignment w:val="auto"/>
        <w:rPr>
          <w:rFonts w:hint="eastAsia" w:ascii="宋体" w:hAnsi="宋体" w:eastAsia="宋体" w:cs="宋体"/>
          <w:b w:val="0"/>
          <w:bCs w:val="0"/>
          <w:color w:val="auto"/>
          <w:sz w:val="24"/>
          <w:szCs w:val="24"/>
        </w:rPr>
      </w:pPr>
    </w:p>
    <w:p>
      <w:pPr>
        <w:spacing w:line="560" w:lineRule="exact"/>
        <w:jc w:val="left"/>
        <w:rPr>
          <w:rFonts w:hint="eastAsia" w:ascii="宋体" w:hAnsi="宋体" w:eastAsia="宋体" w:cs="宋体"/>
          <w:color w:val="auto"/>
          <w:sz w:val="28"/>
          <w:szCs w:val="28"/>
        </w:rPr>
      </w:pPr>
    </w:p>
    <w:p>
      <w:pPr>
        <w:spacing w:before="105" w:line="6162" w:lineRule="exact"/>
      </w:pPr>
      <w:r>
        <w:rPr>
          <w:position w:val="-123"/>
        </w:rPr>
        <w:drawing>
          <wp:inline distT="0" distB="0" distL="114300" distR="114300">
            <wp:extent cx="5855970" cy="3684270"/>
            <wp:effectExtent l="0" t="0" r="11430" b="11430"/>
            <wp:docPr id="4" name="图片 6"/>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11"/>
                    <a:stretch>
                      <a:fillRect/>
                    </a:stretch>
                  </pic:blipFill>
                  <pic:spPr>
                    <a:xfrm>
                      <a:off x="0" y="0"/>
                      <a:ext cx="5855970" cy="3684270"/>
                    </a:xfrm>
                    <a:prstGeom prst="rect">
                      <a:avLst/>
                    </a:prstGeom>
                    <a:noFill/>
                    <a:ln>
                      <a:noFill/>
                    </a:ln>
                  </pic:spPr>
                </pic:pic>
              </a:graphicData>
            </a:graphic>
          </wp:inline>
        </w:drawing>
      </w:r>
    </w:p>
    <w:p>
      <w:pPr>
        <w:spacing w:before="257" w:line="219" w:lineRule="auto"/>
        <w:ind w:left="877"/>
        <w:jc w:val="center"/>
        <w:rPr>
          <w:rFonts w:ascii="黑体" w:hAnsi="黑体" w:eastAsia="黑体" w:cs="黑体"/>
          <w:spacing w:val="-2"/>
          <w:sz w:val="24"/>
          <w:szCs w:val="24"/>
        </w:rPr>
      </w:pPr>
      <w:r>
        <w:rPr>
          <w:rFonts w:ascii="黑体" w:hAnsi="黑体" w:eastAsia="黑体" w:cs="黑体"/>
          <w:spacing w:val="-1"/>
          <w:sz w:val="24"/>
          <w:szCs w:val="24"/>
        </w:rPr>
        <w:t>图</w:t>
      </w:r>
      <w:r>
        <w:rPr>
          <w:rFonts w:ascii="黑体" w:hAnsi="黑体" w:eastAsia="黑体" w:cs="黑体"/>
          <w:spacing w:val="-52"/>
          <w:sz w:val="24"/>
          <w:szCs w:val="24"/>
        </w:rPr>
        <w:t xml:space="preserve"> </w:t>
      </w:r>
      <w:r>
        <w:rPr>
          <w:rFonts w:ascii="黑体" w:hAnsi="黑体" w:eastAsia="黑体" w:cs="黑体"/>
          <w:spacing w:val="-1"/>
          <w:sz w:val="24"/>
          <w:szCs w:val="24"/>
        </w:rPr>
        <w:t>6：陵水国土空间总体规划——中心城区国土空间规</w:t>
      </w:r>
      <w:r>
        <w:rPr>
          <w:rFonts w:ascii="黑体" w:hAnsi="黑体" w:eastAsia="黑体" w:cs="黑体"/>
          <w:spacing w:val="-2"/>
          <w:sz w:val="24"/>
          <w:szCs w:val="24"/>
        </w:rPr>
        <w:t>划分区图</w:t>
      </w:r>
    </w:p>
    <w:p>
      <w:pPr>
        <w:keepNext w:val="0"/>
        <w:keepLines w:val="0"/>
        <w:pageBreakBefore w:val="0"/>
        <w:widowControl w:val="0"/>
        <w:kinsoku/>
        <w:wordWrap/>
        <w:overflowPunct/>
        <w:topLinePunct w:val="0"/>
        <w:bidi w:val="0"/>
        <w:adjustRightInd w:val="0"/>
        <w:snapToGrid/>
        <w:spacing w:line="560" w:lineRule="exact"/>
        <w:ind w:left="0" w:right="0" w:firstLine="458" w:firstLineChars="200"/>
        <w:jc w:val="left"/>
        <w:outlineLvl w:val="9"/>
        <w:rPr>
          <w:rFonts w:hint="eastAsia" w:ascii="宋体" w:hAnsi="宋体" w:eastAsia="宋体" w:cs="宋体"/>
          <w:b/>
          <w:bCs/>
          <w:spacing w:val="-6"/>
          <w:position w:val="16"/>
          <w:sz w:val="24"/>
          <w:szCs w:val="24"/>
        </w:rPr>
      </w:pPr>
    </w:p>
    <w:p>
      <w:pPr>
        <w:keepNext w:val="0"/>
        <w:keepLines w:val="0"/>
        <w:pageBreakBefore w:val="0"/>
        <w:widowControl w:val="0"/>
        <w:kinsoku/>
        <w:wordWrap/>
        <w:overflowPunct/>
        <w:topLinePunct w:val="0"/>
        <w:bidi w:val="0"/>
        <w:adjustRightInd w:val="0"/>
        <w:snapToGrid/>
        <w:spacing w:line="560" w:lineRule="exact"/>
        <w:ind w:left="0" w:right="0" w:firstLine="458" w:firstLineChars="200"/>
        <w:jc w:val="left"/>
        <w:outlineLvl w:val="9"/>
        <w:rPr>
          <w:rFonts w:hint="eastAsia" w:ascii="宋体" w:hAnsi="宋体" w:eastAsia="宋体" w:cs="宋体"/>
          <w:b/>
          <w:bCs/>
          <w:sz w:val="24"/>
          <w:szCs w:val="24"/>
        </w:rPr>
      </w:pPr>
      <w:r>
        <w:rPr>
          <w:rFonts w:hint="eastAsia" w:ascii="宋体" w:hAnsi="宋体" w:eastAsia="宋体" w:cs="宋体"/>
          <w:b/>
          <w:bCs/>
          <w:spacing w:val="-6"/>
          <w:position w:val="16"/>
          <w:sz w:val="24"/>
          <w:szCs w:val="24"/>
        </w:rPr>
        <w:t>(二) 现行控规解读</w:t>
      </w:r>
    </w:p>
    <w:p>
      <w:pPr>
        <w:pStyle w:val="3"/>
        <w:keepNext w:val="0"/>
        <w:keepLines w:val="0"/>
        <w:pageBreakBefore w:val="0"/>
        <w:widowControl w:val="0"/>
        <w:kinsoku/>
        <w:wordWrap/>
        <w:overflowPunct/>
        <w:topLinePunct w:val="0"/>
        <w:bidi w:val="0"/>
        <w:adjustRightInd w:val="0"/>
        <w:snapToGrid/>
        <w:spacing w:line="560" w:lineRule="exact"/>
        <w:ind w:left="0" w:right="0" w:firstLine="446" w:firstLineChars="200"/>
        <w:jc w:val="left"/>
        <w:outlineLvl w:val="9"/>
        <w:rPr>
          <w:rFonts w:hint="eastAsia" w:ascii="宋体" w:hAnsi="宋体" w:eastAsia="宋体" w:cs="宋体"/>
          <w:b/>
          <w:bCs/>
          <w:sz w:val="24"/>
          <w:szCs w:val="24"/>
        </w:rPr>
      </w:pPr>
      <w:r>
        <w:rPr>
          <w:rFonts w:hint="eastAsia" w:ascii="宋体" w:hAnsi="宋体" w:eastAsia="宋体" w:cs="宋体"/>
          <w:b/>
          <w:bCs/>
          <w:spacing w:val="-9"/>
          <w:sz w:val="24"/>
          <w:szCs w:val="24"/>
        </w:rPr>
        <w:t>1.</w:t>
      </w:r>
      <w:r>
        <w:rPr>
          <w:rFonts w:hint="eastAsia" w:ascii="宋体" w:hAnsi="宋体" w:eastAsia="宋体" w:cs="宋体"/>
          <w:b/>
          <w:bCs/>
          <w:spacing w:val="49"/>
          <w:sz w:val="24"/>
          <w:szCs w:val="24"/>
        </w:rPr>
        <w:t xml:space="preserve"> </w:t>
      </w:r>
      <w:r>
        <w:rPr>
          <w:rFonts w:hint="eastAsia" w:ascii="宋体" w:hAnsi="宋体" w:eastAsia="宋体" w:cs="宋体"/>
          <w:b/>
          <w:bCs/>
          <w:spacing w:val="-9"/>
          <w:sz w:val="24"/>
          <w:szCs w:val="24"/>
        </w:rPr>
        <w:t>发展定位</w:t>
      </w:r>
    </w:p>
    <w:p>
      <w:pPr>
        <w:pStyle w:val="3"/>
        <w:keepNext w:val="0"/>
        <w:keepLines w:val="0"/>
        <w:pageBreakBefore w:val="0"/>
        <w:widowControl w:val="0"/>
        <w:kinsoku/>
        <w:wordWrap/>
        <w:overflowPunct/>
        <w:topLinePunct w:val="0"/>
        <w:bidi w:val="0"/>
        <w:adjustRightInd w:val="0"/>
        <w:snapToGrid/>
        <w:spacing w:line="560" w:lineRule="exact"/>
        <w:ind w:left="0" w:right="0" w:firstLine="504" w:firstLineChars="200"/>
        <w:jc w:val="left"/>
        <w:outlineLvl w:val="9"/>
        <w:rPr>
          <w:rFonts w:hint="eastAsia" w:ascii="宋体" w:hAnsi="宋体" w:eastAsia="宋体" w:cs="宋体"/>
          <w:sz w:val="24"/>
          <w:szCs w:val="24"/>
        </w:rPr>
      </w:pPr>
      <w:r>
        <w:rPr>
          <w:rFonts w:hint="eastAsia" w:ascii="宋体" w:hAnsi="宋体" w:eastAsia="宋体" w:cs="宋体"/>
          <w:spacing w:val="6"/>
          <w:sz w:val="24"/>
          <w:szCs w:val="24"/>
        </w:rPr>
        <w:t>县城陵河南片区定位为全县政治、经济和文化中心，集社会服务中心、科研文化产业中心、商业商务服务中心</w:t>
      </w:r>
      <w:r>
        <w:rPr>
          <w:rFonts w:hint="eastAsia" w:ascii="宋体" w:hAnsi="宋体" w:eastAsia="宋体" w:cs="宋体"/>
          <w:spacing w:val="5"/>
          <w:sz w:val="24"/>
          <w:szCs w:val="24"/>
        </w:rPr>
        <w:t>于一体的陵水综合</w:t>
      </w:r>
      <w:r>
        <w:rPr>
          <w:rFonts w:hint="eastAsia" w:ascii="宋体" w:hAnsi="宋体" w:eastAsia="宋体" w:cs="宋体"/>
          <w:spacing w:val="-13"/>
          <w:sz w:val="24"/>
          <w:szCs w:val="24"/>
        </w:rPr>
        <w:t>服务城。</w:t>
      </w:r>
    </w:p>
    <w:p>
      <w:pPr>
        <w:pStyle w:val="3"/>
        <w:keepNext w:val="0"/>
        <w:keepLines w:val="0"/>
        <w:pageBreakBefore w:val="0"/>
        <w:widowControl w:val="0"/>
        <w:kinsoku/>
        <w:wordWrap/>
        <w:overflowPunct/>
        <w:topLinePunct w:val="0"/>
        <w:bidi w:val="0"/>
        <w:adjustRightInd w:val="0"/>
        <w:snapToGrid/>
        <w:spacing w:line="560" w:lineRule="exact"/>
        <w:ind w:left="0" w:right="0" w:firstLine="474" w:firstLineChars="200"/>
        <w:jc w:val="left"/>
        <w:outlineLvl w:val="9"/>
        <w:rPr>
          <w:rFonts w:hint="eastAsia" w:ascii="宋体" w:hAnsi="宋体" w:eastAsia="宋体" w:cs="宋体"/>
          <w:b/>
          <w:bCs/>
          <w:sz w:val="24"/>
          <w:szCs w:val="24"/>
        </w:rPr>
      </w:pPr>
      <w:r>
        <w:rPr>
          <w:rFonts w:hint="eastAsia" w:ascii="宋体" w:hAnsi="宋体" w:eastAsia="宋体" w:cs="宋体"/>
          <w:b/>
          <w:bCs/>
          <w:spacing w:val="-2"/>
          <w:sz w:val="24"/>
          <w:szCs w:val="24"/>
        </w:rPr>
        <w:t>2.</w:t>
      </w:r>
      <w:r>
        <w:rPr>
          <w:rFonts w:hint="eastAsia" w:ascii="宋体" w:hAnsi="宋体" w:eastAsia="宋体" w:cs="宋体"/>
          <w:b/>
          <w:bCs/>
          <w:spacing w:val="38"/>
          <w:sz w:val="24"/>
          <w:szCs w:val="24"/>
        </w:rPr>
        <w:t xml:space="preserve"> </w:t>
      </w:r>
      <w:r>
        <w:rPr>
          <w:rFonts w:hint="eastAsia" w:ascii="宋体" w:hAnsi="宋体" w:eastAsia="宋体" w:cs="宋体"/>
          <w:b/>
          <w:bCs/>
          <w:spacing w:val="-2"/>
          <w:sz w:val="24"/>
          <w:szCs w:val="24"/>
        </w:rPr>
        <w:t>用地布局及控制指标</w:t>
      </w:r>
    </w:p>
    <w:p>
      <w:pPr>
        <w:keepNext w:val="0"/>
        <w:keepLines w:val="0"/>
        <w:pageBreakBefore w:val="0"/>
        <w:widowControl w:val="0"/>
        <w:kinsoku/>
        <w:wordWrap/>
        <w:overflowPunct/>
        <w:topLinePunct w:val="0"/>
        <w:bidi w:val="0"/>
        <w:adjustRightInd w:val="0"/>
        <w:snapToGrid/>
        <w:spacing w:line="560" w:lineRule="exact"/>
        <w:ind w:left="0" w:right="0" w:firstLine="464" w:firstLineChars="200"/>
        <w:jc w:val="left"/>
        <w:outlineLvl w:val="9"/>
        <w:rPr>
          <w:rFonts w:hint="eastAsia" w:ascii="宋体" w:hAnsi="宋体" w:eastAsia="宋体" w:cs="宋体"/>
          <w:spacing w:val="-2"/>
          <w:sz w:val="24"/>
          <w:szCs w:val="24"/>
        </w:rPr>
      </w:pPr>
      <w:r>
        <w:rPr>
          <w:rFonts w:hint="eastAsia" w:ascii="宋体" w:hAnsi="宋体" w:eastAsia="宋体" w:cs="宋体"/>
          <w:spacing w:val="-4"/>
          <w:sz w:val="24"/>
          <w:szCs w:val="24"/>
        </w:rPr>
        <w:t>陵河南片区规划城乡用地面积1745.84 公顷，其中城市建设用</w:t>
      </w:r>
      <w:r>
        <w:rPr>
          <w:rFonts w:hint="eastAsia" w:ascii="宋体" w:hAnsi="宋体" w:eastAsia="宋体" w:cs="宋体"/>
          <w:spacing w:val="-12"/>
          <w:sz w:val="24"/>
          <w:szCs w:val="24"/>
        </w:rPr>
        <w:t>地</w:t>
      </w:r>
      <w:r>
        <w:rPr>
          <w:rFonts w:hint="eastAsia" w:ascii="宋体" w:hAnsi="宋体" w:eastAsia="宋体" w:cs="宋体"/>
          <w:spacing w:val="-34"/>
          <w:sz w:val="24"/>
          <w:szCs w:val="24"/>
        </w:rPr>
        <w:t xml:space="preserve"> </w:t>
      </w:r>
      <w:r>
        <w:rPr>
          <w:rFonts w:hint="eastAsia" w:ascii="宋体" w:hAnsi="宋体" w:eastAsia="宋体" w:cs="宋体"/>
          <w:spacing w:val="-12"/>
          <w:sz w:val="24"/>
          <w:szCs w:val="24"/>
        </w:rPr>
        <w:t>1389.40</w:t>
      </w:r>
      <w:r>
        <w:rPr>
          <w:rFonts w:hint="eastAsia" w:ascii="宋体" w:hAnsi="宋体" w:eastAsia="宋体" w:cs="宋体"/>
          <w:spacing w:val="-54"/>
          <w:sz w:val="24"/>
          <w:szCs w:val="24"/>
        </w:rPr>
        <w:t xml:space="preserve"> </w:t>
      </w:r>
      <w:r>
        <w:rPr>
          <w:rFonts w:hint="eastAsia" w:ascii="宋体" w:hAnsi="宋体" w:eastAsia="宋体" w:cs="宋体"/>
          <w:spacing w:val="-12"/>
          <w:sz w:val="24"/>
          <w:szCs w:val="24"/>
        </w:rPr>
        <w:t>公顷，村庄建设用地</w:t>
      </w:r>
      <w:r>
        <w:rPr>
          <w:rFonts w:hint="eastAsia" w:ascii="宋体" w:hAnsi="宋体" w:eastAsia="宋体" w:cs="宋体"/>
          <w:spacing w:val="-34"/>
          <w:sz w:val="24"/>
          <w:szCs w:val="24"/>
        </w:rPr>
        <w:t xml:space="preserve"> </w:t>
      </w:r>
      <w:r>
        <w:rPr>
          <w:rFonts w:hint="eastAsia" w:ascii="宋体" w:hAnsi="宋体" w:eastAsia="宋体" w:cs="宋体"/>
          <w:spacing w:val="-12"/>
          <w:sz w:val="24"/>
          <w:szCs w:val="24"/>
        </w:rPr>
        <w:t>17.64</w:t>
      </w:r>
      <w:r>
        <w:rPr>
          <w:rFonts w:hint="eastAsia" w:ascii="宋体" w:hAnsi="宋体" w:eastAsia="宋体" w:cs="宋体"/>
          <w:spacing w:val="-52"/>
          <w:sz w:val="24"/>
          <w:szCs w:val="24"/>
        </w:rPr>
        <w:t xml:space="preserve"> </w:t>
      </w:r>
      <w:r>
        <w:rPr>
          <w:rFonts w:hint="eastAsia" w:ascii="宋体" w:hAnsi="宋体" w:eastAsia="宋体" w:cs="宋体"/>
          <w:spacing w:val="-12"/>
          <w:sz w:val="24"/>
          <w:szCs w:val="24"/>
        </w:rPr>
        <w:t>公顷，特殊用地</w:t>
      </w:r>
      <w:r>
        <w:rPr>
          <w:rFonts w:hint="eastAsia" w:ascii="宋体" w:hAnsi="宋体" w:eastAsia="宋体" w:cs="宋体"/>
          <w:spacing w:val="-43"/>
          <w:sz w:val="24"/>
          <w:szCs w:val="24"/>
        </w:rPr>
        <w:t xml:space="preserve"> </w:t>
      </w:r>
      <w:r>
        <w:rPr>
          <w:rFonts w:hint="eastAsia" w:ascii="宋体" w:hAnsi="宋体" w:eastAsia="宋体" w:cs="宋体"/>
          <w:spacing w:val="-12"/>
          <w:sz w:val="24"/>
          <w:szCs w:val="24"/>
        </w:rPr>
        <w:t>2.12</w:t>
      </w:r>
      <w:r>
        <w:rPr>
          <w:rFonts w:hint="eastAsia" w:ascii="宋体" w:hAnsi="宋体" w:eastAsia="宋体" w:cs="宋体"/>
          <w:spacing w:val="-52"/>
          <w:sz w:val="24"/>
          <w:szCs w:val="24"/>
        </w:rPr>
        <w:t xml:space="preserve"> </w:t>
      </w:r>
      <w:r>
        <w:rPr>
          <w:rFonts w:hint="eastAsia" w:ascii="宋体" w:hAnsi="宋体" w:eastAsia="宋体" w:cs="宋体"/>
          <w:spacing w:val="-12"/>
          <w:sz w:val="24"/>
          <w:szCs w:val="24"/>
        </w:rPr>
        <w:t>公顷，</w:t>
      </w:r>
      <w:r>
        <w:rPr>
          <w:rFonts w:hint="eastAsia" w:ascii="宋体" w:hAnsi="宋体" w:eastAsia="宋体" w:cs="宋体"/>
          <w:spacing w:val="-7"/>
          <w:sz w:val="24"/>
          <w:szCs w:val="24"/>
        </w:rPr>
        <w:t>非建设用地</w:t>
      </w:r>
      <w:r>
        <w:rPr>
          <w:rFonts w:hint="eastAsia" w:ascii="宋体" w:hAnsi="宋体" w:eastAsia="宋体" w:cs="宋体"/>
          <w:spacing w:val="-41"/>
          <w:sz w:val="24"/>
          <w:szCs w:val="24"/>
        </w:rPr>
        <w:t xml:space="preserve"> </w:t>
      </w:r>
      <w:r>
        <w:rPr>
          <w:rFonts w:hint="eastAsia" w:ascii="宋体" w:hAnsi="宋体" w:eastAsia="宋体" w:cs="宋体"/>
          <w:spacing w:val="-7"/>
          <w:sz w:val="24"/>
          <w:szCs w:val="24"/>
        </w:rPr>
        <w:t>336.68</w:t>
      </w:r>
      <w:r>
        <w:rPr>
          <w:rFonts w:hint="eastAsia" w:ascii="宋体" w:hAnsi="宋体" w:eastAsia="宋体" w:cs="宋体"/>
          <w:spacing w:val="-61"/>
          <w:sz w:val="24"/>
          <w:szCs w:val="24"/>
        </w:rPr>
        <w:t xml:space="preserve"> </w:t>
      </w:r>
      <w:r>
        <w:rPr>
          <w:rFonts w:hint="eastAsia" w:ascii="宋体" w:hAnsi="宋体" w:eastAsia="宋体" w:cs="宋体"/>
          <w:spacing w:val="-7"/>
          <w:sz w:val="24"/>
          <w:szCs w:val="24"/>
        </w:rPr>
        <w:t>公顷。城市建设用地中，居住用地面积为 476.83 公顷，公共管理与公</w:t>
      </w:r>
      <w:r>
        <w:rPr>
          <w:rFonts w:hint="eastAsia" w:ascii="宋体" w:hAnsi="宋体" w:eastAsia="宋体" w:cs="宋体"/>
          <w:spacing w:val="5"/>
          <w:sz w:val="24"/>
          <w:szCs w:val="24"/>
        </w:rPr>
        <w:t>共服务设施用地面积为201.41公顷，商业服务业设施用地面积为</w:t>
      </w:r>
      <w:r>
        <w:rPr>
          <w:rFonts w:hint="eastAsia" w:ascii="宋体" w:hAnsi="宋体" w:eastAsia="宋体" w:cs="宋体"/>
          <w:spacing w:val="-2"/>
          <w:sz w:val="24"/>
          <w:szCs w:val="24"/>
        </w:rPr>
        <w:t>169.82</w:t>
      </w:r>
      <w:r>
        <w:rPr>
          <w:rFonts w:hint="eastAsia" w:ascii="宋体" w:hAnsi="宋体" w:eastAsia="宋体" w:cs="宋体"/>
          <w:spacing w:val="-67"/>
          <w:sz w:val="24"/>
          <w:szCs w:val="24"/>
        </w:rPr>
        <w:t xml:space="preserve"> </w:t>
      </w:r>
      <w:r>
        <w:rPr>
          <w:rFonts w:hint="eastAsia" w:ascii="宋体" w:hAnsi="宋体" w:eastAsia="宋体" w:cs="宋体"/>
          <w:spacing w:val="-2"/>
          <w:sz w:val="24"/>
          <w:szCs w:val="24"/>
        </w:rPr>
        <w:t>公顷，物流仓储用地面积为 2.04 公顷，道路与交通设施用地 面积为 256.46 公顷，公用设施用地面积为 14.22 公顷，绿地与广场用地面积为 217.78 公顷，留白用地 50.84 公顷。</w:t>
      </w:r>
    </w:p>
    <w:p>
      <w:pPr>
        <w:spacing w:before="151" w:line="5874" w:lineRule="exact"/>
        <w:ind w:firstLine="10"/>
      </w:pPr>
      <w:r>
        <w:rPr>
          <w:position w:val="-117"/>
        </w:rPr>
        <w:drawing>
          <wp:inline distT="0" distB="0" distL="114300" distR="114300">
            <wp:extent cx="5635625" cy="3729990"/>
            <wp:effectExtent l="0" t="0" r="3175" b="3810"/>
            <wp:docPr id="5" name="图片 7"/>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12"/>
                    <a:stretch>
                      <a:fillRect/>
                    </a:stretch>
                  </pic:blipFill>
                  <pic:spPr>
                    <a:xfrm>
                      <a:off x="0" y="0"/>
                      <a:ext cx="5635625" cy="3729990"/>
                    </a:xfrm>
                    <a:prstGeom prst="rect">
                      <a:avLst/>
                    </a:prstGeom>
                    <a:noFill/>
                    <a:ln>
                      <a:noFill/>
                    </a:ln>
                  </pic:spPr>
                </pic:pic>
              </a:graphicData>
            </a:graphic>
          </wp:inline>
        </w:drawing>
      </w:r>
    </w:p>
    <w:p>
      <w:pPr>
        <w:spacing w:before="202" w:line="219" w:lineRule="auto"/>
        <w:jc w:val="center"/>
        <w:rPr>
          <w:rFonts w:ascii="黑体" w:hAnsi="黑体" w:eastAsia="黑体" w:cs="黑体"/>
          <w:sz w:val="24"/>
          <w:szCs w:val="24"/>
        </w:rPr>
      </w:pPr>
      <w:r>
        <w:rPr>
          <w:rFonts w:ascii="黑体" w:hAnsi="黑体" w:eastAsia="黑体" w:cs="黑体"/>
          <w:spacing w:val="-5"/>
          <w:sz w:val="24"/>
          <w:szCs w:val="24"/>
        </w:rPr>
        <w:t>图</w:t>
      </w:r>
      <w:r>
        <w:rPr>
          <w:rFonts w:ascii="黑体" w:hAnsi="黑体" w:eastAsia="黑体" w:cs="黑体"/>
          <w:spacing w:val="-45"/>
          <w:sz w:val="24"/>
          <w:szCs w:val="24"/>
        </w:rPr>
        <w:t xml:space="preserve"> </w:t>
      </w:r>
      <w:r>
        <w:rPr>
          <w:rFonts w:ascii="黑体" w:hAnsi="黑体" w:eastAsia="黑体" w:cs="黑体"/>
          <w:spacing w:val="-5"/>
          <w:sz w:val="24"/>
          <w:szCs w:val="24"/>
        </w:rPr>
        <w:t>7：现行控规用地规划图</w:t>
      </w:r>
    </w:p>
    <w:p>
      <w:pPr>
        <w:keepNext w:val="0"/>
        <w:keepLines w:val="0"/>
        <w:pageBreakBefore w:val="0"/>
        <w:widowControl w:val="0"/>
        <w:kinsoku/>
        <w:wordWrap/>
        <w:overflowPunct/>
        <w:topLinePunct w:val="0"/>
        <w:bidi w:val="0"/>
        <w:adjustRightInd w:val="0"/>
        <w:snapToGrid/>
        <w:spacing w:line="560" w:lineRule="exact"/>
        <w:ind w:left="0" w:right="0" w:firstLine="538" w:firstLineChars="200"/>
        <w:jc w:val="left"/>
        <w:outlineLvl w:val="9"/>
        <w:rPr>
          <w:rFonts w:ascii="黑体" w:hAnsi="黑体" w:eastAsia="黑体" w:cs="黑体"/>
          <w:b/>
          <w:bCs/>
          <w:spacing w:val="-6"/>
          <w:position w:val="16"/>
          <w:sz w:val="28"/>
          <w:szCs w:val="28"/>
        </w:rPr>
      </w:pPr>
    </w:p>
    <w:p>
      <w:pPr>
        <w:keepNext w:val="0"/>
        <w:keepLines w:val="0"/>
        <w:pageBreakBefore w:val="0"/>
        <w:widowControl w:val="0"/>
        <w:kinsoku/>
        <w:wordWrap/>
        <w:overflowPunct/>
        <w:topLinePunct w:val="0"/>
        <w:bidi w:val="0"/>
        <w:adjustRightInd w:val="0"/>
        <w:snapToGrid/>
        <w:spacing w:line="560" w:lineRule="exact"/>
        <w:ind w:left="0" w:right="0" w:firstLine="538" w:firstLineChars="200"/>
        <w:jc w:val="left"/>
        <w:outlineLvl w:val="9"/>
        <w:rPr>
          <w:rFonts w:ascii="黑体" w:hAnsi="黑体" w:eastAsia="黑体" w:cs="黑体"/>
          <w:b/>
          <w:bCs/>
          <w:sz w:val="28"/>
          <w:szCs w:val="28"/>
        </w:rPr>
      </w:pPr>
      <w:r>
        <w:rPr>
          <w:rFonts w:ascii="黑体" w:hAnsi="黑体" w:eastAsia="黑体" w:cs="黑体"/>
          <w:b/>
          <w:bCs/>
          <w:spacing w:val="-6"/>
          <w:position w:val="16"/>
          <w:sz w:val="28"/>
          <w:szCs w:val="28"/>
        </w:rPr>
        <w:t>(三) 现控规实施评估</w:t>
      </w:r>
    </w:p>
    <w:p>
      <w:pPr>
        <w:pStyle w:val="3"/>
        <w:keepNext w:val="0"/>
        <w:keepLines w:val="0"/>
        <w:pageBreakBefore w:val="0"/>
        <w:widowControl w:val="0"/>
        <w:kinsoku/>
        <w:wordWrap/>
        <w:overflowPunct/>
        <w:topLinePunct w:val="0"/>
        <w:bidi w:val="0"/>
        <w:adjustRightInd w:val="0"/>
        <w:snapToGrid/>
        <w:spacing w:line="560" w:lineRule="exact"/>
        <w:ind w:left="0" w:right="0" w:firstLine="450" w:firstLineChars="200"/>
        <w:jc w:val="left"/>
        <w:outlineLvl w:val="9"/>
        <w:rPr>
          <w:b/>
          <w:bCs/>
        </w:rPr>
      </w:pPr>
      <w:r>
        <w:rPr>
          <w:b/>
          <w:bCs/>
          <w:spacing w:val="-8"/>
        </w:rPr>
        <w:t>1.</w:t>
      </w:r>
      <w:r>
        <w:rPr>
          <w:b/>
          <w:bCs/>
          <w:spacing w:val="43"/>
        </w:rPr>
        <w:t xml:space="preserve"> </w:t>
      </w:r>
      <w:r>
        <w:rPr>
          <w:b/>
          <w:bCs/>
          <w:spacing w:val="-8"/>
        </w:rPr>
        <w:t>评估方法</w:t>
      </w:r>
    </w:p>
    <w:p>
      <w:pPr>
        <w:pStyle w:val="3"/>
        <w:keepNext w:val="0"/>
        <w:keepLines w:val="0"/>
        <w:pageBreakBefore w:val="0"/>
        <w:widowControl w:val="0"/>
        <w:kinsoku/>
        <w:wordWrap/>
        <w:overflowPunct/>
        <w:topLinePunct w:val="0"/>
        <w:bidi w:val="0"/>
        <w:adjustRightInd w:val="0"/>
        <w:snapToGrid/>
        <w:spacing w:line="560" w:lineRule="exact"/>
        <w:ind w:left="0" w:right="0" w:firstLine="504" w:firstLineChars="200"/>
        <w:jc w:val="left"/>
        <w:outlineLvl w:val="9"/>
        <w:rPr>
          <w:rFonts w:ascii="Arial"/>
          <w:sz w:val="21"/>
        </w:rPr>
      </w:pPr>
      <w:r>
        <w:rPr>
          <w:spacing w:val="6"/>
        </w:rPr>
        <w:t>本次现行控规实施评估采取定性和定量相结合的方法，将现行控规与陵水国土空间总体规划、陵水相关专项规划、相关规范等内</w:t>
      </w:r>
      <w:r>
        <w:rPr>
          <w:spacing w:val="-1"/>
        </w:rPr>
        <w:t>容进行对比，对现行控规的实施情况进行评价。</w:t>
      </w:r>
    </w:p>
    <w:p>
      <w:pPr>
        <w:pStyle w:val="3"/>
        <w:keepNext w:val="0"/>
        <w:keepLines w:val="0"/>
        <w:pageBreakBefore w:val="0"/>
        <w:widowControl w:val="0"/>
        <w:kinsoku/>
        <w:wordWrap/>
        <w:overflowPunct/>
        <w:topLinePunct w:val="0"/>
        <w:bidi w:val="0"/>
        <w:adjustRightInd w:val="0"/>
        <w:snapToGrid/>
        <w:spacing w:line="560" w:lineRule="exact"/>
        <w:ind w:left="0" w:right="0" w:firstLine="462" w:firstLineChars="200"/>
        <w:jc w:val="left"/>
        <w:outlineLvl w:val="9"/>
        <w:rPr>
          <w:b/>
          <w:bCs/>
        </w:rPr>
      </w:pPr>
      <w:r>
        <w:rPr>
          <w:b/>
          <w:bCs/>
          <w:spacing w:val="-5"/>
        </w:rPr>
        <w:t>2.</w:t>
      </w:r>
      <w:r>
        <w:rPr>
          <w:b/>
          <w:bCs/>
          <w:spacing w:val="42"/>
        </w:rPr>
        <w:t xml:space="preserve"> </w:t>
      </w:r>
      <w:r>
        <w:rPr>
          <w:b/>
          <w:bCs/>
          <w:spacing w:val="-5"/>
        </w:rPr>
        <w:t>评估结论</w:t>
      </w:r>
    </w:p>
    <w:p>
      <w:pPr>
        <w:pStyle w:val="3"/>
        <w:keepNext w:val="0"/>
        <w:keepLines w:val="0"/>
        <w:pageBreakBefore w:val="0"/>
        <w:widowControl w:val="0"/>
        <w:kinsoku/>
        <w:wordWrap/>
        <w:overflowPunct/>
        <w:topLinePunct w:val="0"/>
        <w:bidi w:val="0"/>
        <w:adjustRightInd w:val="0"/>
        <w:snapToGrid/>
        <w:spacing w:line="560" w:lineRule="exact"/>
        <w:ind w:left="0" w:right="0" w:firstLine="470" w:firstLineChars="200"/>
        <w:jc w:val="left"/>
        <w:outlineLvl w:val="9"/>
        <w:rPr>
          <w:rFonts w:hint="eastAsia" w:ascii="宋体" w:hAnsi="宋体" w:eastAsia="宋体" w:cs="宋体"/>
          <w:spacing w:val="-2"/>
          <w:sz w:val="24"/>
          <w:szCs w:val="24"/>
        </w:rPr>
      </w:pPr>
      <w:r>
        <w:rPr>
          <w:rFonts w:hint="eastAsia" w:ascii="宋体" w:hAnsi="宋体" w:eastAsia="宋体" w:cs="宋体"/>
          <w:b/>
          <w:bCs/>
          <w:spacing w:val="-3"/>
          <w:sz w:val="24"/>
          <w:szCs w:val="24"/>
        </w:rPr>
        <w:t>1）现行控规与上位规划存在冲突。</w:t>
      </w:r>
      <w:r>
        <w:rPr>
          <w:rFonts w:hint="eastAsia" w:ascii="宋体" w:hAnsi="宋体" w:eastAsia="宋体" w:cs="宋体"/>
          <w:spacing w:val="3"/>
          <w:sz w:val="24"/>
          <w:szCs w:val="24"/>
        </w:rPr>
        <w:t>陵河南片区现行控规与陵水县国土空间总体规划存在重大冲突。</w:t>
      </w:r>
      <w:r>
        <w:rPr>
          <w:rFonts w:hint="eastAsia" w:ascii="宋体" w:hAnsi="宋体" w:eastAsia="宋体" w:cs="宋体"/>
          <w:spacing w:val="4"/>
          <w:sz w:val="24"/>
          <w:szCs w:val="24"/>
        </w:rPr>
        <w:t xml:space="preserve"> </w:t>
      </w:r>
      <w:r>
        <w:rPr>
          <w:rFonts w:hint="eastAsia" w:ascii="宋体" w:hAnsi="宋体" w:eastAsia="宋体" w:cs="宋体"/>
          <w:spacing w:val="1"/>
          <w:sz w:val="24"/>
          <w:szCs w:val="24"/>
        </w:rPr>
        <w:t>现行控规建设用地与永久基本农田重叠约 29.71 公顷，重叠</w:t>
      </w:r>
      <w:r>
        <w:rPr>
          <w:rFonts w:hint="eastAsia" w:ascii="宋体" w:hAnsi="宋体" w:eastAsia="宋体" w:cs="宋体"/>
          <w:sz w:val="24"/>
          <w:szCs w:val="24"/>
        </w:rPr>
        <w:t>用地不</w:t>
      </w:r>
      <w:r>
        <w:rPr>
          <w:rFonts w:hint="eastAsia" w:ascii="宋体" w:hAnsi="宋体" w:eastAsia="宋体" w:cs="宋体"/>
          <w:spacing w:val="-2"/>
          <w:sz w:val="24"/>
          <w:szCs w:val="24"/>
        </w:rPr>
        <w:t>符合《基本农田保护条例》的要求</w:t>
      </w:r>
    </w:p>
    <w:p>
      <w:pPr>
        <w:pStyle w:val="3"/>
        <w:keepNext w:val="0"/>
        <w:keepLines w:val="0"/>
        <w:pageBreakBefore w:val="0"/>
        <w:widowControl w:val="0"/>
        <w:kinsoku/>
        <w:wordWrap/>
        <w:overflowPunct/>
        <w:topLinePunct w:val="0"/>
        <w:bidi w:val="0"/>
        <w:adjustRightInd w:val="0"/>
        <w:snapToGrid/>
        <w:spacing w:line="560" w:lineRule="exact"/>
        <w:ind w:left="0" w:right="0" w:firstLine="472" w:firstLineChars="200"/>
        <w:jc w:val="left"/>
        <w:outlineLvl w:val="9"/>
        <w:rPr>
          <w:rFonts w:hint="eastAsia" w:ascii="宋体" w:hAnsi="宋体" w:eastAsia="宋体" w:cs="宋体"/>
          <w:spacing w:val="-2"/>
          <w:sz w:val="24"/>
          <w:szCs w:val="24"/>
        </w:rPr>
      </w:pPr>
    </w:p>
    <w:p>
      <w:pPr>
        <w:pStyle w:val="3"/>
        <w:keepNext w:val="0"/>
        <w:keepLines w:val="0"/>
        <w:pageBreakBefore w:val="0"/>
        <w:widowControl w:val="0"/>
        <w:kinsoku/>
        <w:wordWrap/>
        <w:overflowPunct/>
        <w:topLinePunct w:val="0"/>
        <w:bidi w:val="0"/>
        <w:adjustRightInd w:val="0"/>
        <w:snapToGrid/>
        <w:spacing w:line="560" w:lineRule="exact"/>
        <w:ind w:left="0" w:right="0" w:firstLine="472" w:firstLineChars="200"/>
        <w:jc w:val="left"/>
        <w:outlineLvl w:val="9"/>
        <w:rPr>
          <w:rFonts w:hint="eastAsia" w:ascii="宋体" w:hAnsi="宋体" w:eastAsia="宋体" w:cs="宋体"/>
          <w:spacing w:val="-2"/>
          <w:sz w:val="24"/>
          <w:szCs w:val="24"/>
        </w:rPr>
      </w:pPr>
    </w:p>
    <w:p>
      <w:pPr>
        <w:pStyle w:val="3"/>
        <w:keepNext w:val="0"/>
        <w:keepLines w:val="0"/>
        <w:pageBreakBefore w:val="0"/>
        <w:widowControl w:val="0"/>
        <w:kinsoku/>
        <w:wordWrap/>
        <w:overflowPunct/>
        <w:topLinePunct w:val="0"/>
        <w:bidi w:val="0"/>
        <w:adjustRightInd w:val="0"/>
        <w:snapToGrid/>
        <w:spacing w:line="560" w:lineRule="exact"/>
        <w:ind w:left="0" w:right="0" w:firstLine="472" w:firstLineChars="200"/>
        <w:jc w:val="left"/>
        <w:outlineLvl w:val="9"/>
        <w:rPr>
          <w:rFonts w:hint="eastAsia" w:ascii="宋体" w:hAnsi="宋体" w:eastAsia="宋体" w:cs="宋体"/>
          <w:spacing w:val="-2"/>
          <w:sz w:val="24"/>
          <w:szCs w:val="24"/>
        </w:rPr>
      </w:pPr>
    </w:p>
    <w:p>
      <w:pPr>
        <w:pStyle w:val="3"/>
        <w:keepNext w:val="0"/>
        <w:keepLines w:val="0"/>
        <w:pageBreakBefore w:val="0"/>
        <w:widowControl w:val="0"/>
        <w:kinsoku/>
        <w:wordWrap/>
        <w:overflowPunct/>
        <w:topLinePunct w:val="0"/>
        <w:bidi w:val="0"/>
        <w:adjustRightInd w:val="0"/>
        <w:snapToGrid/>
        <w:spacing w:line="560" w:lineRule="exact"/>
        <w:ind w:left="0" w:right="0" w:firstLine="472" w:firstLineChars="200"/>
        <w:jc w:val="left"/>
        <w:outlineLvl w:val="9"/>
        <w:rPr>
          <w:rFonts w:hint="eastAsia" w:ascii="宋体" w:hAnsi="宋体" w:eastAsia="宋体" w:cs="宋体"/>
          <w:spacing w:val="-2"/>
          <w:sz w:val="24"/>
          <w:szCs w:val="24"/>
        </w:rPr>
      </w:pPr>
    </w:p>
    <w:p>
      <w:pPr>
        <w:spacing w:line="4870" w:lineRule="exact"/>
        <w:ind w:firstLine="10"/>
      </w:pPr>
      <w:r>
        <w:rPr>
          <w:position w:val="-97"/>
        </w:rPr>
        <w:drawing>
          <wp:inline distT="0" distB="0" distL="114300" distR="114300">
            <wp:extent cx="5778500" cy="3092450"/>
            <wp:effectExtent l="0" t="0" r="12700" b="12700"/>
            <wp:docPr id="7" name="图片 8"/>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13"/>
                    <a:stretch>
                      <a:fillRect/>
                    </a:stretch>
                  </pic:blipFill>
                  <pic:spPr>
                    <a:xfrm>
                      <a:off x="0" y="0"/>
                      <a:ext cx="5778500" cy="3092450"/>
                    </a:xfrm>
                    <a:prstGeom prst="rect">
                      <a:avLst/>
                    </a:prstGeom>
                    <a:noFill/>
                    <a:ln>
                      <a:noFill/>
                    </a:ln>
                  </pic:spPr>
                </pic:pic>
              </a:graphicData>
            </a:graphic>
          </wp:inline>
        </w:drawing>
      </w:r>
    </w:p>
    <w:p>
      <w:pPr>
        <w:spacing w:line="251" w:lineRule="auto"/>
        <w:rPr>
          <w:rFonts w:ascii="Arial"/>
          <w:sz w:val="21"/>
        </w:rPr>
      </w:pPr>
    </w:p>
    <w:p>
      <w:pPr>
        <w:spacing w:before="78" w:line="219" w:lineRule="auto"/>
        <w:jc w:val="center"/>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47"/>
          <w:sz w:val="24"/>
          <w:szCs w:val="24"/>
        </w:rPr>
        <w:t xml:space="preserve"> </w:t>
      </w:r>
      <w:r>
        <w:rPr>
          <w:rFonts w:ascii="黑体" w:hAnsi="黑体" w:eastAsia="黑体" w:cs="黑体"/>
          <w:spacing w:val="-2"/>
          <w:sz w:val="24"/>
          <w:szCs w:val="24"/>
        </w:rPr>
        <w:t>8：现行控规与基本农田冲突对比示意图</w:t>
      </w:r>
    </w:p>
    <w:p>
      <w:pPr>
        <w:pStyle w:val="3"/>
        <w:spacing w:before="258" w:line="381" w:lineRule="auto"/>
        <w:ind w:left="25" w:right="210" w:firstLine="583"/>
        <w:jc w:val="both"/>
        <w:rPr>
          <w:sz w:val="28"/>
          <w:szCs w:val="28"/>
        </w:rPr>
      </w:pPr>
      <w:r>
        <w:rPr>
          <w:spacing w:val="5"/>
          <w:sz w:val="28"/>
          <w:szCs w:val="28"/>
        </w:rPr>
        <w:t>国土空间规划城镇开发边界外陵河南片区控规建设用地规模约</w:t>
      </w:r>
      <w:r>
        <w:rPr>
          <w:spacing w:val="17"/>
          <w:sz w:val="28"/>
          <w:szCs w:val="28"/>
        </w:rPr>
        <w:t xml:space="preserve"> </w:t>
      </w:r>
      <w:r>
        <w:rPr>
          <w:spacing w:val="5"/>
          <w:sz w:val="28"/>
          <w:szCs w:val="28"/>
        </w:rPr>
        <w:t>527.17 公顷，不符合《海南省省和市县总体规划实施管理办法(试</w:t>
      </w:r>
      <w:r>
        <w:rPr>
          <w:spacing w:val="13"/>
          <w:sz w:val="28"/>
          <w:szCs w:val="28"/>
        </w:rPr>
        <w:t xml:space="preserve"> </w:t>
      </w:r>
      <w:r>
        <w:rPr>
          <w:spacing w:val="-1"/>
          <w:sz w:val="28"/>
          <w:szCs w:val="28"/>
        </w:rPr>
        <w:t>行)》</w:t>
      </w:r>
      <w:r>
        <w:rPr>
          <w:spacing w:val="-65"/>
          <w:sz w:val="28"/>
          <w:szCs w:val="28"/>
        </w:rPr>
        <w:t xml:space="preserve"> </w:t>
      </w:r>
      <w:r>
        <w:rPr>
          <w:spacing w:val="-1"/>
          <w:sz w:val="28"/>
          <w:szCs w:val="28"/>
        </w:rPr>
        <w:t>(琼府(2022)8 号)开发边界准入目录要求，涉及的建</w:t>
      </w:r>
      <w:r>
        <w:rPr>
          <w:spacing w:val="-2"/>
          <w:sz w:val="28"/>
          <w:szCs w:val="28"/>
        </w:rPr>
        <w:t>设用地包</w:t>
      </w:r>
      <w:r>
        <w:rPr>
          <w:spacing w:val="-4"/>
          <w:sz w:val="28"/>
          <w:szCs w:val="28"/>
        </w:rPr>
        <w:t>括居住用地</w:t>
      </w:r>
      <w:r>
        <w:rPr>
          <w:spacing w:val="-38"/>
          <w:sz w:val="28"/>
          <w:szCs w:val="28"/>
        </w:rPr>
        <w:t xml:space="preserve"> </w:t>
      </w:r>
      <w:r>
        <w:rPr>
          <w:spacing w:val="-4"/>
          <w:sz w:val="28"/>
          <w:szCs w:val="28"/>
        </w:rPr>
        <w:t>67.62</w:t>
      </w:r>
      <w:r>
        <w:rPr>
          <w:spacing w:val="-61"/>
          <w:sz w:val="28"/>
          <w:szCs w:val="28"/>
        </w:rPr>
        <w:t xml:space="preserve"> </w:t>
      </w:r>
      <w:r>
        <w:rPr>
          <w:spacing w:val="-4"/>
          <w:sz w:val="28"/>
          <w:szCs w:val="28"/>
        </w:rPr>
        <w:t>公顷、商业用地</w:t>
      </w:r>
      <w:r>
        <w:rPr>
          <w:spacing w:val="-51"/>
          <w:sz w:val="28"/>
          <w:szCs w:val="28"/>
        </w:rPr>
        <w:t xml:space="preserve"> </w:t>
      </w:r>
      <w:r>
        <w:rPr>
          <w:spacing w:val="-4"/>
          <w:sz w:val="28"/>
          <w:szCs w:val="28"/>
        </w:rPr>
        <w:t>20.96</w:t>
      </w:r>
      <w:r>
        <w:rPr>
          <w:spacing w:val="-58"/>
          <w:sz w:val="28"/>
          <w:szCs w:val="28"/>
        </w:rPr>
        <w:t xml:space="preserve"> </w:t>
      </w:r>
      <w:r>
        <w:rPr>
          <w:spacing w:val="-4"/>
          <w:sz w:val="28"/>
          <w:szCs w:val="28"/>
        </w:rPr>
        <w:t>公顷，共计</w:t>
      </w:r>
      <w:r>
        <w:rPr>
          <w:spacing w:val="-49"/>
          <w:sz w:val="28"/>
          <w:szCs w:val="28"/>
        </w:rPr>
        <w:t xml:space="preserve"> </w:t>
      </w:r>
      <w:r>
        <w:rPr>
          <w:spacing w:val="-4"/>
          <w:sz w:val="28"/>
          <w:szCs w:val="28"/>
        </w:rPr>
        <w:t>245.32</w:t>
      </w:r>
      <w:r>
        <w:rPr>
          <w:spacing w:val="-59"/>
          <w:sz w:val="28"/>
          <w:szCs w:val="28"/>
        </w:rPr>
        <w:t xml:space="preserve"> </w:t>
      </w:r>
      <w:r>
        <w:rPr>
          <w:spacing w:val="-4"/>
          <w:sz w:val="28"/>
          <w:szCs w:val="28"/>
        </w:rPr>
        <w:t>公顷。</w:t>
      </w:r>
    </w:p>
    <w:p>
      <w:pPr>
        <w:jc w:val="both"/>
        <w:rPr>
          <w:rFonts w:hAnsi="宋体"/>
          <w:color w:val="auto"/>
        </w:rPr>
      </w:pPr>
    </w:p>
    <w:p>
      <w:pPr>
        <w:jc w:val="center"/>
        <w:outlineLvl w:val="0"/>
        <w:rPr>
          <w:rFonts w:hint="eastAsia" w:hAnsi="宋体"/>
          <w:b/>
          <w:bCs/>
          <w:color w:val="auto"/>
          <w:sz w:val="44"/>
          <w:szCs w:val="28"/>
        </w:rPr>
      </w:pPr>
    </w:p>
    <w:p>
      <w:pPr>
        <w:jc w:val="center"/>
        <w:outlineLvl w:val="0"/>
        <w:rPr>
          <w:rFonts w:hint="eastAsia" w:hAnsi="宋体"/>
          <w:b/>
          <w:bCs/>
          <w:color w:val="auto"/>
          <w:sz w:val="44"/>
          <w:szCs w:val="28"/>
        </w:rPr>
      </w:pPr>
    </w:p>
    <w:p>
      <w:pPr>
        <w:jc w:val="center"/>
        <w:outlineLvl w:val="0"/>
        <w:rPr>
          <w:rFonts w:hint="eastAsia" w:hAnsi="宋体"/>
          <w:b/>
          <w:bCs/>
          <w:color w:val="auto"/>
          <w:sz w:val="44"/>
          <w:szCs w:val="28"/>
        </w:rPr>
      </w:pPr>
    </w:p>
    <w:p>
      <w:pPr>
        <w:jc w:val="center"/>
        <w:outlineLvl w:val="0"/>
        <w:rPr>
          <w:rFonts w:hint="eastAsia" w:hAnsi="宋体"/>
          <w:b/>
          <w:bCs/>
          <w:color w:val="auto"/>
          <w:sz w:val="44"/>
          <w:szCs w:val="28"/>
        </w:rPr>
      </w:pPr>
    </w:p>
    <w:p>
      <w:pPr>
        <w:jc w:val="center"/>
        <w:outlineLvl w:val="0"/>
        <w:rPr>
          <w:rFonts w:hint="eastAsia" w:hAnsi="宋体"/>
          <w:b/>
          <w:bCs/>
          <w:color w:val="auto"/>
          <w:sz w:val="44"/>
          <w:szCs w:val="28"/>
        </w:rPr>
      </w:pPr>
    </w:p>
    <w:p>
      <w:pPr>
        <w:jc w:val="center"/>
        <w:outlineLvl w:val="0"/>
        <w:rPr>
          <w:rFonts w:hint="eastAsia" w:hAnsi="宋体"/>
          <w:b/>
          <w:bCs/>
          <w:color w:val="auto"/>
          <w:sz w:val="44"/>
          <w:szCs w:val="28"/>
        </w:rPr>
      </w:pPr>
    </w:p>
    <w:p>
      <w:pPr>
        <w:jc w:val="center"/>
        <w:outlineLvl w:val="0"/>
        <w:rPr>
          <w:rFonts w:hint="eastAsia" w:hAnsi="宋体"/>
          <w:b/>
          <w:bCs/>
          <w:color w:val="auto"/>
          <w:sz w:val="44"/>
          <w:szCs w:val="28"/>
        </w:rPr>
      </w:pPr>
      <w:r>
        <w:rPr>
          <w:position w:val="-96"/>
        </w:rPr>
        <w:drawing>
          <wp:inline distT="0" distB="0" distL="114300" distR="114300">
            <wp:extent cx="5273675" cy="3052445"/>
            <wp:effectExtent l="0" t="0" r="3175" b="14605"/>
            <wp:docPr id="6" name="图片 9"/>
            <wp:cNvGraphicFramePr/>
            <a:graphic xmlns:a="http://schemas.openxmlformats.org/drawingml/2006/main">
              <a:graphicData uri="http://schemas.openxmlformats.org/drawingml/2006/picture">
                <pic:pic xmlns:pic="http://schemas.openxmlformats.org/drawingml/2006/picture">
                  <pic:nvPicPr>
                    <pic:cNvPr id="6" name="图片 9"/>
                    <pic:cNvPicPr/>
                  </pic:nvPicPr>
                  <pic:blipFill>
                    <a:blip r:embed="rId14"/>
                    <a:stretch>
                      <a:fillRect/>
                    </a:stretch>
                  </pic:blipFill>
                  <pic:spPr>
                    <a:xfrm>
                      <a:off x="0" y="0"/>
                      <a:ext cx="5273675" cy="3052445"/>
                    </a:xfrm>
                    <a:prstGeom prst="rect">
                      <a:avLst/>
                    </a:prstGeom>
                    <a:noFill/>
                    <a:ln>
                      <a:noFill/>
                    </a:ln>
                  </pic:spPr>
                </pic:pic>
              </a:graphicData>
            </a:graphic>
          </wp:inline>
        </w:drawing>
      </w:r>
    </w:p>
    <w:p>
      <w:pPr>
        <w:spacing w:before="258" w:line="218" w:lineRule="auto"/>
        <w:jc w:val="center"/>
        <w:rPr>
          <w:rFonts w:ascii="黑体" w:hAnsi="黑体" w:eastAsia="黑体" w:cs="黑体"/>
          <w:spacing w:val="-2"/>
          <w:sz w:val="24"/>
          <w:szCs w:val="24"/>
        </w:rPr>
      </w:pPr>
      <w:r>
        <w:rPr>
          <w:rFonts w:ascii="黑体" w:hAnsi="黑体" w:eastAsia="黑体" w:cs="黑体"/>
          <w:spacing w:val="-2"/>
          <w:sz w:val="24"/>
          <w:szCs w:val="24"/>
        </w:rPr>
        <w:t>图</w:t>
      </w:r>
      <w:r>
        <w:rPr>
          <w:rFonts w:ascii="黑体" w:hAnsi="黑体" w:eastAsia="黑体" w:cs="黑体"/>
          <w:spacing w:val="-53"/>
          <w:sz w:val="24"/>
          <w:szCs w:val="24"/>
        </w:rPr>
        <w:t xml:space="preserve"> </w:t>
      </w:r>
      <w:r>
        <w:rPr>
          <w:rFonts w:ascii="黑体" w:hAnsi="黑体" w:eastAsia="黑体" w:cs="黑体"/>
          <w:spacing w:val="-2"/>
          <w:sz w:val="24"/>
          <w:szCs w:val="24"/>
        </w:rPr>
        <w:t>9：现行控规位于国空开发边界外建设用地分布情况示意图</w:t>
      </w:r>
    </w:p>
    <w:p>
      <w:pPr>
        <w:pStyle w:val="3"/>
        <w:keepNext w:val="0"/>
        <w:keepLines w:val="0"/>
        <w:pageBreakBefore w:val="0"/>
        <w:widowControl w:val="0"/>
        <w:kinsoku/>
        <w:wordWrap/>
        <w:overflowPunct/>
        <w:topLinePunct w:val="0"/>
        <w:bidi w:val="0"/>
        <w:adjustRightInd w:val="0"/>
        <w:snapToGrid/>
        <w:spacing w:line="560" w:lineRule="exact"/>
        <w:ind w:left="0" w:right="0" w:firstLine="478" w:firstLineChars="200"/>
        <w:jc w:val="left"/>
        <w:rPr>
          <w:rFonts w:hint="eastAsia" w:ascii="宋体" w:hAnsi="宋体" w:eastAsia="宋体" w:cs="宋体"/>
          <w:b/>
          <w:bCs/>
          <w:sz w:val="24"/>
          <w:szCs w:val="24"/>
        </w:rPr>
      </w:pPr>
      <w:r>
        <w:rPr>
          <w:rFonts w:hint="eastAsia" w:ascii="宋体" w:hAnsi="宋体" w:eastAsia="宋体" w:cs="宋体"/>
          <w:b/>
          <w:bCs/>
          <w:spacing w:val="-1"/>
          <w:sz w:val="24"/>
          <w:szCs w:val="24"/>
        </w:rPr>
        <w:t>2）现行控规与相关专项规划存在差异。</w:t>
      </w:r>
    </w:p>
    <w:p>
      <w:pPr>
        <w:pStyle w:val="3"/>
        <w:keepNext w:val="0"/>
        <w:keepLines w:val="0"/>
        <w:pageBreakBefore w:val="0"/>
        <w:widowControl w:val="0"/>
        <w:kinsoku/>
        <w:wordWrap/>
        <w:overflowPunct/>
        <w:topLinePunct w:val="0"/>
        <w:autoSpaceDE/>
        <w:autoSpaceDN/>
        <w:bidi w:val="0"/>
        <w:adjustRightInd w:val="0"/>
        <w:snapToGrid/>
        <w:spacing w:line="560" w:lineRule="exact"/>
        <w:ind w:left="0" w:right="0" w:firstLine="504" w:firstLineChars="200"/>
        <w:jc w:val="left"/>
        <w:textAlignment w:val="baseline"/>
        <w:rPr>
          <w:rFonts w:hint="eastAsia" w:ascii="宋体" w:hAnsi="宋体" w:eastAsia="宋体" w:cs="宋体"/>
          <w:spacing w:val="5"/>
          <w:position w:val="22"/>
          <w:sz w:val="24"/>
          <w:szCs w:val="24"/>
        </w:rPr>
      </w:pPr>
      <w:r>
        <w:rPr>
          <w:rFonts w:hint="eastAsia" w:ascii="宋体" w:hAnsi="宋体" w:eastAsia="宋体" w:cs="宋体"/>
          <w:spacing w:val="6"/>
          <w:position w:val="22"/>
          <w:sz w:val="24"/>
          <w:szCs w:val="24"/>
        </w:rPr>
        <w:t>现行控规与《陵水黎族自治县加油站行业“十四五”发展</w:t>
      </w:r>
      <w:r>
        <w:rPr>
          <w:rFonts w:hint="eastAsia" w:ascii="宋体" w:hAnsi="宋体" w:eastAsia="宋体" w:cs="宋体"/>
          <w:spacing w:val="5"/>
          <w:position w:val="22"/>
          <w:sz w:val="24"/>
          <w:szCs w:val="24"/>
        </w:rPr>
        <w:t>规划（2021—2025）》存在 7 处加油站规模和位置差异。现行控规与《陵水黎族自治县公路网规划（2021-2035 年）》基本一致。现行控规与《陵水县“十四五”配电网规划修编》存在 4 座变电站装机容量、高压进出线路径差异。</w:t>
      </w:r>
    </w:p>
    <w:p>
      <w:pPr>
        <w:pStyle w:val="3"/>
        <w:keepNext w:val="0"/>
        <w:keepLines w:val="0"/>
        <w:pageBreakBefore w:val="0"/>
        <w:widowControl w:val="0"/>
        <w:kinsoku/>
        <w:wordWrap/>
        <w:overflowPunct/>
        <w:topLinePunct w:val="0"/>
        <w:autoSpaceDE/>
        <w:autoSpaceDN/>
        <w:bidi w:val="0"/>
        <w:adjustRightInd w:val="0"/>
        <w:snapToGrid/>
        <w:spacing w:line="560" w:lineRule="exact"/>
        <w:ind w:right="0" w:firstLine="596" w:firstLineChars="200"/>
        <w:jc w:val="left"/>
        <w:textAlignment w:val="baseline"/>
        <w:rPr>
          <w:rFonts w:hint="eastAsia" w:ascii="宋体" w:hAnsi="宋体" w:eastAsia="宋体" w:cs="宋体"/>
          <w:sz w:val="24"/>
          <w:szCs w:val="24"/>
        </w:rPr>
      </w:pPr>
      <w:r>
        <w:rPr>
          <w:rFonts w:hint="eastAsia" w:ascii="宋体" w:hAnsi="宋体" w:eastAsia="宋体" w:cs="宋体"/>
          <w:spacing w:val="29"/>
          <w:sz w:val="24"/>
          <w:szCs w:val="24"/>
        </w:rPr>
        <w:t>现行控规与《陵水黎族自治县再生资源回收行</w:t>
      </w:r>
      <w:r>
        <w:rPr>
          <w:rFonts w:hint="eastAsia" w:ascii="宋体" w:hAnsi="宋体" w:eastAsia="宋体" w:cs="宋体"/>
          <w:spacing w:val="28"/>
          <w:sz w:val="24"/>
          <w:szCs w:val="24"/>
        </w:rPr>
        <w:t>业发展规划</w:t>
      </w:r>
      <w:r>
        <w:rPr>
          <w:rFonts w:hint="eastAsia" w:ascii="宋体" w:hAnsi="宋体" w:eastAsia="宋体" w:cs="宋体"/>
          <w:sz w:val="24"/>
          <w:szCs w:val="24"/>
        </w:rPr>
        <w:t xml:space="preserve"> </w:t>
      </w:r>
      <w:r>
        <w:rPr>
          <w:rFonts w:hint="eastAsia" w:ascii="宋体" w:hAnsi="宋体" w:eastAsia="宋体" w:cs="宋体"/>
          <w:spacing w:val="-3"/>
          <w:sz w:val="24"/>
          <w:szCs w:val="24"/>
        </w:rPr>
        <w:t>（2023-2025）》存在 1 处差异，具体为现行控规缺少两网融合中转</w:t>
      </w:r>
      <w:r>
        <w:rPr>
          <w:rFonts w:hint="eastAsia" w:ascii="宋体" w:hAnsi="宋体" w:eastAsia="宋体" w:cs="宋体"/>
          <w:spacing w:val="-8"/>
          <w:sz w:val="24"/>
          <w:szCs w:val="24"/>
        </w:rPr>
        <w:t>站设施布局。</w:t>
      </w:r>
    </w:p>
    <w:p>
      <w:pPr>
        <w:pStyle w:val="3"/>
        <w:keepNext w:val="0"/>
        <w:keepLines w:val="0"/>
        <w:pageBreakBefore w:val="0"/>
        <w:widowControl w:val="0"/>
        <w:kinsoku/>
        <w:wordWrap/>
        <w:overflowPunct/>
        <w:topLinePunct w:val="0"/>
        <w:autoSpaceDE/>
        <w:autoSpaceDN/>
        <w:bidi w:val="0"/>
        <w:adjustRightInd w:val="0"/>
        <w:snapToGrid/>
        <w:spacing w:line="560" w:lineRule="exact"/>
        <w:ind w:left="0" w:right="0" w:firstLine="504" w:firstLineChars="200"/>
        <w:jc w:val="left"/>
        <w:textAlignment w:val="baseline"/>
        <w:rPr>
          <w:rFonts w:hint="eastAsia" w:ascii="宋体" w:hAnsi="宋体" w:eastAsia="宋体" w:cs="宋体"/>
          <w:sz w:val="24"/>
          <w:szCs w:val="24"/>
        </w:rPr>
      </w:pPr>
      <w:r>
        <w:rPr>
          <w:rFonts w:hint="eastAsia" w:ascii="宋体" w:hAnsi="宋体" w:eastAsia="宋体" w:cs="宋体"/>
          <w:spacing w:val="6"/>
          <w:sz w:val="24"/>
          <w:szCs w:val="24"/>
        </w:rPr>
        <w:t>现行控规与《陵水黎族自治县生活垃圾处理和建筑垃圾污</w:t>
      </w:r>
      <w:r>
        <w:rPr>
          <w:rFonts w:hint="eastAsia" w:ascii="宋体" w:hAnsi="宋体" w:eastAsia="宋体" w:cs="宋体"/>
          <w:spacing w:val="5"/>
          <w:sz w:val="24"/>
          <w:szCs w:val="24"/>
        </w:rPr>
        <w:t>染环</w:t>
      </w:r>
      <w:r>
        <w:rPr>
          <w:rFonts w:hint="eastAsia" w:ascii="宋体" w:hAnsi="宋体" w:eastAsia="宋体" w:cs="宋体"/>
          <w:sz w:val="24"/>
          <w:szCs w:val="24"/>
        </w:rPr>
        <w:t xml:space="preserve"> </w:t>
      </w:r>
      <w:r>
        <w:rPr>
          <w:rFonts w:hint="eastAsia" w:ascii="宋体" w:hAnsi="宋体" w:eastAsia="宋体" w:cs="宋体"/>
          <w:spacing w:val="-3"/>
          <w:sz w:val="24"/>
          <w:szCs w:val="24"/>
        </w:rPr>
        <w:t>境防治专项规划（2022-2030）》存在 2 处差异，现行控规缺少椰林环卫基地及生活垃圾转运站相关设施布局。</w:t>
      </w:r>
    </w:p>
    <w:p>
      <w:pPr>
        <w:pStyle w:val="3"/>
        <w:keepNext w:val="0"/>
        <w:keepLines w:val="0"/>
        <w:pageBreakBefore w:val="0"/>
        <w:widowControl w:val="0"/>
        <w:kinsoku/>
        <w:wordWrap/>
        <w:overflowPunct/>
        <w:topLinePunct w:val="0"/>
        <w:bidi w:val="0"/>
        <w:adjustRightInd w:val="0"/>
        <w:snapToGrid/>
        <w:spacing w:line="560" w:lineRule="exact"/>
        <w:ind w:left="0" w:right="0" w:firstLine="520" w:firstLineChars="200"/>
        <w:jc w:val="left"/>
        <w:rPr>
          <w:rFonts w:hint="eastAsia" w:ascii="宋体" w:hAnsi="宋体" w:eastAsia="宋体" w:cs="宋体"/>
          <w:sz w:val="24"/>
          <w:szCs w:val="24"/>
        </w:rPr>
      </w:pPr>
      <w:r>
        <w:rPr>
          <w:rFonts w:hint="eastAsia" w:ascii="宋体" w:hAnsi="宋体" w:eastAsia="宋体" w:cs="宋体"/>
          <w:spacing w:val="10"/>
          <w:sz w:val="24"/>
          <w:szCs w:val="24"/>
        </w:rPr>
        <w:t>现行控规与《陵水黎族自治县城乡燃气专项规划（2020-2030</w:t>
      </w:r>
      <w:r>
        <w:rPr>
          <w:rFonts w:hint="eastAsia" w:ascii="宋体" w:hAnsi="宋体" w:eastAsia="宋体" w:cs="宋体"/>
          <w:spacing w:val="-9"/>
          <w:sz w:val="24"/>
          <w:szCs w:val="24"/>
        </w:rPr>
        <w:t>年）》存在燃气次高压、中压管网方案不一致。</w:t>
      </w:r>
    </w:p>
    <w:p>
      <w:pPr>
        <w:pStyle w:val="3"/>
        <w:keepNext w:val="0"/>
        <w:keepLines w:val="0"/>
        <w:pageBreakBefore w:val="0"/>
        <w:widowControl w:val="0"/>
        <w:kinsoku/>
        <w:wordWrap/>
        <w:overflowPunct/>
        <w:topLinePunct w:val="0"/>
        <w:bidi w:val="0"/>
        <w:adjustRightInd w:val="0"/>
        <w:snapToGrid/>
        <w:spacing w:line="560" w:lineRule="exact"/>
        <w:ind w:left="0" w:right="0" w:firstLine="504" w:firstLineChars="200"/>
        <w:jc w:val="left"/>
        <w:rPr>
          <w:rFonts w:hint="eastAsia" w:ascii="宋体" w:hAnsi="宋体" w:eastAsia="宋体" w:cs="宋体"/>
          <w:sz w:val="24"/>
          <w:szCs w:val="24"/>
        </w:rPr>
      </w:pPr>
      <w:r>
        <w:rPr>
          <w:rFonts w:hint="eastAsia" w:ascii="宋体" w:hAnsi="宋体" w:eastAsia="宋体" w:cs="宋体"/>
          <w:spacing w:val="6"/>
          <w:sz w:val="24"/>
          <w:szCs w:val="24"/>
        </w:rPr>
        <w:t>现行控规与《陵水黎族自治县“十四五”城镇污水处理及</w:t>
      </w:r>
      <w:r>
        <w:rPr>
          <w:rFonts w:hint="eastAsia" w:ascii="宋体" w:hAnsi="宋体" w:eastAsia="宋体" w:cs="宋体"/>
          <w:spacing w:val="5"/>
          <w:sz w:val="24"/>
          <w:szCs w:val="24"/>
        </w:rPr>
        <w:t>资源</w:t>
      </w:r>
      <w:r>
        <w:rPr>
          <w:rFonts w:hint="eastAsia" w:ascii="宋体" w:hAnsi="宋体" w:eastAsia="宋体" w:cs="宋体"/>
          <w:sz w:val="24"/>
          <w:szCs w:val="24"/>
        </w:rPr>
        <w:t xml:space="preserve"> </w:t>
      </w:r>
      <w:r>
        <w:rPr>
          <w:rFonts w:hint="eastAsia" w:ascii="宋体" w:hAnsi="宋体" w:eastAsia="宋体" w:cs="宋体"/>
          <w:spacing w:val="-4"/>
          <w:sz w:val="24"/>
          <w:szCs w:val="24"/>
        </w:rPr>
        <w:t>化利用设施建设规划》存在 1 处差异，</w:t>
      </w:r>
      <w:r>
        <w:rPr>
          <w:rFonts w:hint="eastAsia" w:ascii="宋体" w:hAnsi="宋体" w:eastAsia="宋体" w:cs="宋体"/>
          <w:spacing w:val="20"/>
          <w:sz w:val="24"/>
          <w:szCs w:val="24"/>
        </w:rPr>
        <w:t xml:space="preserve"> </w:t>
      </w:r>
      <w:r>
        <w:rPr>
          <w:rFonts w:hint="eastAsia" w:ascii="宋体" w:hAnsi="宋体" w:eastAsia="宋体" w:cs="宋体"/>
          <w:spacing w:val="-5"/>
          <w:sz w:val="24"/>
          <w:szCs w:val="24"/>
        </w:rPr>
        <w:t>具体为县城污水处理厂远期</w:t>
      </w:r>
      <w:r>
        <w:rPr>
          <w:rFonts w:hint="eastAsia" w:ascii="宋体" w:hAnsi="宋体" w:eastAsia="宋体" w:cs="宋体"/>
          <w:spacing w:val="-9"/>
          <w:sz w:val="24"/>
          <w:szCs w:val="24"/>
        </w:rPr>
        <w:t>处理规模不同。</w:t>
      </w:r>
    </w:p>
    <w:p>
      <w:pPr>
        <w:pStyle w:val="3"/>
        <w:keepNext w:val="0"/>
        <w:keepLines w:val="0"/>
        <w:pageBreakBefore w:val="0"/>
        <w:widowControl w:val="0"/>
        <w:kinsoku/>
        <w:wordWrap/>
        <w:overflowPunct/>
        <w:topLinePunct w:val="0"/>
        <w:bidi w:val="0"/>
        <w:adjustRightInd w:val="0"/>
        <w:snapToGrid/>
        <w:spacing w:line="560" w:lineRule="exact"/>
        <w:ind w:left="0" w:right="0" w:firstLine="474" w:firstLineChars="200"/>
        <w:jc w:val="left"/>
        <w:rPr>
          <w:rFonts w:hint="eastAsia" w:ascii="宋体" w:hAnsi="宋体" w:eastAsia="宋体" w:cs="宋体"/>
          <w:b/>
          <w:bCs/>
          <w:sz w:val="24"/>
          <w:szCs w:val="24"/>
        </w:rPr>
      </w:pPr>
      <w:r>
        <w:rPr>
          <w:rFonts w:hint="eastAsia" w:ascii="宋体" w:hAnsi="宋体" w:eastAsia="宋体" w:cs="宋体"/>
          <w:b/>
          <w:bCs/>
          <w:spacing w:val="-2"/>
          <w:sz w:val="24"/>
          <w:szCs w:val="24"/>
        </w:rPr>
        <w:t>3）其他问题。</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504" w:firstLineChars="200"/>
        <w:jc w:val="left"/>
        <w:textAlignment w:val="auto"/>
        <w:rPr>
          <w:rFonts w:hint="eastAsia" w:ascii="宋体" w:hAnsi="宋体" w:eastAsia="宋体" w:cs="宋体"/>
          <w:spacing w:val="-4"/>
          <w:sz w:val="24"/>
          <w:szCs w:val="24"/>
        </w:rPr>
      </w:pPr>
      <w:r>
        <w:rPr>
          <w:rFonts w:hint="eastAsia" w:ascii="宋体" w:hAnsi="宋体" w:eastAsia="宋体" w:cs="宋体"/>
          <w:spacing w:val="6"/>
          <w:sz w:val="24"/>
          <w:szCs w:val="24"/>
        </w:rPr>
        <w:t>本轮国土空间规划划定的城镇开发边界与现行控规规划范围存</w:t>
      </w:r>
      <w:r>
        <w:rPr>
          <w:rFonts w:hint="eastAsia" w:ascii="宋体" w:hAnsi="宋体" w:eastAsia="宋体" w:cs="宋体"/>
          <w:spacing w:val="14"/>
          <w:sz w:val="24"/>
          <w:szCs w:val="24"/>
        </w:rPr>
        <w:t xml:space="preserve"> </w:t>
      </w:r>
      <w:r>
        <w:rPr>
          <w:rFonts w:hint="eastAsia" w:ascii="宋体" w:hAnsi="宋体" w:eastAsia="宋体" w:cs="宋体"/>
          <w:spacing w:val="6"/>
          <w:sz w:val="24"/>
          <w:szCs w:val="24"/>
        </w:rPr>
        <w:t>在较大出入。需基于新边界条件对用地进行调整，并按照相关规范</w:t>
      </w:r>
      <w:r>
        <w:rPr>
          <w:rFonts w:hint="eastAsia" w:ascii="宋体" w:hAnsi="宋体" w:eastAsia="宋体" w:cs="宋体"/>
          <w:spacing w:val="1"/>
          <w:sz w:val="24"/>
          <w:szCs w:val="24"/>
        </w:rPr>
        <w:t xml:space="preserve"> </w:t>
      </w:r>
      <w:r>
        <w:rPr>
          <w:rFonts w:hint="eastAsia" w:ascii="宋体" w:hAnsi="宋体" w:eastAsia="宋体" w:cs="宋体"/>
          <w:spacing w:val="6"/>
          <w:sz w:val="24"/>
          <w:szCs w:val="24"/>
        </w:rPr>
        <w:t>要求对公共服务设施、公用设施、交通设施、产业用地等进行相应</w:t>
      </w:r>
      <w:r>
        <w:rPr>
          <w:rFonts w:hint="eastAsia" w:ascii="宋体" w:hAnsi="宋体" w:eastAsia="宋体" w:cs="宋体"/>
          <w:spacing w:val="-4"/>
          <w:sz w:val="24"/>
          <w:szCs w:val="24"/>
        </w:rPr>
        <w:t>校核。</w:t>
      </w:r>
      <w:r>
        <w:rPr>
          <w:rFonts w:hint="eastAsia" w:ascii="宋体" w:hAnsi="宋体" w:eastAsia="宋体" w:cs="宋体"/>
          <w:spacing w:val="6"/>
          <w:sz w:val="24"/>
          <w:szCs w:val="24"/>
        </w:rPr>
        <w:t>现行控规的用地分类标准为《城市用地分类与规划建设用地标</w:t>
      </w:r>
      <w:r>
        <w:rPr>
          <w:rFonts w:hint="eastAsia" w:ascii="宋体" w:hAnsi="宋体" w:eastAsia="宋体" w:cs="宋体"/>
          <w:sz w:val="24"/>
          <w:szCs w:val="24"/>
        </w:rPr>
        <w:t xml:space="preserve"> </w:t>
      </w:r>
      <w:r>
        <w:rPr>
          <w:rFonts w:hint="eastAsia" w:ascii="宋体" w:hAnsi="宋体" w:eastAsia="宋体" w:cs="宋体"/>
          <w:spacing w:val="-1"/>
          <w:sz w:val="24"/>
          <w:szCs w:val="24"/>
        </w:rPr>
        <w:t>准》（GB50137-2011</w:t>
      </w:r>
      <w:r>
        <w:rPr>
          <w:rFonts w:hint="eastAsia" w:ascii="宋体" w:hAnsi="宋体" w:eastAsia="宋体" w:cs="宋体"/>
          <w:spacing w:val="-76"/>
          <w:sz w:val="24"/>
          <w:szCs w:val="24"/>
        </w:rPr>
        <w:t>），</w:t>
      </w:r>
      <w:r>
        <w:rPr>
          <w:rFonts w:hint="eastAsia" w:ascii="宋体" w:hAnsi="宋体" w:eastAsia="宋体" w:cs="宋体"/>
          <w:spacing w:val="-66"/>
          <w:sz w:val="24"/>
          <w:szCs w:val="24"/>
        </w:rPr>
        <w:t xml:space="preserve"> </w:t>
      </w:r>
      <w:r>
        <w:rPr>
          <w:rFonts w:hint="eastAsia" w:ascii="宋体" w:hAnsi="宋体" w:eastAsia="宋体" w:cs="宋体"/>
          <w:spacing w:val="-1"/>
          <w:sz w:val="24"/>
          <w:szCs w:val="24"/>
        </w:rPr>
        <w:t>与自然资源部新印发的《国土空间调查、规</w:t>
      </w:r>
      <w:r>
        <w:rPr>
          <w:rFonts w:hint="eastAsia" w:ascii="宋体" w:hAnsi="宋体" w:eastAsia="宋体" w:cs="宋体"/>
          <w:sz w:val="24"/>
          <w:szCs w:val="24"/>
        </w:rPr>
        <w:t xml:space="preserve"> </w:t>
      </w:r>
      <w:r>
        <w:rPr>
          <w:rFonts w:hint="eastAsia" w:ascii="宋体" w:hAnsi="宋体" w:eastAsia="宋体" w:cs="宋体"/>
          <w:spacing w:val="-4"/>
          <w:sz w:val="24"/>
          <w:szCs w:val="24"/>
        </w:rPr>
        <w:t>划、用途管制用地用海分类指南》〔2023〕存在不一致，亟需进行修改。住建部下发的《完整居住社区建设指南》对现行控规提出了新的配套要求，亟需进一步补充完整居住社区配套相关内容。</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三、 优化调整必要性分析</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(一) 优化调整必要性</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1. 盘活低效用地，提升土地价值。</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4" w:firstLineChars="200"/>
        <w:jc w:val="left"/>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片区现状存在大量低效用地，主要包括城中村、老旧厂房、老  旧房屋和未利用地。初步统计，低效用地总面积约 162 公顷：其中，城中村总面积约 65.7 公顷；老旧厂房总面积约 16.6 公顷；国有土地老旧房屋总面积约 2.5 公顷；未利用地总面积约 77.6 公顷。充分考虑安置用地需求，预计通过控规修编，可腾挪土地约 107 公顷，为城市可持续发展腾出宝贵空间。</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2. 完善城市配套，优化服务水平。</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4" w:firstLineChars="200"/>
        <w:jc w:val="left"/>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陵河南片区作为城市的核心区域，承载着大量常住人口与流动 人口。根据大数据统计，片区常住人口与候鸟期服务人口分别达到 8.5 万人和 10 万人。随着人口的增长和服务需求的提升，片区的配 套设施面临着巨大的挑战，亟待通过新一轮控规修编，优化设施布局，提升服务水平。</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3. 包装实施项目，衔接招商引资。</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4" w:firstLineChars="200"/>
        <w:jc w:val="left"/>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将城市设施短板补充、闲置低效用地盘活、形象提升等项目资源，通过城市更新改造进行整体包装，并衔接招商引资。结合优质公共服务设施投放，释放南部区域价值空间， 促进区域经济发展。</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4. 规划要素保障，服务项目落地。</w:t>
      </w:r>
    </w:p>
    <w:p>
      <w:pPr>
        <w:keepNext w:val="0"/>
        <w:keepLines w:val="0"/>
        <w:pageBreakBefore w:val="0"/>
        <w:widowControl w:val="0"/>
        <w:kinsoku/>
        <w:wordWrap/>
        <w:overflowPunct/>
        <w:topLinePunct w:val="0"/>
        <w:autoSpaceDE w:val="0"/>
        <w:autoSpaceDN w:val="0"/>
        <w:bidi w:val="0"/>
        <w:adjustRightInd w:val="0"/>
        <w:snapToGrid/>
        <w:spacing w:line="560" w:lineRule="exact"/>
        <w:ind w:left="0" w:right="0" w:firstLine="464" w:firstLineChars="200"/>
        <w:jc w:val="left"/>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为确保近期多个民生项目的顺利推进和落地实施，需通过新一 轮的控规修编强化规划要素的保障工作，确保各项建设项目符合规划要求并得到有效实施，为居民创造更加美好的生活环境。</w:t>
      </w:r>
    </w:p>
    <w:p>
      <w:pPr>
        <w:keepNext w:val="0"/>
        <w:keepLines w:val="0"/>
        <w:pageBreakBefore w:val="0"/>
        <w:widowControl w:val="0"/>
        <w:numPr>
          <w:ilvl w:val="0"/>
          <w:numId w:val="6"/>
        </w:numPr>
        <w:kinsoku/>
        <w:wordWrap/>
        <w:overflowPunct/>
        <w:topLinePunct w:val="0"/>
        <w:autoSpaceDE w:val="0"/>
        <w:autoSpaceDN w:val="0"/>
        <w:bidi w:val="0"/>
        <w:adjustRightInd w:val="0"/>
        <w:snapToGrid/>
        <w:spacing w:line="560" w:lineRule="exact"/>
        <w:ind w:left="0" w:right="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优化开发边界，谋划远期指标。</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64" w:firstLineChars="200"/>
        <w:jc w:val="left"/>
        <w:textAlignment w:val="auto"/>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陵水县国土空间规划划定陵河南片区城镇开发边界 1127.38 公顷，但现行控规部分用地位于城镇开发边界外，难以实施；需结合 新的城镇发展方向，优化用地布局，并预先谋划未来城镇开发边界 的调整空间，为年度调整做准备。 同时，启用现行控规的留白用地并赋予相应的用地性质和开发指标，以确保开发建设的有序进行。</w:t>
      </w:r>
    </w:p>
    <w:p>
      <w:pPr>
        <w:keepNext w:val="0"/>
        <w:keepLines w:val="0"/>
        <w:pageBreakBefore w:val="0"/>
        <w:widowControl w:val="0"/>
        <w:numPr>
          <w:ilvl w:val="0"/>
          <w:numId w:val="6"/>
        </w:numPr>
        <w:kinsoku/>
        <w:wordWrap/>
        <w:overflowPunct/>
        <w:topLinePunct w:val="0"/>
        <w:autoSpaceDE w:val="0"/>
        <w:autoSpaceDN w:val="0"/>
        <w:bidi w:val="0"/>
        <w:adjustRightInd w:val="0"/>
        <w:snapToGrid/>
        <w:spacing w:line="560" w:lineRule="exact"/>
        <w:ind w:left="0" w:leftChars="0" w:right="0" w:rightChars="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深化风貌管理，法定管控导则。</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64" w:firstLineChars="200"/>
        <w:jc w:val="left"/>
        <w:textAlignment w:val="auto"/>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针对现状风貌的问题，需结合《陵水县中心城区风貌专项规划》成果，通过制定和执行相应的管控导则和标准要求，深化对风貌的管理和控制工作，确保城市的整体形象和特色得到有效保护和提升。</w:t>
      </w:r>
    </w:p>
    <w:p>
      <w:pPr>
        <w:keepNext w:val="0"/>
        <w:keepLines w:val="0"/>
        <w:pageBreakBefore w:val="0"/>
        <w:widowControl w:val="0"/>
        <w:numPr>
          <w:ilvl w:val="0"/>
          <w:numId w:val="7"/>
        </w:numPr>
        <w:kinsoku/>
        <w:wordWrap/>
        <w:overflowPunct/>
        <w:topLinePunct w:val="0"/>
        <w:autoSpaceDE w:val="0"/>
        <w:autoSpaceDN w:val="0"/>
        <w:bidi w:val="0"/>
        <w:adjustRightInd w:val="0"/>
        <w:snapToGrid/>
        <w:spacing w:line="560" w:lineRule="exact"/>
        <w:ind w:right="0" w:rightChars="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法律法规依据</w:t>
      </w:r>
    </w:p>
    <w:p>
      <w:pPr>
        <w:keepNext w:val="0"/>
        <w:keepLines w:val="0"/>
        <w:pageBreakBefore w:val="0"/>
        <w:widowControl w:val="0"/>
        <w:numPr>
          <w:ilvl w:val="0"/>
          <w:numId w:val="8"/>
        </w:numPr>
        <w:kinsoku/>
        <w:wordWrap/>
        <w:overflowPunct/>
        <w:topLinePunct w:val="0"/>
        <w:autoSpaceDE w:val="0"/>
        <w:autoSpaceDN w:val="0"/>
        <w:bidi w:val="0"/>
        <w:adjustRightInd w:val="0"/>
        <w:snapToGrid/>
        <w:spacing w:line="560" w:lineRule="exact"/>
        <w:ind w:right="0" w:rightChars="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控规修改规定</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560" w:lineRule="exact"/>
        <w:ind w:right="0" w:rightChars="0" w:firstLine="466" w:firstLineChars="200"/>
        <w:jc w:val="left"/>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《中华人民共和国城乡规划法》 (2019 年修正)</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80" w:firstLineChars="200"/>
        <w:jc w:val="left"/>
        <w:textAlignment w:val="auto"/>
        <w:rPr>
          <w:spacing w:val="-1"/>
          <w:sz w:val="24"/>
          <w:szCs w:val="24"/>
        </w:rPr>
      </w:pPr>
      <w:r>
        <w:rPr>
          <w:sz w:val="24"/>
          <w:szCs w:val="24"/>
        </w:rPr>
        <w:t xml:space="preserve">第四十八条 </w:t>
      </w:r>
      <w:r>
        <w:rPr>
          <w:b/>
          <w:bCs/>
          <w:sz w:val="24"/>
          <w:szCs w:val="24"/>
        </w:rPr>
        <w:t>修改控制性详细规划的，组织编制机关应当对修改</w:t>
      </w:r>
      <w:r>
        <w:rPr>
          <w:b/>
          <w:bCs/>
          <w:spacing w:val="5"/>
          <w:sz w:val="24"/>
          <w:szCs w:val="24"/>
        </w:rPr>
        <w:t>的必要性进行论证</w:t>
      </w:r>
      <w:r>
        <w:rPr>
          <w:spacing w:val="5"/>
          <w:sz w:val="24"/>
          <w:szCs w:val="24"/>
        </w:rPr>
        <w:t>，控制性详细规划修改涉及城市总体规划、镇总</w:t>
      </w:r>
      <w:r>
        <w:rPr>
          <w:spacing w:val="-1"/>
          <w:sz w:val="24"/>
          <w:szCs w:val="24"/>
        </w:rPr>
        <w:t>体规划的强制性内容的，应当先修改总体规划。</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560" w:lineRule="exact"/>
        <w:ind w:left="0" w:leftChars="0" w:right="0" w:rightChars="0" w:firstLine="478" w:firstLineChars="200"/>
        <w:jc w:val="left"/>
        <w:textAlignment w:val="auto"/>
        <w:rPr>
          <w:b/>
          <w:bCs/>
          <w:spacing w:val="-1"/>
          <w:sz w:val="24"/>
          <w:szCs w:val="24"/>
        </w:rPr>
      </w:pPr>
      <w:r>
        <w:rPr>
          <w:b/>
          <w:bCs/>
          <w:spacing w:val="-1"/>
          <w:sz w:val="24"/>
          <w:szCs w:val="24"/>
        </w:rPr>
        <w:t>《城市、镇控制性详细规划编制审批办法》</w:t>
      </w:r>
    </w:p>
    <w:p>
      <w:pPr>
        <w:keepNext w:val="0"/>
        <w:keepLines w:val="0"/>
        <w:pageBreakBefore w:val="0"/>
        <w:widowControl w:val="0"/>
        <w:numPr>
          <w:ilvl w:val="0"/>
          <w:numId w:val="10"/>
        </w:numPr>
        <w:kinsoku/>
        <w:wordWrap/>
        <w:overflowPunct/>
        <w:topLinePunct w:val="0"/>
        <w:autoSpaceDE w:val="0"/>
        <w:autoSpaceDN w:val="0"/>
        <w:bidi w:val="0"/>
        <w:adjustRightInd w:val="0"/>
        <w:snapToGrid/>
        <w:spacing w:line="560" w:lineRule="exact"/>
        <w:ind w:right="0" w:rightChars="0" w:firstLine="478" w:firstLineChars="200"/>
        <w:jc w:val="left"/>
        <w:textAlignment w:val="auto"/>
        <w:rPr>
          <w:rFonts w:hint="eastAsia"/>
          <w:b/>
          <w:bCs/>
          <w:spacing w:val="-1"/>
          <w:sz w:val="24"/>
          <w:szCs w:val="24"/>
          <w:lang w:eastAsia="zh-CN"/>
        </w:rPr>
      </w:pPr>
      <w:r>
        <w:rPr>
          <w:b/>
          <w:bCs/>
          <w:spacing w:val="-1"/>
          <w:sz w:val="24"/>
          <w:szCs w:val="24"/>
        </w:rPr>
        <w:t>控制性详细规划组织编制机关应当建立规划动态维护制度，有计划、有组织地对控制性详细规划进行评估和维护</w:t>
      </w:r>
      <w:r>
        <w:rPr>
          <w:rFonts w:hint="eastAsia"/>
          <w:b/>
          <w:bCs/>
          <w:spacing w:val="-1"/>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6" w:firstLineChars="200"/>
        <w:jc w:val="left"/>
        <w:textAlignment w:val="auto"/>
        <w:rPr>
          <w:rFonts w:hint="eastAsia"/>
          <w:b/>
          <w:bCs/>
          <w:spacing w:val="-1"/>
          <w:sz w:val="24"/>
          <w:szCs w:val="24"/>
          <w:lang w:eastAsia="zh-CN"/>
        </w:rPr>
      </w:pPr>
      <w:r>
        <w:rPr>
          <w:rFonts w:hint="eastAsia"/>
          <w:b w:val="0"/>
          <w:bCs w:val="0"/>
          <w:spacing w:val="-1"/>
          <w:sz w:val="24"/>
          <w:szCs w:val="24"/>
          <w:lang w:eastAsia="zh-CN"/>
        </w:rPr>
        <w:t xml:space="preserve">第二十条 </w:t>
      </w:r>
      <w:r>
        <w:rPr>
          <w:rFonts w:hint="eastAsia"/>
          <w:b/>
          <w:bCs/>
          <w:spacing w:val="-1"/>
          <w:sz w:val="24"/>
          <w:szCs w:val="24"/>
          <w:lang w:eastAsia="zh-CN"/>
        </w:rPr>
        <w:t>经批准后的控制性详细规划具有法定效力，任何单位和个人不得随意修改；确需修改的，应当按照下列程序进行：</w:t>
      </w:r>
    </w:p>
    <w:p>
      <w:pPr>
        <w:keepNext w:val="0"/>
        <w:keepLines w:val="0"/>
        <w:pageBreakBefore w:val="0"/>
        <w:widowControl w:val="0"/>
        <w:numPr>
          <w:ilvl w:val="0"/>
          <w:numId w:val="11"/>
        </w:numPr>
        <w:kinsoku/>
        <w:wordWrap/>
        <w:overflowPunct/>
        <w:topLinePunct w:val="0"/>
        <w:autoSpaceDE w:val="0"/>
        <w:autoSpaceDN w:val="0"/>
        <w:bidi w:val="0"/>
        <w:adjustRightInd w:val="0"/>
        <w:snapToGrid/>
        <w:spacing w:line="560" w:lineRule="exact"/>
        <w:ind w:right="0" w:rightChars="0" w:firstLine="506" w:firstLineChars="200"/>
        <w:jc w:val="left"/>
        <w:textAlignment w:val="auto"/>
        <w:rPr>
          <w:spacing w:val="5"/>
          <w:sz w:val="24"/>
          <w:szCs w:val="24"/>
        </w:rPr>
      </w:pPr>
      <w:r>
        <w:rPr>
          <w:b/>
          <w:bCs/>
          <w:spacing w:val="6"/>
          <w:sz w:val="24"/>
          <w:szCs w:val="24"/>
        </w:rPr>
        <w:t>控制性详细规划组织编制机关应当组织对控制性详细规</w:t>
      </w:r>
      <w:r>
        <w:rPr>
          <w:b/>
          <w:bCs/>
          <w:spacing w:val="5"/>
          <w:sz w:val="24"/>
          <w:szCs w:val="24"/>
        </w:rPr>
        <w:t>划修改的必</w:t>
      </w:r>
      <w:r>
        <w:rPr>
          <w:b/>
          <w:bCs/>
          <w:spacing w:val="-1"/>
          <w:sz w:val="24"/>
          <w:szCs w:val="24"/>
        </w:rPr>
        <w:t>要性进行专题论证</w:t>
      </w:r>
      <w:r>
        <w:rPr>
          <w:b/>
          <w:bCs/>
          <w:spacing w:val="-36"/>
          <w:sz w:val="24"/>
          <w:szCs w:val="24"/>
        </w:rPr>
        <w:t>；</w:t>
      </w:r>
      <w:r>
        <w:rPr>
          <w:rFonts w:hint="eastAsia"/>
          <w:b/>
          <w:bCs/>
          <w:spacing w:val="-1"/>
          <w:sz w:val="24"/>
          <w:szCs w:val="24"/>
          <w:lang w:eastAsia="zh-CN"/>
        </w:rPr>
        <w:t>（</w:t>
      </w:r>
      <w:r>
        <w:rPr>
          <w:rFonts w:hint="eastAsia"/>
          <w:b/>
          <w:bCs/>
          <w:spacing w:val="-1"/>
          <w:sz w:val="24"/>
          <w:szCs w:val="24"/>
          <w:lang w:val="en-US" w:eastAsia="zh-CN"/>
        </w:rPr>
        <w:t>二）</w:t>
      </w:r>
      <w:r>
        <w:rPr>
          <w:spacing w:val="-1"/>
          <w:sz w:val="24"/>
          <w:szCs w:val="24"/>
        </w:rPr>
        <w:t>控制性详细规划组织编制机关应当采用多</w:t>
      </w:r>
      <w:r>
        <w:rPr>
          <w:spacing w:val="5"/>
          <w:sz w:val="24"/>
          <w:szCs w:val="24"/>
        </w:rPr>
        <w:t>种方式征求规划地段内利害关系人的意见，必要时应当组织听证；（三）控制性详细规划组织编制机关提出修改控制性详细规划的建 议，并向原审批机关提出专题报告，经原审批机关同意后，方可组 织编制修改方案；（四）修改后应当按法定程序审查报批。报批材料中应当附具规划地段内利害关系人意见及处理结果。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502" w:firstLineChars="200"/>
        <w:jc w:val="left"/>
        <w:textAlignment w:val="auto"/>
        <w:rPr>
          <w:b/>
          <w:bCs/>
          <w:spacing w:val="5"/>
          <w:sz w:val="24"/>
          <w:szCs w:val="24"/>
        </w:rPr>
      </w:pPr>
      <w:r>
        <w:rPr>
          <w:b/>
          <w:bCs/>
          <w:spacing w:val="5"/>
          <w:sz w:val="24"/>
          <w:szCs w:val="24"/>
        </w:rPr>
        <w:t>2. 控规修改依据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502" w:firstLineChars="200"/>
        <w:jc w:val="left"/>
        <w:textAlignment w:val="auto"/>
        <w:rPr>
          <w:b/>
          <w:bCs/>
          <w:spacing w:val="5"/>
          <w:sz w:val="24"/>
          <w:szCs w:val="24"/>
        </w:rPr>
      </w:pPr>
      <w:r>
        <w:rPr>
          <w:b/>
          <w:bCs/>
          <w:spacing w:val="5"/>
          <w:sz w:val="24"/>
          <w:szCs w:val="24"/>
        </w:rPr>
        <w:t>1)《海南省城乡规划条例》 (2018 年修正版)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64" w:firstLineChars="200"/>
        <w:jc w:val="left"/>
        <w:textAlignment w:val="auto"/>
        <w:rPr>
          <w:spacing w:val="-4"/>
          <w:sz w:val="24"/>
          <w:szCs w:val="24"/>
        </w:rPr>
      </w:pPr>
      <w:r>
        <w:rPr>
          <w:spacing w:val="-4"/>
          <w:sz w:val="24"/>
          <w:szCs w:val="24"/>
        </w:rPr>
        <w:t>第五十九条  有下列情形之一的，组织编制机关方可对控制性</w:t>
      </w:r>
      <w:r>
        <w:rPr>
          <w:spacing w:val="1"/>
          <w:sz w:val="24"/>
          <w:szCs w:val="24"/>
        </w:rPr>
        <w:t>详细规划进行修改:</w:t>
      </w:r>
      <w:r>
        <w:rPr>
          <w:spacing w:val="-66"/>
          <w:sz w:val="24"/>
          <w:szCs w:val="24"/>
        </w:rPr>
        <w:t xml:space="preserve"> </w:t>
      </w:r>
      <w:r>
        <w:rPr>
          <w:b/>
          <w:bCs/>
          <w:spacing w:val="1"/>
          <w:sz w:val="24"/>
          <w:szCs w:val="24"/>
        </w:rPr>
        <w:t>(一）</w:t>
      </w:r>
      <w:r>
        <w:rPr>
          <w:b/>
          <w:bCs/>
          <w:spacing w:val="-83"/>
          <w:sz w:val="24"/>
          <w:szCs w:val="24"/>
        </w:rPr>
        <w:t xml:space="preserve"> </w:t>
      </w:r>
      <w:r>
        <w:rPr>
          <w:b/>
          <w:bCs/>
          <w:spacing w:val="1"/>
          <w:sz w:val="24"/>
          <w:szCs w:val="24"/>
        </w:rPr>
        <w:t>因城市、镇、乡、旅游度假区、产业园区</w:t>
      </w:r>
      <w:r>
        <w:rPr>
          <w:b/>
          <w:bCs/>
          <w:spacing w:val="6"/>
          <w:sz w:val="24"/>
          <w:szCs w:val="24"/>
        </w:rPr>
        <w:t>总体规划发生变化，需要修改的;</w:t>
      </w:r>
      <w:r>
        <w:rPr>
          <w:spacing w:val="6"/>
          <w:sz w:val="24"/>
          <w:szCs w:val="24"/>
        </w:rPr>
        <w:t>(二）实施国家、省重点工程需要</w:t>
      </w:r>
      <w:r>
        <w:rPr>
          <w:sz w:val="24"/>
          <w:szCs w:val="24"/>
        </w:rPr>
        <w:t xml:space="preserve"> </w:t>
      </w:r>
      <w:r>
        <w:rPr>
          <w:spacing w:val="6"/>
          <w:sz w:val="24"/>
          <w:szCs w:val="24"/>
        </w:rPr>
        <w:t>修改的;(三）实施市、县、自治县重点基础设施和</w:t>
      </w:r>
      <w:r>
        <w:rPr>
          <w:spacing w:val="5"/>
          <w:sz w:val="24"/>
          <w:szCs w:val="24"/>
        </w:rPr>
        <w:t>公共服务设施、</w:t>
      </w:r>
      <w:r>
        <w:rPr>
          <w:spacing w:val="-4"/>
          <w:sz w:val="24"/>
          <w:szCs w:val="24"/>
        </w:rPr>
        <w:t>防灾减灾工程等民生工程建设需要修改的。</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66" w:firstLineChars="200"/>
        <w:jc w:val="left"/>
        <w:textAlignment w:val="auto"/>
        <w:rPr>
          <w:b/>
          <w:bCs/>
          <w:spacing w:val="-4"/>
          <w:sz w:val="24"/>
          <w:szCs w:val="24"/>
        </w:rPr>
      </w:pPr>
      <w:r>
        <w:rPr>
          <w:b/>
          <w:bCs/>
          <w:spacing w:val="-4"/>
          <w:sz w:val="24"/>
          <w:szCs w:val="24"/>
        </w:rPr>
        <w:t>2)《海南省人民政府办公厅关于加强国土空间规划监督管理的若干意见》（琼府办[2021]12 号）</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6" w:firstLineChars="200"/>
        <w:jc w:val="left"/>
        <w:textAlignment w:val="auto"/>
        <w:rPr>
          <w:b/>
          <w:bCs/>
          <w:spacing w:val="-3"/>
          <w:sz w:val="24"/>
          <w:szCs w:val="24"/>
        </w:rPr>
      </w:pPr>
      <w:r>
        <w:rPr>
          <w:spacing w:val="-1"/>
          <w:sz w:val="24"/>
          <w:szCs w:val="24"/>
        </w:rPr>
        <w:t>(三)严格界定控制性详细规划调整的条件。规划调整应当以保</w:t>
      </w:r>
      <w:r>
        <w:rPr>
          <w:spacing w:val="3"/>
          <w:sz w:val="24"/>
          <w:szCs w:val="24"/>
        </w:rPr>
        <w:t xml:space="preserve"> </w:t>
      </w:r>
      <w:r>
        <w:rPr>
          <w:spacing w:val="6"/>
          <w:sz w:val="24"/>
          <w:szCs w:val="24"/>
        </w:rPr>
        <w:t>障公共利益和人民群众高品质生活为前提，不得违反市县总体规划</w:t>
      </w:r>
      <w:r>
        <w:rPr>
          <w:sz w:val="24"/>
          <w:szCs w:val="24"/>
        </w:rPr>
        <w:t xml:space="preserve"> </w:t>
      </w:r>
      <w:r>
        <w:rPr>
          <w:spacing w:val="6"/>
          <w:sz w:val="24"/>
          <w:szCs w:val="24"/>
        </w:rPr>
        <w:t>(国土空间总体规划)底线和生态环境、自</w:t>
      </w:r>
      <w:r>
        <w:rPr>
          <w:spacing w:val="5"/>
          <w:sz w:val="24"/>
          <w:szCs w:val="24"/>
        </w:rPr>
        <w:t>然与历史文化遗产保护、</w:t>
      </w:r>
      <w:r>
        <w:rPr>
          <w:spacing w:val="-1"/>
          <w:sz w:val="24"/>
          <w:szCs w:val="24"/>
        </w:rPr>
        <w:t>城市安全等强制性要求。</w:t>
      </w:r>
      <w:r>
        <w:rPr>
          <w:b/>
          <w:bCs/>
          <w:spacing w:val="-1"/>
          <w:sz w:val="24"/>
          <w:szCs w:val="24"/>
        </w:rPr>
        <w:t>因上位规划发生变化，或者国家和省重点</w:t>
      </w:r>
      <w:r>
        <w:rPr>
          <w:b/>
          <w:bCs/>
          <w:sz w:val="24"/>
          <w:szCs w:val="24"/>
        </w:rPr>
        <w:t xml:space="preserve"> </w:t>
      </w:r>
      <w:r>
        <w:rPr>
          <w:b/>
          <w:bCs/>
          <w:spacing w:val="5"/>
          <w:sz w:val="24"/>
          <w:szCs w:val="24"/>
        </w:rPr>
        <w:t>工程、市县重点基础设施和公共服务设施、防灾减灾等民生工程，</w:t>
      </w:r>
      <w:r>
        <w:rPr>
          <w:b/>
          <w:bCs/>
          <w:spacing w:val="-3"/>
          <w:sz w:val="24"/>
          <w:szCs w:val="24"/>
        </w:rPr>
        <w:t>以及其他经评估确需调整的情形，方可开展规划调整工作。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96" w:firstLineChars="200"/>
        <w:jc w:val="left"/>
        <w:textAlignment w:val="auto"/>
        <w:rPr>
          <w:spacing w:val="-1"/>
          <w:sz w:val="24"/>
          <w:szCs w:val="24"/>
        </w:rPr>
      </w:pPr>
      <w:r>
        <w:rPr>
          <w:spacing w:val="4"/>
          <w:sz w:val="24"/>
          <w:szCs w:val="24"/>
        </w:rPr>
        <w:t>(四)严格规范控制性详细规划调整程序。将规划调整分为</w:t>
      </w:r>
      <w:r>
        <w:rPr>
          <w:spacing w:val="3"/>
          <w:sz w:val="24"/>
          <w:szCs w:val="24"/>
        </w:rPr>
        <w:t>重大</w:t>
      </w:r>
      <w:r>
        <w:rPr>
          <w:spacing w:val="6"/>
          <w:sz w:val="24"/>
          <w:szCs w:val="24"/>
        </w:rPr>
        <w:t>调整、一般调整和技术修正。重大调整是指其他用途用地调整为经营性用地、经营性用地之间调整，包括调整用地性质、容积率等规划条件的情形。严格限制规划重大调整，对确需调整的，</w:t>
      </w:r>
      <w:r>
        <w:rPr>
          <w:b/>
          <w:bCs/>
          <w:spacing w:val="6"/>
          <w:sz w:val="24"/>
          <w:szCs w:val="24"/>
        </w:rPr>
        <w:t>组织编制</w:t>
      </w:r>
      <w:r>
        <w:rPr>
          <w:b/>
          <w:bCs/>
          <w:spacing w:val="3"/>
          <w:sz w:val="24"/>
          <w:szCs w:val="24"/>
        </w:rPr>
        <w:t xml:space="preserve"> </w:t>
      </w:r>
      <w:r>
        <w:rPr>
          <w:b/>
          <w:bCs/>
          <w:spacing w:val="6"/>
          <w:sz w:val="24"/>
          <w:szCs w:val="24"/>
        </w:rPr>
        <w:t>机关应当对修改的必要性进行论证，采取听证会或</w:t>
      </w:r>
      <w:r>
        <w:rPr>
          <w:b/>
          <w:bCs/>
          <w:spacing w:val="5"/>
          <w:sz w:val="24"/>
          <w:szCs w:val="24"/>
        </w:rPr>
        <w:t>其他方式征求规</w:t>
      </w:r>
      <w:r>
        <w:rPr>
          <w:b/>
          <w:bCs/>
          <w:spacing w:val="6"/>
          <w:sz w:val="24"/>
          <w:szCs w:val="24"/>
        </w:rPr>
        <w:t>划地段内利害关系人的意见，并形成专题报告，经原审批机关同意</w:t>
      </w:r>
      <w:r>
        <w:rPr>
          <w:b/>
          <w:bCs/>
          <w:spacing w:val="1"/>
          <w:sz w:val="24"/>
          <w:szCs w:val="24"/>
        </w:rPr>
        <w:t>后方可编制修改方案</w:t>
      </w:r>
      <w:r>
        <w:rPr>
          <w:spacing w:val="1"/>
          <w:sz w:val="24"/>
          <w:szCs w:val="24"/>
        </w:rPr>
        <w:t>;修改后的规划，应当经市县规划委员会审议通</w:t>
      </w:r>
      <w:r>
        <w:rPr>
          <w:spacing w:val="6"/>
          <w:sz w:val="24"/>
          <w:szCs w:val="24"/>
        </w:rPr>
        <w:t xml:space="preserve"> 过后，按法定程序报批。对已委托下放给市县的事项以外的重要规</w:t>
      </w:r>
      <w:r>
        <w:rPr>
          <w:sz w:val="24"/>
          <w:szCs w:val="24"/>
        </w:rPr>
        <w:t xml:space="preserve"> </w:t>
      </w:r>
      <w:r>
        <w:rPr>
          <w:spacing w:val="6"/>
          <w:sz w:val="24"/>
          <w:szCs w:val="24"/>
        </w:rPr>
        <w:t>划控制区范围内规划重大调整的，除履行上述程序外，应由市县政</w:t>
      </w:r>
      <w:r>
        <w:rPr>
          <w:spacing w:val="-1"/>
          <w:sz w:val="24"/>
          <w:szCs w:val="24"/>
        </w:rPr>
        <w:t>府报省自然资源和规划厅审查审批。</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8" w:firstLineChars="200"/>
        <w:jc w:val="left"/>
        <w:textAlignment w:val="auto"/>
        <w:rPr>
          <w:b/>
          <w:bCs/>
          <w:spacing w:val="-1"/>
          <w:sz w:val="24"/>
          <w:szCs w:val="24"/>
        </w:rPr>
      </w:pPr>
      <w:r>
        <w:rPr>
          <w:b/>
          <w:bCs/>
          <w:spacing w:val="-1"/>
          <w:sz w:val="24"/>
          <w:szCs w:val="24"/>
        </w:rPr>
        <w:t>3. 控规修改程序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8" w:firstLineChars="200"/>
        <w:jc w:val="left"/>
        <w:textAlignment w:val="auto"/>
        <w:rPr>
          <w:b/>
          <w:bCs/>
          <w:spacing w:val="-1"/>
          <w:sz w:val="24"/>
          <w:szCs w:val="24"/>
        </w:rPr>
      </w:pPr>
      <w:r>
        <w:rPr>
          <w:b/>
          <w:bCs/>
          <w:spacing w:val="-1"/>
          <w:sz w:val="24"/>
          <w:szCs w:val="24"/>
        </w:rPr>
        <w:t>1)《海南省城乡规划条例》 (2018 年修正版)第六十条 控制性详细规划的修改，组织编制机关应当对修改的 必要性进行论证，征求规划地段内利害关系人的意见，并向原审批 机关提出专题报告，经原审批机关同意后，方可编制修改方案，控 制性洋细规划的修改涉及总体规划强制性内容的，应当先修改总体 规划。 修改后的控制性详细规划，应当依照本条例第十四条规定的审批程序报批。</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6" w:firstLineChars="200"/>
        <w:jc w:val="left"/>
        <w:textAlignment w:val="auto"/>
        <w:rPr>
          <w:b w:val="0"/>
          <w:bCs w:val="0"/>
          <w:spacing w:val="-1"/>
          <w:sz w:val="24"/>
          <w:szCs w:val="24"/>
        </w:rPr>
      </w:pPr>
      <w:r>
        <w:rPr>
          <w:b w:val="0"/>
          <w:bCs w:val="0"/>
          <w:spacing w:val="-1"/>
          <w:sz w:val="24"/>
          <w:szCs w:val="24"/>
        </w:rPr>
        <w:t>第十四条 城市和县、自治县人民政府所在地镇的控制性详细规划， 由市、县、自治县人民政府规划主管部门根据城市总体规划和镇总体规划的要求组织编制，经市、县、自治县人民政府审批后，报本级人民代表大会常务委员会和省人民政府备案。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8" w:firstLineChars="200"/>
        <w:jc w:val="left"/>
        <w:textAlignment w:val="auto"/>
        <w:rPr>
          <w:rFonts w:hint="eastAsia"/>
          <w:b w:val="0"/>
          <w:bCs w:val="0"/>
          <w:spacing w:val="-1"/>
          <w:sz w:val="24"/>
          <w:szCs w:val="24"/>
          <w:lang w:eastAsia="zh-CN"/>
        </w:rPr>
      </w:pPr>
      <w:r>
        <w:rPr>
          <w:b/>
          <w:bCs/>
          <w:spacing w:val="-1"/>
          <w:sz w:val="24"/>
          <w:szCs w:val="24"/>
        </w:rPr>
        <w:t>2)《海南省城镇开发边界内控制性详细规划调整管理办法(试行)》 (2022 年 7 月)</w:t>
      </w:r>
      <w:r>
        <w:rPr>
          <w:b w:val="0"/>
          <w:bCs w:val="0"/>
          <w:spacing w:val="-1"/>
          <w:sz w:val="24"/>
          <w:szCs w:val="24"/>
        </w:rPr>
        <w:t>第四条 控制性详细规划调整应当符合《海南省城乡规划条例》 第五十九条。控制性详细规划调整分为重大调整、 一般调整。对规划成果表达错误和信息误差进行勘误属于技术修正</w:t>
      </w:r>
      <w:r>
        <w:rPr>
          <w:rFonts w:hint="eastAsia"/>
          <w:b w:val="0"/>
          <w:bCs w:val="0"/>
          <w:spacing w:val="-1"/>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6" w:firstLineChars="200"/>
        <w:jc w:val="left"/>
        <w:textAlignment w:val="auto"/>
        <w:rPr>
          <w:rFonts w:hint="eastAsia"/>
          <w:b w:val="0"/>
          <w:bCs w:val="0"/>
          <w:spacing w:val="-1"/>
          <w:sz w:val="24"/>
          <w:szCs w:val="24"/>
          <w:lang w:eastAsia="zh-CN"/>
        </w:rPr>
      </w:pPr>
      <w:r>
        <w:rPr>
          <w:rFonts w:hint="eastAsia"/>
          <w:b w:val="0"/>
          <w:bCs w:val="0"/>
          <w:spacing w:val="-1"/>
          <w:sz w:val="24"/>
          <w:szCs w:val="24"/>
          <w:lang w:eastAsia="zh-CN"/>
        </w:rPr>
        <w:t>第六条 属于以下情形之一的，为重大调整:</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right="0" w:rightChars="0" w:firstLine="476" w:firstLineChars="200"/>
        <w:jc w:val="left"/>
        <w:textAlignment w:val="auto"/>
        <w:rPr>
          <w:rFonts w:hint="eastAsia"/>
          <w:b w:val="0"/>
          <w:bCs w:val="0"/>
          <w:spacing w:val="-1"/>
          <w:sz w:val="24"/>
          <w:szCs w:val="24"/>
          <w:lang w:eastAsia="zh-CN"/>
        </w:rPr>
      </w:pPr>
      <w:r>
        <w:rPr>
          <w:rFonts w:hint="eastAsia"/>
          <w:b w:val="0"/>
          <w:bCs w:val="0"/>
          <w:spacing w:val="-1"/>
          <w:sz w:val="24"/>
          <w:szCs w:val="24"/>
          <w:lang w:eastAsia="zh-CN"/>
        </w:rPr>
        <w:t>(一)片区控制性详细规划整体修编的;(二)单元规划主导功能属 性修改， 或者单元规划各控制单元之间建设规模指标腾挪的;(三)规 划其他用途的用地调整为居住用地、商业服务业用地的， 以及居住 用地、商业服务业用地之间优化调整用地性质的(含用地性质比 例);(四)规划居住用地、商业服务业用地调整容积率、建筑限高、建筑密度、绿地率等控制指标的;(五)审批机关认为应当修改规划的其他情形。</w:t>
      </w:r>
    </w:p>
    <w:p>
      <w:pPr>
        <w:pStyle w:val="3"/>
        <w:spacing w:before="230" w:line="381" w:lineRule="auto"/>
        <w:ind w:left="27" w:firstLine="618"/>
        <w:rPr>
          <w:rFonts w:hint="eastAsia"/>
          <w:b/>
          <w:bCs/>
          <w:spacing w:val="-1"/>
          <w:sz w:val="24"/>
          <w:szCs w:val="24"/>
          <w:lang w:eastAsia="zh-CN"/>
        </w:rPr>
      </w:pPr>
      <w:r>
        <w:rPr>
          <w:rFonts w:hint="eastAsia"/>
          <w:b/>
          <w:bCs/>
          <w:spacing w:val="-1"/>
          <w:sz w:val="24"/>
          <w:szCs w:val="24"/>
          <w:lang w:eastAsia="zh-CN"/>
        </w:rPr>
        <w:t>第九条 重大调整应当遵守以下程序进行:</w:t>
      </w:r>
    </w:p>
    <w:p>
      <w:pPr>
        <w:pStyle w:val="3"/>
        <w:keepNext w:val="0"/>
        <w:keepLines w:val="0"/>
        <w:pageBreakBefore w:val="0"/>
        <w:widowControl w:val="0"/>
        <w:kinsoku/>
        <w:wordWrap/>
        <w:overflowPunct/>
        <w:topLinePunct w:val="0"/>
        <w:autoSpaceDE/>
        <w:autoSpaceDN/>
        <w:bidi w:val="0"/>
        <w:adjustRightInd w:val="0"/>
        <w:snapToGrid/>
        <w:spacing w:line="560" w:lineRule="exact"/>
        <w:ind w:firstLine="490" w:firstLineChars="200"/>
        <w:textAlignment w:val="baseline"/>
        <w:rPr>
          <w:rFonts w:hint="eastAsia" w:ascii="宋体" w:hAnsi="宋体" w:eastAsia="宋体" w:cs="宋体"/>
          <w:b/>
          <w:bCs/>
          <w:spacing w:val="-7"/>
        </w:rPr>
      </w:pPr>
      <w:r>
        <w:rPr>
          <w:rFonts w:hint="eastAsia" w:ascii="宋体" w:hAnsi="宋体" w:eastAsia="宋体" w:cs="宋体"/>
          <w:b/>
          <w:bCs/>
          <w:spacing w:val="2"/>
        </w:rPr>
        <w:t xml:space="preserve">(一)组织编制机关对必要性进行论证，征求规划地段利害关系  </w:t>
      </w:r>
      <w:r>
        <w:rPr>
          <w:rFonts w:hint="eastAsia" w:ascii="宋体" w:hAnsi="宋体" w:eastAsia="宋体" w:cs="宋体"/>
          <w:b/>
          <w:bCs/>
          <w:spacing w:val="-1"/>
        </w:rPr>
        <w:t>人的意见;(二)组织编制关应当提出专题报告，报原审批机关同意后，</w:t>
      </w:r>
      <w:r>
        <w:rPr>
          <w:rFonts w:hint="eastAsia" w:ascii="宋体" w:hAnsi="宋体" w:eastAsia="宋体" w:cs="宋体"/>
          <w:b/>
          <w:bCs/>
        </w:rPr>
        <w:t>方可组织编制修改方案;(三)组织编制机关对修改方案组织审查，充</w:t>
      </w:r>
      <w:r>
        <w:rPr>
          <w:rFonts w:hint="eastAsia" w:ascii="宋体" w:hAnsi="宋体" w:eastAsia="宋体" w:cs="宋体"/>
          <w:b/>
          <w:bCs/>
          <w:spacing w:val="5"/>
        </w:rPr>
        <w:t>分听取专家、部门、公众意见，并经市县规划委员会审议通过后，</w:t>
      </w:r>
      <w:r>
        <w:rPr>
          <w:rFonts w:hint="eastAsia" w:ascii="宋体" w:hAnsi="宋体" w:eastAsia="宋体" w:cs="宋体"/>
          <w:b/>
          <w:bCs/>
          <w:spacing w:val="-7"/>
        </w:rPr>
        <w:t>依法报批。</w:t>
      </w:r>
    </w:p>
    <w:p>
      <w:pPr>
        <w:pStyle w:val="3"/>
        <w:keepNext w:val="0"/>
        <w:keepLines w:val="0"/>
        <w:pageBreakBefore w:val="0"/>
        <w:widowControl w:val="0"/>
        <w:kinsoku/>
        <w:wordWrap/>
        <w:overflowPunct/>
        <w:topLinePunct w:val="0"/>
        <w:autoSpaceDE/>
        <w:autoSpaceDN/>
        <w:bidi w:val="0"/>
        <w:adjustRightInd w:val="0"/>
        <w:snapToGrid/>
        <w:spacing w:line="560" w:lineRule="exact"/>
        <w:ind w:firstLine="454" w:firstLineChars="200"/>
        <w:textAlignment w:val="baseline"/>
        <w:rPr>
          <w:rFonts w:hint="eastAsia" w:ascii="宋体" w:hAnsi="宋体" w:eastAsia="宋体" w:cs="宋体"/>
          <w:b/>
          <w:bCs/>
          <w:spacing w:val="-7"/>
        </w:rPr>
      </w:pPr>
      <w:r>
        <w:rPr>
          <w:rFonts w:hint="eastAsia" w:ascii="宋体" w:hAnsi="宋体" w:eastAsia="宋体" w:cs="宋体"/>
          <w:b/>
          <w:bCs/>
          <w:spacing w:val="-7"/>
        </w:rPr>
        <w:t>4. 控规修编依据总结</w:t>
      </w:r>
    </w:p>
    <w:p>
      <w:pPr>
        <w:pStyle w:val="3"/>
        <w:keepNext w:val="0"/>
        <w:keepLines w:val="0"/>
        <w:pageBreakBefore w:val="0"/>
        <w:widowControl w:val="0"/>
        <w:kinsoku/>
        <w:wordWrap/>
        <w:overflowPunct/>
        <w:topLinePunct w:val="0"/>
        <w:autoSpaceDE/>
        <w:autoSpaceDN/>
        <w:bidi w:val="0"/>
        <w:adjustRightInd w:val="0"/>
        <w:snapToGrid/>
        <w:spacing w:line="560" w:lineRule="exact"/>
        <w:ind w:firstLine="452" w:firstLineChars="200"/>
        <w:textAlignment w:val="baseline"/>
        <w:rPr>
          <w:rFonts w:hint="eastAsia" w:ascii="宋体" w:hAnsi="宋体" w:eastAsia="宋体" w:cs="宋体"/>
          <w:b w:val="0"/>
          <w:bCs w:val="0"/>
          <w:spacing w:val="-7"/>
        </w:rPr>
      </w:pPr>
      <w:r>
        <w:rPr>
          <w:rFonts w:hint="eastAsia" w:ascii="宋体" w:hAnsi="宋体" w:eastAsia="宋体" w:cs="宋体"/>
          <w:b w:val="0"/>
          <w:bCs w:val="0"/>
          <w:spacing w:val="-7"/>
        </w:rPr>
        <w:t>在《陵水黎族自治县国土空间总体规划(2021—2035 年)》中， 已划定批复的生态保护红线、永久基本农田、城镇开发边界三条控 制线以及空间战略对片区提出新的要求。依据《海南省城乡规划条 例》第五十九条第(一)款即 “有下列情形之一的，组织编制机关方 可对控制性详细规划进行修改:因城市、镇、乡、旅游度 假区、产 业园区总体规划发生变化，需要修改的”，可以对控制性详细规划 进行修改。本次优化调整拟对片区控制性详细规划进行整体修编。 依据《海南省城乡规划条例》第十四条和《海南省城镇开发边界内 控制性详细规划调整管理办法(试行)》第九条，控制性详细规划的 修改由其所在市、县、自治县人民政府规划主管部门组织编制，组 织编制机关对必要性进行论证，征求规划地段内利害关系人的意见; 提出专题报告， 报原审批机关同意后组织编制修改方案;对修改方案 组织审查，充分听取专家、部门、公众意见，并经市县规划委员会审议通过后，依法报批。</w:t>
      </w:r>
    </w:p>
    <w:p>
      <w:pPr>
        <w:pStyle w:val="3"/>
        <w:keepNext w:val="0"/>
        <w:keepLines w:val="0"/>
        <w:pageBreakBefore w:val="0"/>
        <w:widowControl w:val="0"/>
        <w:kinsoku/>
        <w:wordWrap/>
        <w:overflowPunct/>
        <w:topLinePunct w:val="0"/>
        <w:autoSpaceDE/>
        <w:autoSpaceDN/>
        <w:bidi w:val="0"/>
        <w:adjustRightInd w:val="0"/>
        <w:snapToGrid/>
        <w:spacing w:line="560" w:lineRule="exact"/>
        <w:ind w:firstLine="454" w:firstLineChars="200"/>
        <w:textAlignment w:val="baseline"/>
        <w:rPr>
          <w:rFonts w:hint="eastAsia" w:ascii="宋体" w:hAnsi="宋体" w:eastAsia="宋体" w:cs="宋体"/>
          <w:b/>
          <w:bCs/>
          <w:spacing w:val="-7"/>
        </w:rPr>
      </w:pPr>
      <w:r>
        <w:rPr>
          <w:rFonts w:hint="eastAsia" w:ascii="宋体" w:hAnsi="宋体" w:eastAsia="宋体" w:cs="宋体"/>
          <w:b/>
          <w:bCs/>
          <w:spacing w:val="-7"/>
        </w:rPr>
        <w:t>四、 结论及建议</w:t>
      </w:r>
    </w:p>
    <w:p>
      <w:pPr>
        <w:pStyle w:val="3"/>
        <w:keepNext w:val="0"/>
        <w:keepLines w:val="0"/>
        <w:pageBreakBefore w:val="0"/>
        <w:widowControl w:val="0"/>
        <w:kinsoku/>
        <w:wordWrap/>
        <w:overflowPunct/>
        <w:topLinePunct w:val="0"/>
        <w:autoSpaceDE/>
        <w:autoSpaceDN/>
        <w:bidi w:val="0"/>
        <w:adjustRightInd w:val="0"/>
        <w:snapToGrid/>
        <w:spacing w:line="560" w:lineRule="exact"/>
        <w:ind w:firstLine="454" w:firstLineChars="200"/>
        <w:textAlignment w:val="baseline"/>
        <w:rPr>
          <w:rFonts w:hint="eastAsia" w:ascii="宋体" w:hAnsi="宋体" w:eastAsia="宋体" w:cs="宋体"/>
          <w:b/>
          <w:bCs/>
          <w:spacing w:val="-7"/>
        </w:rPr>
      </w:pPr>
      <w:r>
        <w:rPr>
          <w:rFonts w:hint="eastAsia" w:ascii="宋体" w:hAnsi="宋体" w:eastAsia="宋体" w:cs="宋体"/>
          <w:b/>
          <w:bCs/>
          <w:spacing w:val="-7"/>
        </w:rPr>
        <w:t>(一) 论证结论</w:t>
      </w:r>
    </w:p>
    <w:p>
      <w:pPr>
        <w:pStyle w:val="3"/>
        <w:keepNext w:val="0"/>
        <w:keepLines w:val="0"/>
        <w:pageBreakBefore w:val="0"/>
        <w:widowControl w:val="0"/>
        <w:kinsoku/>
        <w:wordWrap/>
        <w:overflowPunct/>
        <w:topLinePunct w:val="0"/>
        <w:autoSpaceDE/>
        <w:autoSpaceDN/>
        <w:bidi w:val="0"/>
        <w:adjustRightInd w:val="0"/>
        <w:snapToGrid/>
        <w:spacing w:line="560" w:lineRule="exact"/>
        <w:ind w:firstLine="452" w:firstLineChars="200"/>
        <w:textAlignment w:val="baseline"/>
        <w:rPr>
          <w:rFonts w:hint="eastAsia" w:ascii="宋体" w:hAnsi="宋体" w:eastAsia="宋体" w:cs="宋体"/>
          <w:b w:val="0"/>
          <w:bCs w:val="0"/>
          <w:spacing w:val="-7"/>
        </w:rPr>
      </w:pPr>
      <w:r>
        <w:rPr>
          <w:rFonts w:hint="eastAsia" w:ascii="宋体" w:hAnsi="宋体" w:eastAsia="宋体" w:cs="宋体"/>
          <w:b w:val="0"/>
          <w:bCs w:val="0"/>
          <w:spacing w:val="-7"/>
          <w:lang w:val="en-US" w:eastAsia="zh-CN"/>
        </w:rPr>
        <w:t xml:space="preserve">综上所述，《陵水黎族自治县县城陵河南片区控制性详细规划》具有修改的必要性，建议及时启动控规优化调整工作。落实《陵水 黎族自治县国土空间总体规划(2021—2035 年)》在打造滨海旅游与科教融合新高地、黎疍文化风情生态宜居地、热带现代农业和海洋 经济创新发展示范区的总体目标定位下，重新思考陵河南片区的发 展定位与目标，陵河南片区建设用地的布局，带动产业发展，完善配套设施，提升片区品质， 更好服务县城的可持续发展。                 </w:t>
      </w:r>
      <w:r>
        <w:rPr>
          <w:rFonts w:hint="eastAsia" w:ascii="宋体" w:hAnsi="宋体" w:eastAsia="宋体" w:cs="宋体"/>
          <w:b w:val="0"/>
          <w:bCs w:val="0"/>
          <w:spacing w:val="-7"/>
        </w:rPr>
        <w:t>(二) 优化调整建议</w:t>
      </w:r>
    </w:p>
    <w:p>
      <w:pPr>
        <w:pStyle w:val="3"/>
        <w:keepNext w:val="0"/>
        <w:keepLines w:val="0"/>
        <w:pageBreakBefore w:val="0"/>
        <w:widowControl w:val="0"/>
        <w:numPr>
          <w:ilvl w:val="0"/>
          <w:numId w:val="12"/>
        </w:numPr>
        <w:kinsoku/>
        <w:wordWrap/>
        <w:overflowPunct/>
        <w:topLinePunct w:val="0"/>
        <w:autoSpaceDE/>
        <w:autoSpaceDN/>
        <w:bidi w:val="0"/>
        <w:adjustRightInd w:val="0"/>
        <w:snapToGrid/>
        <w:spacing w:line="560" w:lineRule="exact"/>
        <w:ind w:firstLine="454" w:firstLineChars="200"/>
        <w:textAlignment w:val="baseline"/>
        <w:rPr>
          <w:rFonts w:hint="eastAsia" w:ascii="宋体" w:hAnsi="宋体" w:eastAsia="宋体" w:cs="宋体"/>
          <w:b/>
          <w:bCs/>
          <w:spacing w:val="-7"/>
        </w:rPr>
      </w:pPr>
      <w:r>
        <w:rPr>
          <w:rFonts w:hint="eastAsia" w:ascii="宋体" w:hAnsi="宋体" w:eastAsia="宋体" w:cs="宋体"/>
          <w:b/>
          <w:bCs/>
          <w:spacing w:val="-7"/>
        </w:rPr>
        <w:t>落实新版国土空间总体规划要求</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52" w:firstLineChars="200"/>
        <w:textAlignment w:val="baseline"/>
        <w:rPr>
          <w:rFonts w:hint="eastAsia" w:ascii="宋体" w:hAnsi="宋体" w:eastAsia="宋体" w:cs="宋体"/>
          <w:b w:val="0"/>
          <w:bCs w:val="0"/>
          <w:spacing w:val="-7"/>
          <w:lang w:eastAsia="zh-CN"/>
        </w:rPr>
      </w:pPr>
      <w:r>
        <w:rPr>
          <w:rFonts w:hint="eastAsia" w:ascii="宋体" w:hAnsi="宋体" w:eastAsia="宋体" w:cs="宋体"/>
          <w:b w:val="0"/>
          <w:bCs w:val="0"/>
          <w:spacing w:val="-7"/>
        </w:rPr>
        <w:t>控规作为规划管理与城市建设的法定依据，有必要在最新的陵 水县国土空间总体规划的指导下，从功能定位、用地布局、道路交 通市政设施等方面进行整体衔接，从而落实总体规划的战略意图，进而使其更符合片区的整体开发</w:t>
      </w:r>
      <w:r>
        <w:rPr>
          <w:rFonts w:hint="eastAsia" w:ascii="宋体" w:hAnsi="宋体" w:eastAsia="宋体" w:cs="宋体"/>
          <w:b w:val="0"/>
          <w:bCs w:val="0"/>
          <w:spacing w:val="-7"/>
          <w:lang w:eastAsia="zh-CN"/>
        </w:rPr>
        <w:t>。</w:t>
      </w:r>
    </w:p>
    <w:p>
      <w:pPr>
        <w:pStyle w:val="3"/>
        <w:keepNext w:val="0"/>
        <w:keepLines w:val="0"/>
        <w:pageBreakBefore w:val="0"/>
        <w:widowControl w:val="0"/>
        <w:numPr>
          <w:ilvl w:val="0"/>
          <w:numId w:val="12"/>
        </w:numPr>
        <w:kinsoku/>
        <w:wordWrap/>
        <w:overflowPunct/>
        <w:topLinePunct w:val="0"/>
        <w:autoSpaceDE/>
        <w:autoSpaceDN/>
        <w:bidi w:val="0"/>
        <w:adjustRightInd w:val="0"/>
        <w:snapToGrid/>
        <w:spacing w:line="560" w:lineRule="exact"/>
        <w:ind w:left="0" w:leftChars="0" w:firstLine="454" w:firstLineChars="200"/>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优化公益性服务设施布局</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52" w:firstLineChars="200"/>
        <w:textAlignment w:val="baseline"/>
        <w:rPr>
          <w:rFonts w:hint="eastAsia" w:ascii="宋体" w:hAnsi="宋体" w:eastAsia="宋体" w:cs="宋体"/>
          <w:b w:val="0"/>
          <w:bCs w:val="0"/>
          <w:spacing w:val="-7"/>
          <w:lang w:eastAsia="zh-CN"/>
        </w:rPr>
      </w:pPr>
      <w:r>
        <w:rPr>
          <w:rFonts w:hint="eastAsia" w:ascii="宋体" w:hAnsi="宋体" w:eastAsia="宋体" w:cs="宋体"/>
          <w:b w:val="0"/>
          <w:bCs w:val="0"/>
          <w:spacing w:val="-7"/>
          <w:lang w:eastAsia="zh-CN"/>
        </w:rPr>
        <w:t>立足教育、医疗、体育、市场、公园等公益性设施的现状供给，结合城市更新，并依据相关政策、标准与规划的要求，构建陵河南片区系统、连续、有层次的公益性空间体系，优化城市公益性空间系统。</w:t>
      </w:r>
    </w:p>
    <w:p>
      <w:pPr>
        <w:pStyle w:val="3"/>
        <w:keepNext w:val="0"/>
        <w:keepLines w:val="0"/>
        <w:pageBreakBefore w:val="0"/>
        <w:widowControl w:val="0"/>
        <w:numPr>
          <w:ilvl w:val="0"/>
          <w:numId w:val="12"/>
        </w:numPr>
        <w:kinsoku/>
        <w:wordWrap/>
        <w:overflowPunct/>
        <w:topLinePunct w:val="0"/>
        <w:autoSpaceDE/>
        <w:autoSpaceDN/>
        <w:bidi w:val="0"/>
        <w:adjustRightInd w:val="0"/>
        <w:snapToGrid/>
        <w:spacing w:line="560" w:lineRule="exact"/>
        <w:ind w:left="0" w:leftChars="0" w:firstLine="454" w:firstLineChars="200"/>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完善道路交通系统布局。</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52" w:firstLineChars="200"/>
        <w:textAlignment w:val="baseline"/>
        <w:rPr>
          <w:rFonts w:hint="eastAsia" w:ascii="宋体" w:hAnsi="宋体" w:eastAsia="宋体" w:cs="宋体"/>
          <w:b w:val="0"/>
          <w:bCs w:val="0"/>
          <w:spacing w:val="-7"/>
          <w:lang w:eastAsia="zh-CN"/>
        </w:rPr>
      </w:pPr>
      <w:r>
        <w:rPr>
          <w:rFonts w:hint="eastAsia" w:ascii="宋体" w:hAnsi="宋体" w:eastAsia="宋体" w:cs="宋体"/>
          <w:b w:val="0"/>
          <w:bCs w:val="0"/>
          <w:spacing w:val="-7"/>
          <w:lang w:eastAsia="zh-CN"/>
        </w:rPr>
        <w:t>系统梳理陵河南片区道路红线、断面、竖向、管廊、等级等问 题，站在全县一盘棋的角度，根据片区的规模和承载力核算未来的 交通需求，进一步优化陵河南片区与区域交通联系、优化陵河南片区内部交通系统组织。</w:t>
      </w:r>
    </w:p>
    <w:p>
      <w:pPr>
        <w:pStyle w:val="3"/>
        <w:keepNext w:val="0"/>
        <w:keepLines w:val="0"/>
        <w:pageBreakBefore w:val="0"/>
        <w:widowControl w:val="0"/>
        <w:numPr>
          <w:ilvl w:val="0"/>
          <w:numId w:val="12"/>
        </w:numPr>
        <w:kinsoku/>
        <w:wordWrap/>
        <w:overflowPunct/>
        <w:topLinePunct w:val="0"/>
        <w:autoSpaceDE/>
        <w:autoSpaceDN/>
        <w:bidi w:val="0"/>
        <w:adjustRightInd w:val="0"/>
        <w:snapToGrid/>
        <w:spacing w:line="560" w:lineRule="exact"/>
        <w:ind w:left="0" w:leftChars="0" w:firstLine="454" w:firstLineChars="200"/>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改善市政公用设施布局。</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52" w:firstLineChars="200"/>
        <w:textAlignment w:val="baseline"/>
        <w:rPr>
          <w:rFonts w:hint="eastAsia" w:ascii="宋体" w:hAnsi="宋体" w:eastAsia="宋体" w:cs="宋体"/>
          <w:b w:val="0"/>
          <w:bCs w:val="0"/>
          <w:spacing w:val="-7"/>
          <w:lang w:eastAsia="zh-CN"/>
        </w:rPr>
      </w:pPr>
      <w:r>
        <w:rPr>
          <w:rFonts w:hint="eastAsia" w:ascii="宋体" w:hAnsi="宋体" w:eastAsia="宋体" w:cs="宋体"/>
          <w:b w:val="0"/>
          <w:bCs w:val="0"/>
          <w:spacing w:val="-7"/>
          <w:lang w:eastAsia="zh-CN"/>
        </w:rPr>
        <w:t>系统梳理陵河南片区市政设施的容量规模与市政管线、管径等存在问题，并与新编制的各类市政专项规划衔接，构建强有力的城市基础支撑系统。</w:t>
      </w:r>
    </w:p>
    <w:p>
      <w:pPr>
        <w:pStyle w:val="3"/>
        <w:keepNext w:val="0"/>
        <w:keepLines w:val="0"/>
        <w:pageBreakBefore w:val="0"/>
        <w:widowControl w:val="0"/>
        <w:numPr>
          <w:ilvl w:val="0"/>
          <w:numId w:val="12"/>
        </w:numPr>
        <w:kinsoku/>
        <w:wordWrap/>
        <w:overflowPunct/>
        <w:topLinePunct w:val="0"/>
        <w:autoSpaceDE/>
        <w:autoSpaceDN/>
        <w:bidi w:val="0"/>
        <w:adjustRightInd w:val="0"/>
        <w:snapToGrid/>
        <w:spacing w:line="560" w:lineRule="exact"/>
        <w:ind w:left="0" w:leftChars="0" w:firstLine="454" w:firstLineChars="200"/>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提升单元及地块管控要求。</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52" w:firstLineChars="200"/>
        <w:textAlignment w:val="baseline"/>
        <w:rPr>
          <w:rFonts w:hint="eastAsia" w:ascii="宋体" w:hAnsi="宋体" w:eastAsia="宋体" w:cs="宋体"/>
          <w:b w:val="0"/>
          <w:bCs w:val="0"/>
          <w:spacing w:val="-7"/>
          <w:lang w:eastAsia="zh-CN"/>
        </w:rPr>
      </w:pPr>
      <w:r>
        <w:rPr>
          <w:rFonts w:hint="eastAsia" w:ascii="宋体" w:hAnsi="宋体" w:eastAsia="宋体" w:cs="宋体"/>
          <w:b w:val="0"/>
          <w:bCs w:val="0"/>
          <w:spacing w:val="-7"/>
          <w:lang w:eastAsia="zh-CN"/>
        </w:rPr>
        <w:t>重新划定陵河南片区控规管理单元，明确各管理单元的主导功能、建设规模、用地面积等内容。整合既有各地块建筑高度、建筑密度、容积率、绿地率等控制指标，并对存在问题、需要调整的指标进行调整完善。同时按照海南省自然资源和规划厅统一技术要求，将陵河南片区控规修编范围内的所有成果，依据《海南省城镇开发边界内控制性详细规划数据库标准（试行）》录入 GIS 平台。</w:t>
      </w:r>
    </w:p>
    <w:p>
      <w:bookmarkStart w:id="4" w:name="_GoBack"/>
      <w:bookmarkEnd w:id="4"/>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9F023"/>
    <w:multiLevelType w:val="singleLevel"/>
    <w:tmpl w:val="8999F023"/>
    <w:lvl w:ilvl="0" w:tentative="0">
      <w:start w:val="3"/>
      <w:numFmt w:val="chineseCounting"/>
      <w:suff w:val="space"/>
      <w:lvlText w:val="第%1章"/>
      <w:lvlJc w:val="left"/>
      <w:rPr>
        <w:rFonts w:hint="eastAsia"/>
      </w:rPr>
    </w:lvl>
  </w:abstractNum>
  <w:abstractNum w:abstractNumId="1">
    <w:nsid w:val="E321FC58"/>
    <w:multiLevelType w:val="singleLevel"/>
    <w:tmpl w:val="E321FC58"/>
    <w:lvl w:ilvl="0" w:tentative="0">
      <w:start w:val="2"/>
      <w:numFmt w:val="chineseCounting"/>
      <w:suff w:val="space"/>
      <w:lvlText w:val="(%1)"/>
      <w:lvlJc w:val="left"/>
      <w:rPr>
        <w:rFonts w:hint="eastAsia"/>
      </w:rPr>
    </w:lvl>
  </w:abstractNum>
  <w:abstractNum w:abstractNumId="2">
    <w:nsid w:val="EDD47E70"/>
    <w:multiLevelType w:val="singleLevel"/>
    <w:tmpl w:val="EDD47E70"/>
    <w:lvl w:ilvl="0" w:tentative="0">
      <w:start w:val="5"/>
      <w:numFmt w:val="decimal"/>
      <w:suff w:val="space"/>
      <w:lvlText w:val="%1."/>
      <w:lvlJc w:val="left"/>
    </w:lvl>
  </w:abstractNum>
  <w:abstractNum w:abstractNumId="3">
    <w:nsid w:val="F0E1897C"/>
    <w:multiLevelType w:val="singleLevel"/>
    <w:tmpl w:val="F0E1897C"/>
    <w:lvl w:ilvl="0" w:tentative="0">
      <w:start w:val="19"/>
      <w:numFmt w:val="chineseCounting"/>
      <w:suff w:val="space"/>
      <w:lvlText w:val="第%1条"/>
      <w:lvlJc w:val="left"/>
      <w:rPr>
        <w:rFonts w:hint="eastAsia"/>
        <w:b w:val="0"/>
        <w:bCs w:val="0"/>
      </w:rPr>
    </w:lvl>
  </w:abstractNum>
  <w:abstractNum w:abstractNumId="4">
    <w:nsid w:val="F6A6A196"/>
    <w:multiLevelType w:val="singleLevel"/>
    <w:tmpl w:val="F6A6A196"/>
    <w:lvl w:ilvl="0" w:tentative="0">
      <w:start w:val="2"/>
      <w:numFmt w:val="chineseCounting"/>
      <w:suff w:val="nothing"/>
      <w:lvlText w:val="%1、"/>
      <w:lvlJc w:val="left"/>
      <w:rPr>
        <w:rFonts w:hint="eastAsia"/>
      </w:rPr>
    </w:lvl>
  </w:abstractNum>
  <w:abstractNum w:abstractNumId="5">
    <w:nsid w:val="10E58E60"/>
    <w:multiLevelType w:val="singleLevel"/>
    <w:tmpl w:val="10E58E60"/>
    <w:lvl w:ilvl="0" w:tentative="0">
      <w:start w:val="1"/>
      <w:numFmt w:val="decimal"/>
      <w:lvlText w:val="%1)"/>
      <w:lvlJc w:val="left"/>
      <w:pPr>
        <w:tabs>
          <w:tab w:val="left" w:pos="312"/>
        </w:tabs>
      </w:pPr>
    </w:lvl>
  </w:abstractNum>
  <w:abstractNum w:abstractNumId="6">
    <w:nsid w:val="1C8876C4"/>
    <w:multiLevelType w:val="singleLevel"/>
    <w:tmpl w:val="1C8876C4"/>
    <w:lvl w:ilvl="0" w:tentative="0">
      <w:start w:val="1"/>
      <w:numFmt w:val="decimal"/>
      <w:suff w:val="space"/>
      <w:lvlText w:val="%1."/>
      <w:lvlJc w:val="left"/>
    </w:lvl>
  </w:abstractNum>
  <w:abstractNum w:abstractNumId="7">
    <w:nsid w:val="3DD8306D"/>
    <w:multiLevelType w:val="singleLevel"/>
    <w:tmpl w:val="3DD8306D"/>
    <w:lvl w:ilvl="0" w:tentative="0">
      <w:start w:val="1"/>
      <w:numFmt w:val="decimal"/>
      <w:suff w:val="space"/>
      <w:lvlText w:val="%1."/>
      <w:lvlJc w:val="left"/>
    </w:lvl>
  </w:abstractNum>
  <w:abstractNum w:abstractNumId="8">
    <w:nsid w:val="43BDEC0D"/>
    <w:multiLevelType w:val="singleLevel"/>
    <w:tmpl w:val="43BDEC0D"/>
    <w:lvl w:ilvl="0" w:tentative="0">
      <w:start w:val="2"/>
      <w:numFmt w:val="decimal"/>
      <w:suff w:val="space"/>
      <w:lvlText w:val="%1."/>
      <w:lvlJc w:val="left"/>
    </w:lvl>
  </w:abstractNum>
  <w:abstractNum w:abstractNumId="9">
    <w:nsid w:val="69EDBDED"/>
    <w:multiLevelType w:val="singleLevel"/>
    <w:tmpl w:val="69EDBDED"/>
    <w:lvl w:ilvl="0" w:tentative="0">
      <w:start w:val="1"/>
      <w:numFmt w:val="decimal"/>
      <w:suff w:val="nothing"/>
      <w:lvlText w:val="%1）"/>
      <w:lvlJc w:val="left"/>
      <w:rPr>
        <w:rFonts w:hint="default"/>
        <w:b/>
        <w:bCs/>
      </w:rPr>
    </w:lvl>
  </w:abstractNum>
  <w:abstractNum w:abstractNumId="10">
    <w:nsid w:val="7A6AB262"/>
    <w:multiLevelType w:val="singleLevel"/>
    <w:tmpl w:val="7A6AB262"/>
    <w:lvl w:ilvl="0" w:tentative="0">
      <w:start w:val="2"/>
      <w:numFmt w:val="decimal"/>
      <w:suff w:val="nothing"/>
      <w:lvlText w:val="%1）"/>
      <w:lvlJc w:val="left"/>
    </w:lvl>
  </w:abstractNum>
  <w:abstractNum w:abstractNumId="11">
    <w:nsid w:val="7C3A0C5B"/>
    <w:multiLevelType w:val="singleLevel"/>
    <w:tmpl w:val="7C3A0C5B"/>
    <w:lvl w:ilvl="0" w:tentative="0">
      <w:start w:val="1"/>
      <w:numFmt w:val="chineseCounting"/>
      <w:suff w:val="space"/>
      <w:lvlText w:val="（%1）"/>
      <w:lvlJc w:val="left"/>
      <w:rPr>
        <w:rFonts w:hint="eastAsia"/>
      </w:rPr>
    </w:lvl>
  </w:abstractNum>
  <w:num w:numId="1">
    <w:abstractNumId w:val="0"/>
  </w:num>
  <w:num w:numId="2">
    <w:abstractNumId w:val="8"/>
  </w:num>
  <w:num w:numId="3">
    <w:abstractNumId w:val="9"/>
  </w:num>
  <w:num w:numId="4">
    <w:abstractNumId w:val="10"/>
  </w:num>
  <w:num w:numId="5">
    <w:abstractNumId w:val="4"/>
  </w:num>
  <w:num w:numId="6">
    <w:abstractNumId w:val="2"/>
  </w:num>
  <w:num w:numId="7">
    <w:abstractNumId w:val="1"/>
  </w:num>
  <w:num w:numId="8">
    <w:abstractNumId w:val="7"/>
  </w:num>
  <w:num w:numId="9">
    <w:abstractNumId w:val="5"/>
  </w:num>
  <w:num w:numId="10">
    <w:abstractNumId w:val="3"/>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jYWQ0OTI4YmJlMmQ3NWM4MGYzNmY4MTAyMjMxMzIifQ=="/>
  </w:docVars>
  <w:rsids>
    <w:rsidRoot w:val="00000000"/>
    <w:rsid w:val="24732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spacing w:line="315" w:lineRule="atLeast"/>
    </w:pPr>
    <w:rPr>
      <w:rFonts w:ascii="宋体" w:hAnsi="Times New Roman" w:eastAsia="宋体" w:cs="Times New Roman"/>
      <w:sz w:val="30"/>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b/>
      <w:bCs/>
      <w:kern w:val="44"/>
      <w:sz w:val="44"/>
      <w:szCs w:val="44"/>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Body Text"/>
    <w:basedOn w:val="1"/>
    <w:qFormat/>
    <w:uiPriority w:val="0"/>
    <w:pPr>
      <w:autoSpaceDE/>
      <w:autoSpaceDN/>
      <w:spacing w:line="400" w:lineRule="atLeast"/>
      <w:textAlignment w:val="baseline"/>
    </w:pPr>
    <w:rPr>
      <w:rFonts w:ascii="Times New Roman"/>
      <w:sz w:val="24"/>
    </w:rPr>
  </w:style>
  <w:style w:type="paragraph" w:customStyle="1" w:styleId="6">
    <w:name w:val="Table Text"/>
    <w:basedOn w:val="1"/>
    <w:autoRedefine/>
    <w:semiHidden/>
    <w:qFormat/>
    <w:uiPriority w:val="0"/>
    <w:rPr>
      <w:rFonts w:ascii="微软雅黑" w:hAnsi="微软雅黑" w:eastAsia="微软雅黑" w:cs="微软雅黑"/>
      <w:sz w:val="24"/>
      <w:szCs w:val="24"/>
      <w:lang w:val="en-US" w:eastAsia="en-US" w:bidi="ar-SA"/>
    </w:rPr>
  </w:style>
  <w:style w:type="table" w:customStyle="1" w:styleId="7">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2024-03-20T08:24:18Z</dcterms:created>
  <dc:creator>Administrator</dc:creator>
  <cp:lastModifiedBy>沉默是金</cp:lastModifiedBy>
  <dcterms:modified xsi:type="dcterms:W3CDTF">2024-03-20T08:24:53Z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306C9EA1C9B94B359170D6B45A0E2C61_12</vt:lpwstr>
  </property>
</Properties>
</file>