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bookmarkStart w:id="0" w:name="_Toc6317"/>
      <w:r>
        <w:rPr>
          <w:rStyle w:val="5"/>
          <w:rFonts w:hint="eastAsia"/>
          <w:sz w:val="40"/>
          <w:szCs w:val="22"/>
          <w:lang w:val="en-US" w:eastAsia="zh-CN"/>
        </w:rPr>
        <w:t xml:space="preserve">第七章 </w:t>
      </w:r>
      <w:r>
        <w:rPr>
          <w:rStyle w:val="5"/>
          <w:rFonts w:hint="eastAsia"/>
          <w:sz w:val="40"/>
          <w:szCs w:val="22"/>
        </w:rPr>
        <w:t>用户需求书</w:t>
      </w:r>
      <w:bookmarkEnd w:id="0"/>
    </w:p>
    <w:p>
      <w:pPr>
        <w:pStyle w:val="2"/>
        <w:spacing w:before="0" w:after="0" w:line="560" w:lineRule="exact"/>
        <w:jc w:val="both"/>
        <w:rPr>
          <w:rFonts w:hint="eastAsia" w:hAnsi="宋体" w:cs="宋体"/>
          <w:bCs/>
          <w:kern w:val="0"/>
          <w:sz w:val="24"/>
          <w:szCs w:val="24"/>
        </w:rPr>
      </w:pPr>
      <w:bookmarkStart w:id="1" w:name="_Toc26039"/>
      <w:r>
        <w:rPr>
          <w:rFonts w:hint="eastAsia" w:hAnsi="宋体" w:cs="宋体"/>
          <w:bCs/>
          <w:kern w:val="0"/>
          <w:sz w:val="24"/>
          <w:szCs w:val="24"/>
        </w:rPr>
        <w:t>一、项目概况</w:t>
      </w:r>
      <w:bookmarkEnd w:id="1"/>
    </w:p>
    <w:p>
      <w:pPr>
        <w:pStyle w:val="2"/>
        <w:spacing w:before="0" w:after="0" w:line="560" w:lineRule="exact"/>
        <w:ind w:firstLine="480" w:firstLineChars="200"/>
        <w:jc w:val="both"/>
        <w:rPr>
          <w:rFonts w:hint="eastAsia" w:hAnsi="宋体" w:cs="宋体"/>
          <w:b w:val="0"/>
          <w:kern w:val="0"/>
          <w:sz w:val="24"/>
          <w:szCs w:val="24"/>
        </w:rPr>
      </w:pPr>
      <w:bookmarkStart w:id="2" w:name="_Toc10700"/>
      <w:r>
        <w:rPr>
          <w:rFonts w:hint="eastAsia" w:hAnsi="宋体" w:cs="宋体"/>
          <w:b w:val="0"/>
          <w:kern w:val="0"/>
          <w:sz w:val="24"/>
          <w:szCs w:val="24"/>
        </w:rPr>
        <w:t>1、项目名称：</w:t>
      </w:r>
      <w:r>
        <w:rPr>
          <w:rFonts w:hint="eastAsia" w:hAnsi="宋体" w:cs="宋体"/>
          <w:b w:val="0"/>
          <w:kern w:val="0"/>
          <w:sz w:val="24"/>
          <w:szCs w:val="24"/>
          <w:lang w:eastAsia="zh-CN"/>
        </w:rPr>
        <w:t>2024年强制管理的计量器具检定服务</w:t>
      </w:r>
      <w:r>
        <w:rPr>
          <w:rFonts w:hint="eastAsia" w:hAnsi="宋体" w:cs="宋体"/>
          <w:b w:val="0"/>
          <w:kern w:val="0"/>
          <w:sz w:val="24"/>
          <w:szCs w:val="24"/>
        </w:rPr>
        <w:t>；</w:t>
      </w:r>
      <w:bookmarkEnd w:id="2"/>
    </w:p>
    <w:p>
      <w:pPr>
        <w:pStyle w:val="2"/>
        <w:spacing w:before="0" w:after="0" w:line="560" w:lineRule="exact"/>
        <w:ind w:firstLine="480" w:firstLineChars="200"/>
        <w:jc w:val="both"/>
        <w:rPr>
          <w:rFonts w:hint="eastAsia" w:hAnsi="宋体" w:cs="宋体"/>
          <w:b w:val="0"/>
          <w:kern w:val="0"/>
          <w:sz w:val="24"/>
          <w:szCs w:val="24"/>
        </w:rPr>
      </w:pPr>
      <w:bookmarkStart w:id="3" w:name="_Toc6560"/>
      <w:r>
        <w:rPr>
          <w:rFonts w:hint="eastAsia" w:hAnsi="宋体" w:cs="宋体"/>
          <w:b w:val="0"/>
          <w:kern w:val="0"/>
          <w:sz w:val="24"/>
          <w:szCs w:val="24"/>
        </w:rPr>
        <w:t>2、项目编号：</w:t>
      </w:r>
      <w:r>
        <w:rPr>
          <w:rFonts w:hint="eastAsia" w:hAnsi="宋体" w:cs="宋体"/>
          <w:b w:val="0"/>
          <w:kern w:val="0"/>
          <w:sz w:val="24"/>
          <w:szCs w:val="24"/>
          <w:lang w:eastAsia="zh-CN"/>
        </w:rPr>
        <w:t>HNGH-2024-001</w:t>
      </w:r>
      <w:r>
        <w:rPr>
          <w:rFonts w:hint="eastAsia" w:hAnsi="宋体" w:cs="宋体"/>
          <w:b w:val="0"/>
          <w:kern w:val="0"/>
          <w:sz w:val="24"/>
          <w:szCs w:val="24"/>
        </w:rPr>
        <w:t>；</w:t>
      </w:r>
      <w:bookmarkEnd w:id="3"/>
    </w:p>
    <w:p>
      <w:pPr>
        <w:spacing w:line="560" w:lineRule="exact"/>
        <w:ind w:firstLine="480" w:firstLineChars="200"/>
        <w:rPr>
          <w:rFonts w:hint="eastAsia" w:hAnsi="宋体" w:cs="宋体"/>
          <w:b w:val="0"/>
          <w:kern w:val="0"/>
          <w:sz w:val="24"/>
          <w:szCs w:val="24"/>
          <w:lang w:eastAsia="zh-CN"/>
        </w:rPr>
      </w:pPr>
      <w:r>
        <w:rPr>
          <w:rFonts w:hint="eastAsia" w:hAnsi="宋体" w:cs="宋体"/>
          <w:b w:val="0"/>
          <w:kern w:val="0"/>
          <w:sz w:val="24"/>
          <w:szCs w:val="24"/>
        </w:rPr>
        <w:t>3、</w:t>
      </w:r>
      <w:r>
        <w:rPr>
          <w:rFonts w:hint="eastAsia" w:hAnsi="宋体" w:cs="宋体"/>
          <w:b w:val="0"/>
          <w:kern w:val="0"/>
          <w:sz w:val="24"/>
          <w:szCs w:val="24"/>
          <w:lang w:eastAsia="zh-CN"/>
        </w:rPr>
        <w:t>采购金额：</w:t>
      </w:r>
      <w:r>
        <w:rPr>
          <w:rFonts w:hint="eastAsia" w:hAnsi="宋体" w:cs="宋体"/>
          <w:b w:val="0"/>
          <w:kern w:val="0"/>
          <w:sz w:val="24"/>
          <w:szCs w:val="24"/>
          <w:lang w:val="en-US" w:eastAsia="zh-CN"/>
        </w:rPr>
        <w:t>2</w:t>
      </w:r>
      <w:r>
        <w:rPr>
          <w:rFonts w:hint="eastAsia" w:hAnsi="宋体" w:cs="宋体"/>
          <w:b w:val="0"/>
          <w:kern w:val="0"/>
          <w:sz w:val="24"/>
          <w:szCs w:val="24"/>
          <w:lang w:eastAsia="zh-CN"/>
        </w:rPr>
        <w:t>80.</w:t>
      </w:r>
      <w:r>
        <w:rPr>
          <w:rFonts w:hint="eastAsia" w:hAnsi="宋体" w:cs="宋体"/>
          <w:b w:val="0"/>
          <w:kern w:val="0"/>
          <w:sz w:val="24"/>
          <w:szCs w:val="24"/>
          <w:lang w:val="en-US" w:eastAsia="zh-CN"/>
        </w:rPr>
        <w:t>8</w:t>
      </w:r>
      <w:r>
        <w:rPr>
          <w:rFonts w:hint="eastAsia" w:hAnsi="宋体" w:cs="宋体"/>
          <w:b w:val="0"/>
          <w:kern w:val="0"/>
          <w:sz w:val="24"/>
          <w:szCs w:val="24"/>
          <w:lang w:eastAsia="zh-CN"/>
        </w:rPr>
        <w:t>万元；（最高限价为</w:t>
      </w:r>
      <w:r>
        <w:rPr>
          <w:rFonts w:hint="eastAsia" w:hAnsi="宋体" w:cs="宋体"/>
          <w:b w:val="0"/>
          <w:kern w:val="0"/>
          <w:sz w:val="24"/>
          <w:szCs w:val="24"/>
          <w:lang w:val="en-US" w:eastAsia="zh-CN"/>
        </w:rPr>
        <w:t>2</w:t>
      </w:r>
      <w:r>
        <w:rPr>
          <w:rFonts w:hint="eastAsia" w:hAnsi="宋体" w:cs="宋体"/>
          <w:b w:val="0"/>
          <w:kern w:val="0"/>
          <w:sz w:val="24"/>
          <w:szCs w:val="24"/>
          <w:lang w:eastAsia="zh-CN"/>
        </w:rPr>
        <w:t>80.</w:t>
      </w:r>
      <w:r>
        <w:rPr>
          <w:rFonts w:hint="eastAsia" w:hAnsi="宋体" w:cs="宋体"/>
          <w:b w:val="0"/>
          <w:kern w:val="0"/>
          <w:sz w:val="24"/>
          <w:szCs w:val="24"/>
          <w:lang w:val="en-US" w:eastAsia="zh-CN"/>
        </w:rPr>
        <w:t>8</w:t>
      </w:r>
      <w:r>
        <w:rPr>
          <w:rFonts w:hint="eastAsia" w:hAnsi="宋体" w:cs="宋体"/>
          <w:b w:val="0"/>
          <w:kern w:val="0"/>
          <w:sz w:val="24"/>
          <w:szCs w:val="24"/>
          <w:lang w:eastAsia="zh-CN"/>
        </w:rPr>
        <w:t>万元，超出最高限价的报价视为无效报价）；</w:t>
      </w:r>
    </w:p>
    <w:p>
      <w:pPr>
        <w:spacing w:line="560" w:lineRule="exact"/>
        <w:ind w:firstLine="480" w:firstLineChars="200"/>
        <w:rPr>
          <w:rFonts w:hint="eastAsia" w:hAnsi="宋体" w:cs="宋体"/>
          <w:bCs/>
          <w:sz w:val="24"/>
          <w:szCs w:val="24"/>
        </w:rPr>
      </w:pPr>
      <w:r>
        <w:rPr>
          <w:rFonts w:hint="eastAsia" w:hAnsi="宋体" w:cs="宋体"/>
          <w:bCs/>
          <w:sz w:val="24"/>
          <w:szCs w:val="24"/>
        </w:rPr>
        <w:t>4、采购需求及概况：第三方检定服务机构按照儋州市市场监督管理局要求开展2024年强制管理的计量器具检定服务并出具检定证书或检定结果通知书；</w:t>
      </w:r>
    </w:p>
    <w:p>
      <w:pPr>
        <w:pStyle w:val="2"/>
        <w:spacing w:before="0" w:after="0" w:line="560" w:lineRule="exact"/>
        <w:ind w:firstLine="480" w:firstLineChars="200"/>
        <w:jc w:val="both"/>
        <w:rPr>
          <w:rFonts w:hint="eastAsia" w:hAnsi="宋体" w:cs="宋体"/>
          <w:b w:val="0"/>
          <w:kern w:val="0"/>
          <w:sz w:val="24"/>
          <w:szCs w:val="24"/>
        </w:rPr>
      </w:pPr>
      <w:bookmarkStart w:id="4" w:name="_Toc7381"/>
      <w:r>
        <w:rPr>
          <w:rFonts w:hint="eastAsia" w:hAnsi="宋体" w:cs="宋体"/>
          <w:b w:val="0"/>
          <w:kern w:val="0"/>
          <w:sz w:val="24"/>
          <w:szCs w:val="24"/>
          <w:lang w:val="en-US" w:eastAsia="zh-CN"/>
        </w:rPr>
        <w:t>5、</w:t>
      </w:r>
      <w:r>
        <w:rPr>
          <w:rFonts w:hint="eastAsia" w:hAnsi="宋体" w:cs="宋体"/>
          <w:b w:val="0"/>
          <w:kern w:val="0"/>
          <w:sz w:val="24"/>
          <w:szCs w:val="24"/>
        </w:rPr>
        <w:t>本项目分包情况：本项目不分包。</w:t>
      </w:r>
      <w:bookmarkEnd w:id="4"/>
    </w:p>
    <w:p>
      <w:pPr>
        <w:spacing w:line="560" w:lineRule="exact"/>
        <w:rPr>
          <w:rFonts w:hint="eastAsia" w:hAnsi="宋体" w:cs="宋体"/>
          <w:b/>
          <w:bCs/>
          <w:sz w:val="24"/>
          <w:szCs w:val="24"/>
        </w:rPr>
      </w:pPr>
      <w:r>
        <w:rPr>
          <w:rFonts w:hint="eastAsia" w:hAnsi="宋体" w:cs="宋体"/>
          <w:b/>
          <w:bCs/>
          <w:sz w:val="24"/>
          <w:szCs w:val="24"/>
        </w:rPr>
        <w:t>二、项目内容</w:t>
      </w:r>
    </w:p>
    <w:p>
      <w:pPr>
        <w:spacing w:line="560" w:lineRule="exact"/>
        <w:ind w:firstLine="480" w:firstLineChars="200"/>
        <w:rPr>
          <w:rFonts w:hint="eastAsia" w:hAnsi="宋体" w:cs="宋体"/>
          <w:bCs/>
          <w:sz w:val="24"/>
          <w:szCs w:val="24"/>
        </w:rPr>
      </w:pPr>
      <w:r>
        <w:rPr>
          <w:rFonts w:hint="eastAsia" w:hAnsi="宋体" w:cs="宋体"/>
          <w:bCs/>
          <w:sz w:val="24"/>
          <w:szCs w:val="24"/>
        </w:rPr>
        <w:t>1、项目背景</w:t>
      </w:r>
    </w:p>
    <w:p>
      <w:pPr>
        <w:spacing w:line="560" w:lineRule="exact"/>
        <w:ind w:firstLine="480" w:firstLineChars="200"/>
        <w:rPr>
          <w:rFonts w:hint="eastAsia" w:hAnsi="宋体" w:cs="宋体"/>
          <w:bCs/>
          <w:sz w:val="24"/>
          <w:szCs w:val="24"/>
        </w:rPr>
      </w:pPr>
      <w:r>
        <w:rPr>
          <w:rFonts w:hint="eastAsia" w:hAnsi="宋体" w:cs="宋体"/>
          <w:bCs/>
          <w:sz w:val="24"/>
          <w:szCs w:val="24"/>
        </w:rPr>
        <w:t>为加强2024年强制管理的计量器具检定服务监督管理，保障量值的准确可靠，有利于生产、贸易和科学技术的发展。依据《中华人民共和国计量法》、《中华人民共和国民法典》、《中华人民共和国计量法实施细则》、《海南省市场监督管理局关于做好计量器具强制检定工作的通知》等相关规定现特向社会招募有资质的单位，为洋浦经济开发区提供计量器具强制检定专项技术服务。</w:t>
      </w:r>
    </w:p>
    <w:p>
      <w:pPr>
        <w:spacing w:line="560" w:lineRule="exact"/>
        <w:ind w:firstLine="480" w:firstLineChars="200"/>
        <w:rPr>
          <w:rFonts w:hint="eastAsia" w:hAnsi="宋体" w:cs="宋体"/>
          <w:bCs/>
          <w:sz w:val="24"/>
          <w:szCs w:val="24"/>
        </w:rPr>
      </w:pPr>
      <w:r>
        <w:rPr>
          <w:rFonts w:hint="eastAsia" w:hAnsi="宋体" w:cs="宋体"/>
          <w:bCs/>
          <w:sz w:val="24"/>
          <w:szCs w:val="24"/>
        </w:rPr>
        <w:t>2、服务需求</w:t>
      </w:r>
    </w:p>
    <w:p>
      <w:pPr>
        <w:spacing w:line="560" w:lineRule="exact"/>
        <w:ind w:firstLine="480" w:firstLineChars="200"/>
        <w:rPr>
          <w:rFonts w:hint="eastAsia" w:hAnsi="宋体" w:cs="宋体"/>
          <w:bCs/>
          <w:sz w:val="24"/>
          <w:szCs w:val="24"/>
        </w:rPr>
      </w:pPr>
      <w:r>
        <w:rPr>
          <w:rFonts w:hint="eastAsia" w:hAnsi="宋体" w:cs="宋体"/>
          <w:bCs/>
          <w:sz w:val="24"/>
          <w:szCs w:val="24"/>
        </w:rPr>
        <w:t>完成2024年强制管理的计量器具检定服务强制检定任务，具体内容见附件-2024年强制管理的计量器具检定服务清单；</w:t>
      </w:r>
    </w:p>
    <w:p>
      <w:pPr>
        <w:numPr>
          <w:ilvl w:val="1"/>
          <w:numId w:val="1"/>
        </w:numPr>
        <w:spacing w:line="560" w:lineRule="exact"/>
        <w:rPr>
          <w:rFonts w:hint="eastAsia" w:hAnsi="宋体" w:cs="宋体"/>
          <w:b/>
          <w:bCs/>
          <w:sz w:val="24"/>
          <w:szCs w:val="24"/>
        </w:rPr>
      </w:pPr>
      <w:r>
        <w:rPr>
          <w:rFonts w:hint="eastAsia" w:hAnsi="宋体" w:cs="宋体"/>
          <w:b/>
          <w:bCs/>
          <w:sz w:val="24"/>
          <w:szCs w:val="24"/>
        </w:rPr>
        <w:t>有关要求</w:t>
      </w:r>
    </w:p>
    <w:p>
      <w:pPr>
        <w:spacing w:line="560" w:lineRule="exact"/>
        <w:ind w:firstLine="480" w:firstLineChars="200"/>
        <w:rPr>
          <w:rFonts w:hint="eastAsia" w:hAnsi="宋体" w:cs="宋体"/>
          <w:bCs/>
          <w:sz w:val="24"/>
          <w:szCs w:val="24"/>
        </w:rPr>
      </w:pPr>
      <w:r>
        <w:rPr>
          <w:rFonts w:hint="eastAsia" w:hAnsi="宋体" w:cs="宋体"/>
          <w:bCs/>
          <w:sz w:val="24"/>
          <w:szCs w:val="24"/>
        </w:rPr>
        <w:t>1、服务供应商应具备检定项目所要求的检定资质，人员、实验器材及场地应符合检定的要求。</w:t>
      </w:r>
    </w:p>
    <w:p>
      <w:pPr>
        <w:spacing w:line="560" w:lineRule="exact"/>
        <w:ind w:firstLine="480" w:firstLineChars="200"/>
        <w:rPr>
          <w:rFonts w:hint="eastAsia" w:hAnsi="宋体" w:cs="宋体"/>
          <w:bCs/>
          <w:sz w:val="24"/>
          <w:szCs w:val="24"/>
        </w:rPr>
      </w:pPr>
      <w:r>
        <w:rPr>
          <w:rFonts w:hint="eastAsia" w:hAnsi="宋体" w:cs="宋体"/>
          <w:bCs/>
          <w:sz w:val="24"/>
          <w:szCs w:val="24"/>
        </w:rPr>
        <w:t>2、使用现行有效的检定规程进行检定，如有最新的检定规程，应按最新的检定规程进行检定，并根据要求提供对应的检定证书。</w:t>
      </w:r>
    </w:p>
    <w:p>
      <w:pPr>
        <w:spacing w:line="560" w:lineRule="exact"/>
        <w:ind w:firstLine="480" w:firstLineChars="200"/>
        <w:rPr>
          <w:rFonts w:hint="eastAsia" w:hAnsi="宋体" w:cs="宋体"/>
          <w:bCs/>
          <w:sz w:val="24"/>
          <w:szCs w:val="24"/>
        </w:rPr>
      </w:pPr>
      <w:r>
        <w:rPr>
          <w:rFonts w:hint="eastAsia" w:hAnsi="宋体" w:cs="宋体"/>
          <w:bCs/>
          <w:sz w:val="24"/>
          <w:szCs w:val="24"/>
        </w:rPr>
        <w:t>3、认真核对待检的计量器具的信息，确保受检的计量器具信息与采购方提供的信息、计量器具使用方提供的信息及海南省计量器具与诚信单位检定管理系统推送的信息一致。</w:t>
      </w:r>
    </w:p>
    <w:p>
      <w:pPr>
        <w:spacing w:line="560" w:lineRule="exact"/>
        <w:ind w:firstLine="480" w:firstLineChars="200"/>
        <w:rPr>
          <w:rFonts w:hint="eastAsia" w:hAnsi="宋体" w:cs="宋体"/>
          <w:bCs/>
          <w:sz w:val="24"/>
          <w:szCs w:val="24"/>
        </w:rPr>
      </w:pPr>
      <w:r>
        <w:rPr>
          <w:rFonts w:hint="eastAsia" w:hAnsi="宋体" w:cs="宋体"/>
          <w:bCs/>
          <w:sz w:val="24"/>
          <w:szCs w:val="24"/>
        </w:rPr>
        <w:t>4、检定完成后，及时在海南省计量器具与诚信单位检定管理系统上录入检定结果，并确保录入的信息与计量器具铭牌、检定证书相符，结果准确无误。</w:t>
      </w:r>
    </w:p>
    <w:p>
      <w:pPr>
        <w:spacing w:line="560" w:lineRule="exact"/>
        <w:ind w:firstLine="480" w:firstLineChars="200"/>
        <w:rPr>
          <w:rFonts w:hint="eastAsia" w:hAnsi="宋体" w:cs="宋体"/>
          <w:bCs/>
          <w:sz w:val="24"/>
          <w:szCs w:val="24"/>
        </w:rPr>
      </w:pPr>
      <w:r>
        <w:rPr>
          <w:rFonts w:hint="eastAsia" w:hAnsi="宋体" w:cs="宋体"/>
          <w:bCs/>
          <w:sz w:val="24"/>
          <w:szCs w:val="24"/>
        </w:rPr>
        <w:t>5、检定结束后，对检定合格的计量器具贴上合格的标识，对检定不合格的计量器具贴上不合格的标识，不合格标识应与合格标识有明显的区别。</w:t>
      </w:r>
    </w:p>
    <w:p>
      <w:pPr>
        <w:spacing w:line="560" w:lineRule="exact"/>
        <w:ind w:firstLine="480" w:firstLineChars="200"/>
        <w:rPr>
          <w:rFonts w:hint="eastAsia" w:hAnsi="宋体" w:cs="宋体"/>
          <w:bCs/>
          <w:sz w:val="24"/>
          <w:szCs w:val="24"/>
        </w:rPr>
      </w:pPr>
      <w:r>
        <w:rPr>
          <w:rFonts w:hint="eastAsia" w:hAnsi="宋体" w:cs="宋体"/>
          <w:bCs/>
          <w:sz w:val="24"/>
          <w:szCs w:val="24"/>
        </w:rPr>
        <w:t>6、对检定不合格的计量器具，应明确告知使用单位不得继续使用。</w:t>
      </w:r>
    </w:p>
    <w:p>
      <w:pPr>
        <w:spacing w:line="560" w:lineRule="exact"/>
        <w:ind w:firstLine="480" w:firstLineChars="200"/>
        <w:rPr>
          <w:rFonts w:hint="eastAsia" w:hAnsi="宋体" w:cs="宋体"/>
          <w:bCs/>
          <w:sz w:val="24"/>
          <w:szCs w:val="24"/>
        </w:rPr>
      </w:pPr>
      <w:r>
        <w:rPr>
          <w:rFonts w:hint="eastAsia" w:hAnsi="宋体" w:cs="宋体"/>
          <w:bCs/>
          <w:sz w:val="24"/>
          <w:szCs w:val="24"/>
        </w:rPr>
        <w:t>7、本项目实施所需所有设备及耗材均由成交服务供应商自行承担，招标人不再另行支付费用。</w:t>
      </w:r>
    </w:p>
    <w:p>
      <w:pPr>
        <w:spacing w:line="560" w:lineRule="exact"/>
        <w:rPr>
          <w:rFonts w:hint="eastAsia" w:hAnsi="宋体" w:cs="宋体"/>
          <w:bCs/>
          <w:sz w:val="24"/>
          <w:szCs w:val="24"/>
        </w:rPr>
      </w:pPr>
      <w:r>
        <w:rPr>
          <w:rFonts w:hint="eastAsia" w:hAnsi="宋体" w:cs="宋体"/>
          <w:b/>
          <w:bCs/>
          <w:sz w:val="24"/>
          <w:szCs w:val="24"/>
        </w:rPr>
        <w:t>四、服务期限</w:t>
      </w:r>
    </w:p>
    <w:p>
      <w:pPr>
        <w:spacing w:line="560" w:lineRule="exact"/>
        <w:ind w:firstLine="480" w:firstLineChars="200"/>
        <w:rPr>
          <w:rFonts w:hint="eastAsia" w:hAnsi="宋体" w:cs="宋体"/>
          <w:bCs/>
          <w:sz w:val="24"/>
          <w:szCs w:val="24"/>
          <w:highlight w:val="none"/>
        </w:rPr>
      </w:pPr>
      <w:r>
        <w:rPr>
          <w:rFonts w:hint="eastAsia" w:hAnsi="宋体" w:cs="宋体"/>
          <w:bCs/>
          <w:sz w:val="24"/>
          <w:szCs w:val="24"/>
          <w:highlight w:val="none"/>
        </w:rPr>
        <w:t>合同签订之日起至2024 年 12月31日止</w:t>
      </w:r>
    </w:p>
    <w:p>
      <w:pPr>
        <w:spacing w:line="560" w:lineRule="exact"/>
        <w:rPr>
          <w:rFonts w:hint="eastAsia" w:hAnsi="宋体" w:cs="宋体"/>
          <w:bCs/>
          <w:sz w:val="24"/>
          <w:szCs w:val="24"/>
        </w:rPr>
      </w:pPr>
      <w:r>
        <w:rPr>
          <w:rFonts w:hint="eastAsia" w:hAnsi="宋体" w:cs="宋体"/>
          <w:b/>
          <w:bCs/>
          <w:sz w:val="24"/>
          <w:szCs w:val="24"/>
        </w:rPr>
        <w:t>五、采购金额</w:t>
      </w:r>
      <w:r>
        <w:rPr>
          <w:rFonts w:hint="eastAsia" w:hAnsi="宋体" w:cs="宋体"/>
          <w:bCs/>
          <w:sz w:val="24"/>
          <w:szCs w:val="24"/>
        </w:rPr>
        <w:t>:</w:t>
      </w:r>
      <w:r>
        <w:rPr>
          <w:rFonts w:hint="eastAsia" w:hAnsi="宋体" w:cs="宋体"/>
          <w:bCs/>
          <w:sz w:val="24"/>
          <w:szCs w:val="24"/>
          <w:lang w:val="en-US" w:eastAsia="zh-CN"/>
        </w:rPr>
        <w:t>2</w:t>
      </w:r>
      <w:r>
        <w:rPr>
          <w:rFonts w:hint="eastAsia" w:hAnsi="宋体" w:cs="宋体"/>
          <w:bCs/>
          <w:sz w:val="24"/>
          <w:szCs w:val="24"/>
          <w:lang w:eastAsia="zh-CN"/>
        </w:rPr>
        <w:t>80.</w:t>
      </w:r>
      <w:r>
        <w:rPr>
          <w:rFonts w:hint="eastAsia" w:hAnsi="宋体" w:cs="宋体"/>
          <w:bCs/>
          <w:sz w:val="24"/>
          <w:szCs w:val="24"/>
          <w:lang w:val="en-US" w:eastAsia="zh-CN"/>
        </w:rPr>
        <w:t>8</w:t>
      </w:r>
      <w:r>
        <w:rPr>
          <w:rFonts w:hint="eastAsia" w:hAnsi="宋体" w:cs="宋体"/>
          <w:bCs/>
          <w:sz w:val="24"/>
          <w:szCs w:val="24"/>
          <w:lang w:eastAsia="zh-CN"/>
        </w:rPr>
        <w:t>万元；（最高限价为</w:t>
      </w:r>
      <w:r>
        <w:rPr>
          <w:rFonts w:hint="eastAsia" w:hAnsi="宋体" w:cs="宋体"/>
          <w:bCs/>
          <w:sz w:val="24"/>
          <w:szCs w:val="24"/>
          <w:lang w:val="en-US" w:eastAsia="zh-CN"/>
        </w:rPr>
        <w:t>2</w:t>
      </w:r>
      <w:r>
        <w:rPr>
          <w:rFonts w:hint="eastAsia" w:hAnsi="宋体" w:cs="宋体"/>
          <w:bCs/>
          <w:sz w:val="24"/>
          <w:szCs w:val="24"/>
          <w:lang w:eastAsia="zh-CN"/>
        </w:rPr>
        <w:t>80.</w:t>
      </w:r>
      <w:r>
        <w:rPr>
          <w:rFonts w:hint="eastAsia" w:hAnsi="宋体" w:cs="宋体"/>
          <w:bCs/>
          <w:sz w:val="24"/>
          <w:szCs w:val="24"/>
          <w:lang w:val="en-US" w:eastAsia="zh-CN"/>
        </w:rPr>
        <w:t>8</w:t>
      </w:r>
      <w:r>
        <w:rPr>
          <w:rFonts w:hint="eastAsia" w:hAnsi="宋体" w:cs="宋体"/>
          <w:bCs/>
          <w:sz w:val="24"/>
          <w:szCs w:val="24"/>
          <w:lang w:eastAsia="zh-CN"/>
        </w:rPr>
        <w:t>万元，超出最高限价的报价视为无效报价）；</w:t>
      </w:r>
    </w:p>
    <w:p>
      <w:pPr>
        <w:spacing w:line="560" w:lineRule="exact"/>
        <w:rPr>
          <w:rFonts w:hint="eastAsia" w:hAnsi="宋体" w:cs="宋体"/>
          <w:b/>
          <w:bCs/>
          <w:sz w:val="24"/>
          <w:szCs w:val="24"/>
        </w:rPr>
      </w:pPr>
      <w:r>
        <w:rPr>
          <w:rFonts w:hint="eastAsia" w:hAnsi="宋体" w:cs="宋体"/>
          <w:b/>
          <w:bCs/>
          <w:sz w:val="24"/>
          <w:szCs w:val="24"/>
        </w:rPr>
        <w:t>六、结算方式</w:t>
      </w:r>
    </w:p>
    <w:p>
      <w:pPr>
        <w:spacing w:line="560" w:lineRule="exact"/>
        <w:ind w:firstLine="480" w:firstLineChars="200"/>
        <w:rPr>
          <w:rFonts w:hint="eastAsia" w:hAnsi="宋体" w:cs="宋体"/>
          <w:bCs/>
          <w:color w:val="0000FF"/>
          <w:sz w:val="24"/>
          <w:szCs w:val="24"/>
        </w:rPr>
      </w:pPr>
      <w:r>
        <w:rPr>
          <w:rFonts w:hint="eastAsia" w:hAnsi="宋体" w:cs="宋体"/>
          <w:bCs/>
          <w:color w:val="auto"/>
          <w:sz w:val="24"/>
          <w:szCs w:val="24"/>
        </w:rPr>
        <w:t>按月结算付款，服务供应商提供清单、</w:t>
      </w:r>
      <w:r>
        <w:rPr>
          <w:rFonts w:hint="eastAsia" w:hAnsi="宋体" w:cs="宋体"/>
          <w:bCs/>
          <w:color w:val="auto"/>
          <w:sz w:val="24"/>
          <w:szCs w:val="24"/>
          <w:lang w:val="en-US" w:eastAsia="zh-CN"/>
        </w:rPr>
        <w:t>验收单、委托确认单、</w:t>
      </w:r>
      <w:r>
        <w:rPr>
          <w:rFonts w:hint="eastAsia" w:hAnsi="宋体" w:cs="宋体"/>
          <w:bCs/>
          <w:color w:val="auto"/>
          <w:sz w:val="24"/>
          <w:szCs w:val="24"/>
        </w:rPr>
        <w:t>证书作为结算佐证材料。</w:t>
      </w:r>
    </w:p>
    <w:p>
      <w:pPr>
        <w:spacing w:line="560" w:lineRule="exact"/>
        <w:rPr>
          <w:rFonts w:hint="eastAsia" w:hAnsi="宋体" w:cs="宋体"/>
          <w:b/>
          <w:bCs/>
          <w:sz w:val="24"/>
          <w:szCs w:val="24"/>
        </w:rPr>
      </w:pPr>
      <w:r>
        <w:rPr>
          <w:rFonts w:hint="eastAsia" w:hAnsi="宋体" w:cs="宋体"/>
          <w:b/>
          <w:bCs/>
          <w:sz w:val="24"/>
          <w:szCs w:val="24"/>
        </w:rPr>
        <w:t>七、验收标准</w:t>
      </w:r>
    </w:p>
    <w:p>
      <w:pPr>
        <w:spacing w:line="560" w:lineRule="exact"/>
        <w:ind w:firstLine="480" w:firstLineChars="200"/>
        <w:rPr>
          <w:rFonts w:hint="eastAsia" w:hAnsi="宋体" w:cs="宋体"/>
          <w:sz w:val="24"/>
          <w:szCs w:val="24"/>
        </w:rPr>
      </w:pPr>
      <w:r>
        <w:rPr>
          <w:rFonts w:hint="eastAsia" w:hAnsi="宋体" w:cs="宋体"/>
          <w:bCs/>
          <w:sz w:val="24"/>
          <w:szCs w:val="24"/>
        </w:rPr>
        <w:t>符合国家有关的质量标准、检定规程规定合同中约定的相关验收条款，均为验收标准。如有矛盾，以其中最高要求为准。</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A"/>
    <w:multiLevelType w:val="multilevel"/>
    <w:tmpl w:val="0000001A"/>
    <w:lvl w:ilvl="0" w:tentative="0">
      <w:start w:val="1"/>
      <w:numFmt w:val="decimal"/>
      <w:lvlText w:val="%1"/>
      <w:lvlJc w:val="left"/>
      <w:pPr>
        <w:tabs>
          <w:tab w:val="left" w:pos="1134"/>
        </w:tabs>
        <w:ind w:left="1134" w:hanging="567"/>
      </w:pPr>
      <w:rPr>
        <w:rFonts w:hint="eastAsia" w:ascii="宋体" w:eastAsia="宋体" w:cs="Times New Roman"/>
        <w:b w:val="0"/>
        <w:i w:val="0"/>
        <w:sz w:val="21"/>
      </w:rPr>
    </w:lvl>
    <w:lvl w:ilvl="1" w:tentative="0">
      <w:start w:val="2"/>
      <w:numFmt w:val="japaneseCounting"/>
      <w:lvlText w:val="%2、"/>
      <w:lvlJc w:val="left"/>
      <w:pPr>
        <w:tabs>
          <w:tab w:val="left" w:pos="720"/>
        </w:tabs>
        <w:ind w:left="720" w:hanging="720"/>
      </w:pPr>
      <w:rPr>
        <w:rFonts w:hint="default" w:cs="Times New Roman"/>
      </w:rPr>
    </w:lvl>
    <w:lvl w:ilvl="2" w:tentative="0">
      <w:start w:val="3"/>
      <w:numFmt w:val="japaneseCounting"/>
      <w:lvlText w:val="%3、"/>
      <w:lvlJc w:val="left"/>
      <w:pPr>
        <w:tabs>
          <w:tab w:val="left" w:pos="1560"/>
        </w:tabs>
        <w:ind w:left="1560" w:hanging="72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NTE1MTFjMTRmN2EwMzIwOWU3NGYzZTgxYTk5MGUifQ=="/>
  </w:docVars>
  <w:rsids>
    <w:rsidRoot w:val="1BBC1A74"/>
    <w:rsid w:val="1BBC1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link w:val="5"/>
    <w:qFormat/>
    <w:uiPriority w:val="0"/>
    <w:pPr>
      <w:keepNext/>
      <w:keepLines/>
      <w:autoSpaceDE w:val="0"/>
      <w:autoSpaceDN w:val="0"/>
      <w:adjustRightInd w:val="0"/>
      <w:spacing w:before="240" w:after="120" w:line="300" w:lineRule="auto"/>
      <w:jc w:val="center"/>
      <w:outlineLvl w:val="0"/>
    </w:pPr>
    <w:rPr>
      <w:b/>
      <w:kern w:val="44"/>
      <w:sz w:val="32"/>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character" w:customStyle="1" w:styleId="5">
    <w:name w:val="标题 1 字符"/>
    <w:link w:val="2"/>
    <w:autoRedefine/>
    <w:qFormat/>
    <w:uiPriority w:val="0"/>
    <w:rPr>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2024-03-25T08:22:00Z</dcterms:created>
  <dc:creator>清补梁女士</dc:creator>
  <cp:lastModifiedBy>清补梁女士</cp:lastModifiedBy>
  <dcterms:modified xsi:type="dcterms:W3CDTF">2024-03-25T08:22:35Z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69DE1866EED64122AF0AD7CD041F2F13_11</vt:lpwstr>
  </property>
</Properties>
</file>