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sz w:val="30"/>
          <w:szCs w:val="30"/>
        </w:rPr>
      </w:pPr>
    </w:p>
    <w:p>
      <w:pPr>
        <w:spacing w:before="45"/>
        <w:ind w:right="759"/>
        <w:jc w:val="center"/>
        <w:rPr>
          <w:rFonts w:ascii="宋体" w:hAnsi="宋体"/>
          <w:b/>
          <w:sz w:val="36"/>
          <w:szCs w:val="36"/>
          <w:lang w:eastAsia="zh-CN"/>
        </w:rPr>
      </w:pPr>
      <w:bookmarkStart w:id="0" w:name="封面"/>
      <w:bookmarkEnd w:id="0"/>
    </w:p>
    <w:p>
      <w:pPr>
        <w:pStyle w:val="20"/>
        <w:jc w:val="center"/>
        <w:rPr>
          <w:rFonts w:hint="eastAsia" w:ascii="宋体" w:hAnsi="宋体" w:eastAsia="宋体" w:cs="Times New Roman"/>
          <w:b/>
          <w:sz w:val="44"/>
          <w:szCs w:val="44"/>
          <w:lang w:val="en-US" w:eastAsia="zh-CN" w:bidi="en-US"/>
        </w:rPr>
      </w:pPr>
      <w:r>
        <w:rPr>
          <w:rFonts w:hint="eastAsia" w:ascii="宋体" w:hAnsi="宋体" w:eastAsia="宋体" w:cs="Times New Roman"/>
          <w:b/>
          <w:sz w:val="44"/>
          <w:szCs w:val="44"/>
          <w:lang w:val="en-US" w:eastAsia="zh-CN" w:bidi="en-US"/>
        </w:rPr>
        <w:t>为残疾人购买商业保险项目（2024年）</w:t>
      </w:r>
    </w:p>
    <w:p>
      <w:pPr>
        <w:pStyle w:val="20"/>
        <w:ind w:firstLine="2650" w:firstLineChars="600"/>
        <w:jc w:val="both"/>
        <w:rPr>
          <w:rFonts w:ascii="宋体" w:hAnsi="宋体"/>
          <w:sz w:val="44"/>
          <w:szCs w:val="44"/>
          <w:lang w:eastAsia="zh-CN"/>
        </w:rPr>
      </w:pPr>
      <w:r>
        <w:rPr>
          <w:rFonts w:hint="eastAsia" w:ascii="宋体" w:hAnsi="宋体" w:eastAsia="宋体" w:cs="Times New Roman"/>
          <w:b/>
          <w:sz w:val="44"/>
          <w:szCs w:val="44"/>
          <w:lang w:val="en-US" w:eastAsia="zh-CN" w:bidi="en-US"/>
        </w:rPr>
        <w:t>（统招分签）</w:t>
      </w:r>
    </w:p>
    <w:p>
      <w:pPr>
        <w:pStyle w:val="20"/>
        <w:jc w:val="center"/>
        <w:rPr>
          <w:rFonts w:ascii="PMingLiU"/>
          <w:sz w:val="32"/>
          <w:lang w:eastAsia="zh-CN"/>
        </w:rPr>
      </w:pPr>
    </w:p>
    <w:p>
      <w:pPr>
        <w:pStyle w:val="20"/>
        <w:jc w:val="center"/>
        <w:rPr>
          <w:rFonts w:ascii="PMingLiU"/>
          <w:sz w:val="32"/>
          <w:lang w:eastAsia="zh-CN"/>
        </w:rPr>
      </w:pPr>
    </w:p>
    <w:p>
      <w:pPr>
        <w:rPr>
          <w:rFonts w:hint="eastAsia"/>
          <w:lang w:eastAsia="zh-CN"/>
        </w:rPr>
      </w:pPr>
    </w:p>
    <w:p>
      <w:pPr>
        <w:pStyle w:val="157"/>
        <w:rPr>
          <w:rFonts w:hint="eastAsia"/>
        </w:rPr>
      </w:pPr>
    </w:p>
    <w:p>
      <w:pPr>
        <w:jc w:val="center"/>
        <w:rPr>
          <w:rFonts w:hint="eastAsia" w:ascii="宋体" w:hAnsi="宋体"/>
          <w:b/>
          <w:sz w:val="72"/>
          <w:szCs w:val="72"/>
          <w:lang w:eastAsia="zh-CN"/>
        </w:rPr>
      </w:pPr>
      <w:r>
        <w:rPr>
          <w:rFonts w:hint="eastAsia" w:ascii="宋体" w:hAnsi="宋体"/>
          <w:b/>
          <w:sz w:val="72"/>
          <w:szCs w:val="72"/>
          <w:lang w:eastAsia="zh-CN"/>
        </w:rPr>
        <w:t>招标文件</w:t>
      </w:r>
    </w:p>
    <w:p>
      <w:pPr>
        <w:rPr>
          <w:rFonts w:hint="eastAsia"/>
          <w:lang w:eastAsia="zh-CN"/>
        </w:rPr>
      </w:pPr>
    </w:p>
    <w:p>
      <w:pPr>
        <w:widowControl w:val="0"/>
        <w:spacing w:line="360" w:lineRule="auto"/>
        <w:ind w:firstLine="883" w:firstLineChars="200"/>
        <w:jc w:val="center"/>
        <w:rPr>
          <w:rFonts w:hint="eastAsia" w:ascii="宋体" w:hAnsi="宋体"/>
          <w:b/>
          <w:sz w:val="44"/>
          <w:szCs w:val="44"/>
          <w:lang w:eastAsia="zh-CN"/>
        </w:rPr>
      </w:pPr>
    </w:p>
    <w:p>
      <w:pPr>
        <w:pStyle w:val="157"/>
        <w:rPr>
          <w:rFonts w:hint="eastAsia"/>
        </w:rPr>
      </w:pPr>
    </w:p>
    <w:p>
      <w:pPr>
        <w:shd w:val="clear" w:color="auto" w:fill="FFFFFF"/>
        <w:spacing w:line="360" w:lineRule="auto"/>
        <w:ind w:left="1733" w:leftChars="400" w:hanging="773" w:hangingChars="175"/>
        <w:jc w:val="center"/>
        <w:rPr>
          <w:rFonts w:hint="eastAsia" w:ascii="宋体" w:hAnsi="宋体"/>
          <w:b/>
          <w:sz w:val="44"/>
          <w:szCs w:val="44"/>
          <w:lang w:eastAsia="zh-CN"/>
        </w:rPr>
      </w:pPr>
    </w:p>
    <w:p>
      <w:pPr>
        <w:widowControl w:val="0"/>
        <w:spacing w:line="360" w:lineRule="auto"/>
        <w:ind w:firstLine="883" w:firstLineChars="200"/>
        <w:jc w:val="both"/>
        <w:rPr>
          <w:rFonts w:hint="eastAsia" w:ascii="宋体" w:hAnsi="宋体" w:cs="宋体"/>
          <w:b/>
          <w:sz w:val="44"/>
          <w:szCs w:val="44"/>
          <w:lang w:eastAsia="zh-CN"/>
        </w:rPr>
      </w:pPr>
      <w:r>
        <w:rPr>
          <w:rFonts w:hint="eastAsia" w:ascii="宋体" w:hAnsi="宋体"/>
          <w:b/>
          <w:sz w:val="44"/>
          <w:szCs w:val="44"/>
          <w:lang w:eastAsia="zh-CN"/>
        </w:rPr>
        <w:t>项目编号：</w:t>
      </w:r>
      <w:r>
        <w:rPr>
          <w:rFonts w:hint="eastAsia" w:ascii="宋体" w:hAnsi="宋体" w:cs="宋体"/>
          <w:b/>
          <w:sz w:val="44"/>
          <w:szCs w:val="44"/>
          <w:lang w:eastAsia="zh-CN"/>
        </w:rPr>
        <w:t>HNHJ2024-03-002</w:t>
      </w:r>
    </w:p>
    <w:p>
      <w:pPr>
        <w:shd w:val="clear" w:color="auto" w:fill="FFFFFF"/>
        <w:adjustRightInd w:val="0"/>
        <w:snapToGrid w:val="0"/>
        <w:spacing w:line="360" w:lineRule="auto"/>
        <w:ind w:firstLine="883" w:firstLineChars="200"/>
        <w:jc w:val="both"/>
        <w:rPr>
          <w:rFonts w:hint="eastAsia" w:ascii="宋体" w:hAnsi="宋体"/>
          <w:b/>
          <w:sz w:val="44"/>
          <w:szCs w:val="44"/>
          <w:lang w:eastAsia="zh-CN"/>
        </w:rPr>
      </w:pPr>
      <w:r>
        <w:rPr>
          <w:rFonts w:hint="eastAsia" w:ascii="宋体" w:hAnsi="宋体"/>
          <w:b/>
          <w:sz w:val="44"/>
          <w:szCs w:val="44"/>
          <w:lang w:eastAsia="zh-CN"/>
        </w:rPr>
        <w:t>采购人：海南省残疾人联合会</w:t>
      </w:r>
    </w:p>
    <w:p>
      <w:pPr>
        <w:shd w:val="clear" w:color="auto" w:fill="FFFFFF"/>
        <w:adjustRightInd w:val="0"/>
        <w:snapToGrid w:val="0"/>
        <w:spacing w:line="360" w:lineRule="auto"/>
        <w:ind w:firstLine="442" w:firstLineChars="100"/>
        <w:jc w:val="center"/>
        <w:rPr>
          <w:rFonts w:hint="eastAsia" w:ascii="宋体" w:hAnsi="宋体"/>
          <w:b/>
          <w:sz w:val="44"/>
          <w:szCs w:val="44"/>
          <w:lang w:eastAsia="zh-CN"/>
        </w:rPr>
      </w:pPr>
      <w:r>
        <w:rPr>
          <w:rFonts w:hint="eastAsia" w:ascii="宋体" w:hAnsi="宋体"/>
          <w:b/>
          <w:sz w:val="44"/>
          <w:szCs w:val="44"/>
          <w:lang w:eastAsia="zh-CN"/>
        </w:rPr>
        <w:t>代理机构：海南华教设备招标有限公司</w:t>
      </w:r>
    </w:p>
    <w:p>
      <w:pPr>
        <w:shd w:val="clear" w:color="auto" w:fill="FFFFFF"/>
        <w:snapToGrid w:val="0"/>
        <w:spacing w:line="360" w:lineRule="auto"/>
        <w:rPr>
          <w:rFonts w:hint="eastAsia" w:ascii="宋体" w:hAnsi="宋体"/>
          <w:b/>
          <w:sz w:val="28"/>
          <w:szCs w:val="28"/>
          <w:lang w:eastAsia="zh-CN"/>
        </w:rPr>
      </w:pPr>
    </w:p>
    <w:p>
      <w:pPr>
        <w:pStyle w:val="2"/>
        <w:rPr>
          <w:rFonts w:hint="eastAsia"/>
          <w:lang w:bidi="en-US"/>
        </w:rPr>
      </w:pPr>
    </w:p>
    <w:p>
      <w:pPr>
        <w:rPr>
          <w:rFonts w:hint="eastAsia"/>
        </w:rPr>
      </w:pPr>
    </w:p>
    <w:p>
      <w:pPr>
        <w:shd w:val="clear" w:color="auto" w:fill="FFFFFF"/>
        <w:snapToGrid w:val="0"/>
        <w:spacing w:line="360" w:lineRule="auto"/>
        <w:jc w:val="center"/>
        <w:rPr>
          <w:rFonts w:hint="eastAsia" w:ascii="宋体" w:hAnsi="宋体"/>
          <w:b/>
          <w:sz w:val="44"/>
          <w:lang w:eastAsia="zh-CN"/>
        </w:rPr>
      </w:pPr>
      <w:r>
        <w:rPr>
          <w:rFonts w:hint="eastAsia" w:ascii="宋体" w:hAnsi="宋体"/>
          <w:b/>
          <w:sz w:val="48"/>
          <w:szCs w:val="48"/>
          <w:lang w:eastAsia="zh-CN"/>
        </w:rPr>
        <w:t>二</w:t>
      </w:r>
      <w:bookmarkStart w:id="1" w:name="OLE_LINK1"/>
      <w:r>
        <w:rPr>
          <w:rFonts w:hint="eastAsia" w:ascii="宋体" w:hAnsi="宋体"/>
          <w:b/>
          <w:sz w:val="48"/>
          <w:szCs w:val="48"/>
          <w:lang w:eastAsia="zh-CN"/>
        </w:rPr>
        <w:t>○</w:t>
      </w:r>
      <w:bookmarkEnd w:id="1"/>
      <w:r>
        <w:rPr>
          <w:rFonts w:hint="eastAsia" w:ascii="宋体" w:hAnsi="宋体"/>
          <w:b/>
          <w:sz w:val="48"/>
          <w:szCs w:val="48"/>
          <w:lang w:eastAsia="zh-CN"/>
        </w:rPr>
        <w:t>二四年三月</w:t>
      </w:r>
    </w:p>
    <w:p>
      <w:pPr>
        <w:shd w:val="clear" w:color="auto" w:fill="FFFFFF"/>
        <w:spacing w:line="360" w:lineRule="auto"/>
        <w:jc w:val="center"/>
        <w:rPr>
          <w:rFonts w:hint="eastAsia" w:ascii="宋体" w:hAnsi="宋体"/>
          <w:b/>
          <w:sz w:val="44"/>
          <w:lang w:eastAsia="zh-CN"/>
        </w:rPr>
      </w:pPr>
    </w:p>
    <w:p>
      <w:pPr>
        <w:pStyle w:val="2"/>
        <w:rPr>
          <w:rFonts w:hint="eastAsia"/>
          <w:lang w:eastAsia="zh-CN"/>
        </w:rPr>
      </w:pPr>
    </w:p>
    <w:p>
      <w:pPr>
        <w:widowControl w:val="0"/>
        <w:autoSpaceDE w:val="0"/>
        <w:autoSpaceDN w:val="0"/>
        <w:adjustRightInd w:val="0"/>
        <w:rPr>
          <w:rFonts w:hint="eastAsia" w:ascii="宋体" w:hAnsi="宋体" w:cs="??Regular"/>
          <w:sz w:val="28"/>
          <w:szCs w:val="28"/>
          <w:lang w:eastAsia="zh-CN" w:bidi="ar-SA"/>
        </w:rPr>
        <w:sectPr>
          <w:headerReference r:id="rId3" w:type="default"/>
          <w:footerReference r:id="rId4" w:type="default"/>
          <w:type w:val="continuous"/>
          <w:pgSz w:w="12240" w:h="15840"/>
          <w:pgMar w:top="1440" w:right="1800" w:bottom="1440" w:left="1800" w:header="720" w:footer="720" w:gutter="0"/>
          <w:cols w:space="720" w:num="1"/>
        </w:sectPr>
      </w:pPr>
    </w:p>
    <w:p>
      <w:pPr>
        <w:pStyle w:val="157"/>
        <w:rPr>
          <w:rFonts w:hint="eastAsia"/>
          <w:lang w:bidi="en-US"/>
        </w:rPr>
      </w:pPr>
    </w:p>
    <w:p>
      <w:pPr>
        <w:pStyle w:val="157"/>
        <w:rPr>
          <w:rFonts w:hint="eastAsia"/>
          <w:lang w:bidi="en-US"/>
        </w:rPr>
      </w:pPr>
    </w:p>
    <w:p>
      <w:pPr>
        <w:shd w:val="clear" w:color="auto" w:fill="FFFFFF"/>
        <w:spacing w:line="360" w:lineRule="auto"/>
        <w:jc w:val="center"/>
        <w:rPr>
          <w:rFonts w:hint="eastAsia" w:ascii="宋体" w:hAnsi="宋体"/>
          <w:b/>
          <w:sz w:val="44"/>
          <w:lang w:eastAsia="zh-CN"/>
        </w:rPr>
      </w:pPr>
      <w:r>
        <w:rPr>
          <w:rFonts w:hint="eastAsia" w:ascii="宋体" w:hAnsi="宋体"/>
          <w:b/>
          <w:sz w:val="44"/>
          <w:lang w:eastAsia="zh-CN"/>
        </w:rPr>
        <w:t>目</w:t>
      </w:r>
      <w:r>
        <w:rPr>
          <w:rFonts w:hint="eastAsia" w:ascii="宋体" w:hAnsi="宋体"/>
          <w:b/>
          <w:sz w:val="44"/>
          <w:lang w:val="en-US" w:eastAsia="zh-CN"/>
        </w:rPr>
        <w:t xml:space="preserve">  </w:t>
      </w:r>
      <w:r>
        <w:rPr>
          <w:rFonts w:hint="eastAsia" w:ascii="宋体" w:hAnsi="宋体"/>
          <w:b/>
          <w:sz w:val="44"/>
          <w:lang w:eastAsia="zh-CN"/>
        </w:rPr>
        <w:t>录</w:t>
      </w:r>
    </w:p>
    <w:p>
      <w:pPr>
        <w:pStyle w:val="2"/>
        <w:rPr>
          <w:rFonts w:hint="eastAsia"/>
          <w:lang w:eastAsia="zh-CN"/>
        </w:rPr>
      </w:pPr>
    </w:p>
    <w:p>
      <w:pPr>
        <w:pStyle w:val="35"/>
        <w:tabs>
          <w:tab w:val="right" w:leader="dot" w:pos="9740"/>
        </w:tabs>
        <w:spacing w:line="480" w:lineRule="auto"/>
        <w:rPr>
          <w:sz w:val="32"/>
          <w:szCs w:val="32"/>
        </w:rPr>
      </w:pPr>
      <w:r>
        <w:rPr>
          <w:rFonts w:ascii="宋体" w:hAnsi="宋体"/>
          <w:b w:val="0"/>
          <w:sz w:val="32"/>
          <w:szCs w:val="32"/>
        </w:rPr>
        <w:fldChar w:fldCharType="begin"/>
      </w:r>
      <w:r>
        <w:rPr>
          <w:rFonts w:ascii="宋体" w:hAnsi="宋体"/>
          <w:b w:val="0"/>
          <w:sz w:val="32"/>
          <w:szCs w:val="32"/>
        </w:rPr>
        <w:instrText xml:space="preserve"> </w:instrText>
      </w:r>
      <w:r>
        <w:rPr>
          <w:rFonts w:hint="eastAsia" w:ascii="宋体" w:hAnsi="宋体"/>
          <w:b w:val="0"/>
          <w:sz w:val="32"/>
          <w:szCs w:val="32"/>
        </w:rPr>
        <w:instrText xml:space="preserve">TOC \o "1-6" \h \z \u</w:instrText>
      </w:r>
      <w:r>
        <w:rPr>
          <w:rFonts w:ascii="宋体" w:hAnsi="宋体"/>
          <w:b w:val="0"/>
          <w:sz w:val="32"/>
          <w:szCs w:val="32"/>
        </w:rPr>
        <w:instrText xml:space="preserve"> </w:instrText>
      </w:r>
      <w:r>
        <w:rPr>
          <w:rFonts w:ascii="宋体" w:hAnsi="宋体"/>
          <w:b w:val="0"/>
          <w:sz w:val="32"/>
          <w:szCs w:val="32"/>
        </w:rPr>
        <w:fldChar w:fldCharType="separate"/>
      </w:r>
      <w:r>
        <w:rPr>
          <w:rFonts w:ascii="宋体" w:hAnsi="宋体"/>
          <w:sz w:val="32"/>
          <w:szCs w:val="32"/>
        </w:rPr>
        <w:fldChar w:fldCharType="begin"/>
      </w:r>
      <w:r>
        <w:rPr>
          <w:rFonts w:ascii="宋体" w:hAnsi="宋体"/>
          <w:sz w:val="32"/>
          <w:szCs w:val="32"/>
        </w:rPr>
        <w:instrText xml:space="preserve"> HYPERLINK \l _Toc9692 </w:instrText>
      </w:r>
      <w:r>
        <w:rPr>
          <w:rFonts w:ascii="宋体" w:hAnsi="宋体"/>
          <w:sz w:val="32"/>
          <w:szCs w:val="32"/>
        </w:rPr>
        <w:fldChar w:fldCharType="separate"/>
      </w:r>
      <w:r>
        <w:rPr>
          <w:rFonts w:hint="eastAsia" w:ascii="宋体" w:hAnsi="宋体"/>
          <w:sz w:val="32"/>
          <w:szCs w:val="32"/>
          <w:lang w:eastAsia="zh-CN"/>
        </w:rPr>
        <w:t>第一章投标邀请</w:t>
      </w:r>
      <w:r>
        <w:rPr>
          <w:sz w:val="32"/>
          <w:szCs w:val="32"/>
        </w:rPr>
        <w:tab/>
      </w:r>
      <w:r>
        <w:rPr>
          <w:rFonts w:hint="eastAsia"/>
          <w:sz w:val="32"/>
          <w:szCs w:val="32"/>
          <w:lang w:val="en-US" w:eastAsia="zh-CN"/>
        </w:rPr>
        <w:t>4</w:t>
      </w:r>
      <w:r>
        <w:rPr>
          <w:rFonts w:ascii="宋体" w:hAnsi="宋体"/>
          <w:sz w:val="32"/>
          <w:szCs w:val="32"/>
        </w:rPr>
        <w:fldChar w:fldCharType="end"/>
      </w:r>
    </w:p>
    <w:p>
      <w:pPr>
        <w:pStyle w:val="35"/>
        <w:tabs>
          <w:tab w:val="right" w:leader="dot" w:pos="9740"/>
        </w:tabs>
        <w:spacing w:line="480" w:lineRule="auto"/>
        <w:rPr>
          <w:sz w:val="32"/>
          <w:szCs w:val="32"/>
        </w:rPr>
      </w:pPr>
      <w:r>
        <w:rPr>
          <w:rFonts w:ascii="宋体" w:hAnsi="宋体"/>
          <w:sz w:val="32"/>
          <w:szCs w:val="32"/>
        </w:rPr>
        <w:fldChar w:fldCharType="begin"/>
      </w:r>
      <w:r>
        <w:rPr>
          <w:rFonts w:ascii="宋体" w:hAnsi="宋体"/>
          <w:sz w:val="32"/>
          <w:szCs w:val="32"/>
        </w:rPr>
        <w:instrText xml:space="preserve"> HYPERLINK \l _Toc24606 </w:instrText>
      </w:r>
      <w:r>
        <w:rPr>
          <w:rFonts w:ascii="宋体" w:hAnsi="宋体"/>
          <w:sz w:val="32"/>
          <w:szCs w:val="32"/>
        </w:rPr>
        <w:fldChar w:fldCharType="separate"/>
      </w:r>
      <w:r>
        <w:rPr>
          <w:rFonts w:hint="eastAsia" w:ascii="宋体" w:hAnsi="宋体"/>
          <w:sz w:val="32"/>
          <w:szCs w:val="32"/>
          <w:lang w:eastAsia="zh-CN"/>
        </w:rPr>
        <w:t>第二章投标人须知</w:t>
      </w:r>
      <w:r>
        <w:rPr>
          <w:sz w:val="32"/>
          <w:szCs w:val="32"/>
        </w:rPr>
        <w:tab/>
      </w:r>
      <w:r>
        <w:rPr>
          <w:rFonts w:hint="eastAsia"/>
          <w:sz w:val="32"/>
          <w:szCs w:val="32"/>
          <w:lang w:val="en-US" w:eastAsia="zh-CN"/>
        </w:rPr>
        <w:t>8</w:t>
      </w:r>
      <w:r>
        <w:rPr>
          <w:rFonts w:ascii="宋体" w:hAnsi="宋体"/>
          <w:sz w:val="32"/>
          <w:szCs w:val="32"/>
        </w:rPr>
        <w:fldChar w:fldCharType="end"/>
      </w:r>
    </w:p>
    <w:p>
      <w:pPr>
        <w:pStyle w:val="35"/>
        <w:tabs>
          <w:tab w:val="right" w:leader="dot" w:pos="9740"/>
        </w:tabs>
        <w:spacing w:line="480" w:lineRule="auto"/>
        <w:rPr>
          <w:rFonts w:hint="eastAsia" w:eastAsia="宋体"/>
          <w:sz w:val="32"/>
          <w:szCs w:val="32"/>
          <w:lang w:val="en-US" w:eastAsia="zh-CN"/>
        </w:rPr>
      </w:pPr>
      <w:r>
        <w:rPr>
          <w:sz w:val="32"/>
          <w:szCs w:val="32"/>
        </w:rPr>
        <w:fldChar w:fldCharType="begin"/>
      </w:r>
      <w:r>
        <w:rPr>
          <w:sz w:val="32"/>
          <w:szCs w:val="32"/>
        </w:rPr>
        <w:instrText xml:space="preserve"> HYPERLINK \l _Toc32139 </w:instrText>
      </w:r>
      <w:r>
        <w:rPr>
          <w:sz w:val="32"/>
          <w:szCs w:val="32"/>
        </w:rPr>
        <w:fldChar w:fldCharType="separate"/>
      </w:r>
      <w:r>
        <w:rPr>
          <w:rFonts w:hint="eastAsia"/>
          <w:sz w:val="32"/>
          <w:szCs w:val="32"/>
          <w:lang w:eastAsia="zh-CN"/>
        </w:rPr>
        <w:t>第三章采购需求</w:t>
      </w:r>
      <w:r>
        <w:rPr>
          <w:sz w:val="32"/>
          <w:szCs w:val="32"/>
        </w:rPr>
        <w:tab/>
      </w:r>
      <w:r>
        <w:rPr>
          <w:rFonts w:hint="eastAsia"/>
          <w:sz w:val="32"/>
          <w:szCs w:val="32"/>
          <w:lang w:val="en-US" w:eastAsia="zh-CN"/>
        </w:rPr>
        <w:t>1</w:t>
      </w:r>
      <w:r>
        <w:rPr>
          <w:sz w:val="32"/>
          <w:szCs w:val="32"/>
        </w:rPr>
        <w:fldChar w:fldCharType="end"/>
      </w:r>
      <w:r>
        <w:rPr>
          <w:rFonts w:hint="eastAsia"/>
          <w:sz w:val="32"/>
          <w:szCs w:val="32"/>
          <w:lang w:val="en-US" w:eastAsia="zh-CN"/>
        </w:rPr>
        <w:t>7</w:t>
      </w:r>
    </w:p>
    <w:p>
      <w:pPr>
        <w:pStyle w:val="35"/>
        <w:tabs>
          <w:tab w:val="right" w:leader="dot" w:pos="9740"/>
        </w:tabs>
        <w:spacing w:line="480" w:lineRule="auto"/>
        <w:rPr>
          <w:rFonts w:hint="eastAsia" w:eastAsia="宋体"/>
          <w:sz w:val="32"/>
          <w:szCs w:val="32"/>
          <w:lang w:val="en-US" w:eastAsia="zh-CN"/>
        </w:rPr>
      </w:pPr>
      <w:r>
        <w:rPr>
          <w:rFonts w:ascii="宋体" w:hAnsi="宋体"/>
          <w:sz w:val="32"/>
          <w:szCs w:val="32"/>
        </w:rPr>
        <w:fldChar w:fldCharType="begin"/>
      </w:r>
      <w:r>
        <w:rPr>
          <w:rFonts w:ascii="宋体" w:hAnsi="宋体"/>
          <w:sz w:val="32"/>
          <w:szCs w:val="32"/>
        </w:rPr>
        <w:instrText xml:space="preserve"> HYPERLINK \l _Toc27376 </w:instrText>
      </w:r>
      <w:r>
        <w:rPr>
          <w:rFonts w:ascii="宋体" w:hAnsi="宋体"/>
          <w:sz w:val="32"/>
          <w:szCs w:val="32"/>
        </w:rPr>
        <w:fldChar w:fldCharType="separate"/>
      </w:r>
      <w:r>
        <w:rPr>
          <w:rFonts w:hint="eastAsia" w:ascii="宋体" w:hAnsi="宋体"/>
          <w:sz w:val="32"/>
          <w:szCs w:val="32"/>
          <w:lang w:eastAsia="zh-CN"/>
        </w:rPr>
        <w:t>第四章评标办法及标准</w:t>
      </w:r>
      <w:r>
        <w:rPr>
          <w:sz w:val="32"/>
          <w:szCs w:val="32"/>
        </w:rPr>
        <w:tab/>
      </w:r>
      <w:r>
        <w:rPr>
          <w:rFonts w:hint="eastAsia"/>
          <w:sz w:val="32"/>
          <w:szCs w:val="32"/>
          <w:lang w:val="en-US" w:eastAsia="zh-CN"/>
        </w:rPr>
        <w:t>3</w:t>
      </w:r>
      <w:r>
        <w:rPr>
          <w:rFonts w:ascii="宋体" w:hAnsi="宋体"/>
          <w:sz w:val="32"/>
          <w:szCs w:val="32"/>
        </w:rPr>
        <w:fldChar w:fldCharType="end"/>
      </w:r>
      <w:r>
        <w:rPr>
          <w:rFonts w:hint="eastAsia" w:ascii="宋体" w:hAnsi="宋体"/>
          <w:sz w:val="32"/>
          <w:szCs w:val="32"/>
          <w:lang w:val="en-US" w:eastAsia="zh-CN"/>
        </w:rPr>
        <w:t>6</w:t>
      </w:r>
    </w:p>
    <w:p>
      <w:pPr>
        <w:pStyle w:val="35"/>
        <w:tabs>
          <w:tab w:val="right" w:leader="dot" w:pos="9740"/>
        </w:tabs>
        <w:spacing w:line="480" w:lineRule="auto"/>
        <w:rPr>
          <w:rFonts w:hint="eastAsia" w:eastAsia="宋体"/>
          <w:sz w:val="32"/>
          <w:szCs w:val="32"/>
          <w:lang w:val="en-US" w:eastAsia="zh-CN"/>
        </w:rPr>
      </w:pPr>
      <w:r>
        <w:rPr>
          <w:rFonts w:ascii="宋体" w:hAnsi="宋体"/>
          <w:sz w:val="32"/>
          <w:szCs w:val="32"/>
        </w:rPr>
        <w:fldChar w:fldCharType="begin"/>
      </w:r>
      <w:r>
        <w:rPr>
          <w:rFonts w:ascii="宋体" w:hAnsi="宋体"/>
          <w:sz w:val="32"/>
          <w:szCs w:val="32"/>
        </w:rPr>
        <w:instrText xml:space="preserve"> HYPERLINK \l _Toc4795 </w:instrText>
      </w:r>
      <w:r>
        <w:rPr>
          <w:rFonts w:ascii="宋体" w:hAnsi="宋体"/>
          <w:sz w:val="32"/>
          <w:szCs w:val="32"/>
        </w:rPr>
        <w:fldChar w:fldCharType="separate"/>
      </w:r>
      <w:r>
        <w:rPr>
          <w:rFonts w:hint="eastAsia" w:ascii="宋体" w:hAnsi="宋体"/>
          <w:sz w:val="32"/>
          <w:szCs w:val="32"/>
          <w:lang w:eastAsia="zh-CN"/>
        </w:rPr>
        <w:t>第五章合同文本</w:t>
      </w:r>
      <w:r>
        <w:rPr>
          <w:sz w:val="32"/>
          <w:szCs w:val="32"/>
        </w:rPr>
        <w:tab/>
      </w:r>
      <w:r>
        <w:rPr>
          <w:rFonts w:hint="eastAsia"/>
          <w:sz w:val="32"/>
          <w:szCs w:val="32"/>
          <w:lang w:val="en-US" w:eastAsia="zh-CN"/>
        </w:rPr>
        <w:t>4</w:t>
      </w:r>
      <w:r>
        <w:rPr>
          <w:rFonts w:ascii="宋体" w:hAnsi="宋体"/>
          <w:sz w:val="32"/>
          <w:szCs w:val="32"/>
        </w:rPr>
        <w:fldChar w:fldCharType="end"/>
      </w:r>
      <w:r>
        <w:rPr>
          <w:rFonts w:hint="eastAsia" w:ascii="宋体" w:hAnsi="宋体"/>
          <w:sz w:val="32"/>
          <w:szCs w:val="32"/>
          <w:lang w:val="en-US" w:eastAsia="zh-CN"/>
        </w:rPr>
        <w:t>8</w:t>
      </w:r>
    </w:p>
    <w:p>
      <w:pPr>
        <w:pStyle w:val="35"/>
        <w:tabs>
          <w:tab w:val="right" w:leader="dot" w:pos="9740"/>
        </w:tabs>
        <w:spacing w:line="480" w:lineRule="auto"/>
        <w:rPr>
          <w:rFonts w:hint="eastAsia" w:eastAsia="宋体"/>
          <w:sz w:val="32"/>
          <w:szCs w:val="32"/>
          <w:lang w:val="en-US" w:eastAsia="zh-CN"/>
        </w:rPr>
      </w:pPr>
      <w:r>
        <w:rPr>
          <w:rFonts w:ascii="宋体" w:hAnsi="宋体"/>
          <w:sz w:val="32"/>
          <w:szCs w:val="32"/>
        </w:rPr>
        <w:fldChar w:fldCharType="begin"/>
      </w:r>
      <w:r>
        <w:rPr>
          <w:rFonts w:ascii="宋体" w:hAnsi="宋体"/>
          <w:sz w:val="32"/>
          <w:szCs w:val="32"/>
        </w:rPr>
        <w:instrText xml:space="preserve"> HYPERLINK \l _Toc27249 </w:instrText>
      </w:r>
      <w:r>
        <w:rPr>
          <w:rFonts w:ascii="宋体" w:hAnsi="宋体"/>
          <w:sz w:val="32"/>
          <w:szCs w:val="32"/>
        </w:rPr>
        <w:fldChar w:fldCharType="separate"/>
      </w:r>
      <w:r>
        <w:rPr>
          <w:rFonts w:hint="eastAsia" w:ascii="宋体" w:hAnsi="宋体"/>
          <w:sz w:val="32"/>
          <w:szCs w:val="32"/>
          <w:lang w:eastAsia="zh-CN"/>
        </w:rPr>
        <w:t>第六章投标文件格式要求</w:t>
      </w:r>
      <w:r>
        <w:rPr>
          <w:sz w:val="32"/>
          <w:szCs w:val="32"/>
        </w:rPr>
        <w:tab/>
      </w:r>
      <w:r>
        <w:rPr>
          <w:rFonts w:hint="eastAsia"/>
          <w:sz w:val="32"/>
          <w:szCs w:val="32"/>
          <w:lang w:val="en-US" w:eastAsia="zh-CN"/>
        </w:rPr>
        <w:t>6</w:t>
      </w:r>
      <w:r>
        <w:rPr>
          <w:rFonts w:ascii="宋体" w:hAnsi="宋体"/>
          <w:sz w:val="32"/>
          <w:szCs w:val="32"/>
        </w:rPr>
        <w:fldChar w:fldCharType="end"/>
      </w:r>
      <w:r>
        <w:rPr>
          <w:rFonts w:hint="eastAsia" w:ascii="宋体" w:hAnsi="宋体"/>
          <w:sz w:val="32"/>
          <w:szCs w:val="32"/>
          <w:lang w:val="en-US" w:eastAsia="zh-CN"/>
        </w:rPr>
        <w:t>1</w:t>
      </w:r>
    </w:p>
    <w:p>
      <w:pPr>
        <w:shd w:val="clear" w:color="auto" w:fill="FFFFFF"/>
        <w:spacing w:line="480" w:lineRule="auto"/>
        <w:jc w:val="center"/>
        <w:rPr>
          <w:rFonts w:hint="eastAsia" w:ascii="宋体" w:hAnsi="宋体"/>
          <w:lang w:eastAsia="zh-CN"/>
        </w:rPr>
      </w:pPr>
      <w:r>
        <w:rPr>
          <w:rFonts w:ascii="宋体" w:hAnsi="宋体"/>
          <w:sz w:val="32"/>
          <w:szCs w:val="32"/>
        </w:rPr>
        <w:fldChar w:fldCharType="end"/>
      </w:r>
    </w:p>
    <w:p>
      <w:pPr>
        <w:pStyle w:val="3"/>
        <w:spacing w:before="360" w:after="360"/>
        <w:jc w:val="center"/>
        <w:rPr>
          <w:rFonts w:hint="eastAsia" w:ascii="宋体" w:hAnsi="宋体"/>
          <w:lang w:eastAsia="zh-CN"/>
        </w:rPr>
      </w:pPr>
      <w:bookmarkStart w:id="2" w:name="_Toc29305"/>
      <w:r>
        <w:rPr>
          <w:rFonts w:hint="eastAsia" w:ascii="宋体" w:hAnsi="宋体"/>
          <w:lang w:eastAsia="zh-CN"/>
        </w:rPr>
        <w:br w:type="page"/>
      </w:r>
      <w:bookmarkStart w:id="3" w:name="_Toc9692"/>
      <w:r>
        <w:rPr>
          <w:rFonts w:hint="eastAsia" w:ascii="宋体" w:hAnsi="宋体"/>
          <w:lang w:eastAsia="zh-CN"/>
        </w:rPr>
        <w:t>第一章投标邀请</w:t>
      </w:r>
      <w:bookmarkEnd w:id="2"/>
      <w:bookmarkEnd w:id="3"/>
    </w:p>
    <w:p>
      <w:pPr>
        <w:spacing w:before="45" w:line="360" w:lineRule="auto"/>
        <w:ind w:right="759" w:firstLine="480" w:firstLineChars="200"/>
        <w:rPr>
          <w:rFonts w:hint="eastAsia" w:ascii="宋体" w:hAnsi="宋体"/>
          <w:lang w:eastAsia="zh-CN"/>
        </w:rPr>
      </w:pPr>
      <w:r>
        <w:rPr>
          <w:rFonts w:hint="eastAsia" w:ascii="宋体" w:hAnsi="宋体"/>
          <w:lang w:eastAsia="zh-CN"/>
        </w:rPr>
        <w:t>受海南省残疾人联合会（以下称“采购人”）的委托，海南华教设备招标有限公司（以下称“招标人”）</w:t>
      </w:r>
      <w:r>
        <w:rPr>
          <w:rFonts w:hint="eastAsia" w:ascii="宋体" w:hAnsi="宋体"/>
          <w:kern w:val="28"/>
          <w:lang w:eastAsia="zh-CN"/>
        </w:rPr>
        <w:t>就</w:t>
      </w:r>
      <w:r>
        <w:rPr>
          <w:rFonts w:hint="eastAsia" w:ascii="宋体" w:hAnsi="宋体" w:cs="宋体"/>
          <w:bCs/>
          <w:lang w:eastAsia="zh-CN"/>
        </w:rPr>
        <w:t>为残疾人购买商业保险项目（2024年）（统招分签）</w:t>
      </w:r>
      <w:r>
        <w:rPr>
          <w:rFonts w:hint="eastAsia" w:ascii="宋体" w:hAnsi="宋体"/>
          <w:lang w:eastAsia="zh-CN"/>
        </w:rPr>
        <w:t>（项目编号</w:t>
      </w:r>
      <w:r>
        <w:rPr>
          <w:rFonts w:ascii="宋体" w:hAnsi="宋体"/>
          <w:lang w:eastAsia="zh-CN"/>
        </w:rPr>
        <w:t>：</w:t>
      </w:r>
      <w:r>
        <w:rPr>
          <w:rFonts w:hint="eastAsia" w:ascii="宋体" w:hAnsi="宋体" w:cs="宋体"/>
          <w:lang w:eastAsia="zh-CN"/>
        </w:rPr>
        <w:t>HNHJ2024-03-002</w:t>
      </w:r>
      <w:r>
        <w:rPr>
          <w:rFonts w:hint="eastAsia" w:ascii="宋体" w:hAnsi="宋体"/>
          <w:lang w:eastAsia="zh-CN"/>
        </w:rPr>
        <w:t>）所需的服务组织公开招标，欢迎</w:t>
      </w:r>
      <w:r>
        <w:rPr>
          <w:rFonts w:hint="eastAsia" w:ascii="宋体" w:hAnsi="宋体"/>
          <w:kern w:val="28"/>
          <w:lang w:eastAsia="zh-CN"/>
        </w:rPr>
        <w:t>合格的投标人前来投标。有关事项如下：</w:t>
      </w:r>
    </w:p>
    <w:p>
      <w:pPr>
        <w:spacing w:line="360" w:lineRule="auto"/>
        <w:rPr>
          <w:rFonts w:hint="eastAsia" w:ascii="宋体" w:hAnsi="宋体"/>
          <w:b/>
          <w:sz w:val="28"/>
          <w:szCs w:val="28"/>
          <w:lang w:eastAsia="zh-CN"/>
        </w:rPr>
      </w:pPr>
      <w:r>
        <w:rPr>
          <w:rFonts w:hint="eastAsia" w:ascii="宋体" w:hAnsi="宋体"/>
          <w:b/>
          <w:sz w:val="28"/>
          <w:szCs w:val="28"/>
          <w:lang w:eastAsia="zh-CN"/>
        </w:rPr>
        <w:t>一、项目概况</w:t>
      </w:r>
    </w:p>
    <w:p>
      <w:pPr>
        <w:spacing w:line="360" w:lineRule="auto"/>
        <w:ind w:firstLine="480" w:firstLineChars="200"/>
        <w:rPr>
          <w:rFonts w:hint="eastAsia" w:ascii="宋体" w:hAnsi="宋体"/>
          <w:lang w:eastAsia="zh-CN"/>
        </w:rPr>
      </w:pPr>
      <w:r>
        <w:rPr>
          <w:rFonts w:hint="eastAsia" w:ascii="宋体" w:hAnsi="宋体"/>
          <w:lang w:eastAsia="zh-CN"/>
        </w:rPr>
        <w:t>1、采购单位：海南省残疾人联合会</w:t>
      </w:r>
    </w:p>
    <w:p>
      <w:pPr>
        <w:spacing w:line="360" w:lineRule="auto"/>
        <w:ind w:firstLine="480"/>
        <w:rPr>
          <w:rFonts w:hint="eastAsia" w:ascii="宋体" w:hAnsi="宋体" w:cs="宋体"/>
          <w:spacing w:val="15"/>
          <w:lang w:eastAsia="zh-CN"/>
        </w:rPr>
      </w:pPr>
      <w:r>
        <w:rPr>
          <w:rFonts w:hint="eastAsia" w:ascii="宋体" w:hAnsi="宋体"/>
          <w:lang w:eastAsia="zh-CN"/>
        </w:rPr>
        <w:t>2、项目名称：</w:t>
      </w:r>
      <w:r>
        <w:rPr>
          <w:rFonts w:hint="eastAsia" w:ascii="宋体" w:hAnsi="宋体" w:cs="宋体"/>
          <w:bCs/>
        </w:rPr>
        <w:t>为残疾人购买商业保险项目（2024年）（统招分签）</w:t>
      </w:r>
    </w:p>
    <w:p>
      <w:pPr>
        <w:spacing w:line="360" w:lineRule="auto"/>
        <w:ind w:firstLine="480"/>
        <w:rPr>
          <w:rFonts w:hint="eastAsia" w:ascii="宋体" w:hAnsi="宋体"/>
          <w:lang w:val="en-US" w:eastAsia="zh-CN"/>
        </w:rPr>
      </w:pPr>
      <w:r>
        <w:rPr>
          <w:rFonts w:hint="eastAsia" w:ascii="宋体" w:hAnsi="宋体"/>
          <w:lang w:eastAsia="zh-CN"/>
        </w:rPr>
        <w:t>3、项目编号：HNHJ2024-0</w:t>
      </w:r>
      <w:r>
        <w:rPr>
          <w:rFonts w:hint="eastAsia" w:ascii="宋体" w:hAnsi="宋体"/>
          <w:lang w:val="en-US" w:eastAsia="zh-CN"/>
        </w:rPr>
        <w:t>3</w:t>
      </w:r>
      <w:r>
        <w:rPr>
          <w:rFonts w:hint="eastAsia" w:ascii="宋体" w:hAnsi="宋体"/>
          <w:lang w:eastAsia="zh-CN"/>
        </w:rPr>
        <w:t>-00</w:t>
      </w:r>
      <w:r>
        <w:rPr>
          <w:rFonts w:hint="eastAsia" w:ascii="宋体" w:hAnsi="宋体"/>
          <w:lang w:val="en-US" w:eastAsia="zh-CN"/>
        </w:rPr>
        <w:t>2</w:t>
      </w:r>
    </w:p>
    <w:p>
      <w:pPr>
        <w:spacing w:line="360" w:lineRule="auto"/>
        <w:ind w:firstLine="480"/>
        <w:rPr>
          <w:rFonts w:hint="eastAsia" w:ascii="宋体" w:hAnsi="宋体"/>
          <w:lang w:eastAsia="zh-CN"/>
        </w:rPr>
      </w:pPr>
      <w:r>
        <w:rPr>
          <w:rFonts w:hint="eastAsia" w:ascii="宋体" w:hAnsi="宋体"/>
          <w:lang w:eastAsia="zh-CN"/>
        </w:rPr>
        <w:t>4、预算金额：（人民币）1650万元</w:t>
      </w:r>
    </w:p>
    <w:p>
      <w:pPr>
        <w:spacing w:line="360" w:lineRule="auto"/>
        <w:ind w:firstLine="480"/>
        <w:rPr>
          <w:rFonts w:hint="eastAsia" w:ascii="宋体" w:hAnsi="宋体"/>
          <w:lang w:eastAsia="zh-CN"/>
        </w:rPr>
      </w:pPr>
      <w:r>
        <w:rPr>
          <w:rFonts w:hint="eastAsia" w:ascii="宋体" w:hAnsi="宋体"/>
          <w:lang w:eastAsia="zh-CN"/>
        </w:rPr>
        <w:t>5、资金来源：财政资金</w:t>
      </w:r>
    </w:p>
    <w:p>
      <w:pPr>
        <w:spacing w:line="360" w:lineRule="auto"/>
        <w:ind w:firstLine="480"/>
        <w:rPr>
          <w:rFonts w:hint="eastAsia" w:ascii="宋体" w:hAnsi="宋体"/>
          <w:lang w:eastAsia="zh-CN"/>
        </w:rPr>
      </w:pPr>
      <w:r>
        <w:rPr>
          <w:rFonts w:hint="eastAsia" w:ascii="宋体" w:hAnsi="宋体"/>
          <w:lang w:eastAsia="zh-CN"/>
        </w:rPr>
        <w:t>6、项目用途：残疾人事业保障需要。</w:t>
      </w:r>
    </w:p>
    <w:p>
      <w:pPr>
        <w:spacing w:line="360" w:lineRule="auto"/>
        <w:ind w:firstLine="480"/>
        <w:rPr>
          <w:rFonts w:hint="eastAsia" w:ascii="宋体" w:hAnsi="宋体"/>
          <w:lang w:eastAsia="zh-CN"/>
        </w:rPr>
      </w:pPr>
      <w:r>
        <w:rPr>
          <w:rFonts w:hint="eastAsia" w:ascii="宋体" w:hAnsi="宋体"/>
          <w:lang w:eastAsia="zh-CN"/>
        </w:rPr>
        <w:t>7、采购内容：合同履行期限内，承保单位在保持保费金额(合同金额)不变的前提下，需对持证(包括新增)的残疾人建立综合人身保险保障。(详见《招标文件》第三章采购需求部分)。</w:t>
      </w:r>
    </w:p>
    <w:p>
      <w:pPr>
        <w:spacing w:line="360" w:lineRule="auto"/>
        <w:ind w:firstLine="480"/>
        <w:rPr>
          <w:rFonts w:hint="eastAsia" w:ascii="宋体" w:hAnsi="宋体" w:cs="宋体"/>
          <w:lang w:eastAsia="zh-CN"/>
        </w:rPr>
      </w:pPr>
      <w:r>
        <w:rPr>
          <w:rFonts w:hint="eastAsia" w:ascii="宋体" w:hAnsi="宋体"/>
          <w:lang w:eastAsia="zh-CN"/>
        </w:rPr>
        <w:t>8、合同履行期限：</w:t>
      </w:r>
      <w:r>
        <w:rPr>
          <w:rFonts w:hint="eastAsia" w:ascii="宋体" w:hAnsi="宋体"/>
          <w:lang w:val="en-US" w:eastAsia="zh-CN"/>
        </w:rPr>
        <w:t>一年</w:t>
      </w:r>
      <w:r>
        <w:rPr>
          <w:rFonts w:hint="eastAsia" w:ascii="宋体" w:hAnsi="宋体" w:cs="宋体"/>
          <w:lang w:eastAsia="zh-CN"/>
        </w:rPr>
        <w:t>。</w:t>
      </w:r>
    </w:p>
    <w:p>
      <w:pPr>
        <w:snapToGrid w:val="0"/>
        <w:spacing w:line="360" w:lineRule="auto"/>
        <w:ind w:firstLine="480" w:firstLineChars="200"/>
        <w:rPr>
          <w:rFonts w:hint="eastAsia" w:ascii="宋体" w:hAnsi="宋体" w:cs="宋体"/>
          <w:kern w:val="28"/>
          <w:lang w:eastAsia="zh-CN"/>
        </w:rPr>
      </w:pPr>
      <w:r>
        <w:rPr>
          <w:rFonts w:hint="eastAsia" w:ascii="宋体" w:hAnsi="宋体" w:cs="宋体"/>
          <w:kern w:val="28"/>
          <w:lang w:eastAsia="zh-CN"/>
        </w:rPr>
        <w:t>9、投标人必须对全部内容进行投标，不允许只对其中部分内容进行投标，</w:t>
      </w:r>
      <w:r>
        <w:rPr>
          <w:rFonts w:hint="eastAsia" w:ascii="宋体" w:hAnsi="宋体" w:cs="Tahoma"/>
          <w:kern w:val="28"/>
          <w:lang w:eastAsia="zh-CN"/>
        </w:rPr>
        <w:t>否则投标文件将被拒绝</w:t>
      </w:r>
      <w:r>
        <w:rPr>
          <w:rFonts w:hint="eastAsia" w:ascii="宋体" w:hAnsi="宋体" w:cs="宋体"/>
          <w:kern w:val="28"/>
          <w:lang w:eastAsia="zh-CN"/>
        </w:rPr>
        <w:t>。</w:t>
      </w:r>
    </w:p>
    <w:p>
      <w:pPr>
        <w:snapToGrid w:val="0"/>
        <w:spacing w:line="360" w:lineRule="auto"/>
        <w:ind w:firstLine="480" w:firstLineChars="200"/>
        <w:rPr>
          <w:rFonts w:ascii="宋体" w:hAnsi="宋体" w:cs="宋体"/>
          <w:kern w:val="28"/>
          <w:lang w:eastAsia="zh-CN"/>
        </w:rPr>
      </w:pPr>
      <w:r>
        <w:rPr>
          <w:rFonts w:hint="eastAsia" w:ascii="宋体" w:hAnsi="宋体" w:cs="宋体"/>
          <w:kern w:val="28"/>
          <w:lang w:eastAsia="zh-CN"/>
        </w:rPr>
        <w:t>10、本项目(是/否)接受联合体投标：否。</w:t>
      </w:r>
    </w:p>
    <w:p>
      <w:pPr>
        <w:shd w:val="clear" w:color="auto" w:fill="auto"/>
        <w:snapToGrid/>
        <w:spacing w:line="360" w:lineRule="auto"/>
        <w:rPr>
          <w:rFonts w:hint="eastAsia" w:ascii="宋体" w:hAnsi="宋体"/>
          <w:b/>
          <w:sz w:val="28"/>
          <w:szCs w:val="28"/>
          <w:lang w:eastAsia="zh-CN"/>
        </w:rPr>
      </w:pPr>
      <w:r>
        <w:rPr>
          <w:rFonts w:hint="eastAsia" w:ascii="宋体" w:hAnsi="宋体"/>
          <w:b/>
          <w:sz w:val="28"/>
          <w:szCs w:val="28"/>
          <w:lang w:eastAsia="zh-CN"/>
        </w:rPr>
        <w:t>二、投标人资格要求</w:t>
      </w:r>
    </w:p>
    <w:p>
      <w:pPr>
        <w:adjustRightInd w:val="0"/>
        <w:snapToGrid w:val="0"/>
        <w:spacing w:line="360" w:lineRule="auto"/>
        <w:ind w:firstLine="480" w:firstLineChars="200"/>
        <w:rPr>
          <w:rFonts w:hint="eastAsia" w:ascii="宋体" w:hAnsi="宋体"/>
          <w:color w:val="000000"/>
        </w:rPr>
      </w:pPr>
      <w:r>
        <w:rPr>
          <w:rFonts w:hint="eastAsia" w:ascii="宋体" w:hAnsi="宋体"/>
          <w:color w:val="000000"/>
        </w:rPr>
        <w:t>1、在中华人民共和国注册，具有独立承担民事责任的能力【注：①投标人若为法人：提供“统一社会信用代码营业执照”、“统一社会信用代码法人登记证书”；②若为其他组织：提供“对应主管部门颁发的准许执业证明文件或营业执照”；③若为自然人：提供“提供工商主管部门颁发的个体营业执照/身份证明文件”；④银行、保险、石油石化、电力、电信等有行业特殊情况的，允许法人的分支机构参加投标：提供营业执照或事业单位法人证书，分公司参加时本招标文件中的“法定代表人”理解为分公司的“负责人”；以上均提供复印件】；</w:t>
      </w:r>
    </w:p>
    <w:p>
      <w:pPr>
        <w:adjustRightInd w:val="0"/>
        <w:snapToGrid w:val="0"/>
        <w:spacing w:line="360" w:lineRule="auto"/>
        <w:ind w:firstLine="480" w:firstLineChars="200"/>
        <w:rPr>
          <w:rFonts w:hint="eastAsia" w:ascii="宋体" w:hAnsi="宋体"/>
        </w:rPr>
      </w:pPr>
      <w:r>
        <w:rPr>
          <w:rFonts w:hint="eastAsia" w:ascii="宋体" w:hAnsi="宋体"/>
        </w:rPr>
        <w:t>2、具有履行合同所必需的设备和专业技术能力（提供承诺函）；</w:t>
      </w:r>
    </w:p>
    <w:p>
      <w:pPr>
        <w:spacing w:line="360" w:lineRule="auto"/>
        <w:ind w:firstLine="480" w:firstLineChars="200"/>
        <w:rPr>
          <w:rFonts w:hint="eastAsia" w:ascii="宋体" w:hAnsi="宋体"/>
        </w:rPr>
      </w:pPr>
      <w:r>
        <w:rPr>
          <w:rFonts w:hint="eastAsia" w:ascii="宋体" w:hAnsi="宋体"/>
        </w:rPr>
        <w:t>3、具有良好的商业信誉和健全的财务会计制度（提供承诺函）；</w:t>
      </w:r>
    </w:p>
    <w:p>
      <w:pPr>
        <w:adjustRightInd w:val="0"/>
        <w:snapToGrid w:val="0"/>
        <w:spacing w:line="360" w:lineRule="auto"/>
        <w:ind w:firstLine="480" w:firstLineChars="200"/>
        <w:rPr>
          <w:rFonts w:hint="eastAsia" w:ascii="宋体" w:hAnsi="宋体"/>
        </w:rPr>
      </w:pPr>
      <w:r>
        <w:rPr>
          <w:rFonts w:hint="eastAsia" w:ascii="宋体" w:hAnsi="宋体"/>
        </w:rPr>
        <w:t>4、参加本次政府采购活动前三年内，在经营活动中没有重大违法记录（成立不足三年的从成立之日起计算，提供承诺函）；</w:t>
      </w:r>
    </w:p>
    <w:p>
      <w:pPr>
        <w:adjustRightInd w:val="0"/>
        <w:snapToGrid w:val="0"/>
        <w:spacing w:line="360" w:lineRule="auto"/>
        <w:ind w:firstLine="480" w:firstLineChars="200"/>
        <w:rPr>
          <w:rFonts w:hint="eastAsia" w:ascii="宋体" w:hAnsi="宋体"/>
        </w:rPr>
      </w:pPr>
      <w:r>
        <w:rPr>
          <w:rFonts w:hint="eastAsia" w:ascii="宋体" w:hAnsi="宋体"/>
        </w:rPr>
        <w:t>5、参加政府采购活动前三年内，在经营活动中没有环保类行政处罚记录（提供承诺函）；</w:t>
      </w:r>
    </w:p>
    <w:p>
      <w:pPr>
        <w:adjustRightInd w:val="0"/>
        <w:snapToGrid w:val="0"/>
        <w:spacing w:line="360" w:lineRule="auto"/>
        <w:ind w:firstLine="480" w:firstLineChars="200"/>
        <w:rPr>
          <w:rFonts w:hint="eastAsia" w:ascii="宋体" w:hAnsi="宋体"/>
        </w:rPr>
      </w:pPr>
      <w:r>
        <w:rPr>
          <w:rFonts w:hint="eastAsia" w:ascii="宋体" w:hAnsi="宋体"/>
        </w:rPr>
        <w:t>6、在“信用中国”网站（www.creditchina.gov.cn）、中国政府采购网（www.ccgp.gov.cn）没有列入失信被执行人、重大税收违法失信主体、政府采购严重违法失信行为记录名单的投标人。（注：采购人或采购代理机构将于本项目投标截止日在“信用中国”网站、“中国政府采购网”网站等渠道对供应商进行信用记录查询，凡被列入失信被执行人、重大税收违法案件当事人名单、政府采购严重违法失信行为记录名单的，视为存在不良信用记录，参与本项目的将被拒绝。）（提供承诺函）</w:t>
      </w:r>
    </w:p>
    <w:p>
      <w:pPr>
        <w:adjustRightInd w:val="0"/>
        <w:spacing w:line="360" w:lineRule="auto"/>
        <w:ind w:firstLine="480" w:firstLineChars="200"/>
        <w:rPr>
          <w:rFonts w:hint="eastAsia" w:ascii="sans-serif" w:hAnsi="sans-serif" w:cs="sans-serif"/>
          <w:lang w:eastAsia="zh-CN"/>
        </w:rPr>
      </w:pPr>
      <w:r>
        <w:rPr>
          <w:rFonts w:hint="eastAsia" w:ascii="sans-serif" w:hAnsi="sans-serif" w:cs="sans-serif"/>
        </w:rPr>
        <w:t>7、具有中国银行保险监督管理委员会颁发的《保险公司法人许可证》(总公司)或中国保险监督管理委员会属地监管局颁发的《保险业务经营许可证》(分公司)；以上均提供复印件。</w:t>
      </w:r>
    </w:p>
    <w:p>
      <w:pPr>
        <w:adjustRightInd w:val="0"/>
        <w:spacing w:line="360" w:lineRule="auto"/>
        <w:ind w:firstLine="480" w:firstLineChars="200"/>
        <w:rPr>
          <w:rFonts w:hint="eastAsia" w:ascii="sans-serif" w:hAnsi="sans-serif" w:cs="sans-serif"/>
        </w:rPr>
      </w:pPr>
      <w:r>
        <w:rPr>
          <w:rFonts w:hint="eastAsia" w:ascii="sans-serif" w:hAnsi="sans-serif" w:cs="sans-serif"/>
          <w:lang w:eastAsia="zh-CN"/>
        </w:rPr>
        <w:t>8、</w:t>
      </w:r>
      <w:r>
        <w:rPr>
          <w:rFonts w:ascii="sans-serif" w:hAnsi="sans-serif" w:eastAsia="sans-serif" w:cs="sans-serif"/>
        </w:rPr>
        <w:t>落实政府采购政策需满足的资格要求：无；</w:t>
      </w:r>
    </w:p>
    <w:p>
      <w:pPr>
        <w:adjustRightInd w:val="0"/>
        <w:spacing w:line="360" w:lineRule="auto"/>
        <w:ind w:firstLine="480" w:firstLineChars="200"/>
        <w:rPr>
          <w:rFonts w:hint="eastAsia" w:ascii="宋体" w:hAnsi="宋体" w:cs="宋体"/>
        </w:rPr>
      </w:pPr>
      <w:r>
        <w:rPr>
          <w:rFonts w:hint="eastAsia" w:ascii="sans-serif" w:hAnsi="sans-serif" w:cs="sans-serif"/>
          <w:lang w:eastAsia="zh-CN"/>
        </w:rPr>
        <w:t>9</w:t>
      </w:r>
      <w:r>
        <w:rPr>
          <w:rFonts w:hint="eastAsia" w:ascii="sans-serif" w:hAnsi="sans-serif" w:cs="sans-serif"/>
        </w:rPr>
        <w:t>、</w:t>
      </w:r>
      <w:r>
        <w:rPr>
          <w:rFonts w:hint="eastAsia" w:ascii="宋体" w:hAnsi="宋体" w:cs="宋体"/>
        </w:rPr>
        <w:t>不接受联合体响应。</w:t>
      </w:r>
    </w:p>
    <w:p>
      <w:pPr>
        <w:shd w:val="clear" w:color="auto" w:fill="auto"/>
        <w:spacing w:line="360" w:lineRule="auto"/>
        <w:rPr>
          <w:rFonts w:hint="eastAsia" w:ascii="宋体" w:hAnsi="宋体"/>
          <w:b/>
          <w:lang w:eastAsia="zh-CN"/>
        </w:rPr>
      </w:pPr>
      <w:r>
        <w:rPr>
          <w:rFonts w:hint="eastAsia" w:ascii="宋体" w:hAnsi="宋体"/>
          <w:b/>
          <w:bCs w:val="0"/>
          <w:sz w:val="28"/>
          <w:szCs w:val="28"/>
          <w:lang w:eastAsia="zh-CN"/>
        </w:rPr>
        <w:t>三、招标文件的获取：</w:t>
      </w:r>
      <w:r>
        <w:rPr>
          <w:rFonts w:hint="eastAsia" w:ascii="宋体" w:hAnsi="宋体"/>
          <w:b/>
          <w:bCs w:val="0"/>
          <w:lang w:eastAsia="zh-CN"/>
        </w:rPr>
        <w:t>   </w:t>
      </w:r>
    </w:p>
    <w:p>
      <w:pPr>
        <w:shd w:val="clear" w:color="auto" w:fill="auto"/>
        <w:spacing w:line="360" w:lineRule="auto"/>
        <w:rPr>
          <w:rFonts w:hint="eastAsia" w:ascii="宋体" w:hAnsi="宋体"/>
          <w:b w:val="0"/>
          <w:bCs/>
          <w:sz w:val="24"/>
          <w:szCs w:val="24"/>
          <w:lang w:eastAsia="zh-CN"/>
        </w:rPr>
      </w:pPr>
      <w:r>
        <w:rPr>
          <w:rFonts w:hint="eastAsia" w:ascii="宋体" w:hAnsi="宋体"/>
          <w:b w:val="0"/>
          <w:bCs/>
          <w:sz w:val="24"/>
          <w:szCs w:val="24"/>
          <w:lang w:eastAsia="zh-CN"/>
        </w:rPr>
        <w:t>1、时间：202</w:t>
      </w:r>
      <w:r>
        <w:rPr>
          <w:rFonts w:hint="eastAsia" w:ascii="宋体" w:hAnsi="宋体"/>
          <w:b w:val="0"/>
          <w:bCs/>
          <w:sz w:val="24"/>
          <w:szCs w:val="24"/>
          <w:lang w:val="en-US" w:eastAsia="zh-CN"/>
        </w:rPr>
        <w:t>4</w:t>
      </w:r>
      <w:r>
        <w:rPr>
          <w:rFonts w:hint="eastAsia" w:ascii="宋体" w:hAnsi="宋体"/>
          <w:b w:val="0"/>
          <w:bCs/>
          <w:sz w:val="24"/>
          <w:szCs w:val="24"/>
          <w:lang w:eastAsia="zh-CN"/>
        </w:rPr>
        <w:t xml:space="preserve"> 年</w:t>
      </w:r>
      <w:r>
        <w:rPr>
          <w:rFonts w:hint="eastAsia" w:ascii="宋体" w:hAnsi="宋体"/>
          <w:b w:val="0"/>
          <w:bCs/>
          <w:sz w:val="24"/>
          <w:szCs w:val="24"/>
          <w:lang w:val="en-US" w:eastAsia="zh-CN"/>
        </w:rPr>
        <w:t>3</w:t>
      </w:r>
      <w:r>
        <w:rPr>
          <w:rFonts w:hint="eastAsia" w:ascii="宋体" w:hAnsi="宋体"/>
          <w:b w:val="0"/>
          <w:bCs/>
          <w:sz w:val="24"/>
          <w:szCs w:val="24"/>
          <w:lang w:eastAsia="zh-CN"/>
        </w:rPr>
        <w:t>月</w:t>
      </w:r>
      <w:r>
        <w:rPr>
          <w:rFonts w:hint="eastAsia" w:ascii="宋体" w:hAnsi="宋体"/>
          <w:b w:val="0"/>
          <w:bCs/>
          <w:sz w:val="24"/>
          <w:szCs w:val="24"/>
          <w:lang w:val="en-US" w:eastAsia="zh-CN"/>
        </w:rPr>
        <w:t>27</w:t>
      </w:r>
      <w:r>
        <w:rPr>
          <w:rFonts w:hint="eastAsia" w:ascii="宋体" w:hAnsi="宋体"/>
          <w:b w:val="0"/>
          <w:bCs/>
          <w:sz w:val="24"/>
          <w:szCs w:val="24"/>
          <w:lang w:eastAsia="zh-CN"/>
        </w:rPr>
        <w:t xml:space="preserve">  日  </w:t>
      </w:r>
      <w:r>
        <w:rPr>
          <w:rFonts w:hint="eastAsia" w:ascii="宋体" w:hAnsi="宋体"/>
          <w:b w:val="0"/>
          <w:bCs/>
          <w:sz w:val="24"/>
          <w:szCs w:val="24"/>
          <w:lang w:val="en-US" w:eastAsia="zh-CN"/>
        </w:rPr>
        <w:t>20</w:t>
      </w:r>
      <w:r>
        <w:rPr>
          <w:rFonts w:hint="eastAsia" w:ascii="宋体" w:hAnsi="宋体"/>
          <w:b w:val="0"/>
          <w:bCs/>
          <w:sz w:val="24"/>
          <w:szCs w:val="24"/>
          <w:lang w:eastAsia="zh-CN"/>
        </w:rPr>
        <w:t>：</w:t>
      </w:r>
      <w:r>
        <w:rPr>
          <w:rFonts w:hint="eastAsia" w:ascii="宋体" w:hAnsi="宋体"/>
          <w:b w:val="0"/>
          <w:bCs/>
          <w:sz w:val="24"/>
          <w:szCs w:val="24"/>
          <w:lang w:val="en-US" w:eastAsia="zh-CN"/>
        </w:rPr>
        <w:t>00</w:t>
      </w:r>
      <w:r>
        <w:rPr>
          <w:rFonts w:hint="eastAsia" w:ascii="宋体" w:hAnsi="宋体"/>
          <w:b w:val="0"/>
          <w:bCs/>
          <w:sz w:val="24"/>
          <w:szCs w:val="24"/>
          <w:lang w:eastAsia="zh-CN"/>
        </w:rPr>
        <w:t xml:space="preserve">  至 202</w:t>
      </w:r>
      <w:r>
        <w:rPr>
          <w:rFonts w:hint="eastAsia" w:ascii="宋体" w:hAnsi="宋体"/>
          <w:b w:val="0"/>
          <w:bCs/>
          <w:sz w:val="24"/>
          <w:szCs w:val="24"/>
          <w:lang w:val="en-US" w:eastAsia="zh-CN"/>
        </w:rPr>
        <w:t>4</w:t>
      </w:r>
      <w:r>
        <w:rPr>
          <w:rFonts w:hint="eastAsia" w:ascii="宋体" w:hAnsi="宋体"/>
          <w:b w:val="0"/>
          <w:bCs/>
          <w:sz w:val="24"/>
          <w:szCs w:val="24"/>
          <w:lang w:eastAsia="zh-CN"/>
        </w:rPr>
        <w:t xml:space="preserve">年 </w:t>
      </w:r>
      <w:r>
        <w:rPr>
          <w:rFonts w:hint="eastAsia" w:ascii="宋体" w:hAnsi="宋体"/>
          <w:b w:val="0"/>
          <w:bCs/>
          <w:sz w:val="24"/>
          <w:szCs w:val="24"/>
          <w:lang w:val="en-US" w:eastAsia="zh-CN"/>
        </w:rPr>
        <w:t>4</w:t>
      </w:r>
      <w:r>
        <w:rPr>
          <w:rFonts w:hint="eastAsia" w:ascii="宋体" w:hAnsi="宋体"/>
          <w:b w:val="0"/>
          <w:bCs/>
          <w:sz w:val="24"/>
          <w:szCs w:val="24"/>
          <w:lang w:eastAsia="zh-CN"/>
        </w:rPr>
        <w:t xml:space="preserve"> 月  </w:t>
      </w:r>
      <w:r>
        <w:rPr>
          <w:rFonts w:hint="eastAsia" w:ascii="宋体" w:hAnsi="宋体"/>
          <w:b w:val="0"/>
          <w:bCs/>
          <w:sz w:val="24"/>
          <w:szCs w:val="24"/>
          <w:lang w:val="en-US" w:eastAsia="zh-CN"/>
        </w:rPr>
        <w:t>3</w:t>
      </w:r>
      <w:r>
        <w:rPr>
          <w:rFonts w:hint="eastAsia" w:ascii="宋体" w:hAnsi="宋体"/>
          <w:b w:val="0"/>
          <w:bCs/>
          <w:sz w:val="24"/>
          <w:szCs w:val="24"/>
          <w:lang w:eastAsia="zh-CN"/>
        </w:rPr>
        <w:t xml:space="preserve">日 </w:t>
      </w:r>
      <w:r>
        <w:rPr>
          <w:rFonts w:hint="eastAsia" w:ascii="宋体" w:hAnsi="宋体"/>
          <w:b w:val="0"/>
          <w:bCs/>
          <w:sz w:val="24"/>
          <w:szCs w:val="24"/>
          <w:lang w:val="en-US" w:eastAsia="zh-CN"/>
        </w:rPr>
        <w:t>23</w:t>
      </w:r>
      <w:r>
        <w:rPr>
          <w:rFonts w:hint="eastAsia" w:ascii="宋体" w:hAnsi="宋体"/>
          <w:b w:val="0"/>
          <w:bCs/>
          <w:sz w:val="24"/>
          <w:szCs w:val="24"/>
          <w:lang w:eastAsia="zh-CN"/>
        </w:rPr>
        <w:t>：</w:t>
      </w:r>
      <w:r>
        <w:rPr>
          <w:rFonts w:hint="eastAsia" w:ascii="宋体" w:hAnsi="宋体"/>
          <w:b w:val="0"/>
          <w:bCs/>
          <w:sz w:val="24"/>
          <w:szCs w:val="24"/>
          <w:lang w:val="en-US" w:eastAsia="zh-CN"/>
        </w:rPr>
        <w:t>59</w:t>
      </w:r>
      <w:r>
        <w:rPr>
          <w:rFonts w:hint="eastAsia" w:ascii="宋体" w:hAnsi="宋体"/>
          <w:b w:val="0"/>
          <w:bCs/>
          <w:sz w:val="24"/>
          <w:szCs w:val="24"/>
          <w:lang w:eastAsia="zh-CN"/>
        </w:rPr>
        <w:t xml:space="preserve">  (北京时间)</w:t>
      </w:r>
    </w:p>
    <w:p>
      <w:pPr>
        <w:shd w:val="clear" w:color="auto" w:fill="auto"/>
        <w:spacing w:line="360" w:lineRule="auto"/>
        <w:rPr>
          <w:rFonts w:hint="eastAsia" w:ascii="宋体" w:hAnsi="宋体"/>
          <w:b w:val="0"/>
          <w:bCs/>
          <w:sz w:val="24"/>
          <w:szCs w:val="24"/>
          <w:lang w:eastAsia="zh-CN"/>
        </w:rPr>
      </w:pPr>
      <w:r>
        <w:rPr>
          <w:rFonts w:hint="eastAsia" w:ascii="宋体" w:hAnsi="宋体"/>
          <w:b w:val="0"/>
          <w:bCs/>
          <w:sz w:val="24"/>
          <w:szCs w:val="24"/>
          <w:lang w:eastAsia="zh-CN"/>
        </w:rPr>
        <w:t>2、地点：全国公共资源交易平台(海南省) (http://zw.hainan.gov.cn/ggzy/) 。</w:t>
      </w:r>
    </w:p>
    <w:p>
      <w:pPr>
        <w:shd w:val="clear" w:color="auto" w:fill="auto"/>
        <w:spacing w:line="360" w:lineRule="auto"/>
        <w:rPr>
          <w:rFonts w:hint="eastAsia" w:ascii="宋体" w:hAnsi="宋体"/>
          <w:b w:val="0"/>
          <w:bCs/>
          <w:sz w:val="24"/>
          <w:szCs w:val="24"/>
          <w:lang w:eastAsia="zh-CN"/>
        </w:rPr>
      </w:pPr>
      <w:r>
        <w:rPr>
          <w:rFonts w:hint="eastAsia" w:ascii="宋体" w:hAnsi="宋体"/>
          <w:b w:val="0"/>
          <w:bCs/>
          <w:sz w:val="24"/>
          <w:szCs w:val="24"/>
          <w:lang w:eastAsia="zh-CN"/>
        </w:rPr>
        <w:t>3、方式：网上下载(投标人须在全国公共资源交易平台 (海南省) 企业信息管理系统(http://zw.hainan. gov.cn/ggzy/)备案，然后登陆招投标交易平台 (http://zw.hainan.gov.cn/ggzy/)报名、下载电子版的招标文件 及其他文件) 。</w:t>
      </w:r>
    </w:p>
    <w:p>
      <w:pPr>
        <w:shd w:val="clear" w:color="auto" w:fill="auto"/>
        <w:spacing w:line="360" w:lineRule="auto"/>
        <w:rPr>
          <w:rFonts w:hint="eastAsia" w:ascii="宋体" w:hAnsi="宋体"/>
          <w:b/>
          <w:bCs w:val="0"/>
          <w:sz w:val="28"/>
          <w:szCs w:val="28"/>
          <w:lang w:eastAsia="zh-CN"/>
        </w:rPr>
      </w:pPr>
      <w:r>
        <w:rPr>
          <w:rFonts w:hint="eastAsia" w:ascii="宋体" w:hAnsi="宋体"/>
          <w:b/>
          <w:bCs w:val="0"/>
          <w:sz w:val="28"/>
          <w:szCs w:val="28"/>
          <w:lang w:eastAsia="zh-CN"/>
        </w:rPr>
        <w:t>四、提交投标文件截止时间、开标时间和地点</w:t>
      </w:r>
    </w:p>
    <w:p>
      <w:pPr>
        <w:shd w:val="clear" w:color="auto" w:fill="auto"/>
        <w:spacing w:line="360" w:lineRule="auto"/>
        <w:ind w:firstLine="480" w:firstLineChars="200"/>
        <w:rPr>
          <w:rFonts w:hint="eastAsia" w:ascii="宋体" w:hAnsi="宋体" w:cs="宋体"/>
          <w:szCs w:val="20"/>
          <w:lang w:eastAsia="zh-CN"/>
        </w:rPr>
      </w:pPr>
      <w:r>
        <w:rPr>
          <w:rFonts w:hint="eastAsia" w:ascii="宋体" w:hAnsi="宋体" w:cs="宋体"/>
          <w:szCs w:val="20"/>
          <w:lang w:eastAsia="zh-CN"/>
        </w:rPr>
        <w:t>1、递交投标文件截止时间：2024年</w:t>
      </w:r>
      <w:r>
        <w:rPr>
          <w:rFonts w:hint="eastAsia" w:ascii="宋体" w:hAnsi="宋体" w:cs="宋体"/>
          <w:szCs w:val="20"/>
          <w:u w:val="none"/>
          <w:lang w:eastAsia="zh-CN"/>
        </w:rPr>
        <w:t> </w:t>
      </w:r>
      <w:r>
        <w:rPr>
          <w:rFonts w:hint="eastAsia" w:ascii="宋体" w:hAnsi="宋体" w:cs="宋体"/>
          <w:szCs w:val="20"/>
          <w:u w:val="none"/>
          <w:lang w:val="en-US" w:eastAsia="zh-CN"/>
        </w:rPr>
        <w:t>4</w:t>
      </w:r>
      <w:r>
        <w:rPr>
          <w:rFonts w:hint="eastAsia" w:ascii="宋体" w:hAnsi="宋体" w:cs="宋体"/>
          <w:szCs w:val="20"/>
          <w:u w:val="none"/>
          <w:lang w:eastAsia="zh-CN"/>
        </w:rPr>
        <w:t> </w:t>
      </w:r>
      <w:r>
        <w:rPr>
          <w:rFonts w:hint="eastAsia" w:ascii="宋体" w:hAnsi="宋体" w:cs="宋体"/>
          <w:szCs w:val="20"/>
          <w:lang w:eastAsia="zh-CN"/>
        </w:rPr>
        <w:t>月</w:t>
      </w:r>
      <w:r>
        <w:rPr>
          <w:rFonts w:hint="eastAsia" w:ascii="宋体" w:hAnsi="宋体" w:cs="宋体"/>
          <w:szCs w:val="20"/>
          <w:lang w:val="en-US" w:eastAsia="zh-CN"/>
        </w:rPr>
        <w:t>17</w:t>
      </w:r>
      <w:r>
        <w:rPr>
          <w:rFonts w:hint="eastAsia" w:ascii="宋体" w:hAnsi="宋体" w:cs="宋体"/>
          <w:szCs w:val="20"/>
          <w:u w:val="none"/>
          <w:lang w:eastAsia="zh-CN"/>
        </w:rPr>
        <w:t> </w:t>
      </w:r>
      <w:r>
        <w:rPr>
          <w:rFonts w:hint="eastAsia" w:ascii="宋体" w:hAnsi="宋体" w:cs="宋体"/>
          <w:szCs w:val="20"/>
          <w:lang w:eastAsia="zh-CN"/>
        </w:rPr>
        <w:t>日</w:t>
      </w:r>
      <w:r>
        <w:rPr>
          <w:rFonts w:hint="eastAsia" w:ascii="宋体" w:hAnsi="宋体" w:cs="宋体"/>
          <w:szCs w:val="20"/>
          <w:lang w:val="en-US" w:eastAsia="zh-CN"/>
        </w:rPr>
        <w:t>9：30</w:t>
      </w:r>
      <w:r>
        <w:rPr>
          <w:rFonts w:hint="eastAsia" w:ascii="宋体" w:hAnsi="宋体" w:cs="宋体"/>
          <w:szCs w:val="20"/>
          <w:u w:val="none"/>
          <w:lang w:eastAsia="zh-CN"/>
        </w:rPr>
        <w:t> </w:t>
      </w:r>
      <w:r>
        <w:rPr>
          <w:rFonts w:hint="eastAsia" w:ascii="宋体" w:hAnsi="宋体" w:cs="宋体"/>
          <w:szCs w:val="20"/>
          <w:lang w:eastAsia="zh-CN"/>
        </w:rPr>
        <w:t>时（北京时间）。</w:t>
      </w:r>
    </w:p>
    <w:p>
      <w:pPr>
        <w:shd w:val="clear" w:color="auto" w:fill="auto"/>
        <w:spacing w:line="360" w:lineRule="auto"/>
        <w:ind w:firstLine="480" w:firstLineChars="200"/>
        <w:rPr>
          <w:rFonts w:hint="eastAsia" w:ascii="宋体" w:hAnsi="宋体" w:cs="宋体"/>
          <w:szCs w:val="20"/>
          <w:u w:val="none"/>
          <w:lang w:eastAsia="zh-CN"/>
        </w:rPr>
      </w:pPr>
      <w:r>
        <w:rPr>
          <w:rFonts w:hint="eastAsia" w:ascii="宋体" w:hAnsi="宋体" w:cs="宋体"/>
          <w:szCs w:val="20"/>
          <w:lang w:eastAsia="zh-CN"/>
        </w:rPr>
        <w:t>2、开标时间：2024年</w:t>
      </w:r>
      <w:r>
        <w:rPr>
          <w:rFonts w:hint="eastAsia" w:ascii="宋体" w:hAnsi="宋体" w:cs="宋体"/>
          <w:szCs w:val="20"/>
          <w:u w:val="none"/>
          <w:lang w:eastAsia="zh-CN"/>
        </w:rPr>
        <w:t> </w:t>
      </w:r>
      <w:r>
        <w:rPr>
          <w:rFonts w:hint="eastAsia" w:ascii="宋体" w:hAnsi="宋体" w:cs="宋体"/>
          <w:szCs w:val="20"/>
          <w:u w:val="none"/>
          <w:lang w:val="en-US" w:eastAsia="zh-CN"/>
        </w:rPr>
        <w:t>4</w:t>
      </w:r>
      <w:r>
        <w:rPr>
          <w:rFonts w:hint="eastAsia" w:ascii="宋体" w:hAnsi="宋体" w:cs="宋体"/>
          <w:szCs w:val="20"/>
          <w:u w:val="none"/>
          <w:lang w:eastAsia="zh-CN"/>
        </w:rPr>
        <w:t> </w:t>
      </w:r>
      <w:r>
        <w:rPr>
          <w:rFonts w:hint="eastAsia" w:ascii="宋体" w:hAnsi="宋体" w:cs="宋体"/>
          <w:szCs w:val="20"/>
          <w:lang w:eastAsia="zh-CN"/>
        </w:rPr>
        <w:t>月</w:t>
      </w:r>
      <w:r>
        <w:rPr>
          <w:rFonts w:hint="eastAsia" w:ascii="宋体" w:hAnsi="宋体" w:cs="宋体"/>
          <w:szCs w:val="20"/>
          <w:lang w:val="en-US" w:eastAsia="zh-CN"/>
        </w:rPr>
        <w:t>17</w:t>
      </w:r>
      <w:r>
        <w:rPr>
          <w:rFonts w:hint="eastAsia" w:ascii="宋体" w:hAnsi="宋体" w:cs="宋体"/>
          <w:szCs w:val="20"/>
          <w:u w:val="none"/>
          <w:lang w:eastAsia="zh-CN"/>
        </w:rPr>
        <w:t> </w:t>
      </w:r>
      <w:r>
        <w:rPr>
          <w:rFonts w:hint="eastAsia" w:ascii="宋体" w:hAnsi="宋体" w:cs="宋体"/>
          <w:szCs w:val="20"/>
          <w:lang w:eastAsia="zh-CN"/>
        </w:rPr>
        <w:t>日</w:t>
      </w:r>
      <w:r>
        <w:rPr>
          <w:rFonts w:hint="eastAsia" w:ascii="宋体" w:hAnsi="宋体" w:cs="宋体"/>
          <w:szCs w:val="20"/>
          <w:lang w:val="en-US" w:eastAsia="zh-CN"/>
        </w:rPr>
        <w:t>9：30</w:t>
      </w:r>
      <w:r>
        <w:rPr>
          <w:rFonts w:hint="eastAsia" w:ascii="宋体" w:hAnsi="宋体" w:cs="宋体"/>
          <w:szCs w:val="20"/>
          <w:u w:val="none"/>
          <w:lang w:eastAsia="zh-CN"/>
        </w:rPr>
        <w:t> </w:t>
      </w:r>
      <w:r>
        <w:rPr>
          <w:rFonts w:hint="eastAsia" w:ascii="宋体" w:hAnsi="宋体" w:cs="宋体"/>
          <w:szCs w:val="20"/>
          <w:lang w:eastAsia="zh-CN"/>
        </w:rPr>
        <w:t>时（北京时间）。</w:t>
      </w:r>
    </w:p>
    <w:p>
      <w:pPr>
        <w:spacing w:line="360" w:lineRule="auto"/>
        <w:ind w:firstLine="480" w:firstLineChars="200"/>
        <w:rPr>
          <w:rFonts w:hint="eastAsia" w:ascii="宋体" w:hAnsi="宋体"/>
          <w:lang w:eastAsia="zh-CN"/>
        </w:rPr>
      </w:pPr>
      <w:r>
        <w:rPr>
          <w:rFonts w:hint="eastAsia" w:ascii="宋体" w:hAnsi="宋体" w:cs="宋体"/>
          <w:szCs w:val="20"/>
          <w:lang w:eastAsia="zh-CN"/>
        </w:rPr>
        <w:t>3、开标地点：</w:t>
      </w:r>
      <w:r>
        <w:rPr>
          <w:rFonts w:ascii="宋体" w:hAnsi="宋体" w:cs="宋体"/>
          <w:lang w:eastAsia="zh-CN"/>
        </w:rPr>
        <w:t>海南省公共资源交易服务中心（海口市国兴大道9号）</w:t>
      </w:r>
      <w:r>
        <w:rPr>
          <w:rFonts w:hint="eastAsia" w:ascii="宋体" w:hAnsi="宋体" w:cs="宋体"/>
          <w:lang w:val="en-US" w:eastAsia="zh-CN"/>
        </w:rPr>
        <w:t>202</w:t>
      </w:r>
      <w:r>
        <w:rPr>
          <w:rFonts w:ascii="宋体" w:hAnsi="宋体" w:cs="宋体"/>
          <w:lang w:eastAsia="zh-CN"/>
        </w:rPr>
        <w:t>开标室,</w:t>
      </w:r>
      <w:r>
        <w:rPr>
          <w:rFonts w:hint="eastAsia" w:ascii="宋体" w:hAnsi="宋体"/>
          <w:lang w:eastAsia="zh-CN"/>
        </w:rPr>
        <w:t>（如有变动，另行通知）</w:t>
      </w:r>
    </w:p>
    <w:p>
      <w:pPr>
        <w:spacing w:line="360" w:lineRule="auto"/>
        <w:ind w:firstLine="480" w:firstLineChars="200"/>
        <w:rPr>
          <w:rFonts w:hint="eastAsia" w:ascii="宋体" w:hAnsi="宋体"/>
          <w:lang w:eastAsia="zh-CN"/>
        </w:rPr>
      </w:pPr>
      <w:r>
        <w:rPr>
          <w:rFonts w:hint="eastAsia" w:ascii="宋体" w:hAnsi="宋体"/>
          <w:lang w:eastAsia="zh-CN"/>
        </w:rPr>
        <w:t>4、投标截止日期前，必须在网上上传PDF 格式电子投标文件 ，并在开标时提交电子版、纸质版投标文件（一式五本，一正四副）。</w:t>
      </w:r>
    </w:p>
    <w:p>
      <w:pPr>
        <w:spacing w:line="360" w:lineRule="auto"/>
        <w:ind w:firstLine="480" w:firstLineChars="200"/>
        <w:rPr>
          <w:rFonts w:hint="eastAsia" w:ascii="宋体" w:hAnsi="宋体"/>
          <w:lang w:eastAsia="zh-CN"/>
        </w:rPr>
      </w:pPr>
      <w:r>
        <w:rPr>
          <w:rFonts w:hint="eastAsia" w:ascii="宋体" w:hAnsi="宋体"/>
          <w:lang w:eastAsia="zh-CN"/>
        </w:rPr>
        <w:t>5、逾期送达的或者未送达指定地点的投标文件，招标人不予受理。</w:t>
      </w:r>
    </w:p>
    <w:p>
      <w:pPr>
        <w:shd w:val="clear" w:color="auto" w:fill="auto"/>
        <w:spacing w:line="360" w:lineRule="auto"/>
        <w:ind w:left="0" w:leftChars="0" w:firstLine="480" w:firstLineChars="0"/>
        <w:jc w:val="both"/>
        <w:rPr>
          <w:rFonts w:hint="eastAsia" w:ascii="宋体" w:hAnsi="宋体"/>
          <w:lang w:eastAsia="zh-CN"/>
        </w:rPr>
      </w:pPr>
      <w:r>
        <w:rPr>
          <w:rFonts w:hint="eastAsia" w:ascii="宋体" w:hAnsi="宋体"/>
          <w:lang w:val="en-US" w:eastAsia="zh-CN"/>
        </w:rPr>
        <w:t>6</w:t>
      </w:r>
      <w:r>
        <w:rPr>
          <w:rFonts w:hint="eastAsia" w:ascii="宋体" w:hAnsi="宋体"/>
          <w:lang w:eastAsia="zh-CN"/>
        </w:rPr>
        <w:t>、公告发布媒介：</w:t>
      </w:r>
    </w:p>
    <w:p>
      <w:pPr>
        <w:shd w:val="clear" w:color="auto" w:fill="auto"/>
        <w:spacing w:line="360" w:lineRule="auto"/>
        <w:ind w:firstLine="480" w:firstLineChars="0"/>
        <w:jc w:val="both"/>
        <w:rPr>
          <w:rFonts w:hint="eastAsia" w:ascii="宋体" w:hAnsi="宋体"/>
          <w:lang w:eastAsia="zh-CN"/>
        </w:rPr>
      </w:pPr>
      <w:r>
        <w:rPr>
          <w:rFonts w:hint="eastAsia" w:ascii="宋体" w:hAnsi="宋体"/>
          <w:bCs w:val="0"/>
          <w:lang w:eastAsia="zh-CN"/>
        </w:rPr>
        <w:t>本项目采购信息指定发布媒体为：</w:t>
      </w:r>
      <w:r>
        <w:rPr>
          <w:rFonts w:hint="eastAsia" w:ascii="宋体" w:hAnsi="宋体"/>
          <w:lang w:eastAsia="zh-CN"/>
        </w:rPr>
        <w:t>中国政府采购网（www.ccgp.gov.cn）、中国海南政府采购网（www.ccgp-hainan.gov.cn）、海南省人民政府政务服务中心网（</w:t>
      </w:r>
      <w:r>
        <w:rPr>
          <w:rFonts w:hint="eastAsia" w:ascii="宋体" w:hAnsi="宋体"/>
          <w:lang w:eastAsia="zh-CN"/>
        </w:rPr>
        <w:fldChar w:fldCharType="begin"/>
      </w:r>
      <w:r>
        <w:rPr>
          <w:rFonts w:hint="eastAsia" w:ascii="宋体" w:hAnsi="宋体"/>
          <w:lang w:eastAsia="zh-CN"/>
        </w:rPr>
        <w:instrText xml:space="preserve"> HYPERLINK "http://zw.hainan.gov.cn/2rd/" </w:instrText>
      </w:r>
      <w:r>
        <w:rPr>
          <w:rFonts w:hint="eastAsia" w:ascii="宋体" w:hAnsi="宋体"/>
          <w:lang w:eastAsia="zh-CN"/>
        </w:rPr>
        <w:fldChar w:fldCharType="separate"/>
      </w:r>
      <w:r>
        <w:rPr>
          <w:rStyle w:val="54"/>
          <w:rFonts w:hint="eastAsia" w:ascii="宋体" w:hAnsi="宋体" w:eastAsia="宋体" w:cs="Times New Roman"/>
          <w:kern w:val="0"/>
          <w:lang w:eastAsia="zh-CN"/>
        </w:rPr>
        <w:t>http://zw.hainan.gov.cn/2rd/</w:t>
      </w:r>
      <w:r>
        <w:rPr>
          <w:rFonts w:hint="eastAsia" w:ascii="宋体" w:hAnsi="宋体"/>
          <w:lang w:eastAsia="zh-CN"/>
        </w:rPr>
        <w:fldChar w:fldCharType="end"/>
      </w:r>
      <w:r>
        <w:rPr>
          <w:rFonts w:hint="eastAsia" w:ascii="宋体" w:hAnsi="宋体"/>
          <w:lang w:eastAsia="zh-CN"/>
        </w:rPr>
        <w:t>）</w:t>
      </w:r>
    </w:p>
    <w:p>
      <w:pPr>
        <w:shd w:val="clear" w:color="auto" w:fill="auto"/>
        <w:spacing w:line="360" w:lineRule="auto"/>
        <w:ind w:firstLine="480" w:firstLineChars="0"/>
        <w:jc w:val="both"/>
        <w:rPr>
          <w:rFonts w:hint="eastAsia" w:ascii="宋体" w:hAnsi="宋体"/>
          <w:lang w:eastAsia="zh-CN"/>
        </w:rPr>
      </w:pPr>
      <w:r>
        <w:rPr>
          <w:rFonts w:hint="eastAsia" w:ascii="宋体" w:hAnsi="宋体"/>
          <w:lang w:eastAsia="zh-CN"/>
        </w:rPr>
        <w:t>有关本项目采购文件的补遗、澄清及变更信息以上述网站公告与下载为准，采购代理机构不再另行通知，采购文件与更正公告的内容相互矛盾时，以最后发出的更正公告内容为准。</w:t>
      </w:r>
    </w:p>
    <w:p>
      <w:pPr>
        <w:pStyle w:val="119"/>
        <w:spacing w:line="360" w:lineRule="auto"/>
        <w:ind w:left="0" w:leftChars="0" w:firstLine="0" w:firstLineChars="0"/>
        <w:rPr>
          <w:rFonts w:hint="eastAsia" w:ascii="宋体" w:hAnsi="宋体"/>
          <w:b/>
          <w:bCs/>
          <w:sz w:val="28"/>
          <w:szCs w:val="28"/>
          <w:lang w:eastAsia="zh-CN"/>
        </w:rPr>
      </w:pPr>
      <w:r>
        <w:rPr>
          <w:rFonts w:hint="eastAsia" w:ascii="宋体" w:hAnsi="宋体"/>
          <w:b/>
          <w:bCs/>
          <w:sz w:val="28"/>
          <w:szCs w:val="28"/>
          <w:lang w:eastAsia="zh-CN"/>
        </w:rPr>
        <w:t>五、招标代理机构联系方式：</w:t>
      </w:r>
    </w:p>
    <w:p>
      <w:pPr>
        <w:pStyle w:val="119"/>
        <w:spacing w:line="360" w:lineRule="auto"/>
        <w:ind w:firstLine="439" w:firstLineChars="183"/>
        <w:rPr>
          <w:rFonts w:hint="eastAsia" w:ascii="宋体" w:hAnsi="宋体"/>
          <w:bCs/>
          <w:kern w:val="0"/>
          <w:lang w:eastAsia="zh-CN"/>
        </w:rPr>
      </w:pPr>
      <w:r>
        <w:rPr>
          <w:rFonts w:hint="eastAsia" w:ascii="宋体" w:hAnsi="宋体"/>
          <w:bCs/>
          <w:kern w:val="0"/>
          <w:lang w:eastAsia="zh-CN"/>
        </w:rPr>
        <w:t>名称：海南华教设备招标有限公司</w:t>
      </w:r>
    </w:p>
    <w:p>
      <w:pPr>
        <w:pStyle w:val="119"/>
        <w:shd w:val="clear" w:color="auto" w:fill="FFFFFF"/>
        <w:spacing w:line="360" w:lineRule="auto"/>
        <w:ind w:firstLine="439" w:firstLineChars="183"/>
        <w:rPr>
          <w:rFonts w:hint="eastAsia" w:ascii="宋体" w:hAnsi="宋体" w:eastAsia="宋体" w:cs="Times New Roman"/>
          <w:bCs/>
          <w:kern w:val="0"/>
          <w:lang w:eastAsia="zh-CN"/>
        </w:rPr>
      </w:pPr>
      <w:r>
        <w:rPr>
          <w:rFonts w:hint="eastAsia" w:ascii="宋体" w:hAnsi="宋体" w:eastAsia="宋体" w:cs="Times New Roman"/>
          <w:bCs/>
          <w:kern w:val="0"/>
          <w:lang w:eastAsia="zh-CN"/>
        </w:rPr>
        <w:t>地 址：海口市蓝天路31号南航部队小区二栋一单元501楼</w:t>
      </w:r>
    </w:p>
    <w:p>
      <w:pPr>
        <w:pStyle w:val="119"/>
        <w:shd w:val="clear" w:color="auto" w:fill="FFFFFF"/>
        <w:spacing w:line="360" w:lineRule="auto"/>
        <w:ind w:firstLine="439" w:firstLineChars="183"/>
        <w:rPr>
          <w:rFonts w:hint="eastAsia" w:ascii="宋体" w:hAnsi="宋体" w:eastAsia="宋体" w:cs="Times New Roman"/>
          <w:bCs/>
          <w:kern w:val="0"/>
          <w:lang w:eastAsia="zh-CN"/>
        </w:rPr>
      </w:pPr>
      <w:r>
        <w:rPr>
          <w:rFonts w:hint="eastAsia" w:ascii="宋体" w:hAnsi="宋体" w:eastAsia="宋体" w:cs="Times New Roman"/>
          <w:bCs/>
          <w:kern w:val="0"/>
          <w:lang w:eastAsia="zh-CN"/>
        </w:rPr>
        <w:t>邮 编：570203， </w:t>
      </w:r>
      <w:r>
        <w:rPr>
          <w:rFonts w:hint="eastAsia" w:ascii="宋体" w:hAnsi="宋体" w:eastAsia="宋体" w:cs="Times New Roman"/>
          <w:bCs/>
          <w:kern w:val="0"/>
          <w:szCs w:val="24"/>
          <w:lang w:eastAsia="zh-CN"/>
        </w:rPr>
        <w:t> </w:t>
      </w:r>
      <w:r>
        <w:rPr>
          <w:rFonts w:hint="eastAsia" w:ascii="宋体" w:hAnsi="宋体" w:eastAsia="宋体" w:cs="Times New Roman"/>
          <w:bCs/>
          <w:kern w:val="0"/>
          <w:lang w:eastAsia="zh-CN"/>
        </w:rPr>
        <w:t>联系人：韩先生   </w:t>
      </w:r>
    </w:p>
    <w:p>
      <w:pPr>
        <w:pStyle w:val="119"/>
        <w:shd w:val="clear" w:color="auto" w:fill="FFFFFF"/>
        <w:spacing w:line="360" w:lineRule="auto"/>
        <w:ind w:firstLine="439" w:firstLineChars="183"/>
        <w:rPr>
          <w:rFonts w:hint="eastAsia" w:ascii="宋体" w:hAnsi="宋体" w:eastAsia="宋体" w:cs="Times New Roman"/>
          <w:bCs/>
          <w:kern w:val="0"/>
          <w:lang w:eastAsia="zh-CN"/>
        </w:rPr>
      </w:pPr>
      <w:r>
        <w:rPr>
          <w:rFonts w:hint="eastAsia" w:ascii="宋体" w:hAnsi="宋体" w:eastAsia="宋体" w:cs="Times New Roman"/>
          <w:bCs/>
          <w:kern w:val="0"/>
          <w:lang w:eastAsia="zh-CN"/>
        </w:rPr>
        <w:t>联系电话：13807578839 </w:t>
      </w:r>
      <w:r>
        <w:rPr>
          <w:rFonts w:hint="eastAsia" w:ascii="宋体" w:hAnsi="宋体" w:eastAsia="宋体" w:cs="Times New Roman"/>
          <w:bCs/>
          <w:kern w:val="0"/>
          <w:szCs w:val="24"/>
          <w:lang w:eastAsia="zh-CN"/>
        </w:rPr>
        <w:t>  </w:t>
      </w:r>
      <w:r>
        <w:rPr>
          <w:rFonts w:hint="eastAsia" w:ascii="宋体" w:hAnsi="宋体" w:eastAsia="宋体" w:cs="Times New Roman"/>
          <w:bCs/>
          <w:kern w:val="0"/>
          <w:lang w:eastAsia="zh-CN"/>
        </w:rPr>
        <w:t>0898-66552458 </w:t>
      </w:r>
    </w:p>
    <w:p>
      <w:pPr>
        <w:pStyle w:val="119"/>
        <w:spacing w:line="360" w:lineRule="auto"/>
        <w:ind w:left="0" w:leftChars="0" w:firstLine="0" w:firstLineChars="0"/>
        <w:rPr>
          <w:rFonts w:hint="eastAsia" w:ascii="宋体" w:hAnsi="宋体"/>
          <w:b/>
          <w:bCs/>
          <w:kern w:val="0"/>
          <w:sz w:val="28"/>
          <w:szCs w:val="28"/>
          <w:lang w:eastAsia="zh-CN"/>
        </w:rPr>
      </w:pPr>
      <w:r>
        <w:rPr>
          <w:rFonts w:hint="eastAsia" w:ascii="宋体" w:hAnsi="宋体"/>
          <w:b/>
          <w:bCs/>
          <w:kern w:val="0"/>
          <w:sz w:val="28"/>
          <w:szCs w:val="28"/>
          <w:lang w:eastAsia="zh-CN"/>
        </w:rPr>
        <w:t>六、</w:t>
      </w:r>
      <w:r>
        <w:rPr>
          <w:rFonts w:hint="eastAsia" w:ascii="宋体" w:hAnsi="宋体"/>
          <w:b/>
          <w:sz w:val="28"/>
          <w:szCs w:val="28"/>
          <w:lang w:eastAsia="zh-CN"/>
        </w:rPr>
        <w:t>采购人</w:t>
      </w:r>
      <w:r>
        <w:rPr>
          <w:rFonts w:hint="eastAsia" w:ascii="宋体" w:hAnsi="宋体"/>
          <w:b/>
          <w:bCs/>
          <w:kern w:val="0"/>
          <w:sz w:val="28"/>
          <w:szCs w:val="28"/>
          <w:lang w:eastAsia="zh-CN"/>
        </w:rPr>
        <w:t>联系方式：</w:t>
      </w:r>
    </w:p>
    <w:p>
      <w:pPr>
        <w:pStyle w:val="119"/>
        <w:spacing w:line="360" w:lineRule="auto"/>
        <w:ind w:firstLine="439" w:firstLineChars="183"/>
        <w:rPr>
          <w:rFonts w:hint="eastAsia" w:ascii="宋体" w:hAnsi="宋体"/>
          <w:bCs/>
          <w:kern w:val="0"/>
          <w:lang w:eastAsia="zh-CN"/>
        </w:rPr>
      </w:pPr>
      <w:r>
        <w:rPr>
          <w:rFonts w:hint="eastAsia" w:ascii="宋体" w:hAnsi="宋体"/>
          <w:bCs/>
          <w:kern w:val="0"/>
          <w:lang w:eastAsia="zh-CN"/>
        </w:rPr>
        <w:t>名称：海南省残疾人联合会</w:t>
      </w:r>
    </w:p>
    <w:p>
      <w:pPr>
        <w:pStyle w:val="119"/>
        <w:shd w:val="clear" w:color="auto" w:fill="FFFFFF"/>
        <w:spacing w:line="360" w:lineRule="auto"/>
        <w:ind w:firstLine="439" w:firstLineChars="183"/>
        <w:rPr>
          <w:rFonts w:hint="eastAsia" w:ascii="宋体" w:hAnsi="宋体" w:eastAsia="宋体" w:cs="Times New Roman"/>
          <w:bCs/>
          <w:kern w:val="0"/>
          <w:lang w:eastAsia="zh-CN"/>
        </w:rPr>
      </w:pPr>
      <w:r>
        <w:rPr>
          <w:rFonts w:hint="eastAsia" w:ascii="宋体" w:hAnsi="宋体" w:eastAsia="宋体" w:cs="Times New Roman"/>
          <w:bCs/>
          <w:kern w:val="0"/>
          <w:lang w:eastAsia="zh-CN"/>
        </w:rPr>
        <w:t>地址：海口市文兴路4号</w:t>
      </w:r>
    </w:p>
    <w:p>
      <w:pPr>
        <w:pStyle w:val="119"/>
        <w:shd w:val="clear" w:color="auto" w:fill="FFFFFF"/>
        <w:spacing w:line="360" w:lineRule="auto"/>
        <w:ind w:firstLine="439" w:firstLineChars="183"/>
        <w:rPr>
          <w:rFonts w:hint="eastAsia" w:ascii="宋体" w:hAnsi="宋体" w:eastAsia="宋体" w:cs="Times New Roman"/>
          <w:bCs/>
          <w:kern w:val="0"/>
          <w:lang w:val="zh-CN" w:eastAsia="zh-CN"/>
        </w:rPr>
      </w:pPr>
      <w:r>
        <w:rPr>
          <w:rFonts w:hint="eastAsia" w:ascii="宋体" w:hAnsi="宋体" w:eastAsia="宋体" w:cs="Times New Roman"/>
          <w:bCs/>
          <w:kern w:val="0"/>
          <w:lang w:eastAsia="zh-CN"/>
        </w:rPr>
        <w:t>联系人：</w:t>
      </w:r>
      <w:r>
        <w:rPr>
          <w:rFonts w:hint="eastAsia" w:ascii="宋体" w:hAnsi="宋体" w:eastAsia="宋体" w:cs="Times New Roman"/>
          <w:bCs/>
          <w:kern w:val="0"/>
          <w:lang w:val="zh-CN" w:eastAsia="zh-CN"/>
        </w:rPr>
        <w:t>冯女士</w:t>
      </w:r>
    </w:p>
    <w:p>
      <w:pPr>
        <w:pStyle w:val="119"/>
        <w:shd w:val="clear" w:color="auto" w:fill="FFFFFF"/>
        <w:spacing w:line="360" w:lineRule="auto"/>
        <w:ind w:firstLine="439" w:firstLineChars="183"/>
        <w:rPr>
          <w:rFonts w:hint="eastAsia" w:ascii="宋体" w:hAnsi="宋体" w:eastAsia="宋体" w:cs="Times New Roman"/>
          <w:bCs/>
          <w:kern w:val="0"/>
          <w:lang w:eastAsia="zh-CN"/>
        </w:rPr>
      </w:pPr>
      <w:r>
        <w:rPr>
          <w:rFonts w:hint="eastAsia" w:ascii="宋体" w:hAnsi="宋体" w:eastAsia="宋体" w:cs="Times New Roman"/>
          <w:bCs/>
          <w:kern w:val="0"/>
          <w:lang w:eastAsia="zh-CN"/>
        </w:rPr>
        <w:t>联系电话：0898-65360050</w:t>
      </w:r>
    </w:p>
    <w:p>
      <w:pPr>
        <w:pStyle w:val="4"/>
        <w:widowControl/>
        <w:spacing w:before="120" w:beforeAutospacing="0" w:after="120" w:afterAutospacing="0"/>
        <w:ind w:right="0"/>
        <w:jc w:val="left"/>
        <w:rPr>
          <w:rFonts w:hint="eastAsia" w:ascii="宋体" w:hAnsi="宋体" w:eastAsia="宋体" w:cs="Times New Roman"/>
          <w:b/>
          <w:bCs w:val="0"/>
          <w:i w:val="0"/>
          <w:iCs w:val="0"/>
          <w:kern w:val="2"/>
          <w:sz w:val="28"/>
          <w:szCs w:val="28"/>
          <w:lang w:val="en-US" w:eastAsia="zh-CN" w:bidi="en-US"/>
        </w:rPr>
      </w:pPr>
      <w:bookmarkStart w:id="4" w:name="_Toc26289444"/>
      <w:r>
        <w:rPr>
          <w:rFonts w:hint="eastAsia" w:ascii="宋体" w:hAnsi="宋体" w:eastAsia="宋体" w:cs="Times New Roman"/>
          <w:b/>
          <w:bCs w:val="0"/>
          <w:i w:val="0"/>
          <w:iCs w:val="0"/>
          <w:kern w:val="2"/>
          <w:sz w:val="28"/>
          <w:szCs w:val="28"/>
          <w:lang w:val="en-US" w:eastAsia="zh-CN" w:bidi="en-US"/>
        </w:rPr>
        <w:t>七、其他</w:t>
      </w:r>
      <w:bookmarkEnd w:id="4"/>
    </w:p>
    <w:p>
      <w:pPr>
        <w:widowControl w:val="0"/>
        <w:adjustRightInd w:val="0"/>
        <w:snapToGrid w:val="0"/>
        <w:spacing w:before="0" w:beforeAutospacing="0" w:after="0" w:afterAutospacing="0" w:line="540" w:lineRule="exact"/>
        <w:ind w:left="0" w:right="0" w:firstLine="578" w:firstLineChars="241"/>
        <w:jc w:val="both"/>
        <w:rPr>
          <w:rFonts w:hint="eastAsia" w:ascii="宋体" w:hAnsi="宋体" w:eastAsia="宋体" w:cs="宋体"/>
          <w:bCs/>
          <w:color w:val="000000"/>
          <w:sz w:val="24"/>
          <w:szCs w:val="24"/>
          <w:lang w:val="en-US"/>
        </w:rPr>
      </w:pPr>
      <w:r>
        <w:rPr>
          <w:rFonts w:hint="eastAsia" w:ascii="宋体" w:hAnsi="宋体" w:eastAsia="宋体" w:cs="宋体"/>
          <w:bCs/>
          <w:color w:val="000000"/>
          <w:kern w:val="0"/>
          <w:sz w:val="24"/>
          <w:szCs w:val="24"/>
          <w:lang w:val="en-US" w:eastAsia="zh-CN" w:bidi="ar-SA"/>
        </w:rPr>
        <w:t>本项目为非电子标项目，投标人应当通过数字身份认证锁登录全国公共资源交易平台（海南省）（http://zw.hainan.gov.cn/ggzy/） 上传电子版投标文件，并在投标现场同时提交纸质版投标文件。</w:t>
      </w:r>
    </w:p>
    <w:p>
      <w:pPr>
        <w:widowControl w:val="0"/>
        <w:autoSpaceDE w:val="0"/>
        <w:autoSpaceDN w:val="0"/>
        <w:adjustRightInd w:val="0"/>
        <w:spacing w:before="0" w:beforeAutospacing="0" w:after="0" w:afterAutospacing="0" w:line="360" w:lineRule="auto"/>
        <w:ind w:left="0" w:right="0" w:firstLine="480" w:firstLineChars="200"/>
        <w:jc w:val="left"/>
        <w:rPr>
          <w:rFonts w:hint="eastAsia" w:ascii="宋体" w:hAnsi="宋体" w:eastAsia="宋体" w:cs="宋体"/>
          <w:bCs/>
          <w:sz w:val="24"/>
          <w:szCs w:val="24"/>
          <w:lang w:val="en-US"/>
        </w:rPr>
      </w:pPr>
      <w:r>
        <w:rPr>
          <w:rFonts w:hint="eastAsia" w:ascii="宋体" w:hAnsi="宋体" w:eastAsia="宋体" w:cs="宋体"/>
          <w:bCs/>
          <w:kern w:val="2"/>
          <w:sz w:val="24"/>
          <w:szCs w:val="24"/>
          <w:lang w:val="en-US" w:eastAsia="zh-CN" w:bidi="ar-SA"/>
        </w:rPr>
        <w:t>供应商须在全国公共资源交易平台（海南省）企业信息管理系统（</w:t>
      </w:r>
      <w:r>
        <w:rPr>
          <w:rFonts w:hint="eastAsia" w:ascii="宋体" w:hAnsi="宋体" w:eastAsia="宋体" w:cs="宋体"/>
          <w:bCs/>
          <w:kern w:val="2"/>
          <w:sz w:val="24"/>
          <w:szCs w:val="24"/>
          <w:lang w:val="en-US" w:eastAsia="zh-CN" w:bidi="ar-SA"/>
        </w:rPr>
        <w:fldChar w:fldCharType="begin"/>
      </w:r>
      <w:r>
        <w:rPr>
          <w:rFonts w:hint="eastAsia" w:ascii="宋体" w:hAnsi="宋体" w:eastAsia="宋体" w:cs="宋体"/>
          <w:bCs/>
          <w:kern w:val="2"/>
          <w:sz w:val="24"/>
          <w:szCs w:val="24"/>
          <w:lang w:val="en-US" w:eastAsia="zh-CN" w:bidi="ar-SA"/>
        </w:rPr>
        <w:instrText xml:space="preserve"> HYPERLINK "http://zw.hainan.gov.cn/ggzy/" </w:instrText>
      </w:r>
      <w:r>
        <w:rPr>
          <w:rFonts w:hint="eastAsia" w:ascii="宋体" w:hAnsi="宋体" w:eastAsia="宋体" w:cs="宋体"/>
          <w:bCs/>
          <w:kern w:val="2"/>
          <w:sz w:val="24"/>
          <w:szCs w:val="24"/>
          <w:lang w:val="en-US" w:eastAsia="zh-CN" w:bidi="ar-SA"/>
        </w:rPr>
        <w:fldChar w:fldCharType="separate"/>
      </w:r>
      <w:r>
        <w:rPr>
          <w:rStyle w:val="59"/>
          <w:rFonts w:hint="eastAsia" w:ascii="宋体" w:hAnsi="宋体" w:eastAsia="宋体" w:cs="宋体"/>
          <w:bCs/>
          <w:sz w:val="24"/>
          <w:szCs w:val="24"/>
          <w:u w:val="single"/>
          <w:lang w:val="en-US"/>
        </w:rPr>
        <w:t>http://zw.hainan.gov.cn/ggzy/</w:t>
      </w:r>
      <w:r>
        <w:rPr>
          <w:rFonts w:hint="eastAsia" w:ascii="宋体" w:hAnsi="宋体" w:eastAsia="宋体" w:cs="宋体"/>
          <w:bCs/>
          <w:kern w:val="2"/>
          <w:sz w:val="24"/>
          <w:szCs w:val="24"/>
          <w:lang w:val="en-US" w:eastAsia="zh-CN" w:bidi="ar-SA"/>
        </w:rPr>
        <w:fldChar w:fldCharType="end"/>
      </w:r>
      <w:r>
        <w:rPr>
          <w:rFonts w:hint="eastAsia" w:ascii="宋体" w:hAnsi="宋体" w:eastAsia="宋体" w:cs="宋体"/>
          <w:bCs/>
          <w:kern w:val="2"/>
          <w:sz w:val="24"/>
          <w:szCs w:val="24"/>
          <w:lang w:val="en-US" w:eastAsia="zh-CN" w:bidi="ar-SA"/>
        </w:rPr>
        <w:t>)注册，然后登陆招投标交易平台(http://zw.hainan.gov.cn/gg y/)下载、查看电子版的招标文件及其他文件；非电子标（招标文件后缀名不是GPZ）必须使用电子签章工具（在http://zw.hainan.gov.cn/ggzy/ggzy/xgrjxz/index.jhtml下载签章工具）对PDF格式的电子投标文件进行盖章(使用WinRAR对PDF格式的投标文件加密压缩)并上传到系统；</w:t>
      </w:r>
      <w:r>
        <w:rPr>
          <w:rFonts w:hint="eastAsia" w:ascii="宋体" w:hAnsi="宋体" w:eastAsia="宋体" w:cs="??Regular"/>
          <w:color w:val="333333"/>
          <w:kern w:val="0"/>
          <w:sz w:val="24"/>
          <w:szCs w:val="24"/>
          <w:lang w:val="en-US" w:eastAsia="zh-CN" w:bidi="ar-SA"/>
        </w:rPr>
        <w:t>开标必须携带CA数字证书和光盘、U盘拷贝的投标书。</w:t>
      </w:r>
      <w:r>
        <w:rPr>
          <w:rFonts w:hint="eastAsia" w:ascii="宋体" w:hAnsi="宋体" w:eastAsia="宋体" w:cs="宋体"/>
          <w:bCs/>
          <w:kern w:val="2"/>
          <w:sz w:val="24"/>
          <w:szCs w:val="24"/>
          <w:lang w:val="en-US" w:eastAsia="zh-CN" w:bidi="ar-SA"/>
        </w:rPr>
        <w:t>注册咨询电话：65355095、技术支持咨询电话：65203207</w:t>
      </w:r>
    </w:p>
    <w:p>
      <w:pPr>
        <w:pStyle w:val="119"/>
        <w:shd w:val="clear" w:color="auto" w:fill="FFFFFF"/>
        <w:spacing w:line="520" w:lineRule="exact"/>
        <w:ind w:firstLine="439" w:firstLineChars="183"/>
        <w:rPr>
          <w:rFonts w:hint="eastAsia" w:ascii="宋体" w:hAnsi="宋体" w:eastAsia="宋体" w:cs="Times New Roman"/>
          <w:bCs/>
          <w:kern w:val="0"/>
          <w:lang w:eastAsia="zh-CN"/>
        </w:rPr>
      </w:pPr>
    </w:p>
    <w:p>
      <w:pPr>
        <w:pStyle w:val="3"/>
        <w:spacing w:before="360" w:after="360"/>
        <w:jc w:val="center"/>
        <w:rPr>
          <w:rFonts w:hint="eastAsia" w:ascii="宋体" w:hAnsi="宋体"/>
          <w:lang w:eastAsia="zh-CN"/>
        </w:rPr>
      </w:pPr>
      <w:bookmarkStart w:id="5" w:name="_Toc900"/>
      <w:r>
        <w:rPr>
          <w:rFonts w:hint="eastAsia" w:ascii="宋体" w:hAnsi="宋体"/>
          <w:lang w:eastAsia="zh-CN"/>
        </w:rPr>
        <w:br w:type="page"/>
      </w:r>
      <w:bookmarkStart w:id="6" w:name="_Toc24606"/>
      <w:r>
        <w:rPr>
          <w:rFonts w:hint="eastAsia" w:ascii="宋体" w:hAnsi="宋体"/>
          <w:lang w:eastAsia="zh-CN"/>
        </w:rPr>
        <w:t>第二章投标人须知</w:t>
      </w:r>
      <w:bookmarkEnd w:id="5"/>
      <w:bookmarkEnd w:id="6"/>
    </w:p>
    <w:p>
      <w:pPr>
        <w:shd w:val="clear" w:color="auto" w:fill="FFFFFF"/>
        <w:snapToGrid w:val="0"/>
        <w:spacing w:line="500" w:lineRule="exact"/>
        <w:rPr>
          <w:rFonts w:hint="eastAsia" w:ascii="宋体" w:hAnsi="宋体"/>
          <w:b/>
          <w:sz w:val="28"/>
          <w:szCs w:val="28"/>
          <w:lang w:eastAsia="zh-CN"/>
        </w:rPr>
      </w:pPr>
      <w:r>
        <w:rPr>
          <w:rFonts w:hint="eastAsia" w:ascii="宋体" w:hAnsi="宋体"/>
          <w:b/>
          <w:sz w:val="28"/>
          <w:szCs w:val="28"/>
          <w:lang w:eastAsia="zh-CN"/>
        </w:rPr>
        <w:t>一、总则</w:t>
      </w:r>
    </w:p>
    <w:p>
      <w:pPr>
        <w:shd w:val="clear" w:color="auto" w:fill="FFFFFF"/>
        <w:snapToGrid w:val="0"/>
        <w:spacing w:line="500" w:lineRule="exact"/>
        <w:rPr>
          <w:rFonts w:ascii="宋体" w:hAnsi="宋体"/>
          <w:lang w:eastAsia="zh-CN"/>
        </w:rPr>
      </w:pPr>
      <w:r>
        <w:rPr>
          <w:rFonts w:hint="eastAsia" w:ascii="宋体" w:hAnsi="宋体"/>
          <w:lang w:eastAsia="zh-CN"/>
        </w:rPr>
        <w:t>1.</w:t>
      </w:r>
      <w:r>
        <w:rPr>
          <w:rFonts w:ascii="宋体" w:hAnsi="宋体"/>
          <w:lang w:eastAsia="zh-CN"/>
        </w:rPr>
        <w:t>名词解释</w:t>
      </w:r>
    </w:p>
    <w:p>
      <w:pPr>
        <w:shd w:val="clear" w:color="auto" w:fill="FFFFFF"/>
        <w:snapToGrid w:val="0"/>
        <w:spacing w:line="500" w:lineRule="exact"/>
        <w:ind w:firstLine="480" w:firstLineChars="200"/>
        <w:rPr>
          <w:rFonts w:hint="eastAsia" w:ascii="宋体" w:hAnsi="宋体" w:cs="宋体"/>
          <w:lang w:eastAsia="zh-CN"/>
        </w:rPr>
      </w:pPr>
      <w:r>
        <w:rPr>
          <w:rFonts w:ascii="宋体" w:hAnsi="宋体"/>
          <w:lang w:eastAsia="zh-CN"/>
        </w:rPr>
        <w:t>1.1采购人：</w:t>
      </w:r>
      <w:r>
        <w:rPr>
          <w:rFonts w:hint="eastAsia" w:ascii="宋体" w:hAnsi="宋体"/>
          <w:bCs/>
          <w:lang w:eastAsia="zh-CN"/>
        </w:rPr>
        <w:t>海南省残疾人联合会</w:t>
      </w:r>
    </w:p>
    <w:p>
      <w:pPr>
        <w:shd w:val="clear" w:color="auto" w:fill="FFFFFF"/>
        <w:snapToGrid w:val="0"/>
        <w:spacing w:line="500" w:lineRule="exact"/>
        <w:ind w:firstLine="480" w:firstLineChars="200"/>
        <w:rPr>
          <w:rFonts w:ascii="宋体" w:hAnsi="宋体"/>
          <w:lang w:eastAsia="zh-CN"/>
        </w:rPr>
      </w:pPr>
      <w:r>
        <w:rPr>
          <w:rFonts w:ascii="宋体" w:hAnsi="宋体"/>
          <w:lang w:eastAsia="zh-CN"/>
        </w:rPr>
        <w:t>1.2</w:t>
      </w:r>
      <w:r>
        <w:rPr>
          <w:rFonts w:hint="eastAsia" w:ascii="宋体" w:hAnsi="宋体"/>
          <w:lang w:eastAsia="zh-CN"/>
        </w:rPr>
        <w:t>招标人：海南华教设备招标有限公司</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1.3投标</w:t>
      </w:r>
      <w:r>
        <w:rPr>
          <w:rFonts w:ascii="宋体" w:hAnsi="宋体"/>
          <w:lang w:eastAsia="zh-CN"/>
        </w:rPr>
        <w:t>人：</w:t>
      </w:r>
      <w:r>
        <w:rPr>
          <w:rFonts w:hint="eastAsia" w:ascii="宋体" w:hAnsi="宋体"/>
          <w:lang w:eastAsia="zh-CN"/>
        </w:rPr>
        <w:t>已从招标人购买招标文件并</w:t>
      </w:r>
      <w:r>
        <w:rPr>
          <w:rFonts w:ascii="宋体" w:hAnsi="宋体"/>
          <w:lang w:eastAsia="zh-CN"/>
        </w:rPr>
        <w:t>向</w:t>
      </w:r>
      <w:r>
        <w:rPr>
          <w:rFonts w:hint="eastAsia" w:ascii="宋体" w:hAnsi="宋体"/>
          <w:lang w:eastAsia="zh-CN"/>
        </w:rPr>
        <w:t>招标人</w:t>
      </w:r>
      <w:r>
        <w:rPr>
          <w:rFonts w:ascii="宋体" w:hAnsi="宋体"/>
          <w:lang w:eastAsia="zh-CN"/>
        </w:rPr>
        <w:t>提交</w:t>
      </w:r>
      <w:r>
        <w:rPr>
          <w:rFonts w:hint="eastAsia" w:ascii="宋体" w:hAnsi="宋体"/>
          <w:lang w:eastAsia="zh-CN"/>
        </w:rPr>
        <w:t>投标</w:t>
      </w:r>
      <w:r>
        <w:rPr>
          <w:rFonts w:ascii="宋体" w:hAnsi="宋体"/>
          <w:lang w:eastAsia="zh-CN"/>
        </w:rPr>
        <w:t>文件的投标人。</w:t>
      </w:r>
    </w:p>
    <w:p>
      <w:pPr>
        <w:shd w:val="clear" w:color="auto" w:fill="FFFFFF"/>
        <w:snapToGrid w:val="0"/>
        <w:spacing w:line="500" w:lineRule="exact"/>
        <w:rPr>
          <w:rFonts w:hint="eastAsia" w:ascii="宋体" w:hAnsi="宋体"/>
          <w:lang w:eastAsia="zh-CN"/>
        </w:rPr>
      </w:pPr>
      <w:r>
        <w:rPr>
          <w:rFonts w:hint="eastAsia" w:ascii="宋体" w:hAnsi="宋体"/>
          <w:lang w:eastAsia="zh-CN"/>
        </w:rPr>
        <w:t>2．适用范围</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本招标文件仅适用于招标人组织的本次投标活动。</w:t>
      </w:r>
    </w:p>
    <w:p>
      <w:pPr>
        <w:shd w:val="clear" w:color="auto" w:fill="FFFFFF"/>
        <w:snapToGrid w:val="0"/>
        <w:spacing w:line="500" w:lineRule="exact"/>
        <w:rPr>
          <w:rFonts w:hint="eastAsia" w:ascii="宋体" w:hAnsi="宋体"/>
          <w:lang w:eastAsia="zh-CN"/>
        </w:rPr>
      </w:pPr>
      <w:r>
        <w:rPr>
          <w:rFonts w:hint="eastAsia" w:ascii="宋体" w:hAnsi="宋体"/>
          <w:lang w:eastAsia="zh-CN"/>
        </w:rPr>
        <w:t>3．合格的投标人</w:t>
      </w:r>
    </w:p>
    <w:p>
      <w:pPr>
        <w:shd w:val="clear" w:color="auto" w:fill="FFFFFF"/>
        <w:snapToGrid w:val="0"/>
        <w:spacing w:line="500" w:lineRule="exact"/>
        <w:ind w:firstLine="480" w:firstLineChars="200"/>
        <w:jc w:val="both"/>
        <w:rPr>
          <w:rFonts w:hint="eastAsia" w:ascii="宋体" w:hAnsi="宋体"/>
          <w:lang w:eastAsia="zh-CN"/>
        </w:rPr>
      </w:pPr>
      <w:r>
        <w:rPr>
          <w:rFonts w:hint="eastAsia" w:ascii="宋体" w:hAnsi="宋体"/>
          <w:lang w:eastAsia="zh-CN"/>
        </w:rPr>
        <w:t>3.1凡有能力按照本招标文件规定的要求交付标的投标单位均为合格的投标人。</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3.2投标人参加本次招标活动应当符合《中华人民共和国政府采购法》第二十二条的规定，并具备本招标文件第一章的“投标人资格要求”规定的条件。</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3.3本项目不接受联合体投标。</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3.</w:t>
      </w:r>
      <w:r>
        <w:rPr>
          <w:rFonts w:ascii="宋体" w:hAnsi="宋体"/>
          <w:lang w:eastAsia="zh-CN"/>
        </w:rPr>
        <w:t>4</w:t>
      </w:r>
      <w:r>
        <w:rPr>
          <w:rFonts w:hint="eastAsia" w:ascii="宋体" w:hAnsi="宋体"/>
          <w:lang w:eastAsia="zh-CN"/>
        </w:rPr>
        <w:t>投标人在本项目招标公告前三年内被列入失信被执行人、重大税收违法案件当事人名单、政府采购严重违法失信行为记录名单，以及存在其他不符合《中华人民共和国政府采购法》第二十二条规定条件的情况的投标人不得参与投标。</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3.</w:t>
      </w:r>
      <w:r>
        <w:rPr>
          <w:rFonts w:ascii="宋体" w:hAnsi="宋体"/>
          <w:lang w:eastAsia="zh-CN"/>
        </w:rPr>
        <w:t>5</w:t>
      </w:r>
      <w:r>
        <w:rPr>
          <w:rFonts w:hint="eastAsia" w:ascii="宋体" w:hAnsi="宋体"/>
          <w:lang w:eastAsia="zh-CN"/>
        </w:rPr>
        <w:t>本章3.</w:t>
      </w:r>
      <w:r>
        <w:rPr>
          <w:rFonts w:ascii="宋体" w:hAnsi="宋体"/>
          <w:lang w:eastAsia="zh-CN"/>
        </w:rPr>
        <w:t>4</w:t>
      </w:r>
      <w:r>
        <w:rPr>
          <w:rFonts w:hint="eastAsia" w:ascii="宋体" w:hAnsi="宋体"/>
          <w:lang w:eastAsia="zh-CN"/>
        </w:rPr>
        <w:t>款的信用记录以“信用中国”网站（</w:t>
      </w:r>
      <w:r>
        <w:rPr>
          <w:rFonts w:ascii="宋体" w:hAnsi="宋体"/>
          <w:lang w:eastAsia="zh-CN"/>
        </w:rPr>
        <w:fldChar w:fldCharType="begin"/>
      </w:r>
      <w:r>
        <w:rPr>
          <w:rFonts w:ascii="宋体" w:hAnsi="宋体"/>
          <w:lang w:eastAsia="zh-CN"/>
        </w:rPr>
        <w:instrText xml:space="preserve"> HYPERLINK "http://</w:instrText>
      </w:r>
      <w:r>
        <w:rPr>
          <w:rFonts w:hint="eastAsia" w:ascii="宋体" w:hAnsi="宋体"/>
          <w:lang w:eastAsia="zh-CN"/>
        </w:rPr>
        <w:instrText xml:space="preserve">www.creditchina.gov.cn</w:instrText>
      </w:r>
      <w:r>
        <w:rPr>
          <w:rFonts w:ascii="宋体" w:hAnsi="宋体"/>
          <w:lang w:eastAsia="zh-CN"/>
        </w:rPr>
        <w:instrText xml:space="preserve">" </w:instrText>
      </w:r>
      <w:r>
        <w:rPr>
          <w:rFonts w:ascii="宋体" w:hAnsi="宋体"/>
          <w:lang w:eastAsia="zh-CN"/>
        </w:rPr>
        <w:fldChar w:fldCharType="separate"/>
      </w:r>
      <w:r>
        <w:rPr>
          <w:rStyle w:val="59"/>
          <w:rFonts w:hint="eastAsia" w:ascii="宋体" w:hAnsi="宋体"/>
          <w:color w:val="auto"/>
          <w:lang w:eastAsia="zh-CN"/>
        </w:rPr>
        <w:t>www.creditchina.gov.cn</w:t>
      </w:r>
      <w:r>
        <w:rPr>
          <w:rFonts w:ascii="宋体" w:hAnsi="宋体"/>
          <w:lang w:eastAsia="zh-CN"/>
        </w:rPr>
        <w:fldChar w:fldCharType="end"/>
      </w:r>
      <w:r>
        <w:rPr>
          <w:rFonts w:hint="eastAsia" w:ascii="宋体" w:hAnsi="宋体"/>
          <w:lang w:eastAsia="zh-CN"/>
        </w:rPr>
        <w:t>）或中国政府采购网（</w:t>
      </w:r>
      <w:r>
        <w:rPr>
          <w:rFonts w:ascii="宋体" w:hAnsi="宋体"/>
          <w:lang w:eastAsia="zh-CN"/>
        </w:rPr>
        <w:fldChar w:fldCharType="begin"/>
      </w:r>
      <w:r>
        <w:rPr>
          <w:rFonts w:ascii="宋体" w:hAnsi="宋体"/>
          <w:lang w:eastAsia="zh-CN"/>
        </w:rPr>
        <w:instrText xml:space="preserve"> HYPERLINK "http://</w:instrText>
      </w:r>
      <w:r>
        <w:rPr>
          <w:rFonts w:hint="eastAsia" w:ascii="宋体" w:hAnsi="宋体"/>
          <w:lang w:eastAsia="zh-CN"/>
        </w:rPr>
        <w:instrText xml:space="preserve">www.ccgp.gov.cn</w:instrText>
      </w:r>
      <w:r>
        <w:rPr>
          <w:rFonts w:ascii="宋体" w:hAnsi="宋体"/>
          <w:lang w:eastAsia="zh-CN"/>
        </w:rPr>
        <w:instrText xml:space="preserve">" </w:instrText>
      </w:r>
      <w:r>
        <w:rPr>
          <w:rFonts w:ascii="宋体" w:hAnsi="宋体"/>
          <w:lang w:eastAsia="zh-CN"/>
        </w:rPr>
        <w:fldChar w:fldCharType="separate"/>
      </w:r>
      <w:r>
        <w:rPr>
          <w:rStyle w:val="59"/>
          <w:rFonts w:hint="eastAsia" w:ascii="宋体" w:hAnsi="宋体"/>
          <w:color w:val="auto"/>
          <w:lang w:eastAsia="zh-CN"/>
        </w:rPr>
        <w:t>www.ccgp.gov.cn</w:t>
      </w:r>
      <w:r>
        <w:rPr>
          <w:rFonts w:ascii="宋体" w:hAnsi="宋体"/>
          <w:lang w:eastAsia="zh-CN"/>
        </w:rPr>
        <w:fldChar w:fldCharType="end"/>
      </w:r>
      <w:r>
        <w:rPr>
          <w:rFonts w:hint="eastAsia" w:ascii="宋体" w:hAnsi="宋体"/>
          <w:lang w:eastAsia="zh-CN"/>
        </w:rPr>
        <w:t>）上公布的信用记录为准。</w:t>
      </w:r>
    </w:p>
    <w:p>
      <w:pPr>
        <w:shd w:val="clear" w:color="auto" w:fill="FFFFFF"/>
        <w:snapToGrid w:val="0"/>
        <w:spacing w:line="500" w:lineRule="exact"/>
        <w:rPr>
          <w:rFonts w:hint="eastAsia" w:ascii="宋体" w:hAnsi="宋体"/>
          <w:lang w:eastAsia="zh-CN"/>
        </w:rPr>
      </w:pPr>
      <w:r>
        <w:rPr>
          <w:rFonts w:hint="eastAsia" w:ascii="宋体" w:hAnsi="宋体"/>
          <w:lang w:eastAsia="zh-CN"/>
        </w:rPr>
        <w:t>4．投标费用</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无论招标投标过程中的做法和结果如何，投标人均自行承担所有与参加投标有关的全部费用。</w:t>
      </w:r>
    </w:p>
    <w:p>
      <w:pPr>
        <w:shd w:val="clear" w:color="auto" w:fill="FFFFFF"/>
        <w:snapToGrid w:val="0"/>
        <w:spacing w:line="500" w:lineRule="exact"/>
        <w:rPr>
          <w:rFonts w:hint="eastAsia" w:ascii="宋体" w:hAnsi="宋体"/>
          <w:lang w:eastAsia="zh-CN"/>
        </w:rPr>
      </w:pPr>
      <w:r>
        <w:rPr>
          <w:rFonts w:hint="eastAsia" w:ascii="宋体" w:hAnsi="宋体"/>
          <w:lang w:eastAsia="zh-CN"/>
        </w:rPr>
        <w:t>5．招标文件的约束力</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5.1投标人下载本招标文件后如在七个工作日内未对招标人提出书面意见，即视为接受了本招标文件中的所有条款和规定。</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5.2本招标文件由招标人负责解释。</w:t>
      </w:r>
    </w:p>
    <w:p>
      <w:pPr>
        <w:shd w:val="clear" w:color="auto" w:fill="FFFFFF"/>
        <w:spacing w:line="500" w:lineRule="exact"/>
        <w:rPr>
          <w:rFonts w:hint="eastAsia" w:ascii="宋体" w:hAnsi="宋体"/>
          <w:b/>
          <w:sz w:val="28"/>
          <w:szCs w:val="28"/>
          <w:lang w:eastAsia="zh-CN"/>
        </w:rPr>
      </w:pPr>
      <w:r>
        <w:rPr>
          <w:rFonts w:hint="eastAsia" w:ascii="宋体" w:hAnsi="宋体"/>
          <w:b/>
          <w:sz w:val="28"/>
          <w:szCs w:val="28"/>
          <w:lang w:eastAsia="zh-CN"/>
        </w:rPr>
        <w:t>二、招标文件</w:t>
      </w:r>
    </w:p>
    <w:p>
      <w:pPr>
        <w:shd w:val="clear" w:color="auto" w:fill="FFFFFF"/>
        <w:snapToGrid w:val="0"/>
        <w:spacing w:line="500" w:lineRule="exact"/>
        <w:rPr>
          <w:rFonts w:hint="eastAsia" w:ascii="宋体" w:hAnsi="宋体"/>
          <w:lang w:eastAsia="zh-CN"/>
        </w:rPr>
      </w:pPr>
      <w:r>
        <w:rPr>
          <w:rFonts w:hint="eastAsia" w:ascii="宋体" w:hAnsi="宋体"/>
          <w:lang w:eastAsia="zh-CN"/>
        </w:rPr>
        <w:t>6．招标文件的组成</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6.l招标文件由六部分组成，包括：</w:t>
      </w:r>
    </w:p>
    <w:p>
      <w:pPr>
        <w:shd w:val="clear" w:color="auto" w:fill="FFFFFF"/>
        <w:spacing w:line="500" w:lineRule="exact"/>
        <w:ind w:firstLine="960" w:firstLineChars="400"/>
        <w:rPr>
          <w:rFonts w:hint="eastAsia" w:ascii="宋体" w:hAnsi="宋体"/>
          <w:lang w:eastAsia="zh-CN"/>
        </w:rPr>
      </w:pPr>
      <w:r>
        <w:rPr>
          <w:rFonts w:hint="eastAsia" w:ascii="宋体" w:hAnsi="宋体"/>
          <w:lang w:eastAsia="zh-CN"/>
        </w:rPr>
        <w:t>第一章投标邀请</w:t>
      </w:r>
    </w:p>
    <w:p>
      <w:pPr>
        <w:shd w:val="clear" w:color="auto" w:fill="FFFFFF"/>
        <w:spacing w:line="500" w:lineRule="exact"/>
        <w:ind w:firstLine="960" w:firstLineChars="400"/>
        <w:rPr>
          <w:rFonts w:hint="eastAsia" w:ascii="宋体" w:hAnsi="宋体"/>
          <w:lang w:eastAsia="zh-CN"/>
        </w:rPr>
      </w:pPr>
      <w:r>
        <w:rPr>
          <w:rFonts w:hint="eastAsia" w:ascii="宋体" w:hAnsi="宋体"/>
          <w:lang w:eastAsia="zh-CN"/>
        </w:rPr>
        <w:t>第二章投标人须知</w:t>
      </w:r>
    </w:p>
    <w:p>
      <w:pPr>
        <w:shd w:val="clear" w:color="auto" w:fill="FFFFFF"/>
        <w:spacing w:line="500" w:lineRule="exact"/>
        <w:ind w:firstLine="960" w:firstLineChars="400"/>
        <w:rPr>
          <w:rFonts w:hint="eastAsia" w:ascii="宋体" w:hAnsi="宋体"/>
          <w:lang w:eastAsia="zh-CN"/>
        </w:rPr>
      </w:pPr>
      <w:r>
        <w:rPr>
          <w:rFonts w:hint="eastAsia" w:ascii="宋体" w:hAnsi="宋体"/>
          <w:lang w:eastAsia="zh-CN"/>
        </w:rPr>
        <w:t>第三章用户需求书</w:t>
      </w:r>
    </w:p>
    <w:p>
      <w:pPr>
        <w:shd w:val="clear" w:color="auto" w:fill="FFFFFF"/>
        <w:spacing w:line="500" w:lineRule="exact"/>
        <w:ind w:firstLine="960" w:firstLineChars="400"/>
        <w:rPr>
          <w:rFonts w:hint="eastAsia" w:ascii="宋体" w:hAnsi="宋体"/>
          <w:lang w:eastAsia="zh-CN"/>
        </w:rPr>
      </w:pPr>
      <w:r>
        <w:rPr>
          <w:rFonts w:hint="eastAsia" w:ascii="宋体" w:hAnsi="宋体"/>
          <w:lang w:eastAsia="zh-CN"/>
        </w:rPr>
        <w:t>第四章评标办法及标准</w:t>
      </w:r>
    </w:p>
    <w:p>
      <w:pPr>
        <w:shd w:val="clear" w:color="auto" w:fill="FFFFFF"/>
        <w:spacing w:line="500" w:lineRule="exact"/>
        <w:ind w:firstLine="960" w:firstLineChars="400"/>
        <w:rPr>
          <w:rFonts w:hint="eastAsia" w:ascii="宋体" w:hAnsi="宋体"/>
          <w:lang w:eastAsia="zh-CN"/>
        </w:rPr>
      </w:pPr>
      <w:r>
        <w:rPr>
          <w:rFonts w:hint="eastAsia" w:ascii="宋体" w:hAnsi="宋体"/>
          <w:lang w:eastAsia="zh-CN"/>
        </w:rPr>
        <w:t>第五章合同文本</w:t>
      </w:r>
    </w:p>
    <w:p>
      <w:pPr>
        <w:shd w:val="clear" w:color="auto" w:fill="FFFFFF"/>
        <w:spacing w:line="500" w:lineRule="exact"/>
        <w:ind w:firstLine="960" w:firstLineChars="400"/>
        <w:rPr>
          <w:rFonts w:hint="eastAsia" w:ascii="宋体" w:hAnsi="宋体"/>
          <w:lang w:eastAsia="zh-CN"/>
        </w:rPr>
      </w:pPr>
      <w:r>
        <w:rPr>
          <w:rFonts w:hint="eastAsia" w:ascii="宋体" w:hAnsi="宋体"/>
          <w:lang w:eastAsia="zh-CN"/>
        </w:rPr>
        <w:t>第六章投标文件格式要求</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请仔细检查招标文件是否齐全，如有缺漏，请立即与招标人联系解决。</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6.2投标人必须详阅招标文件的所有条款、文件及表格格式。投标人若未按招标文件的要求和规范编制、提交招标文件，将有可能导致招标文件被拒绝接受，所造成的负面后果由投标人负责。</w:t>
      </w:r>
    </w:p>
    <w:p>
      <w:pPr>
        <w:shd w:val="clear" w:color="auto" w:fill="FFFFFF"/>
        <w:spacing w:line="500" w:lineRule="exact"/>
        <w:rPr>
          <w:rFonts w:hint="eastAsia" w:ascii="宋体" w:hAnsi="宋体"/>
          <w:lang w:eastAsia="zh-CN"/>
        </w:rPr>
      </w:pPr>
      <w:r>
        <w:rPr>
          <w:rFonts w:hint="eastAsia" w:ascii="宋体" w:hAnsi="宋体"/>
          <w:lang w:val="en-US" w:eastAsia="zh-CN"/>
        </w:rPr>
        <w:t xml:space="preserve">  </w:t>
      </w:r>
      <w:r>
        <w:rPr>
          <w:rFonts w:hint="eastAsia" w:ascii="宋体" w:hAnsi="宋体"/>
          <w:lang w:eastAsia="zh-CN"/>
        </w:rPr>
        <w:t>7．招标文件的澄清</w:t>
      </w:r>
    </w:p>
    <w:p>
      <w:pPr>
        <w:shd w:val="clear" w:color="auto" w:fill="FFFFFF"/>
        <w:spacing w:line="500" w:lineRule="exact"/>
        <w:ind w:firstLine="480" w:firstLineChars="200"/>
        <w:rPr>
          <w:rFonts w:ascii="宋体" w:hAnsi="宋体"/>
          <w:lang w:eastAsia="zh-CN"/>
        </w:rPr>
      </w:pPr>
      <w:r>
        <w:rPr>
          <w:rFonts w:hint="eastAsia" w:ascii="宋体" w:hAnsi="宋体"/>
          <w:lang w:eastAsia="zh-CN"/>
        </w:rPr>
        <w:t>投标人在收到招标文件后，若有疑问需要澄清，在</w:t>
      </w:r>
      <w:r>
        <w:rPr>
          <w:rFonts w:hint="eastAsia" w:ascii="宋体" w:hAnsi="宋体"/>
          <w:bCs/>
          <w:lang w:eastAsia="zh-CN"/>
        </w:rPr>
        <w:t>购买招标文件之日起7个工作日</w:t>
      </w:r>
      <w:r>
        <w:rPr>
          <w:rFonts w:hint="eastAsia" w:ascii="宋体" w:hAnsi="宋体"/>
          <w:lang w:eastAsia="zh-CN"/>
        </w:rPr>
        <w:t>内按招标文件中的联系方式，以书面形式向招标人提出质疑。招标人将以书面形式进行答复，同时招标人有权将答复内容分发给所有购买了此招标文件的投标人。</w:t>
      </w:r>
    </w:p>
    <w:p>
      <w:pPr>
        <w:shd w:val="clear" w:color="auto" w:fill="FFFFFF"/>
        <w:spacing w:line="500" w:lineRule="exact"/>
        <w:rPr>
          <w:rFonts w:hint="eastAsia" w:ascii="宋体" w:hAnsi="宋体"/>
          <w:b/>
          <w:sz w:val="28"/>
          <w:szCs w:val="28"/>
          <w:lang w:eastAsia="zh-CN"/>
        </w:rPr>
      </w:pPr>
      <w:r>
        <w:rPr>
          <w:rFonts w:hint="eastAsia" w:ascii="宋体" w:hAnsi="宋体"/>
          <w:b/>
          <w:sz w:val="28"/>
          <w:szCs w:val="28"/>
          <w:lang w:eastAsia="zh-CN"/>
        </w:rPr>
        <w:t>三、投标文件</w:t>
      </w:r>
    </w:p>
    <w:p>
      <w:pPr>
        <w:shd w:val="clear" w:color="auto" w:fill="FFFFFF"/>
        <w:spacing w:line="500" w:lineRule="exact"/>
        <w:rPr>
          <w:rFonts w:hint="eastAsia" w:ascii="宋体" w:hAnsi="宋体"/>
          <w:lang w:eastAsia="zh-CN"/>
        </w:rPr>
      </w:pPr>
      <w:r>
        <w:rPr>
          <w:rFonts w:hint="eastAsia" w:ascii="宋体" w:hAnsi="宋体"/>
          <w:lang w:eastAsia="zh-CN"/>
        </w:rPr>
        <w:t>8．投标文件的组成</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8.1投标文件应按“第六章投标文件格式要求”要求编制。</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8.2若投标人未按招标文件的要求提供资料，或未对招标文件做出实质性响应，将可能导致投标文件被视为无效。</w:t>
      </w:r>
    </w:p>
    <w:p>
      <w:pPr>
        <w:shd w:val="clear" w:color="auto" w:fill="FFFFFF"/>
        <w:spacing w:line="500" w:lineRule="exact"/>
        <w:rPr>
          <w:rFonts w:hint="eastAsia" w:ascii="宋体" w:hAnsi="宋体"/>
          <w:lang w:eastAsia="zh-CN"/>
        </w:rPr>
      </w:pPr>
      <w:r>
        <w:rPr>
          <w:rFonts w:hint="eastAsia" w:ascii="宋体" w:hAnsi="宋体"/>
          <w:lang w:eastAsia="zh-CN"/>
        </w:rPr>
        <w:t>9．投标报价</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9.1报价均须以人民币为计算单位。</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9.2报价应包括全部货物、服务的价格及相关税费、运输到指定地点的装运费用（如有）、安装调试（如有）、培训（如有）、售后服务等其它有关的所有费用。</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9.3投标人应按开标一览表的要求报价，不能提供有选择的报价。</w:t>
      </w:r>
    </w:p>
    <w:p>
      <w:pPr>
        <w:shd w:val="clear" w:color="auto" w:fill="FFFFFF"/>
        <w:spacing w:line="500" w:lineRule="exact"/>
        <w:ind w:firstLine="480" w:firstLineChars="200"/>
        <w:rPr>
          <w:rFonts w:ascii="宋体" w:hAnsi="宋体"/>
          <w:lang w:eastAsia="zh-CN"/>
        </w:rPr>
      </w:pPr>
      <w:r>
        <w:rPr>
          <w:rFonts w:hint="eastAsia" w:ascii="宋体" w:hAnsi="宋体"/>
          <w:lang w:eastAsia="zh-CN"/>
        </w:rPr>
        <w:t>9.4中标候选人的报价如超过预算且采购人不能支付的，采购人有权拒绝而递选下一个顺位的候选人。</w:t>
      </w:r>
    </w:p>
    <w:p>
      <w:pPr>
        <w:shd w:val="clear" w:color="auto" w:fill="FFFFFF"/>
        <w:spacing w:line="500" w:lineRule="exact"/>
        <w:rPr>
          <w:rFonts w:hint="eastAsia" w:ascii="宋体" w:hAnsi="宋体"/>
          <w:lang w:eastAsia="zh-CN"/>
        </w:rPr>
      </w:pPr>
      <w:r>
        <w:rPr>
          <w:rFonts w:hint="eastAsia" w:ascii="宋体" w:hAnsi="宋体"/>
          <w:lang w:eastAsia="zh-CN"/>
        </w:rPr>
        <w:t>10．投标保证金（本项目不作要求）</w:t>
      </w:r>
    </w:p>
    <w:p>
      <w:pPr>
        <w:shd w:val="clear" w:color="auto" w:fill="FFFFFF"/>
        <w:spacing w:line="500" w:lineRule="exact"/>
        <w:rPr>
          <w:rFonts w:hint="eastAsia" w:ascii="宋体" w:hAnsi="宋体"/>
          <w:lang w:eastAsia="zh-CN"/>
        </w:rPr>
      </w:pPr>
      <w:r>
        <w:rPr>
          <w:rFonts w:hint="eastAsia" w:ascii="宋体" w:hAnsi="宋体"/>
          <w:lang w:eastAsia="zh-CN"/>
        </w:rPr>
        <w:t>11．投标有效期</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11.l投标有效期为从开标截止之日起计算的</w:t>
      </w:r>
      <w:r>
        <w:rPr>
          <w:rFonts w:hint="eastAsia" w:ascii="宋体" w:hAnsi="宋体"/>
          <w:u w:val="single"/>
          <w:lang w:eastAsia="zh-CN"/>
        </w:rPr>
        <w:t>60</w:t>
      </w:r>
      <w:r>
        <w:rPr>
          <w:rFonts w:hint="eastAsia" w:ascii="宋体" w:hAnsi="宋体"/>
          <w:lang w:eastAsia="zh-CN"/>
        </w:rPr>
        <w:t>天，有效期短于此规定的投标文件将被视为无效。</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11.2在特殊情况下，招标人可于投标有效期满之前，征得投标人同意延长投标有效期，要求与答复均应以书面形式进行。投标人可以拒绝接受这一要求而放弃投标，投标保证金将尽快无息退还。同意这一要求的投标人，无需也不允许修改其投标文件，但须相应延长投标</w:t>
      </w:r>
      <w:bookmarkStart w:id="29" w:name="_GoBack"/>
      <w:r>
        <w:rPr>
          <w:rFonts w:hint="eastAsia" w:ascii="宋体" w:hAnsi="宋体"/>
          <w:lang w:eastAsia="zh-CN"/>
        </w:rPr>
        <w:t>保证金</w:t>
      </w:r>
      <w:bookmarkEnd w:id="29"/>
      <w:r>
        <w:rPr>
          <w:rFonts w:hint="eastAsia" w:ascii="宋体" w:hAnsi="宋体"/>
          <w:lang w:eastAsia="zh-CN"/>
        </w:rPr>
        <w:t>的有效期。受投标有效期制约的所有权利和义务均应延长至新的有效期。</w:t>
      </w:r>
    </w:p>
    <w:p>
      <w:pPr>
        <w:shd w:val="clear" w:color="auto" w:fill="FFFFFF"/>
        <w:spacing w:line="500" w:lineRule="exact"/>
        <w:rPr>
          <w:rFonts w:hint="eastAsia" w:ascii="宋体" w:hAnsi="宋体"/>
          <w:lang w:eastAsia="zh-CN"/>
        </w:rPr>
      </w:pPr>
      <w:r>
        <w:rPr>
          <w:rFonts w:hint="eastAsia" w:ascii="宋体" w:hAnsi="宋体"/>
          <w:lang w:eastAsia="zh-CN"/>
        </w:rPr>
        <w:t>12．</w:t>
      </w:r>
      <w:r>
        <w:rPr>
          <w:rFonts w:hint="eastAsia" w:ascii="宋体" w:hAnsi="宋体"/>
          <w:lang w:val="en-US" w:eastAsia="zh-CN"/>
        </w:rPr>
        <w:t>投标文件的印制和签署</w:t>
      </w:r>
    </w:p>
    <w:p>
      <w:pPr>
        <w:shd w:val="clear" w:color="auto" w:fill="FFFFFF"/>
        <w:spacing w:line="500" w:lineRule="exact"/>
        <w:rPr>
          <w:rFonts w:hint="eastAsia" w:ascii="宋体" w:hAnsi="宋体"/>
          <w:b w:val="0"/>
          <w:bCs/>
          <w:sz w:val="24"/>
          <w:szCs w:val="24"/>
          <w:lang w:val="en-US" w:eastAsia="zh-CN"/>
        </w:rPr>
      </w:pPr>
      <w:r>
        <w:rPr>
          <w:rFonts w:hint="eastAsia" w:ascii="宋体" w:hAnsi="宋体"/>
          <w:b w:val="0"/>
          <w:bCs/>
          <w:sz w:val="24"/>
          <w:szCs w:val="24"/>
          <w:lang w:val="en-US" w:eastAsia="zh-CN"/>
        </w:rPr>
        <w:t xml:space="preserve">     投标文件的正本（一本）副本（四本）应打印件（除证件、资料和签字及另有规定之外）；投标文件在投标人名称填写处应填写单位全称和盖章；投标人法定代表人或其授权代表在需要签名处签其字或盖其章；电子文档{PDF（投标文件签字盖章后扫描）及Word文本}采用U盘制作；投标文件应按照招标文件规定要求密封递交；投标文件的编制应符合采购文件规定的内容、式样、顺序要求；投标文件须盖法人骑缝章。未按照采购文件规定的内容、式样、顺序要求编制和密封、签署、盖章的投标文件在评审检查时按照无效投标处理。</w:t>
      </w:r>
    </w:p>
    <w:p>
      <w:pPr>
        <w:numPr>
          <w:ilvl w:val="0"/>
          <w:numId w:val="10"/>
        </w:numPr>
        <w:shd w:val="clear" w:color="auto" w:fill="FFFFFF"/>
        <w:spacing w:line="500" w:lineRule="exact"/>
        <w:rPr>
          <w:rFonts w:hint="eastAsia" w:ascii="宋体" w:hAnsi="宋体"/>
          <w:b/>
          <w:sz w:val="28"/>
          <w:szCs w:val="28"/>
          <w:lang w:val="en-US" w:eastAsia="zh-CN"/>
        </w:rPr>
      </w:pPr>
      <w:r>
        <w:rPr>
          <w:rFonts w:hint="eastAsia" w:ascii="宋体" w:hAnsi="宋体"/>
          <w:b/>
          <w:sz w:val="28"/>
          <w:szCs w:val="28"/>
          <w:lang w:val="en-US" w:eastAsia="zh-CN"/>
        </w:rPr>
        <w:t>投标文件的密封和标注</w:t>
      </w:r>
    </w:p>
    <w:p>
      <w:pPr>
        <w:widowControl w:val="0"/>
        <w:shd w:val="clear" w:color="auto" w:fill="FFFFFF"/>
        <w:tabs>
          <w:tab w:val="left" w:pos="1080"/>
        </w:tabs>
        <w:spacing w:before="0" w:beforeAutospacing="0" w:after="0" w:afterAutospacing="0" w:line="360" w:lineRule="auto"/>
        <w:ind w:left="0" w:right="0"/>
        <w:jc w:val="both"/>
        <w:rPr>
          <w:rFonts w:hint="eastAsia" w:ascii="宋体" w:hAnsi="宋体" w:eastAsia="宋体" w:cs="宋体"/>
          <w:color w:val="000000"/>
          <w:shd w:val="clear" w:color="auto" w:fill="FFFFFF"/>
          <w:lang w:val="en-US"/>
        </w:rPr>
      </w:pPr>
      <w:r>
        <w:rPr>
          <w:rFonts w:hint="eastAsia" w:ascii="宋体" w:hAnsi="宋体" w:eastAsia="宋体" w:cs="宋体"/>
          <w:color w:val="000000"/>
          <w:kern w:val="2"/>
          <w:sz w:val="24"/>
          <w:szCs w:val="24"/>
          <w:shd w:val="clear" w:color="auto" w:fill="FFFFFF"/>
          <w:lang w:val="en-US" w:eastAsia="zh-CN" w:bidi="ar-SA"/>
        </w:rPr>
        <w:t xml:space="preserve">  </w:t>
      </w:r>
      <w:r>
        <w:rPr>
          <w:rFonts w:hint="eastAsia" w:ascii="宋体" w:hAnsi="宋体" w:cs="宋体"/>
          <w:color w:val="000000"/>
          <w:kern w:val="2"/>
          <w:sz w:val="24"/>
          <w:szCs w:val="24"/>
          <w:shd w:val="clear" w:color="auto" w:fill="FFFFFF"/>
          <w:lang w:val="en-US" w:eastAsia="zh-CN" w:bidi="ar-SA"/>
        </w:rPr>
        <w:t>13.</w:t>
      </w:r>
      <w:r>
        <w:rPr>
          <w:rFonts w:hint="eastAsia" w:ascii="宋体" w:hAnsi="宋体" w:eastAsia="宋体" w:cs="宋体"/>
          <w:color w:val="000000"/>
          <w:kern w:val="2"/>
          <w:sz w:val="24"/>
          <w:szCs w:val="24"/>
          <w:shd w:val="clear" w:color="auto" w:fill="FFFFFF"/>
          <w:lang w:val="en-US" w:eastAsia="zh-CN" w:bidi="ar-SA"/>
        </w:rPr>
        <w:t>投标人应在投标文件正本和所有副本的封面上注明项目名称及分包号（如有分包）采购项目编号、投标人名称、地址、联系人、联系电话、日期、法人名称（盖章）和法定代表人签名盖章。</w:t>
      </w:r>
    </w:p>
    <w:p>
      <w:pPr>
        <w:widowControl w:val="0"/>
        <w:tabs>
          <w:tab w:val="left" w:pos="1080"/>
        </w:tabs>
        <w:spacing w:before="0" w:beforeAutospacing="0" w:after="0" w:afterAutospacing="0" w:line="360" w:lineRule="auto"/>
        <w:ind w:left="0" w:right="0" w:firstLine="580" w:firstLineChars="242"/>
        <w:jc w:val="both"/>
        <w:rPr>
          <w:rFonts w:hint="eastAsia" w:ascii="宋体" w:hAnsi="宋体" w:eastAsia="宋体" w:cs="宋体"/>
          <w:color w:val="000000"/>
          <w:sz w:val="24"/>
          <w:szCs w:val="24"/>
          <w:lang w:val="en-US"/>
        </w:rPr>
      </w:pPr>
      <w:r>
        <w:rPr>
          <w:rFonts w:hint="eastAsia" w:ascii="宋体" w:hAnsi="宋体" w:cs="宋体"/>
          <w:color w:val="000000"/>
          <w:kern w:val="2"/>
          <w:sz w:val="24"/>
          <w:szCs w:val="24"/>
          <w:lang w:val="en-US" w:eastAsia="zh-CN" w:bidi="ar-SA"/>
        </w:rPr>
        <w:t>14.</w:t>
      </w:r>
      <w:r>
        <w:rPr>
          <w:rFonts w:hint="eastAsia" w:ascii="宋体" w:hAnsi="宋体" w:eastAsia="宋体" w:cs="宋体"/>
          <w:color w:val="000000"/>
          <w:kern w:val="2"/>
          <w:sz w:val="24"/>
          <w:szCs w:val="24"/>
          <w:lang w:val="en-US" w:eastAsia="zh-CN" w:bidi="ar-SA"/>
        </w:rPr>
        <w:t>投标文件正、副本（均</w:t>
      </w:r>
      <w:r>
        <w:rPr>
          <w:rFonts w:hint="eastAsia" w:ascii="宋体" w:hAnsi="宋体" w:eastAsia="宋体" w:cs="宋体"/>
          <w:color w:val="000000"/>
          <w:kern w:val="2"/>
          <w:sz w:val="24"/>
          <w:szCs w:val="24"/>
          <w:shd w:val="clear" w:color="auto" w:fill="FFFFFF"/>
          <w:lang w:val="en-US" w:eastAsia="zh-CN" w:bidi="ar-SA"/>
        </w:rPr>
        <w:t>须胶装）</w:t>
      </w:r>
      <w:r>
        <w:rPr>
          <w:rFonts w:hint="eastAsia" w:ascii="宋体" w:hAnsi="宋体" w:eastAsia="宋体" w:cs="宋体"/>
          <w:color w:val="000000"/>
          <w:kern w:val="2"/>
          <w:sz w:val="24"/>
          <w:szCs w:val="24"/>
          <w:lang w:val="en-US" w:eastAsia="zh-CN" w:bidi="ar-SA"/>
        </w:rPr>
        <w:t>、开标一览表（含</w:t>
      </w:r>
      <w:r>
        <w:rPr>
          <w:rFonts w:hint="eastAsia" w:ascii="宋体" w:hAnsi="宋体" w:eastAsia="宋体" w:cs="宋体"/>
          <w:color w:val="000000"/>
          <w:kern w:val="2"/>
          <w:sz w:val="24"/>
          <w:szCs w:val="24"/>
          <w:shd w:val="clear" w:color="auto" w:fill="FFFFFF"/>
          <w:lang w:val="en-US" w:eastAsia="zh-CN" w:bidi="ar-SA"/>
        </w:rPr>
        <w:t>法定代表人或其授权代表身份证复印件、</w:t>
      </w:r>
      <w:r>
        <w:rPr>
          <w:rFonts w:hint="eastAsia" w:ascii="宋体" w:hAnsi="宋体" w:eastAsia="宋体" w:cs="宋体"/>
          <w:color w:val="000000"/>
          <w:kern w:val="2"/>
          <w:sz w:val="24"/>
          <w:szCs w:val="24"/>
          <w:lang w:val="en-US" w:eastAsia="zh-CN" w:bidi="ar-SA"/>
        </w:rPr>
        <w:t>法定代表人授权委托书）、电子文档应分别封装于四个密封袋内。</w:t>
      </w:r>
    </w:p>
    <w:p>
      <w:pPr>
        <w:widowControl w:val="0"/>
        <w:tabs>
          <w:tab w:val="left" w:pos="1080"/>
        </w:tabs>
        <w:spacing w:before="0" w:beforeAutospacing="0" w:after="0" w:afterAutospacing="0" w:line="360" w:lineRule="auto"/>
        <w:ind w:left="0" w:right="0"/>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SA"/>
        </w:rPr>
        <w:t xml:space="preserve">    </w:t>
      </w:r>
      <w:r>
        <w:rPr>
          <w:rFonts w:hint="eastAsia" w:ascii="宋体" w:hAnsi="宋体" w:cs="宋体"/>
          <w:color w:val="000000"/>
          <w:kern w:val="2"/>
          <w:sz w:val="24"/>
          <w:szCs w:val="24"/>
          <w:lang w:val="en-US" w:eastAsia="zh-CN" w:bidi="ar-SA"/>
        </w:rPr>
        <w:t>15.</w:t>
      </w:r>
      <w:r>
        <w:rPr>
          <w:rFonts w:hint="eastAsia" w:ascii="宋体" w:hAnsi="宋体" w:eastAsia="宋体" w:cs="宋体"/>
          <w:color w:val="000000"/>
          <w:kern w:val="2"/>
          <w:sz w:val="24"/>
          <w:szCs w:val="24"/>
          <w:lang w:val="en-US" w:eastAsia="zh-CN" w:bidi="ar-SA"/>
        </w:rPr>
        <w:t xml:space="preserve"> 未按以上要求进行密封和标注的投标文件将被拒绝。</w:t>
      </w:r>
    </w:p>
    <w:p>
      <w:pPr>
        <w:pStyle w:val="2"/>
        <w:numPr>
          <w:ilvl w:val="0"/>
          <w:numId w:val="0"/>
        </w:numPr>
        <w:rPr>
          <w:rFonts w:hint="eastAsia"/>
          <w:lang w:eastAsia="zh-CN"/>
        </w:rPr>
      </w:pPr>
    </w:p>
    <w:p>
      <w:pPr>
        <w:shd w:val="clear" w:color="auto" w:fill="FFFFFF"/>
        <w:spacing w:line="500" w:lineRule="exact"/>
        <w:rPr>
          <w:rFonts w:hint="eastAsia" w:ascii="宋体" w:hAnsi="宋体"/>
          <w:b/>
          <w:sz w:val="28"/>
          <w:szCs w:val="28"/>
          <w:lang w:eastAsia="zh-CN"/>
        </w:rPr>
      </w:pPr>
      <w:r>
        <w:rPr>
          <w:rFonts w:hint="eastAsia" w:ascii="宋体" w:hAnsi="宋体"/>
          <w:b/>
          <w:sz w:val="28"/>
          <w:szCs w:val="28"/>
          <w:lang w:eastAsia="zh-CN"/>
        </w:rPr>
        <w:t>五、投标文件的递交</w:t>
      </w:r>
    </w:p>
    <w:p>
      <w:pPr>
        <w:widowControl w:val="0"/>
        <w:tabs>
          <w:tab w:val="left" w:pos="1095"/>
        </w:tabs>
        <w:spacing w:before="0" w:beforeAutospacing="0" w:after="0" w:afterAutospacing="0" w:line="360" w:lineRule="auto"/>
        <w:ind w:left="0" w:right="0" w:firstLine="460" w:firstLineChars="192"/>
        <w:jc w:val="both"/>
        <w:rPr>
          <w:rFonts w:hint="eastAsia" w:ascii="宋体" w:hAnsi="宋体" w:eastAsia="宋体" w:cs="宋体"/>
          <w:color w:val="000000"/>
          <w:sz w:val="24"/>
          <w:szCs w:val="24"/>
          <w:lang w:val="en-US"/>
        </w:rPr>
      </w:pPr>
      <w:r>
        <w:rPr>
          <w:rFonts w:hint="eastAsia" w:ascii="宋体" w:hAnsi="宋体" w:eastAsia="宋体" w:cs="宋体"/>
          <w:color w:val="000000"/>
          <w:kern w:val="2"/>
          <w:sz w:val="24"/>
          <w:szCs w:val="24"/>
          <w:lang w:val="en-US" w:eastAsia="zh-CN" w:bidi="ar-SA"/>
        </w:rPr>
        <w:t>1</w:t>
      </w:r>
      <w:r>
        <w:rPr>
          <w:rFonts w:hint="eastAsia" w:ascii="宋体" w:hAnsi="宋体" w:cs="宋体"/>
          <w:color w:val="000000"/>
          <w:kern w:val="2"/>
          <w:sz w:val="24"/>
          <w:szCs w:val="24"/>
          <w:lang w:val="en-US" w:eastAsia="zh-CN" w:bidi="ar-SA"/>
        </w:rPr>
        <w:t>6.</w:t>
      </w:r>
      <w:r>
        <w:rPr>
          <w:rFonts w:hint="eastAsia" w:ascii="宋体" w:hAnsi="宋体" w:eastAsia="宋体" w:cs="宋体"/>
          <w:color w:val="000000"/>
          <w:kern w:val="2"/>
          <w:sz w:val="24"/>
          <w:szCs w:val="24"/>
          <w:lang w:val="en-US" w:eastAsia="zh-CN" w:bidi="ar-SA"/>
        </w:rPr>
        <w:t xml:space="preserve"> 投标人应在招标文件规定的投标截止时间前，将投标文件按投标须知第18条规定密封后送达开标地点。投标截止时间以后送达的投标文件将被拒绝。</w:t>
      </w:r>
    </w:p>
    <w:p>
      <w:pPr>
        <w:pStyle w:val="46"/>
        <w:widowControl/>
        <w:spacing w:before="0" w:beforeAutospacing="0" w:after="0" w:afterAutospacing="0" w:line="360" w:lineRule="auto"/>
        <w:ind w:left="0" w:right="0" w:firstLine="480" w:firstLineChars="200"/>
        <w:jc w:val="both"/>
        <w:rPr>
          <w:rFonts w:hint="eastAsia" w:ascii="宋体" w:hAnsi="宋体" w:eastAsia="宋体" w:cs="宋体"/>
          <w:color w:val="000000"/>
          <w:sz w:val="24"/>
          <w:szCs w:val="24"/>
          <w:lang w:val="en-US"/>
        </w:rPr>
      </w:pPr>
      <w:r>
        <w:rPr>
          <w:rFonts w:hint="eastAsia" w:cs="宋体"/>
          <w:color w:val="000000"/>
          <w:kern w:val="2"/>
          <w:sz w:val="24"/>
          <w:szCs w:val="24"/>
          <w:lang w:val="en-US" w:eastAsia="zh-CN" w:bidi="ar-SA"/>
        </w:rPr>
        <w:t>17.</w:t>
      </w:r>
      <w:r>
        <w:rPr>
          <w:rFonts w:hint="eastAsia" w:ascii="宋体" w:hAnsi="宋体" w:eastAsia="宋体" w:cs="宋体"/>
          <w:color w:val="000000"/>
          <w:kern w:val="2"/>
          <w:sz w:val="24"/>
          <w:szCs w:val="24"/>
          <w:lang w:val="en-US" w:eastAsia="zh-CN" w:bidi="ar-SA"/>
        </w:rPr>
        <w:t>本次招标不接受邮寄的投标文件。</w:t>
      </w:r>
    </w:p>
    <w:p>
      <w:pPr>
        <w:shd w:val="clear" w:color="auto" w:fill="FFFFFF"/>
        <w:spacing w:line="500" w:lineRule="exact"/>
        <w:rPr>
          <w:rFonts w:hint="eastAsia" w:ascii="宋体" w:hAnsi="宋体"/>
          <w:b/>
          <w:sz w:val="28"/>
          <w:szCs w:val="28"/>
          <w:lang w:eastAsia="zh-CN"/>
        </w:rPr>
      </w:pPr>
      <w:r>
        <w:rPr>
          <w:rFonts w:hint="eastAsia" w:ascii="宋体" w:hAnsi="宋体"/>
          <w:b/>
          <w:sz w:val="28"/>
          <w:szCs w:val="28"/>
          <w:lang w:eastAsia="zh-CN"/>
        </w:rPr>
        <w:t>五、开标及评标</w:t>
      </w:r>
    </w:p>
    <w:p>
      <w:pPr>
        <w:shd w:val="clear" w:color="auto" w:fill="FFFFFF"/>
        <w:spacing w:line="500" w:lineRule="exact"/>
        <w:rPr>
          <w:rFonts w:hint="eastAsia" w:ascii="宋体" w:hAnsi="宋体"/>
          <w:lang w:eastAsia="zh-CN"/>
        </w:rPr>
      </w:pPr>
      <w:r>
        <w:rPr>
          <w:rFonts w:hint="eastAsia" w:ascii="宋体" w:hAnsi="宋体"/>
          <w:lang w:val="en-US" w:eastAsia="zh-CN"/>
        </w:rPr>
        <w:t>18</w:t>
      </w:r>
      <w:r>
        <w:rPr>
          <w:rFonts w:hint="eastAsia" w:ascii="宋体" w:hAnsi="宋体"/>
          <w:lang w:eastAsia="zh-CN"/>
        </w:rPr>
        <w:t>．开标</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1</w:t>
      </w:r>
      <w:r>
        <w:rPr>
          <w:rFonts w:hint="eastAsia" w:ascii="宋体" w:hAnsi="宋体"/>
          <w:lang w:val="en-US" w:eastAsia="zh-CN"/>
        </w:rPr>
        <w:t>8</w:t>
      </w:r>
      <w:r>
        <w:rPr>
          <w:rFonts w:hint="eastAsia" w:ascii="宋体" w:hAnsi="宋体"/>
          <w:lang w:eastAsia="zh-CN"/>
        </w:rPr>
        <w:t>.l招标人按投标文件第一章规定的时间和地点进行开标，采购人代表、招标人有关工作人员参加。投标人应委派授权代表参加开标活动，参加开标的代表须持本人身份证件签名报到以证明其出席。未派授权代表或不能证明其授权代表身份的，招标人对投标文件的处理不承担责任。</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1</w:t>
      </w:r>
      <w:r>
        <w:rPr>
          <w:rFonts w:hint="eastAsia" w:ascii="宋体" w:hAnsi="宋体"/>
          <w:lang w:val="en-US" w:eastAsia="zh-CN"/>
        </w:rPr>
        <w:t>8</w:t>
      </w:r>
      <w:r>
        <w:rPr>
          <w:rFonts w:hint="eastAsia" w:ascii="宋体" w:hAnsi="宋体"/>
          <w:lang w:eastAsia="zh-CN"/>
        </w:rPr>
        <w:t>.2政府采购主管部门、监督部门、国家公证机关公证员由其视情况决定是否派代表到现场进行监督。</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1</w:t>
      </w:r>
      <w:r>
        <w:rPr>
          <w:rFonts w:hint="eastAsia" w:ascii="宋体" w:hAnsi="宋体"/>
          <w:lang w:val="en-US" w:eastAsia="zh-CN"/>
        </w:rPr>
        <w:t>8</w:t>
      </w:r>
      <w:r>
        <w:rPr>
          <w:rFonts w:hint="eastAsia" w:ascii="宋体" w:hAnsi="宋体"/>
          <w:lang w:eastAsia="zh-CN"/>
        </w:rPr>
        <w:t>.3开标时，投标人代表将查验投标文件密封情况，确认无误后拆封唱标，公布每份投标文件中“开标一览表”的内容，以及招标人认为合适的其他内容，招标人将作开标记录。</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1</w:t>
      </w:r>
      <w:r>
        <w:rPr>
          <w:rFonts w:hint="eastAsia" w:ascii="宋体" w:hAnsi="宋体"/>
          <w:lang w:val="en-US" w:eastAsia="zh-CN"/>
        </w:rPr>
        <w:t>8</w:t>
      </w:r>
      <w:r>
        <w:rPr>
          <w:rFonts w:hint="eastAsia" w:ascii="宋体" w:hAnsi="宋体"/>
          <w:lang w:eastAsia="zh-CN"/>
        </w:rPr>
        <w:t>.4若投标文件未密封，招标人将拒绝接受该投标人的投标文件。</w:t>
      </w:r>
    </w:p>
    <w:p>
      <w:pPr>
        <w:shd w:val="clear" w:color="auto" w:fill="FFFFFF"/>
        <w:spacing w:line="500" w:lineRule="exact"/>
        <w:rPr>
          <w:rFonts w:hint="eastAsia" w:ascii="宋体" w:hAnsi="宋体"/>
          <w:lang w:eastAsia="zh-CN"/>
        </w:rPr>
      </w:pPr>
      <w:r>
        <w:rPr>
          <w:rFonts w:hint="eastAsia" w:ascii="宋体" w:hAnsi="宋体"/>
          <w:lang w:eastAsia="zh-CN"/>
        </w:rPr>
        <w:t>1</w:t>
      </w:r>
      <w:r>
        <w:rPr>
          <w:rFonts w:hint="eastAsia" w:ascii="宋体" w:hAnsi="宋体"/>
          <w:lang w:val="en-US" w:eastAsia="zh-CN"/>
        </w:rPr>
        <w:t>9</w:t>
      </w:r>
      <w:r>
        <w:rPr>
          <w:rFonts w:hint="eastAsia" w:ascii="宋体" w:hAnsi="宋体"/>
          <w:lang w:eastAsia="zh-CN"/>
        </w:rPr>
        <w:t>．评标委员会</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评标委员会由从省综合评标专家库中随机抽取相关专家组成，其中，技术、经济等方面的专家不得少于成员总数的2/3。该评标委员会独立工作，负责评审所有投标文件并确定中标侯选人。</w:t>
      </w:r>
    </w:p>
    <w:p>
      <w:pPr>
        <w:shd w:val="clear" w:color="auto" w:fill="FFFFFF"/>
        <w:snapToGrid w:val="0"/>
        <w:spacing w:line="500" w:lineRule="exact"/>
        <w:rPr>
          <w:rFonts w:hint="eastAsia" w:ascii="宋体" w:hAnsi="宋体"/>
          <w:lang w:eastAsia="zh-CN"/>
        </w:rPr>
      </w:pPr>
      <w:r>
        <w:rPr>
          <w:rFonts w:hint="eastAsia" w:ascii="宋体" w:hAnsi="宋体"/>
          <w:lang w:val="en-US" w:eastAsia="zh-CN"/>
        </w:rPr>
        <w:t>20</w:t>
      </w:r>
      <w:r>
        <w:rPr>
          <w:rFonts w:hint="eastAsia" w:ascii="宋体" w:hAnsi="宋体"/>
          <w:lang w:eastAsia="zh-CN"/>
        </w:rPr>
        <w:t>.关于政策性加分</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val="en-US" w:eastAsia="zh-CN"/>
        </w:rPr>
        <w:t>20</w:t>
      </w:r>
      <w:r>
        <w:rPr>
          <w:rFonts w:hint="eastAsia" w:ascii="宋体" w:hAnsi="宋体"/>
          <w:lang w:eastAsia="zh-CN"/>
        </w:rPr>
        <w:t>.1所投分包(如不分包则指本项目)的所有投标产品进入当期节能清单的，其评标价=投标报价*（1-2%）；投标人所投产品满足此规定的，必须提供声明函并提供相关证明文件。</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val="en-US" w:eastAsia="zh-CN"/>
        </w:rPr>
        <w:t>20</w:t>
      </w:r>
      <w:r>
        <w:rPr>
          <w:rFonts w:hint="eastAsia" w:ascii="宋体" w:hAnsi="宋体"/>
          <w:lang w:eastAsia="zh-CN"/>
        </w:rPr>
        <w:t>.2所投分包(如不分包则指本项目)的所有投标产品进入当期环保清单的，其评标价=投标报价*（1-1%）；投标人所投产品满足此规定的，必须提供声明函并提供相关证明文件。</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val="en-US" w:eastAsia="zh-CN"/>
        </w:rPr>
        <w:t>20</w:t>
      </w:r>
      <w:r>
        <w:rPr>
          <w:rFonts w:hint="eastAsia" w:ascii="宋体" w:hAnsi="宋体"/>
          <w:lang w:eastAsia="zh-CN"/>
        </w:rPr>
        <w:t>.3投标人为小型和微型企业的情况：</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val="en-US" w:eastAsia="zh-CN"/>
        </w:rPr>
        <w:t>20</w:t>
      </w:r>
      <w:r>
        <w:rPr>
          <w:rFonts w:hint="eastAsia" w:ascii="宋体" w:hAnsi="宋体"/>
          <w:lang w:eastAsia="zh-CN"/>
        </w:rPr>
        <w:t>.3.1中小企业的认定标准：</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1）提供本企业制造的货物、承担的工程或者服务，或者提供其他中小企业制造的货物，不包括提供或使用大型企业注册商标的货物；</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2）本规定所称中小企业划分标准，是指国务院有关部门根据企业从业人员、营业收入、资产总额等指标制定的中小企业划型标准（工信部联企业〔2011〕300号）；</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3）小型、微型企业提供有中型企业制造的货物的，视同为中型企业；小型、微型、中型企业提供有大型企业制造的货物的，视同为大型企业。</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val="en-US" w:eastAsia="zh-CN"/>
        </w:rPr>
        <w:t>20</w:t>
      </w:r>
      <w:r>
        <w:rPr>
          <w:rFonts w:hint="eastAsia" w:ascii="宋体" w:hAnsi="宋体"/>
          <w:lang w:eastAsia="zh-CN"/>
        </w:rPr>
        <w:t>.3.2具体评审价说明：</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1）投标人为小型或微型企业，其评审价=投标报价*（1-10%）；</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val="en-US" w:eastAsia="zh-CN"/>
        </w:rPr>
        <w:t>20</w:t>
      </w:r>
      <w:r>
        <w:rPr>
          <w:rFonts w:hint="eastAsia" w:ascii="宋体" w:hAnsi="宋体"/>
          <w:lang w:eastAsia="zh-CN"/>
        </w:rPr>
        <w:t>.3.3投标人为工信部联企业〔2011〕300号文规定的小型和微型企业的，必须如实填写“中小企业声明函”（内容、格式见财库〔2020〕46号），否则无效。如有虚假骗取政策性加分，将依法承担相应责任。</w:t>
      </w:r>
    </w:p>
    <w:p>
      <w:pPr>
        <w:spacing w:line="500" w:lineRule="exact"/>
        <w:ind w:firstLine="480" w:firstLineChars="200"/>
        <w:rPr>
          <w:rFonts w:hint="eastAsia" w:ascii="宋体" w:hAnsi="宋体"/>
          <w:lang w:eastAsia="zh-CN"/>
        </w:rPr>
      </w:pPr>
      <w:r>
        <w:rPr>
          <w:rFonts w:hint="eastAsia" w:ascii="宋体" w:hAnsi="宋体"/>
          <w:lang w:val="en-US" w:eastAsia="zh-CN"/>
        </w:rPr>
        <w:t>20</w:t>
      </w:r>
      <w:r>
        <w:rPr>
          <w:rFonts w:hint="eastAsia" w:ascii="宋体" w:hAnsi="宋体"/>
          <w:lang w:eastAsia="zh-CN"/>
        </w:rPr>
        <w:t>.4投标人为</w:t>
      </w:r>
      <w:r>
        <w:rPr>
          <w:rFonts w:hint="eastAsia" w:ascii="宋体" w:hAnsi="宋体" w:cs="宋体"/>
          <w:bCs/>
          <w:lang w:eastAsia="zh-CN"/>
        </w:rPr>
        <w:t>财政部民政部中国残疾人联合会下发《关于促进残疾人就业政府采购政策的通知》（财库</w:t>
      </w:r>
      <w:r>
        <w:rPr>
          <w:rFonts w:hint="eastAsia" w:ascii="宋体" w:hAnsi="宋体"/>
          <w:lang w:eastAsia="zh-CN"/>
        </w:rPr>
        <w:t>〔</w:t>
      </w:r>
      <w:r>
        <w:rPr>
          <w:rFonts w:hint="eastAsia" w:ascii="宋体" w:hAnsi="宋体" w:cs="宋体"/>
          <w:bCs/>
          <w:lang w:eastAsia="zh-CN"/>
        </w:rPr>
        <w:t>2017</w:t>
      </w:r>
      <w:r>
        <w:rPr>
          <w:rFonts w:hint="eastAsia" w:ascii="宋体" w:hAnsi="宋体"/>
          <w:lang w:eastAsia="zh-CN"/>
        </w:rPr>
        <w:t>〕</w:t>
      </w:r>
      <w:r>
        <w:rPr>
          <w:rFonts w:hint="eastAsia" w:ascii="宋体" w:hAnsi="宋体" w:cs="宋体"/>
          <w:bCs/>
          <w:lang w:eastAsia="zh-CN"/>
        </w:rPr>
        <w:t>141号）文规定的</w:t>
      </w:r>
      <w:r>
        <w:rPr>
          <w:rFonts w:hint="eastAsia" w:ascii="宋体" w:hAnsi="宋体" w:cs="宋体"/>
          <w:lang w:eastAsia="zh-CN"/>
        </w:rPr>
        <w:t>残疾人福利性单位视同小型、微型企业在评审中价格扣除等的政府采购政策</w:t>
      </w:r>
      <w:r>
        <w:rPr>
          <w:rFonts w:hint="eastAsia" w:ascii="宋体" w:hAnsi="宋体"/>
          <w:lang w:eastAsia="zh-CN"/>
        </w:rPr>
        <w:t>。</w:t>
      </w:r>
    </w:p>
    <w:p>
      <w:pPr>
        <w:spacing w:line="500" w:lineRule="exact"/>
        <w:ind w:firstLine="480" w:firstLineChars="200"/>
        <w:rPr>
          <w:rFonts w:hint="eastAsia" w:ascii="宋体" w:hAnsi="宋体" w:cs="宋体"/>
          <w:bCs/>
          <w:lang w:eastAsia="zh-CN"/>
        </w:rPr>
      </w:pPr>
      <w:r>
        <w:rPr>
          <w:rFonts w:hint="eastAsia" w:ascii="宋体" w:hAnsi="宋体" w:cs="宋体"/>
          <w:bCs/>
          <w:lang w:val="en-US" w:eastAsia="zh-CN"/>
        </w:rPr>
        <w:t>20</w:t>
      </w:r>
      <w:r>
        <w:rPr>
          <w:rFonts w:hint="eastAsia" w:ascii="宋体" w:hAnsi="宋体" w:cs="宋体"/>
          <w:bCs/>
          <w:lang w:eastAsia="zh-CN"/>
        </w:rPr>
        <w:t>.5投标人为财政部、司法部联合下发的《关于政府采购支持监狱企业发展有关问题的通知》（财库</w:t>
      </w:r>
      <w:r>
        <w:rPr>
          <w:rFonts w:hint="eastAsia" w:ascii="宋体" w:hAnsi="宋体"/>
          <w:lang w:eastAsia="zh-CN"/>
        </w:rPr>
        <w:t>〔</w:t>
      </w:r>
      <w:r>
        <w:rPr>
          <w:rFonts w:hint="eastAsia" w:ascii="宋体" w:hAnsi="宋体" w:cs="宋体"/>
          <w:bCs/>
          <w:lang w:eastAsia="zh-CN"/>
        </w:rPr>
        <w:t>2014</w:t>
      </w:r>
      <w:r>
        <w:rPr>
          <w:rFonts w:hint="eastAsia" w:ascii="宋体" w:hAnsi="宋体"/>
          <w:lang w:eastAsia="zh-CN"/>
        </w:rPr>
        <w:t>〕</w:t>
      </w:r>
      <w:r>
        <w:rPr>
          <w:rFonts w:hint="eastAsia" w:ascii="宋体" w:hAnsi="宋体" w:cs="宋体"/>
          <w:bCs/>
          <w:lang w:eastAsia="zh-CN"/>
        </w:rPr>
        <w:t>68号）文规定的监狱企业视同小型、微型企业在评审中价格扣除等的政府采购政策。</w:t>
      </w:r>
    </w:p>
    <w:p>
      <w:pPr>
        <w:spacing w:line="500" w:lineRule="exact"/>
        <w:ind w:firstLine="480" w:firstLineChars="200"/>
        <w:rPr>
          <w:rFonts w:hint="eastAsia" w:ascii="宋体" w:hAnsi="宋体" w:cs="宋体"/>
          <w:bCs/>
          <w:lang w:eastAsia="zh-CN"/>
        </w:rPr>
      </w:pPr>
      <w:r>
        <w:rPr>
          <w:rFonts w:hint="eastAsia" w:ascii="宋体" w:hAnsi="宋体" w:cs="宋体"/>
          <w:bCs/>
          <w:lang w:val="en-US" w:eastAsia="zh-CN"/>
        </w:rPr>
        <w:t>20</w:t>
      </w:r>
      <w:r>
        <w:rPr>
          <w:rFonts w:hint="eastAsia" w:ascii="宋体" w:hAnsi="宋体" w:cs="宋体"/>
          <w:bCs/>
          <w:lang w:eastAsia="zh-CN"/>
        </w:rPr>
        <w:t>.6</w:t>
      </w:r>
      <w:r>
        <w:rPr>
          <w:rFonts w:hint="eastAsia"/>
          <w:lang w:eastAsia="zh-CN"/>
        </w:rPr>
        <w:t>本项目采购标的对应的中小企业划分标准所属行业：</w:t>
      </w:r>
      <w:r>
        <w:rPr>
          <w:lang w:eastAsia="zh-CN"/>
        </w:rPr>
        <w:t>租赁和商务服务业</w:t>
      </w:r>
      <w:r>
        <w:rPr>
          <w:rFonts w:hint="eastAsia"/>
          <w:lang w:eastAsia="zh-CN"/>
        </w:rPr>
        <w:t>。</w:t>
      </w:r>
    </w:p>
    <w:p>
      <w:pPr>
        <w:spacing w:line="500" w:lineRule="exact"/>
        <w:rPr>
          <w:rFonts w:hint="eastAsia" w:ascii="宋体" w:hAnsi="宋体" w:cs="宋体"/>
          <w:bCs/>
          <w:lang w:eastAsia="zh-CN"/>
        </w:rPr>
      </w:pPr>
      <w:r>
        <w:rPr>
          <w:rFonts w:hint="eastAsia" w:ascii="宋体" w:hAnsi="宋体" w:cs="宋体"/>
          <w:bCs/>
          <w:lang w:val="en-US" w:eastAsia="zh-CN"/>
        </w:rPr>
        <w:t>21</w:t>
      </w:r>
      <w:r>
        <w:rPr>
          <w:rFonts w:hint="eastAsia" w:ascii="宋体" w:hAnsi="宋体" w:cs="宋体"/>
          <w:bCs/>
          <w:lang w:eastAsia="zh-CN"/>
        </w:rPr>
        <w:t>.评标</w:t>
      </w:r>
    </w:p>
    <w:p>
      <w:pPr>
        <w:spacing w:line="500" w:lineRule="exact"/>
        <w:ind w:firstLine="480" w:firstLineChars="200"/>
        <w:rPr>
          <w:rFonts w:hint="eastAsia" w:ascii="宋体" w:hAnsi="宋体" w:cs="宋体"/>
          <w:bCs/>
          <w:lang w:eastAsia="zh-CN"/>
        </w:rPr>
      </w:pPr>
      <w:r>
        <w:rPr>
          <w:rFonts w:hint="eastAsia" w:ascii="宋体" w:hAnsi="宋体" w:cs="宋体"/>
          <w:bCs/>
          <w:lang w:eastAsia="zh-CN"/>
        </w:rPr>
        <w:t>见“第四章评标办法及标准”。</w:t>
      </w:r>
    </w:p>
    <w:p>
      <w:pPr>
        <w:shd w:val="clear" w:color="auto" w:fill="FFFFFF"/>
        <w:spacing w:line="360" w:lineRule="auto"/>
        <w:rPr>
          <w:rFonts w:hint="eastAsia" w:ascii="宋体" w:hAnsi="宋体"/>
          <w:b/>
          <w:sz w:val="28"/>
          <w:szCs w:val="28"/>
          <w:lang w:eastAsia="zh-CN"/>
        </w:rPr>
      </w:pPr>
    </w:p>
    <w:p>
      <w:pPr>
        <w:shd w:val="clear" w:color="auto" w:fill="FFFFFF"/>
        <w:spacing w:line="360" w:lineRule="auto"/>
        <w:rPr>
          <w:rFonts w:hint="eastAsia" w:ascii="宋体" w:hAnsi="宋体"/>
          <w:b/>
          <w:sz w:val="28"/>
          <w:szCs w:val="28"/>
          <w:lang w:eastAsia="zh-CN"/>
        </w:rPr>
      </w:pPr>
      <w:r>
        <w:rPr>
          <w:rFonts w:hint="eastAsia" w:ascii="宋体" w:hAnsi="宋体"/>
          <w:b/>
          <w:sz w:val="28"/>
          <w:szCs w:val="28"/>
          <w:lang w:eastAsia="zh-CN"/>
        </w:rPr>
        <w:t>六、授标及签约</w:t>
      </w:r>
    </w:p>
    <w:p>
      <w:pPr>
        <w:shd w:val="clear" w:color="auto" w:fill="FFFFFF"/>
        <w:spacing w:line="360" w:lineRule="auto"/>
        <w:rPr>
          <w:rFonts w:hint="eastAsia" w:ascii="宋体" w:hAnsi="宋体"/>
          <w:lang w:eastAsia="zh-CN"/>
        </w:rPr>
      </w:pPr>
      <w:r>
        <w:rPr>
          <w:rFonts w:hint="eastAsia" w:ascii="宋体" w:hAnsi="宋体"/>
          <w:lang w:val="en-US" w:eastAsia="zh-CN"/>
        </w:rPr>
        <w:t>22</w:t>
      </w:r>
      <w:r>
        <w:rPr>
          <w:rFonts w:hint="eastAsia" w:ascii="宋体" w:hAnsi="宋体"/>
          <w:lang w:eastAsia="zh-CN"/>
        </w:rPr>
        <w:t>．定标原则</w:t>
      </w:r>
    </w:p>
    <w:p>
      <w:pPr>
        <w:shd w:val="clear" w:color="000000" w:fill="auto"/>
        <w:spacing w:line="440" w:lineRule="exact"/>
        <w:ind w:firstLine="480" w:firstLineChars="200"/>
        <w:jc w:val="left"/>
        <w:rPr>
          <w:rFonts w:hint="eastAsia" w:ascii="宋体" w:hAnsi="宋体"/>
          <w:color w:val="auto"/>
          <w:highlight w:val="none"/>
          <w:lang w:eastAsia="zh-CN"/>
        </w:rPr>
      </w:pPr>
      <w:r>
        <w:rPr>
          <w:rFonts w:hint="eastAsia" w:ascii="宋体" w:hAnsi="宋体"/>
          <w:lang w:val="en-US" w:eastAsia="zh-CN"/>
        </w:rPr>
        <w:t>22</w:t>
      </w:r>
      <w:r>
        <w:rPr>
          <w:rFonts w:hint="eastAsia" w:ascii="宋体" w:hAnsi="宋体"/>
          <w:lang w:eastAsia="zh-CN"/>
        </w:rPr>
        <w:t>.1评标委员会将严格按照投标文件的要求和条件进行评标,根据评标办法推荐出</w:t>
      </w:r>
      <w:r>
        <w:rPr>
          <w:rFonts w:hint="eastAsia" w:ascii="宋体" w:hAnsi="宋体"/>
          <w:lang w:val="en-US" w:eastAsia="zh-CN"/>
        </w:rPr>
        <w:t>四家</w:t>
      </w:r>
      <w:r>
        <w:rPr>
          <w:rFonts w:hint="eastAsia" w:ascii="宋体" w:hAnsi="宋体"/>
          <w:lang w:eastAsia="zh-CN"/>
        </w:rPr>
        <w:t>为中标候选人，</w:t>
      </w:r>
      <w:r>
        <w:rPr>
          <w:rFonts w:hint="eastAsia" w:ascii="宋体" w:hAnsi="宋体"/>
          <w:color w:val="auto"/>
          <w:highlight w:val="none"/>
          <w:lang w:eastAsia="zh-CN"/>
        </w:rPr>
        <w:t>其中排名第一的投标人为第一中标候选人， 以此类推。采购人将分别向第一中标候选人授予按照区域划分的</w:t>
      </w:r>
      <w:r>
        <w:rPr>
          <w:rFonts w:hint="eastAsia" w:ascii="宋体" w:hAnsi="宋体"/>
          <w:color w:val="auto"/>
          <w:highlight w:val="none"/>
          <w:lang w:val="en-US" w:eastAsia="zh-CN"/>
        </w:rPr>
        <w:t>40%左右份额</w:t>
      </w:r>
      <w:r>
        <w:rPr>
          <w:rFonts w:hint="eastAsia" w:ascii="宋体" w:hAnsi="宋体"/>
          <w:color w:val="auto"/>
          <w:highlight w:val="none"/>
          <w:lang w:eastAsia="zh-CN"/>
        </w:rPr>
        <w:t>合同，向第二中标候选人授予按照区域划分的</w:t>
      </w:r>
      <w:r>
        <w:rPr>
          <w:rFonts w:hint="eastAsia" w:ascii="宋体" w:hAnsi="宋体"/>
          <w:color w:val="auto"/>
          <w:highlight w:val="none"/>
          <w:lang w:val="en-US" w:eastAsia="zh-CN"/>
        </w:rPr>
        <w:t>30%左右份额</w:t>
      </w:r>
      <w:r>
        <w:rPr>
          <w:rFonts w:hint="eastAsia" w:ascii="宋体" w:hAnsi="宋体"/>
          <w:color w:val="auto"/>
          <w:highlight w:val="none"/>
          <w:lang w:eastAsia="zh-CN"/>
        </w:rPr>
        <w:t>合同，向第</w:t>
      </w:r>
      <w:r>
        <w:rPr>
          <w:rFonts w:hint="eastAsia" w:ascii="宋体" w:hAnsi="宋体"/>
          <w:color w:val="auto"/>
          <w:highlight w:val="none"/>
          <w:lang w:val="en-US" w:eastAsia="zh-CN"/>
        </w:rPr>
        <w:t>三</w:t>
      </w:r>
      <w:r>
        <w:rPr>
          <w:rFonts w:hint="eastAsia" w:ascii="宋体" w:hAnsi="宋体"/>
          <w:color w:val="auto"/>
          <w:highlight w:val="none"/>
          <w:lang w:eastAsia="zh-CN"/>
        </w:rPr>
        <w:t>中标候选人授予按照区域划分的</w:t>
      </w:r>
      <w:r>
        <w:rPr>
          <w:rFonts w:hint="eastAsia" w:ascii="宋体" w:hAnsi="宋体"/>
          <w:color w:val="auto"/>
          <w:highlight w:val="none"/>
          <w:lang w:val="en-US" w:eastAsia="zh-CN"/>
        </w:rPr>
        <w:t>20%左右份额</w:t>
      </w:r>
      <w:r>
        <w:rPr>
          <w:rFonts w:hint="eastAsia" w:ascii="宋体" w:hAnsi="宋体"/>
          <w:color w:val="auto"/>
          <w:highlight w:val="none"/>
          <w:lang w:eastAsia="zh-CN"/>
        </w:rPr>
        <w:t>合同，向第四中标候选人授予按照区域划分的</w:t>
      </w:r>
      <w:r>
        <w:rPr>
          <w:rFonts w:hint="eastAsia" w:ascii="宋体" w:hAnsi="宋体"/>
          <w:color w:val="auto"/>
          <w:highlight w:val="none"/>
          <w:lang w:val="en-US" w:eastAsia="zh-CN"/>
        </w:rPr>
        <w:t>10%左右份额</w:t>
      </w:r>
      <w:r>
        <w:rPr>
          <w:rFonts w:hint="eastAsia" w:ascii="宋体" w:hAnsi="宋体"/>
          <w:color w:val="auto"/>
          <w:highlight w:val="none"/>
          <w:lang w:eastAsia="zh-CN"/>
        </w:rPr>
        <w:t>合同。</w:t>
      </w:r>
    </w:p>
    <w:p>
      <w:pPr>
        <w:shd w:val="clear" w:color="000000" w:fill="auto"/>
        <w:spacing w:line="440" w:lineRule="exact"/>
        <w:ind w:firstLine="480" w:firstLineChars="200"/>
        <w:jc w:val="left"/>
        <w:rPr>
          <w:rFonts w:hint="eastAsia" w:ascii="宋体" w:hAnsi="宋体"/>
          <w:color w:val="FF00FF"/>
          <w:highlight w:val="none"/>
          <w:lang w:val="en-US" w:eastAsia="zh-CN"/>
        </w:rPr>
      </w:pPr>
      <w:r>
        <w:rPr>
          <w:rFonts w:hint="eastAsia" w:ascii="宋体" w:hAnsi="宋体"/>
          <w:color w:val="auto"/>
          <w:highlight w:val="none"/>
          <w:lang w:val="en-US" w:eastAsia="zh-CN"/>
        </w:rPr>
        <w:t>如通过资格性和符合性审查的投标人不足4家时，则通过资格性和符合性审查的投标人都将被推荐为中标候选人。</w:t>
      </w:r>
    </w:p>
    <w:p>
      <w:pPr>
        <w:shd w:val="clear" w:color="auto" w:fill="FFFFFF"/>
        <w:spacing w:line="360" w:lineRule="auto"/>
        <w:ind w:firstLine="480" w:firstLineChars="200"/>
        <w:rPr>
          <w:rFonts w:hint="eastAsia" w:ascii="宋体" w:hAnsi="宋体"/>
        </w:rPr>
      </w:pPr>
      <w:r>
        <w:rPr>
          <w:rFonts w:hint="eastAsia" w:ascii="宋体" w:hAnsi="宋体"/>
          <w:lang w:val="en-US" w:eastAsia="zh-CN"/>
        </w:rPr>
        <w:t>22.</w:t>
      </w:r>
      <w:r>
        <w:rPr>
          <w:rFonts w:hint="eastAsia" w:ascii="宋体" w:hAnsi="宋体"/>
        </w:rPr>
        <w:t>2招标人将在指定的网站（海南省人民政府网</w:t>
      </w:r>
      <w:r>
        <w:rPr>
          <w:rFonts w:ascii="宋体" w:hAnsi="宋体"/>
        </w:rPr>
        <w:fldChar w:fldCharType="begin"/>
      </w:r>
      <w:r>
        <w:rPr>
          <w:rFonts w:ascii="宋体" w:hAnsi="宋体"/>
        </w:rPr>
        <w:instrText xml:space="preserve"> HYPERLINK "http://</w:instrText>
      </w:r>
      <w:r>
        <w:rPr>
          <w:rFonts w:hint="eastAsia" w:ascii="宋体" w:hAnsi="宋体"/>
        </w:rPr>
        <w:instrText xml:space="preserve">www.hainan.gov.cn</w:instrText>
      </w:r>
      <w:r>
        <w:rPr>
          <w:rFonts w:ascii="宋体" w:hAnsi="宋体"/>
        </w:rPr>
        <w:instrText xml:space="preserve">" </w:instrText>
      </w:r>
      <w:r>
        <w:rPr>
          <w:rFonts w:ascii="宋体" w:hAnsi="宋体"/>
        </w:rPr>
        <w:fldChar w:fldCharType="separate"/>
      </w:r>
      <w:r>
        <w:rPr>
          <w:rStyle w:val="59"/>
          <w:rFonts w:hint="eastAsia" w:ascii="宋体" w:hAnsi="宋体"/>
          <w:color w:val="auto"/>
        </w:rPr>
        <w:t>www.hainan.gov.cn</w:t>
      </w:r>
      <w:r>
        <w:rPr>
          <w:rFonts w:ascii="宋体" w:hAnsi="宋体"/>
        </w:rPr>
        <w:fldChar w:fldCharType="end"/>
      </w:r>
      <w:r>
        <w:rPr>
          <w:rFonts w:hint="eastAsia" w:ascii="宋体" w:hAnsi="宋体"/>
        </w:rPr>
        <w:t>、海南政府采购网</w:t>
      </w:r>
      <w:r>
        <w:rPr>
          <w:rFonts w:hint="eastAsia" w:ascii="宋体" w:hAnsi="宋体"/>
        </w:rPr>
        <w:fldChar w:fldCharType="begin"/>
      </w:r>
      <w:r>
        <w:rPr>
          <w:rFonts w:hint="eastAsia" w:ascii="宋体" w:hAnsi="宋体"/>
        </w:rPr>
        <w:instrText xml:space="preserve"> HYPERLINK "http://www.ccgp-hainan.gov.cn" </w:instrText>
      </w:r>
      <w:r>
        <w:rPr>
          <w:rFonts w:hint="eastAsia" w:ascii="宋体" w:hAnsi="宋体"/>
        </w:rPr>
        <w:fldChar w:fldCharType="separate"/>
      </w:r>
      <w:r>
        <w:rPr>
          <w:rStyle w:val="59"/>
          <w:rFonts w:hint="eastAsia" w:ascii="宋体" w:hAnsi="宋体"/>
          <w:color w:val="auto"/>
        </w:rPr>
        <w:t>www.ccgp-hainan.gov.cn</w:t>
      </w:r>
      <w:r>
        <w:rPr>
          <w:rFonts w:hint="eastAsia" w:ascii="宋体" w:hAnsi="宋体"/>
        </w:rPr>
        <w:fldChar w:fldCharType="end"/>
      </w:r>
      <w:r>
        <w:rPr>
          <w:rFonts w:ascii="宋体" w:hAnsi="宋体"/>
        </w:rPr>
        <w:t>）</w:t>
      </w:r>
      <w:r>
        <w:rPr>
          <w:rFonts w:hint="eastAsia" w:ascii="宋体" w:hAnsi="宋体"/>
        </w:rPr>
        <w:t>上公示投标结果。</w:t>
      </w:r>
    </w:p>
    <w:p>
      <w:pPr>
        <w:shd w:val="clear" w:color="auto" w:fill="FFFFFF"/>
        <w:spacing w:line="360" w:lineRule="auto"/>
        <w:rPr>
          <w:rFonts w:hint="eastAsia" w:ascii="宋体" w:hAnsi="宋体"/>
          <w:lang w:eastAsia="zh-CN"/>
        </w:rPr>
      </w:pPr>
      <w:r>
        <w:rPr>
          <w:rFonts w:hint="eastAsia" w:ascii="宋体" w:hAnsi="宋体"/>
          <w:lang w:eastAsia="zh-CN"/>
        </w:rPr>
        <w:t>2</w:t>
      </w:r>
      <w:r>
        <w:rPr>
          <w:rFonts w:hint="eastAsia" w:ascii="宋体" w:hAnsi="宋体"/>
          <w:lang w:val="en-US" w:eastAsia="zh-CN"/>
        </w:rPr>
        <w:t>3</w:t>
      </w:r>
      <w:r>
        <w:rPr>
          <w:rFonts w:hint="eastAsia" w:ascii="宋体" w:hAnsi="宋体"/>
          <w:lang w:eastAsia="zh-CN"/>
        </w:rPr>
        <w:t>.质疑处理</w:t>
      </w:r>
    </w:p>
    <w:p>
      <w:pPr>
        <w:pStyle w:val="174"/>
        <w:widowControl/>
        <w:ind w:firstLine="480" w:firstLineChars="200"/>
        <w:rPr>
          <w:rFonts w:hint="eastAsia" w:cs="宋体"/>
          <w:bCs/>
          <w:sz w:val="24"/>
        </w:rPr>
      </w:pPr>
      <w:r>
        <w:rPr>
          <w:rFonts w:hint="eastAsia" w:ascii="宋体" w:cs="宋体"/>
          <w:sz w:val="24"/>
        </w:rPr>
        <w:t>投标人</w:t>
      </w:r>
      <w:r>
        <w:rPr>
          <w:rFonts w:hint="eastAsia" w:cs="宋体"/>
          <w:sz w:val="24"/>
        </w:rPr>
        <w:t>质疑、投诉的接收和处理严格按照《中华人共和国政府采购法》、《中华人共和国政府采购法实施条例》、《</w:t>
      </w:r>
      <w:bookmarkStart w:id="7" w:name="_Toc502823867"/>
      <w:bookmarkStart w:id="8" w:name="_Toc503876464"/>
      <w:r>
        <w:rPr>
          <w:rFonts w:hint="eastAsia" w:cs="宋体"/>
          <w:sz w:val="24"/>
        </w:rPr>
        <w:t>政府采购质疑和投诉办法</w:t>
      </w:r>
      <w:bookmarkEnd w:id="7"/>
      <w:bookmarkEnd w:id="8"/>
      <w:r>
        <w:rPr>
          <w:rFonts w:hint="eastAsia" w:cs="宋体"/>
          <w:sz w:val="24"/>
        </w:rPr>
        <w:t>》、《财政部关于加强政府采购供应商投诉受理审查工作的通知》的规定办理。投标人如认为招标文件、招标过程和中标结果使自己的权益收到损害的，应在知道或应知道其权益受到损害之日起七个工作日内以书面形式向招标人提出质疑，而且必须在法定质疑期内一次性提出针对同一采购程序环节的质疑。匿名、非书面形式、七个工作日之外的质疑均不予受理。</w:t>
      </w:r>
      <w:r>
        <w:rPr>
          <w:rFonts w:hint="eastAsia" w:cs="宋体"/>
          <w:bCs/>
          <w:sz w:val="24"/>
        </w:rPr>
        <w:t>投标人要按照</w:t>
      </w:r>
      <w:r>
        <w:rPr>
          <w:rFonts w:hint="eastAsia" w:hAnsi="Times New Roman" w:cs="宋体"/>
          <w:bCs/>
          <w:sz w:val="24"/>
        </w:rPr>
        <w:t>质疑函范本</w:t>
      </w:r>
      <w:r>
        <w:rPr>
          <w:rFonts w:hint="eastAsia" w:cs="宋体"/>
          <w:bCs/>
          <w:sz w:val="24"/>
        </w:rPr>
        <w:t>以书面形式向采购人或采购代理机构提出质疑。</w:t>
      </w:r>
    </w:p>
    <w:p>
      <w:pPr>
        <w:pStyle w:val="174"/>
        <w:widowControl/>
        <w:ind w:firstLine="360" w:firstLineChars="150"/>
        <w:rPr>
          <w:rFonts w:hint="eastAsia" w:cs="宋体"/>
          <w:bCs/>
          <w:sz w:val="24"/>
        </w:rPr>
      </w:pPr>
    </w:p>
    <w:p>
      <w:pPr>
        <w:pStyle w:val="174"/>
        <w:widowControl/>
        <w:ind w:firstLine="663" w:firstLineChars="236"/>
        <w:jc w:val="center"/>
        <w:rPr>
          <w:rFonts w:hAnsi="Times New Roman" w:cs="宋体"/>
          <w:b/>
          <w:sz w:val="28"/>
          <w:szCs w:val="28"/>
        </w:rPr>
      </w:pPr>
      <w:r>
        <w:rPr>
          <w:rFonts w:hint="eastAsia" w:hAnsi="Times New Roman" w:cs="宋体"/>
          <w:b/>
          <w:sz w:val="28"/>
          <w:szCs w:val="28"/>
        </w:rPr>
        <w:t>质疑函范本</w:t>
      </w:r>
    </w:p>
    <w:p>
      <w:pPr>
        <w:pStyle w:val="174"/>
        <w:widowControl/>
        <w:numPr>
          <w:ilvl w:val="0"/>
          <w:numId w:val="0"/>
        </w:numPr>
        <w:rPr>
          <w:rFonts w:hAnsi="Times New Roman" w:cs="宋体"/>
          <w:b/>
          <w:sz w:val="28"/>
          <w:szCs w:val="28"/>
        </w:rPr>
      </w:pPr>
      <w:r>
        <w:rPr>
          <w:rFonts w:hint="eastAsia" w:hAnsi="Times New Roman" w:cs="宋体"/>
          <w:b/>
          <w:sz w:val="28"/>
          <w:szCs w:val="28"/>
          <w:lang w:val="en-US" w:eastAsia="zh-CN"/>
        </w:rPr>
        <w:t>一、</w:t>
      </w:r>
      <w:r>
        <w:rPr>
          <w:rFonts w:hint="eastAsia" w:hAnsi="Times New Roman" w:cs="宋体"/>
          <w:b/>
          <w:sz w:val="28"/>
          <w:szCs w:val="28"/>
        </w:rPr>
        <w:t>质疑供应商基本信息</w:t>
      </w:r>
    </w:p>
    <w:p>
      <w:pPr>
        <w:pStyle w:val="174"/>
        <w:widowControl/>
        <w:ind w:firstLine="566" w:firstLineChars="236"/>
        <w:rPr>
          <w:rFonts w:hint="eastAsia" w:hAnsi="Times New Roman" w:eastAsia="宋体" w:cs="宋体"/>
          <w:bCs/>
          <w:sz w:val="24"/>
          <w:u w:val="dotted"/>
          <w:lang w:eastAsia="zh-CN"/>
        </w:rPr>
      </w:pPr>
      <w:r>
        <w:rPr>
          <w:rFonts w:hint="eastAsia" w:hAnsi="Times New Roman" w:cs="宋体"/>
          <w:bCs/>
          <w:sz w:val="24"/>
        </w:rPr>
        <w:t>质疑供应商：</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地址：邮编：</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联系人：联系电话：</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授权代表：</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联系电话：</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地址：邮编</w:t>
      </w:r>
      <w:r>
        <w:rPr>
          <w:rFonts w:hint="eastAsia" w:hAnsi="Times New Roman" w:cs="宋体"/>
          <w:bCs/>
          <w:sz w:val="24"/>
          <w:u w:val="single"/>
        </w:rPr>
        <w:t>：</w:t>
      </w:r>
    </w:p>
    <w:p>
      <w:pPr>
        <w:pStyle w:val="174"/>
        <w:widowControl/>
        <w:rPr>
          <w:rFonts w:hAnsi="Times New Roman" w:cs="宋体"/>
          <w:b/>
          <w:sz w:val="28"/>
          <w:szCs w:val="28"/>
        </w:rPr>
      </w:pPr>
      <w:r>
        <w:rPr>
          <w:rFonts w:hint="eastAsia" w:hAnsi="Times New Roman" w:cs="宋体"/>
          <w:b/>
          <w:sz w:val="28"/>
          <w:szCs w:val="28"/>
        </w:rPr>
        <w:t>二、质疑项目基本情况</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质疑项目的名称</w:t>
      </w:r>
      <w:r>
        <w:rPr>
          <w:rFonts w:hint="eastAsia" w:hAnsi="Times New Roman" w:cs="宋体"/>
          <w:bCs/>
          <w:sz w:val="24"/>
          <w:u w:val="single"/>
        </w:rPr>
        <w:t>：</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质疑项目的编号：包号：</w:t>
      </w:r>
    </w:p>
    <w:p>
      <w:pPr>
        <w:pStyle w:val="174"/>
        <w:widowControl/>
        <w:ind w:firstLine="566" w:firstLineChars="236"/>
        <w:rPr>
          <w:rFonts w:hint="eastAsia" w:hAnsi="Times New Roman" w:eastAsia="宋体" w:cs="宋体"/>
          <w:bCs/>
          <w:sz w:val="24"/>
          <w:u w:val="single"/>
          <w:lang w:eastAsia="zh-CN"/>
        </w:rPr>
      </w:pPr>
      <w:r>
        <w:rPr>
          <w:rFonts w:hint="eastAsia" w:hAnsi="Times New Roman" w:cs="宋体"/>
          <w:bCs/>
          <w:sz w:val="24"/>
        </w:rPr>
        <w:t>采购人名称：</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采购文件获取日期：</w:t>
      </w:r>
    </w:p>
    <w:p>
      <w:pPr>
        <w:pStyle w:val="174"/>
        <w:widowControl/>
        <w:rPr>
          <w:rFonts w:hAnsi="Times New Roman" w:cs="宋体"/>
          <w:b/>
          <w:sz w:val="28"/>
          <w:szCs w:val="28"/>
        </w:rPr>
      </w:pPr>
      <w:r>
        <w:rPr>
          <w:rFonts w:hint="eastAsia" w:hAnsi="Times New Roman" w:cs="宋体"/>
          <w:b/>
          <w:sz w:val="28"/>
          <w:szCs w:val="28"/>
        </w:rPr>
        <w:t>三、质疑事项具体内容</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质疑事项</w:t>
      </w:r>
      <w:r>
        <w:rPr>
          <w:rFonts w:hAnsi="Times New Roman" w:cs="宋体"/>
          <w:bCs/>
          <w:sz w:val="24"/>
        </w:rPr>
        <w:t>1</w:t>
      </w:r>
      <w:r>
        <w:rPr>
          <w:rFonts w:hint="eastAsia" w:hAnsi="Times New Roman" w:cs="宋体"/>
          <w:bCs/>
          <w:sz w:val="24"/>
        </w:rPr>
        <w:t>：</w:t>
      </w:r>
    </w:p>
    <w:p>
      <w:pPr>
        <w:pStyle w:val="174"/>
        <w:widowControl/>
        <w:ind w:firstLine="566" w:firstLineChars="236"/>
        <w:rPr>
          <w:rFonts w:hint="eastAsia" w:hAnsi="Times New Roman" w:eastAsia="宋体" w:cs="宋体"/>
          <w:bCs/>
          <w:sz w:val="24"/>
          <w:u w:val="single"/>
          <w:lang w:eastAsia="zh-CN"/>
        </w:rPr>
      </w:pPr>
      <w:r>
        <w:rPr>
          <w:rFonts w:hint="eastAsia" w:hAnsi="Times New Roman" w:cs="宋体"/>
          <w:bCs/>
          <w:sz w:val="24"/>
        </w:rPr>
        <w:t>事实依据：</w:t>
      </w:r>
    </w:p>
    <w:p>
      <w:pPr>
        <w:pStyle w:val="174"/>
        <w:widowControl/>
        <w:ind w:firstLine="566" w:firstLineChars="236"/>
        <w:rPr>
          <w:rFonts w:hint="eastAsia" w:hAnsi="Times New Roman" w:eastAsia="宋体" w:cs="宋体"/>
          <w:bCs/>
          <w:sz w:val="24"/>
          <w:u w:val="single"/>
          <w:lang w:eastAsia="zh-CN"/>
        </w:rPr>
      </w:pPr>
    </w:p>
    <w:p>
      <w:pPr>
        <w:pStyle w:val="174"/>
        <w:widowControl/>
        <w:ind w:firstLine="566" w:firstLineChars="236"/>
        <w:rPr>
          <w:rFonts w:hint="eastAsia" w:hAnsi="Times New Roman" w:eastAsia="宋体" w:cs="宋体"/>
          <w:bCs/>
          <w:sz w:val="24"/>
          <w:u w:val="single"/>
          <w:lang w:eastAsia="zh-CN"/>
        </w:rPr>
      </w:pPr>
      <w:r>
        <w:rPr>
          <w:rFonts w:hint="eastAsia" w:hAnsi="Times New Roman" w:cs="宋体"/>
          <w:bCs/>
          <w:sz w:val="24"/>
        </w:rPr>
        <w:t>法律依据：</w:t>
      </w:r>
    </w:p>
    <w:p>
      <w:pPr>
        <w:pStyle w:val="174"/>
        <w:widowControl/>
        <w:ind w:firstLine="566" w:firstLineChars="236"/>
        <w:rPr>
          <w:rFonts w:hint="eastAsia" w:hAnsi="Times New Roman" w:eastAsia="宋体" w:cs="宋体"/>
          <w:bCs/>
          <w:sz w:val="24"/>
          <w:u w:val="single"/>
          <w:lang w:eastAsia="zh-CN"/>
        </w:rPr>
      </w:pPr>
    </w:p>
    <w:p>
      <w:pPr>
        <w:pStyle w:val="174"/>
        <w:widowControl/>
        <w:ind w:firstLine="566" w:firstLineChars="236"/>
        <w:rPr>
          <w:rFonts w:hAnsi="Times New Roman" w:cs="宋体"/>
          <w:bCs/>
          <w:sz w:val="24"/>
        </w:rPr>
      </w:pPr>
      <w:r>
        <w:rPr>
          <w:rFonts w:hint="eastAsia" w:hAnsi="Times New Roman" w:cs="宋体"/>
          <w:bCs/>
          <w:sz w:val="24"/>
        </w:rPr>
        <w:t>质疑事项</w:t>
      </w:r>
      <w:r>
        <w:rPr>
          <w:rFonts w:hAnsi="Times New Roman" w:cs="宋体"/>
          <w:bCs/>
          <w:sz w:val="24"/>
        </w:rPr>
        <w:t>2</w:t>
      </w:r>
    </w:p>
    <w:p>
      <w:pPr>
        <w:pStyle w:val="174"/>
        <w:widowControl/>
        <w:ind w:firstLine="660" w:firstLineChars="236"/>
        <w:rPr>
          <w:rFonts w:hAnsi="Times New Roman" w:cs="宋体"/>
          <w:bCs/>
          <w:sz w:val="28"/>
          <w:szCs w:val="28"/>
        </w:rPr>
      </w:pPr>
      <w:r>
        <w:rPr>
          <w:rFonts w:hint="eastAsia" w:hAnsi="Times New Roman" w:cs="宋体"/>
          <w:bCs/>
          <w:sz w:val="28"/>
          <w:szCs w:val="28"/>
        </w:rPr>
        <w:t>……</w:t>
      </w:r>
    </w:p>
    <w:p>
      <w:pPr>
        <w:pStyle w:val="174"/>
        <w:widowControl/>
        <w:rPr>
          <w:rFonts w:hAnsi="Times New Roman" w:cs="宋体"/>
          <w:b/>
          <w:sz w:val="28"/>
          <w:szCs w:val="28"/>
        </w:rPr>
      </w:pPr>
      <w:r>
        <w:rPr>
          <w:rFonts w:hint="eastAsia" w:hAnsi="Times New Roman" w:cs="宋体"/>
          <w:b/>
          <w:sz w:val="28"/>
          <w:szCs w:val="28"/>
        </w:rPr>
        <w:t>四、与质疑事项相关的质疑请求</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请求：</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签字</w:t>
      </w:r>
      <w:r>
        <w:rPr>
          <w:rFonts w:hAnsi="Times New Roman" w:cs="宋体"/>
          <w:bCs/>
          <w:sz w:val="24"/>
        </w:rPr>
        <w:t>(</w:t>
      </w:r>
      <w:r>
        <w:rPr>
          <w:rFonts w:hint="eastAsia" w:hAnsi="Times New Roman" w:cs="宋体"/>
          <w:bCs/>
          <w:sz w:val="24"/>
        </w:rPr>
        <w:t>签章</w:t>
      </w:r>
      <w:r>
        <w:rPr>
          <w:rFonts w:hAnsi="Times New Roman" w:cs="宋体"/>
          <w:bCs/>
          <w:sz w:val="24"/>
        </w:rPr>
        <w:t>)</w:t>
      </w:r>
      <w:r>
        <w:rPr>
          <w:rFonts w:hint="eastAsia" w:hAnsi="Times New Roman" w:cs="宋体"/>
          <w:bCs/>
          <w:sz w:val="24"/>
        </w:rPr>
        <w:t>：公章：</w:t>
      </w:r>
    </w:p>
    <w:p>
      <w:pPr>
        <w:pStyle w:val="174"/>
        <w:widowControl/>
        <w:ind w:firstLine="566" w:firstLineChars="236"/>
        <w:rPr>
          <w:rFonts w:hint="eastAsia" w:hAnsi="Times New Roman" w:eastAsia="宋体" w:cs="宋体"/>
          <w:bCs/>
          <w:sz w:val="24"/>
          <w:u w:val="single"/>
          <w:lang w:eastAsia="zh-CN"/>
        </w:rPr>
      </w:pPr>
      <w:r>
        <w:rPr>
          <w:rFonts w:hint="eastAsia" w:hAnsi="Times New Roman" w:cs="宋体"/>
          <w:bCs/>
          <w:sz w:val="24"/>
        </w:rPr>
        <w:t>日期：</w:t>
      </w:r>
    </w:p>
    <w:p>
      <w:pPr>
        <w:pStyle w:val="174"/>
        <w:widowControl/>
        <w:ind w:firstLine="566" w:firstLineChars="236"/>
        <w:rPr>
          <w:rFonts w:hAnsi="Times New Roman" w:cs="宋体"/>
          <w:bCs/>
          <w:sz w:val="24"/>
        </w:rPr>
      </w:pPr>
    </w:p>
    <w:p>
      <w:pPr>
        <w:pStyle w:val="174"/>
        <w:widowControl/>
        <w:ind w:firstLine="566" w:firstLineChars="236"/>
        <w:rPr>
          <w:rFonts w:hAnsi="Times New Roman" w:cs="宋体"/>
          <w:bCs/>
          <w:sz w:val="24"/>
        </w:rPr>
      </w:pPr>
      <w:r>
        <w:rPr>
          <w:rFonts w:hint="eastAsia" w:hAnsi="Times New Roman" w:cs="宋体"/>
          <w:bCs/>
          <w:sz w:val="24"/>
        </w:rPr>
        <w:t>质疑函制作说明及接收质疑函的联系部门、联系电话和通讯地址：</w:t>
      </w:r>
    </w:p>
    <w:p>
      <w:pPr>
        <w:pStyle w:val="174"/>
        <w:widowControl/>
        <w:ind w:firstLine="566" w:firstLineChars="236"/>
        <w:rPr>
          <w:rFonts w:hAnsi="Times New Roman" w:cs="宋体"/>
          <w:bCs/>
          <w:sz w:val="24"/>
        </w:rPr>
      </w:pPr>
      <w:r>
        <w:rPr>
          <w:rFonts w:hint="eastAsia" w:hAnsi="Times New Roman" w:cs="宋体"/>
          <w:bCs/>
          <w:sz w:val="24"/>
        </w:rPr>
        <w:t>（一）质疑函制作说明</w:t>
      </w:r>
    </w:p>
    <w:p>
      <w:pPr>
        <w:pStyle w:val="174"/>
        <w:widowControl/>
        <w:ind w:firstLine="566" w:firstLineChars="236"/>
        <w:rPr>
          <w:rFonts w:hAnsi="Times New Roman" w:cs="宋体"/>
          <w:bCs/>
          <w:sz w:val="24"/>
        </w:rPr>
      </w:pPr>
      <w:r>
        <w:rPr>
          <w:rFonts w:hAnsi="Times New Roman" w:cs="宋体"/>
          <w:bCs/>
          <w:sz w:val="24"/>
        </w:rPr>
        <w:t>1.</w:t>
      </w:r>
      <w:r>
        <w:rPr>
          <w:rFonts w:hint="eastAsia" w:hAnsi="Times New Roman" w:cs="宋体"/>
          <w:bCs/>
          <w:sz w:val="24"/>
        </w:rPr>
        <w:t>供应商提出质疑时，应提交质疑函和必要的证明材料。</w:t>
      </w:r>
    </w:p>
    <w:p>
      <w:pPr>
        <w:pStyle w:val="174"/>
        <w:widowControl/>
        <w:ind w:firstLine="566" w:firstLineChars="236"/>
        <w:rPr>
          <w:rFonts w:hAnsi="Times New Roman" w:cs="宋体"/>
          <w:bCs/>
          <w:sz w:val="24"/>
        </w:rPr>
      </w:pPr>
      <w:r>
        <w:rPr>
          <w:rFonts w:hAnsi="Times New Roman" w:cs="宋体"/>
          <w:bCs/>
          <w:sz w:val="24"/>
        </w:rPr>
        <w:t>2.</w:t>
      </w:r>
      <w:r>
        <w:rPr>
          <w:rFonts w:hint="eastAsia" w:hAnsi="Times New Roman" w:cs="宋体"/>
          <w:bCs/>
          <w:sz w:val="24"/>
        </w:rPr>
        <w:t>质疑供应商若委托代理人进行质疑的，质疑函应按要求列明“授权代表”的有关内容，并在附件中提交由质疑供应商签署的授权委托书。授权委托书应载明代理人的姓名或者名称、代理事项、具体权限、期限和相关事项。</w:t>
      </w:r>
    </w:p>
    <w:p>
      <w:pPr>
        <w:pStyle w:val="174"/>
        <w:widowControl/>
        <w:ind w:firstLine="566" w:firstLineChars="236"/>
        <w:rPr>
          <w:rFonts w:hAnsi="Times New Roman" w:cs="宋体"/>
          <w:bCs/>
          <w:sz w:val="24"/>
        </w:rPr>
      </w:pPr>
      <w:r>
        <w:rPr>
          <w:rFonts w:hAnsi="Times New Roman" w:cs="宋体"/>
          <w:bCs/>
          <w:sz w:val="24"/>
        </w:rPr>
        <w:t>3.</w:t>
      </w:r>
      <w:r>
        <w:rPr>
          <w:rFonts w:hint="eastAsia" w:hAnsi="Times New Roman" w:cs="宋体"/>
          <w:bCs/>
          <w:sz w:val="24"/>
        </w:rPr>
        <w:t>质疑供应商若对项目的某一分包进行质疑，质疑函中应列明具体分包号。</w:t>
      </w:r>
    </w:p>
    <w:p>
      <w:pPr>
        <w:pStyle w:val="174"/>
        <w:widowControl/>
        <w:ind w:firstLine="566" w:firstLineChars="236"/>
        <w:rPr>
          <w:rFonts w:hAnsi="Times New Roman" w:cs="宋体"/>
          <w:bCs/>
          <w:sz w:val="24"/>
        </w:rPr>
      </w:pPr>
      <w:r>
        <w:rPr>
          <w:rFonts w:hAnsi="Times New Roman" w:cs="宋体"/>
          <w:bCs/>
          <w:sz w:val="24"/>
        </w:rPr>
        <w:t>4.</w:t>
      </w:r>
      <w:r>
        <w:rPr>
          <w:rFonts w:hint="eastAsia" w:hAnsi="Times New Roman" w:cs="宋体"/>
          <w:bCs/>
          <w:sz w:val="24"/>
        </w:rPr>
        <w:t>质疑函的质疑事项应具体、明确，并有必要的事实依据和法律依据。</w:t>
      </w:r>
    </w:p>
    <w:p>
      <w:pPr>
        <w:pStyle w:val="174"/>
        <w:widowControl/>
        <w:ind w:firstLine="566" w:firstLineChars="236"/>
        <w:rPr>
          <w:rFonts w:hAnsi="Times New Roman" w:cs="宋体"/>
          <w:bCs/>
          <w:sz w:val="24"/>
        </w:rPr>
      </w:pPr>
      <w:r>
        <w:rPr>
          <w:rFonts w:hAnsi="Times New Roman" w:cs="宋体"/>
          <w:bCs/>
          <w:sz w:val="24"/>
        </w:rPr>
        <w:t>5.</w:t>
      </w:r>
      <w:r>
        <w:rPr>
          <w:rFonts w:hint="eastAsia" w:hAnsi="Times New Roman" w:cs="宋体"/>
          <w:bCs/>
          <w:sz w:val="24"/>
        </w:rPr>
        <w:t>质疑函的质疑请求应与质疑事项相关。</w:t>
      </w:r>
    </w:p>
    <w:p>
      <w:pPr>
        <w:pStyle w:val="174"/>
        <w:widowControl/>
        <w:ind w:firstLine="566" w:firstLineChars="236"/>
        <w:rPr>
          <w:rFonts w:hAnsi="Times New Roman" w:cs="宋体"/>
          <w:bCs/>
          <w:sz w:val="24"/>
        </w:rPr>
      </w:pPr>
      <w:r>
        <w:rPr>
          <w:rFonts w:hAnsi="Times New Roman" w:cs="宋体"/>
          <w:bCs/>
          <w:sz w:val="24"/>
        </w:rPr>
        <w:t>6.</w:t>
      </w:r>
      <w:r>
        <w:rPr>
          <w:rFonts w:hint="eastAsia" w:hAnsi="Times New Roman" w:cs="宋体"/>
          <w:bCs/>
          <w:sz w:val="24"/>
        </w:rPr>
        <w:t>质疑供应商为自然人的，质疑函应由本人签字；质疑供应商为法人或者其他组织的，质疑函应由法定代表人、主要负责人签字或者盖章，并加盖单位公章。</w:t>
      </w:r>
    </w:p>
    <w:p>
      <w:pPr>
        <w:pStyle w:val="174"/>
        <w:widowControl/>
        <w:ind w:firstLine="566" w:firstLineChars="236"/>
        <w:rPr>
          <w:rFonts w:hint="eastAsia" w:hAnsi="Times New Roman" w:eastAsia="宋体" w:cs="宋体"/>
          <w:bCs/>
          <w:sz w:val="24"/>
          <w:lang w:eastAsia="zh-CN"/>
        </w:rPr>
      </w:pPr>
      <w:r>
        <w:rPr>
          <w:rFonts w:hint="eastAsia" w:hAnsi="Times New Roman" w:cs="宋体"/>
          <w:bCs/>
          <w:sz w:val="24"/>
        </w:rPr>
        <w:t>（二）接收质疑函的联系部门、联系电话和通讯地址</w:t>
      </w:r>
    </w:p>
    <w:p>
      <w:pPr>
        <w:pStyle w:val="174"/>
        <w:widowControl/>
        <w:ind w:firstLine="566" w:firstLineChars="236"/>
        <w:rPr>
          <w:rFonts w:hint="eastAsia" w:hAnsi="Times New Roman" w:eastAsia="宋体" w:cs="宋体"/>
          <w:bCs/>
          <w:sz w:val="24"/>
          <w:lang w:eastAsia="zh-CN"/>
        </w:rPr>
      </w:pPr>
      <w:r>
        <w:rPr>
          <w:rFonts w:hAnsi="Times New Roman" w:cs="宋体"/>
          <w:bCs/>
          <w:sz w:val="24"/>
        </w:rPr>
        <w:t>1.</w:t>
      </w:r>
      <w:r>
        <w:rPr>
          <w:rFonts w:hint="eastAsia" w:hAnsi="Times New Roman" w:cs="宋体"/>
          <w:bCs/>
          <w:sz w:val="24"/>
        </w:rPr>
        <w:t>联系部门：办公室</w:t>
      </w:r>
    </w:p>
    <w:p>
      <w:pPr>
        <w:pStyle w:val="174"/>
        <w:widowControl/>
        <w:ind w:firstLine="566" w:firstLineChars="236"/>
        <w:rPr>
          <w:rFonts w:hint="eastAsia" w:hAnsi="Times New Roman" w:eastAsia="宋体" w:cs="宋体"/>
          <w:bCs/>
          <w:sz w:val="24"/>
          <w:lang w:eastAsia="zh-CN"/>
        </w:rPr>
      </w:pPr>
      <w:r>
        <w:rPr>
          <w:rFonts w:hAnsi="Times New Roman" w:cs="宋体"/>
          <w:bCs/>
          <w:sz w:val="24"/>
        </w:rPr>
        <w:t>2.</w:t>
      </w:r>
      <w:r>
        <w:rPr>
          <w:rFonts w:hint="eastAsia" w:hAnsi="Times New Roman" w:cs="宋体"/>
          <w:bCs/>
          <w:sz w:val="24"/>
        </w:rPr>
        <w:t>联系电话：</w:t>
      </w:r>
      <w:r>
        <w:rPr>
          <w:rFonts w:hAnsi="Times New Roman" w:cs="宋体"/>
          <w:bCs/>
          <w:sz w:val="24"/>
        </w:rPr>
        <w:t>0898-665</w:t>
      </w:r>
      <w:r>
        <w:rPr>
          <w:rFonts w:hint="eastAsia" w:hAnsi="Times New Roman" w:cs="宋体"/>
          <w:bCs/>
          <w:sz w:val="24"/>
        </w:rPr>
        <w:t>52458</w:t>
      </w:r>
    </w:p>
    <w:p>
      <w:pPr>
        <w:pStyle w:val="174"/>
        <w:widowControl/>
        <w:ind w:firstLine="566" w:firstLineChars="236"/>
        <w:rPr>
          <w:rFonts w:hAnsi="Times New Roman" w:cs="宋体"/>
          <w:bCs/>
          <w:sz w:val="24"/>
        </w:rPr>
      </w:pPr>
      <w:r>
        <w:rPr>
          <w:rFonts w:hAnsi="Times New Roman" w:cs="宋体"/>
          <w:bCs/>
          <w:sz w:val="24"/>
        </w:rPr>
        <w:t>3.</w:t>
      </w:r>
      <w:r>
        <w:rPr>
          <w:rFonts w:hint="eastAsia" w:hAnsi="Times New Roman" w:cs="宋体"/>
          <w:bCs/>
          <w:sz w:val="24"/>
        </w:rPr>
        <w:t>通讯地址：</w:t>
      </w:r>
      <w:r>
        <w:rPr>
          <w:rFonts w:hint="eastAsia" w:ascii="宋体" w:cs="宋体"/>
          <w:sz w:val="24"/>
        </w:rPr>
        <w:t>海口市蓝天路29号飞龙公寓进31号南航部队小区二栋一单元501室。</w:t>
      </w:r>
    </w:p>
    <w:p>
      <w:pPr>
        <w:shd w:val="clear" w:color="auto" w:fill="FFFFFF"/>
        <w:spacing w:line="500" w:lineRule="exact"/>
        <w:rPr>
          <w:rFonts w:hint="eastAsia" w:ascii="宋体" w:hAnsi="宋体"/>
          <w:lang w:eastAsia="zh-CN"/>
        </w:rPr>
      </w:pPr>
      <w:r>
        <w:rPr>
          <w:rFonts w:hint="eastAsia" w:ascii="宋体" w:hAnsi="宋体"/>
          <w:lang w:eastAsia="zh-CN"/>
        </w:rPr>
        <w:t>2</w:t>
      </w:r>
      <w:r>
        <w:rPr>
          <w:rFonts w:hint="eastAsia" w:ascii="宋体" w:hAnsi="宋体"/>
          <w:lang w:val="en-US" w:eastAsia="zh-CN"/>
        </w:rPr>
        <w:t>4</w:t>
      </w:r>
      <w:r>
        <w:rPr>
          <w:rFonts w:hint="eastAsia" w:ascii="宋体" w:hAnsi="宋体"/>
          <w:lang w:eastAsia="zh-CN"/>
        </w:rPr>
        <w:t>.投诉处理</w:t>
      </w:r>
    </w:p>
    <w:p>
      <w:pPr>
        <w:shd w:val="clear" w:color="auto" w:fill="FFFFFF"/>
        <w:spacing w:line="500" w:lineRule="exact"/>
        <w:ind w:firstLine="480"/>
        <w:rPr>
          <w:rFonts w:hint="eastAsia" w:ascii="宋体" w:hAnsi="宋体"/>
          <w:lang w:eastAsia="zh-CN"/>
        </w:rPr>
      </w:pPr>
      <w:r>
        <w:rPr>
          <w:rFonts w:hint="eastAsia" w:ascii="宋体" w:hAnsi="宋体"/>
          <w:lang w:eastAsia="zh-CN"/>
        </w:rPr>
        <w:t>投诉受理单位：海南省财政厅政府采购监督管理处电话：68552019,地址：海口市滨海大道109号。</w:t>
      </w:r>
    </w:p>
    <w:p>
      <w:pPr>
        <w:shd w:val="clear" w:color="auto" w:fill="FFFFFF"/>
        <w:spacing w:line="500" w:lineRule="exact"/>
        <w:rPr>
          <w:rFonts w:hint="eastAsia" w:ascii="宋体" w:hAnsi="宋体"/>
          <w:lang w:eastAsia="zh-CN"/>
        </w:rPr>
      </w:pPr>
      <w:r>
        <w:rPr>
          <w:rFonts w:hint="eastAsia" w:ascii="宋体" w:hAnsi="宋体"/>
          <w:lang w:eastAsia="zh-CN"/>
        </w:rPr>
        <w:t>2</w:t>
      </w:r>
      <w:r>
        <w:rPr>
          <w:rFonts w:hint="eastAsia" w:ascii="宋体" w:hAnsi="宋体"/>
          <w:lang w:val="en-US" w:eastAsia="zh-CN"/>
        </w:rPr>
        <w:t>5</w:t>
      </w:r>
      <w:r>
        <w:rPr>
          <w:rFonts w:hint="eastAsia" w:ascii="宋体" w:hAnsi="宋体"/>
          <w:lang w:eastAsia="zh-CN"/>
        </w:rPr>
        <w:t>．中标通知</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2</w:t>
      </w:r>
      <w:r>
        <w:rPr>
          <w:rFonts w:hint="eastAsia" w:ascii="宋体" w:hAnsi="宋体"/>
          <w:lang w:val="en-US" w:eastAsia="zh-CN"/>
        </w:rPr>
        <w:t>5</w:t>
      </w:r>
      <w:r>
        <w:rPr>
          <w:rFonts w:hint="eastAsia" w:ascii="宋体" w:hAnsi="宋体"/>
          <w:lang w:eastAsia="zh-CN"/>
        </w:rPr>
        <w:t>.l定标后,招标人应将定标结果通知所有的投标人。</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2</w:t>
      </w:r>
      <w:r>
        <w:rPr>
          <w:rFonts w:hint="eastAsia" w:ascii="宋体" w:hAnsi="宋体"/>
          <w:lang w:val="en-US" w:eastAsia="zh-CN"/>
        </w:rPr>
        <w:t>5</w:t>
      </w:r>
      <w:r>
        <w:rPr>
          <w:rFonts w:hint="eastAsia" w:ascii="宋体" w:hAnsi="宋体"/>
          <w:lang w:eastAsia="zh-CN"/>
        </w:rPr>
        <w:t>.2中标人收到中标通知后，应在规定时间内到招标人处领取中标通知书，并办理相关手续。</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2</w:t>
      </w:r>
      <w:r>
        <w:rPr>
          <w:rFonts w:hint="eastAsia" w:ascii="宋体" w:hAnsi="宋体"/>
          <w:lang w:val="en-US" w:eastAsia="zh-CN"/>
        </w:rPr>
        <w:t>5</w:t>
      </w:r>
      <w:r>
        <w:rPr>
          <w:rFonts w:hint="eastAsia" w:ascii="宋体" w:hAnsi="宋体"/>
          <w:lang w:eastAsia="zh-CN"/>
        </w:rPr>
        <w:t>.3中标通知书将是合同的一个组成部分。</w:t>
      </w:r>
    </w:p>
    <w:p>
      <w:pPr>
        <w:shd w:val="clear" w:color="auto" w:fill="FFFFFF"/>
        <w:spacing w:line="500" w:lineRule="exact"/>
        <w:rPr>
          <w:rFonts w:hint="eastAsia" w:ascii="宋体" w:hAnsi="宋体"/>
          <w:lang w:eastAsia="zh-CN"/>
        </w:rPr>
      </w:pPr>
      <w:r>
        <w:rPr>
          <w:rFonts w:hint="eastAsia" w:ascii="宋体" w:hAnsi="宋体"/>
          <w:lang w:eastAsia="zh-CN"/>
        </w:rPr>
        <w:t>2</w:t>
      </w:r>
      <w:r>
        <w:rPr>
          <w:rFonts w:hint="eastAsia" w:ascii="宋体" w:hAnsi="宋体"/>
          <w:lang w:val="en-US" w:eastAsia="zh-CN"/>
        </w:rPr>
        <w:t>6</w:t>
      </w:r>
      <w:r>
        <w:rPr>
          <w:rFonts w:hint="eastAsia" w:ascii="宋体" w:hAnsi="宋体"/>
          <w:lang w:eastAsia="zh-CN"/>
        </w:rPr>
        <w:t>．签订合同</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2</w:t>
      </w:r>
      <w:r>
        <w:rPr>
          <w:rFonts w:hint="eastAsia" w:ascii="宋体" w:hAnsi="宋体"/>
          <w:lang w:val="en-US" w:eastAsia="zh-CN"/>
        </w:rPr>
        <w:t>6</w:t>
      </w:r>
      <w:r>
        <w:rPr>
          <w:rFonts w:hint="eastAsia" w:ascii="宋体" w:hAnsi="宋体"/>
          <w:lang w:eastAsia="zh-CN"/>
        </w:rPr>
        <w:t>.l中标人应按中标通知书规定的时间、地点与采购人签订中标合同,否则投标保证金将不予退还，给采购人和招标人造成损失的，投标人还应承担赔偿责任。</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2</w:t>
      </w:r>
      <w:r>
        <w:rPr>
          <w:rFonts w:hint="eastAsia" w:ascii="宋体" w:hAnsi="宋体"/>
          <w:lang w:val="en-US" w:eastAsia="zh-CN"/>
        </w:rPr>
        <w:t>6</w:t>
      </w:r>
      <w:r>
        <w:rPr>
          <w:rFonts w:hint="eastAsia" w:ascii="宋体" w:hAnsi="宋体"/>
          <w:lang w:eastAsia="zh-CN"/>
        </w:rPr>
        <w:t>.2招标文件、中标人的投标文件及评标过程中有关澄清文件均应作为合同附件。</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2</w:t>
      </w:r>
      <w:r>
        <w:rPr>
          <w:rFonts w:hint="eastAsia" w:ascii="宋体" w:hAnsi="宋体"/>
          <w:lang w:val="en-US" w:eastAsia="zh-CN"/>
        </w:rPr>
        <w:t>6</w:t>
      </w:r>
      <w:r>
        <w:rPr>
          <w:rFonts w:hint="eastAsia" w:ascii="宋体" w:hAnsi="宋体"/>
          <w:lang w:eastAsia="zh-CN"/>
        </w:rPr>
        <w:t>.3供应商应根据《海南省财政厅关于进一步优化政府采购营商环境的通知》琼财采〔2022〕68号规定的期限（公告中标结果后5个工作日内）与采购人签订政府采购合同，中标后无正当理由拒不与采购人签订政府采购合同，依照《政府采购法》第七十七条第一款的规定追究法律责任。（本项要求为实质性条款，供应商提供诚信承诺函，格式自拟）</w:t>
      </w:r>
    </w:p>
    <w:p>
      <w:pPr>
        <w:shd w:val="clear" w:color="auto" w:fill="FFFFFF"/>
        <w:spacing w:line="360" w:lineRule="auto"/>
        <w:ind w:firstLine="480" w:firstLineChars="200"/>
        <w:rPr>
          <w:rFonts w:hint="eastAsia" w:ascii="宋体" w:hAnsi="宋体"/>
          <w:lang w:eastAsia="zh-CN"/>
        </w:rPr>
      </w:pPr>
      <w:r>
        <w:rPr>
          <w:rFonts w:hint="eastAsia" w:ascii="宋体" w:hAnsi="宋体"/>
          <w:lang w:eastAsia="zh-CN"/>
        </w:rPr>
        <w:t>2</w:t>
      </w:r>
      <w:r>
        <w:rPr>
          <w:rFonts w:hint="eastAsia" w:ascii="宋体" w:hAnsi="宋体"/>
          <w:lang w:val="en-US" w:eastAsia="zh-CN"/>
        </w:rPr>
        <w:t>6</w:t>
      </w:r>
      <w:r>
        <w:rPr>
          <w:rFonts w:hint="eastAsia" w:ascii="宋体" w:hAnsi="宋体"/>
          <w:lang w:eastAsia="zh-CN"/>
        </w:rPr>
        <w:t>．招标代理服务费</w:t>
      </w:r>
    </w:p>
    <w:p>
      <w:pPr>
        <w:widowControl w:val="0"/>
        <w:spacing w:line="360" w:lineRule="auto"/>
        <w:ind w:firstLine="480" w:firstLineChars="200"/>
        <w:jc w:val="both"/>
        <w:rPr>
          <w:kern w:val="2"/>
          <w:lang w:eastAsia="zh-CN" w:bidi="ar-SA"/>
        </w:rPr>
      </w:pPr>
      <w:r>
        <w:rPr>
          <w:rFonts w:hint="eastAsia" w:ascii="宋体" w:hAnsi="宋体"/>
          <w:kern w:val="2"/>
          <w:lang w:eastAsia="zh-CN" w:bidi="ar-SA"/>
        </w:rPr>
        <w:t>招标代理机构在颁发《中标通知书》时，参照国家有关收费标准（</w:t>
      </w:r>
      <w:r>
        <w:rPr>
          <w:rFonts w:hint="eastAsia" w:ascii="宋体" w:hAnsi="宋体"/>
          <w:spacing w:val="2"/>
          <w:kern w:val="2"/>
          <w:lang w:eastAsia="zh-CN" w:bidi="ar-SA"/>
        </w:rPr>
        <w:t>琼价费管[2011]225号文件</w:t>
      </w:r>
      <w:r>
        <w:rPr>
          <w:rFonts w:hint="eastAsia" w:ascii="宋体" w:hAnsi="宋体"/>
          <w:kern w:val="2"/>
          <w:lang w:eastAsia="zh-CN" w:bidi="ar-SA"/>
        </w:rPr>
        <w:t>），向中标供应商收取招标服务费。</w:t>
      </w:r>
    </w:p>
    <w:p>
      <w:pPr>
        <w:shd w:val="clear" w:color="auto" w:fill="FFFFFF"/>
        <w:spacing w:line="360" w:lineRule="auto"/>
        <w:rPr>
          <w:rFonts w:hint="eastAsia" w:ascii="宋体" w:hAnsi="宋体"/>
          <w:lang w:eastAsia="zh-CN"/>
        </w:rPr>
      </w:pPr>
      <w:r>
        <w:rPr>
          <w:rFonts w:hint="eastAsia" w:ascii="宋体" w:hAnsi="宋体"/>
          <w:lang w:eastAsia="zh-CN"/>
        </w:rPr>
        <w:t>2</w:t>
      </w:r>
      <w:r>
        <w:rPr>
          <w:rFonts w:hint="eastAsia" w:ascii="宋体" w:hAnsi="宋体"/>
          <w:lang w:val="en-US" w:eastAsia="zh-CN"/>
        </w:rPr>
        <w:t>6</w:t>
      </w:r>
      <w:r>
        <w:rPr>
          <w:rFonts w:hint="eastAsia" w:ascii="宋体" w:hAnsi="宋体"/>
          <w:lang w:eastAsia="zh-CN"/>
        </w:rPr>
        <w:t>.其它</w:t>
      </w:r>
    </w:p>
    <w:p>
      <w:pPr>
        <w:shd w:val="clear" w:color="auto" w:fill="FFFFFF"/>
        <w:spacing w:line="360" w:lineRule="auto"/>
        <w:ind w:firstLine="480" w:firstLineChars="200"/>
        <w:rPr>
          <w:rFonts w:hint="eastAsia" w:ascii="宋体" w:hAnsi="宋体"/>
          <w:lang w:eastAsia="zh-CN"/>
        </w:rPr>
      </w:pPr>
      <w:r>
        <w:rPr>
          <w:rFonts w:hint="eastAsia" w:ascii="宋体" w:hAnsi="宋体"/>
          <w:lang w:eastAsia="zh-CN"/>
        </w:rPr>
        <w:t>本项目不召开答疑会。</w:t>
      </w:r>
    </w:p>
    <w:p>
      <w:pPr>
        <w:pStyle w:val="2"/>
        <w:rPr>
          <w:rFonts w:hint="eastAsia"/>
          <w:lang w:eastAsia="zh-CN"/>
        </w:rPr>
      </w:pPr>
    </w:p>
    <w:p>
      <w:pPr>
        <w:pStyle w:val="3"/>
        <w:spacing w:before="360" w:after="360"/>
        <w:jc w:val="center"/>
        <w:rPr>
          <w:rFonts w:hint="eastAsia" w:ascii="宋体" w:hAnsi="宋体"/>
          <w:b/>
          <w:bCs/>
          <w:sz w:val="32"/>
          <w:szCs w:val="32"/>
          <w:lang w:eastAsia="zh-CN"/>
        </w:rPr>
      </w:pPr>
      <w:bookmarkStart w:id="9" w:name="_Toc32139"/>
      <w:bookmarkStart w:id="10" w:name="_Toc29944"/>
    </w:p>
    <w:p>
      <w:pPr>
        <w:pStyle w:val="3"/>
        <w:spacing w:before="360" w:after="360"/>
        <w:jc w:val="center"/>
        <w:rPr>
          <w:rFonts w:hint="eastAsia" w:ascii="宋体" w:hAnsi="宋体"/>
          <w:b/>
          <w:bCs/>
          <w:sz w:val="32"/>
          <w:szCs w:val="32"/>
          <w:lang w:eastAsia="zh-CN"/>
        </w:rPr>
      </w:pPr>
      <w:r>
        <w:rPr>
          <w:rFonts w:hint="eastAsia" w:ascii="宋体" w:hAnsi="宋体"/>
          <w:b/>
          <w:bCs/>
          <w:sz w:val="32"/>
          <w:szCs w:val="32"/>
          <w:lang w:eastAsia="zh-CN"/>
        </w:rPr>
        <w:t>第三章采购需求</w:t>
      </w:r>
      <w:bookmarkEnd w:id="9"/>
      <w:bookmarkEnd w:id="10"/>
    </w:p>
    <w:p>
      <w:pPr>
        <w:pStyle w:val="3"/>
        <w:spacing w:before="0" w:after="0" w:line="360" w:lineRule="auto"/>
        <w:rPr>
          <w:rFonts w:hAnsi="宋体"/>
          <w:b w:val="0"/>
          <w:bCs w:val="0"/>
          <w:sz w:val="28"/>
          <w:szCs w:val="28"/>
        </w:rPr>
      </w:pPr>
      <w:r>
        <w:rPr>
          <w:rFonts w:hint="eastAsia" w:hAnsi="宋体"/>
          <w:b/>
          <w:bCs/>
          <w:sz w:val="28"/>
          <w:szCs w:val="28"/>
        </w:rPr>
        <w:t>一、项目概况</w:t>
      </w:r>
      <w:r>
        <w:rPr>
          <w:rFonts w:hint="eastAsia" w:hAnsi="宋体"/>
          <w:b w:val="0"/>
          <w:bCs w:val="0"/>
          <w:sz w:val="28"/>
          <w:szCs w:val="28"/>
        </w:rPr>
        <w:t>：</w:t>
      </w:r>
    </w:p>
    <w:p>
      <w:pPr>
        <w:widowControl/>
        <w:wordWrap/>
        <w:adjustRightInd/>
        <w:snapToGrid/>
        <w:spacing w:line="360" w:lineRule="auto"/>
        <w:ind w:firstLine="480" w:firstLineChars="200"/>
        <w:textAlignment w:val="auto"/>
        <w:rPr>
          <w:rFonts w:hint="eastAsia" w:ascii="Times New Roman" w:hAnsi="Times New Roman" w:eastAsia="宋体" w:cs="Times New Roman"/>
        </w:rPr>
      </w:pPr>
      <w:r>
        <w:rPr>
          <w:rFonts w:hint="eastAsia" w:ascii="Times New Roman" w:hAnsi="Times New Roman" w:eastAsia="宋体" w:cs="Times New Roman"/>
        </w:rPr>
        <w:t>1.1采购单位:海南省残疾人联合会</w:t>
      </w:r>
    </w:p>
    <w:p>
      <w:pPr>
        <w:widowControl/>
        <w:wordWrap/>
        <w:adjustRightInd/>
        <w:snapToGrid/>
        <w:spacing w:line="360" w:lineRule="auto"/>
        <w:ind w:firstLine="480" w:firstLineChars="200"/>
        <w:textAlignment w:val="auto"/>
        <w:rPr>
          <w:rFonts w:hint="eastAsia" w:ascii="Times New Roman" w:hAnsi="Times New Roman" w:eastAsia="宋体" w:cs="Times New Roman"/>
        </w:rPr>
      </w:pPr>
      <w:r>
        <w:rPr>
          <w:rFonts w:hint="eastAsia" w:ascii="Times New Roman" w:hAnsi="Times New Roman" w:eastAsia="宋体" w:cs="Times New Roman"/>
        </w:rPr>
        <w:t>1.2项目名称：为残疾人购买商业保险项目（2024年）（统招分签）</w:t>
      </w:r>
    </w:p>
    <w:p>
      <w:pPr>
        <w:widowControl/>
        <w:wordWrap/>
        <w:adjustRightInd/>
        <w:snapToGrid/>
        <w:spacing w:line="360" w:lineRule="auto"/>
        <w:ind w:firstLine="480" w:firstLineChars="200"/>
        <w:textAlignment w:val="auto"/>
        <w:rPr>
          <w:rFonts w:hint="eastAsia" w:ascii="Times New Roman" w:hAnsi="Times New Roman" w:eastAsia="宋体" w:cs="Times New Roman"/>
          <w:lang w:eastAsia="zh-CN"/>
        </w:rPr>
      </w:pPr>
      <w:r>
        <w:rPr>
          <w:rFonts w:hint="eastAsia" w:ascii="Times New Roman" w:hAnsi="Times New Roman" w:eastAsia="宋体" w:cs="Times New Roman"/>
        </w:rPr>
        <w:t>1.3项目编号：HN</w:t>
      </w:r>
      <w:r>
        <w:rPr>
          <w:rFonts w:hint="eastAsia" w:ascii="Times New Roman" w:hAnsi="Times New Roman" w:eastAsia="宋体" w:cs="Times New Roman"/>
          <w:lang w:eastAsia="zh-CN"/>
        </w:rPr>
        <w:t>HJ2</w:t>
      </w:r>
      <w:r>
        <w:rPr>
          <w:rFonts w:hint="eastAsia" w:ascii="Times New Roman" w:hAnsi="Times New Roman" w:eastAsia="宋体" w:cs="Times New Roman"/>
        </w:rPr>
        <w:t>02</w:t>
      </w:r>
      <w:r>
        <w:rPr>
          <w:rFonts w:hint="eastAsia" w:ascii="Times New Roman" w:hAnsi="Times New Roman" w:eastAsia="宋体" w:cs="Times New Roman"/>
          <w:lang w:eastAsia="zh-CN"/>
        </w:rPr>
        <w:t>4</w:t>
      </w:r>
      <w:r>
        <w:rPr>
          <w:rFonts w:hint="eastAsia" w:ascii="Times New Roman" w:hAnsi="Times New Roman" w:eastAsia="宋体" w:cs="Times New Roman"/>
        </w:rPr>
        <w:t>-</w:t>
      </w:r>
      <w:r>
        <w:rPr>
          <w:rFonts w:hint="eastAsia" w:ascii="Times New Roman" w:hAnsi="Times New Roman" w:eastAsia="宋体" w:cs="Times New Roman"/>
          <w:lang w:eastAsia="zh-CN"/>
        </w:rPr>
        <w:t>03-002</w:t>
      </w:r>
    </w:p>
    <w:p>
      <w:pPr>
        <w:widowControl/>
        <w:wordWrap/>
        <w:adjustRightInd/>
        <w:snapToGrid/>
        <w:spacing w:line="360" w:lineRule="auto"/>
        <w:ind w:firstLine="480" w:firstLineChars="200"/>
        <w:textAlignment w:val="auto"/>
        <w:rPr>
          <w:rFonts w:hint="eastAsia" w:ascii="Times New Roman" w:hAnsi="Times New Roman" w:eastAsia="宋体" w:cs="Times New Roman"/>
        </w:rPr>
      </w:pPr>
      <w:r>
        <w:rPr>
          <w:rFonts w:hint="eastAsia" w:ascii="Times New Roman" w:hAnsi="Times New Roman" w:eastAsia="宋体" w:cs="Times New Roman"/>
        </w:rPr>
        <w:t>1.4采购预算：</w:t>
      </w:r>
      <w:r>
        <w:rPr>
          <w:rFonts w:hint="eastAsia" w:ascii="Times New Roman" w:hAnsi="Times New Roman" w:eastAsia="宋体" w:cs="Times New Roman"/>
          <w:lang w:eastAsia="zh-CN"/>
        </w:rPr>
        <w:t>1650</w:t>
      </w:r>
      <w:r>
        <w:rPr>
          <w:rFonts w:hint="eastAsia" w:ascii="Times New Roman" w:hAnsi="Times New Roman" w:eastAsia="宋体" w:cs="Times New Roman"/>
        </w:rPr>
        <w:t>.00万元</w:t>
      </w:r>
    </w:p>
    <w:p>
      <w:pPr>
        <w:widowControl/>
        <w:wordWrap/>
        <w:adjustRightInd/>
        <w:snapToGrid/>
        <w:spacing w:line="360" w:lineRule="auto"/>
        <w:ind w:firstLine="480" w:firstLineChars="200"/>
        <w:textAlignment w:val="auto"/>
        <w:rPr>
          <w:rFonts w:hint="eastAsia" w:ascii="Times New Roman" w:hAnsi="Times New Roman" w:eastAsia="宋体" w:cs="Times New Roman"/>
          <w:lang w:eastAsia="zh-CN"/>
        </w:rPr>
      </w:pPr>
      <w:r>
        <w:rPr>
          <w:rFonts w:hint="eastAsia" w:ascii="Times New Roman" w:hAnsi="Times New Roman" w:eastAsia="宋体" w:cs="Times New Roman"/>
        </w:rPr>
        <w:t>1.5用途：海南省残疾人联合会为全省残疾人建立综合人身保险保障</w:t>
      </w:r>
      <w:r>
        <w:rPr>
          <w:rFonts w:hint="eastAsia" w:ascii="Times New Roman" w:hAnsi="Times New Roman" w:eastAsia="宋体" w:cs="Times New Roman"/>
          <w:lang w:eastAsia="zh-CN"/>
        </w:rPr>
        <w:t>。</w:t>
      </w:r>
    </w:p>
    <w:p>
      <w:pPr>
        <w:widowControl/>
        <w:wordWrap/>
        <w:adjustRightInd/>
        <w:snapToGrid/>
        <w:spacing w:line="360" w:lineRule="auto"/>
        <w:ind w:firstLine="480" w:firstLineChars="200"/>
        <w:textAlignment w:val="auto"/>
        <w:rPr>
          <w:rFonts w:hint="eastAsia" w:ascii="Times New Roman" w:hAnsi="Times New Roman" w:eastAsia="宋体" w:cs="Times New Roman"/>
          <w:lang w:eastAsia="zh-CN"/>
        </w:rPr>
      </w:pPr>
      <w:r>
        <w:rPr>
          <w:rFonts w:hint="eastAsia" w:ascii="Times New Roman" w:hAnsi="Times New Roman" w:eastAsia="宋体" w:cs="Times New Roman"/>
        </w:rPr>
        <w:t>1.6合同履行期限（服务期）：</w:t>
      </w:r>
      <w:r>
        <w:rPr>
          <w:rFonts w:hint="eastAsia" w:ascii="宋体" w:hAnsi="宋体"/>
          <w:lang w:val="en-US" w:eastAsia="zh-CN"/>
        </w:rPr>
        <w:t>一年</w:t>
      </w:r>
      <w:r>
        <w:rPr>
          <w:rFonts w:hint="eastAsia" w:ascii="Times New Roman" w:hAnsi="Times New Roman" w:eastAsia="宋体" w:cs="Times New Roman"/>
        </w:rPr>
        <w:t>。</w:t>
      </w:r>
    </w:p>
    <w:p>
      <w:pPr>
        <w:widowControl/>
        <w:wordWrap/>
        <w:adjustRightInd/>
        <w:snapToGrid/>
        <w:spacing w:line="360" w:lineRule="auto"/>
        <w:ind w:firstLine="480" w:firstLineChars="200"/>
        <w:textAlignment w:val="auto"/>
        <w:rPr>
          <w:rFonts w:hint="eastAsia" w:ascii="Times New Roman" w:hAnsi="Times New Roman" w:eastAsia="宋体" w:cs="Times New Roman"/>
          <w:lang w:eastAsia="zh-CN"/>
        </w:rPr>
      </w:pPr>
      <w:r>
        <w:rPr>
          <w:rFonts w:hint="eastAsia" w:ascii="Times New Roman" w:hAnsi="Times New Roman" w:eastAsia="宋体" w:cs="Times New Roman"/>
        </w:rPr>
        <w:t>1.7服务内容：合同履行期限内，承保单位在保持投标报价不变的前提下，需对持证（包括新增）的残疾人建立综合人身保险保障。</w:t>
      </w:r>
    </w:p>
    <w:p>
      <w:pPr>
        <w:widowControl/>
        <w:wordWrap/>
        <w:adjustRightInd/>
        <w:snapToGrid/>
        <w:spacing w:line="360" w:lineRule="auto"/>
        <w:ind w:firstLine="480" w:firstLineChars="200"/>
        <w:textAlignment w:val="auto"/>
        <w:rPr>
          <w:rFonts w:hint="eastAsia" w:ascii="Times New Roman" w:hAnsi="Times New Roman" w:eastAsia="宋体" w:cs="Times New Roman"/>
          <w:lang w:eastAsia="zh-CN"/>
        </w:rPr>
      </w:pPr>
      <w:r>
        <w:rPr>
          <w:rFonts w:hint="eastAsia" w:ascii="Times New Roman" w:hAnsi="Times New Roman" w:eastAsia="宋体" w:cs="Times New Roman"/>
        </w:rPr>
        <w:t>1.8</w:t>
      </w:r>
      <w:r>
        <w:rPr>
          <w:rFonts w:hint="eastAsia" w:ascii="Times New Roman" w:hAnsi="Times New Roman" w:eastAsia="宋体" w:cs="Times New Roman"/>
          <w:lang w:eastAsia="zh-CN"/>
        </w:rPr>
        <w:t>本项目采购标的对应的中小企业划分标准所属行业：租赁和商务服务业。</w:t>
      </w:r>
    </w:p>
    <w:p>
      <w:pPr>
        <w:widowControl/>
        <w:wordWrap/>
        <w:adjustRightInd/>
        <w:snapToGrid/>
        <w:spacing w:line="360" w:lineRule="auto"/>
        <w:ind w:firstLine="480" w:firstLineChars="200"/>
        <w:textAlignment w:val="auto"/>
        <w:rPr>
          <w:rFonts w:hint="eastAsia" w:ascii="Times New Roman" w:hAnsi="Times New Roman" w:eastAsia="宋体" w:cs="Times New Roman"/>
        </w:rPr>
      </w:pPr>
      <w:r>
        <w:rPr>
          <w:rFonts w:hint="eastAsia" w:ascii="Times New Roman" w:hAnsi="Times New Roman" w:eastAsia="宋体" w:cs="Times New Roman"/>
          <w:lang w:eastAsia="zh-CN"/>
        </w:rPr>
        <w:t>1.9</w:t>
      </w:r>
      <w:r>
        <w:rPr>
          <w:rFonts w:hint="eastAsia" w:ascii="Times New Roman" w:hAnsi="Times New Roman" w:eastAsia="宋体" w:cs="Times New Roman"/>
        </w:rPr>
        <w:t>各市县残疾人人数及保险费</w:t>
      </w:r>
    </w:p>
    <w:tbl>
      <w:tblPr>
        <w:tblStyle w:val="52"/>
        <w:tblW w:w="8433" w:type="dxa"/>
        <w:tblInd w:w="135"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2136"/>
        <w:gridCol w:w="2393"/>
        <w:gridCol w:w="2059"/>
        <w:gridCol w:w="184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single" w:color="000000" w:sz="8" w:space="0"/>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b/>
                <w:kern w:val="2"/>
                <w:sz w:val="20"/>
                <w:szCs w:val="20"/>
                <w:lang w:val="en-US"/>
              </w:rPr>
            </w:pPr>
            <w:r>
              <w:rPr>
                <w:rFonts w:hint="eastAsia" w:ascii="宋体" w:hAnsi="宋体" w:eastAsia="宋体" w:cs="宋体"/>
                <w:b/>
                <w:kern w:val="0"/>
                <w:sz w:val="24"/>
                <w:szCs w:val="24"/>
                <w:lang w:val="en-US" w:eastAsia="zh-CN" w:bidi="ar-SA"/>
              </w:rPr>
              <w:t>市县</w:t>
            </w:r>
          </w:p>
        </w:tc>
        <w:tc>
          <w:tcPr>
            <w:tcW w:w="2393"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b/>
                <w:kern w:val="2"/>
                <w:sz w:val="20"/>
                <w:szCs w:val="20"/>
                <w:lang w:val="en-US"/>
              </w:rPr>
            </w:pPr>
            <w:r>
              <w:rPr>
                <w:rFonts w:hint="eastAsia" w:ascii="宋体" w:hAnsi="宋体" w:eastAsia="宋体" w:cs="宋体"/>
                <w:b/>
                <w:kern w:val="0"/>
                <w:sz w:val="24"/>
                <w:szCs w:val="24"/>
                <w:lang w:val="en-US" w:eastAsia="zh-CN" w:bidi="ar-SA"/>
              </w:rPr>
              <w:t>人数（人）</w:t>
            </w:r>
          </w:p>
        </w:tc>
        <w:tc>
          <w:tcPr>
            <w:tcW w:w="2059"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b/>
                <w:kern w:val="2"/>
                <w:sz w:val="20"/>
                <w:szCs w:val="20"/>
                <w:lang w:val="en-US"/>
              </w:rPr>
            </w:pPr>
            <w:r>
              <w:rPr>
                <w:rFonts w:hint="eastAsia" w:ascii="宋体" w:hAnsi="宋体" w:eastAsia="宋体" w:cs="宋体"/>
                <w:b/>
                <w:kern w:val="0"/>
                <w:sz w:val="24"/>
                <w:szCs w:val="24"/>
                <w:lang w:val="en-US" w:eastAsia="zh-CN" w:bidi="ar-SA"/>
              </w:rPr>
              <w:t>资金（万元）</w:t>
            </w:r>
          </w:p>
        </w:tc>
        <w:tc>
          <w:tcPr>
            <w:tcW w:w="1845"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b/>
                <w:kern w:val="2"/>
                <w:sz w:val="20"/>
                <w:szCs w:val="20"/>
                <w:lang w:val="en-US"/>
              </w:rPr>
            </w:pPr>
            <w:r>
              <w:rPr>
                <w:rFonts w:hint="eastAsia" w:ascii="宋体" w:hAnsi="宋体" w:eastAsia="宋体" w:cs="宋体"/>
                <w:b/>
                <w:kern w:val="0"/>
                <w:sz w:val="24"/>
                <w:szCs w:val="24"/>
                <w:lang w:val="en-US" w:eastAsia="zh-CN" w:bidi="ar-SA"/>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海口市</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eastAsia="zh-CN"/>
              </w:rPr>
            </w:pPr>
            <w:r>
              <w:rPr>
                <w:rFonts w:hint="eastAsia" w:ascii="宋体" w:hAnsi="宋体" w:eastAsia="宋体" w:cs="宋体"/>
                <w:kern w:val="0"/>
                <w:sz w:val="24"/>
                <w:szCs w:val="24"/>
                <w:lang w:val="en-US" w:eastAsia="zh-CN" w:bidi="ar-SA"/>
              </w:rPr>
              <w:t xml:space="preserve">28574 </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243.43</w:t>
            </w:r>
          </w:p>
        </w:tc>
        <w:tc>
          <w:tcPr>
            <w:tcW w:w="1845" w:type="dxa"/>
            <w:vMerge w:val="restart"/>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line="440" w:lineRule="exact"/>
              <w:ind w:left="0" w:right="0"/>
              <w:jc w:val="left"/>
              <w:textAlignment w:val="center"/>
              <w:rPr>
                <w:rFonts w:hint="eastAsia" w:ascii="宋体" w:hAnsi="宋体" w:eastAsia="宋体" w:cs="宋体"/>
                <w:kern w:val="2"/>
                <w:sz w:val="20"/>
                <w:szCs w:val="20"/>
                <w:lang w:val="en-US"/>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三亚市</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eastAsia="zh-CN"/>
              </w:rPr>
            </w:pPr>
            <w:r>
              <w:rPr>
                <w:rFonts w:hint="eastAsia" w:ascii="宋体" w:hAnsi="宋体" w:eastAsia="宋体" w:cs="宋体"/>
                <w:kern w:val="0"/>
                <w:sz w:val="24"/>
                <w:szCs w:val="24"/>
                <w:lang w:val="en-US" w:eastAsia="zh-CN" w:bidi="ar-SA"/>
              </w:rPr>
              <w:t xml:space="preserve">11865 </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101.03</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五指山市</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3912</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33.35</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琼海市</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12202</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103.9</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儋州市（含洋浦）</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eastAsia="zh-CN"/>
              </w:rPr>
            </w:pPr>
            <w:r>
              <w:rPr>
                <w:rFonts w:hint="eastAsia" w:ascii="宋体" w:hAnsi="宋体" w:eastAsia="宋体" w:cs="宋体"/>
                <w:kern w:val="0"/>
                <w:sz w:val="24"/>
                <w:szCs w:val="24"/>
                <w:lang w:val="en-US" w:eastAsia="zh-CN" w:bidi="ar-SA"/>
              </w:rPr>
              <w:t xml:space="preserve">19192 </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eastAsia="zh-CN"/>
              </w:rPr>
            </w:pPr>
            <w:r>
              <w:rPr>
                <w:rFonts w:hint="eastAsia" w:ascii="宋体" w:hAnsi="宋体" w:eastAsia="宋体" w:cs="宋体"/>
                <w:kern w:val="0"/>
                <w:sz w:val="24"/>
                <w:szCs w:val="24"/>
                <w:lang w:val="en-US" w:eastAsia="zh-CN" w:bidi="ar-SA"/>
              </w:rPr>
              <w:t xml:space="preserve">163.51 </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文昌市</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11577</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98.56</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万宁市</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12966</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110.44</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东方市</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eastAsia="zh-CN"/>
              </w:rPr>
            </w:pPr>
            <w:r>
              <w:rPr>
                <w:rFonts w:hint="eastAsia" w:ascii="宋体" w:hAnsi="宋体" w:eastAsia="宋体" w:cs="宋体"/>
                <w:kern w:val="0"/>
                <w:sz w:val="24"/>
                <w:szCs w:val="24"/>
                <w:lang w:val="en-US" w:eastAsia="zh-CN" w:bidi="ar-SA"/>
              </w:rPr>
              <w:t xml:space="preserve">10575 </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90.12</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定安县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6913</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58.88</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屯昌县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6448</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54.94</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澄迈县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13442</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114.58</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临高县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11516</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98.11</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白沙县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5662</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48.29</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昌江县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8185</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eastAsia="zh-CN"/>
              </w:rPr>
            </w:pPr>
            <w:r>
              <w:rPr>
                <w:rFonts w:hint="eastAsia" w:ascii="宋体" w:hAnsi="宋体" w:eastAsia="宋体" w:cs="宋体"/>
                <w:kern w:val="0"/>
                <w:sz w:val="24"/>
                <w:szCs w:val="24"/>
                <w:lang w:val="en-US" w:eastAsia="zh-CN" w:bidi="ar-SA"/>
              </w:rPr>
              <w:t xml:space="preserve">69.78 </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乐东县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eastAsia="zh-CN"/>
              </w:rPr>
            </w:pPr>
            <w:r>
              <w:rPr>
                <w:rFonts w:hint="eastAsia" w:ascii="宋体" w:hAnsi="宋体" w:eastAsia="宋体" w:cs="宋体"/>
                <w:kern w:val="0"/>
                <w:sz w:val="24"/>
                <w:szCs w:val="24"/>
                <w:lang w:val="en-US" w:eastAsia="zh-CN" w:bidi="ar-SA"/>
              </w:rPr>
              <w:t xml:space="preserve">12847 </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109.42</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陵水县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8627</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73.52</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保亭县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4159</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eastAsia="zh-CN"/>
              </w:rPr>
            </w:pPr>
            <w:r>
              <w:rPr>
                <w:rFonts w:hint="eastAsia" w:ascii="宋体" w:hAnsi="宋体" w:eastAsia="宋体" w:cs="宋体"/>
                <w:kern w:val="0"/>
                <w:sz w:val="24"/>
                <w:szCs w:val="24"/>
                <w:lang w:val="en-US" w:eastAsia="zh-CN" w:bidi="ar-SA"/>
              </w:rPr>
              <w:t xml:space="preserve">35.44 </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琼中县</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5027</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sz w:val="20"/>
                <w:szCs w:val="20"/>
                <w:lang w:val="en-US" w:eastAsia="zh-CN"/>
              </w:rPr>
            </w:pPr>
            <w:r>
              <w:rPr>
                <w:rFonts w:hint="eastAsia" w:ascii="宋体" w:hAnsi="宋体" w:eastAsia="宋体" w:cs="宋体"/>
                <w:kern w:val="0"/>
                <w:sz w:val="24"/>
                <w:szCs w:val="24"/>
                <w:lang w:val="en-US" w:eastAsia="zh-CN" w:bidi="ar-SA"/>
              </w:rPr>
              <w:t xml:space="preserve"> 42.7</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2136"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合计</w:t>
            </w:r>
          </w:p>
        </w:tc>
        <w:tc>
          <w:tcPr>
            <w:tcW w:w="2393"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eastAsia="zh-CN"/>
              </w:rPr>
            </w:pPr>
            <w:r>
              <w:rPr>
                <w:rFonts w:hint="eastAsia" w:ascii="宋体" w:hAnsi="宋体" w:eastAsia="宋体" w:cs="宋体"/>
                <w:kern w:val="0"/>
                <w:sz w:val="24"/>
                <w:szCs w:val="24"/>
                <w:lang w:val="en-US" w:eastAsia="zh-CN" w:bidi="ar-SA"/>
              </w:rPr>
              <w:t xml:space="preserve">193689 </w:t>
            </w:r>
          </w:p>
        </w:tc>
        <w:tc>
          <w:tcPr>
            <w:tcW w:w="2059" w:type="dxa"/>
            <w:tcBorders>
              <w:top w:val="nil"/>
              <w:left w:val="nil"/>
              <w:bottom w:val="single" w:color="000000" w:sz="8" w:space="0"/>
              <w:right w:val="single" w:color="000000" w:sz="8" w:space="0"/>
            </w:tcBorders>
            <w:vAlign w:val="center"/>
          </w:tcPr>
          <w:p>
            <w:pPr>
              <w:widowControl/>
              <w:spacing w:before="0" w:beforeAutospacing="0" w:after="0" w:afterAutospacing="0" w:line="440" w:lineRule="exact"/>
              <w:ind w:left="0" w:right="0"/>
              <w:jc w:val="center"/>
              <w:textAlignment w:val="center"/>
              <w:rPr>
                <w:rFonts w:hint="eastAsia" w:ascii="宋体" w:hAnsi="宋体" w:eastAsia="宋体" w:cs="宋体"/>
                <w:kern w:val="2"/>
                <w:sz w:val="20"/>
                <w:szCs w:val="20"/>
                <w:lang w:val="en-US"/>
              </w:rPr>
            </w:pPr>
            <w:r>
              <w:rPr>
                <w:rFonts w:hint="eastAsia" w:ascii="宋体" w:hAnsi="宋体" w:eastAsia="宋体" w:cs="宋体"/>
                <w:kern w:val="0"/>
                <w:sz w:val="24"/>
                <w:szCs w:val="24"/>
                <w:lang w:val="en-US" w:eastAsia="zh-CN" w:bidi="ar-SA"/>
              </w:rPr>
              <w:t>1650</w:t>
            </w:r>
          </w:p>
        </w:tc>
        <w:tc>
          <w:tcPr>
            <w:tcW w:w="1845" w:type="dxa"/>
            <w:vMerge w:val="continue"/>
            <w:tcBorders>
              <w:top w:val="nil"/>
              <w:left w:val="single" w:color="000000" w:sz="4" w:space="0"/>
              <w:bottom w:val="single" w:color="000000" w:sz="4" w:space="0"/>
              <w:right w:val="single" w:color="000000" w:sz="4" w:space="0"/>
            </w:tcBorders>
            <w:vAlign w:val="center"/>
          </w:tcPr>
          <w:p>
            <w:pPr>
              <w:widowControl/>
              <w:spacing w:before="0" w:beforeAutospacing="0" w:after="0" w:afterAutospacing="0"/>
              <w:ind w:left="0" w:right="0"/>
              <w:rPr>
                <w:rFonts w:hint="default" w:ascii="Times New Roman" w:hAnsi="Times New Roman" w:cs="Times New Roman"/>
                <w:sz w:val="20"/>
                <w:szCs w:val="20"/>
              </w:rPr>
            </w:pPr>
          </w:p>
        </w:tc>
      </w:tr>
    </w:tbl>
    <w:p>
      <w:pPr>
        <w:pStyle w:val="2"/>
        <w:rPr>
          <w:rFonts w:hint="eastAsia"/>
        </w:rPr>
      </w:pPr>
    </w:p>
    <w:p>
      <w:pPr>
        <w:keepNext/>
        <w:keepLines/>
        <w:shd w:val="clear" w:color="auto" w:fill="FFFFFF"/>
        <w:snapToGrid w:val="0"/>
        <w:spacing w:after="120" w:line="440" w:lineRule="exact"/>
        <w:outlineLvl w:val="0"/>
        <w:rPr>
          <w:rFonts w:hint="eastAsia" w:ascii="宋体" w:hAnsi="宋体"/>
          <w:b/>
          <w:bCs/>
          <w:kern w:val="2"/>
          <w:sz w:val="28"/>
          <w:szCs w:val="28"/>
        </w:rPr>
      </w:pPr>
      <w:r>
        <w:rPr>
          <w:rFonts w:hint="eastAsia" w:ascii="宋体" w:hAnsi="宋体"/>
          <w:b/>
          <w:bCs/>
          <w:kern w:val="44"/>
          <w:sz w:val="28"/>
          <w:szCs w:val="28"/>
        </w:rPr>
        <w:t>二、赔付标准</w:t>
      </w:r>
    </w:p>
    <w:tbl>
      <w:tblPr>
        <w:tblStyle w:val="52"/>
        <w:tblW w:w="889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7"/>
        <w:gridCol w:w="2069"/>
        <w:gridCol w:w="1594"/>
        <w:gridCol w:w="1762"/>
        <w:gridCol w:w="303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7" w:type="dxa"/>
            <w:tcBorders>
              <w:top w:val="single" w:color="000000" w:sz="8" w:space="0"/>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b/>
                <w:bCs/>
                <w:color w:val="000000"/>
                <w:sz w:val="22"/>
                <w:szCs w:val="22"/>
              </w:rPr>
            </w:pPr>
            <w:r>
              <w:rPr>
                <w:rFonts w:hint="eastAsia" w:ascii="宋体" w:hAnsi="宋体" w:cs="宋体"/>
                <w:b/>
                <w:bCs/>
                <w:color w:val="000000"/>
                <w:sz w:val="22"/>
                <w:szCs w:val="22"/>
              </w:rPr>
              <w:t>层级</w:t>
            </w:r>
          </w:p>
        </w:tc>
        <w:tc>
          <w:tcPr>
            <w:tcW w:w="2069"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b/>
                <w:bCs/>
                <w:color w:val="000000"/>
                <w:sz w:val="22"/>
                <w:szCs w:val="22"/>
              </w:rPr>
            </w:pPr>
            <w:r>
              <w:rPr>
                <w:rFonts w:hint="eastAsia" w:ascii="宋体" w:hAnsi="宋体" w:cs="宋体"/>
                <w:b/>
                <w:bCs/>
                <w:color w:val="000000"/>
                <w:sz w:val="22"/>
                <w:szCs w:val="22"/>
              </w:rPr>
              <w:t>层级名称</w:t>
            </w:r>
          </w:p>
        </w:tc>
        <w:tc>
          <w:tcPr>
            <w:tcW w:w="1594"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b/>
                <w:bCs/>
                <w:color w:val="000000"/>
                <w:sz w:val="22"/>
                <w:szCs w:val="22"/>
              </w:rPr>
            </w:pPr>
            <w:r>
              <w:rPr>
                <w:rFonts w:hint="eastAsia" w:ascii="宋体" w:hAnsi="宋体" w:cs="宋体"/>
                <w:b/>
                <w:bCs/>
                <w:color w:val="000000"/>
                <w:sz w:val="22"/>
                <w:szCs w:val="22"/>
              </w:rPr>
              <w:t>保险责任项目</w:t>
            </w:r>
          </w:p>
        </w:tc>
        <w:tc>
          <w:tcPr>
            <w:tcW w:w="1762"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b/>
                <w:bCs/>
                <w:color w:val="000000"/>
                <w:sz w:val="22"/>
                <w:szCs w:val="22"/>
              </w:rPr>
            </w:pPr>
            <w:r>
              <w:rPr>
                <w:rFonts w:hint="eastAsia" w:ascii="宋体" w:hAnsi="宋体" w:cs="宋体"/>
                <w:b/>
                <w:bCs/>
                <w:color w:val="000000"/>
                <w:sz w:val="22"/>
                <w:szCs w:val="22"/>
              </w:rPr>
              <w:t>保险金额</w:t>
            </w:r>
          </w:p>
        </w:tc>
        <w:tc>
          <w:tcPr>
            <w:tcW w:w="3031"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b/>
                <w:bCs/>
                <w:color w:val="000000"/>
                <w:sz w:val="22"/>
                <w:szCs w:val="22"/>
              </w:rPr>
            </w:pPr>
            <w:r>
              <w:rPr>
                <w:rFonts w:hint="eastAsia" w:ascii="宋体" w:hAnsi="宋体" w:cs="宋体"/>
                <w:b/>
                <w:bCs/>
                <w:color w:val="000000"/>
                <w:sz w:val="22"/>
                <w:szCs w:val="22"/>
              </w:rPr>
              <w:t>特别备注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trPr>
        <w:tc>
          <w:tcPr>
            <w:tcW w:w="437" w:type="dxa"/>
            <w:vMerge w:val="restart"/>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color w:val="000000"/>
                <w:sz w:val="22"/>
                <w:szCs w:val="22"/>
              </w:rPr>
            </w:pPr>
            <w:r>
              <w:rPr>
                <w:rFonts w:hint="eastAsia" w:ascii="宋体" w:hAnsi="宋体" w:cs="宋体"/>
                <w:color w:val="000000"/>
                <w:sz w:val="22"/>
                <w:szCs w:val="22"/>
              </w:rPr>
              <w:t>一</w:t>
            </w:r>
          </w:p>
        </w:tc>
        <w:tc>
          <w:tcPr>
            <w:tcW w:w="2069" w:type="dxa"/>
            <w:vMerge w:val="restart"/>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有民事行为能力人（含限制民事行为能力人与完全民事行为能力人）</w:t>
            </w: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意外伤害保险责任（身故、伤残保险责任）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80000元/人（法定节假日期间保额提升至160000元/人）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因遭受意外伤害事故导致的身故责任，按约定保额进行赔付；意外伤残按照相关约定赔付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意外医疗保险金责任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25000元/人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每次意外医疗费用按100%赔付，包含救护车费用等科目在内的自费药责任。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意外住院津贴保险金责任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250元/天/人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按照实际住院天数赔付，最高赔付</w:t>
            </w:r>
            <w:r>
              <w:rPr>
                <w:rFonts w:hint="eastAsia" w:ascii="宋体" w:hAnsi="宋体" w:cs="宋体"/>
                <w:b/>
                <w:bCs/>
                <w:color w:val="auto"/>
                <w:sz w:val="22"/>
                <w:szCs w:val="22"/>
              </w:rPr>
              <w:t>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重大疾病保险金责任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40000元/人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中国保险行业协会制定的《重大疾病保险的疾病定义使用规范(2020年修订版)》的疾病定义，包含28种重大疾病和3种轻症疾病</w:t>
            </w:r>
            <w:r>
              <w:rPr>
                <w:rFonts w:hint="eastAsia" w:ascii="宋体" w:hAnsi="宋体" w:cs="宋体"/>
                <w:color w:val="000000"/>
                <w:sz w:val="22"/>
                <w:szCs w:val="22"/>
                <w:lang w:val="en-US" w:eastAsia="zh-CN"/>
              </w:rPr>
              <w:t>基础上，扩展至不少于50种重大疾病</w:t>
            </w:r>
            <w:r>
              <w:rPr>
                <w:rFonts w:hint="eastAsia" w:ascii="宋体" w:hAnsi="宋体" w:cs="宋体"/>
                <w:color w:val="000000"/>
                <w:sz w:val="22"/>
                <w:szCs w:val="22"/>
              </w:rPr>
              <w:t>（</w:t>
            </w:r>
            <w:r>
              <w:rPr>
                <w:rFonts w:hint="eastAsia" w:ascii="宋体" w:hAnsi="宋体" w:cs="宋体"/>
                <w:color w:val="000000"/>
                <w:sz w:val="22"/>
                <w:szCs w:val="22"/>
                <w:lang w:val="en-US" w:eastAsia="zh-CN"/>
              </w:rPr>
              <w:t>包括但不限于</w:t>
            </w:r>
            <w:r>
              <w:rPr>
                <w:rFonts w:hint="eastAsia" w:ascii="宋体" w:hAnsi="宋体" w:cs="宋体"/>
                <w:color w:val="000000"/>
                <w:sz w:val="22"/>
                <w:szCs w:val="22"/>
              </w:rPr>
              <w:t>视神经脊髓炎谱系疾病</w:t>
            </w:r>
            <w:r>
              <w:rPr>
                <w:rFonts w:hint="eastAsia" w:ascii="宋体" w:hAnsi="宋体" w:cs="宋体"/>
                <w:color w:val="000000"/>
                <w:sz w:val="22"/>
                <w:szCs w:val="22"/>
                <w:lang w:val="en-US" w:eastAsia="zh-CN"/>
              </w:rPr>
              <w:t>等罕见重大疾病</w:t>
            </w:r>
            <w:r>
              <w:rPr>
                <w:rFonts w:hint="eastAsia" w:ascii="宋体" w:hAnsi="宋体" w:cs="宋体"/>
                <w:color w:val="000000"/>
                <w:sz w:val="22"/>
                <w:szCs w:val="22"/>
              </w:rPr>
              <w:t>，可通过特别约定加入）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1" w:hRule="atLeast"/>
        </w:trPr>
        <w:tc>
          <w:tcPr>
            <w:tcW w:w="437" w:type="dxa"/>
            <w:vMerge w:val="restart"/>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color w:val="000000"/>
                <w:sz w:val="22"/>
                <w:szCs w:val="22"/>
              </w:rPr>
            </w:pPr>
            <w:r>
              <w:rPr>
                <w:rFonts w:hint="eastAsia" w:ascii="宋体" w:hAnsi="宋体" w:cs="宋体"/>
                <w:color w:val="000000"/>
                <w:sz w:val="22"/>
                <w:szCs w:val="22"/>
              </w:rPr>
              <w:t>二</w:t>
            </w:r>
          </w:p>
        </w:tc>
        <w:tc>
          <w:tcPr>
            <w:tcW w:w="2069" w:type="dxa"/>
            <w:vMerge w:val="restart"/>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无民事行为能力人</w:t>
            </w: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意外伤残保险责任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FF0000"/>
                <w:sz w:val="22"/>
                <w:szCs w:val="22"/>
              </w:rPr>
            </w:pPr>
            <w:r>
              <w:rPr>
                <w:rFonts w:hint="eastAsia" w:ascii="宋体" w:hAnsi="宋体" w:cs="宋体"/>
                <w:color w:val="auto"/>
                <w:sz w:val="22"/>
                <w:szCs w:val="22"/>
              </w:rPr>
              <w:t>80000元/人（法定节假日期间保额提升至160000元/人）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因遭受意外伤害事故导致的身故责任，按约定保额进行赔付；意外伤残按照相关约定赔付.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意外医疗保险金责任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25000元/人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每次意外医疗费用按100%赔付，包含救护车费用等科目在内的自费药责任。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意外住院津贴保险金责任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250元/天/人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按照实际住院天数赔付，最高赔付</w:t>
            </w:r>
            <w:r>
              <w:rPr>
                <w:rFonts w:hint="eastAsia" w:ascii="宋体" w:hAnsi="宋体" w:cs="宋体"/>
                <w:b/>
                <w:bCs/>
                <w:color w:val="auto"/>
                <w:sz w:val="22"/>
                <w:szCs w:val="22"/>
              </w:rPr>
              <w:t>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重大疾病保险金责任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FF0000"/>
                <w:sz w:val="22"/>
                <w:szCs w:val="22"/>
              </w:rPr>
            </w:pPr>
            <w:r>
              <w:rPr>
                <w:rFonts w:hint="eastAsia" w:ascii="宋体" w:hAnsi="宋体" w:cs="宋体"/>
                <w:color w:val="auto"/>
                <w:sz w:val="22"/>
                <w:szCs w:val="22"/>
              </w:rPr>
              <w:t>40000元/人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eastAsia="宋体" w:cs="宋体"/>
                <w:color w:val="000000"/>
                <w:sz w:val="22"/>
                <w:szCs w:val="22"/>
              </w:rPr>
              <w:t>中国保险行业协会制定的《重大疾病保险的疾病定义使用规范(2020年修订版)》的疾病定义，包含28种重大疾病和3种轻症疾病</w:t>
            </w:r>
            <w:r>
              <w:rPr>
                <w:rFonts w:hint="eastAsia" w:ascii="宋体" w:hAnsi="宋体" w:cs="宋体"/>
                <w:color w:val="000000"/>
                <w:sz w:val="22"/>
                <w:szCs w:val="22"/>
                <w:lang w:val="en-US" w:eastAsia="zh-CN"/>
              </w:rPr>
              <w:t>基础上，扩展至不少于50种重大疾病</w:t>
            </w:r>
            <w:r>
              <w:rPr>
                <w:rFonts w:hint="eastAsia" w:ascii="宋体" w:hAnsi="宋体" w:cs="宋体"/>
                <w:color w:val="000000"/>
                <w:sz w:val="22"/>
                <w:szCs w:val="22"/>
              </w:rPr>
              <w:t>（</w:t>
            </w:r>
            <w:r>
              <w:rPr>
                <w:rFonts w:hint="eastAsia" w:ascii="宋体" w:hAnsi="宋体" w:cs="宋体"/>
                <w:color w:val="000000"/>
                <w:sz w:val="22"/>
                <w:szCs w:val="22"/>
                <w:lang w:val="en-US" w:eastAsia="zh-CN"/>
              </w:rPr>
              <w:t>包括但不限于</w:t>
            </w:r>
            <w:r>
              <w:rPr>
                <w:rFonts w:hint="eastAsia" w:ascii="宋体" w:hAnsi="宋体" w:cs="宋体"/>
                <w:color w:val="000000"/>
                <w:sz w:val="22"/>
                <w:szCs w:val="22"/>
              </w:rPr>
              <w:t>视神经脊髓炎谱系疾病</w:t>
            </w:r>
            <w:r>
              <w:rPr>
                <w:rFonts w:hint="eastAsia" w:ascii="宋体" w:hAnsi="宋体" w:cs="宋体"/>
                <w:color w:val="000000"/>
                <w:sz w:val="22"/>
                <w:szCs w:val="22"/>
                <w:lang w:val="en-US" w:eastAsia="zh-CN"/>
              </w:rPr>
              <w:t>等罕见重大疾病</w:t>
            </w:r>
            <w:r>
              <w:rPr>
                <w:rFonts w:hint="eastAsia" w:ascii="宋体" w:hAnsi="宋体" w:cs="宋体"/>
                <w:color w:val="000000"/>
                <w:sz w:val="22"/>
                <w:szCs w:val="22"/>
              </w:rPr>
              <w:t>，可通过特别约定加入）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437"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color w:val="000000"/>
                <w:sz w:val="22"/>
                <w:szCs w:val="22"/>
              </w:rPr>
            </w:pPr>
            <w:r>
              <w:rPr>
                <w:rFonts w:hint="eastAsia" w:ascii="宋体" w:hAnsi="宋体" w:cs="宋体"/>
                <w:color w:val="000000"/>
                <w:sz w:val="22"/>
                <w:szCs w:val="22"/>
              </w:rPr>
              <w:t>三</w:t>
            </w:r>
          </w:p>
        </w:tc>
        <w:tc>
          <w:tcPr>
            <w:tcW w:w="2069" w:type="dxa"/>
            <w:vMerge w:val="restart"/>
            <w:tcBorders>
              <w:top w:val="nil"/>
              <w:left w:val="nil"/>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有民事行为能力人（含限制民事行为能力人与完全民事行为能力人）、无民事行为能力人</w:t>
            </w: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补充住院医疗保险金（公共保额）责任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10000元/人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eastAsia="宋体" w:cs="宋体"/>
                <w:color w:val="000000"/>
                <w:sz w:val="22"/>
                <w:szCs w:val="22"/>
                <w:lang w:eastAsia="zh-CN"/>
              </w:rPr>
            </w:pPr>
            <w:r>
              <w:rPr>
                <w:rFonts w:hint="eastAsia" w:ascii="宋体" w:hAnsi="宋体" w:cs="宋体"/>
                <w:color w:val="000000"/>
                <w:sz w:val="22"/>
                <w:szCs w:val="22"/>
              </w:rPr>
              <w:t>每次住院医疗经社保统筹支付后，</w:t>
            </w:r>
            <w:r>
              <w:rPr>
                <w:rFonts w:hint="eastAsia" w:ascii="宋体" w:hAnsi="宋体" w:cs="宋体"/>
                <w:color w:val="auto"/>
                <w:sz w:val="22"/>
                <w:szCs w:val="22"/>
              </w:rPr>
              <w:t>按100%赔付（含乙类自理费用），</w:t>
            </w:r>
            <w:r>
              <w:rPr>
                <w:rFonts w:hint="eastAsia" w:ascii="宋体" w:hAnsi="宋体" w:cs="宋体"/>
                <w:color w:val="000000"/>
                <w:sz w:val="22"/>
                <w:szCs w:val="22"/>
              </w:rPr>
              <w:t>被保险人累计报销限额以保额为限，（包含既往症），本项目保单累计限额为</w:t>
            </w:r>
            <w:r>
              <w:rPr>
                <w:rFonts w:hint="default" w:ascii="Times New Roman" w:hAnsi="Times New Roman" w:cs="Times New Roman"/>
                <w:color w:val="auto"/>
                <w:sz w:val="22"/>
                <w:szCs w:val="22"/>
              </w:rPr>
              <w:t>1</w:t>
            </w:r>
            <w:r>
              <w:rPr>
                <w:rFonts w:hint="eastAsia" w:ascii="Times New Roman" w:hAnsi="Times New Roman" w:cs="Times New Roman"/>
                <w:color w:val="auto"/>
                <w:sz w:val="22"/>
                <w:szCs w:val="22"/>
              </w:rPr>
              <w:t>650</w:t>
            </w:r>
            <w:r>
              <w:rPr>
                <w:rFonts w:hint="eastAsia" w:ascii="宋体" w:hAnsi="宋体" w:cs="宋体"/>
                <w:color w:val="auto"/>
                <w:sz w:val="22"/>
                <w:szCs w:val="22"/>
              </w:rPr>
              <w:t>万元，</w:t>
            </w:r>
            <w:r>
              <w:rPr>
                <w:rFonts w:hint="eastAsia" w:ascii="宋体" w:hAnsi="宋体" w:cs="宋体"/>
                <w:color w:val="000000"/>
                <w:sz w:val="22"/>
                <w:szCs w:val="22"/>
              </w:rPr>
              <w:t>具体保险责任以合同约定为准。</w:t>
            </w:r>
            <w:r>
              <w:rPr>
                <w:rFonts w:hint="eastAsia" w:ascii="宋体" w:hAnsi="宋体" w:cs="Times New Roman"/>
                <w:sz w:val="22"/>
                <w:szCs w:val="22"/>
              </w:rPr>
              <w:t>累计赔付达到限额后，本项目所有保单下此项责任终止，保险人不再承担补充住院医疗保险金（公共保额）责任</w:t>
            </w:r>
            <w:r>
              <w:rPr>
                <w:rFonts w:hint="eastAsia" w:ascii="宋体" w:hAnsi="宋体" w:cs="Times New Roman"/>
                <w:sz w:val="22"/>
                <w:szCs w:val="2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7"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00" w:lineRule="exact"/>
              <w:ind w:left="0" w:right="0"/>
              <w:jc w:val="center"/>
              <w:textAlignment w:val="center"/>
              <w:rPr>
                <w:rFonts w:hint="eastAsia" w:ascii="宋体" w:hAnsi="宋体" w:cs="宋体"/>
                <w:color w:val="000000"/>
                <w:sz w:val="22"/>
                <w:szCs w:val="22"/>
              </w:rPr>
            </w:pPr>
            <w:r>
              <w:rPr>
                <w:rFonts w:hint="eastAsia" w:ascii="宋体" w:hAnsi="宋体" w:cs="宋体"/>
                <w:color w:val="000000"/>
                <w:sz w:val="22"/>
                <w:szCs w:val="22"/>
              </w:rPr>
              <w:t>四</w:t>
            </w:r>
          </w:p>
        </w:tc>
        <w:tc>
          <w:tcPr>
            <w:tcW w:w="2069" w:type="dxa"/>
            <w:vMerge w:val="continue"/>
            <w:tcBorders>
              <w:left w:val="nil"/>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意外伤害医疗保险金（公共保额）责任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20000元/人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保险期间内，当被保险人因意外伤害进行治疗，经意外医疗保险责任赔付达到其意外伤害医疗保险金额后，对于其符合意外医疗保险责任的剩余医疗费用，对超出部分从意外伤害医疗公共保额保险额度内赔付，免赔额0元、每人最高以2万元为限，对本项目所有被保险人意外伤害医疗保险（公共保额）累计给付金额以30万元为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37"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00" w:lineRule="exact"/>
              <w:ind w:left="0" w:right="0"/>
              <w:jc w:val="center"/>
              <w:rPr>
                <w:rFonts w:hint="eastAsia" w:ascii="宋体" w:hAnsi="宋体" w:cs="宋体"/>
                <w:color w:val="000000"/>
                <w:sz w:val="22"/>
                <w:szCs w:val="22"/>
              </w:rPr>
            </w:pPr>
            <w:r>
              <w:rPr>
                <w:rFonts w:hint="eastAsia" w:ascii="宋体" w:hAnsi="宋体" w:cs="宋体"/>
                <w:color w:val="000000"/>
                <w:sz w:val="22"/>
                <w:szCs w:val="22"/>
              </w:rPr>
              <w:t>五</w:t>
            </w:r>
          </w:p>
        </w:tc>
        <w:tc>
          <w:tcPr>
            <w:tcW w:w="2069" w:type="dxa"/>
            <w:vMerge w:val="continue"/>
            <w:tcBorders>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auto"/>
                <w:sz w:val="22"/>
                <w:szCs w:val="22"/>
              </w:rPr>
            </w:pPr>
            <w:r>
              <w:rPr>
                <w:rFonts w:hint="eastAsia" w:ascii="宋体" w:hAnsi="宋体" w:cs="宋体"/>
                <w:color w:val="auto"/>
                <w:sz w:val="22"/>
                <w:szCs w:val="22"/>
              </w:rPr>
              <w:t>猝死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auto"/>
                <w:sz w:val="22"/>
                <w:szCs w:val="22"/>
              </w:rPr>
            </w:pPr>
            <w:r>
              <w:rPr>
                <w:rFonts w:hint="eastAsia" w:ascii="宋体" w:hAnsi="宋体" w:cs="宋体"/>
                <w:color w:val="auto"/>
                <w:sz w:val="22"/>
                <w:szCs w:val="22"/>
              </w:rPr>
              <w:t>25000元/人</w:t>
            </w:r>
          </w:p>
        </w:tc>
        <w:tc>
          <w:tcPr>
            <w:tcW w:w="303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eastAsia="宋体" w:cs="宋体"/>
                <w:color w:val="FF0000"/>
                <w:sz w:val="22"/>
                <w:szCs w:val="22"/>
                <w:lang w:val="en-US" w:eastAsia="zh-CN"/>
              </w:rPr>
            </w:pPr>
            <w:r>
              <w:rPr>
                <w:rFonts w:hint="eastAsia" w:ascii="宋体" w:hAnsi="宋体" w:cs="宋体"/>
                <w:color w:val="auto"/>
                <w:sz w:val="22"/>
                <w:szCs w:val="22"/>
              </w:rPr>
              <w:t>在保险期间内，若被保险人在本附加险合同保险期间内</w:t>
            </w:r>
            <w:r>
              <w:rPr>
                <w:rFonts w:hint="eastAsia" w:ascii="宋体" w:hAnsi="宋体" w:cs="宋体"/>
                <w:color w:val="auto"/>
                <w:sz w:val="22"/>
                <w:szCs w:val="22"/>
                <w:lang w:val="en-US" w:eastAsia="zh-CN"/>
              </w:rPr>
              <w:t>且符合保险公司约定范围内</w:t>
            </w:r>
            <w:r>
              <w:rPr>
                <w:rFonts w:hint="eastAsia" w:ascii="宋体" w:hAnsi="宋体" w:cs="宋体"/>
                <w:color w:val="auto"/>
                <w:sz w:val="22"/>
                <w:szCs w:val="22"/>
              </w:rPr>
              <w:t>猝死的，保险公司按约定的保险金额给付身故保险金。</w:t>
            </w:r>
            <w:r>
              <w:rPr>
                <w:rFonts w:hint="eastAsia" w:ascii="宋体" w:hAnsi="宋体" w:cs="宋体"/>
                <w:color w:val="auto"/>
                <w:sz w:val="22"/>
                <w:szCs w:val="22"/>
                <w:highlight w:val="none"/>
                <w:shd w:val="clear" w:color="auto" w:fill="FFFFFF"/>
              </w:rPr>
              <w:t>仅限60周岁(不含）以内人群。</w:t>
            </w:r>
          </w:p>
        </w:tc>
      </w:tr>
    </w:tbl>
    <w:p>
      <w:pPr>
        <w:pStyle w:val="222"/>
        <w:spacing w:line="440" w:lineRule="exact"/>
        <w:ind w:firstLine="0" w:firstLineChars="0"/>
        <w:rPr>
          <w:rFonts w:hint="eastAsia" w:ascii="宋体" w:hAnsi="宋体" w:eastAsia="宋体" w:cs="宋体"/>
          <w:b/>
          <w:bCs/>
          <w:szCs w:val="24"/>
          <w:lang w:eastAsia="zh-CN"/>
        </w:rPr>
      </w:pPr>
    </w:p>
    <w:p>
      <w:pPr>
        <w:pStyle w:val="222"/>
        <w:spacing w:line="360" w:lineRule="auto"/>
        <w:ind w:firstLine="482"/>
        <w:rPr>
          <w:rFonts w:hint="eastAsia" w:ascii="宋体" w:hAnsi="宋体"/>
          <w:b/>
          <w:bCs/>
          <w:sz w:val="28"/>
          <w:szCs w:val="28"/>
        </w:rPr>
      </w:pPr>
      <w:r>
        <w:rPr>
          <w:rFonts w:hint="eastAsia" w:ascii="宋体" w:hAnsi="宋体"/>
          <w:b/>
          <w:bCs/>
          <w:sz w:val="28"/>
          <w:szCs w:val="28"/>
        </w:rPr>
        <w:t>备注：</w:t>
      </w:r>
    </w:p>
    <w:p>
      <w:pPr>
        <w:spacing w:line="360" w:lineRule="auto"/>
        <w:ind w:left="0" w:leftChars="0" w:firstLine="480" w:firstLineChars="200"/>
        <w:rPr>
          <w:rFonts w:hint="eastAsia" w:ascii="宋体" w:hAnsi="宋体"/>
        </w:rPr>
      </w:pPr>
      <w:r>
        <w:rPr>
          <w:rFonts w:hint="eastAsia" w:ascii="宋体" w:hAnsi="宋体"/>
        </w:rPr>
        <w:t>（一）以上保险责任涵盖海南省户籍持有残疾人证的全部残疾人（包括具有民事行为能力人和无民事行为能力人）；</w:t>
      </w:r>
    </w:p>
    <w:p>
      <w:pPr>
        <w:spacing w:line="360" w:lineRule="auto"/>
        <w:ind w:left="0" w:leftChars="0" w:firstLine="480" w:firstLineChars="200"/>
        <w:rPr>
          <w:rFonts w:hint="eastAsia" w:ascii="宋体" w:hAnsi="宋体"/>
        </w:rPr>
      </w:pPr>
      <w:r>
        <w:rPr>
          <w:rFonts w:hint="eastAsia" w:ascii="宋体" w:hAnsi="宋体"/>
        </w:rPr>
        <w:t>（二）针对本项目下所有保单，补充住院医疗保险金（公共保额）责任累计最高赔付限额以1</w:t>
      </w:r>
      <w:r>
        <w:rPr>
          <w:rFonts w:hint="eastAsia" w:ascii="宋体" w:hAnsi="宋体"/>
          <w:lang w:eastAsia="zh-CN"/>
        </w:rPr>
        <w:t>65</w:t>
      </w:r>
      <w:r>
        <w:rPr>
          <w:rFonts w:hint="eastAsia" w:ascii="宋体" w:hAnsi="宋体"/>
        </w:rPr>
        <w:t>0万元为限，累计赔付达到限额后，本项目所有保单下此项责任终止，保险人不再承担补充住院医疗保险金（公共保额）责任；</w:t>
      </w:r>
    </w:p>
    <w:p>
      <w:pPr>
        <w:spacing w:line="360" w:lineRule="auto"/>
        <w:ind w:left="0" w:leftChars="0" w:firstLine="480" w:firstLineChars="200"/>
        <w:rPr>
          <w:rFonts w:hint="eastAsia" w:ascii="宋体" w:hAnsi="宋体" w:eastAsia="宋体"/>
          <w:lang w:eastAsia="zh-CN"/>
        </w:rPr>
      </w:pPr>
      <w:r>
        <w:rPr>
          <w:rFonts w:hint="eastAsia" w:ascii="宋体" w:hAnsi="宋体"/>
        </w:rPr>
        <w:t>（三）针对本项目下所有保单，意外伤害医疗保险金（公共保额）责任累计最高赔付限额以30万元为限，累计赔付达到限额后，本项目所有保单下此项责任终止，保险人不再承担意外伤害医疗保险金（公共保额）责任；</w:t>
      </w:r>
    </w:p>
    <w:p>
      <w:pPr>
        <w:spacing w:line="360" w:lineRule="auto"/>
        <w:ind w:left="0" w:leftChars="0" w:firstLine="480" w:firstLineChars="200"/>
        <w:rPr>
          <w:rFonts w:hint="eastAsia" w:ascii="宋体" w:hAnsi="宋体"/>
          <w:b/>
          <w:bCs/>
          <w:kern w:val="44"/>
        </w:rPr>
      </w:pPr>
      <w:r>
        <w:rPr>
          <w:rFonts w:hint="eastAsia" w:ascii="宋体" w:hAnsi="宋体"/>
        </w:rPr>
        <w:t>（四）“法定节假日期间”指：法定节假日为现行有效的《全国年节及纪念日放假办法》所规定的全体公民放假的节日及中华人民共和国国务院办公厅发布的连同上述节日的调休安排日期。全体公民放假的节日包括：新年（1月1日）、春节（农历正月初一、初二、初三）、清明节（农历清明节当日）、劳动节（5月1日）、端午节（农历端午节当日）、中秋节（农历中秋节当日）、国庆节（10月1日、2日、3日）。</w:t>
      </w:r>
    </w:p>
    <w:p>
      <w:pPr>
        <w:keepNext/>
        <w:keepLines/>
        <w:shd w:val="clear" w:color="auto" w:fill="FFFFFF"/>
        <w:snapToGrid w:val="0"/>
        <w:spacing w:after="120" w:line="440" w:lineRule="exact"/>
        <w:outlineLvl w:val="0"/>
        <w:rPr>
          <w:rFonts w:hint="eastAsia" w:ascii="宋体" w:hAnsi="宋体"/>
          <w:b/>
          <w:bCs/>
          <w:kern w:val="44"/>
          <w:sz w:val="28"/>
          <w:szCs w:val="28"/>
        </w:rPr>
      </w:pPr>
      <w:r>
        <w:rPr>
          <w:rFonts w:hint="eastAsia" w:ascii="宋体" w:hAnsi="宋体"/>
          <w:b/>
          <w:bCs/>
          <w:kern w:val="44"/>
          <w:sz w:val="28"/>
          <w:szCs w:val="28"/>
        </w:rPr>
        <w:t>三、保险责任</w:t>
      </w:r>
    </w:p>
    <w:p>
      <w:pPr>
        <w:spacing w:line="360" w:lineRule="auto"/>
        <w:ind w:firstLine="480" w:firstLineChars="200"/>
        <w:rPr>
          <w:rFonts w:hint="eastAsia" w:ascii="宋体" w:hAnsi="宋体"/>
          <w:kern w:val="2"/>
        </w:rPr>
      </w:pPr>
      <w:r>
        <w:rPr>
          <w:rFonts w:hint="eastAsia" w:ascii="宋体" w:hAnsi="宋体"/>
        </w:rPr>
        <w:t>要实现本项目保险保障项目，供应商提供的保险产品可以采用保险主条款或附加条款的形式，但须经中国保险监督管理委员会备案，本项目相关保险责任要求简述如下：</w:t>
      </w:r>
    </w:p>
    <w:p>
      <w:pPr>
        <w:spacing w:line="360" w:lineRule="auto"/>
        <w:ind w:firstLine="602" w:firstLineChars="250"/>
        <w:rPr>
          <w:rFonts w:hint="eastAsia" w:ascii="宋体" w:hAnsi="宋体"/>
          <w:b/>
          <w:bCs/>
        </w:rPr>
      </w:pPr>
      <w:r>
        <w:rPr>
          <w:rFonts w:hint="eastAsia" w:ascii="宋体" w:hAnsi="宋体"/>
          <w:b/>
          <w:bCs/>
        </w:rPr>
        <w:t>3.1意外身故保险责任</w:t>
      </w:r>
    </w:p>
    <w:p>
      <w:pPr>
        <w:spacing w:line="360" w:lineRule="auto"/>
        <w:ind w:firstLine="600" w:firstLineChars="250"/>
        <w:rPr>
          <w:rFonts w:hint="eastAsia" w:ascii="宋体" w:hAnsi="宋体"/>
        </w:rPr>
      </w:pPr>
      <w:r>
        <w:rPr>
          <w:rFonts w:hint="eastAsia" w:ascii="宋体" w:hAnsi="宋体"/>
        </w:rPr>
        <w:t>有民事行为能力人（含限制民事行为能力人与完全民事行为能力人）的被保险人因遭受意外事故，并自事故发生之日起180日内因该事故身故的，保险公司按其意外身故保险金额给付意外身故保险金，对该被保险人保险责任终止。</w:t>
      </w:r>
    </w:p>
    <w:p>
      <w:pPr>
        <w:spacing w:line="360" w:lineRule="auto"/>
        <w:ind w:firstLine="600" w:firstLineChars="250"/>
        <w:rPr>
          <w:rFonts w:hint="eastAsia" w:ascii="宋体" w:hAnsi="宋体"/>
        </w:rPr>
      </w:pPr>
      <w:r>
        <w:rPr>
          <w:rFonts w:hint="eastAsia" w:ascii="宋体" w:hAnsi="宋体"/>
        </w:rPr>
        <w:t>在指定的国家法定节假日期间，有民事行为能力人（含限制民事行为能力人与完全民事行为能力人）意外身故责任保额提高至160000元。</w:t>
      </w:r>
    </w:p>
    <w:p>
      <w:pPr>
        <w:spacing w:line="360" w:lineRule="auto"/>
        <w:ind w:firstLine="602" w:firstLineChars="250"/>
        <w:rPr>
          <w:rFonts w:hint="eastAsia" w:ascii="宋体" w:hAnsi="宋体"/>
          <w:b/>
          <w:bCs/>
        </w:rPr>
      </w:pPr>
      <w:r>
        <w:rPr>
          <w:rFonts w:hint="eastAsia" w:ascii="宋体" w:hAnsi="宋体"/>
          <w:b/>
          <w:bCs/>
        </w:rPr>
        <w:t>3.2意外残疾保险责任</w:t>
      </w:r>
    </w:p>
    <w:p>
      <w:pPr>
        <w:spacing w:line="360" w:lineRule="auto"/>
        <w:ind w:firstLine="600" w:firstLineChars="250"/>
        <w:rPr>
          <w:rFonts w:hint="eastAsia" w:ascii="宋体" w:hAnsi="宋体"/>
        </w:rPr>
      </w:pPr>
      <w:r>
        <w:rPr>
          <w:rFonts w:hint="eastAsia" w:ascii="宋体" w:hAnsi="宋体"/>
        </w:rPr>
        <w:t>被保险人因遭受意外事故，并自事故发生之日起180日内因该事故造成《人身保险伤残评定标准及代码》（JR/T0083-2013）（中国银保监会发布，保监发〔2014〕6号）所列伤残类别的，保险公司依照该标准规定的评定原则对伤残类别和等级进行评定，除另有约定外，保险公司按评定结果所对应该标准规定的给付比例乘以意外伤残保险金额给付意外伤残保险金。如自该次意外事故发生之日起第180日时治疗仍未结束的，按该次意外事故发生之日起第180日的身体情况进行伤残鉴定，并据此给付意外伤残保险金。</w:t>
      </w:r>
    </w:p>
    <w:p>
      <w:pPr>
        <w:spacing w:line="360" w:lineRule="auto"/>
        <w:ind w:firstLine="600" w:firstLineChars="250"/>
        <w:rPr>
          <w:rFonts w:hint="eastAsia" w:ascii="宋体" w:hAnsi="宋体"/>
        </w:rPr>
      </w:pPr>
      <w:r>
        <w:rPr>
          <w:rFonts w:hint="eastAsia" w:ascii="宋体" w:hAnsi="宋体"/>
        </w:rPr>
        <w:t>人身保险伤残评定标准中意外伤残程度与对应的保险给付比例为：第一级100%、第二级90%、第三级80%、第四级70%、第五级60%、第六级50%、第七级40%、第八级30%、第九级20%、第十级10%。</w:t>
      </w:r>
    </w:p>
    <w:p>
      <w:pPr>
        <w:spacing w:line="440" w:lineRule="exact"/>
        <w:ind w:firstLine="600" w:firstLineChars="250"/>
        <w:rPr>
          <w:rFonts w:hint="eastAsia" w:ascii="宋体" w:hAnsi="宋体"/>
        </w:rPr>
      </w:pPr>
      <w:r>
        <w:rPr>
          <w:rFonts w:hint="eastAsia" w:ascii="宋体" w:hAnsi="宋体"/>
        </w:rPr>
        <w:t>人身保险伤残评定标准：</w:t>
      </w:r>
    </w:p>
    <w:tbl>
      <w:tblPr>
        <w:tblStyle w:val="52"/>
        <w:tblW w:w="9110"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424"/>
        <w:gridCol w:w="468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40"/>
              <w:adjustRightInd w:val="0"/>
              <w:snapToGrid w:val="0"/>
              <w:spacing w:before="0" w:beforeAutospacing="0" w:after="0" w:afterAutospacing="0" w:line="440" w:lineRule="exact"/>
              <w:ind w:left="0" w:right="0" w:firstLine="480"/>
              <w:jc w:val="center"/>
              <w:rPr>
                <w:rFonts w:hint="default" w:ascii="宋体" w:hAnsi="宋体" w:cs="Times New Roman"/>
                <w:sz w:val="20"/>
                <w:szCs w:val="20"/>
              </w:rPr>
            </w:pPr>
            <w:r>
              <w:rPr>
                <w:rFonts w:hint="eastAsia" w:ascii="宋体" w:hAnsi="宋体" w:cs="Times New Roman"/>
                <w:sz w:val="20"/>
                <w:szCs w:val="20"/>
              </w:rPr>
              <w:t>意外伤残程度</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保险金给付比例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第一级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第二级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第三级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第四级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第五级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第六级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第七级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第八级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第九级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424"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第十级</w:t>
            </w:r>
          </w:p>
        </w:tc>
        <w:tc>
          <w:tcPr>
            <w:tcW w:w="4686"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10%</w:t>
            </w:r>
          </w:p>
        </w:tc>
      </w:tr>
    </w:tbl>
    <w:p>
      <w:pPr>
        <w:spacing w:line="440" w:lineRule="exact"/>
        <w:ind w:firstLine="600" w:firstLineChars="250"/>
        <w:rPr>
          <w:rFonts w:hint="eastAsia" w:ascii="宋体" w:hAnsi="宋体" w:eastAsia="宋体"/>
          <w:kern w:val="2"/>
          <w:lang w:eastAsia="zh-CN"/>
        </w:rPr>
      </w:pPr>
    </w:p>
    <w:p>
      <w:pPr>
        <w:spacing w:line="360" w:lineRule="auto"/>
        <w:ind w:firstLine="600" w:firstLineChars="250"/>
        <w:rPr>
          <w:rFonts w:hint="eastAsia" w:ascii="宋体" w:hAnsi="宋体"/>
        </w:rPr>
      </w:pPr>
      <w:r>
        <w:rPr>
          <w:rFonts w:hint="eastAsia" w:ascii="宋体" w:hAnsi="宋体"/>
        </w:rPr>
        <w:t>被保险人该次意外事故导致的伤残合并前次伤残可领较严重等级意外伤残保险金的，保险公司按较严重等级标准给付，但前次已给付的意外伤残保险金（投保前已有或因责任免除事项所致《人身保险伤残评定标准及代码》（JR/T0083-2013）所列伤残的，视为已给付意外伤残保险金）应予以扣除。</w:t>
      </w:r>
    </w:p>
    <w:p>
      <w:pPr>
        <w:spacing w:line="360" w:lineRule="auto"/>
        <w:ind w:firstLine="600" w:firstLineChars="250"/>
        <w:rPr>
          <w:rFonts w:hint="eastAsia" w:ascii="宋体" w:hAnsi="宋体"/>
        </w:rPr>
      </w:pPr>
      <w:r>
        <w:rPr>
          <w:rFonts w:hint="eastAsia" w:ascii="宋体" w:hAnsi="宋体"/>
        </w:rPr>
        <w:t>被保险人的意外伤残保险金的累计给付金额以该被保险人的意外伤残保险金额为限，累计给付金额达到其意外伤残保险金额时，保险公司对该被保险人的该项保险责任终止。</w:t>
      </w:r>
    </w:p>
    <w:p>
      <w:pPr>
        <w:spacing w:line="360" w:lineRule="auto"/>
        <w:ind w:firstLine="600" w:firstLineChars="250"/>
        <w:rPr>
          <w:rFonts w:hint="eastAsia" w:ascii="宋体" w:hAnsi="宋体"/>
        </w:rPr>
      </w:pPr>
      <w:r>
        <w:rPr>
          <w:rFonts w:hint="eastAsia" w:ascii="宋体" w:hAnsi="宋体"/>
        </w:rPr>
        <w:t>在指定的国家法定节假日期间，全残责任保额提高至160000元。</w:t>
      </w:r>
    </w:p>
    <w:p>
      <w:pPr>
        <w:spacing w:line="360" w:lineRule="auto"/>
        <w:ind w:firstLine="602" w:firstLineChars="250"/>
        <w:rPr>
          <w:rFonts w:hint="eastAsia" w:ascii="宋体" w:hAnsi="宋体"/>
          <w:b/>
          <w:bCs/>
        </w:rPr>
      </w:pPr>
      <w:r>
        <w:rPr>
          <w:rFonts w:hint="eastAsia" w:ascii="宋体" w:hAnsi="宋体"/>
          <w:b/>
          <w:bCs/>
        </w:rPr>
        <w:t>3.3意外住院津贴保险金责任</w:t>
      </w:r>
    </w:p>
    <w:p>
      <w:pPr>
        <w:spacing w:line="360" w:lineRule="auto"/>
        <w:ind w:firstLine="600" w:firstLineChars="250"/>
        <w:rPr>
          <w:rFonts w:hint="eastAsia" w:ascii="宋体" w:hAnsi="宋体"/>
        </w:rPr>
      </w:pPr>
      <w:r>
        <w:rPr>
          <w:rFonts w:hint="eastAsia" w:ascii="宋体" w:hAnsi="宋体"/>
        </w:rPr>
        <w:t>被保险人因遭受意外事故，并自事故发生之日起180日内因该事故经医院确诊必须住院治疗的，保险公司按其合理住院日数乘以250元住院日额现金补贴给付意外住院医疗现金补贴。</w:t>
      </w:r>
    </w:p>
    <w:p>
      <w:pPr>
        <w:spacing w:line="360" w:lineRule="auto"/>
        <w:ind w:firstLine="600" w:firstLineChars="250"/>
        <w:rPr>
          <w:rFonts w:hint="eastAsia" w:ascii="宋体" w:hAnsi="宋体"/>
        </w:rPr>
      </w:pPr>
      <w:r>
        <w:rPr>
          <w:rFonts w:hint="eastAsia" w:ascii="宋体" w:hAnsi="宋体"/>
        </w:rPr>
        <w:t>意外住院医疗现金补贴的累计给付日数最多为180日，累计给付日数达到180日时，对该被保险人的保险责任终止。</w:t>
      </w:r>
    </w:p>
    <w:p>
      <w:pPr>
        <w:spacing w:line="360" w:lineRule="auto"/>
        <w:ind w:firstLine="602" w:firstLineChars="250"/>
        <w:rPr>
          <w:rFonts w:hint="eastAsia" w:ascii="宋体" w:hAnsi="宋体"/>
          <w:b/>
          <w:bCs/>
        </w:rPr>
      </w:pPr>
      <w:r>
        <w:rPr>
          <w:rFonts w:hint="eastAsia" w:ascii="宋体" w:hAnsi="宋体"/>
          <w:b/>
          <w:bCs/>
        </w:rPr>
        <w:t>3.4意外医疗保险责任</w:t>
      </w:r>
    </w:p>
    <w:p>
      <w:pPr>
        <w:spacing w:line="360" w:lineRule="auto"/>
        <w:ind w:firstLine="600" w:firstLineChars="250"/>
        <w:rPr>
          <w:rFonts w:hint="eastAsia" w:ascii="宋体" w:hAnsi="宋体"/>
        </w:rPr>
      </w:pPr>
      <w:r>
        <w:rPr>
          <w:rFonts w:hint="eastAsia" w:ascii="宋体" w:hAnsi="宋体"/>
        </w:rPr>
        <w:t>被保险人每次因遭受意外事故并在医院进行治疗的，保险公司就其该次意外事故发生之日起180日内发生的医疗费用（含符合当地社会医疗保险规定的合理医疗费用、自费费用）统筹后，按100%给付比例给付意外医疗保险金。</w:t>
      </w:r>
    </w:p>
    <w:p>
      <w:pPr>
        <w:spacing w:line="360" w:lineRule="auto"/>
        <w:ind w:firstLine="600" w:firstLineChars="250"/>
        <w:rPr>
          <w:rFonts w:hint="eastAsia" w:ascii="宋体" w:hAnsi="宋体"/>
        </w:rPr>
      </w:pPr>
      <w:r>
        <w:rPr>
          <w:rFonts w:hint="eastAsia" w:ascii="宋体" w:hAnsi="宋体"/>
        </w:rPr>
        <w:t>被保险人不论一次或多次遭受意外事故而造成医疗费用支出的，保险公司均按上述约定分别给付意外医疗保险金，但累计给付金额以该被保险人的意外医疗保险金额为限，累计给付金额达到其意外医疗保险金额时，对该被保险人的保险责任终止。</w:t>
      </w:r>
    </w:p>
    <w:p>
      <w:pPr>
        <w:spacing w:line="360" w:lineRule="auto"/>
        <w:ind w:firstLine="600" w:firstLineChars="250"/>
        <w:rPr>
          <w:rFonts w:hint="eastAsia" w:ascii="宋体" w:hAnsi="宋体"/>
        </w:rPr>
      </w:pPr>
      <w:r>
        <w:rPr>
          <w:rFonts w:hint="eastAsia" w:ascii="宋体" w:hAnsi="宋体"/>
        </w:rPr>
        <w:t>保险公司在保险责任范围内给付保险金，但若被保险人已从其它途径（包括但不限于社会医疗保险、公费医疗、工作单位、侵权人或侵权责任承担方、保险公司在内的任何保险机构）获得补偿，保险公司在扣除其他途径已获得的补偿后，对于剩余部分费用根据本附加合同约定在该被保险人的保险金额的限额内按照约定的给付比例给付意外医疗保险金。</w:t>
      </w:r>
    </w:p>
    <w:p>
      <w:pPr>
        <w:spacing w:line="360" w:lineRule="auto"/>
        <w:ind w:firstLine="602" w:firstLineChars="250"/>
        <w:rPr>
          <w:rFonts w:hint="eastAsia" w:ascii="宋体" w:hAnsi="宋体"/>
          <w:b/>
          <w:bCs/>
        </w:rPr>
      </w:pPr>
      <w:r>
        <w:rPr>
          <w:rFonts w:hint="eastAsia" w:ascii="宋体" w:hAnsi="宋体"/>
          <w:b/>
          <w:bCs/>
        </w:rPr>
        <w:t>3.5补充住院医疗责任</w:t>
      </w:r>
    </w:p>
    <w:p>
      <w:pPr>
        <w:spacing w:line="360" w:lineRule="auto"/>
        <w:ind w:firstLine="600" w:firstLineChars="250"/>
        <w:rPr>
          <w:rFonts w:hint="eastAsia" w:ascii="宋体" w:hAnsi="宋体"/>
        </w:rPr>
      </w:pPr>
      <w:r>
        <w:rPr>
          <w:rFonts w:hint="eastAsia" w:ascii="宋体" w:hAnsi="宋体"/>
        </w:rPr>
        <w:t>本项责任无等待期限制，既往症属于保险责任范围。</w:t>
      </w:r>
    </w:p>
    <w:p>
      <w:pPr>
        <w:spacing w:line="360" w:lineRule="auto"/>
        <w:ind w:firstLine="600" w:firstLineChars="250"/>
        <w:rPr>
          <w:rFonts w:hint="eastAsia" w:ascii="宋体" w:hAnsi="宋体"/>
        </w:rPr>
      </w:pPr>
      <w:r>
        <w:rPr>
          <w:rFonts w:hint="eastAsia" w:ascii="宋体" w:hAnsi="宋体"/>
        </w:rPr>
        <w:t>本方案中补充住院医疗责任累计最高赔付限额以1</w:t>
      </w:r>
      <w:r>
        <w:rPr>
          <w:rFonts w:hint="eastAsia" w:ascii="宋体" w:hAnsi="宋体"/>
          <w:lang w:val="en-US" w:eastAsia="zh-CN"/>
        </w:rPr>
        <w:t>65</w:t>
      </w:r>
      <w:r>
        <w:rPr>
          <w:rFonts w:hint="eastAsia" w:ascii="宋体" w:hAnsi="宋体"/>
        </w:rPr>
        <w:t>0万元为限，累计赔付达到限额后，本项目所有保单下此项责任终止，保险人不再承担补充住院医疗保险金（公共保额）责任</w:t>
      </w:r>
      <w:r>
        <w:rPr>
          <w:rFonts w:hint="eastAsia" w:ascii="宋体" w:hAnsi="宋体"/>
          <w:lang w:eastAsia="zh-CN"/>
        </w:rPr>
        <w:t>。</w:t>
      </w:r>
    </w:p>
    <w:p>
      <w:pPr>
        <w:spacing w:line="360" w:lineRule="auto"/>
        <w:ind w:firstLine="600" w:firstLineChars="250"/>
        <w:rPr>
          <w:rFonts w:hint="eastAsia" w:ascii="宋体" w:hAnsi="宋体"/>
        </w:rPr>
      </w:pPr>
      <w:r>
        <w:rPr>
          <w:rFonts w:hint="eastAsia" w:ascii="宋体" w:hAnsi="宋体"/>
        </w:rPr>
        <w:t>被保险人在保险期间内发生且延续至合同满期日后30日内的住院治疗，保险公司承担给付保险金的责任。</w:t>
      </w:r>
    </w:p>
    <w:p>
      <w:pPr>
        <w:spacing w:line="360" w:lineRule="auto"/>
        <w:ind w:firstLine="600" w:firstLineChars="250"/>
        <w:rPr>
          <w:rFonts w:hint="eastAsia" w:ascii="宋体" w:hAnsi="宋体"/>
        </w:rPr>
      </w:pPr>
      <w:r>
        <w:rPr>
          <w:rFonts w:hint="eastAsia" w:ascii="宋体" w:hAnsi="宋体"/>
        </w:rPr>
        <w:t>被保险人因遭受意外事故或疾病，经医院确诊必须住院治疗的，保险公司就其住院期间发生的、符合当地社会医疗保险规定的合理医疗费用，在每次住院医疗经社保统筹支付后，按100%比例给付补充住院医疗保险金。</w:t>
      </w:r>
    </w:p>
    <w:p>
      <w:pPr>
        <w:spacing w:line="360" w:lineRule="auto"/>
        <w:ind w:firstLine="600" w:firstLineChars="250"/>
        <w:rPr>
          <w:rFonts w:hint="eastAsia" w:ascii="宋体" w:hAnsi="宋体"/>
        </w:rPr>
      </w:pPr>
      <w:r>
        <w:rPr>
          <w:rFonts w:hint="eastAsia" w:ascii="宋体" w:hAnsi="宋体"/>
        </w:rPr>
        <w:t>被保险人不论一次或多次住院治疗，保险公司均按上述约定给付补充住院医疗保险金，但累计给付金额以该被保险人的保险金额为限，累计给付金额达到其保险金额时，对该被保险人保险责任终止。</w:t>
      </w:r>
    </w:p>
    <w:p>
      <w:pPr>
        <w:spacing w:line="360" w:lineRule="auto"/>
        <w:ind w:firstLine="600" w:firstLineChars="250"/>
        <w:rPr>
          <w:rFonts w:hint="eastAsia" w:ascii="宋体" w:hAnsi="宋体"/>
          <w:b/>
          <w:bCs/>
        </w:rPr>
      </w:pPr>
      <w:r>
        <w:rPr>
          <w:rFonts w:hint="eastAsia" w:ascii="宋体" w:hAnsi="宋体"/>
        </w:rPr>
        <w:t>保险公司在本合同保险责任范围内给付保险金，但若被保险人已从其它途径（包括但不限于社会医疗保险、公费医疗、工作单位、侵权人或侵权责任承担方、本公司在内的任何保险机构）获得补偿，对于与当地社会医疗保险支付范围相符的合理医疗费用，本公司在扣除其他途径已获得的补偿后，对于剩余部分费用根据本合同约定在该被保险人的保险金额的限额内按照约定的支付范围和支付比例给付住院医疗保险金。</w:t>
      </w:r>
    </w:p>
    <w:p>
      <w:pPr>
        <w:spacing w:line="360" w:lineRule="auto"/>
        <w:ind w:firstLine="482" w:firstLineChars="200"/>
        <w:rPr>
          <w:rFonts w:hint="eastAsia" w:ascii="宋体" w:hAnsi="宋体"/>
          <w:b/>
          <w:bCs/>
        </w:rPr>
      </w:pPr>
      <w:r>
        <w:rPr>
          <w:rFonts w:hint="eastAsia" w:ascii="宋体" w:hAnsi="宋体"/>
          <w:b/>
          <w:bCs/>
        </w:rPr>
        <w:t>3.6重大疾病保险责任</w:t>
      </w:r>
    </w:p>
    <w:p>
      <w:pPr>
        <w:spacing w:line="360" w:lineRule="auto"/>
        <w:ind w:firstLine="480" w:firstLineChars="200"/>
        <w:rPr>
          <w:rFonts w:hint="eastAsia" w:ascii="宋体" w:hAnsi="宋体"/>
        </w:rPr>
      </w:pPr>
      <w:r>
        <w:rPr>
          <w:rFonts w:hint="eastAsia" w:ascii="宋体" w:hAnsi="宋体"/>
        </w:rPr>
        <w:t>在保险期间内，自保险期间开始且保险单载明的30日等待期满之日起（连续不间断续保从续保生效日起），至保险期间终止之日止，被保险人符合本保险合同约定的定点医院，如未约定定点医院的，则经中华人民共和国卫生部门评审确认的二级或二级以上的医疗机构的专科医生明确诊断初次发生约定的疾病、疾病状态或手术的，保险人按“重大疾病保险金额”给付本款项下保险金，对该被保险人的该项保险责任终止。</w:t>
      </w:r>
    </w:p>
    <w:p>
      <w:pPr>
        <w:spacing w:line="360" w:lineRule="auto"/>
        <w:ind w:firstLine="480" w:firstLineChars="200"/>
        <w:rPr>
          <w:rFonts w:hint="eastAsia" w:ascii="宋体" w:hAnsi="宋体"/>
        </w:rPr>
      </w:pPr>
      <w:r>
        <w:rPr>
          <w:rFonts w:hint="eastAsia" w:ascii="宋体" w:hAnsi="宋体"/>
        </w:rPr>
        <w:t>在保险期间，保险人因意外伤害导致其患重大疾病的，无等待期。</w:t>
      </w:r>
    </w:p>
    <w:p>
      <w:pPr>
        <w:spacing w:line="360" w:lineRule="auto"/>
        <w:ind w:firstLine="480" w:firstLineChars="200"/>
        <w:rPr>
          <w:rFonts w:hint="eastAsia" w:ascii="宋体" w:hAnsi="宋体" w:eastAsia="宋体"/>
          <w:lang w:eastAsia="zh-CN"/>
        </w:rPr>
      </w:pPr>
      <w:r>
        <w:rPr>
          <w:rFonts w:hint="eastAsia" w:ascii="宋体" w:hAnsi="宋体"/>
        </w:rPr>
        <w:t>重大疾病的具体疾病种类及疾病定义</w:t>
      </w:r>
      <w:r>
        <w:rPr>
          <w:rFonts w:hint="eastAsia" w:ascii="宋体" w:hAnsi="宋体"/>
          <w:lang w:val="en-US" w:eastAsia="zh-CN"/>
        </w:rPr>
        <w:t>是以</w:t>
      </w:r>
      <w:r>
        <w:rPr>
          <w:rFonts w:hint="eastAsia" w:ascii="宋体" w:hAnsi="宋体"/>
        </w:rPr>
        <w:t>中国保险行业协会制定的《重大疾病保险的疾病定义使用规范(2020年修订版)》的疾病定义，包含28种重大疾病和3种轻症疾病。</w:t>
      </w:r>
    </w:p>
    <w:p>
      <w:pPr>
        <w:spacing w:line="360" w:lineRule="auto"/>
        <w:ind w:firstLine="602" w:firstLineChars="250"/>
        <w:rPr>
          <w:rFonts w:hint="eastAsia" w:ascii="宋体" w:hAnsi="宋体"/>
          <w:b/>
          <w:bCs/>
        </w:rPr>
      </w:pPr>
      <w:r>
        <w:rPr>
          <w:rFonts w:hint="eastAsia" w:ascii="宋体" w:hAnsi="宋体"/>
          <w:b/>
          <w:bCs/>
        </w:rPr>
        <w:t>3.6.1轻症疾病的定义</w:t>
      </w:r>
    </w:p>
    <w:p>
      <w:pPr>
        <w:spacing w:line="360" w:lineRule="auto"/>
        <w:ind w:firstLine="602" w:firstLineChars="250"/>
        <w:rPr>
          <w:rFonts w:hint="eastAsia" w:ascii="宋体" w:hAnsi="宋体"/>
          <w:b/>
          <w:bCs/>
        </w:rPr>
      </w:pPr>
      <w:r>
        <w:rPr>
          <w:rFonts w:hint="eastAsia" w:ascii="宋体" w:hAnsi="宋体"/>
          <w:b/>
          <w:bCs/>
        </w:rPr>
        <w:t>（1）恶性肿瘤——轻度</w:t>
      </w:r>
    </w:p>
    <w:p>
      <w:pPr>
        <w:spacing w:line="360" w:lineRule="auto"/>
        <w:ind w:firstLine="600" w:firstLineChars="250"/>
        <w:rPr>
          <w:rFonts w:hint="eastAsia" w:ascii="宋体" w:hAnsi="宋体"/>
        </w:rPr>
      </w:pPr>
      <w:r>
        <w:rPr>
          <w:rFonts w:hint="eastAsia" w:ascii="宋体" w:hAnsi="宋体"/>
        </w:rPr>
        <w:t>指恶性细胞不受控制的进行性增长和扩散，浸润和破坏周围正常组织，可以经血管、淋巴管和体腔扩散转移到身体其他部位，病灶经组织病理学检查(释义二十一)(涵盖骨髓病理学检查)结果明确诊断，临床诊断属于世界卫生组织(WHO，WorldHealthOrganization)《疾病和有关健康问题的国际统计分类》第十次修订版(ICD-10(释义二十二))的恶性肿瘤类别及《国际疾病分类肿瘤学专辑》第三版(ICD-O-3(释义二十三))的肿瘤形态学编码属于3、6、9(恶性肿瘤)范畴，但不在“恶性肿瘤-重度”保障范围的疾病。且特指下列6项之一：</w:t>
      </w:r>
    </w:p>
    <w:p>
      <w:pPr>
        <w:spacing w:line="360" w:lineRule="auto"/>
        <w:ind w:firstLine="600" w:firstLineChars="250"/>
        <w:rPr>
          <w:rFonts w:hint="eastAsia" w:ascii="宋体" w:hAnsi="宋体"/>
        </w:rPr>
      </w:pPr>
      <w:r>
        <w:rPr>
          <w:rFonts w:hint="eastAsia" w:ascii="宋体" w:hAnsi="宋体"/>
        </w:rPr>
        <w:t>1.TNM分期(释义二十四)为Ⅰ期的甲状腺癌；</w:t>
      </w:r>
    </w:p>
    <w:p>
      <w:pPr>
        <w:spacing w:line="360" w:lineRule="auto"/>
        <w:ind w:firstLine="600" w:firstLineChars="250"/>
        <w:rPr>
          <w:rFonts w:hint="eastAsia" w:ascii="宋体" w:hAnsi="宋体"/>
        </w:rPr>
      </w:pPr>
      <w:r>
        <w:rPr>
          <w:rFonts w:hint="eastAsia" w:ascii="宋体" w:hAnsi="宋体"/>
        </w:rPr>
        <w:t>2.TNM分期为T1N0M0期的前列腺癌；</w:t>
      </w:r>
    </w:p>
    <w:p>
      <w:pPr>
        <w:spacing w:line="360" w:lineRule="auto"/>
        <w:ind w:firstLine="600" w:firstLineChars="250"/>
        <w:rPr>
          <w:rFonts w:hint="eastAsia" w:ascii="宋体" w:hAnsi="宋体"/>
        </w:rPr>
      </w:pPr>
      <w:r>
        <w:rPr>
          <w:rFonts w:hint="eastAsia" w:ascii="宋体" w:hAnsi="宋体"/>
        </w:rPr>
        <w:t>3.黑色素瘤以外的未发生淋巴结和远处转移的皮肤恶性肿瘤；</w:t>
      </w:r>
    </w:p>
    <w:p>
      <w:pPr>
        <w:spacing w:line="360" w:lineRule="auto"/>
        <w:ind w:firstLine="600" w:firstLineChars="250"/>
        <w:rPr>
          <w:rFonts w:hint="eastAsia" w:ascii="宋体" w:hAnsi="宋体"/>
        </w:rPr>
      </w:pPr>
      <w:r>
        <w:rPr>
          <w:rFonts w:hint="eastAsia" w:ascii="宋体" w:hAnsi="宋体"/>
        </w:rPr>
        <w:t>4.相当于Binet分期方案A期程度的慢性淋巴细胞白血病；</w:t>
      </w:r>
    </w:p>
    <w:p>
      <w:pPr>
        <w:spacing w:line="360" w:lineRule="auto"/>
        <w:ind w:firstLine="600" w:firstLineChars="250"/>
        <w:rPr>
          <w:rFonts w:hint="eastAsia" w:ascii="宋体" w:hAnsi="宋体"/>
        </w:rPr>
      </w:pPr>
      <w:r>
        <w:rPr>
          <w:rFonts w:hint="eastAsia" w:ascii="宋体" w:hAnsi="宋体"/>
        </w:rPr>
        <w:t>5.相当于AnnArbor分期方案Ⅰ期程度的何杰金氏病；</w:t>
      </w:r>
    </w:p>
    <w:p>
      <w:pPr>
        <w:spacing w:line="360" w:lineRule="auto"/>
        <w:ind w:firstLine="600" w:firstLineChars="250"/>
        <w:rPr>
          <w:rFonts w:hint="eastAsia" w:ascii="宋体" w:hAnsi="宋体"/>
        </w:rPr>
      </w:pPr>
      <w:r>
        <w:rPr>
          <w:rFonts w:hint="eastAsia" w:ascii="宋体" w:hAnsi="宋体"/>
        </w:rPr>
        <w:t>6.未发生淋巴结和远处转移且WHO分级为G1级别(核分裂像&lt;10/50HPF和ki-67≤2%)的神经内分泌肿瘤。</w:t>
      </w:r>
    </w:p>
    <w:p>
      <w:pPr>
        <w:spacing w:line="360" w:lineRule="auto"/>
        <w:ind w:firstLine="600" w:firstLineChars="250"/>
        <w:rPr>
          <w:rFonts w:hint="eastAsia" w:ascii="宋体" w:hAnsi="宋体"/>
        </w:rPr>
      </w:pPr>
      <w:r>
        <w:rPr>
          <w:rFonts w:hint="eastAsia" w:ascii="宋体" w:hAnsi="宋体"/>
        </w:rPr>
        <w:t>下列疾病不属于“恶性肿瘤——轻度”，不在保障范围内：</w:t>
      </w:r>
    </w:p>
    <w:p>
      <w:pPr>
        <w:spacing w:line="360" w:lineRule="auto"/>
        <w:ind w:firstLine="600" w:firstLineChars="250"/>
        <w:rPr>
          <w:rFonts w:hint="eastAsia" w:ascii="宋体" w:hAnsi="宋体"/>
        </w:rPr>
      </w:pPr>
      <w:r>
        <w:rPr>
          <w:rFonts w:hint="eastAsia" w:ascii="宋体" w:hAnsi="宋体"/>
        </w:rPr>
        <w:t>ICD-O-3肿瘤形态学编码属于0(良性肿瘤)、1(动态未定性肿瘤)、2(原位癌和非侵袭性癌)范畴的疾病，如：</w:t>
      </w:r>
    </w:p>
    <w:p>
      <w:pPr>
        <w:spacing w:line="360" w:lineRule="auto"/>
        <w:ind w:firstLine="600" w:firstLineChars="250"/>
        <w:rPr>
          <w:rFonts w:hint="eastAsia" w:ascii="宋体" w:hAnsi="宋体"/>
        </w:rPr>
      </w:pPr>
      <w:r>
        <w:rPr>
          <w:rFonts w:hint="eastAsia" w:ascii="宋体" w:hAnsi="宋体"/>
        </w:rPr>
        <w:t>a.原位癌，癌前病变，非浸润性癌，非侵袭性癌，肿瘤细胞未侵犯基底层，上皮内瘤变，细胞不典型性增生等；</w:t>
      </w:r>
    </w:p>
    <w:p>
      <w:pPr>
        <w:spacing w:line="360" w:lineRule="auto"/>
        <w:ind w:firstLine="600" w:firstLineChars="250"/>
        <w:rPr>
          <w:rFonts w:hint="eastAsia" w:ascii="宋体" w:hAnsi="宋体"/>
        </w:rPr>
      </w:pPr>
      <w:r>
        <w:rPr>
          <w:rFonts w:hint="eastAsia" w:ascii="宋体" w:hAnsi="宋体"/>
        </w:rPr>
        <w:t>b.交界性肿瘤，交界恶性肿瘤，肿瘤低度恶性潜能，潜在低度恶性肿瘤等。</w:t>
      </w:r>
    </w:p>
    <w:p>
      <w:pPr>
        <w:spacing w:line="360" w:lineRule="auto"/>
        <w:ind w:firstLine="602" w:firstLineChars="250"/>
        <w:rPr>
          <w:rFonts w:hint="eastAsia" w:ascii="宋体" w:hAnsi="宋体"/>
          <w:b/>
          <w:bCs/>
        </w:rPr>
      </w:pPr>
      <w:r>
        <w:rPr>
          <w:rFonts w:hint="eastAsia" w:ascii="宋体" w:hAnsi="宋体"/>
          <w:b/>
          <w:bCs/>
        </w:rPr>
        <w:t>（2）较轻急性心肌梗死</w:t>
      </w:r>
    </w:p>
    <w:p>
      <w:pPr>
        <w:spacing w:line="360" w:lineRule="auto"/>
        <w:ind w:firstLine="600" w:firstLineChars="250"/>
        <w:rPr>
          <w:rFonts w:hint="eastAsia" w:ascii="宋体" w:hAnsi="宋体"/>
        </w:rPr>
      </w:pPr>
      <w:r>
        <w:rPr>
          <w:rFonts w:hint="eastAsia" w:ascii="宋体" w:hAnsi="宋体"/>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pPr>
        <w:spacing w:line="360" w:lineRule="auto"/>
        <w:ind w:firstLine="600" w:firstLineChars="250"/>
        <w:rPr>
          <w:rFonts w:hint="eastAsia" w:ascii="宋体" w:hAnsi="宋体"/>
        </w:rPr>
      </w:pPr>
      <w:r>
        <w:rPr>
          <w:rFonts w:hint="eastAsia" w:ascii="宋体" w:hAnsi="宋体"/>
        </w:rPr>
        <w:t>较轻急性心肌梗死指依照上述标准被明确诊断为急性心肌梗死，但未达到“较重急性心肌梗死”的给付标准。</w:t>
      </w:r>
    </w:p>
    <w:p>
      <w:pPr>
        <w:spacing w:line="360" w:lineRule="auto"/>
        <w:ind w:firstLine="600" w:firstLineChars="250"/>
        <w:rPr>
          <w:rFonts w:hint="eastAsia" w:ascii="宋体" w:hAnsi="宋体"/>
        </w:rPr>
      </w:pPr>
      <w:r>
        <w:rPr>
          <w:rFonts w:hint="eastAsia" w:ascii="宋体" w:hAnsi="宋体"/>
        </w:rPr>
        <w:t>其他非冠状动脉阻塞性疾病引起的肌钙蛋白(cTn)升高不在保障范围内。</w:t>
      </w:r>
    </w:p>
    <w:p>
      <w:pPr>
        <w:spacing w:line="360" w:lineRule="auto"/>
        <w:ind w:firstLine="602" w:firstLineChars="250"/>
        <w:rPr>
          <w:rFonts w:hint="eastAsia" w:ascii="宋体" w:hAnsi="宋体"/>
          <w:b/>
          <w:bCs/>
        </w:rPr>
      </w:pPr>
      <w:r>
        <w:rPr>
          <w:rFonts w:hint="eastAsia" w:ascii="宋体" w:hAnsi="宋体"/>
          <w:b/>
          <w:bCs/>
        </w:rPr>
        <w:t>（3）轻度脑中风后遗症</w:t>
      </w:r>
    </w:p>
    <w:p>
      <w:pPr>
        <w:spacing w:line="360" w:lineRule="auto"/>
        <w:ind w:firstLine="600" w:firstLineChars="250"/>
        <w:rPr>
          <w:rFonts w:hint="eastAsia" w:ascii="宋体" w:hAnsi="宋体"/>
        </w:rPr>
      </w:pPr>
      <w:r>
        <w:rPr>
          <w:rFonts w:hint="eastAsia" w:ascii="宋体" w:hAnsi="宋体"/>
        </w:rPr>
        <w:t>指因脑血管的突发病变引起脑血管出血、栓塞或梗塞，须由头颅断层扫描(CT)、核磁共振检查(MRI)等影像学检查证实，并导致神经系统永久性的功能障碍，但未达到“严重脑中风后遗症”的给付标准，在疾病确诊180天后，仍遗留下列至少一种障碍：</w:t>
      </w:r>
    </w:p>
    <w:p>
      <w:pPr>
        <w:spacing w:line="360" w:lineRule="auto"/>
        <w:ind w:firstLine="600" w:firstLineChars="250"/>
        <w:rPr>
          <w:rFonts w:hint="eastAsia" w:ascii="宋体" w:hAnsi="宋体"/>
        </w:rPr>
      </w:pPr>
      <w:r>
        <w:rPr>
          <w:rFonts w:hint="eastAsia" w:ascii="宋体" w:hAnsi="宋体"/>
        </w:rPr>
        <w:t>1.一肢(含)以上肢体(释义二十五)肌力(释义二十六)为3级；</w:t>
      </w:r>
    </w:p>
    <w:p>
      <w:pPr>
        <w:spacing w:line="360" w:lineRule="auto"/>
        <w:ind w:firstLine="600" w:firstLineChars="250"/>
        <w:rPr>
          <w:rFonts w:hint="eastAsia" w:ascii="宋体" w:hAnsi="宋体"/>
        </w:rPr>
      </w:pPr>
      <w:r>
        <w:rPr>
          <w:rFonts w:hint="eastAsia" w:ascii="宋体" w:hAnsi="宋体"/>
        </w:rPr>
        <w:t>2.自主生活能力部分丧也包含海南省备案制机构康复训练的0-17岁的残疾儿童。失，无法独立完成6项基本日常生活活动(释义二十七)中的2项。</w:t>
      </w:r>
    </w:p>
    <w:p>
      <w:pPr>
        <w:spacing w:line="360" w:lineRule="auto"/>
        <w:ind w:firstLine="602" w:firstLineChars="250"/>
        <w:rPr>
          <w:rFonts w:hint="eastAsia" w:ascii="宋体" w:hAnsi="宋体"/>
          <w:b/>
          <w:bCs/>
        </w:rPr>
      </w:pPr>
      <w:r>
        <w:rPr>
          <w:rFonts w:hint="eastAsia" w:ascii="宋体" w:hAnsi="宋体"/>
          <w:b/>
          <w:bCs/>
        </w:rPr>
        <w:t>6.6.2重大疾病的定义</w:t>
      </w:r>
    </w:p>
    <w:p>
      <w:pPr>
        <w:spacing w:line="360" w:lineRule="auto"/>
        <w:ind w:firstLine="602" w:firstLineChars="250"/>
        <w:rPr>
          <w:rFonts w:hint="eastAsia" w:ascii="宋体" w:hAnsi="宋体"/>
          <w:b/>
          <w:bCs/>
        </w:rPr>
      </w:pPr>
      <w:r>
        <w:rPr>
          <w:rFonts w:hint="eastAsia" w:ascii="宋体" w:hAnsi="宋体"/>
          <w:b/>
          <w:bCs/>
        </w:rPr>
        <w:t>（1）恶性肿瘤——重度</w:t>
      </w:r>
    </w:p>
    <w:p>
      <w:pPr>
        <w:spacing w:line="360" w:lineRule="auto"/>
        <w:ind w:firstLine="600" w:firstLineChars="250"/>
        <w:rPr>
          <w:rFonts w:hint="eastAsia" w:ascii="宋体" w:hAnsi="宋体"/>
        </w:rPr>
      </w:pPr>
      <w:r>
        <w:rPr>
          <w:rFonts w:hint="eastAsia" w:ascii="宋体" w:hAnsi="宋体"/>
        </w:rPr>
        <w:t>指恶性细胞不受控制的进行性增长和扩散，浸润和破坏周围正常组织，可以经血管、淋巴管和体腔扩散转移到身体其他部位，病灶经组织病理学检查(涵盖骨髓病理学检查)结果明确诊断，临床诊断属于世界卫生组织(WHO，WorldHealthOrganization)《疾病和有关健康问题的国际统计分类》第十次修订版(ICD-10)的恶性肿瘤类别及《国际疾病分类肿瘤学专辑》第三版(ICD-O-3)的肿瘤形态学编码属于3、6、9(恶性肿瘤)范畴的疾病。</w:t>
      </w:r>
    </w:p>
    <w:p>
      <w:pPr>
        <w:spacing w:line="360" w:lineRule="auto"/>
        <w:ind w:firstLine="600" w:firstLineChars="250"/>
        <w:rPr>
          <w:rFonts w:hint="eastAsia" w:ascii="宋体" w:hAnsi="宋体"/>
        </w:rPr>
      </w:pPr>
      <w:r>
        <w:rPr>
          <w:rFonts w:hint="eastAsia" w:ascii="宋体" w:hAnsi="宋体"/>
        </w:rPr>
        <w:t>下列疾病不属于“恶性肿瘤——重度”，不在保障范围内：</w:t>
      </w:r>
    </w:p>
    <w:p>
      <w:pPr>
        <w:spacing w:line="360" w:lineRule="auto"/>
        <w:ind w:firstLine="600" w:firstLineChars="250"/>
        <w:rPr>
          <w:rFonts w:hint="eastAsia" w:ascii="宋体" w:hAnsi="宋体"/>
        </w:rPr>
      </w:pPr>
      <w:r>
        <w:rPr>
          <w:rFonts w:hint="eastAsia" w:ascii="宋体" w:hAnsi="宋体"/>
        </w:rPr>
        <w:t>1．ICD-O-3肿瘤形态学编码属于0(良性肿瘤)、1(动态未定性肿瘤)、2(原位癌和非侵袭性癌)范畴的疾病，如：</w:t>
      </w:r>
    </w:p>
    <w:p>
      <w:pPr>
        <w:spacing w:line="360" w:lineRule="auto"/>
        <w:ind w:firstLine="600" w:firstLineChars="250"/>
        <w:rPr>
          <w:rFonts w:hint="eastAsia" w:ascii="宋体" w:hAnsi="宋体"/>
        </w:rPr>
      </w:pPr>
      <w:r>
        <w:rPr>
          <w:rFonts w:hint="eastAsia" w:ascii="宋体" w:hAnsi="宋体"/>
        </w:rPr>
        <w:t>a.原位癌，癌前病变，非浸润性癌，非侵袭性癌，肿瘤细胞未侵犯基底层，上皮内瘤变，细胞不典型性增生也包含海南省备案制机构康复训练的0-17岁的残疾儿童。等；</w:t>
      </w:r>
    </w:p>
    <w:p>
      <w:pPr>
        <w:spacing w:line="360" w:lineRule="auto"/>
        <w:ind w:firstLine="600" w:firstLineChars="250"/>
        <w:rPr>
          <w:rFonts w:hint="eastAsia" w:ascii="宋体" w:hAnsi="宋体"/>
        </w:rPr>
      </w:pPr>
      <w:r>
        <w:rPr>
          <w:rFonts w:hint="eastAsia" w:ascii="宋体" w:hAnsi="宋体"/>
        </w:rPr>
        <w:t>b.交界性肿瘤，交界恶性肿瘤，肿瘤低度恶性潜能，潜在低度恶性肿瘤等；</w:t>
      </w:r>
    </w:p>
    <w:p>
      <w:pPr>
        <w:spacing w:line="360" w:lineRule="auto"/>
        <w:ind w:firstLine="600" w:firstLineChars="250"/>
        <w:rPr>
          <w:rFonts w:hint="eastAsia" w:ascii="宋体" w:hAnsi="宋体"/>
        </w:rPr>
      </w:pPr>
      <w:r>
        <w:rPr>
          <w:rFonts w:hint="eastAsia" w:ascii="宋体" w:hAnsi="宋体"/>
        </w:rPr>
        <w:t>2．TNM分期为Ⅰ期或更轻分期的甲状腺癌；</w:t>
      </w:r>
    </w:p>
    <w:p>
      <w:pPr>
        <w:spacing w:line="360" w:lineRule="auto"/>
        <w:ind w:firstLine="600" w:firstLineChars="250"/>
        <w:rPr>
          <w:rFonts w:hint="eastAsia" w:ascii="宋体" w:hAnsi="宋体"/>
        </w:rPr>
      </w:pPr>
      <w:r>
        <w:rPr>
          <w:rFonts w:hint="eastAsia" w:ascii="宋体" w:hAnsi="宋体"/>
        </w:rPr>
        <w:t>3．TNM分期为T1N0M0期或更轻分期的前列腺癌；</w:t>
      </w:r>
    </w:p>
    <w:p>
      <w:pPr>
        <w:spacing w:line="360" w:lineRule="auto"/>
        <w:ind w:firstLine="600" w:firstLineChars="250"/>
        <w:rPr>
          <w:rFonts w:hint="eastAsia" w:ascii="宋体" w:hAnsi="宋体"/>
        </w:rPr>
      </w:pPr>
      <w:r>
        <w:rPr>
          <w:rFonts w:hint="eastAsia" w:ascii="宋体" w:hAnsi="宋体"/>
        </w:rPr>
        <w:t>4．黑色素瘤以外的未发生淋巴结和远处转移的皮肤恶性肿瘤；</w:t>
      </w:r>
    </w:p>
    <w:p>
      <w:pPr>
        <w:spacing w:line="360" w:lineRule="auto"/>
        <w:ind w:firstLine="600" w:firstLineChars="250"/>
        <w:rPr>
          <w:rFonts w:hint="eastAsia" w:ascii="宋体" w:hAnsi="宋体"/>
        </w:rPr>
      </w:pPr>
      <w:r>
        <w:rPr>
          <w:rFonts w:hint="eastAsia" w:ascii="宋体" w:hAnsi="宋体"/>
        </w:rPr>
        <w:t>5．相当于Binet分期方案A期程度的慢性淋巴细胞白血病；</w:t>
      </w:r>
    </w:p>
    <w:p>
      <w:pPr>
        <w:spacing w:line="360" w:lineRule="auto"/>
        <w:ind w:firstLine="600" w:firstLineChars="250"/>
        <w:rPr>
          <w:rFonts w:hint="eastAsia" w:ascii="宋体" w:hAnsi="宋体"/>
        </w:rPr>
      </w:pPr>
      <w:r>
        <w:rPr>
          <w:rFonts w:hint="eastAsia" w:ascii="宋体" w:hAnsi="宋体"/>
        </w:rPr>
        <w:t>6．相当于AnnArbor分期方案Ⅰ期程度的何杰金氏病；</w:t>
      </w:r>
    </w:p>
    <w:p>
      <w:pPr>
        <w:spacing w:line="360" w:lineRule="auto"/>
        <w:ind w:firstLine="600" w:firstLineChars="250"/>
        <w:rPr>
          <w:rFonts w:hint="eastAsia" w:ascii="宋体" w:hAnsi="宋体"/>
        </w:rPr>
      </w:pPr>
      <w:r>
        <w:rPr>
          <w:rFonts w:hint="eastAsia" w:ascii="宋体" w:hAnsi="宋体"/>
        </w:rPr>
        <w:t>7．未发生淋巴结和远处转移且WHO分级为G1级别(核分裂像&lt;10/50HPF和ki-67≤2%)或更轻分级的神经内分泌肿瘤。</w:t>
      </w:r>
    </w:p>
    <w:p>
      <w:pPr>
        <w:spacing w:line="360" w:lineRule="auto"/>
        <w:ind w:firstLine="602" w:firstLineChars="250"/>
        <w:rPr>
          <w:rFonts w:hint="eastAsia" w:ascii="宋体" w:hAnsi="宋体"/>
          <w:b/>
          <w:bCs/>
        </w:rPr>
      </w:pPr>
      <w:r>
        <w:rPr>
          <w:rFonts w:hint="eastAsia" w:ascii="宋体" w:hAnsi="宋体"/>
          <w:b/>
          <w:bCs/>
        </w:rPr>
        <w:t>（2）较重急性心肌梗死</w:t>
      </w:r>
    </w:p>
    <w:p>
      <w:pPr>
        <w:spacing w:line="360" w:lineRule="auto"/>
        <w:ind w:firstLine="600" w:firstLineChars="250"/>
        <w:rPr>
          <w:rFonts w:hint="eastAsia" w:ascii="宋体" w:hAnsi="宋体"/>
        </w:rPr>
      </w:pPr>
      <w:r>
        <w:rPr>
          <w:rFonts w:hint="eastAsia" w:ascii="宋体" w:hAnsi="宋体"/>
        </w:rPr>
        <w:t>急性心肌梗死指由于冠状动脉闭塞或梗阻引起部分心肌严重的持久性缺血造成急性心肌坏死。急性心肌梗死的诊断必须依据国际国内诊断标准，符合(1)检测到肌酸激酶同工酶(CK-MB)或肌钙蛋白(cTn)升高和/或降低的动态变化，至少一次达到或超过心肌梗死的临床诊断标准；(2)同时存在下列之一的证据，包括：缺血性胸痛症状、新发生的缺血性心电图改变、新生成的病理性Q波、影像学证据显示有新出现的心肌活性丧失或新出现局部室壁运动异常、冠脉造影证实存在冠状动脉血栓。</w:t>
      </w:r>
    </w:p>
    <w:p>
      <w:pPr>
        <w:spacing w:line="360" w:lineRule="auto"/>
        <w:ind w:firstLine="600" w:firstLineChars="250"/>
        <w:rPr>
          <w:rFonts w:hint="eastAsia" w:ascii="宋体" w:hAnsi="宋体"/>
        </w:rPr>
      </w:pPr>
      <w:r>
        <w:rPr>
          <w:rFonts w:hint="eastAsia" w:ascii="宋体" w:hAnsi="宋体"/>
        </w:rPr>
        <w:t>较重急性心肌梗死指依照上述标准被明确诊断为急性心肌梗死，并且必须同时满足下列至少一项条件：</w:t>
      </w:r>
    </w:p>
    <w:p>
      <w:pPr>
        <w:spacing w:line="360" w:lineRule="auto"/>
        <w:ind w:firstLine="600" w:firstLineChars="250"/>
        <w:rPr>
          <w:rFonts w:hint="eastAsia" w:ascii="宋体" w:hAnsi="宋体"/>
        </w:rPr>
      </w:pPr>
      <w:r>
        <w:rPr>
          <w:rFonts w:hint="eastAsia" w:ascii="宋体" w:hAnsi="宋体"/>
        </w:rPr>
        <w:t>1.心肌损伤标志物肌钙蛋白(cTn)升高，至少一次检测结果达到该检验正常参考值上限的15倍(含)以上；</w:t>
      </w:r>
    </w:p>
    <w:p>
      <w:pPr>
        <w:spacing w:line="360" w:lineRule="auto"/>
        <w:ind w:firstLine="600" w:firstLineChars="250"/>
        <w:rPr>
          <w:rFonts w:hint="eastAsia" w:ascii="宋体" w:hAnsi="宋体"/>
        </w:rPr>
      </w:pPr>
      <w:r>
        <w:rPr>
          <w:rFonts w:hint="eastAsia" w:ascii="宋体" w:hAnsi="宋体"/>
        </w:rPr>
        <w:t>2.肌酸激酶同工酶(CK-MB)升高，至少一次检测结果达到该检验正常参考值上限的2倍(含)以上；</w:t>
      </w:r>
    </w:p>
    <w:p>
      <w:pPr>
        <w:spacing w:line="360" w:lineRule="auto"/>
        <w:ind w:firstLine="600" w:firstLineChars="250"/>
        <w:rPr>
          <w:rFonts w:hint="eastAsia" w:ascii="宋体" w:hAnsi="宋体"/>
        </w:rPr>
      </w:pPr>
      <w:r>
        <w:rPr>
          <w:rFonts w:hint="eastAsia" w:ascii="宋体" w:hAnsi="宋体"/>
        </w:rPr>
        <w:t>3.出现左心室收缩功能下降，在确诊6周以后，检测左室射血分数(LVEF)低于50%(不含)；</w:t>
      </w:r>
    </w:p>
    <w:p>
      <w:pPr>
        <w:spacing w:line="360" w:lineRule="auto"/>
        <w:ind w:firstLine="600" w:firstLineChars="250"/>
        <w:rPr>
          <w:rFonts w:hint="eastAsia" w:ascii="宋体" w:hAnsi="宋体"/>
        </w:rPr>
      </w:pPr>
      <w:r>
        <w:rPr>
          <w:rFonts w:hint="eastAsia" w:ascii="宋体" w:hAnsi="宋体"/>
        </w:rPr>
        <w:t>4.影像学检查证实存在新发的乳头肌功能失调或断裂引起的中度(含)以上的二尖瓣反流；</w:t>
      </w:r>
    </w:p>
    <w:p>
      <w:pPr>
        <w:spacing w:line="360" w:lineRule="auto"/>
        <w:ind w:firstLine="600" w:firstLineChars="250"/>
        <w:rPr>
          <w:rFonts w:hint="eastAsia" w:ascii="宋体" w:hAnsi="宋体"/>
        </w:rPr>
      </w:pPr>
      <w:r>
        <w:rPr>
          <w:rFonts w:hint="eastAsia" w:ascii="宋体" w:hAnsi="宋体"/>
        </w:rPr>
        <w:t>5.影像学检查证实存在新出现的室壁瘤；</w:t>
      </w:r>
    </w:p>
    <w:p>
      <w:pPr>
        <w:spacing w:line="360" w:lineRule="auto"/>
        <w:ind w:firstLine="600" w:firstLineChars="250"/>
        <w:rPr>
          <w:rFonts w:hint="eastAsia" w:ascii="宋体" w:hAnsi="宋体"/>
        </w:rPr>
      </w:pPr>
      <w:r>
        <w:rPr>
          <w:rFonts w:hint="eastAsia" w:ascii="宋体" w:hAnsi="宋体"/>
        </w:rPr>
        <w:t>6.出现室性心动过速、心室颤动或心源性休克。</w:t>
      </w:r>
    </w:p>
    <w:p>
      <w:pPr>
        <w:spacing w:line="360" w:lineRule="auto"/>
        <w:ind w:firstLine="600" w:firstLineChars="250"/>
        <w:rPr>
          <w:rFonts w:hint="eastAsia" w:ascii="宋体" w:hAnsi="宋体"/>
        </w:rPr>
      </w:pPr>
      <w:r>
        <w:rPr>
          <w:rFonts w:hint="eastAsia" w:ascii="宋体" w:hAnsi="宋体"/>
        </w:rPr>
        <w:t>其他非冠状动脉阻塞性疾病所引起的肌钙蛋白(cTn)升高不在保障范围内。</w:t>
      </w:r>
    </w:p>
    <w:p>
      <w:pPr>
        <w:spacing w:line="360" w:lineRule="auto"/>
        <w:ind w:firstLine="602" w:firstLineChars="250"/>
        <w:rPr>
          <w:rFonts w:hint="eastAsia" w:ascii="宋体" w:hAnsi="宋体"/>
          <w:b/>
          <w:bCs/>
        </w:rPr>
      </w:pPr>
      <w:r>
        <w:rPr>
          <w:rFonts w:hint="eastAsia" w:ascii="宋体" w:hAnsi="宋体"/>
          <w:b/>
          <w:bCs/>
        </w:rPr>
        <w:t>（3）严重脑中风后遗症</w:t>
      </w:r>
    </w:p>
    <w:p>
      <w:pPr>
        <w:spacing w:line="360" w:lineRule="auto"/>
        <w:ind w:firstLine="600" w:firstLineChars="250"/>
        <w:rPr>
          <w:rFonts w:hint="eastAsia" w:ascii="宋体" w:hAnsi="宋体"/>
        </w:rPr>
      </w:pPr>
      <w:r>
        <w:rPr>
          <w:rFonts w:hint="eastAsia" w:ascii="宋体" w:hAnsi="宋体"/>
        </w:rPr>
        <w:t>指因脑血管的突发病变引起脑血管出血、栓塞或梗塞，须由头颅断层扫描(CT)、核磁共振检查(MRI)等影像学检查证实，并导致神经系统永久性的功能障碍。神经系统永久性的功能障碍，指疾病确诊180天后，仍遗留下列至少一种障碍：</w:t>
      </w:r>
    </w:p>
    <w:p>
      <w:pPr>
        <w:spacing w:line="360" w:lineRule="auto"/>
        <w:ind w:firstLine="600" w:firstLineChars="250"/>
        <w:rPr>
          <w:rFonts w:hint="eastAsia" w:ascii="宋体" w:hAnsi="宋体"/>
        </w:rPr>
      </w:pPr>
      <w:r>
        <w:rPr>
          <w:rFonts w:hint="eastAsia" w:ascii="宋体" w:hAnsi="宋体"/>
        </w:rPr>
        <w:t>1.一肢(含)以上肢体肌力2级(含)以下；</w:t>
      </w:r>
    </w:p>
    <w:p>
      <w:pPr>
        <w:spacing w:line="360" w:lineRule="auto"/>
        <w:ind w:firstLine="600" w:firstLineChars="250"/>
        <w:rPr>
          <w:rFonts w:hint="eastAsia" w:ascii="宋体" w:hAnsi="宋体"/>
        </w:rPr>
      </w:pPr>
      <w:r>
        <w:rPr>
          <w:rFonts w:hint="eastAsia" w:ascii="宋体" w:hAnsi="宋体"/>
        </w:rPr>
        <w:t>2.语言能力完全丧失，或严重咀嚼吞咽功能障碍(释义三十)；</w:t>
      </w:r>
    </w:p>
    <w:p>
      <w:pPr>
        <w:spacing w:line="360" w:lineRule="auto"/>
        <w:ind w:firstLine="600" w:firstLineChars="250"/>
        <w:rPr>
          <w:rFonts w:hint="eastAsia" w:ascii="宋体" w:hAnsi="宋体"/>
        </w:rPr>
      </w:pPr>
      <w:r>
        <w:rPr>
          <w:rFonts w:hint="eastAsia" w:ascii="宋体" w:hAnsi="宋体"/>
        </w:rPr>
        <w:t>3.自主生活能力完全丧失，无法独立完成6项基本日常生活活动中的3项或3项以上。</w:t>
      </w:r>
    </w:p>
    <w:p>
      <w:pPr>
        <w:spacing w:line="360" w:lineRule="auto"/>
        <w:ind w:firstLine="602" w:firstLineChars="250"/>
        <w:rPr>
          <w:rFonts w:hint="eastAsia" w:ascii="宋体" w:hAnsi="宋体"/>
          <w:b/>
          <w:bCs/>
        </w:rPr>
      </w:pPr>
      <w:r>
        <w:rPr>
          <w:rFonts w:hint="eastAsia" w:ascii="宋体" w:hAnsi="宋体"/>
          <w:b/>
          <w:bCs/>
        </w:rPr>
        <w:t>（4）重大器官移植术或造血干细胞移植术</w:t>
      </w:r>
    </w:p>
    <w:p>
      <w:pPr>
        <w:spacing w:line="360" w:lineRule="auto"/>
        <w:ind w:firstLine="600" w:firstLineChars="250"/>
        <w:rPr>
          <w:rFonts w:hint="eastAsia" w:ascii="宋体" w:hAnsi="宋体"/>
        </w:rPr>
      </w:pPr>
      <w:r>
        <w:rPr>
          <w:rFonts w:hint="eastAsia" w:ascii="宋体" w:hAnsi="宋体"/>
        </w:rPr>
        <w:t>重大器官移植术，指因相应器官功能衰竭，已经实施了肾脏、肝脏、心脏、肺脏或小肠的异体移植手术。也包含海南省备案制机构康复训练的0-17岁的残疾儿童。</w:t>
      </w:r>
    </w:p>
    <w:p>
      <w:pPr>
        <w:spacing w:line="360" w:lineRule="auto"/>
        <w:ind w:firstLine="600" w:firstLineChars="250"/>
        <w:rPr>
          <w:rFonts w:hint="eastAsia" w:ascii="宋体" w:hAnsi="宋体"/>
        </w:rPr>
      </w:pPr>
      <w:r>
        <w:rPr>
          <w:rFonts w:hint="eastAsia" w:ascii="宋体" w:hAnsi="宋体"/>
        </w:rPr>
        <w:t>造血干细胞移植术，指因造血功能损害或造血系统恶性肿瘤，已经实施了造血干细胞(包括骨髓造血干细胞、外周血造血干细胞和脐血造血干细胞)的移植手术。</w:t>
      </w:r>
    </w:p>
    <w:p>
      <w:pPr>
        <w:spacing w:line="360" w:lineRule="auto"/>
        <w:ind w:firstLine="602" w:firstLineChars="250"/>
        <w:rPr>
          <w:rFonts w:hint="eastAsia" w:ascii="宋体" w:hAnsi="宋体"/>
          <w:b/>
          <w:bCs/>
        </w:rPr>
      </w:pPr>
      <w:r>
        <w:rPr>
          <w:rFonts w:hint="eastAsia" w:ascii="宋体" w:hAnsi="宋体"/>
          <w:b/>
          <w:bCs/>
        </w:rPr>
        <w:t>（5）冠状动脉搭桥术(或称冠状动脉旁路移植术)</w:t>
      </w:r>
    </w:p>
    <w:p>
      <w:pPr>
        <w:spacing w:line="360" w:lineRule="auto"/>
        <w:ind w:firstLine="600" w:firstLineChars="250"/>
        <w:rPr>
          <w:rFonts w:hint="eastAsia" w:ascii="宋体" w:hAnsi="宋体"/>
        </w:rPr>
      </w:pPr>
      <w:r>
        <w:rPr>
          <w:rFonts w:hint="eastAsia" w:ascii="宋体" w:hAnsi="宋体"/>
        </w:rPr>
        <w:t>指为治疗严重的冠心病，已经实施了切开心包进行的冠状动脉血管旁路移植的手术。</w:t>
      </w:r>
    </w:p>
    <w:p>
      <w:pPr>
        <w:spacing w:line="360" w:lineRule="auto"/>
        <w:ind w:firstLine="600" w:firstLineChars="250"/>
        <w:rPr>
          <w:rFonts w:hint="eastAsia" w:ascii="宋体" w:hAnsi="宋体"/>
        </w:rPr>
      </w:pPr>
      <w:r>
        <w:rPr>
          <w:rFonts w:hint="eastAsia" w:ascii="宋体" w:hAnsi="宋体"/>
        </w:rPr>
        <w:t>所有未切开心包的冠状动脉介入治疗不在保障范围内。</w:t>
      </w:r>
    </w:p>
    <w:p>
      <w:pPr>
        <w:spacing w:line="360" w:lineRule="auto"/>
        <w:ind w:firstLine="602" w:firstLineChars="250"/>
        <w:rPr>
          <w:rFonts w:hint="eastAsia" w:ascii="宋体" w:hAnsi="宋体"/>
          <w:b/>
          <w:bCs/>
        </w:rPr>
      </w:pPr>
      <w:r>
        <w:rPr>
          <w:rFonts w:hint="eastAsia" w:ascii="宋体" w:hAnsi="宋体"/>
          <w:b/>
          <w:bCs/>
        </w:rPr>
        <w:t>（6）严重慢性肾衰竭</w:t>
      </w:r>
    </w:p>
    <w:p>
      <w:pPr>
        <w:spacing w:line="360" w:lineRule="auto"/>
        <w:ind w:firstLine="600" w:firstLineChars="250"/>
        <w:rPr>
          <w:rFonts w:hint="eastAsia" w:ascii="宋体" w:hAnsi="宋体"/>
        </w:rPr>
      </w:pPr>
      <w:r>
        <w:rPr>
          <w:rFonts w:hint="eastAsia" w:ascii="宋体" w:hAnsi="宋体"/>
        </w:rPr>
        <w:t>指双肾功能慢性不可逆性衰竭，依据肾脏病预后质量倡议(K/DOQI)制定的指南，分期达到慢性肾脏病5期，且经诊断后已经进行了至少90天的规律性透析治疗。规律性透析是指每周进行血液透析或每天进行腹膜透析。</w:t>
      </w:r>
    </w:p>
    <w:p>
      <w:pPr>
        <w:spacing w:line="360" w:lineRule="auto"/>
        <w:ind w:firstLine="602" w:firstLineChars="250"/>
        <w:rPr>
          <w:rFonts w:hint="eastAsia" w:ascii="宋体" w:hAnsi="宋体"/>
          <w:b/>
          <w:bCs/>
        </w:rPr>
      </w:pPr>
      <w:r>
        <w:rPr>
          <w:rFonts w:hint="eastAsia" w:ascii="宋体" w:hAnsi="宋体"/>
          <w:b/>
          <w:bCs/>
        </w:rPr>
        <w:t>（7）多个肢体缺失</w:t>
      </w:r>
    </w:p>
    <w:p>
      <w:pPr>
        <w:spacing w:line="360" w:lineRule="auto"/>
        <w:ind w:firstLine="600" w:firstLineChars="250"/>
        <w:rPr>
          <w:rFonts w:hint="eastAsia" w:ascii="宋体" w:hAnsi="宋体"/>
        </w:rPr>
      </w:pPr>
      <w:r>
        <w:rPr>
          <w:rFonts w:hint="eastAsia" w:ascii="宋体" w:hAnsi="宋体"/>
        </w:rPr>
        <w:t>指因疾病或意外伤害导致2个或2个以上肢体自腕关节或踝关节近端(靠近躯干端)以上完全性断离。</w:t>
      </w:r>
    </w:p>
    <w:p>
      <w:pPr>
        <w:spacing w:line="360" w:lineRule="auto"/>
        <w:ind w:firstLine="602" w:firstLineChars="250"/>
        <w:rPr>
          <w:rFonts w:hint="eastAsia" w:ascii="宋体" w:hAnsi="宋体"/>
          <w:b/>
          <w:bCs/>
        </w:rPr>
      </w:pPr>
      <w:r>
        <w:rPr>
          <w:rFonts w:hint="eastAsia" w:ascii="宋体" w:hAnsi="宋体"/>
          <w:b/>
          <w:bCs/>
        </w:rPr>
        <w:t>（8）急性重症肝炎或亚急性重症肝炎</w:t>
      </w:r>
    </w:p>
    <w:p>
      <w:pPr>
        <w:spacing w:line="360" w:lineRule="auto"/>
        <w:ind w:firstLine="600" w:firstLineChars="250"/>
        <w:rPr>
          <w:rFonts w:hint="eastAsia" w:ascii="宋体" w:hAnsi="宋体"/>
        </w:rPr>
      </w:pPr>
      <w:r>
        <w:rPr>
          <w:rFonts w:hint="eastAsia" w:ascii="宋体" w:hAnsi="宋体"/>
        </w:rPr>
        <w:t>指因肝炎病毒感染引起肝脏组织弥漫性坏死，导致急性肝功能衰竭，且经血清学或病毒学检查证实，并须满足下列全部条件：</w:t>
      </w:r>
    </w:p>
    <w:p>
      <w:pPr>
        <w:spacing w:line="360" w:lineRule="auto"/>
        <w:ind w:firstLine="600" w:firstLineChars="250"/>
        <w:rPr>
          <w:rFonts w:hint="eastAsia" w:ascii="宋体" w:hAnsi="宋体"/>
        </w:rPr>
      </w:pPr>
      <w:r>
        <w:rPr>
          <w:rFonts w:hint="eastAsia" w:ascii="宋体" w:hAnsi="宋体"/>
        </w:rPr>
        <w:t>1.重度黄疸或黄疸迅速加重；</w:t>
      </w:r>
    </w:p>
    <w:p>
      <w:pPr>
        <w:spacing w:line="360" w:lineRule="auto"/>
        <w:ind w:firstLine="600" w:firstLineChars="250"/>
        <w:rPr>
          <w:rFonts w:hint="eastAsia" w:ascii="宋体" w:hAnsi="宋体"/>
        </w:rPr>
      </w:pPr>
      <w:r>
        <w:rPr>
          <w:rFonts w:hint="eastAsia" w:ascii="宋体" w:hAnsi="宋体"/>
        </w:rPr>
        <w:t>2.肝性脑病；</w:t>
      </w:r>
    </w:p>
    <w:p>
      <w:pPr>
        <w:spacing w:line="360" w:lineRule="auto"/>
        <w:ind w:firstLine="600" w:firstLineChars="250"/>
        <w:rPr>
          <w:rFonts w:hint="eastAsia" w:ascii="宋体" w:hAnsi="宋体"/>
        </w:rPr>
      </w:pPr>
      <w:r>
        <w:rPr>
          <w:rFonts w:hint="eastAsia" w:ascii="宋体" w:hAnsi="宋体"/>
        </w:rPr>
        <w:t>3.B超或其他影像学检查显示肝脏体积急速萎缩；</w:t>
      </w:r>
    </w:p>
    <w:p>
      <w:pPr>
        <w:spacing w:line="360" w:lineRule="auto"/>
        <w:ind w:firstLine="600" w:firstLineChars="250"/>
        <w:rPr>
          <w:rFonts w:hint="eastAsia" w:ascii="宋体" w:hAnsi="宋体"/>
        </w:rPr>
      </w:pPr>
      <w:r>
        <w:rPr>
          <w:rFonts w:hint="eastAsia" w:ascii="宋体" w:hAnsi="宋体"/>
        </w:rPr>
        <w:t>4.肝功能指标进行性恶化。</w:t>
      </w:r>
    </w:p>
    <w:p>
      <w:pPr>
        <w:spacing w:line="360" w:lineRule="auto"/>
        <w:ind w:firstLine="602" w:firstLineChars="250"/>
        <w:rPr>
          <w:rFonts w:hint="eastAsia" w:ascii="宋体" w:hAnsi="宋体"/>
          <w:b/>
          <w:bCs/>
        </w:rPr>
      </w:pPr>
      <w:r>
        <w:rPr>
          <w:rFonts w:hint="eastAsia" w:ascii="宋体" w:hAnsi="宋体"/>
          <w:b/>
          <w:bCs/>
        </w:rPr>
        <w:t>（9）严重非恶性颅内肿瘤</w:t>
      </w:r>
    </w:p>
    <w:p>
      <w:pPr>
        <w:spacing w:line="360" w:lineRule="auto"/>
        <w:ind w:firstLine="600" w:firstLineChars="250"/>
        <w:rPr>
          <w:rFonts w:hint="eastAsia" w:ascii="宋体" w:hAnsi="宋体"/>
        </w:rPr>
      </w:pPr>
      <w:r>
        <w:rPr>
          <w:rFonts w:hint="eastAsia" w:ascii="宋体" w:hAnsi="宋体"/>
        </w:rPr>
        <w:t>指起源于脑、脑神经、脑被膜的非恶性肿瘤，ICD-O-3肿瘤形态学编码属于0(良性肿瘤)、1</w:t>
      </w:r>
      <w:r>
        <w:rPr>
          <w:rFonts w:hint="eastAsia" w:ascii="宋体" w:hAnsi="宋体"/>
        </w:rPr>
        <w:tab/>
      </w:r>
      <w:r>
        <w:rPr>
          <w:rFonts w:hint="eastAsia" w:ascii="宋体" w:hAnsi="宋体"/>
        </w:rPr>
        <w:t>(动态未定性肿瘤)范畴，并已经引起颅内压升高或神经系统功能损害，出现视乳头水肿或视觉受损、听也包含海南省备案制机构康复训练的0-17岁的残疾儿童。觉受损、面部或肢体瘫痪、癫痫等，须由头颅断层扫描(CT)、核磁共振检查(MRI)或正电子发射断层扫描(PET)等影像学检查证实，且须满足下列至少一项条件：</w:t>
      </w:r>
    </w:p>
    <w:p>
      <w:pPr>
        <w:spacing w:line="360" w:lineRule="auto"/>
        <w:ind w:firstLine="600" w:firstLineChars="250"/>
        <w:rPr>
          <w:rFonts w:hint="eastAsia" w:ascii="宋体" w:hAnsi="宋体"/>
        </w:rPr>
      </w:pPr>
      <w:r>
        <w:rPr>
          <w:rFonts w:hint="eastAsia" w:ascii="宋体" w:hAnsi="宋体"/>
        </w:rPr>
        <w:t>1．已经实施了开颅进行的颅内肿瘤完全或部分切除手术；</w:t>
      </w:r>
    </w:p>
    <w:p>
      <w:pPr>
        <w:spacing w:line="360" w:lineRule="auto"/>
        <w:ind w:firstLine="600" w:firstLineChars="250"/>
        <w:rPr>
          <w:rFonts w:hint="eastAsia" w:ascii="宋体" w:hAnsi="宋体"/>
        </w:rPr>
      </w:pPr>
      <w:r>
        <w:rPr>
          <w:rFonts w:hint="eastAsia" w:ascii="宋体" w:hAnsi="宋体"/>
        </w:rPr>
        <w:t>2．已经实施了针对颅内肿瘤的放射治疗，如γ刀、质子重离子治疗等。</w:t>
      </w:r>
    </w:p>
    <w:p>
      <w:pPr>
        <w:spacing w:line="360" w:lineRule="auto"/>
        <w:ind w:firstLine="600" w:firstLineChars="250"/>
        <w:rPr>
          <w:rFonts w:hint="eastAsia" w:ascii="宋体" w:hAnsi="宋体"/>
        </w:rPr>
      </w:pPr>
      <w:r>
        <w:rPr>
          <w:rFonts w:hint="eastAsia" w:ascii="宋体" w:hAnsi="宋体"/>
        </w:rPr>
        <w:t>下列疾病不在保障范围内：</w:t>
      </w:r>
    </w:p>
    <w:p>
      <w:pPr>
        <w:spacing w:line="360" w:lineRule="auto"/>
        <w:ind w:firstLine="600" w:firstLineChars="250"/>
        <w:rPr>
          <w:rFonts w:hint="eastAsia" w:ascii="宋体" w:hAnsi="宋体"/>
        </w:rPr>
      </w:pPr>
      <w:r>
        <w:rPr>
          <w:rFonts w:hint="eastAsia" w:ascii="宋体" w:hAnsi="宋体"/>
        </w:rPr>
        <w:t>1.脑垂体瘤；</w:t>
      </w:r>
    </w:p>
    <w:p>
      <w:pPr>
        <w:spacing w:line="360" w:lineRule="auto"/>
        <w:ind w:firstLine="600" w:firstLineChars="250"/>
        <w:rPr>
          <w:rFonts w:hint="eastAsia" w:ascii="宋体" w:hAnsi="宋体"/>
        </w:rPr>
      </w:pPr>
      <w:r>
        <w:rPr>
          <w:rFonts w:hint="eastAsia" w:ascii="宋体" w:hAnsi="宋体"/>
        </w:rPr>
        <w:t>2.脑囊肿；</w:t>
      </w:r>
    </w:p>
    <w:p>
      <w:pPr>
        <w:spacing w:line="360" w:lineRule="auto"/>
        <w:ind w:firstLine="600" w:firstLineChars="250"/>
        <w:rPr>
          <w:rFonts w:hint="eastAsia" w:ascii="宋体" w:hAnsi="宋体"/>
        </w:rPr>
      </w:pPr>
      <w:r>
        <w:rPr>
          <w:rFonts w:hint="eastAsia" w:ascii="宋体" w:hAnsi="宋体"/>
        </w:rPr>
        <w:t>3.颅内血管性疾病(如脑动脉瘤、脑动静脉畸形、海绵状血管瘤、毛细血管扩张症等)。</w:t>
      </w:r>
    </w:p>
    <w:p>
      <w:pPr>
        <w:spacing w:line="360" w:lineRule="auto"/>
        <w:ind w:firstLine="602" w:firstLineChars="250"/>
        <w:rPr>
          <w:rFonts w:hint="eastAsia" w:ascii="宋体" w:hAnsi="宋体"/>
          <w:b/>
          <w:bCs/>
        </w:rPr>
      </w:pPr>
      <w:r>
        <w:rPr>
          <w:rFonts w:hint="eastAsia" w:ascii="宋体" w:hAnsi="宋体"/>
          <w:b/>
          <w:bCs/>
        </w:rPr>
        <w:t>（10）严重慢性肝衰竭</w:t>
      </w:r>
    </w:p>
    <w:p>
      <w:pPr>
        <w:spacing w:line="360" w:lineRule="auto"/>
        <w:ind w:firstLine="600" w:firstLineChars="250"/>
        <w:rPr>
          <w:rFonts w:hint="eastAsia" w:ascii="宋体" w:hAnsi="宋体"/>
        </w:rPr>
      </w:pPr>
      <w:r>
        <w:rPr>
          <w:rFonts w:hint="eastAsia" w:ascii="宋体" w:hAnsi="宋体"/>
        </w:rPr>
        <w:t>指因慢性肝脏疾病导致的肝衰竭，且须满足下列七、服务要求</w:t>
      </w:r>
    </w:p>
    <w:p>
      <w:pPr>
        <w:spacing w:line="360" w:lineRule="auto"/>
        <w:ind w:firstLine="600" w:firstLineChars="250"/>
        <w:rPr>
          <w:rFonts w:hint="eastAsia" w:ascii="宋体" w:hAnsi="宋体"/>
        </w:rPr>
      </w:pPr>
      <w:r>
        <w:rPr>
          <w:rFonts w:hint="eastAsia" w:ascii="宋体" w:hAnsi="宋体"/>
        </w:rPr>
        <w:t>全部条件：</w:t>
      </w:r>
    </w:p>
    <w:p>
      <w:pPr>
        <w:spacing w:line="360" w:lineRule="auto"/>
        <w:ind w:firstLine="600" w:firstLineChars="250"/>
        <w:rPr>
          <w:rFonts w:hint="eastAsia" w:ascii="宋体" w:hAnsi="宋体"/>
        </w:rPr>
      </w:pPr>
      <w:r>
        <w:rPr>
          <w:rFonts w:hint="eastAsia" w:ascii="宋体" w:hAnsi="宋体"/>
        </w:rPr>
        <w:t>1.持续性黄疸；</w:t>
      </w:r>
    </w:p>
    <w:p>
      <w:pPr>
        <w:spacing w:line="360" w:lineRule="auto"/>
        <w:ind w:firstLine="600" w:firstLineChars="250"/>
        <w:rPr>
          <w:rFonts w:hint="eastAsia" w:ascii="宋体" w:hAnsi="宋体"/>
        </w:rPr>
      </w:pPr>
      <w:r>
        <w:rPr>
          <w:rFonts w:hint="eastAsia" w:ascii="宋体" w:hAnsi="宋体"/>
        </w:rPr>
        <w:t>2.腹水；</w:t>
      </w:r>
    </w:p>
    <w:p>
      <w:pPr>
        <w:spacing w:line="360" w:lineRule="auto"/>
        <w:ind w:firstLine="600" w:firstLineChars="250"/>
        <w:rPr>
          <w:rFonts w:hint="eastAsia" w:ascii="宋体" w:hAnsi="宋体"/>
        </w:rPr>
      </w:pPr>
      <w:r>
        <w:rPr>
          <w:rFonts w:hint="eastAsia" w:ascii="宋体" w:hAnsi="宋体"/>
        </w:rPr>
        <w:t>3.肝性脑病；</w:t>
      </w:r>
    </w:p>
    <w:p>
      <w:pPr>
        <w:spacing w:line="360" w:lineRule="auto"/>
        <w:ind w:firstLine="600" w:firstLineChars="250"/>
        <w:rPr>
          <w:rFonts w:hint="eastAsia" w:ascii="宋体" w:hAnsi="宋体"/>
        </w:rPr>
      </w:pPr>
      <w:r>
        <w:rPr>
          <w:rFonts w:hint="eastAsia" w:ascii="宋体" w:hAnsi="宋体"/>
        </w:rPr>
        <w:t>4.充血性脾肿大伴脾功能亢进或食管胃底静脉曲张。</w:t>
      </w:r>
    </w:p>
    <w:p>
      <w:pPr>
        <w:spacing w:line="360" w:lineRule="auto"/>
        <w:ind w:firstLine="600" w:firstLineChars="250"/>
        <w:rPr>
          <w:rFonts w:hint="eastAsia" w:ascii="宋体" w:hAnsi="宋体"/>
        </w:rPr>
      </w:pPr>
      <w:r>
        <w:rPr>
          <w:rFonts w:hint="eastAsia" w:ascii="宋体" w:hAnsi="宋体"/>
        </w:rPr>
        <w:t>因酗酒或药物滥用导致的肝衰竭不在保障范围内。</w:t>
      </w:r>
    </w:p>
    <w:p>
      <w:pPr>
        <w:spacing w:line="360" w:lineRule="auto"/>
        <w:ind w:firstLine="602" w:firstLineChars="250"/>
        <w:rPr>
          <w:rFonts w:hint="eastAsia" w:ascii="宋体" w:hAnsi="宋体"/>
          <w:b/>
          <w:bCs/>
        </w:rPr>
      </w:pPr>
      <w:r>
        <w:rPr>
          <w:rFonts w:hint="eastAsia" w:ascii="宋体" w:hAnsi="宋体"/>
          <w:b/>
          <w:bCs/>
        </w:rPr>
        <w:t>（11）严重脑炎后遗症或严重脑膜炎后遗症</w:t>
      </w:r>
    </w:p>
    <w:p>
      <w:pPr>
        <w:spacing w:line="360" w:lineRule="auto"/>
        <w:ind w:firstLine="600" w:firstLineChars="250"/>
        <w:rPr>
          <w:rFonts w:hint="eastAsia" w:ascii="宋体" w:hAnsi="宋体"/>
        </w:rPr>
      </w:pPr>
      <w:r>
        <w:rPr>
          <w:rFonts w:hint="eastAsia" w:ascii="宋体" w:hAnsi="宋体"/>
        </w:rPr>
        <w:t>指因患脑炎或脑膜炎导致的神经系统永久性的功能障碍。神经系统永久性的功能障碍，指经相关专科医生确诊疾病180天后，仍遗留下列至少一种障碍：</w:t>
      </w:r>
    </w:p>
    <w:p>
      <w:pPr>
        <w:spacing w:line="360" w:lineRule="auto"/>
        <w:ind w:firstLine="600" w:firstLineChars="250"/>
        <w:rPr>
          <w:rFonts w:hint="eastAsia" w:ascii="宋体" w:hAnsi="宋体"/>
        </w:rPr>
      </w:pPr>
      <w:r>
        <w:rPr>
          <w:rFonts w:hint="eastAsia" w:ascii="宋体" w:hAnsi="宋体"/>
        </w:rPr>
        <w:t>1.一肢(含)以上肢体肌力2级(含)以下；</w:t>
      </w:r>
    </w:p>
    <w:p>
      <w:pPr>
        <w:spacing w:line="360" w:lineRule="auto"/>
        <w:ind w:firstLine="600" w:firstLineChars="250"/>
        <w:rPr>
          <w:rFonts w:hint="eastAsia" w:ascii="宋体" w:hAnsi="宋体"/>
        </w:rPr>
      </w:pPr>
      <w:r>
        <w:rPr>
          <w:rFonts w:hint="eastAsia" w:ascii="宋体" w:hAnsi="宋体"/>
        </w:rPr>
        <w:t>2.语言能力完全丧失，或严重咀嚼吞咽功能障碍；</w:t>
      </w:r>
    </w:p>
    <w:p>
      <w:pPr>
        <w:spacing w:line="360" w:lineRule="auto"/>
        <w:ind w:firstLine="600" w:firstLineChars="250"/>
        <w:rPr>
          <w:rFonts w:hint="eastAsia" w:ascii="宋体" w:hAnsi="宋体"/>
        </w:rPr>
      </w:pPr>
      <w:r>
        <w:rPr>
          <w:rFonts w:hint="eastAsia" w:ascii="宋体" w:hAnsi="宋体"/>
        </w:rPr>
        <w:t>3.由具有评估资格的专科医生根据临床痴呆评定量表(CDR，ClinicalDementiaRating)评估结果为3分；</w:t>
      </w:r>
    </w:p>
    <w:p>
      <w:pPr>
        <w:spacing w:line="360" w:lineRule="auto"/>
        <w:ind w:firstLine="600" w:firstLineChars="250"/>
        <w:rPr>
          <w:rFonts w:hint="eastAsia" w:ascii="宋体" w:hAnsi="宋体"/>
        </w:rPr>
      </w:pPr>
      <w:r>
        <w:rPr>
          <w:rFonts w:hint="eastAsia" w:ascii="宋体" w:hAnsi="宋体"/>
        </w:rPr>
        <w:t>4.自主生活能力完全丧失，无法独立完成6项基本日常生活活动中的3项或3项以上。</w:t>
      </w:r>
    </w:p>
    <w:p>
      <w:pPr>
        <w:spacing w:line="360" w:lineRule="auto"/>
        <w:ind w:firstLine="602" w:firstLineChars="250"/>
        <w:rPr>
          <w:rFonts w:hint="eastAsia" w:ascii="宋体" w:hAnsi="宋体"/>
          <w:b/>
          <w:bCs/>
        </w:rPr>
      </w:pPr>
      <w:r>
        <w:rPr>
          <w:rFonts w:hint="eastAsia" w:ascii="宋体" w:hAnsi="宋体"/>
          <w:b/>
          <w:bCs/>
        </w:rPr>
        <w:t>（12）深度昏迷</w:t>
      </w:r>
    </w:p>
    <w:p>
      <w:pPr>
        <w:spacing w:line="360" w:lineRule="auto"/>
        <w:ind w:firstLine="600" w:firstLineChars="250"/>
        <w:rPr>
          <w:rFonts w:hint="eastAsia" w:ascii="宋体" w:hAnsi="宋体"/>
        </w:rPr>
      </w:pPr>
      <w:r>
        <w:rPr>
          <w:rFonts w:hint="eastAsia" w:ascii="宋体" w:hAnsi="宋体"/>
        </w:rPr>
        <w:t>指因疾病或意外伤害导致意识丧失,对外界刺激和体内需求均无反应，昏迷程度按照格拉斯哥昏迷分级(GCS，Glasgowcomascale)结果为5分或5分以下，且已经持续使用呼吸机及其他生命维持系统96小时以上。</w:t>
      </w:r>
    </w:p>
    <w:p>
      <w:pPr>
        <w:spacing w:line="360" w:lineRule="auto"/>
        <w:ind w:firstLine="600" w:firstLineChars="250"/>
        <w:rPr>
          <w:rFonts w:hint="eastAsia" w:ascii="宋体" w:hAnsi="宋体"/>
        </w:rPr>
      </w:pPr>
      <w:r>
        <w:rPr>
          <w:rFonts w:hint="eastAsia" w:ascii="宋体" w:hAnsi="宋体"/>
        </w:rPr>
        <w:t>因酗酒或药物滥用导致的深度昏迷不在保障范围内。</w:t>
      </w:r>
    </w:p>
    <w:p>
      <w:pPr>
        <w:spacing w:line="360" w:lineRule="auto"/>
        <w:ind w:firstLine="602" w:firstLineChars="250"/>
        <w:rPr>
          <w:rFonts w:hint="eastAsia" w:ascii="宋体" w:hAnsi="宋体"/>
        </w:rPr>
      </w:pPr>
      <w:r>
        <w:rPr>
          <w:rFonts w:hint="eastAsia" w:ascii="宋体" w:hAnsi="宋体"/>
          <w:b/>
          <w:bCs/>
        </w:rPr>
        <w:t>（13）双耳失聪——3周岁后始</w:t>
      </w:r>
    </w:p>
    <w:p>
      <w:pPr>
        <w:spacing w:line="360" w:lineRule="auto"/>
        <w:ind w:firstLine="600" w:firstLineChars="250"/>
        <w:rPr>
          <w:rFonts w:hint="eastAsia" w:ascii="宋体" w:hAnsi="宋体"/>
        </w:rPr>
      </w:pPr>
      <w:r>
        <w:rPr>
          <w:rFonts w:hint="eastAsia" w:ascii="宋体" w:hAnsi="宋体"/>
        </w:rPr>
        <w:t>指因疾病或意外伤害导致双耳听力永久不可逆性丧失，在500赫兹、1000赫兹和2000赫兹语音频率下，平均听阈大于等于91分贝，且经纯音听力测试、声导抗检测或听觉诱发电位检测等证实。</w:t>
      </w:r>
    </w:p>
    <w:p>
      <w:pPr>
        <w:spacing w:line="360" w:lineRule="auto"/>
        <w:ind w:firstLine="600" w:firstLineChars="250"/>
        <w:rPr>
          <w:rFonts w:hint="eastAsia" w:ascii="宋体" w:hAnsi="宋体"/>
        </w:rPr>
      </w:pPr>
      <w:r>
        <w:rPr>
          <w:rFonts w:hint="eastAsia" w:ascii="宋体" w:hAnsi="宋体"/>
        </w:rPr>
        <w:t>申请理赔时，被保险人年龄须在3周岁以上，并且须提供理赔当时的听力丧失诊断及检查证据。</w:t>
      </w:r>
    </w:p>
    <w:p>
      <w:pPr>
        <w:spacing w:line="360" w:lineRule="auto"/>
        <w:ind w:firstLine="602" w:firstLineChars="250"/>
        <w:rPr>
          <w:rFonts w:hint="eastAsia" w:ascii="宋体" w:hAnsi="宋体"/>
          <w:b/>
          <w:bCs/>
        </w:rPr>
      </w:pPr>
      <w:r>
        <w:rPr>
          <w:rFonts w:hint="eastAsia" w:ascii="宋体" w:hAnsi="宋体"/>
          <w:b/>
          <w:bCs/>
        </w:rPr>
        <w:t>（14）双目失明——3周岁后始理赔</w:t>
      </w:r>
    </w:p>
    <w:p>
      <w:pPr>
        <w:spacing w:line="360" w:lineRule="auto"/>
        <w:ind w:firstLine="600" w:firstLineChars="250"/>
        <w:rPr>
          <w:rFonts w:hint="eastAsia" w:ascii="宋体" w:hAnsi="宋体"/>
        </w:rPr>
      </w:pPr>
      <w:r>
        <w:rPr>
          <w:rFonts w:hint="eastAsia" w:ascii="宋体" w:hAnsi="宋体"/>
        </w:rPr>
        <w:t>指因疾病或意外伤害导致双眼视力永久不可逆性丧失，双眼中较好眼须满足下列至少1项条件：</w:t>
      </w:r>
    </w:p>
    <w:p>
      <w:pPr>
        <w:spacing w:line="360" w:lineRule="auto"/>
        <w:ind w:firstLine="600" w:firstLineChars="250"/>
        <w:rPr>
          <w:rFonts w:hint="eastAsia" w:ascii="宋体" w:hAnsi="宋体"/>
        </w:rPr>
      </w:pPr>
      <w:r>
        <w:rPr>
          <w:rFonts w:hint="eastAsia" w:ascii="宋体" w:hAnsi="宋体"/>
        </w:rPr>
        <w:t>1.眼球缺失或摘除；</w:t>
      </w:r>
    </w:p>
    <w:p>
      <w:pPr>
        <w:spacing w:line="440" w:lineRule="exact"/>
        <w:ind w:firstLine="600" w:firstLineChars="250"/>
        <w:rPr>
          <w:rFonts w:hint="eastAsia" w:ascii="宋体" w:hAnsi="宋体"/>
        </w:rPr>
      </w:pPr>
      <w:r>
        <w:rPr>
          <w:rFonts w:hint="eastAsia" w:ascii="宋体" w:hAnsi="宋体"/>
        </w:rPr>
        <w:t>2.矫正视力低于0.02(采用国际标准视力表，如果使用其他视力表应进行换算)；</w:t>
      </w:r>
    </w:p>
    <w:p>
      <w:pPr>
        <w:spacing w:line="360" w:lineRule="auto"/>
        <w:ind w:firstLine="600" w:firstLineChars="250"/>
        <w:rPr>
          <w:rFonts w:hint="eastAsia" w:ascii="宋体" w:hAnsi="宋体"/>
        </w:rPr>
      </w:pPr>
      <w:r>
        <w:rPr>
          <w:rFonts w:hint="eastAsia" w:ascii="宋体" w:hAnsi="宋体"/>
        </w:rPr>
        <w:t>3.视野半径小于5度。</w:t>
      </w:r>
    </w:p>
    <w:p>
      <w:pPr>
        <w:spacing w:line="360" w:lineRule="auto"/>
        <w:ind w:firstLine="600" w:firstLineChars="250"/>
        <w:rPr>
          <w:rFonts w:hint="eastAsia" w:ascii="宋体" w:hAnsi="宋体"/>
        </w:rPr>
      </w:pPr>
      <w:r>
        <w:rPr>
          <w:rFonts w:hint="eastAsia" w:ascii="宋体" w:hAnsi="宋体"/>
        </w:rPr>
        <w:t>申请理赔时，被保险人年龄须在3周岁以上，并且须提供理赔当时的视力丧失诊断及检查证据。</w:t>
      </w:r>
    </w:p>
    <w:p>
      <w:pPr>
        <w:spacing w:line="360" w:lineRule="auto"/>
        <w:ind w:firstLine="602" w:firstLineChars="250"/>
        <w:rPr>
          <w:rFonts w:hint="eastAsia" w:ascii="宋体" w:hAnsi="宋体"/>
          <w:b/>
          <w:bCs/>
        </w:rPr>
      </w:pPr>
      <w:r>
        <w:rPr>
          <w:rFonts w:hint="eastAsia" w:ascii="宋体" w:hAnsi="宋体"/>
          <w:b/>
          <w:bCs/>
        </w:rPr>
        <w:t>（15）瘫痪</w:t>
      </w:r>
    </w:p>
    <w:p>
      <w:pPr>
        <w:spacing w:line="360" w:lineRule="auto"/>
        <w:ind w:firstLine="600" w:firstLineChars="250"/>
        <w:rPr>
          <w:rFonts w:hint="eastAsia" w:ascii="宋体" w:hAnsi="宋体"/>
        </w:rPr>
      </w:pPr>
      <w:r>
        <w:rPr>
          <w:rFonts w:hint="eastAsia" w:ascii="宋体" w:hAnsi="宋体"/>
        </w:rPr>
        <w:t>指因疾病或意外伤害导致两肢或两肢以上肢体随意运动功能永久完全丧失。肢体随意运动功能永久完全丧失，指疾病确诊180天后或意外伤害发生180天后，每肢三大关节中的两大关节仍然完全僵硬，或肢体肌力在2级(含)以下。</w:t>
      </w:r>
    </w:p>
    <w:p>
      <w:pPr>
        <w:spacing w:line="360" w:lineRule="auto"/>
        <w:ind w:firstLine="602" w:firstLineChars="250"/>
        <w:rPr>
          <w:rFonts w:hint="eastAsia" w:ascii="宋体" w:hAnsi="宋体"/>
          <w:b/>
          <w:bCs/>
        </w:rPr>
      </w:pPr>
      <w:r>
        <w:rPr>
          <w:rFonts w:hint="eastAsia" w:ascii="宋体" w:hAnsi="宋体"/>
          <w:b/>
          <w:bCs/>
        </w:rPr>
        <w:t>（16）心脏瓣膜手术</w:t>
      </w:r>
    </w:p>
    <w:p>
      <w:pPr>
        <w:spacing w:line="360" w:lineRule="auto"/>
        <w:ind w:firstLine="600" w:firstLineChars="250"/>
        <w:rPr>
          <w:rFonts w:hint="eastAsia" w:ascii="宋体" w:hAnsi="宋体"/>
        </w:rPr>
      </w:pPr>
      <w:r>
        <w:rPr>
          <w:rFonts w:hint="eastAsia" w:ascii="宋体" w:hAnsi="宋体"/>
        </w:rPr>
        <w:t>指为治疗心脏瓣膜疾病，已经实施了切开心脏进行的心脏瓣膜置换或修复的手术。</w:t>
      </w:r>
    </w:p>
    <w:p>
      <w:pPr>
        <w:spacing w:line="360" w:lineRule="auto"/>
        <w:ind w:firstLine="600" w:firstLineChars="250"/>
        <w:rPr>
          <w:rFonts w:hint="eastAsia" w:ascii="宋体" w:hAnsi="宋体"/>
        </w:rPr>
      </w:pPr>
      <w:r>
        <w:rPr>
          <w:rFonts w:hint="eastAsia" w:ascii="宋体" w:hAnsi="宋体"/>
        </w:rPr>
        <w:t>所有未切开心脏的心脏瓣膜介入手术不在保障范围内。</w:t>
      </w:r>
    </w:p>
    <w:p>
      <w:pPr>
        <w:spacing w:line="360" w:lineRule="auto"/>
        <w:ind w:firstLine="602" w:firstLineChars="250"/>
        <w:rPr>
          <w:rFonts w:hint="eastAsia" w:ascii="宋体" w:hAnsi="宋体"/>
          <w:b/>
          <w:bCs/>
        </w:rPr>
      </w:pPr>
      <w:r>
        <w:rPr>
          <w:rFonts w:hint="eastAsia" w:ascii="宋体" w:hAnsi="宋体"/>
          <w:b/>
          <w:bCs/>
        </w:rPr>
        <w:t>（17）严重阿尔茨海默病</w:t>
      </w:r>
    </w:p>
    <w:p>
      <w:pPr>
        <w:spacing w:line="360" w:lineRule="auto"/>
        <w:ind w:firstLine="600" w:firstLineChars="250"/>
        <w:rPr>
          <w:rFonts w:hint="eastAsia" w:ascii="宋体" w:hAnsi="宋体"/>
        </w:rPr>
      </w:pPr>
      <w:r>
        <w:rPr>
          <w:rFonts w:hint="eastAsia" w:ascii="宋体" w:hAnsi="宋体"/>
        </w:rPr>
        <w:t>指因大脑进行性、不可逆性改变导致智能严重衰退或丧失，临床表现为严重的认知功能障碍、精神行为异常和社交能力减退等，其日常生活必须持续受到他人监护。须由头颅断层扫描(CT)、核磁共振检查(MRI)或正电子发射断层扫描(PET)等影像学检查证实，并经相关专科医生确诊，</w:t>
      </w:r>
    </w:p>
    <w:p>
      <w:pPr>
        <w:spacing w:line="360" w:lineRule="auto"/>
        <w:ind w:firstLine="600" w:firstLineChars="250"/>
        <w:rPr>
          <w:rFonts w:hint="eastAsia" w:ascii="宋体" w:hAnsi="宋体"/>
        </w:rPr>
      </w:pPr>
      <w:r>
        <w:rPr>
          <w:rFonts w:hint="eastAsia" w:ascii="宋体" w:hAnsi="宋体"/>
        </w:rPr>
        <w:t>且须满足下列至少一项条件：</w:t>
      </w:r>
    </w:p>
    <w:p>
      <w:pPr>
        <w:spacing w:line="360" w:lineRule="auto"/>
        <w:ind w:firstLine="600" w:firstLineChars="250"/>
        <w:rPr>
          <w:rFonts w:hint="eastAsia" w:ascii="宋体" w:hAnsi="宋体"/>
        </w:rPr>
      </w:pPr>
      <w:r>
        <w:rPr>
          <w:rFonts w:hint="eastAsia" w:ascii="宋体" w:hAnsi="宋体"/>
        </w:rPr>
        <w:t>1.由具有评估资格的专科医生根据临床痴呆评定量表(CDR，ClinicalDementiaRating)评估结果为3分；</w:t>
      </w:r>
    </w:p>
    <w:p>
      <w:pPr>
        <w:spacing w:line="360" w:lineRule="auto"/>
        <w:ind w:firstLine="600" w:firstLineChars="250"/>
        <w:rPr>
          <w:rFonts w:hint="eastAsia" w:ascii="宋体" w:hAnsi="宋体"/>
        </w:rPr>
      </w:pPr>
      <w:r>
        <w:rPr>
          <w:rFonts w:hint="eastAsia" w:ascii="宋体" w:hAnsi="宋体"/>
        </w:rPr>
        <w:t>2.自主生活能力完全丧失，无法独立完成6项基本日常生活活动中的3项或3项以上。</w:t>
      </w:r>
    </w:p>
    <w:p>
      <w:pPr>
        <w:spacing w:line="360" w:lineRule="auto"/>
        <w:ind w:firstLine="600" w:firstLineChars="250"/>
        <w:rPr>
          <w:rFonts w:hint="eastAsia" w:ascii="宋体" w:hAnsi="宋体"/>
        </w:rPr>
      </w:pPr>
      <w:r>
        <w:rPr>
          <w:rFonts w:hint="eastAsia" w:ascii="宋体" w:hAnsi="宋体"/>
        </w:rPr>
        <w:t>阿尔茨海默病之外的其他类型痴呆不在保障范围内。</w:t>
      </w:r>
    </w:p>
    <w:p>
      <w:pPr>
        <w:spacing w:line="360" w:lineRule="auto"/>
        <w:ind w:firstLine="602" w:firstLineChars="250"/>
        <w:rPr>
          <w:rFonts w:hint="eastAsia" w:ascii="宋体" w:hAnsi="宋体"/>
          <w:b/>
          <w:bCs/>
        </w:rPr>
      </w:pPr>
      <w:r>
        <w:rPr>
          <w:rFonts w:hint="eastAsia" w:ascii="宋体" w:hAnsi="宋体"/>
          <w:b/>
          <w:bCs/>
        </w:rPr>
        <w:t>（18）严重脑损伤</w:t>
      </w:r>
    </w:p>
    <w:p>
      <w:pPr>
        <w:spacing w:line="360" w:lineRule="auto"/>
        <w:ind w:firstLine="600" w:firstLineChars="250"/>
        <w:rPr>
          <w:rFonts w:hint="eastAsia" w:ascii="宋体" w:hAnsi="宋体"/>
        </w:rPr>
      </w:pPr>
      <w:r>
        <w:rPr>
          <w:rFonts w:hint="eastAsia" w:ascii="宋体" w:hAnsi="宋体"/>
        </w:rPr>
        <w:t>指因头部遭受机械性外力，引起脑重要部位损伤，导致神经系统永久性的功能障碍。须由头颅断层扫描(CT)、核磁共振检查(MRI)或正电子发射断层扫描(PET)等影像学检查证实。神经系统永久性的功能障碍，指脑损伤180日后，仍遗留下列至少一种障碍：</w:t>
      </w:r>
    </w:p>
    <w:p>
      <w:pPr>
        <w:spacing w:line="360" w:lineRule="auto"/>
        <w:ind w:firstLine="600" w:firstLineChars="250"/>
        <w:rPr>
          <w:rFonts w:hint="eastAsia" w:ascii="宋体" w:hAnsi="宋体"/>
        </w:rPr>
      </w:pPr>
      <w:r>
        <w:rPr>
          <w:rFonts w:hint="eastAsia" w:ascii="宋体" w:hAnsi="宋体"/>
        </w:rPr>
        <w:t>1.一肢(含)以上肢体肌力2级(含)以下；</w:t>
      </w:r>
    </w:p>
    <w:p>
      <w:pPr>
        <w:spacing w:line="360" w:lineRule="auto"/>
        <w:ind w:firstLine="600" w:firstLineChars="250"/>
        <w:rPr>
          <w:rFonts w:hint="eastAsia" w:ascii="宋体" w:hAnsi="宋体"/>
        </w:rPr>
      </w:pPr>
      <w:r>
        <w:rPr>
          <w:rFonts w:hint="eastAsia" w:ascii="宋体" w:hAnsi="宋体"/>
        </w:rPr>
        <w:t>2.语言能力完全丧失，或严重咀嚼吞咽功能障碍；</w:t>
      </w:r>
    </w:p>
    <w:p>
      <w:pPr>
        <w:spacing w:line="360" w:lineRule="auto"/>
        <w:ind w:firstLine="600" w:firstLineChars="250"/>
        <w:rPr>
          <w:rFonts w:hint="eastAsia" w:ascii="宋体" w:hAnsi="宋体"/>
          <w:b/>
          <w:bCs/>
        </w:rPr>
      </w:pPr>
      <w:r>
        <w:rPr>
          <w:rFonts w:hint="eastAsia" w:ascii="宋体" w:hAnsi="宋体"/>
        </w:rPr>
        <w:t>3.自主生活能力完全丧失，无法独立完成6项基本日常生活活动中的3项或3项以上。</w:t>
      </w:r>
    </w:p>
    <w:p>
      <w:pPr>
        <w:spacing w:line="360" w:lineRule="auto"/>
        <w:ind w:firstLine="602" w:firstLineChars="250"/>
        <w:rPr>
          <w:rFonts w:hint="eastAsia" w:ascii="宋体" w:hAnsi="宋体"/>
          <w:b/>
          <w:bCs/>
        </w:rPr>
      </w:pPr>
      <w:r>
        <w:rPr>
          <w:rFonts w:hint="eastAsia" w:ascii="宋体" w:hAnsi="宋体"/>
          <w:b/>
          <w:bCs/>
        </w:rPr>
        <w:t>（19）严重原发性帕金森病</w:t>
      </w:r>
    </w:p>
    <w:p>
      <w:pPr>
        <w:spacing w:line="360" w:lineRule="auto"/>
        <w:ind w:firstLine="600" w:firstLineChars="250"/>
        <w:rPr>
          <w:rFonts w:hint="eastAsia" w:ascii="宋体" w:hAnsi="宋体"/>
        </w:rPr>
      </w:pPr>
      <w:r>
        <w:rPr>
          <w:rFonts w:hint="eastAsia" w:ascii="宋体" w:hAnsi="宋体"/>
        </w:rPr>
        <w:t>是一种中枢神经系统的退行性疾病，临床表现为运动迟缓、静止性震颤或肌强直等。经相关专科医生确诊，且须满足自主生活能力完全丧失，无法独立完成6项基本日常生活活动中的3项或3项以上。</w:t>
      </w:r>
    </w:p>
    <w:p>
      <w:pPr>
        <w:spacing w:line="360" w:lineRule="auto"/>
        <w:ind w:firstLine="600" w:firstLineChars="250"/>
        <w:rPr>
          <w:rFonts w:hint="eastAsia" w:ascii="宋体" w:hAnsi="宋体"/>
        </w:rPr>
      </w:pPr>
      <w:r>
        <w:rPr>
          <w:rFonts w:hint="eastAsia" w:ascii="宋体" w:hAnsi="宋体"/>
        </w:rPr>
        <w:t>继发性帕金森综合征、帕金森叠加综合征不在保障范围内。</w:t>
      </w:r>
    </w:p>
    <w:p>
      <w:pPr>
        <w:spacing w:line="360" w:lineRule="auto"/>
        <w:ind w:firstLine="602" w:firstLineChars="250"/>
        <w:rPr>
          <w:rFonts w:hint="eastAsia" w:ascii="宋体" w:hAnsi="宋体"/>
          <w:b/>
          <w:bCs/>
        </w:rPr>
      </w:pPr>
      <w:r>
        <w:rPr>
          <w:rFonts w:hint="eastAsia" w:ascii="宋体" w:hAnsi="宋体"/>
          <w:b/>
          <w:bCs/>
        </w:rPr>
        <w:t>（20）严重III度烧伤</w:t>
      </w:r>
    </w:p>
    <w:p>
      <w:pPr>
        <w:spacing w:line="360" w:lineRule="auto"/>
        <w:ind w:firstLine="600" w:firstLineChars="250"/>
        <w:rPr>
          <w:rFonts w:hint="eastAsia" w:ascii="宋体" w:hAnsi="宋体"/>
        </w:rPr>
      </w:pPr>
      <w:r>
        <w:rPr>
          <w:rFonts w:hint="eastAsia" w:ascii="宋体" w:hAnsi="宋体"/>
        </w:rPr>
        <w:t>指烧伤程度为III度，且Ⅲ度烧伤的面积达到全身体表面积的20%或20%以上。体表面积根据《中国新九分法》计算。</w:t>
      </w:r>
    </w:p>
    <w:p>
      <w:pPr>
        <w:spacing w:line="360" w:lineRule="auto"/>
        <w:ind w:firstLine="602" w:firstLineChars="250"/>
        <w:rPr>
          <w:rFonts w:hint="eastAsia" w:ascii="宋体" w:hAnsi="宋体"/>
          <w:b/>
          <w:bCs/>
        </w:rPr>
      </w:pPr>
      <w:r>
        <w:rPr>
          <w:rFonts w:hint="eastAsia" w:ascii="宋体" w:hAnsi="宋体"/>
          <w:b/>
          <w:bCs/>
        </w:rPr>
        <w:t>（21）严重特发性肺动脉高压</w:t>
      </w:r>
    </w:p>
    <w:p>
      <w:pPr>
        <w:spacing w:line="360" w:lineRule="auto"/>
        <w:ind w:firstLine="600" w:firstLineChars="250"/>
        <w:rPr>
          <w:rFonts w:hint="eastAsia" w:ascii="宋体" w:hAnsi="宋体"/>
        </w:rPr>
      </w:pPr>
      <w:r>
        <w:rPr>
          <w:rFonts w:hint="eastAsia" w:ascii="宋体" w:hAnsi="宋体"/>
        </w:rPr>
        <w:t>指不明原因的肺动脉压力持续性增高，进行性发展而导致的慢性疾病，已经造成永久不可逆性的体力活动能力受限，达到美国纽约心脏病学会(NewYorkHeartAssociation，NYHA)心功能状态分级Ⅳ级，且静息状态下肺动脉平均压在36mmHg(含)以上。</w:t>
      </w:r>
    </w:p>
    <w:p>
      <w:pPr>
        <w:spacing w:line="360" w:lineRule="auto"/>
        <w:ind w:firstLine="602" w:firstLineChars="250"/>
        <w:rPr>
          <w:rFonts w:hint="eastAsia" w:ascii="宋体" w:hAnsi="宋体"/>
          <w:b/>
          <w:bCs/>
        </w:rPr>
      </w:pPr>
      <w:r>
        <w:rPr>
          <w:rFonts w:hint="eastAsia" w:ascii="宋体" w:hAnsi="宋体"/>
          <w:b/>
          <w:bCs/>
        </w:rPr>
        <w:t>（22）严重运动神经元病</w:t>
      </w:r>
    </w:p>
    <w:p>
      <w:pPr>
        <w:spacing w:line="360" w:lineRule="auto"/>
        <w:ind w:firstLine="600" w:firstLineChars="250"/>
        <w:rPr>
          <w:rFonts w:hint="eastAsia" w:ascii="宋体" w:hAnsi="宋体"/>
        </w:rPr>
      </w:pPr>
      <w:r>
        <w:rPr>
          <w:rFonts w:hint="eastAsia" w:ascii="宋体" w:hAnsi="宋体"/>
        </w:rPr>
        <w:t>是一组中枢神经系统运动神经元的进行性变性疾病，包括进行性脊肌萎缩症、进行性延髓麻痹症、原发性侧索硬化症、肌萎缩性侧索硬化症。经相关专科医生确诊，且须满足下列至少一项条件：</w:t>
      </w:r>
    </w:p>
    <w:p>
      <w:pPr>
        <w:spacing w:line="360" w:lineRule="auto"/>
        <w:ind w:firstLine="600" w:firstLineChars="250"/>
        <w:rPr>
          <w:rFonts w:hint="eastAsia" w:ascii="宋体" w:hAnsi="宋体"/>
        </w:rPr>
      </w:pPr>
      <w:r>
        <w:rPr>
          <w:rFonts w:hint="eastAsia" w:ascii="宋体" w:hAnsi="宋体"/>
        </w:rPr>
        <w:t>1.严重咀嚼吞咽功能障碍；</w:t>
      </w:r>
    </w:p>
    <w:p>
      <w:pPr>
        <w:spacing w:line="360" w:lineRule="auto"/>
        <w:ind w:firstLine="600" w:firstLineChars="250"/>
        <w:rPr>
          <w:rFonts w:hint="eastAsia" w:ascii="宋体" w:hAnsi="宋体"/>
        </w:rPr>
      </w:pPr>
      <w:r>
        <w:rPr>
          <w:rFonts w:hint="eastAsia" w:ascii="宋体" w:hAnsi="宋体"/>
        </w:rPr>
        <w:t>2.呼吸肌麻痹导致严重呼吸困难，且已经持续使用呼吸机7天(含)以上；</w:t>
      </w:r>
    </w:p>
    <w:p>
      <w:pPr>
        <w:spacing w:line="360" w:lineRule="auto"/>
        <w:ind w:firstLine="600" w:firstLineChars="250"/>
        <w:rPr>
          <w:rFonts w:hint="eastAsia" w:ascii="宋体" w:hAnsi="宋体"/>
        </w:rPr>
      </w:pPr>
      <w:r>
        <w:rPr>
          <w:rFonts w:hint="eastAsia" w:ascii="宋体" w:hAnsi="宋体"/>
        </w:rPr>
        <w:t>3.自主生活能力完全丧失，无法独立完成6项基本日常生活活动中的3项或3项以上。</w:t>
      </w:r>
    </w:p>
    <w:p>
      <w:pPr>
        <w:spacing w:line="360" w:lineRule="auto"/>
        <w:ind w:firstLine="602" w:firstLineChars="250"/>
        <w:rPr>
          <w:rFonts w:hint="eastAsia" w:ascii="宋体" w:hAnsi="宋体"/>
          <w:b/>
          <w:bCs/>
        </w:rPr>
      </w:pPr>
      <w:r>
        <w:rPr>
          <w:rFonts w:hint="eastAsia" w:ascii="宋体" w:hAnsi="宋体"/>
          <w:b/>
          <w:bCs/>
        </w:rPr>
        <w:t>（23）语言能力丧失——3周岁后始理赔</w:t>
      </w:r>
    </w:p>
    <w:p>
      <w:pPr>
        <w:spacing w:line="360" w:lineRule="auto"/>
        <w:ind w:firstLine="600" w:firstLineChars="250"/>
        <w:rPr>
          <w:rFonts w:hint="eastAsia" w:ascii="宋体" w:hAnsi="宋体"/>
        </w:rPr>
      </w:pPr>
      <w:r>
        <w:rPr>
          <w:rFonts w:hint="eastAsia" w:ascii="宋体" w:hAnsi="宋体"/>
        </w:rPr>
        <w:t>指因疾病或意外伤害导致语言能力完全丧失，经过积极治疗至少12个月(声带完全切除不受此时间限制)，仍无法通过现有医疗手段恢复。</w:t>
      </w:r>
    </w:p>
    <w:p>
      <w:pPr>
        <w:spacing w:line="360" w:lineRule="auto"/>
        <w:ind w:firstLine="600" w:firstLineChars="250"/>
        <w:rPr>
          <w:rFonts w:hint="eastAsia" w:ascii="宋体" w:hAnsi="宋体"/>
        </w:rPr>
      </w:pPr>
      <w:r>
        <w:rPr>
          <w:rFonts w:hint="eastAsia" w:ascii="宋体" w:hAnsi="宋体"/>
        </w:rPr>
        <w:t>精神心理因素所致的语言能力丧失不在保障范围内。</w:t>
      </w:r>
    </w:p>
    <w:p>
      <w:pPr>
        <w:spacing w:line="360" w:lineRule="auto"/>
        <w:ind w:firstLine="600" w:firstLineChars="250"/>
        <w:rPr>
          <w:rFonts w:hint="eastAsia" w:ascii="宋体" w:hAnsi="宋体"/>
        </w:rPr>
      </w:pPr>
      <w:r>
        <w:rPr>
          <w:rFonts w:hint="eastAsia" w:ascii="宋体" w:hAnsi="宋体"/>
        </w:rPr>
        <w:t>申请理赔时，被保险人年龄须在3周岁以上，并且须提供理赔当时的语言能力丧失诊断及检查证据。</w:t>
      </w:r>
    </w:p>
    <w:p>
      <w:pPr>
        <w:spacing w:line="360" w:lineRule="auto"/>
        <w:ind w:firstLine="602" w:firstLineChars="250"/>
        <w:rPr>
          <w:rFonts w:hint="eastAsia" w:ascii="宋体" w:hAnsi="宋体"/>
          <w:b/>
          <w:bCs/>
        </w:rPr>
      </w:pPr>
      <w:r>
        <w:rPr>
          <w:rFonts w:hint="eastAsia" w:ascii="宋体" w:hAnsi="宋体"/>
          <w:b/>
          <w:bCs/>
        </w:rPr>
        <w:t>（24）重型再生障碍性贫血</w:t>
      </w:r>
    </w:p>
    <w:p>
      <w:pPr>
        <w:spacing w:line="360" w:lineRule="auto"/>
        <w:ind w:firstLine="600" w:firstLineChars="250"/>
        <w:rPr>
          <w:rFonts w:hint="eastAsia" w:ascii="宋体" w:hAnsi="宋体"/>
        </w:rPr>
      </w:pPr>
      <w:r>
        <w:rPr>
          <w:rFonts w:hint="eastAsia" w:ascii="宋体" w:hAnsi="宋体"/>
        </w:rPr>
        <w:t>指因骨髓造血功能慢性持续性衰竭导致的贫血、中性粒细胞减少及血小板减少，且须满足下列全部条件：</w:t>
      </w:r>
    </w:p>
    <w:p>
      <w:pPr>
        <w:spacing w:line="360" w:lineRule="auto"/>
        <w:ind w:firstLine="600" w:firstLineChars="250"/>
        <w:rPr>
          <w:rFonts w:hint="eastAsia" w:ascii="宋体" w:hAnsi="宋体"/>
        </w:rPr>
      </w:pPr>
      <w:r>
        <w:rPr>
          <w:rFonts w:hint="eastAsia" w:ascii="宋体" w:hAnsi="宋体"/>
        </w:rPr>
        <w:t>1.骨髓穿刺检查或骨髓活检结果支持诊断：骨髓细胞增生程度&lt;正常的25%；如≥正常的25%但&lt;50%，则（二）监督实施</w:t>
      </w:r>
    </w:p>
    <w:p>
      <w:pPr>
        <w:spacing w:line="360" w:lineRule="auto"/>
        <w:ind w:firstLine="600" w:firstLineChars="250"/>
        <w:rPr>
          <w:rFonts w:hint="eastAsia" w:ascii="宋体" w:hAnsi="宋体"/>
        </w:rPr>
      </w:pPr>
      <w:r>
        <w:rPr>
          <w:rFonts w:hint="eastAsia" w:ascii="宋体" w:hAnsi="宋体"/>
        </w:rPr>
        <w:t>残存的造血细胞应&lt;30%；</w:t>
      </w:r>
    </w:p>
    <w:p>
      <w:pPr>
        <w:spacing w:line="360" w:lineRule="auto"/>
        <w:ind w:firstLine="600" w:firstLineChars="250"/>
        <w:rPr>
          <w:rFonts w:hint="eastAsia" w:ascii="宋体" w:hAnsi="宋体"/>
        </w:rPr>
      </w:pPr>
      <w:r>
        <w:rPr>
          <w:rFonts w:hint="eastAsia" w:ascii="宋体" w:hAnsi="宋体"/>
        </w:rPr>
        <w:t>2.外周血象须具备以下三项条件中的两项：</w:t>
      </w:r>
    </w:p>
    <w:p>
      <w:pPr>
        <w:spacing w:line="360" w:lineRule="auto"/>
        <w:ind w:firstLine="600" w:firstLineChars="250"/>
        <w:rPr>
          <w:rFonts w:hint="eastAsia" w:ascii="宋体" w:hAnsi="宋体"/>
        </w:rPr>
      </w:pPr>
      <w:r>
        <w:rPr>
          <w:rFonts w:hint="eastAsia" w:ascii="宋体" w:hAnsi="宋体"/>
        </w:rPr>
        <w:t>①中性粒细胞绝对值&lt;0.5×109/L；</w:t>
      </w:r>
    </w:p>
    <w:p>
      <w:pPr>
        <w:spacing w:line="360" w:lineRule="auto"/>
        <w:ind w:firstLine="600" w:firstLineChars="250"/>
        <w:rPr>
          <w:rFonts w:hint="eastAsia" w:ascii="宋体" w:hAnsi="宋体"/>
        </w:rPr>
      </w:pPr>
      <w:r>
        <w:rPr>
          <w:rFonts w:hint="eastAsia" w:ascii="宋体" w:hAnsi="宋体"/>
        </w:rPr>
        <w:t>②网织红细胞计数&lt;20×109/L；</w:t>
      </w:r>
    </w:p>
    <w:p>
      <w:pPr>
        <w:spacing w:line="360" w:lineRule="auto"/>
        <w:ind w:firstLine="600" w:firstLineChars="250"/>
        <w:rPr>
          <w:rFonts w:hint="eastAsia" w:ascii="宋体" w:hAnsi="宋体"/>
        </w:rPr>
      </w:pPr>
      <w:r>
        <w:rPr>
          <w:rFonts w:hint="eastAsia" w:ascii="宋体" w:hAnsi="宋体"/>
        </w:rPr>
        <w:t>③血小板绝对值&lt;20×109/L。</w:t>
      </w:r>
    </w:p>
    <w:p>
      <w:pPr>
        <w:spacing w:line="360" w:lineRule="auto"/>
        <w:ind w:firstLine="602" w:firstLineChars="250"/>
        <w:rPr>
          <w:rFonts w:hint="eastAsia" w:ascii="宋体" w:hAnsi="宋体"/>
          <w:b/>
          <w:bCs/>
        </w:rPr>
      </w:pPr>
      <w:r>
        <w:rPr>
          <w:rFonts w:hint="eastAsia" w:ascii="宋体" w:hAnsi="宋体"/>
          <w:b/>
          <w:bCs/>
        </w:rPr>
        <w:t>（25）主动脉手术</w:t>
      </w:r>
    </w:p>
    <w:p>
      <w:pPr>
        <w:spacing w:line="360" w:lineRule="auto"/>
        <w:ind w:firstLine="600" w:firstLineChars="250"/>
        <w:rPr>
          <w:rFonts w:hint="eastAsia" w:ascii="宋体" w:hAnsi="宋体"/>
        </w:rPr>
      </w:pPr>
      <w:r>
        <w:rPr>
          <w:rFonts w:hint="eastAsia" w:ascii="宋体" w:hAnsi="宋体"/>
        </w:rPr>
        <w:t>指为治疗主动脉疾病或主动脉创伤，已经实施了开胸(含胸腔镜下)或开腹(含腹腔镜下)进行的切除、置换、修补病损主动脉血管、主动脉创伤后修复的手术。主动脉指升主动脉、主动脉弓和降主动脉(含胸主动脉和腹主动脉)，不包括升主动脉、主动脉弓和降主动脉的分支血管。</w:t>
      </w:r>
    </w:p>
    <w:p>
      <w:pPr>
        <w:spacing w:line="360" w:lineRule="auto"/>
        <w:ind w:firstLine="600" w:firstLineChars="250"/>
        <w:rPr>
          <w:rFonts w:hint="eastAsia" w:ascii="宋体" w:hAnsi="宋体"/>
        </w:rPr>
      </w:pPr>
      <w:r>
        <w:rPr>
          <w:rFonts w:hint="eastAsia" w:ascii="宋体" w:hAnsi="宋体"/>
        </w:rPr>
        <w:t>所有未实施开胸或开腹的动脉内介入治疗不在保障范围内。</w:t>
      </w:r>
    </w:p>
    <w:p>
      <w:pPr>
        <w:spacing w:line="360" w:lineRule="auto"/>
        <w:ind w:firstLine="602" w:firstLineChars="250"/>
        <w:rPr>
          <w:rFonts w:hint="eastAsia" w:ascii="宋体" w:hAnsi="宋体"/>
          <w:b/>
          <w:bCs/>
        </w:rPr>
      </w:pPr>
      <w:r>
        <w:rPr>
          <w:rFonts w:hint="eastAsia" w:ascii="宋体" w:hAnsi="宋体"/>
          <w:b/>
          <w:bCs/>
        </w:rPr>
        <w:t>（26）严重慢性呼吸衰竭</w:t>
      </w:r>
    </w:p>
    <w:p>
      <w:pPr>
        <w:spacing w:line="360" w:lineRule="auto"/>
        <w:ind w:firstLine="600" w:firstLineChars="250"/>
        <w:rPr>
          <w:rFonts w:hint="eastAsia" w:ascii="宋体" w:hAnsi="宋体"/>
        </w:rPr>
      </w:pPr>
      <w:r>
        <w:rPr>
          <w:rFonts w:hint="eastAsia" w:ascii="宋体" w:hAnsi="宋体"/>
        </w:rPr>
        <w:t>指因慢性呼吸系统疾病导致永久不可逆性的呼吸衰竭，经过积极治疗180天后满足以下所有条件：</w:t>
      </w:r>
    </w:p>
    <w:p>
      <w:pPr>
        <w:spacing w:line="360" w:lineRule="auto"/>
        <w:ind w:firstLine="600" w:firstLineChars="250"/>
        <w:rPr>
          <w:rFonts w:hint="eastAsia" w:ascii="宋体" w:hAnsi="宋体"/>
        </w:rPr>
      </w:pPr>
      <w:r>
        <w:rPr>
          <w:rFonts w:hint="eastAsia" w:ascii="宋体" w:hAnsi="宋体"/>
        </w:rPr>
        <w:t>1.静息时出现呼吸困难；</w:t>
      </w:r>
    </w:p>
    <w:p>
      <w:pPr>
        <w:spacing w:line="360" w:lineRule="auto"/>
        <w:ind w:firstLine="600" w:firstLineChars="250"/>
        <w:rPr>
          <w:rFonts w:hint="eastAsia" w:ascii="宋体" w:hAnsi="宋体"/>
        </w:rPr>
      </w:pPr>
      <w:r>
        <w:rPr>
          <w:rFonts w:hint="eastAsia" w:ascii="宋体" w:hAnsi="宋体"/>
        </w:rPr>
        <w:t>2.肺功能第一秒用力呼气容积(FEV1)占预计值的百分比＜30%；</w:t>
      </w:r>
    </w:p>
    <w:p>
      <w:pPr>
        <w:spacing w:line="360" w:lineRule="auto"/>
        <w:ind w:firstLine="600" w:firstLineChars="250"/>
        <w:rPr>
          <w:rFonts w:hint="eastAsia" w:ascii="宋体" w:hAnsi="宋体" w:eastAsia="宋体"/>
          <w:lang w:eastAsia="zh-CN"/>
        </w:rPr>
      </w:pPr>
      <w:r>
        <w:rPr>
          <w:rFonts w:hint="eastAsia" w:ascii="宋体" w:hAnsi="宋体"/>
        </w:rPr>
        <w:t>3.在静息状态、呼吸空气条件下，动脉血氧分压(PaO2)＜50mmHg。</w:t>
      </w:r>
    </w:p>
    <w:p>
      <w:pPr>
        <w:spacing w:line="360" w:lineRule="auto"/>
        <w:ind w:firstLine="602" w:firstLineChars="250"/>
        <w:rPr>
          <w:rFonts w:hint="eastAsia" w:ascii="宋体" w:hAnsi="宋体"/>
          <w:b/>
          <w:bCs/>
        </w:rPr>
      </w:pPr>
      <w:r>
        <w:rPr>
          <w:rFonts w:hint="eastAsia" w:ascii="宋体" w:hAnsi="宋体"/>
          <w:b/>
          <w:bCs/>
        </w:rPr>
        <w:t>（27）严重克罗恩病</w:t>
      </w:r>
    </w:p>
    <w:p>
      <w:pPr>
        <w:spacing w:line="360" w:lineRule="auto"/>
        <w:ind w:firstLine="600" w:firstLineChars="250"/>
        <w:rPr>
          <w:rFonts w:hint="eastAsia" w:ascii="宋体" w:hAnsi="宋体"/>
        </w:rPr>
      </w:pPr>
      <w:r>
        <w:rPr>
          <w:rFonts w:hint="eastAsia" w:ascii="宋体" w:hAnsi="宋体"/>
        </w:rPr>
        <w:t>指一种慢性肉芽肿性肠炎，具有特征性的克罗恩病(Crohn病)病理组织学变化，须根据组织病理学特点诊断，且已经造成瘘管形成并伴有肠梗阻或肠穿孔。</w:t>
      </w:r>
    </w:p>
    <w:p>
      <w:pPr>
        <w:spacing w:line="360" w:lineRule="auto"/>
        <w:ind w:firstLine="602" w:firstLineChars="250"/>
        <w:rPr>
          <w:rFonts w:hint="eastAsia" w:ascii="宋体" w:hAnsi="宋体"/>
          <w:b/>
          <w:bCs/>
        </w:rPr>
      </w:pPr>
      <w:r>
        <w:rPr>
          <w:rFonts w:hint="eastAsia" w:ascii="宋体" w:hAnsi="宋体"/>
          <w:b/>
          <w:bCs/>
        </w:rPr>
        <w:t>（28）严重溃疡性结肠炎</w:t>
      </w:r>
    </w:p>
    <w:p>
      <w:pPr>
        <w:spacing w:line="360" w:lineRule="auto"/>
        <w:rPr>
          <w:rFonts w:hint="eastAsia" w:ascii="宋体" w:hAnsi="宋体"/>
        </w:rPr>
      </w:pPr>
      <w:r>
        <w:rPr>
          <w:rFonts w:hint="eastAsia" w:ascii="宋体" w:hAnsi="宋体"/>
        </w:rPr>
        <w:t>指伴有致命性电解质紊乱的急性暴发性溃疡性结肠炎，病变已经累及全结肠，表现为严重的血便和系统性症状体征，须根据组织病理学特点诊断，且已经实施了结肠切除或回肠造瘘术。</w:t>
      </w:r>
    </w:p>
    <w:p>
      <w:pPr>
        <w:spacing w:line="360" w:lineRule="auto"/>
        <w:rPr>
          <w:rFonts w:hint="eastAsia" w:ascii="宋体" w:hAnsi="宋体"/>
          <w:b/>
          <w:bCs/>
          <w:sz w:val="28"/>
          <w:szCs w:val="28"/>
        </w:rPr>
      </w:pPr>
      <w:r>
        <w:rPr>
          <w:rFonts w:hint="eastAsia" w:ascii="宋体" w:hAnsi="宋体"/>
          <w:b/>
          <w:bCs/>
          <w:sz w:val="28"/>
          <w:szCs w:val="28"/>
        </w:rPr>
        <w:t>四、服务要求</w:t>
      </w:r>
    </w:p>
    <w:p>
      <w:pPr>
        <w:spacing w:line="360" w:lineRule="auto"/>
        <w:ind w:firstLine="480" w:firstLineChars="200"/>
        <w:rPr>
          <w:rFonts w:hint="eastAsia" w:ascii="宋体" w:hAnsi="宋体"/>
        </w:rPr>
      </w:pPr>
      <w:r>
        <w:rPr>
          <w:rFonts w:hint="eastAsia" w:ascii="宋体" w:hAnsi="宋体"/>
        </w:rPr>
        <w:t>服务期内承保保险公司不履行本招标文件各项规定的，招标人可以终止本项目服务期，另行招标确定承保保险公司。投标人须提供的服务主要包括但不限于以下内容：</w:t>
      </w:r>
    </w:p>
    <w:p>
      <w:pPr>
        <w:spacing w:line="360" w:lineRule="auto"/>
        <w:ind w:firstLine="482" w:firstLineChars="200"/>
        <w:rPr>
          <w:rFonts w:hint="eastAsia" w:ascii="宋体" w:hAnsi="宋体"/>
          <w:b/>
          <w:bCs/>
        </w:rPr>
      </w:pPr>
      <w:r>
        <w:rPr>
          <w:rFonts w:hint="eastAsia" w:ascii="宋体" w:hAnsi="宋体"/>
          <w:b/>
          <w:bCs/>
        </w:rPr>
        <w:t>（一）售后服务</w:t>
      </w:r>
    </w:p>
    <w:p>
      <w:pPr>
        <w:spacing w:line="360" w:lineRule="auto"/>
        <w:ind w:firstLine="600" w:firstLineChars="250"/>
        <w:rPr>
          <w:rFonts w:hint="eastAsia" w:ascii="宋体" w:hAnsi="宋体"/>
        </w:rPr>
      </w:pPr>
      <w:r>
        <w:rPr>
          <w:rFonts w:hint="eastAsia" w:ascii="宋体" w:hAnsi="宋体"/>
        </w:rPr>
        <w:t>4.1.1承保保险公司应提供保险知识、索赔简易操作手册等发放至被保险人，方便被保险人根据手册指引尽快办理索赔手续、获得赔付；提供技术和服务培训方案，进行保险知识、健康知识、索赔须知等现场保险和安全预防知识培训，培训费用由承保保险公司承担。</w:t>
      </w:r>
    </w:p>
    <w:p>
      <w:pPr>
        <w:spacing w:line="360" w:lineRule="auto"/>
        <w:ind w:firstLine="480" w:firstLineChars="200"/>
        <w:rPr>
          <w:rFonts w:hint="eastAsia" w:ascii="宋体" w:hAnsi="宋体"/>
        </w:rPr>
      </w:pPr>
      <w:r>
        <w:rPr>
          <w:rFonts w:hint="eastAsia" w:ascii="宋体" w:hAnsi="宋体"/>
        </w:rPr>
        <w:t>4.1.2承保保险公司针对本项目进行宣传，通过多种渠道告知被保险人或监护人，包括每个月通过短信方式发送到所有参保残疾人（或监护人）进行项目宣传，宣传费用由承保保险公司承担。</w:t>
      </w:r>
    </w:p>
    <w:p>
      <w:pPr>
        <w:spacing w:line="360" w:lineRule="auto"/>
        <w:ind w:firstLine="600" w:firstLineChars="250"/>
        <w:rPr>
          <w:rFonts w:hint="eastAsia" w:ascii="宋体" w:hAnsi="宋体"/>
        </w:rPr>
      </w:pPr>
      <w:r>
        <w:rPr>
          <w:rFonts w:hint="eastAsia" w:ascii="宋体" w:hAnsi="宋体"/>
        </w:rPr>
        <w:t>4.1.3承保保险公司在接到报案后，要及时进入赔付程序，赔付明确后，按照规定的时间和规定的程序履行合同约定，不得无故拖延。以便捷便民服务为前提简化各项理赔手续；对赔付明确的案件，发生违规约定，招标人追究承保保险公司责任。</w:t>
      </w:r>
    </w:p>
    <w:p>
      <w:pPr>
        <w:spacing w:line="360" w:lineRule="auto"/>
        <w:ind w:firstLine="600" w:firstLineChars="250"/>
        <w:rPr>
          <w:rFonts w:hint="eastAsia" w:ascii="宋体" w:hAnsi="宋体"/>
        </w:rPr>
      </w:pPr>
      <w:r>
        <w:rPr>
          <w:rFonts w:hint="eastAsia" w:ascii="宋体" w:hAnsi="宋体"/>
        </w:rPr>
        <w:t>4.1.4承保保险公司要有意向的扶持、支持和参与残疾人事业，费用由承保保险公司承担。</w:t>
      </w:r>
    </w:p>
    <w:p>
      <w:pPr>
        <w:spacing w:line="360" w:lineRule="auto"/>
        <w:ind w:firstLine="600" w:firstLineChars="250"/>
        <w:rPr>
          <w:rFonts w:hint="eastAsia" w:ascii="宋体" w:hAnsi="宋体"/>
        </w:rPr>
      </w:pPr>
      <w:r>
        <w:rPr>
          <w:rFonts w:hint="eastAsia" w:ascii="宋体" w:hAnsi="宋体"/>
        </w:rPr>
        <w:t>4.1.5帮助宣传残疾人事业，利用新闻媒介等多种宣传工具，宣传残疾人购买商业保险项目知识和残疾预防知识，费用由承保保险公司承担。</w:t>
      </w:r>
    </w:p>
    <w:p>
      <w:pPr>
        <w:spacing w:line="360" w:lineRule="auto"/>
        <w:ind w:firstLine="600" w:firstLineChars="250"/>
        <w:rPr>
          <w:rFonts w:hint="eastAsia" w:ascii="宋体" w:hAnsi="宋体"/>
        </w:rPr>
      </w:pPr>
      <w:r>
        <w:rPr>
          <w:rFonts w:hint="eastAsia" w:ascii="宋体" w:hAnsi="宋体"/>
        </w:rPr>
        <w:t>4.1.6承保保险公司每个月递交项目实施情况、每季度需向招标人提供项目实施情况报告。</w:t>
      </w:r>
    </w:p>
    <w:p>
      <w:pPr>
        <w:spacing w:line="360" w:lineRule="auto"/>
        <w:ind w:firstLine="600" w:firstLineChars="250"/>
        <w:rPr>
          <w:rFonts w:hint="eastAsia" w:ascii="宋体" w:hAnsi="宋体"/>
        </w:rPr>
      </w:pPr>
      <w:r>
        <w:rPr>
          <w:rFonts w:hint="eastAsia" w:ascii="宋体" w:hAnsi="宋体"/>
        </w:rPr>
        <w:t>4.1.7承保保险公司需要适当增加更多的重大疾病保险保障项目，增加其他特色理赔服务和医疗救援服务，费用由承保保险公司承担。</w:t>
      </w:r>
    </w:p>
    <w:p>
      <w:pPr>
        <w:spacing w:line="360" w:lineRule="auto"/>
        <w:ind w:firstLine="602" w:firstLineChars="250"/>
        <w:rPr>
          <w:rFonts w:hint="eastAsia" w:ascii="宋体" w:hAnsi="宋体"/>
          <w:b/>
          <w:bCs/>
        </w:rPr>
      </w:pPr>
      <w:r>
        <w:rPr>
          <w:rFonts w:hint="eastAsia" w:ascii="宋体" w:hAnsi="宋体"/>
          <w:b/>
          <w:bCs/>
        </w:rPr>
        <w:t>（二）监督实施</w:t>
      </w:r>
    </w:p>
    <w:p>
      <w:pPr>
        <w:spacing w:line="360" w:lineRule="auto"/>
        <w:ind w:firstLine="480" w:firstLineChars="200"/>
        <w:rPr>
          <w:rFonts w:hint="eastAsia" w:ascii="宋体" w:hAnsi="宋体"/>
        </w:rPr>
      </w:pPr>
      <w:r>
        <w:rPr>
          <w:rFonts w:hint="eastAsia" w:ascii="宋体" w:hAnsi="宋体"/>
        </w:rPr>
        <w:t>为确保本项目的有效实施，招标人聘请具有相关资质的第三方保险经纪公司对项目实施情况等进行年度评估，协助负责本项目的宣传、培训、提升理赔服务质量，敦促和协调各类工作；协助优化保险方案，管控项目整体赔付，优化履约服务、监督保险公司理赔服务，提供保险咨询服务，协助项目数据库建设，重点对赔付时效效、残疾人满意度、上门服务效率、残疾人保险知识知晓率、案件投诉率、残疾人事业参与度等进行评估，完成年度评估报告，费用由承保人承担。</w:t>
      </w:r>
    </w:p>
    <w:p>
      <w:pPr>
        <w:keepNext/>
        <w:keepLines/>
        <w:spacing w:line="360" w:lineRule="auto"/>
        <w:outlineLvl w:val="1"/>
        <w:rPr>
          <w:rFonts w:hint="eastAsia" w:ascii="宋体" w:hAnsi="宋体"/>
          <w:b/>
          <w:bCs/>
          <w:sz w:val="28"/>
          <w:szCs w:val="28"/>
        </w:rPr>
      </w:pPr>
      <w:r>
        <w:rPr>
          <w:rFonts w:hint="eastAsia" w:ascii="宋体" w:hAnsi="宋体"/>
          <w:b/>
          <w:bCs/>
          <w:sz w:val="28"/>
          <w:szCs w:val="28"/>
        </w:rPr>
        <w:t>五、服务期限、服务地点及方式：</w:t>
      </w:r>
    </w:p>
    <w:p>
      <w:pPr>
        <w:spacing w:line="360" w:lineRule="auto"/>
        <w:ind w:left="567"/>
        <w:rPr>
          <w:rFonts w:hint="eastAsia" w:ascii="宋体" w:hAnsi="宋体"/>
        </w:rPr>
      </w:pPr>
      <w:r>
        <w:rPr>
          <w:rFonts w:hint="eastAsia" w:ascii="宋体" w:hAnsi="宋体"/>
        </w:rPr>
        <w:t>（一）合同履行期限（服务期）：</w:t>
      </w:r>
      <w:r>
        <w:rPr>
          <w:rFonts w:hint="eastAsia" w:ascii="宋体" w:hAnsi="宋体"/>
          <w:lang w:val="en-US" w:eastAsia="zh-CN"/>
        </w:rPr>
        <w:t>一年</w:t>
      </w:r>
      <w:r>
        <w:rPr>
          <w:rFonts w:hint="eastAsia" w:ascii="宋体" w:hAnsi="宋体"/>
        </w:rPr>
        <w:t>。</w:t>
      </w:r>
    </w:p>
    <w:p>
      <w:pPr>
        <w:spacing w:line="360" w:lineRule="auto"/>
        <w:ind w:left="567"/>
        <w:rPr>
          <w:rFonts w:hint="eastAsia" w:ascii="宋体" w:hAnsi="宋体"/>
        </w:rPr>
      </w:pPr>
      <w:r>
        <w:rPr>
          <w:rFonts w:hint="eastAsia" w:ascii="宋体" w:hAnsi="宋体"/>
        </w:rPr>
        <w:t>（二）服务地点（履约地点）：招标人（用户）指定地点。</w:t>
      </w:r>
    </w:p>
    <w:p>
      <w:pPr>
        <w:pStyle w:val="222"/>
        <w:spacing w:line="360" w:lineRule="auto"/>
        <w:ind w:left="567" w:firstLine="0" w:firstLineChars="0"/>
        <w:rPr>
          <w:rFonts w:hint="eastAsia" w:ascii="宋体" w:hAnsi="宋体"/>
          <w:szCs w:val="24"/>
        </w:rPr>
      </w:pPr>
      <w:r>
        <w:rPr>
          <w:rFonts w:hint="eastAsia"/>
        </w:rPr>
        <w:t>（三）服务方式（履约方式）：按招标文件要求实施。</w:t>
      </w:r>
    </w:p>
    <w:p>
      <w:pPr>
        <w:spacing w:line="360" w:lineRule="auto"/>
        <w:rPr>
          <w:rFonts w:hint="eastAsia" w:ascii="宋体" w:hAnsi="宋体"/>
          <w:b/>
          <w:bCs/>
          <w:sz w:val="28"/>
          <w:szCs w:val="28"/>
        </w:rPr>
      </w:pPr>
      <w:r>
        <w:rPr>
          <w:rFonts w:hint="eastAsia" w:ascii="宋体" w:hAnsi="宋体"/>
          <w:b/>
          <w:bCs/>
          <w:sz w:val="28"/>
          <w:szCs w:val="28"/>
        </w:rPr>
        <w:t>六、服务区域划分：</w:t>
      </w:r>
    </w:p>
    <w:p>
      <w:pPr>
        <w:spacing w:line="360" w:lineRule="auto"/>
        <w:ind w:firstLine="420" w:firstLineChars="175"/>
        <w:rPr>
          <w:rFonts w:hint="eastAsia" w:ascii="宋体" w:hAnsi="宋体"/>
        </w:rPr>
      </w:pPr>
      <w:r>
        <w:rPr>
          <w:rFonts w:hint="eastAsia" w:ascii="宋体" w:hAnsi="宋体"/>
        </w:rPr>
        <w:t>服务区域划分为四部分，分别为：第一区域：份额占40%左右；第二区域：份额占30%左右；第三区域：份额占20%左右；第四区域：份额占10%左右。服务区域具体安排由招标人根据各中标候选人的服务网点覆盖情况确定。</w:t>
      </w:r>
    </w:p>
    <w:p>
      <w:pPr>
        <w:spacing w:line="360" w:lineRule="auto"/>
        <w:ind w:firstLine="482" w:firstLineChars="200"/>
        <w:rPr>
          <w:rFonts w:hint="eastAsia" w:ascii="宋体" w:hAnsi="宋体"/>
        </w:rPr>
      </w:pPr>
      <w:r>
        <w:rPr>
          <w:rFonts w:hint="eastAsia" w:ascii="宋体" w:hAnsi="宋体"/>
          <w:b/>
          <w:bCs/>
        </w:rPr>
        <w:t>中标单位数量：</w:t>
      </w:r>
      <w:r>
        <w:rPr>
          <w:rFonts w:hint="eastAsia" w:ascii="宋体" w:hAnsi="宋体"/>
        </w:rPr>
        <w:t>拟招承保单位</w:t>
      </w:r>
      <w:r>
        <w:rPr>
          <w:rFonts w:hint="eastAsia" w:ascii="宋体" w:hAnsi="宋体"/>
          <w:lang w:val="en-US" w:eastAsia="zh-CN"/>
        </w:rPr>
        <w:t>4</w:t>
      </w:r>
      <w:r>
        <w:rPr>
          <w:rFonts w:hint="eastAsia" w:ascii="宋体" w:hAnsi="宋体"/>
        </w:rPr>
        <w:t>家；如中标候选人放弃中标资格，将接受相应处罚，所剩余的服务区域由招标人自行分配给其他中标候选人。如中标单位只有3家，所剩余的服务区域由招标人自行分配给其他中标候选人。</w:t>
      </w:r>
    </w:p>
    <w:p>
      <w:pPr>
        <w:spacing w:line="360" w:lineRule="auto"/>
        <w:ind w:firstLine="480" w:firstLineChars="200"/>
        <w:rPr>
          <w:rFonts w:hint="eastAsia" w:ascii="宋体" w:hAnsi="宋体"/>
        </w:rPr>
      </w:pPr>
      <w:r>
        <w:rPr>
          <w:rFonts w:hint="eastAsia" w:ascii="宋体" w:hAnsi="宋体"/>
        </w:rPr>
        <w:t>①综合得分排名前4名的，推荐为中标候选人；排名第一的中标候选人占份额40%左右；排名第二的中标候选人占份额30%左右；排名第三的中标候选人占份额20%左右；排名第四的中标候选人占份额10%左右。</w:t>
      </w:r>
    </w:p>
    <w:p>
      <w:pPr>
        <w:spacing w:line="360" w:lineRule="auto"/>
        <w:ind w:firstLine="480" w:firstLineChars="200"/>
        <w:rPr>
          <w:rFonts w:hint="eastAsia" w:ascii="宋体" w:hAnsi="宋体"/>
        </w:rPr>
      </w:pPr>
      <w:r>
        <w:rPr>
          <w:rFonts w:hint="eastAsia" w:ascii="宋体" w:hAnsi="宋体"/>
        </w:rPr>
        <w:t>②如通过初步审查的投标人不足4家时，则通过初步审查的投标人都将被推荐为中标候选人。如通过初步审查的投标人不足3家时，项目招标失败。</w:t>
      </w:r>
    </w:p>
    <w:p>
      <w:pPr>
        <w:keepNext/>
        <w:keepLines/>
        <w:spacing w:line="360" w:lineRule="auto"/>
        <w:outlineLvl w:val="1"/>
        <w:rPr>
          <w:rFonts w:hint="eastAsia" w:ascii="宋体" w:hAnsi="宋体"/>
          <w:b/>
          <w:bCs/>
          <w:sz w:val="28"/>
          <w:szCs w:val="28"/>
        </w:rPr>
      </w:pPr>
      <w:r>
        <w:rPr>
          <w:rFonts w:hint="eastAsia" w:ascii="宋体" w:hAnsi="宋体"/>
          <w:b/>
          <w:bCs/>
          <w:sz w:val="28"/>
          <w:szCs w:val="28"/>
        </w:rPr>
        <w:t>七、付款时间、方式及条件：</w:t>
      </w:r>
    </w:p>
    <w:p>
      <w:pPr>
        <w:spacing w:line="360" w:lineRule="auto"/>
        <w:ind w:firstLine="480" w:firstLineChars="200"/>
        <w:rPr>
          <w:rFonts w:hint="eastAsia" w:ascii="宋体" w:hAnsi="宋体"/>
          <w:sz w:val="28"/>
          <w:szCs w:val="28"/>
        </w:rPr>
      </w:pPr>
      <w:r>
        <w:rPr>
          <w:rFonts w:hint="eastAsia" w:ascii="宋体" w:hAnsi="宋体"/>
        </w:rPr>
        <w:t>自合同签订后5天内，乙方（中标人）需将付款申请函及正式有效的全额发票交给甲方（招标人），经甲方确认无误后5天内将保险费（中标价）由海南省各市县残</w:t>
      </w:r>
      <w:r>
        <w:rPr>
          <w:rFonts w:hint="eastAsia" w:ascii="宋体" w:hAnsi="宋体"/>
          <w:sz w:val="28"/>
          <w:szCs w:val="28"/>
        </w:rPr>
        <w:t>疾人联合会分别以趸交的方式缴纳。</w:t>
      </w:r>
    </w:p>
    <w:p>
      <w:pPr>
        <w:keepNext/>
        <w:keepLines/>
        <w:spacing w:line="360" w:lineRule="auto"/>
        <w:outlineLvl w:val="1"/>
        <w:rPr>
          <w:rFonts w:hint="eastAsia" w:ascii="宋体" w:hAnsi="宋体"/>
          <w:b/>
          <w:bCs/>
          <w:sz w:val="28"/>
          <w:szCs w:val="28"/>
        </w:rPr>
      </w:pPr>
      <w:r>
        <w:rPr>
          <w:rFonts w:hint="eastAsia" w:ascii="宋体" w:hAnsi="宋体"/>
          <w:b/>
          <w:bCs/>
          <w:sz w:val="28"/>
          <w:szCs w:val="28"/>
        </w:rPr>
        <w:t>八、其他：</w:t>
      </w:r>
    </w:p>
    <w:p>
      <w:pPr>
        <w:spacing w:line="360" w:lineRule="auto"/>
        <w:ind w:firstLine="480" w:firstLineChars="200"/>
        <w:rPr>
          <w:rFonts w:hint="eastAsia" w:ascii="宋体" w:hAnsi="宋体"/>
        </w:rPr>
      </w:pPr>
      <w:r>
        <w:rPr>
          <w:rFonts w:hint="eastAsia" w:ascii="宋体" w:hAnsi="宋体"/>
        </w:rPr>
        <w:t>（一）项目的实质性要求：按本招标文件要求实施。</w:t>
      </w:r>
    </w:p>
    <w:p>
      <w:pPr>
        <w:spacing w:line="360" w:lineRule="auto"/>
        <w:ind w:firstLine="480" w:firstLineChars="200"/>
        <w:rPr>
          <w:rFonts w:hint="eastAsia" w:ascii="宋体" w:hAnsi="宋体"/>
        </w:rPr>
      </w:pPr>
      <w:r>
        <w:rPr>
          <w:rFonts w:hint="eastAsia" w:ascii="宋体" w:hAnsi="宋体"/>
        </w:rPr>
        <w:t>（二）合同的实质性条款：招标人与中标人的名称和住所、标的、数量、质量、价款或者报酬、履行期限及地点和方式、验收要求、违约责任、解决争议的方法等内容。</w:t>
      </w:r>
    </w:p>
    <w:p>
      <w:pPr>
        <w:spacing w:line="360" w:lineRule="auto"/>
        <w:ind w:firstLine="480" w:firstLineChars="200"/>
        <w:rPr>
          <w:rFonts w:hint="eastAsia" w:ascii="宋体" w:hAnsi="宋体"/>
        </w:rPr>
      </w:pPr>
      <w:r>
        <w:rPr>
          <w:rFonts w:hint="eastAsia" w:ascii="宋体" w:hAnsi="宋体"/>
        </w:rPr>
        <w:t>（三）安全标准：符合国家、地方和行业的相关政策、法规。</w:t>
      </w:r>
    </w:p>
    <w:p>
      <w:pPr>
        <w:spacing w:line="360" w:lineRule="auto"/>
        <w:ind w:firstLine="480" w:firstLineChars="200"/>
        <w:rPr>
          <w:rFonts w:hint="eastAsia" w:ascii="宋体" w:hAnsi="宋体"/>
        </w:rPr>
      </w:pPr>
      <w:r>
        <w:rPr>
          <w:rFonts w:hint="eastAsia" w:ascii="宋体" w:hAnsi="宋体"/>
        </w:rPr>
        <w:t>（四）验收方法及标准：按本招标文件和投标文件的内容及国家、地方和行业的相关政策、法规实施。</w:t>
      </w:r>
    </w:p>
    <w:p>
      <w:pPr>
        <w:spacing w:line="360" w:lineRule="auto"/>
        <w:ind w:firstLine="480" w:firstLineChars="200"/>
        <w:rPr>
          <w:rFonts w:hint="eastAsia" w:ascii="宋体" w:hAnsi="宋体"/>
        </w:rPr>
      </w:pPr>
      <w:r>
        <w:rPr>
          <w:rFonts w:hint="eastAsia" w:ascii="宋体" w:hAnsi="宋体"/>
        </w:rPr>
        <w:t>（五）法律法规规定的强制性标准：</w:t>
      </w:r>
    </w:p>
    <w:p>
      <w:pPr>
        <w:spacing w:line="440" w:lineRule="exact"/>
        <w:ind w:firstLine="600" w:firstLineChars="250"/>
        <w:rPr>
          <w:rFonts w:hint="eastAsia" w:ascii="宋体" w:hAnsi="宋体" w:eastAsia="宋体"/>
          <w:lang w:eastAsia="zh-CN"/>
        </w:rPr>
      </w:pPr>
    </w:p>
    <w:p>
      <w:pPr>
        <w:spacing w:line="440" w:lineRule="exact"/>
        <w:ind w:firstLine="600" w:firstLineChars="250"/>
        <w:rPr>
          <w:rFonts w:hint="eastAsia" w:ascii="宋体" w:hAnsi="宋体" w:eastAsia="宋体"/>
          <w:lang w:eastAsia="zh-CN"/>
        </w:rPr>
      </w:pPr>
    </w:p>
    <w:p>
      <w:pPr>
        <w:pStyle w:val="221"/>
        <w:ind w:left="2400" w:hanging="1200"/>
        <w:sectPr>
          <w:footerReference r:id="rId5" w:type="default"/>
          <w:pgSz w:w="12240" w:h="15840"/>
          <w:pgMar w:top="1440" w:right="1800" w:bottom="1440" w:left="1800" w:header="720" w:footer="720" w:gutter="0"/>
          <w:pgNumType w:fmt="decimal" w:start="1"/>
          <w:cols w:space="720" w:num="1"/>
        </w:sectPr>
      </w:pPr>
    </w:p>
    <w:p>
      <w:pPr>
        <w:pStyle w:val="3"/>
        <w:spacing w:before="360" w:after="360"/>
        <w:jc w:val="center"/>
        <w:rPr>
          <w:rFonts w:hint="eastAsia" w:ascii="宋体" w:hAnsi="宋体"/>
          <w:lang w:eastAsia="zh-CN"/>
        </w:rPr>
      </w:pPr>
      <w:bookmarkStart w:id="11" w:name="_Toc27376"/>
      <w:r>
        <w:rPr>
          <w:rFonts w:hint="eastAsia" w:ascii="宋体" w:hAnsi="宋体"/>
          <w:lang w:eastAsia="zh-CN"/>
        </w:rPr>
        <w:t>第四章评标办法及标准</w:t>
      </w:r>
      <w:bookmarkEnd w:id="11"/>
    </w:p>
    <w:p>
      <w:pPr>
        <w:rPr>
          <w:rFonts w:hint="eastAsia"/>
          <w:lang w:eastAsia="zh-CN"/>
        </w:rPr>
      </w:pPr>
    </w:p>
    <w:p>
      <w:pPr>
        <w:widowControl w:val="0"/>
        <w:shd w:val="clear" w:color="auto" w:fill="FFFFFF"/>
        <w:snapToGrid w:val="0"/>
        <w:spacing w:line="360" w:lineRule="auto"/>
        <w:ind w:firstLine="281" w:firstLineChars="100"/>
        <w:jc w:val="both"/>
        <w:rPr>
          <w:rFonts w:ascii="宋体" w:hAnsi="宋体"/>
          <w:sz w:val="28"/>
          <w:szCs w:val="28"/>
          <w:lang w:eastAsia="zh-CN"/>
        </w:rPr>
      </w:pPr>
      <w:r>
        <w:rPr>
          <w:rFonts w:hint="eastAsia" w:ascii="宋体" w:hAnsi="宋体"/>
          <w:b/>
          <w:bCs/>
          <w:sz w:val="28"/>
          <w:szCs w:val="28"/>
          <w:lang w:eastAsia="zh-CN"/>
        </w:rPr>
        <w:t>1.评审办法</w:t>
      </w:r>
    </w:p>
    <w:p>
      <w:pPr>
        <w:shd w:val="clear" w:color="auto" w:fill="FFFFFF"/>
        <w:snapToGrid w:val="0"/>
        <w:spacing w:line="360" w:lineRule="auto"/>
        <w:ind w:firstLine="480" w:firstLineChars="200"/>
        <w:rPr>
          <w:rFonts w:ascii="宋体" w:hAnsi="宋体"/>
          <w:lang w:eastAsia="zh-CN"/>
        </w:rPr>
      </w:pPr>
      <w:r>
        <w:rPr>
          <w:rFonts w:hint="eastAsia" w:ascii="宋体" w:hAnsi="宋体"/>
          <w:lang w:eastAsia="zh-CN"/>
        </w:rPr>
        <w:t>（1）评标办法采用综合评分法。</w:t>
      </w:r>
    </w:p>
    <w:p>
      <w:pPr>
        <w:shd w:val="clear" w:color="auto" w:fill="FFFFFF"/>
        <w:snapToGrid w:val="0"/>
        <w:spacing w:line="360" w:lineRule="auto"/>
        <w:ind w:firstLine="480" w:firstLineChars="200"/>
        <w:rPr>
          <w:rFonts w:ascii="宋体" w:hAnsi="宋体"/>
          <w:lang w:eastAsia="zh-CN"/>
        </w:rPr>
      </w:pPr>
      <w:r>
        <w:rPr>
          <w:rFonts w:hint="eastAsia" w:ascii="宋体" w:hAnsi="宋体"/>
          <w:lang w:eastAsia="zh-CN"/>
        </w:rPr>
        <w:t>（2）综合评分法评标步骤：先进行初步评审，再进行技术、商务的详细评审。只有通过资格性、符合性评审的投标人才能进入详细的评审。</w:t>
      </w:r>
    </w:p>
    <w:p>
      <w:pPr>
        <w:widowControl w:val="0"/>
        <w:shd w:val="clear" w:color="auto" w:fill="FFFFFF"/>
        <w:snapToGrid w:val="0"/>
        <w:spacing w:line="360" w:lineRule="auto"/>
        <w:ind w:firstLine="281" w:firstLineChars="100"/>
        <w:jc w:val="both"/>
        <w:rPr>
          <w:rFonts w:hint="eastAsia" w:ascii="宋体" w:hAnsi="宋体"/>
          <w:b/>
          <w:bCs/>
          <w:sz w:val="28"/>
          <w:szCs w:val="28"/>
          <w:lang w:eastAsia="zh-CN"/>
        </w:rPr>
      </w:pPr>
      <w:r>
        <w:rPr>
          <w:rFonts w:hint="eastAsia" w:ascii="宋体" w:hAnsi="宋体"/>
          <w:b/>
          <w:bCs/>
          <w:sz w:val="28"/>
          <w:szCs w:val="28"/>
          <w:lang w:eastAsia="zh-CN"/>
        </w:rPr>
        <w:t>2.初步评审</w:t>
      </w:r>
    </w:p>
    <w:p>
      <w:pPr>
        <w:widowControl w:val="0"/>
        <w:shd w:val="clear" w:color="auto" w:fill="FFFFFF"/>
        <w:snapToGrid w:val="0"/>
        <w:spacing w:line="360" w:lineRule="auto"/>
        <w:ind w:firstLine="470" w:firstLineChars="196"/>
        <w:jc w:val="both"/>
        <w:rPr>
          <w:rFonts w:ascii="宋体" w:hAnsi="宋体"/>
          <w:b/>
          <w:bCs/>
          <w:lang w:eastAsia="zh-CN"/>
        </w:rPr>
      </w:pPr>
      <w:r>
        <w:rPr>
          <w:rFonts w:hint="eastAsia" w:ascii="宋体" w:hAnsi="宋体"/>
          <w:shd w:val="clear" w:color="auto" w:fill="FFFFFF"/>
          <w:lang w:eastAsia="zh-CN"/>
        </w:rPr>
        <w:t>根据《中华人民共和国政府采购法》、财政部《政府采购货物和服务招标投标管理办法》（财政部令第87号）的规定，评标按照下列工作程序进行：</w:t>
      </w:r>
      <w:r>
        <w:rPr>
          <w:rFonts w:hint="eastAsia" w:ascii="宋体" w:hAnsi="宋体"/>
          <w:lang w:eastAsia="zh-CN"/>
        </w:rPr>
        <w:t>   </w:t>
      </w:r>
    </w:p>
    <w:p>
      <w:pPr>
        <w:shd w:val="clear" w:color="auto" w:fill="FFFFFF"/>
        <w:spacing w:line="360" w:lineRule="auto"/>
        <w:ind w:firstLine="600"/>
        <w:jc w:val="both"/>
        <w:rPr>
          <w:rFonts w:hint="eastAsia" w:ascii="宋体" w:hAnsi="宋体"/>
          <w:lang w:eastAsia="zh-CN"/>
        </w:rPr>
      </w:pPr>
      <w:r>
        <w:rPr>
          <w:rFonts w:hint="eastAsia" w:ascii="宋体" w:hAnsi="宋体"/>
          <w:lang w:eastAsia="zh-CN"/>
        </w:rPr>
        <w:t>2.1投标人资格性审查由本次招标代理机构负责（资格性审查表见：附表1）。</w:t>
      </w:r>
    </w:p>
    <w:p>
      <w:pPr>
        <w:shd w:val="clear" w:color="auto" w:fill="FFFFFF"/>
        <w:spacing w:line="360" w:lineRule="auto"/>
        <w:ind w:firstLine="600"/>
        <w:jc w:val="both"/>
        <w:rPr>
          <w:rFonts w:hint="eastAsia" w:ascii="宋体" w:hAnsi="宋体"/>
          <w:lang w:eastAsia="zh-CN"/>
        </w:rPr>
      </w:pPr>
      <w:r>
        <w:rPr>
          <w:rFonts w:hint="eastAsia" w:ascii="宋体" w:hAnsi="宋体"/>
          <w:lang w:eastAsia="zh-CN"/>
        </w:rPr>
        <w:t>2.2评标委员会根据招标文件的符合性要求对投标文件符合性条件进行审查（符合性审查表见：附表2）。</w:t>
      </w:r>
    </w:p>
    <w:p>
      <w:pPr>
        <w:shd w:val="clear" w:color="auto" w:fill="FFFFFF"/>
        <w:tabs>
          <w:tab w:val="left" w:pos="720"/>
          <w:tab w:val="left" w:pos="3675"/>
        </w:tabs>
        <w:snapToGrid w:val="0"/>
        <w:spacing w:line="360" w:lineRule="auto"/>
        <w:ind w:firstLine="480" w:firstLineChars="200"/>
        <w:rPr>
          <w:rFonts w:hint="eastAsia" w:ascii="宋体" w:hAnsi="宋体"/>
          <w:lang w:eastAsia="zh-CN"/>
        </w:rPr>
      </w:pPr>
      <w:r>
        <w:rPr>
          <w:rFonts w:hint="eastAsia" w:ascii="宋体" w:hAnsi="宋体"/>
          <w:lang w:eastAsia="zh-CN"/>
        </w:rPr>
        <w:t>对是否实质性响应招标文件的要求有争议的投标内容，评标委员会将以记名方式表决，得票超过半数的投标人有资格进入下一阶段的评审，否则将被淘汰。有以下情况的将不能通过符合性条件审查：</w:t>
      </w:r>
    </w:p>
    <w:p>
      <w:pPr>
        <w:shd w:val="clear" w:color="auto" w:fill="FFFFFF"/>
        <w:tabs>
          <w:tab w:val="left" w:pos="720"/>
          <w:tab w:val="left" w:pos="2405"/>
        </w:tabs>
        <w:snapToGrid w:val="0"/>
        <w:spacing w:line="360" w:lineRule="auto"/>
        <w:ind w:firstLine="480" w:firstLineChars="200"/>
        <w:rPr>
          <w:rFonts w:ascii="宋体" w:hAnsi="宋体"/>
          <w:lang w:eastAsia="zh-CN"/>
        </w:rPr>
      </w:pPr>
      <w:r>
        <w:rPr>
          <w:rFonts w:hint="eastAsia" w:ascii="宋体" w:hAnsi="宋体"/>
          <w:lang w:eastAsia="zh-CN"/>
        </w:rPr>
        <w:t>投标有效期不足的；</w:t>
      </w:r>
    </w:p>
    <w:p>
      <w:pPr>
        <w:shd w:val="clear" w:color="auto" w:fill="FFFFFF"/>
        <w:tabs>
          <w:tab w:val="left" w:pos="720"/>
          <w:tab w:val="left" w:pos="2405"/>
        </w:tabs>
        <w:snapToGrid w:val="0"/>
        <w:spacing w:line="360" w:lineRule="auto"/>
        <w:ind w:firstLine="480" w:firstLineChars="200"/>
        <w:rPr>
          <w:rFonts w:ascii="宋体" w:hAnsi="宋体"/>
          <w:lang w:eastAsia="zh-CN"/>
        </w:rPr>
      </w:pPr>
      <w:r>
        <w:rPr>
          <w:rFonts w:hint="eastAsia" w:ascii="宋体" w:hAnsi="宋体"/>
          <w:lang w:eastAsia="zh-CN"/>
        </w:rPr>
        <w:t>交货期不满足要求的；</w:t>
      </w:r>
    </w:p>
    <w:p>
      <w:pPr>
        <w:shd w:val="clear" w:color="auto" w:fill="FFFFFF"/>
        <w:tabs>
          <w:tab w:val="left" w:pos="720"/>
          <w:tab w:val="left" w:pos="2405"/>
        </w:tabs>
        <w:snapToGrid w:val="0"/>
        <w:spacing w:line="360" w:lineRule="auto"/>
        <w:ind w:firstLine="480" w:firstLineChars="200"/>
        <w:rPr>
          <w:rFonts w:ascii="宋体" w:hAnsi="宋体"/>
          <w:lang w:eastAsia="zh-CN"/>
        </w:rPr>
      </w:pPr>
      <w:r>
        <w:rPr>
          <w:rFonts w:hint="eastAsia" w:ascii="宋体" w:hAnsi="宋体"/>
          <w:lang w:eastAsia="zh-CN"/>
        </w:rPr>
        <w:t>投标文件未按招标文件规定要求填写投标内容及签名盖章的；</w:t>
      </w:r>
    </w:p>
    <w:p>
      <w:pPr>
        <w:shd w:val="clear" w:color="auto" w:fill="FFFFFF"/>
        <w:tabs>
          <w:tab w:val="left" w:pos="720"/>
          <w:tab w:val="left" w:pos="2405"/>
        </w:tabs>
        <w:snapToGrid w:val="0"/>
        <w:spacing w:line="360" w:lineRule="auto"/>
        <w:ind w:firstLine="480" w:firstLineChars="200"/>
        <w:rPr>
          <w:rFonts w:ascii="宋体" w:hAnsi="宋体"/>
          <w:lang w:eastAsia="zh-CN"/>
        </w:rPr>
      </w:pPr>
      <w:r>
        <w:rPr>
          <w:rFonts w:hint="eastAsia" w:ascii="宋体" w:hAnsi="宋体"/>
          <w:lang w:eastAsia="zh-CN"/>
        </w:rPr>
        <w:t>投标价不是固定价或者投标价不是唯一的；</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判断投标文件响应与否只依据招标文件要求和投标文件本身，而不寻求外部证据。</w:t>
      </w:r>
    </w:p>
    <w:p>
      <w:pPr>
        <w:shd w:val="clear" w:color="auto" w:fill="FFFFFF"/>
        <w:spacing w:line="360" w:lineRule="auto"/>
        <w:ind w:firstLine="600"/>
        <w:jc w:val="both"/>
        <w:rPr>
          <w:rFonts w:ascii="宋体" w:hAnsi="宋体"/>
          <w:szCs w:val="21"/>
          <w:lang w:eastAsia="zh-CN"/>
        </w:rPr>
      </w:pPr>
      <w:r>
        <w:rPr>
          <w:rFonts w:hint="eastAsia" w:ascii="宋体" w:hAnsi="宋体"/>
          <w:lang w:eastAsia="zh-CN"/>
        </w:rPr>
        <w:t>2.3只有通过投标文件资格性审查、符合性审查的投标文件才能进入下一步评审。</w:t>
      </w:r>
    </w:p>
    <w:p>
      <w:pPr>
        <w:shd w:val="clear" w:color="auto" w:fill="FFFFFF"/>
        <w:snapToGrid w:val="0"/>
        <w:spacing w:line="360" w:lineRule="auto"/>
        <w:ind w:firstLine="281" w:firstLineChars="100"/>
        <w:rPr>
          <w:rFonts w:ascii="宋体" w:hAnsi="宋体"/>
          <w:b/>
          <w:sz w:val="28"/>
          <w:szCs w:val="28"/>
          <w:lang w:eastAsia="zh-CN"/>
        </w:rPr>
      </w:pPr>
      <w:r>
        <w:rPr>
          <w:rFonts w:hint="eastAsia" w:ascii="宋体" w:hAnsi="宋体"/>
          <w:b/>
          <w:sz w:val="28"/>
          <w:szCs w:val="28"/>
          <w:lang w:eastAsia="zh-CN"/>
        </w:rPr>
        <w:t>3.评标委员会在评审中，对算术错误的修正原则如下:</w:t>
      </w:r>
    </w:p>
    <w:p>
      <w:pPr>
        <w:shd w:val="clear" w:color="auto" w:fill="FFFFFF"/>
        <w:snapToGrid w:val="0"/>
        <w:spacing w:line="360" w:lineRule="auto"/>
        <w:ind w:firstLine="480" w:firstLineChars="200"/>
        <w:rPr>
          <w:rFonts w:ascii="宋体" w:hAnsi="宋体"/>
          <w:lang w:eastAsia="zh-CN"/>
        </w:rPr>
      </w:pPr>
      <w:r>
        <w:rPr>
          <w:rFonts w:hint="eastAsia" w:ascii="宋体" w:hAnsi="宋体"/>
          <w:lang w:eastAsia="zh-CN"/>
        </w:rPr>
        <w:t>（1）开标一览表内容与投标文件中明细表内容不一致的，以开标一览表为准</w:t>
      </w:r>
    </w:p>
    <w:p>
      <w:pPr>
        <w:shd w:val="clear" w:color="auto" w:fill="FFFFFF"/>
        <w:snapToGrid w:val="0"/>
        <w:spacing w:line="360" w:lineRule="auto"/>
        <w:ind w:firstLine="480" w:firstLineChars="200"/>
        <w:rPr>
          <w:rFonts w:ascii="宋体" w:hAnsi="宋体"/>
          <w:lang w:eastAsia="zh-CN"/>
        </w:rPr>
      </w:pPr>
      <w:r>
        <w:rPr>
          <w:rFonts w:hint="eastAsia" w:ascii="宋体" w:hAnsi="宋体"/>
          <w:lang w:eastAsia="zh-CN"/>
        </w:rPr>
        <w:t>（2）投标文件的大写金额和小写金额不一致的，以大写金额为准；</w:t>
      </w:r>
    </w:p>
    <w:p>
      <w:pPr>
        <w:shd w:val="clear" w:color="auto" w:fill="FFFFFF"/>
        <w:snapToGrid w:val="0"/>
        <w:spacing w:line="360" w:lineRule="auto"/>
        <w:ind w:firstLine="480" w:firstLineChars="200"/>
        <w:rPr>
          <w:rFonts w:ascii="宋体" w:hAnsi="宋体"/>
          <w:lang w:eastAsia="zh-CN"/>
        </w:rPr>
      </w:pPr>
      <w:r>
        <w:rPr>
          <w:rFonts w:hint="eastAsia" w:ascii="宋体" w:hAnsi="宋体"/>
          <w:lang w:eastAsia="zh-CN"/>
        </w:rPr>
        <w:t>（3）总价金额与按单价汇总金额不一致的，以单价金额计算结果为准；</w:t>
      </w:r>
    </w:p>
    <w:p>
      <w:pPr>
        <w:shd w:val="clear" w:color="auto" w:fill="FFFFFF"/>
        <w:snapToGrid w:val="0"/>
        <w:spacing w:line="360" w:lineRule="auto"/>
        <w:ind w:firstLine="480" w:firstLineChars="200"/>
        <w:rPr>
          <w:rFonts w:ascii="宋体" w:hAnsi="宋体"/>
          <w:lang w:eastAsia="zh-CN"/>
        </w:rPr>
      </w:pPr>
      <w:r>
        <w:rPr>
          <w:rFonts w:hint="eastAsia" w:ascii="宋体" w:hAnsi="宋体"/>
          <w:lang w:eastAsia="zh-CN"/>
        </w:rPr>
        <w:t>（4）单价金额小数点有明显错位的，以总价为准并修改单价。</w:t>
      </w:r>
    </w:p>
    <w:p>
      <w:pPr>
        <w:shd w:val="clear" w:color="auto" w:fill="FFFFFF"/>
        <w:snapToGrid w:val="0"/>
        <w:spacing w:line="360" w:lineRule="auto"/>
        <w:ind w:firstLine="480" w:firstLineChars="200"/>
        <w:rPr>
          <w:rFonts w:ascii="宋体" w:hAnsi="宋体"/>
          <w:lang w:eastAsia="zh-CN"/>
        </w:rPr>
      </w:pPr>
      <w:r>
        <w:rPr>
          <w:rFonts w:hint="eastAsia" w:ascii="宋体" w:hAnsi="宋体"/>
          <w:lang w:eastAsia="zh-CN"/>
        </w:rPr>
        <w:t>（5）若投标人不同意以上修正，投标文件将视为无效。</w:t>
      </w:r>
    </w:p>
    <w:p>
      <w:pPr>
        <w:shd w:val="clear" w:color="auto" w:fill="FFFFFF"/>
        <w:snapToGrid w:val="0"/>
        <w:spacing w:line="360" w:lineRule="auto"/>
        <w:ind w:firstLine="480" w:firstLineChars="200"/>
        <w:rPr>
          <w:rFonts w:hint="eastAsia" w:ascii="宋体" w:hAnsi="宋体"/>
          <w:bCs/>
          <w:lang w:eastAsia="zh-CN"/>
        </w:rPr>
      </w:pPr>
      <w:r>
        <w:rPr>
          <w:rFonts w:hint="eastAsia" w:ascii="宋体" w:hAnsi="宋体"/>
          <w:bCs/>
          <w:lang w:eastAsia="zh-CN"/>
        </w:rPr>
        <w:t>（6）通过初步审查的投标人数不足3家时，本次招标失败。</w:t>
      </w:r>
    </w:p>
    <w:p>
      <w:pPr>
        <w:wordWrap w:val="0"/>
        <w:spacing w:line="360" w:lineRule="auto"/>
        <w:ind w:firstLine="562" w:firstLineChars="200"/>
        <w:rPr>
          <w:rFonts w:ascii="宋体" w:hAnsi="宋体"/>
          <w:sz w:val="28"/>
          <w:szCs w:val="28"/>
        </w:rPr>
      </w:pPr>
      <w:r>
        <w:rPr>
          <w:rFonts w:hint="eastAsia" w:ascii="宋体" w:hAnsi="宋体"/>
          <w:b/>
          <w:bCs/>
          <w:sz w:val="28"/>
          <w:szCs w:val="28"/>
          <w:lang w:eastAsia="zh-CN"/>
        </w:rPr>
        <w:t>4.</w:t>
      </w:r>
      <w:r>
        <w:rPr>
          <w:rFonts w:ascii="宋体" w:hAnsi="宋体"/>
          <w:b/>
          <w:bCs/>
          <w:sz w:val="28"/>
          <w:szCs w:val="28"/>
        </w:rPr>
        <w:t>解释与澄清。对投标文件中含义不明确、同类问题表述不一致或者有明显文字和计算错误的内容，评标委员会可以要求投标供应商以书面形式</w:t>
      </w:r>
      <w:r>
        <w:rPr>
          <w:rFonts w:hint="eastAsia" w:ascii="宋体" w:hAnsi="宋体"/>
          <w:b/>
          <w:bCs/>
          <w:sz w:val="28"/>
          <w:szCs w:val="28"/>
        </w:rPr>
        <w:t>作</w:t>
      </w:r>
      <w:r>
        <w:rPr>
          <w:rFonts w:ascii="宋体" w:hAnsi="宋体"/>
          <w:b/>
          <w:bCs/>
          <w:sz w:val="28"/>
          <w:szCs w:val="28"/>
        </w:rPr>
        <w:t>出澄清、说明或者补正</w:t>
      </w:r>
      <w:r>
        <w:rPr>
          <w:rFonts w:hint="eastAsia" w:ascii="宋体" w:hAnsi="宋体"/>
          <w:b/>
          <w:bCs/>
          <w:sz w:val="28"/>
          <w:szCs w:val="28"/>
        </w:rPr>
        <w:t>，澄清</w:t>
      </w:r>
      <w:r>
        <w:rPr>
          <w:rFonts w:ascii="宋体" w:hAnsi="宋体"/>
          <w:b/>
          <w:bCs/>
          <w:sz w:val="28"/>
          <w:szCs w:val="28"/>
        </w:rPr>
        <w:t>不能超出投标文件的范围</w:t>
      </w:r>
      <w:r>
        <w:rPr>
          <w:rFonts w:hint="eastAsia" w:ascii="宋体" w:hAnsi="宋体"/>
          <w:b/>
          <w:bCs/>
          <w:sz w:val="28"/>
          <w:szCs w:val="28"/>
        </w:rPr>
        <w:t>，不能</w:t>
      </w:r>
      <w:r>
        <w:rPr>
          <w:rFonts w:ascii="宋体" w:hAnsi="宋体"/>
          <w:b/>
          <w:bCs/>
          <w:sz w:val="28"/>
          <w:szCs w:val="28"/>
        </w:rPr>
        <w:t>改变投标文件的投标报价、质量标准、交货时间等实质性内容，下列内容不得澄清</w:t>
      </w:r>
      <w:r>
        <w:rPr>
          <w:rFonts w:ascii="宋体" w:hAnsi="宋体"/>
          <w:sz w:val="28"/>
          <w:szCs w:val="28"/>
        </w:rPr>
        <w:t>：</w:t>
      </w:r>
    </w:p>
    <w:p>
      <w:pPr>
        <w:wordWrap w:val="0"/>
        <w:spacing w:line="360" w:lineRule="auto"/>
        <w:ind w:left="480" w:leftChars="200" w:firstLine="480" w:firstLineChars="200"/>
        <w:rPr>
          <w:rFonts w:ascii="宋体" w:hAnsi="宋体"/>
        </w:rPr>
      </w:pPr>
      <w:r>
        <w:rPr>
          <w:rFonts w:hint="eastAsia" w:ascii="宋体" w:hAnsi="宋体"/>
          <w:lang w:eastAsia="zh-CN"/>
        </w:rPr>
        <w:t>（1）</w:t>
      </w:r>
      <w:r>
        <w:rPr>
          <w:rFonts w:ascii="宋体" w:hAnsi="宋体"/>
        </w:rPr>
        <w:t>开标时未宣读的投标价格、价格折扣和招标文件允许提供的备选投标方案等实质内容；</w:t>
      </w:r>
    </w:p>
    <w:p>
      <w:pPr>
        <w:wordWrap w:val="0"/>
        <w:spacing w:line="360" w:lineRule="auto"/>
        <w:ind w:left="480" w:leftChars="200" w:firstLine="480" w:firstLineChars="200"/>
        <w:rPr>
          <w:rFonts w:ascii="宋体" w:hAnsi="宋体"/>
        </w:rPr>
      </w:pPr>
      <w:r>
        <w:rPr>
          <w:rFonts w:hint="eastAsia" w:ascii="宋体" w:hAnsi="宋体"/>
          <w:lang w:eastAsia="zh-CN"/>
        </w:rPr>
        <w:t>（2）</w:t>
      </w:r>
      <w:r>
        <w:rPr>
          <w:rFonts w:ascii="宋体" w:hAnsi="宋体"/>
        </w:rPr>
        <w:t>投标文件中不响应招标文件规定的技术参数指标和商务应答；</w:t>
      </w:r>
    </w:p>
    <w:p>
      <w:pPr>
        <w:wordWrap w:val="0"/>
        <w:spacing w:line="360" w:lineRule="auto"/>
        <w:ind w:left="480" w:leftChars="200" w:firstLine="480" w:firstLineChars="200"/>
        <w:rPr>
          <w:rFonts w:ascii="宋体" w:hAnsi="宋体"/>
        </w:rPr>
      </w:pPr>
      <w:r>
        <w:rPr>
          <w:rFonts w:hint="eastAsia" w:ascii="宋体" w:hAnsi="宋体"/>
          <w:lang w:eastAsia="zh-CN"/>
        </w:rPr>
        <w:t>（3）</w:t>
      </w:r>
      <w:r>
        <w:rPr>
          <w:rFonts w:ascii="宋体" w:hAnsi="宋体"/>
        </w:rPr>
        <w:t>投标文件中未提供的证明其是否符合招标文件资格性、符合性规定要求的相关材料。</w:t>
      </w:r>
    </w:p>
    <w:p>
      <w:pPr>
        <w:wordWrap w:val="0"/>
        <w:spacing w:line="360" w:lineRule="auto"/>
        <w:ind w:firstLine="480" w:firstLineChars="200"/>
        <w:rPr>
          <w:rFonts w:ascii="宋体" w:hAnsi="宋体"/>
        </w:rPr>
      </w:pPr>
      <w:r>
        <w:rPr>
          <w:rFonts w:ascii="宋体" w:hAnsi="宋体"/>
        </w:rPr>
        <w:t>投标供应商解释澄清按照递交投标文件的倒序进行。投标供应商澄清材料确认，投标供应商为法人的，应当由其法定代表人或者授权代表签字确认；投标供应商为其他组织的，应当由其主要负责人或者全权代表签字确认。有效的澄清材料，是投标文件的组成部分；澄清不影响投标文件的效力。</w:t>
      </w:r>
    </w:p>
    <w:p>
      <w:pPr>
        <w:wordWrap w:val="0"/>
        <w:spacing w:line="360" w:lineRule="auto"/>
        <w:ind w:firstLine="480" w:firstLineChars="200"/>
        <w:rPr>
          <w:rFonts w:ascii="宋体" w:hAnsi="宋体"/>
          <w:b w:val="0"/>
          <w:bCs w:val="0"/>
          <w:sz w:val="24"/>
          <w:szCs w:val="24"/>
        </w:rPr>
      </w:pPr>
      <w:r>
        <w:rPr>
          <w:rFonts w:hint="eastAsia" w:ascii="宋体" w:hAnsi="宋体"/>
          <w:b w:val="0"/>
          <w:bCs w:val="0"/>
          <w:sz w:val="24"/>
          <w:szCs w:val="24"/>
          <w:lang w:eastAsia="zh-CN"/>
        </w:rPr>
        <w:t>5</w:t>
      </w:r>
      <w:r>
        <w:rPr>
          <w:rFonts w:hint="eastAsia" w:ascii="宋体" w:hAnsi="宋体"/>
          <w:b w:val="0"/>
          <w:bCs w:val="0"/>
          <w:sz w:val="24"/>
          <w:szCs w:val="24"/>
        </w:rPr>
        <w:t>.</w:t>
      </w:r>
      <w:r>
        <w:rPr>
          <w:rFonts w:ascii="宋体" w:hAnsi="宋体"/>
          <w:b w:val="0"/>
          <w:bCs w:val="0"/>
          <w:sz w:val="24"/>
          <w:szCs w:val="24"/>
        </w:rPr>
        <w:t>评审过程中，招标文件有关事项表述不明确或者需要说明的，</w:t>
      </w:r>
      <w:r>
        <w:rPr>
          <w:rFonts w:hint="eastAsia" w:ascii="宋体" w:hAnsi="宋体"/>
          <w:b w:val="0"/>
          <w:bCs w:val="0"/>
          <w:sz w:val="24"/>
          <w:szCs w:val="24"/>
        </w:rPr>
        <w:t>由</w:t>
      </w:r>
      <w:r>
        <w:rPr>
          <w:rFonts w:ascii="宋体" w:hAnsi="宋体"/>
          <w:b w:val="0"/>
          <w:bCs w:val="0"/>
          <w:sz w:val="24"/>
          <w:szCs w:val="24"/>
        </w:rPr>
        <w:t>采购机构</w:t>
      </w:r>
      <w:r>
        <w:rPr>
          <w:rFonts w:hint="eastAsia" w:ascii="宋体" w:hAnsi="宋体"/>
          <w:b w:val="0"/>
          <w:bCs w:val="0"/>
          <w:sz w:val="24"/>
          <w:szCs w:val="24"/>
        </w:rPr>
        <w:t>作出</w:t>
      </w:r>
      <w:r>
        <w:rPr>
          <w:rFonts w:ascii="宋体" w:hAnsi="宋体"/>
          <w:b w:val="0"/>
          <w:bCs w:val="0"/>
          <w:sz w:val="24"/>
          <w:szCs w:val="24"/>
        </w:rPr>
        <w:t>书面解释，但不得改变招标文件的原义或者影响公平、公正评审</w:t>
      </w:r>
      <w:r>
        <w:rPr>
          <w:rFonts w:hint="eastAsia" w:ascii="宋体" w:hAnsi="宋体"/>
          <w:b w:val="0"/>
          <w:bCs w:val="0"/>
          <w:sz w:val="24"/>
          <w:szCs w:val="24"/>
        </w:rPr>
        <w:t>，解释事项涉及投标供应商权益的，应当以有利于投标供应商为原则</w:t>
      </w:r>
      <w:r>
        <w:rPr>
          <w:rFonts w:ascii="宋体" w:hAnsi="宋体"/>
          <w:b w:val="0"/>
          <w:bCs w:val="0"/>
          <w:sz w:val="24"/>
          <w:szCs w:val="24"/>
        </w:rPr>
        <w:t>。</w:t>
      </w:r>
      <w:r>
        <w:rPr>
          <w:rFonts w:hint="eastAsia" w:ascii="宋体" w:hAnsi="宋体"/>
          <w:b w:val="0"/>
          <w:bCs w:val="0"/>
          <w:sz w:val="24"/>
          <w:szCs w:val="24"/>
        </w:rPr>
        <w:t>评审委员会发现招标文件存在歧义、重大缺陷，导致评标工作无法进行的，应当停止评标工作，在评审报告中书面说明情况，并提出招标文件修改意见。</w:t>
      </w:r>
    </w:p>
    <w:p>
      <w:pPr>
        <w:widowControl w:val="0"/>
        <w:shd w:val="clear" w:color="auto" w:fill="FFFFFF"/>
        <w:snapToGrid w:val="0"/>
        <w:spacing w:line="360" w:lineRule="auto"/>
        <w:ind w:firstLine="562" w:firstLineChars="200"/>
        <w:jc w:val="both"/>
        <w:rPr>
          <w:rFonts w:ascii="宋体" w:hAnsi="宋体"/>
          <w:sz w:val="28"/>
          <w:szCs w:val="28"/>
          <w:lang w:eastAsia="zh-CN"/>
        </w:rPr>
      </w:pPr>
      <w:r>
        <w:rPr>
          <w:rFonts w:hint="eastAsia" w:ascii="宋体" w:hAnsi="宋体"/>
          <w:b/>
          <w:bCs/>
          <w:sz w:val="28"/>
          <w:szCs w:val="28"/>
          <w:lang w:eastAsia="zh-CN"/>
        </w:rPr>
        <w:t>6.详细评审</w:t>
      </w:r>
    </w:p>
    <w:p>
      <w:pPr>
        <w:shd w:val="clear" w:color="auto" w:fill="FFFFFF"/>
        <w:tabs>
          <w:tab w:val="left" w:pos="720"/>
        </w:tabs>
        <w:snapToGrid w:val="0"/>
        <w:spacing w:line="360" w:lineRule="auto"/>
        <w:ind w:firstLine="480" w:firstLineChars="200"/>
        <w:rPr>
          <w:rFonts w:ascii="宋体" w:hAnsi="宋体"/>
          <w:lang w:eastAsia="zh-CN"/>
        </w:rPr>
      </w:pPr>
      <w:r>
        <w:rPr>
          <w:rFonts w:hint="eastAsia" w:ascii="宋体" w:hAnsi="宋体"/>
          <w:lang w:eastAsia="zh-CN"/>
        </w:rPr>
        <w:t>（1）评标委员会根据评审办法对通过资格性审查、符合性审查的投标文件进行详细评审，并进行技术和商务的评审打分。</w:t>
      </w:r>
    </w:p>
    <w:p>
      <w:pPr>
        <w:shd w:val="clear" w:color="auto" w:fill="FFFFFF"/>
        <w:tabs>
          <w:tab w:val="left" w:pos="720"/>
        </w:tabs>
        <w:snapToGrid w:val="0"/>
        <w:spacing w:line="360" w:lineRule="auto"/>
        <w:ind w:right="630" w:firstLine="480" w:firstLineChars="200"/>
        <w:rPr>
          <w:rFonts w:hint="eastAsia" w:ascii="宋体" w:hAnsi="宋体"/>
          <w:lang w:eastAsia="zh-CN"/>
        </w:rPr>
      </w:pPr>
      <w:r>
        <w:rPr>
          <w:rFonts w:hint="eastAsia" w:ascii="宋体" w:hAnsi="宋体"/>
          <w:lang w:eastAsia="zh-CN"/>
        </w:rPr>
        <w:t>（2）技术、商务评分：具体评审的内容详见（附表3）；</w:t>
      </w:r>
    </w:p>
    <w:p>
      <w:pPr>
        <w:wordWrap w:val="0"/>
        <w:spacing w:line="360" w:lineRule="auto"/>
        <w:ind w:firstLine="480" w:firstLineChars="200"/>
        <w:rPr>
          <w:rFonts w:ascii="宋体" w:hAnsi="宋体"/>
        </w:rPr>
      </w:pPr>
      <w:r>
        <w:rPr>
          <w:rFonts w:hint="eastAsia" w:ascii="宋体" w:hAnsi="宋体"/>
          <w:lang w:eastAsia="zh-CN"/>
        </w:rPr>
        <w:t>（3）</w:t>
      </w:r>
      <w:r>
        <w:rPr>
          <w:rFonts w:ascii="宋体" w:hAnsi="宋体"/>
        </w:rPr>
        <w:t>价格评审。</w:t>
      </w:r>
      <w:r>
        <w:rPr>
          <w:rFonts w:hint="eastAsia" w:ascii="宋体" w:hAnsi="宋体"/>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pacing w:line="360" w:lineRule="auto"/>
      </w:pPr>
    </w:p>
    <w:p>
      <w:pPr>
        <w:shd w:val="clear" w:color="auto" w:fill="FFFFFF"/>
        <w:tabs>
          <w:tab w:val="left" w:pos="720"/>
        </w:tabs>
        <w:snapToGrid w:val="0"/>
        <w:spacing w:line="360" w:lineRule="auto"/>
        <w:ind w:firstLine="480" w:firstLineChars="200"/>
        <w:rPr>
          <w:rFonts w:ascii="宋体" w:hAnsi="宋体"/>
          <w:lang w:eastAsia="zh-CN"/>
        </w:rPr>
      </w:pPr>
      <w:r>
        <w:rPr>
          <w:rFonts w:hint="eastAsia" w:ascii="宋体" w:hAnsi="宋体"/>
          <w:lang w:eastAsia="zh-CN"/>
        </w:rPr>
        <w:t>（4）价格分统一采用低价优先法计算，将通过初步评审的所有投标人的投标价格，即满足招标文件要求且价格最低的投标价为基准价，其价格分为满分。其他投标人的价格分统一按照下列公式计算：</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价格分=(基准价／投标报价)×价格权值×100</w:t>
      </w:r>
    </w:p>
    <w:p>
      <w:pPr>
        <w:shd w:val="clear" w:color="auto" w:fill="FFFFFF"/>
        <w:snapToGrid w:val="0"/>
        <w:spacing w:line="360" w:lineRule="auto"/>
        <w:ind w:right="629" w:firstLine="360" w:firstLineChars="150"/>
        <w:rPr>
          <w:rFonts w:ascii="宋体" w:hAnsi="宋体"/>
          <w:lang w:eastAsia="zh-CN"/>
        </w:rPr>
      </w:pPr>
      <w:r>
        <w:rPr>
          <w:rFonts w:hint="eastAsia" w:ascii="宋体" w:hAnsi="宋体"/>
          <w:lang w:eastAsia="zh-CN"/>
        </w:rPr>
        <w:t>（5）技术、商务及价格权重分配</w:t>
      </w:r>
    </w:p>
    <w:tbl>
      <w:tblPr>
        <w:tblStyle w:val="52"/>
        <w:tblW w:w="7662"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4019"/>
        <w:gridCol w:w="3643"/>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18" w:hRule="atLeast"/>
          <w:jc w:val="center"/>
        </w:trPr>
        <w:tc>
          <w:tcPr>
            <w:tcW w:w="4019"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b/>
                <w:bCs/>
                <w:sz w:val="20"/>
                <w:szCs w:val="20"/>
              </w:rPr>
              <w:t>评估因素</w:t>
            </w:r>
          </w:p>
        </w:tc>
        <w:tc>
          <w:tcPr>
            <w:tcW w:w="364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b/>
                <w:bCs/>
                <w:sz w:val="20"/>
                <w:szCs w:val="20"/>
              </w:rPr>
              <w:t>技术、商务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05" w:hRule="atLeast"/>
          <w:jc w:val="center"/>
        </w:trPr>
        <w:tc>
          <w:tcPr>
            <w:tcW w:w="4019"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rPr>
              <w:t>权重</w:t>
            </w:r>
          </w:p>
        </w:tc>
        <w:tc>
          <w:tcPr>
            <w:tcW w:w="3643" w:type="dxa"/>
            <w:tcBorders>
              <w:top w:val="single" w:color="auto" w:sz="4" w:space="0"/>
              <w:left w:val="single" w:color="auto" w:sz="4" w:space="0"/>
              <w:bottom w:val="single" w:color="auto" w:sz="4" w:space="0"/>
              <w:right w:val="single" w:color="auto" w:sz="4" w:space="0"/>
            </w:tcBorders>
            <w:vAlign w:val="center"/>
          </w:tcPr>
          <w:p>
            <w:pPr>
              <w:widowControl/>
              <w:snapToGrid w:val="0"/>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lang w:eastAsia="zh-CN"/>
              </w:rPr>
              <w:t>100</w:t>
            </w:r>
            <w:r>
              <w:rPr>
                <w:rFonts w:hint="eastAsia" w:ascii="宋体" w:hAnsi="宋体" w:cs="Times New Roman"/>
                <w:sz w:val="20"/>
                <w:szCs w:val="20"/>
              </w:rPr>
              <w:t>%</w:t>
            </w:r>
          </w:p>
        </w:tc>
      </w:tr>
    </w:tbl>
    <w:p>
      <w:pPr>
        <w:shd w:val="clear" w:color="auto" w:fill="FFFFFF"/>
        <w:snapToGrid w:val="0"/>
        <w:spacing w:line="360" w:lineRule="auto"/>
        <w:ind w:firstLine="480" w:firstLineChars="200"/>
        <w:rPr>
          <w:rFonts w:hint="eastAsia" w:ascii="宋体" w:hAnsi="宋体"/>
          <w:lang w:eastAsia="zh-CN"/>
        </w:rPr>
      </w:pP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6）综合评分及其统计：按照评标程序、评分标准以及分值分配的规定，评标委员会成员分别就各个投标人的技术、商务状况，其对招标文件要求的响应情况进行评议和比较，评出各投标人的总分，在全部评委的评分的算术平均值即为该投标人的合计得分。合计得分与投标报价分相加得出综合得分。综合得分相同的，按投标报价由低到高顺序排列。综合得分和投标报价均相同的，按技术指标由优至劣顺序排列。综合得分最高的投标人为第一中标候选供应商，综合得分次高的投标人为第二中标候选供应商，以此类推，评标委员会推荐出一至四名中标候选供应商。</w:t>
      </w:r>
    </w:p>
    <w:p>
      <w:pPr>
        <w:wordWrap w:val="0"/>
        <w:spacing w:line="580" w:lineRule="exact"/>
        <w:ind w:firstLine="480" w:firstLineChars="200"/>
        <w:rPr>
          <w:rFonts w:ascii="宋体" w:hAnsi="宋体"/>
        </w:rPr>
      </w:pPr>
      <w:r>
        <w:rPr>
          <w:rFonts w:hint="eastAsia" w:ascii="宋体" w:hAnsi="宋体"/>
          <w:lang w:eastAsia="zh-CN"/>
        </w:rPr>
        <w:t>（7）</w:t>
      </w:r>
      <w:r>
        <w:rPr>
          <w:rFonts w:ascii="宋体" w:hAnsi="宋体"/>
        </w:rPr>
        <w:t>复核评审情况。评标委员会对评审</w:t>
      </w:r>
      <w:r>
        <w:rPr>
          <w:rFonts w:hint="eastAsia" w:ascii="宋体" w:hAnsi="宋体"/>
        </w:rPr>
        <w:t>打分情况</w:t>
      </w:r>
      <w:r>
        <w:rPr>
          <w:rFonts w:ascii="宋体" w:hAnsi="宋体"/>
        </w:rPr>
        <w:t>复核</w:t>
      </w:r>
      <w:r>
        <w:rPr>
          <w:rFonts w:hint="eastAsia" w:ascii="宋体" w:hAnsi="宋体"/>
        </w:rPr>
        <w:t>，重点复核</w:t>
      </w:r>
      <w:r>
        <w:rPr>
          <w:rFonts w:ascii="宋体" w:hAnsi="宋体"/>
        </w:rPr>
        <w:t>投标文件被认定无效、报价最高且预中标、报价最低未预中标</w:t>
      </w:r>
      <w:r>
        <w:rPr>
          <w:rFonts w:hint="eastAsia" w:ascii="宋体" w:hAnsi="宋体"/>
        </w:rPr>
        <w:t>等情形，并</w:t>
      </w:r>
      <w:r>
        <w:rPr>
          <w:rFonts w:ascii="宋体" w:hAnsi="宋体"/>
        </w:rPr>
        <w:t>在评标报告中</w:t>
      </w:r>
      <w:r>
        <w:rPr>
          <w:rFonts w:hint="eastAsia" w:ascii="宋体" w:hAnsi="宋体"/>
        </w:rPr>
        <w:t>说明原因</w:t>
      </w:r>
      <w:r>
        <w:rPr>
          <w:rFonts w:ascii="宋体" w:hAnsi="宋体"/>
        </w:rPr>
        <w:t>。</w:t>
      </w:r>
    </w:p>
    <w:p>
      <w:pPr>
        <w:wordWrap w:val="0"/>
        <w:spacing w:line="560" w:lineRule="exact"/>
        <w:ind w:firstLine="480" w:firstLineChars="200"/>
        <w:rPr>
          <w:rFonts w:ascii="宋体" w:hAnsi="宋体"/>
        </w:rPr>
      </w:pPr>
      <w:r>
        <w:rPr>
          <w:rFonts w:hint="eastAsia" w:ascii="宋体" w:hAnsi="宋体"/>
        </w:rPr>
        <w:t>采购</w:t>
      </w:r>
      <w:r>
        <w:rPr>
          <w:rFonts w:hint="eastAsia" w:ascii="宋体" w:hAnsi="宋体"/>
          <w:lang w:eastAsia="zh-CN"/>
        </w:rPr>
        <w:t>代理</w:t>
      </w:r>
      <w:r>
        <w:rPr>
          <w:rFonts w:hint="eastAsia" w:ascii="宋体" w:hAnsi="宋体"/>
        </w:rPr>
        <w:t>机构对评标委员会的评审结果进行核对，重点核对资格性审查认定错误、评审底稿信息是否完整、客观分值是否一致、汇总计算是否准确、评审索引表企业填报数据与专家认定不一致、排名前</w:t>
      </w:r>
      <w:r>
        <w:rPr>
          <w:rFonts w:hint="eastAsia" w:ascii="宋体" w:hAnsi="宋体"/>
          <w:lang w:eastAsia="zh-CN"/>
        </w:rPr>
        <w:t>四</w:t>
      </w:r>
      <w:r>
        <w:rPr>
          <w:rFonts w:hint="eastAsia" w:ascii="宋体" w:hAnsi="宋体"/>
        </w:rPr>
        <w:t>名供应商分值相近等情形，如有问题应当要求评审委员会现场书面说明并予以更正。</w:t>
      </w:r>
    </w:p>
    <w:p>
      <w:pPr>
        <w:wordWrap w:val="0"/>
        <w:spacing w:line="580" w:lineRule="exact"/>
        <w:ind w:firstLine="480" w:firstLineChars="200"/>
        <w:rPr>
          <w:rFonts w:ascii="宋体" w:hAnsi="宋体"/>
        </w:rPr>
      </w:pPr>
      <w:r>
        <w:rPr>
          <w:rFonts w:hint="eastAsia" w:ascii="宋体" w:hAnsi="宋体"/>
          <w:lang w:eastAsia="zh-CN"/>
        </w:rPr>
        <w:t>（8）</w:t>
      </w:r>
      <w:r>
        <w:rPr>
          <w:rFonts w:ascii="宋体" w:hAnsi="宋体"/>
        </w:rPr>
        <w:t>评标委员会依据经过复核的评审结果，对投标供应商进行排序并推荐预中标供应商</w:t>
      </w:r>
      <w:r>
        <w:rPr>
          <w:rFonts w:hint="eastAsia" w:ascii="宋体" w:hAnsi="宋体"/>
        </w:rPr>
        <w:t>。</w:t>
      </w:r>
    </w:p>
    <w:p>
      <w:pPr>
        <w:wordWrap w:val="0"/>
        <w:spacing w:line="360" w:lineRule="auto"/>
        <w:ind w:firstLine="480" w:firstLineChars="200"/>
        <w:rPr>
          <w:rFonts w:hint="eastAsia" w:ascii="宋体" w:hAnsi="宋体"/>
          <w:lang w:eastAsia="zh-CN"/>
        </w:rPr>
      </w:pPr>
      <w:r>
        <w:rPr>
          <w:rFonts w:hint="eastAsia" w:ascii="宋体" w:hAnsi="宋体"/>
          <w:lang w:eastAsia="zh-CN"/>
        </w:rPr>
        <w:t>（9）定标。评标委员会将严格按照投标文件的要求和条件进行评标,根据评标办法推荐排名前四的投标人为中标候选人，其中排名第一的投标人为第一中标候选人，以此类推。招标人将确定排名前四的中标候选人为中标人并向其授予合同。排名第一的中标候选人因不可抗力或者自身原因不能履行合同，或者本文件规定应当提交履约保证金而在规定期限未能提交的，或者是评标委员会出现评标错误，被他人质疑后证实确有其事的，招标人将把合同授予排名第二的中标候选人或重新组织招标。如此类推。</w:t>
      </w:r>
    </w:p>
    <w:p>
      <w:pPr>
        <w:wordWrap w:val="0"/>
        <w:spacing w:line="360" w:lineRule="auto"/>
        <w:ind w:firstLine="480" w:firstLineChars="200"/>
        <w:rPr>
          <w:rFonts w:ascii="宋体" w:hAnsi="宋体"/>
        </w:rPr>
      </w:pPr>
      <w:r>
        <w:rPr>
          <w:rFonts w:hint="eastAsia" w:ascii="宋体" w:hAnsi="宋体"/>
          <w:lang w:eastAsia="zh-CN"/>
        </w:rPr>
        <w:t>（10）</w:t>
      </w:r>
      <w:r>
        <w:rPr>
          <w:rFonts w:ascii="宋体" w:hAnsi="宋体"/>
        </w:rPr>
        <w:t>出具评标报告。评标委员会根据全体成员签字的原始评标记录和评审结果编写评标报告。评标报告主要内容由评标委员会全体成员逐页签字确认。评标委员会成员对需要共同认定的事项存在争议的，按照少数服从多数的原则</w:t>
      </w:r>
      <w:r>
        <w:rPr>
          <w:rFonts w:hint="eastAsia" w:ascii="宋体" w:hAnsi="宋体"/>
        </w:rPr>
        <w:t>作</w:t>
      </w:r>
      <w:r>
        <w:rPr>
          <w:rFonts w:ascii="宋体" w:hAnsi="宋体"/>
        </w:rPr>
        <w:t>出结论。持不同意见的评标委员会成员应当在评标报告上签署不同意见并说明理由；只签字未写明不同意见或者只写明不同意见未说明理由的，视为无意见；不签字的，不影响评标报告的有效性。</w:t>
      </w:r>
    </w:p>
    <w:p>
      <w:pPr>
        <w:pStyle w:val="222"/>
        <w:wordWrap w:val="0"/>
        <w:spacing w:line="360" w:lineRule="auto"/>
        <w:ind w:left="0" w:firstLine="562" w:firstLineChars="200"/>
        <w:rPr>
          <w:rFonts w:ascii="宋体" w:hAnsi="宋体"/>
          <w:b/>
          <w:sz w:val="28"/>
          <w:szCs w:val="28"/>
        </w:rPr>
      </w:pPr>
      <w:r>
        <w:rPr>
          <w:rFonts w:hint="eastAsia" w:ascii="宋体" w:hAnsi="宋体"/>
          <w:b/>
          <w:sz w:val="28"/>
          <w:szCs w:val="28"/>
          <w:lang w:eastAsia="zh-CN"/>
        </w:rPr>
        <w:t>7、</w:t>
      </w:r>
      <w:r>
        <w:rPr>
          <w:rFonts w:hint="eastAsia" w:ascii="宋体" w:hAnsi="宋体"/>
          <w:b/>
          <w:sz w:val="28"/>
          <w:szCs w:val="28"/>
        </w:rPr>
        <w:t>无效投标</w:t>
      </w:r>
    </w:p>
    <w:p>
      <w:pPr>
        <w:wordWrap w:val="0"/>
        <w:spacing w:line="360" w:lineRule="auto"/>
        <w:ind w:left="562"/>
        <w:rPr>
          <w:rFonts w:ascii="宋体" w:hAnsi="宋体"/>
        </w:rPr>
      </w:pPr>
      <w:r>
        <w:rPr>
          <w:rFonts w:hint="eastAsia" w:ascii="宋体" w:hAnsi="宋体"/>
          <w:lang w:eastAsia="zh-CN"/>
        </w:rPr>
        <w:t>（1）</w:t>
      </w:r>
      <w:r>
        <w:rPr>
          <w:rFonts w:ascii="宋体" w:hAnsi="宋体"/>
        </w:rPr>
        <w:t>在商务</w:t>
      </w:r>
      <w:r>
        <w:rPr>
          <w:rFonts w:hint="eastAsia" w:ascii="宋体" w:hAnsi="宋体"/>
        </w:rPr>
        <w:t>及技术</w:t>
      </w:r>
      <w:r>
        <w:rPr>
          <w:rFonts w:ascii="宋体" w:hAnsi="宋体"/>
        </w:rPr>
        <w:t>评审过程中，有下列情形之一者，其投标</w:t>
      </w:r>
      <w:r>
        <w:rPr>
          <w:rFonts w:hint="eastAsia" w:ascii="宋体" w:hAnsi="宋体"/>
        </w:rPr>
        <w:t>无效</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1）</w:t>
      </w:r>
      <w:r>
        <w:rPr>
          <w:rFonts w:ascii="宋体" w:hAnsi="宋体"/>
        </w:rPr>
        <w:t>投标供应商或其制造商与采购机构有利害关系可能影响招标公正性的；</w:t>
      </w:r>
    </w:p>
    <w:p>
      <w:pPr>
        <w:wordWrap w:val="0"/>
        <w:spacing w:line="360" w:lineRule="auto"/>
        <w:ind w:left="480" w:leftChars="200" w:firstLine="480" w:firstLineChars="200"/>
        <w:rPr>
          <w:rFonts w:ascii="宋体" w:hAnsi="宋体"/>
        </w:rPr>
      </w:pPr>
      <w:r>
        <w:rPr>
          <w:rFonts w:hint="eastAsia" w:ascii="宋体" w:hAnsi="宋体"/>
          <w:lang w:eastAsia="zh-CN"/>
        </w:rPr>
        <w:t>2）</w:t>
      </w:r>
      <w:r>
        <w:rPr>
          <w:rFonts w:ascii="宋体" w:hAnsi="宋体"/>
        </w:rPr>
        <w:t>同一投标供应商提交两个以上不同投标方案或者投标报价的，但招标文件要求提交备选方案的除外；</w:t>
      </w:r>
    </w:p>
    <w:p>
      <w:pPr>
        <w:wordWrap w:val="0"/>
        <w:spacing w:line="360" w:lineRule="auto"/>
        <w:ind w:left="480" w:leftChars="200" w:firstLine="480" w:firstLineChars="200"/>
        <w:rPr>
          <w:rFonts w:ascii="宋体" w:hAnsi="宋体"/>
        </w:rPr>
      </w:pPr>
      <w:r>
        <w:rPr>
          <w:rFonts w:hint="eastAsia" w:ascii="宋体" w:hAnsi="宋体"/>
          <w:lang w:eastAsia="zh-CN"/>
        </w:rPr>
        <w:t>3）</w:t>
      </w:r>
      <w:r>
        <w:rPr>
          <w:rFonts w:hint="eastAsia" w:ascii="宋体" w:hAnsi="宋体"/>
        </w:rPr>
        <w:t>投标报价超出最高投标限价的；</w:t>
      </w:r>
    </w:p>
    <w:p>
      <w:pPr>
        <w:wordWrap w:val="0"/>
        <w:spacing w:line="360" w:lineRule="auto"/>
        <w:ind w:left="480" w:leftChars="200" w:firstLine="480" w:firstLineChars="200"/>
        <w:rPr>
          <w:rFonts w:ascii="宋体" w:hAnsi="宋体"/>
        </w:rPr>
      </w:pPr>
      <w:r>
        <w:rPr>
          <w:rFonts w:hint="eastAsia" w:ascii="宋体" w:hAnsi="宋体"/>
          <w:lang w:eastAsia="zh-CN"/>
        </w:rPr>
        <w:t>4）</w:t>
      </w:r>
      <w:r>
        <w:rPr>
          <w:rFonts w:hint="eastAsia" w:ascii="宋体" w:hAnsi="宋体"/>
        </w:rPr>
        <w:t>投标书和资格证明文件中有涉及本次投标报价信息的；</w:t>
      </w:r>
    </w:p>
    <w:p>
      <w:pPr>
        <w:wordWrap w:val="0"/>
        <w:spacing w:line="360" w:lineRule="auto"/>
        <w:ind w:left="480" w:leftChars="200" w:firstLine="480" w:firstLineChars="200"/>
        <w:rPr>
          <w:rFonts w:hint="eastAsia" w:ascii="宋体" w:hAnsi="宋体"/>
        </w:rPr>
      </w:pPr>
      <w:r>
        <w:rPr>
          <w:rFonts w:hint="eastAsia" w:ascii="宋体" w:hAnsi="宋体"/>
          <w:lang w:eastAsia="zh-CN"/>
        </w:rPr>
        <w:t>5）</w:t>
      </w:r>
      <w:r>
        <w:rPr>
          <w:rFonts w:hint="eastAsia" w:ascii="宋体" w:hAnsi="宋体"/>
        </w:rPr>
        <w:t>投标供应商完全复制招标文件的技术规格内容作为其投标文件中一部分的；</w:t>
      </w:r>
    </w:p>
    <w:p>
      <w:pPr>
        <w:wordWrap w:val="0"/>
        <w:spacing w:line="360" w:lineRule="auto"/>
        <w:ind w:left="480" w:leftChars="200" w:firstLine="480" w:firstLineChars="200"/>
        <w:rPr>
          <w:rFonts w:ascii="宋体" w:hAnsi="宋体"/>
        </w:rPr>
      </w:pPr>
      <w:r>
        <w:rPr>
          <w:rFonts w:hint="eastAsia" w:ascii="宋体" w:hAnsi="宋体"/>
          <w:lang w:eastAsia="zh-CN"/>
        </w:rPr>
        <w:t>6）投标供应商有串通投标、弄虚作假、行贿等违法行为的。</w:t>
      </w:r>
    </w:p>
    <w:p>
      <w:pPr>
        <w:wordWrap w:val="0"/>
        <w:spacing w:line="360" w:lineRule="auto"/>
        <w:ind w:firstLine="562" w:firstLineChars="200"/>
        <w:rPr>
          <w:rFonts w:ascii="宋体" w:hAnsi="宋体"/>
          <w:b/>
          <w:bCs/>
          <w:sz w:val="28"/>
          <w:szCs w:val="28"/>
        </w:rPr>
      </w:pPr>
      <w:r>
        <w:rPr>
          <w:rFonts w:hint="eastAsia" w:ascii="宋体" w:hAnsi="宋体"/>
          <w:b/>
          <w:bCs/>
          <w:sz w:val="28"/>
          <w:szCs w:val="28"/>
          <w:lang w:eastAsia="zh-CN"/>
        </w:rPr>
        <w:t>8.</w:t>
      </w:r>
      <w:r>
        <w:rPr>
          <w:rFonts w:hint="eastAsia" w:ascii="宋体" w:hAnsi="宋体"/>
          <w:b/>
          <w:bCs/>
          <w:sz w:val="28"/>
          <w:szCs w:val="28"/>
        </w:rPr>
        <w:t>串通投标</w:t>
      </w:r>
    </w:p>
    <w:p>
      <w:pPr>
        <w:wordWrap w:val="0"/>
        <w:spacing w:line="360" w:lineRule="auto"/>
        <w:ind w:left="480" w:leftChars="200" w:firstLine="240" w:firstLineChars="100"/>
        <w:rPr>
          <w:rFonts w:ascii="宋体" w:hAnsi="宋体"/>
        </w:rPr>
      </w:pPr>
      <w:r>
        <w:rPr>
          <w:rFonts w:hint="eastAsia" w:ascii="宋体" w:hAnsi="宋体"/>
          <w:lang w:eastAsia="zh-CN"/>
        </w:rPr>
        <w:t>（1）</w:t>
      </w:r>
      <w:r>
        <w:rPr>
          <w:rFonts w:ascii="宋体" w:hAnsi="宋体"/>
        </w:rPr>
        <w:t>有下列情形之一的，属于投标供应商相互串通投标，评标委员会应当对串标人按照无效投标处理：</w:t>
      </w:r>
    </w:p>
    <w:p>
      <w:pPr>
        <w:wordWrap w:val="0"/>
        <w:spacing w:line="360" w:lineRule="auto"/>
        <w:ind w:left="480" w:leftChars="200" w:firstLine="480" w:firstLineChars="200"/>
        <w:rPr>
          <w:rFonts w:ascii="宋体" w:hAnsi="宋体"/>
        </w:rPr>
      </w:pPr>
      <w:r>
        <w:rPr>
          <w:rFonts w:hint="eastAsia" w:ascii="宋体" w:hAnsi="宋体"/>
          <w:lang w:val="en-US" w:eastAsia="zh-CN"/>
        </w:rPr>
        <w:t>1</w:t>
      </w:r>
      <w:r>
        <w:rPr>
          <w:rFonts w:hint="eastAsia" w:ascii="宋体" w:hAnsi="宋体"/>
          <w:lang w:eastAsia="zh-CN"/>
        </w:rPr>
        <w:t>）</w:t>
      </w:r>
      <w:r>
        <w:rPr>
          <w:rFonts w:hint="eastAsia" w:ascii="宋体" w:hAnsi="宋体"/>
        </w:rPr>
        <w:t>投标供应商之间协商投标报价等实质性内容的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val="en-US" w:eastAsia="zh-CN"/>
        </w:rPr>
        <w:t>2</w:t>
      </w:r>
      <w:r>
        <w:rPr>
          <w:rFonts w:hint="eastAsia" w:ascii="宋体" w:hAnsi="宋体"/>
          <w:lang w:eastAsia="zh-CN"/>
        </w:rPr>
        <w:t>）</w:t>
      </w:r>
      <w:r>
        <w:rPr>
          <w:rFonts w:hint="eastAsia" w:ascii="宋体" w:hAnsi="宋体"/>
        </w:rPr>
        <w:t>投标供应商之间约定中标供应商的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val="en-US" w:eastAsia="zh-CN"/>
        </w:rPr>
        <w:t>3</w:t>
      </w:r>
      <w:r>
        <w:rPr>
          <w:rFonts w:hint="eastAsia" w:ascii="宋体" w:hAnsi="宋体"/>
          <w:lang w:eastAsia="zh-CN"/>
        </w:rPr>
        <w:t>）</w:t>
      </w:r>
      <w:r>
        <w:rPr>
          <w:rFonts w:hint="eastAsia" w:ascii="宋体" w:hAnsi="宋体"/>
        </w:rPr>
        <w:t>投标供应商之间约定部分放弃投标或者中标的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val="en-US" w:eastAsia="zh-CN"/>
        </w:rPr>
        <w:t>4</w:t>
      </w:r>
      <w:r>
        <w:rPr>
          <w:rFonts w:hint="eastAsia" w:ascii="宋体" w:hAnsi="宋体"/>
          <w:lang w:eastAsia="zh-CN"/>
        </w:rPr>
        <w:t>）</w:t>
      </w:r>
      <w:r>
        <w:rPr>
          <w:rFonts w:hint="eastAsia" w:ascii="宋体" w:hAnsi="宋体"/>
        </w:rPr>
        <w:t>属于同一集团成员的投标供应商按照该集团要求协同投标的</w:t>
      </w:r>
      <w:r>
        <w:rPr>
          <w:rFonts w:ascii="宋体" w:hAnsi="宋体"/>
        </w:rPr>
        <w:t>；</w:t>
      </w:r>
    </w:p>
    <w:p>
      <w:pPr>
        <w:wordWrap w:val="0"/>
        <w:spacing w:line="560" w:lineRule="exact"/>
        <w:ind w:left="480" w:leftChars="200" w:firstLine="480" w:firstLineChars="200"/>
        <w:rPr>
          <w:rFonts w:ascii="宋体" w:hAnsi="宋体"/>
        </w:rPr>
      </w:pPr>
      <w:r>
        <w:rPr>
          <w:rFonts w:hint="eastAsia" w:ascii="宋体" w:hAnsi="宋体"/>
          <w:lang w:val="en-US" w:eastAsia="zh-CN"/>
        </w:rPr>
        <w:t>5</w:t>
      </w:r>
      <w:r>
        <w:rPr>
          <w:rFonts w:hint="eastAsia" w:ascii="宋体" w:hAnsi="宋体"/>
          <w:lang w:eastAsia="zh-CN"/>
        </w:rPr>
        <w:t>）</w:t>
      </w:r>
      <w:r>
        <w:rPr>
          <w:rFonts w:hint="eastAsia" w:ascii="宋体" w:hAnsi="宋体"/>
        </w:rPr>
        <w:t>投标供应商之间为谋取中标或者排斥特定投标供应商而采取其他联合行动的；</w:t>
      </w:r>
    </w:p>
    <w:p>
      <w:pPr>
        <w:wordWrap w:val="0"/>
        <w:spacing w:line="360" w:lineRule="auto"/>
        <w:ind w:left="480" w:leftChars="200" w:firstLine="480" w:firstLineChars="200"/>
        <w:rPr>
          <w:rFonts w:ascii="宋体" w:hAnsi="宋体"/>
        </w:rPr>
      </w:pPr>
      <w:r>
        <w:rPr>
          <w:rFonts w:hint="eastAsia" w:ascii="宋体" w:hAnsi="宋体"/>
          <w:lang w:val="en-US" w:eastAsia="zh-CN"/>
        </w:rPr>
        <w:t>6</w:t>
      </w:r>
      <w:r>
        <w:rPr>
          <w:rFonts w:hint="eastAsia" w:ascii="宋体" w:hAnsi="宋体"/>
          <w:lang w:eastAsia="zh-CN"/>
        </w:rPr>
        <w:t>）</w:t>
      </w:r>
      <w:r>
        <w:rPr>
          <w:rFonts w:hint="eastAsia" w:ascii="宋体" w:hAnsi="宋体"/>
        </w:rPr>
        <w:t>国家法律法规和</w:t>
      </w:r>
      <w:r>
        <w:rPr>
          <w:rFonts w:hint="eastAsia" w:ascii="宋体" w:hAnsi="宋体"/>
          <w:lang w:eastAsia="zh-CN"/>
        </w:rPr>
        <w:t>监狱</w:t>
      </w:r>
      <w:r>
        <w:rPr>
          <w:rFonts w:hint="eastAsia" w:ascii="宋体" w:hAnsi="宋体"/>
        </w:rPr>
        <w:t>法规规定的其他情形。</w:t>
      </w:r>
    </w:p>
    <w:p>
      <w:pPr>
        <w:wordWrap w:val="0"/>
        <w:spacing w:line="360" w:lineRule="auto"/>
        <w:ind w:left="480" w:leftChars="200" w:firstLine="480" w:firstLineChars="200"/>
        <w:rPr>
          <w:rFonts w:ascii="宋体" w:hAnsi="宋体"/>
        </w:rPr>
      </w:pPr>
      <w:r>
        <w:rPr>
          <w:rFonts w:hint="eastAsia" w:ascii="宋体" w:hAnsi="宋体"/>
          <w:lang w:eastAsia="zh-CN"/>
        </w:rPr>
        <w:t>（2）</w:t>
      </w:r>
      <w:r>
        <w:rPr>
          <w:rFonts w:ascii="宋体" w:hAnsi="宋体"/>
        </w:rPr>
        <w:t>有下列情形之一的，视为投标供应商相互串通投标，评标委员会应当对串标人按照无效投标处理：</w:t>
      </w:r>
    </w:p>
    <w:p>
      <w:pPr>
        <w:wordWrap w:val="0"/>
        <w:spacing w:line="360" w:lineRule="auto"/>
        <w:ind w:left="480" w:leftChars="200" w:firstLine="480" w:firstLineChars="200"/>
        <w:rPr>
          <w:rFonts w:ascii="宋体" w:hAnsi="宋体"/>
        </w:rPr>
      </w:pPr>
      <w:r>
        <w:rPr>
          <w:rFonts w:hint="eastAsia" w:ascii="宋体" w:hAnsi="宋体"/>
          <w:lang w:eastAsia="zh-CN"/>
        </w:rPr>
        <w:t>1）</w:t>
      </w:r>
      <w:r>
        <w:rPr>
          <w:rFonts w:hint="eastAsia" w:ascii="宋体" w:hAnsi="宋体"/>
        </w:rPr>
        <w:t>不同投标供应商的投标文件由同一单位或者个人编制的，以及投标使用同一加密锁或具有相同</w:t>
      </w:r>
      <w:r>
        <w:rPr>
          <w:rFonts w:hint="eastAsia" w:ascii="宋体" w:hAnsi="宋体"/>
          <w:lang w:eastAsia="zh-CN"/>
        </w:rPr>
        <w:t>IP</w:t>
      </w:r>
      <w:r>
        <w:rPr>
          <w:rFonts w:hint="eastAsia" w:ascii="宋体" w:hAnsi="宋体"/>
        </w:rPr>
        <w:t>地址的；</w:t>
      </w:r>
    </w:p>
    <w:p>
      <w:pPr>
        <w:wordWrap w:val="0"/>
        <w:spacing w:line="360" w:lineRule="auto"/>
        <w:ind w:left="480" w:leftChars="200" w:firstLine="480" w:firstLineChars="200"/>
        <w:rPr>
          <w:rFonts w:ascii="宋体" w:hAnsi="宋体"/>
        </w:rPr>
      </w:pPr>
      <w:r>
        <w:rPr>
          <w:rFonts w:hint="eastAsia" w:ascii="宋体" w:hAnsi="宋体"/>
          <w:lang w:eastAsia="zh-CN"/>
        </w:rPr>
        <w:t>2）</w:t>
      </w:r>
      <w:r>
        <w:rPr>
          <w:rFonts w:hint="eastAsia" w:ascii="宋体" w:hAnsi="宋体"/>
        </w:rPr>
        <w:t>不同投标供应商委托同一单位或者个人办理投标事宜的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3）</w:t>
      </w:r>
      <w:r>
        <w:rPr>
          <w:rFonts w:hint="eastAsia" w:ascii="宋体" w:hAnsi="宋体"/>
        </w:rPr>
        <w:t>不同投标供应商的投标文件载明的项目管理成员为同一人的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4）</w:t>
      </w:r>
      <w:r>
        <w:rPr>
          <w:rFonts w:hint="eastAsia" w:ascii="宋体" w:hAnsi="宋体"/>
        </w:rPr>
        <w:t>不同投标供应商的投标文件异常一致或者投标呈规律性差异的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5）</w:t>
      </w:r>
      <w:r>
        <w:rPr>
          <w:rFonts w:hint="eastAsia" w:ascii="宋体" w:hAnsi="宋体"/>
        </w:rPr>
        <w:t>不同投标供应商的投标文件相互混装、签章互用的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6）</w:t>
      </w:r>
      <w:r>
        <w:rPr>
          <w:rFonts w:hint="eastAsia" w:ascii="宋体" w:hAnsi="宋体"/>
        </w:rPr>
        <w:t>不同投标供应商的投标保证金从同一单位或者个人的账户转出的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7）</w:t>
      </w:r>
      <w:r>
        <w:rPr>
          <w:rFonts w:hint="eastAsia" w:ascii="宋体" w:hAnsi="宋体"/>
        </w:rPr>
        <w:t>国家法律法规和</w:t>
      </w:r>
      <w:r>
        <w:rPr>
          <w:rFonts w:hint="eastAsia" w:ascii="宋体" w:hAnsi="宋体"/>
          <w:lang w:eastAsia="zh-CN"/>
        </w:rPr>
        <w:t>监狱</w:t>
      </w:r>
      <w:r>
        <w:rPr>
          <w:rFonts w:hint="eastAsia" w:ascii="宋体" w:hAnsi="宋体"/>
        </w:rPr>
        <w:t>法规规定的其他情形</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（3）</w:t>
      </w:r>
      <w:r>
        <w:rPr>
          <w:rFonts w:ascii="宋体" w:hAnsi="宋体"/>
        </w:rPr>
        <w:t>有下列情形之一的，属于采购机构</w:t>
      </w:r>
      <w:r>
        <w:rPr>
          <w:rFonts w:hint="eastAsia" w:ascii="宋体" w:hAnsi="宋体"/>
        </w:rPr>
        <w:t>（采购单位）</w:t>
      </w:r>
      <w:r>
        <w:rPr>
          <w:rFonts w:ascii="宋体" w:hAnsi="宋体"/>
        </w:rPr>
        <w:t>与投标供应商串通投标，评标委员会应当对串标投标供应商按照无效投标处理：</w:t>
      </w:r>
    </w:p>
    <w:p>
      <w:pPr>
        <w:wordWrap w:val="0"/>
        <w:spacing w:line="360" w:lineRule="auto"/>
        <w:ind w:left="480" w:leftChars="200" w:firstLine="480" w:firstLineChars="200"/>
        <w:rPr>
          <w:rFonts w:ascii="宋体" w:hAnsi="宋体"/>
        </w:rPr>
      </w:pPr>
      <w:r>
        <w:rPr>
          <w:rFonts w:hint="eastAsia" w:ascii="宋体" w:hAnsi="宋体"/>
          <w:lang w:eastAsia="zh-CN"/>
        </w:rPr>
        <w:t>1）</w:t>
      </w:r>
      <w:r>
        <w:rPr>
          <w:rFonts w:hint="eastAsia" w:ascii="宋体" w:hAnsi="宋体"/>
        </w:rPr>
        <w:t>在开标前开启投标文件并将有关信息泄露给其他投标供应商的；</w:t>
      </w:r>
    </w:p>
    <w:p>
      <w:pPr>
        <w:wordWrap w:val="0"/>
        <w:spacing w:line="360" w:lineRule="auto"/>
        <w:ind w:left="480" w:leftChars="200" w:firstLine="480" w:firstLineChars="200"/>
        <w:rPr>
          <w:rFonts w:ascii="宋体" w:hAnsi="宋体"/>
        </w:rPr>
      </w:pPr>
      <w:r>
        <w:rPr>
          <w:rFonts w:hint="eastAsia" w:ascii="宋体" w:hAnsi="宋体"/>
          <w:lang w:eastAsia="zh-CN"/>
        </w:rPr>
        <w:t>2）</w:t>
      </w:r>
      <w:r>
        <w:rPr>
          <w:rFonts w:hint="eastAsia" w:ascii="宋体" w:hAnsi="宋体"/>
        </w:rPr>
        <w:t>直接或者间接向投标供应商泄露评审委员会成员信息的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3）</w:t>
      </w:r>
      <w:r>
        <w:rPr>
          <w:rFonts w:hint="eastAsia" w:ascii="宋体" w:hAnsi="宋体"/>
        </w:rPr>
        <w:t>明示或者暗示投标供应商压低或者抬高投标价格的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4）</w:t>
      </w:r>
      <w:r>
        <w:rPr>
          <w:rFonts w:hint="eastAsia" w:ascii="宋体" w:hAnsi="宋体"/>
        </w:rPr>
        <w:t>授意投标供应商撤换、修改投标文件的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5）</w:t>
      </w:r>
      <w:r>
        <w:rPr>
          <w:rFonts w:hint="eastAsia" w:ascii="宋体" w:hAnsi="宋体"/>
        </w:rPr>
        <w:t>明示或者暗示投标供应商为特定投标供应商中标提供方便的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6）</w:t>
      </w:r>
      <w:r>
        <w:rPr>
          <w:rFonts w:hint="eastAsia" w:ascii="宋体" w:hAnsi="宋体"/>
        </w:rPr>
        <w:t>明示或者暗示评审委员会为特定投标供应商中标提供方便的；</w:t>
      </w:r>
    </w:p>
    <w:p>
      <w:pPr>
        <w:wordWrap w:val="0"/>
        <w:spacing w:line="360" w:lineRule="auto"/>
        <w:ind w:left="480" w:leftChars="200" w:firstLine="480" w:firstLineChars="200"/>
        <w:rPr>
          <w:rFonts w:ascii="宋体" w:hAnsi="宋体"/>
        </w:rPr>
      </w:pPr>
      <w:r>
        <w:rPr>
          <w:rFonts w:hint="eastAsia" w:ascii="宋体" w:hAnsi="宋体"/>
          <w:lang w:eastAsia="zh-CN"/>
        </w:rPr>
        <w:t>7）</w:t>
      </w:r>
      <w:r>
        <w:rPr>
          <w:rFonts w:hint="eastAsia" w:ascii="宋体" w:hAnsi="宋体"/>
        </w:rPr>
        <w:t>在开标（报价）前与投标供应商就采购项目进行实质性谈判的；</w:t>
      </w:r>
    </w:p>
    <w:p>
      <w:pPr>
        <w:wordWrap w:val="0"/>
        <w:spacing w:line="360" w:lineRule="auto"/>
        <w:ind w:left="480" w:leftChars="200" w:firstLine="480" w:firstLineChars="200"/>
        <w:rPr>
          <w:rFonts w:ascii="宋体" w:hAnsi="宋体"/>
        </w:rPr>
      </w:pPr>
      <w:r>
        <w:rPr>
          <w:rFonts w:hint="eastAsia" w:ascii="宋体" w:hAnsi="宋体"/>
          <w:lang w:eastAsia="zh-CN"/>
        </w:rPr>
        <w:t>8）</w:t>
      </w:r>
      <w:r>
        <w:rPr>
          <w:rFonts w:hint="eastAsia" w:ascii="宋体" w:hAnsi="宋体"/>
        </w:rPr>
        <w:t>与投标供应商为谋求特定投标供应商中标而采取其他串通行为的；</w:t>
      </w:r>
    </w:p>
    <w:p>
      <w:pPr>
        <w:wordWrap w:val="0"/>
        <w:spacing w:line="360" w:lineRule="auto"/>
        <w:ind w:left="480" w:leftChars="200" w:firstLine="480" w:firstLineChars="200"/>
        <w:rPr>
          <w:rFonts w:ascii="宋体" w:hAnsi="宋体"/>
        </w:rPr>
      </w:pPr>
      <w:r>
        <w:rPr>
          <w:rFonts w:hint="eastAsia" w:ascii="宋体" w:hAnsi="宋体"/>
          <w:lang w:eastAsia="zh-CN"/>
        </w:rPr>
        <w:t>9）</w:t>
      </w:r>
      <w:r>
        <w:rPr>
          <w:rFonts w:hint="eastAsia" w:ascii="宋体" w:hAnsi="宋体"/>
        </w:rPr>
        <w:t>国家法律法规和</w:t>
      </w:r>
      <w:r>
        <w:rPr>
          <w:rFonts w:hint="eastAsia" w:ascii="宋体" w:hAnsi="宋体"/>
          <w:lang w:eastAsia="zh-CN"/>
        </w:rPr>
        <w:t>监狱</w:t>
      </w:r>
      <w:r>
        <w:rPr>
          <w:rFonts w:hint="eastAsia" w:ascii="宋体" w:hAnsi="宋体"/>
        </w:rPr>
        <w:t>法规规定的其他情形。</w:t>
      </w:r>
    </w:p>
    <w:p>
      <w:pPr>
        <w:wordWrap w:val="0"/>
        <w:spacing w:line="360" w:lineRule="auto"/>
        <w:ind w:left="480" w:leftChars="200" w:firstLine="480" w:firstLineChars="200"/>
        <w:rPr>
          <w:rFonts w:ascii="宋体" w:hAnsi="宋体"/>
        </w:rPr>
      </w:pPr>
      <w:r>
        <w:rPr>
          <w:rFonts w:hint="eastAsia" w:ascii="宋体" w:hAnsi="宋体"/>
          <w:lang w:eastAsia="zh-CN"/>
        </w:rPr>
        <w:t>（4）</w:t>
      </w:r>
      <w:r>
        <w:rPr>
          <w:rFonts w:ascii="宋体" w:hAnsi="宋体"/>
        </w:rPr>
        <w:t>有下列情形之一的，属于虚假投标，评标委员会应当对投标供应商按照无效投标处理：</w:t>
      </w:r>
    </w:p>
    <w:p>
      <w:pPr>
        <w:wordWrap w:val="0"/>
        <w:spacing w:line="360" w:lineRule="auto"/>
        <w:ind w:left="480" w:leftChars="200" w:firstLine="480" w:firstLineChars="200"/>
        <w:rPr>
          <w:rFonts w:ascii="宋体" w:hAnsi="宋体"/>
        </w:rPr>
      </w:pPr>
      <w:r>
        <w:rPr>
          <w:rFonts w:hint="eastAsia" w:ascii="宋体" w:hAnsi="宋体"/>
          <w:lang w:eastAsia="zh-CN"/>
        </w:rPr>
        <w:t>1）</w:t>
      </w:r>
      <w:r>
        <w:rPr>
          <w:rFonts w:hint="eastAsia" w:ascii="宋体" w:hAnsi="宋体"/>
        </w:rPr>
        <w:t>使用通过受让或者租借等方式获取资格、资质证书的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2）</w:t>
      </w:r>
      <w:r>
        <w:rPr>
          <w:rFonts w:hint="eastAsia" w:ascii="宋体" w:hAnsi="宋体"/>
        </w:rPr>
        <w:t>使用伪造的证书、证件或者印章的</w:t>
      </w:r>
      <w:r>
        <w:rPr>
          <w:rFonts w:ascii="宋体" w:hAnsi="宋体"/>
        </w:rPr>
        <w:t>；</w:t>
      </w:r>
    </w:p>
    <w:p>
      <w:pPr>
        <w:wordWrap w:val="0"/>
        <w:spacing w:line="360" w:lineRule="auto"/>
        <w:ind w:left="480" w:leftChars="200" w:firstLine="480" w:firstLineChars="200"/>
        <w:rPr>
          <w:rFonts w:ascii="宋体" w:hAnsi="宋体"/>
        </w:rPr>
      </w:pPr>
      <w:r>
        <w:rPr>
          <w:rFonts w:hint="eastAsia" w:ascii="宋体" w:hAnsi="宋体"/>
          <w:lang w:eastAsia="zh-CN"/>
        </w:rPr>
        <w:t>3）</w:t>
      </w:r>
      <w:r>
        <w:rPr>
          <w:rFonts w:hint="eastAsia" w:ascii="宋体" w:hAnsi="宋体"/>
        </w:rPr>
        <w:t>提供虚假的信用状况、财务状况、检测报告、业绩或者发票的</w:t>
      </w:r>
      <w:r>
        <w:rPr>
          <w:rFonts w:ascii="宋体" w:hAnsi="宋体"/>
        </w:rPr>
        <w:t>；</w:t>
      </w:r>
    </w:p>
    <w:p>
      <w:pPr>
        <w:wordWrap w:val="0"/>
        <w:spacing w:line="560" w:lineRule="exact"/>
        <w:ind w:left="480" w:leftChars="200" w:firstLine="480" w:firstLineChars="200"/>
        <w:rPr>
          <w:rFonts w:ascii="宋体" w:hAnsi="宋体"/>
        </w:rPr>
      </w:pPr>
      <w:r>
        <w:rPr>
          <w:rFonts w:hint="eastAsia" w:ascii="宋体" w:hAnsi="宋体"/>
          <w:lang w:eastAsia="zh-CN"/>
        </w:rPr>
        <w:t>4）</w:t>
      </w:r>
      <w:r>
        <w:rPr>
          <w:rFonts w:hint="eastAsia" w:ascii="宋体" w:hAnsi="宋体"/>
        </w:rPr>
        <w:t>提供虚假的项目负责人或者主要技术人员简历、劳动关系证明的；</w:t>
      </w:r>
    </w:p>
    <w:p>
      <w:pPr>
        <w:wordWrap w:val="0"/>
        <w:spacing w:line="560" w:lineRule="exact"/>
        <w:ind w:left="480" w:leftChars="200" w:firstLine="480" w:firstLineChars="200"/>
        <w:rPr>
          <w:rFonts w:ascii="宋体" w:hAnsi="宋体"/>
        </w:rPr>
      </w:pPr>
      <w:r>
        <w:rPr>
          <w:rFonts w:hint="eastAsia" w:ascii="宋体" w:hAnsi="宋体"/>
          <w:lang w:eastAsia="zh-CN"/>
        </w:rPr>
        <w:t>5）</w:t>
      </w:r>
      <w:r>
        <w:rPr>
          <w:rFonts w:hint="eastAsia" w:ascii="宋体" w:hAnsi="宋体"/>
        </w:rPr>
        <w:t>提供虚假承诺的</w:t>
      </w:r>
      <w:r>
        <w:rPr>
          <w:rFonts w:ascii="宋体" w:hAnsi="宋体"/>
        </w:rPr>
        <w:t>；</w:t>
      </w:r>
    </w:p>
    <w:p>
      <w:pPr>
        <w:wordWrap w:val="0"/>
        <w:spacing w:line="560" w:lineRule="exact"/>
        <w:ind w:left="480" w:leftChars="200" w:firstLine="480" w:firstLineChars="200"/>
        <w:rPr>
          <w:rFonts w:ascii="宋体" w:hAnsi="宋体"/>
        </w:rPr>
      </w:pPr>
      <w:r>
        <w:rPr>
          <w:rFonts w:hint="eastAsia" w:ascii="宋体" w:hAnsi="宋体"/>
          <w:lang w:eastAsia="zh-CN"/>
        </w:rPr>
        <w:t>6）</w:t>
      </w:r>
      <w:r>
        <w:rPr>
          <w:rFonts w:hint="eastAsia" w:ascii="宋体" w:hAnsi="宋体"/>
        </w:rPr>
        <w:t>提供虚假样品或者借用、冒用其他供应商样品的</w:t>
      </w:r>
      <w:r>
        <w:rPr>
          <w:rFonts w:ascii="宋体" w:hAnsi="宋体"/>
        </w:rPr>
        <w:t>；</w:t>
      </w:r>
    </w:p>
    <w:p>
      <w:pPr>
        <w:wordWrap w:val="0"/>
        <w:spacing w:line="560" w:lineRule="exact"/>
        <w:ind w:left="480" w:leftChars="200" w:firstLine="480" w:firstLineChars="200"/>
        <w:rPr>
          <w:rFonts w:ascii="宋体" w:hAnsi="宋体"/>
        </w:rPr>
      </w:pPr>
      <w:r>
        <w:rPr>
          <w:rFonts w:hint="eastAsia" w:ascii="宋体" w:hAnsi="宋体"/>
          <w:lang w:eastAsia="zh-CN"/>
        </w:rPr>
        <w:t>7）</w:t>
      </w:r>
      <w:r>
        <w:rPr>
          <w:rFonts w:hint="eastAsia" w:ascii="宋体" w:hAnsi="宋体"/>
        </w:rPr>
        <w:t>存在其他弄虚作假行为的；</w:t>
      </w:r>
    </w:p>
    <w:p>
      <w:pPr>
        <w:wordWrap w:val="0"/>
        <w:spacing w:line="360" w:lineRule="auto"/>
        <w:ind w:left="480" w:leftChars="200" w:firstLine="480" w:firstLineChars="200"/>
        <w:rPr>
          <w:rFonts w:ascii="宋体" w:hAnsi="宋体"/>
        </w:rPr>
      </w:pPr>
      <w:r>
        <w:rPr>
          <w:rFonts w:hint="eastAsia" w:ascii="宋体" w:hAnsi="宋体"/>
          <w:lang w:eastAsia="zh-CN"/>
        </w:rPr>
        <w:t>8）</w:t>
      </w:r>
      <w:r>
        <w:rPr>
          <w:rFonts w:hint="eastAsia" w:ascii="宋体" w:hAnsi="宋体"/>
        </w:rPr>
        <w:t>国家法律法规和</w:t>
      </w:r>
      <w:r>
        <w:rPr>
          <w:rFonts w:hint="eastAsia" w:ascii="宋体" w:hAnsi="宋体"/>
          <w:lang w:eastAsia="zh-CN"/>
        </w:rPr>
        <w:t>监狱</w:t>
      </w:r>
      <w:r>
        <w:rPr>
          <w:rFonts w:hint="eastAsia" w:ascii="宋体" w:hAnsi="宋体"/>
        </w:rPr>
        <w:t>法规规定的其他情形</w:t>
      </w:r>
      <w:r>
        <w:rPr>
          <w:rFonts w:ascii="宋体" w:hAnsi="宋体"/>
        </w:rPr>
        <w:t>。</w:t>
      </w:r>
    </w:p>
    <w:p>
      <w:pPr>
        <w:wordWrap w:val="0"/>
        <w:spacing w:line="360" w:lineRule="auto"/>
        <w:ind w:left="560" w:firstLine="281" w:firstLineChars="100"/>
        <w:rPr>
          <w:rFonts w:ascii="宋体" w:hAnsi="宋体"/>
          <w:b/>
          <w:bCs/>
          <w:sz w:val="28"/>
          <w:szCs w:val="28"/>
        </w:rPr>
      </w:pPr>
      <w:r>
        <w:rPr>
          <w:rFonts w:hint="eastAsia" w:ascii="宋体" w:hAnsi="宋体"/>
          <w:b/>
          <w:bCs/>
          <w:sz w:val="28"/>
          <w:szCs w:val="28"/>
          <w:lang w:eastAsia="zh-CN"/>
        </w:rPr>
        <w:t>9.</w:t>
      </w:r>
      <w:r>
        <w:rPr>
          <w:rFonts w:hint="eastAsia" w:ascii="宋体" w:hAnsi="宋体"/>
          <w:b/>
          <w:bCs/>
          <w:sz w:val="28"/>
          <w:szCs w:val="28"/>
        </w:rPr>
        <w:t>废标</w:t>
      </w:r>
    </w:p>
    <w:p>
      <w:pPr>
        <w:wordWrap w:val="0"/>
        <w:spacing w:line="360" w:lineRule="auto"/>
        <w:ind w:left="560"/>
        <w:rPr>
          <w:rFonts w:ascii="宋体" w:hAnsi="宋体"/>
        </w:rPr>
      </w:pPr>
      <w:r>
        <w:rPr>
          <w:rFonts w:ascii="宋体" w:hAnsi="宋体"/>
        </w:rPr>
        <w:t>有下列情形之一的，按照废标处理：</w:t>
      </w:r>
    </w:p>
    <w:p>
      <w:pPr>
        <w:tabs>
          <w:tab w:val="left" w:pos="0"/>
        </w:tabs>
        <w:wordWrap w:val="0"/>
        <w:spacing w:line="360" w:lineRule="auto"/>
        <w:ind w:left="480" w:leftChars="200" w:firstLine="480" w:firstLineChars="200"/>
        <w:rPr>
          <w:rFonts w:ascii="宋体" w:hAnsi="宋体"/>
        </w:rPr>
      </w:pPr>
      <w:r>
        <w:rPr>
          <w:rFonts w:hint="eastAsia" w:ascii="宋体" w:hAnsi="宋体"/>
          <w:lang w:eastAsia="zh-CN"/>
        </w:rPr>
        <w:t>（1）</w:t>
      </w:r>
      <w:r>
        <w:rPr>
          <w:rFonts w:ascii="宋体" w:hAnsi="宋体"/>
        </w:rPr>
        <w:t>出现影响采购公平公正的违法、违规行为的；</w:t>
      </w:r>
    </w:p>
    <w:p>
      <w:pPr>
        <w:tabs>
          <w:tab w:val="left" w:pos="0"/>
        </w:tabs>
        <w:wordWrap w:val="0"/>
        <w:spacing w:line="360" w:lineRule="auto"/>
        <w:ind w:left="480" w:leftChars="200" w:firstLine="480" w:firstLineChars="200"/>
        <w:rPr>
          <w:rFonts w:ascii="宋体" w:hAnsi="宋体"/>
        </w:rPr>
      </w:pPr>
      <w:r>
        <w:rPr>
          <w:rFonts w:hint="eastAsia" w:ascii="宋体" w:hAnsi="宋体"/>
          <w:lang w:eastAsia="zh-CN"/>
        </w:rPr>
        <w:t>（2）</w:t>
      </w:r>
      <w:r>
        <w:rPr>
          <w:rFonts w:ascii="宋体" w:hAnsi="宋体"/>
        </w:rPr>
        <w:t>因重大变故，取消采购任务的。</w:t>
      </w:r>
    </w:p>
    <w:p>
      <w:pPr>
        <w:pStyle w:val="4"/>
        <w:spacing w:after="240"/>
        <w:rPr>
          <w:rFonts w:hint="eastAsia"/>
          <w:i w:val="0"/>
          <w:lang w:eastAsia="zh-CN"/>
        </w:rPr>
      </w:pPr>
      <w:r>
        <w:rPr>
          <w:rFonts w:hint="eastAsia"/>
          <w:i w:val="0"/>
          <w:lang w:eastAsia="zh-CN"/>
        </w:rPr>
        <w:br w:type="page"/>
      </w:r>
      <w:bookmarkStart w:id="12" w:name="_Toc3439"/>
      <w:r>
        <w:rPr>
          <w:rFonts w:hint="eastAsia"/>
          <w:i w:val="0"/>
          <w:lang w:eastAsia="zh-CN"/>
        </w:rPr>
        <w:t>附表1资格性审查表</w:t>
      </w:r>
      <w:bookmarkEnd w:id="12"/>
    </w:p>
    <w:p>
      <w:pPr>
        <w:rPr>
          <w:rFonts w:hint="eastAsia" w:ascii="宋体" w:hAnsi="宋体" w:cs="宋体"/>
          <w:lang w:eastAsia="zh-CN"/>
        </w:rPr>
      </w:pPr>
      <w:r>
        <w:rPr>
          <w:rFonts w:hint="eastAsia" w:ascii="宋体" w:hAnsi="宋体"/>
          <w:lang w:eastAsia="zh-CN"/>
        </w:rPr>
        <w:t>项目名称</w:t>
      </w:r>
      <w:r>
        <w:rPr>
          <w:rFonts w:hint="eastAsia" w:ascii="宋体" w:hAnsi="宋体"/>
          <w:kern w:val="28"/>
          <w:lang w:eastAsia="zh-CN"/>
        </w:rPr>
        <w:t>：</w:t>
      </w:r>
    </w:p>
    <w:p>
      <w:pPr>
        <w:rPr>
          <w:rFonts w:hint="eastAsia" w:ascii="宋体" w:hAnsi="宋体" w:cs="宋体"/>
          <w:spacing w:val="15"/>
          <w:lang w:eastAsia="zh-CN"/>
        </w:rPr>
      </w:pPr>
      <w:r>
        <w:rPr>
          <w:rFonts w:hint="eastAsia" w:ascii="宋体" w:hAnsi="宋体"/>
          <w:lang w:eastAsia="zh-CN"/>
        </w:rPr>
        <w:t>项目编号：</w:t>
      </w:r>
    </w:p>
    <w:tbl>
      <w:tblPr>
        <w:tblStyle w:val="52"/>
        <w:tblW w:w="9736" w:type="dxa"/>
        <w:jc w:val="center"/>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698"/>
        <w:gridCol w:w="2800"/>
        <w:gridCol w:w="3135"/>
        <w:gridCol w:w="1034"/>
        <w:gridCol w:w="1034"/>
        <w:gridCol w:w="10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575"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bCs/>
                <w:sz w:val="20"/>
                <w:szCs w:val="20"/>
              </w:rPr>
              <w:t>序号</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bCs/>
                <w:sz w:val="20"/>
                <w:szCs w:val="20"/>
              </w:rPr>
              <w:t>审查项目</w:t>
            </w:r>
          </w:p>
        </w:tc>
        <w:tc>
          <w:tcPr>
            <w:tcW w:w="31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bCs/>
                <w:sz w:val="20"/>
                <w:szCs w:val="20"/>
              </w:rPr>
              <w:t>评审内容</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sz w:val="20"/>
                <w:szCs w:val="20"/>
              </w:rPr>
              <w:t>投标人1</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sz w:val="20"/>
                <w:szCs w:val="20"/>
              </w:rPr>
              <w:t>投标人2</w:t>
            </w: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sz w:val="20"/>
                <w:szCs w:val="20"/>
              </w:rPr>
              <w:t>投标人3</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sz w:val="20"/>
                <w:szCs w:val="20"/>
              </w:rPr>
              <w:t>1</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sz w:val="20"/>
                <w:szCs w:val="20"/>
                <w:lang w:eastAsia="zh-CN"/>
              </w:rPr>
              <w:t>在中华人民共和国境内注册、具有独立承担民事责任能力的法人</w:t>
            </w:r>
          </w:p>
        </w:tc>
        <w:tc>
          <w:tcPr>
            <w:tcW w:w="313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before="0" w:beforeAutospacing="0" w:after="0" w:afterAutospacing="0"/>
              <w:ind w:left="0" w:right="0"/>
              <w:jc w:val="center"/>
              <w:rPr>
                <w:rFonts w:hint="eastAsia" w:ascii="宋体" w:hAnsi="宋体" w:cs="宋体"/>
                <w:kern w:val="28"/>
                <w:sz w:val="20"/>
                <w:szCs w:val="20"/>
                <w:lang w:eastAsia="zh-CN"/>
              </w:rPr>
            </w:pPr>
            <w:r>
              <w:rPr>
                <w:rFonts w:hint="eastAsia" w:ascii="宋体" w:hAnsi="宋体" w:cs="宋体"/>
                <w:sz w:val="20"/>
                <w:szCs w:val="20"/>
                <w:lang w:eastAsia="zh-CN"/>
              </w:rPr>
              <w:t>提供营业执照复印件。</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2043"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sz w:val="20"/>
                <w:szCs w:val="20"/>
              </w:rPr>
              <w:t>2</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lang w:eastAsia="zh-CN"/>
              </w:rPr>
              <w:t>具有良好的商业信誉和健全的财务会计制度</w:t>
            </w:r>
          </w:p>
        </w:tc>
        <w:tc>
          <w:tcPr>
            <w:tcW w:w="313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before="0" w:beforeAutospacing="0" w:after="0" w:afterAutospacing="0"/>
              <w:ind w:left="0" w:right="0"/>
              <w:jc w:val="center"/>
              <w:rPr>
                <w:rFonts w:hint="eastAsia" w:ascii="宋体" w:hAnsi="宋体" w:cs="宋体"/>
                <w:kern w:val="28"/>
                <w:sz w:val="20"/>
                <w:szCs w:val="20"/>
                <w:lang w:eastAsia="zh-CN"/>
              </w:rPr>
            </w:pPr>
            <w:r>
              <w:rPr>
                <w:rFonts w:hint="eastAsia" w:ascii="宋体" w:hAnsi="宋体" w:cs="宋体"/>
                <w:sz w:val="20"/>
                <w:szCs w:val="20"/>
                <w:lang w:eastAsia="zh-CN"/>
              </w:rPr>
              <w:t>提供2023年任意1个月或季度的财务报表复印件加盖公章或承诺书。</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301"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lang w:eastAsia="zh-CN"/>
              </w:rPr>
              <w:t>3</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rPr>
              <w:t>具有履行合同所必需的设备和专业技术能力</w:t>
            </w:r>
          </w:p>
        </w:tc>
        <w:tc>
          <w:tcPr>
            <w:tcW w:w="313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rPr>
              <w:t>提供</w:t>
            </w:r>
            <w:r>
              <w:rPr>
                <w:rFonts w:hint="eastAsia" w:ascii="宋体" w:hAnsi="宋体" w:cs="宋体"/>
                <w:sz w:val="20"/>
                <w:szCs w:val="20"/>
                <w:lang w:eastAsia="zh-CN"/>
              </w:rPr>
              <w:t>承诺函</w:t>
            </w:r>
            <w:r>
              <w:rPr>
                <w:rFonts w:hint="default" w:ascii="宋体" w:hAnsi="宋体" w:cs="宋体"/>
                <w:sz w:val="20"/>
                <w:szCs w:val="20"/>
              </w:rPr>
              <w:t>加盖公章</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sz w:val="20"/>
                <w:szCs w:val="20"/>
                <w:lang w:eastAsia="zh-CN"/>
              </w:rPr>
              <w:t>4</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sz w:val="20"/>
                <w:szCs w:val="20"/>
                <w:lang w:eastAsia="zh-CN"/>
              </w:rPr>
              <w:t>具有依法缴纳税收和社会保障资金的良好记录</w:t>
            </w:r>
          </w:p>
        </w:tc>
        <w:tc>
          <w:tcPr>
            <w:tcW w:w="313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before="0" w:beforeAutospacing="0" w:after="0" w:afterAutospacing="0"/>
              <w:ind w:left="0" w:right="0"/>
              <w:jc w:val="center"/>
              <w:rPr>
                <w:rFonts w:hint="eastAsia" w:ascii="宋体" w:hAnsi="宋体" w:cs="宋体"/>
                <w:kern w:val="28"/>
                <w:sz w:val="20"/>
                <w:szCs w:val="20"/>
                <w:lang w:eastAsia="zh-CN"/>
              </w:rPr>
            </w:pPr>
            <w:r>
              <w:rPr>
                <w:rFonts w:hint="eastAsia" w:ascii="宋体" w:hAnsi="宋体" w:cs="宋体"/>
                <w:sz w:val="20"/>
                <w:szCs w:val="20"/>
                <w:lang w:eastAsia="zh-CN"/>
              </w:rPr>
              <w:t>提供2023年至今任意1个月的缴纳税收和社保记录凭证复印件加盖公章或承诺书。</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lang w:eastAsia="zh-CN"/>
              </w:rPr>
              <w:t>5</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lang w:eastAsia="zh-CN"/>
              </w:rPr>
              <w:t>参加政府采购活动前三年内（成立不足三年的从成立之日起算），在经营活动中没有重大违法记录</w:t>
            </w:r>
          </w:p>
        </w:tc>
        <w:tc>
          <w:tcPr>
            <w:tcW w:w="313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lang w:eastAsia="zh-CN"/>
              </w:rPr>
              <w:t>提供声明函加盖公章。</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lang w:eastAsia="zh-CN"/>
              </w:rPr>
              <w:t>6</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sz w:val="20"/>
                <w:szCs w:val="20"/>
                <w:lang w:eastAsia="zh-CN"/>
              </w:rPr>
              <w:t>供应商未被列入信用中国网站“失信被执行人”、“重大税收违法案件当事人”、“政府采购严重违法失信”名单及中国政府采购网“政府采购严重违法失信行为记录名单”的投标人</w:t>
            </w:r>
          </w:p>
        </w:tc>
        <w:tc>
          <w:tcPr>
            <w:tcW w:w="313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before="0" w:beforeAutospacing="0" w:after="0" w:afterAutospacing="0"/>
              <w:ind w:left="0" w:right="0"/>
              <w:jc w:val="center"/>
              <w:rPr>
                <w:rFonts w:hint="eastAsia" w:ascii="宋体" w:hAnsi="宋体" w:cs="宋体"/>
                <w:kern w:val="28"/>
                <w:sz w:val="20"/>
                <w:szCs w:val="20"/>
                <w:lang w:eastAsia="zh-CN"/>
              </w:rPr>
            </w:pPr>
            <w:r>
              <w:rPr>
                <w:rFonts w:hint="eastAsia" w:ascii="宋体" w:hAnsi="宋体" w:cs="宋体"/>
                <w:sz w:val="20"/>
                <w:szCs w:val="20"/>
                <w:lang w:eastAsia="zh-CN"/>
              </w:rPr>
              <w:t>提供以上网站信息查询结果界面截图，加盖投标人公章，查询起始日期为招标公告之日起或提供承诺书。</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trHeight w:val="1141" w:hRule="atLeast"/>
          <w:jc w:val="center"/>
        </w:trPr>
        <w:tc>
          <w:tcPr>
            <w:tcW w:w="698"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lang w:eastAsia="zh-CN"/>
              </w:rPr>
              <w:t>7</w:t>
            </w:r>
          </w:p>
        </w:tc>
        <w:tc>
          <w:tcPr>
            <w:tcW w:w="2800"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before="0" w:beforeAutospacing="0" w:after="0" w:afterAutospacing="0"/>
              <w:ind w:left="0" w:right="0"/>
              <w:jc w:val="center"/>
              <w:rPr>
                <w:rFonts w:hint="eastAsia" w:ascii="宋体" w:hAnsi="宋体" w:cs="宋体"/>
                <w:kern w:val="28"/>
                <w:sz w:val="20"/>
                <w:szCs w:val="20"/>
                <w:lang w:eastAsia="zh-CN"/>
              </w:rPr>
            </w:pPr>
            <w:r>
              <w:rPr>
                <w:rFonts w:hint="eastAsia" w:ascii="宋体" w:hAnsi="宋体" w:cs="宋体"/>
                <w:kern w:val="28"/>
                <w:sz w:val="20"/>
                <w:szCs w:val="20"/>
                <w:lang w:eastAsia="zh-CN"/>
              </w:rPr>
              <w:t>特定资格要求</w:t>
            </w:r>
          </w:p>
        </w:tc>
        <w:tc>
          <w:tcPr>
            <w:tcW w:w="3135"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snapToGrid w:val="0"/>
              <w:spacing w:before="0" w:beforeAutospacing="0" w:after="0" w:afterAutospacing="0"/>
              <w:ind w:left="0" w:right="0"/>
              <w:jc w:val="center"/>
              <w:rPr>
                <w:rFonts w:hint="default" w:ascii="宋体" w:hAnsi="宋体" w:cs="宋体"/>
                <w:sz w:val="20"/>
                <w:szCs w:val="20"/>
                <w:lang w:eastAsia="zh-CN"/>
              </w:rPr>
            </w:pPr>
            <w:r>
              <w:rPr>
                <w:rFonts w:hint="eastAsia" w:ascii="宋体" w:hAnsi="宋体" w:cs="宋体"/>
                <w:sz w:val="20"/>
                <w:szCs w:val="20"/>
                <w:lang w:eastAsia="zh-CN"/>
              </w:rPr>
              <w:t>具有中国银行保险监督管理委员会颁发的《保险公司法人许可证》(总公司)或中国保险监督管理委员会属地监管局颁发的《保险业务经营许可证》(分公司)；</w:t>
            </w:r>
          </w:p>
          <w:p>
            <w:pPr>
              <w:widowControl/>
              <w:shd w:val="clear" w:color="auto" w:fill="FFFFFF"/>
              <w:snapToGrid w:val="0"/>
              <w:spacing w:before="0" w:beforeAutospacing="0" w:after="0" w:afterAutospacing="0"/>
              <w:ind w:left="0" w:right="0"/>
              <w:jc w:val="center"/>
              <w:rPr>
                <w:rFonts w:hint="eastAsia" w:ascii="宋体" w:hAnsi="宋体" w:cs="宋体"/>
                <w:sz w:val="20"/>
                <w:szCs w:val="20"/>
                <w:lang w:eastAsia="zh-CN"/>
              </w:rPr>
            </w:pPr>
            <w:r>
              <w:rPr>
                <w:rFonts w:hint="eastAsia" w:ascii="宋体" w:hAnsi="宋体" w:cs="宋体"/>
                <w:sz w:val="20"/>
                <w:szCs w:val="20"/>
                <w:lang w:eastAsia="zh-CN"/>
              </w:rPr>
              <w:t>以上均提供复印件加盖公章</w:t>
            </w:r>
          </w:p>
          <w:p>
            <w:pPr>
              <w:widowControl/>
              <w:shd w:val="clear" w:color="auto" w:fill="FFFFFF"/>
              <w:snapToGrid w:val="0"/>
              <w:spacing w:before="0" w:beforeAutospacing="0" w:after="0" w:afterAutospacing="0"/>
              <w:ind w:left="0" w:right="0"/>
              <w:jc w:val="center"/>
              <w:rPr>
                <w:rFonts w:hint="eastAsia" w:ascii="宋体" w:hAnsi="宋体" w:cs="宋体"/>
                <w:kern w:val="28"/>
                <w:sz w:val="20"/>
                <w:szCs w:val="20"/>
                <w:lang w:eastAsia="zh-CN"/>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lang w:eastAsia="zh-CN"/>
              </w:rPr>
            </w:pP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CellMar>
            <w:top w:w="0" w:type="dxa"/>
            <w:left w:w="108" w:type="dxa"/>
            <w:bottom w:w="0" w:type="dxa"/>
            <w:right w:w="108" w:type="dxa"/>
          </w:tblCellMar>
        </w:tblPrEx>
        <w:trPr>
          <w:jc w:val="center"/>
        </w:trPr>
        <w:tc>
          <w:tcPr>
            <w:tcW w:w="6633" w:type="dxa"/>
            <w:gridSpan w:val="3"/>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r>
              <w:rPr>
                <w:rFonts w:hint="eastAsia" w:ascii="宋体" w:hAnsi="宋体" w:cs="宋体"/>
                <w:b/>
                <w:bCs/>
                <w:sz w:val="20"/>
                <w:szCs w:val="20"/>
              </w:rPr>
              <w:t>结论</w:t>
            </w: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p>
        </w:tc>
        <w:tc>
          <w:tcPr>
            <w:tcW w:w="103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p>
        </w:tc>
        <w:tc>
          <w:tcPr>
            <w:tcW w:w="10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宋体"/>
                <w:sz w:val="20"/>
                <w:szCs w:val="20"/>
              </w:rPr>
            </w:pPr>
          </w:p>
        </w:tc>
      </w:tr>
    </w:tbl>
    <w:p>
      <w:pPr>
        <w:shd w:val="clear" w:color="auto" w:fill="FFFFFF"/>
        <w:snapToGrid w:val="0"/>
        <w:spacing w:line="360" w:lineRule="auto"/>
        <w:ind w:firstLine="720" w:firstLineChars="300"/>
        <w:rPr>
          <w:rFonts w:hint="eastAsia" w:ascii="宋体" w:hAnsi="宋体"/>
          <w:lang w:eastAsia="zh-CN"/>
        </w:rPr>
      </w:pPr>
    </w:p>
    <w:p>
      <w:pPr>
        <w:shd w:val="clear" w:color="auto" w:fill="FFFFFF"/>
        <w:snapToGrid w:val="0"/>
        <w:spacing w:line="360" w:lineRule="auto"/>
        <w:rPr>
          <w:rFonts w:ascii="宋体" w:hAnsi="宋体"/>
          <w:lang w:eastAsia="zh-CN"/>
        </w:rPr>
      </w:pPr>
      <w:r>
        <w:rPr>
          <w:rFonts w:hint="eastAsia" w:ascii="宋体" w:hAnsi="宋体"/>
          <w:szCs w:val="21"/>
          <w:lang w:eastAsia="zh-CN"/>
        </w:rPr>
        <w:t>1、表中只需填写“√/通过”或“×/不通过”。</w:t>
      </w:r>
    </w:p>
    <w:p>
      <w:pPr>
        <w:shd w:val="clear" w:color="auto" w:fill="FFFFFF"/>
        <w:snapToGrid w:val="0"/>
        <w:spacing w:line="360" w:lineRule="auto"/>
        <w:rPr>
          <w:rFonts w:ascii="宋体" w:hAnsi="宋体"/>
          <w:lang w:eastAsia="zh-CN"/>
        </w:rPr>
      </w:pPr>
      <w:r>
        <w:rPr>
          <w:rFonts w:hint="eastAsia" w:ascii="宋体" w:hAnsi="宋体"/>
          <w:szCs w:val="21"/>
          <w:lang w:eastAsia="zh-CN"/>
        </w:rPr>
        <w:t>2、在结论中按“一项否决”的原则，只有全部是√/通过的，填写“合格”；只要其中有一项是×/不通过的，填写“不合格”。</w:t>
      </w:r>
    </w:p>
    <w:p>
      <w:pPr>
        <w:shd w:val="clear" w:color="auto" w:fill="FFFFFF"/>
        <w:tabs>
          <w:tab w:val="left" w:pos="1832"/>
          <w:tab w:val="left" w:pos="2748"/>
          <w:tab w:val="left" w:pos="4580"/>
          <w:tab w:val="left" w:pos="5565"/>
          <w:tab w:val="left" w:pos="6412"/>
          <w:tab w:val="left" w:pos="7328"/>
          <w:tab w:val="left" w:pos="8244"/>
          <w:tab w:val="left" w:pos="9160"/>
          <w:tab w:val="left" w:pos="10076"/>
          <w:tab w:val="left" w:pos="10992"/>
          <w:tab w:val="left" w:pos="11908"/>
          <w:tab w:val="left" w:pos="12824"/>
          <w:tab w:val="left" w:pos="13740"/>
          <w:tab w:val="left" w:pos="14656"/>
        </w:tabs>
        <w:snapToGrid w:val="0"/>
        <w:spacing w:line="360" w:lineRule="auto"/>
        <w:rPr>
          <w:rFonts w:ascii="宋体" w:hAnsi="宋体"/>
          <w:lang w:eastAsia="zh-CN"/>
        </w:rPr>
      </w:pPr>
      <w:r>
        <w:rPr>
          <w:rFonts w:hint="eastAsia" w:ascii="宋体" w:hAnsi="宋体"/>
          <w:szCs w:val="21"/>
          <w:lang w:eastAsia="zh-CN"/>
        </w:rPr>
        <w:t>3、结论是合格的，才能进入下一轮；不合格的被淘汰。</w:t>
      </w:r>
    </w:p>
    <w:p>
      <w:pPr>
        <w:shd w:val="clear" w:color="auto" w:fill="FFFFFF"/>
        <w:snapToGrid w:val="0"/>
        <w:spacing w:line="360" w:lineRule="auto"/>
        <w:rPr>
          <w:rFonts w:hint="eastAsia" w:ascii="宋体" w:hAnsi="宋体"/>
          <w:u w:val="single"/>
          <w:lang w:eastAsia="zh-CN"/>
        </w:rPr>
      </w:pPr>
      <w:r>
        <w:rPr>
          <w:rFonts w:hint="eastAsia" w:ascii="宋体" w:hAnsi="宋体"/>
          <w:lang w:eastAsia="zh-CN"/>
        </w:rPr>
        <w:t>资格审查小组（签名）</w:t>
      </w:r>
    </w:p>
    <w:p>
      <w:pPr>
        <w:shd w:val="clear" w:color="auto" w:fill="FFFFFF"/>
        <w:snapToGrid w:val="0"/>
        <w:spacing w:line="360" w:lineRule="auto"/>
        <w:rPr>
          <w:rFonts w:hint="eastAsia" w:ascii="宋体" w:hAnsi="宋体"/>
          <w:lang w:eastAsia="zh-CN"/>
        </w:rPr>
      </w:pPr>
      <w:r>
        <w:rPr>
          <w:rFonts w:hint="eastAsia" w:ascii="宋体" w:hAnsi="宋体"/>
          <w:lang w:eastAsia="zh-CN"/>
        </w:rPr>
        <w:t>2024年</w:t>
      </w:r>
      <w:r>
        <w:rPr>
          <w:rFonts w:hint="eastAsia" w:ascii="宋体" w:hAnsi="宋体"/>
          <w:lang w:val="en-US" w:eastAsia="zh-CN"/>
        </w:rPr>
        <w:t xml:space="preserve">  </w:t>
      </w:r>
      <w:r>
        <w:rPr>
          <w:rFonts w:hint="eastAsia" w:ascii="宋体" w:hAnsi="宋体"/>
          <w:lang w:eastAsia="zh-CN"/>
        </w:rPr>
        <w:t>月</w:t>
      </w:r>
      <w:r>
        <w:rPr>
          <w:rFonts w:hint="eastAsia" w:ascii="宋体" w:hAnsi="宋体"/>
          <w:lang w:val="en-US" w:eastAsia="zh-CN"/>
        </w:rPr>
        <w:t xml:space="preserve">  </w:t>
      </w:r>
      <w:r>
        <w:rPr>
          <w:rFonts w:hint="eastAsia" w:ascii="宋体" w:hAnsi="宋体"/>
          <w:lang w:eastAsia="zh-CN"/>
        </w:rPr>
        <w:t>日</w:t>
      </w:r>
    </w:p>
    <w:p>
      <w:pPr>
        <w:shd w:val="clear" w:color="auto" w:fill="FFFFFF"/>
        <w:snapToGrid w:val="0"/>
        <w:spacing w:line="480" w:lineRule="exact"/>
        <w:rPr>
          <w:rFonts w:hint="eastAsia" w:ascii="宋体" w:hAnsi="宋体"/>
          <w:lang w:eastAsia="zh-CN"/>
        </w:rPr>
      </w:pPr>
    </w:p>
    <w:p>
      <w:pPr>
        <w:pStyle w:val="4"/>
        <w:spacing w:after="240"/>
        <w:rPr>
          <w:rFonts w:hint="eastAsia"/>
          <w:i w:val="0"/>
          <w:iCs w:val="0"/>
          <w:lang w:eastAsia="zh-CN"/>
        </w:rPr>
      </w:pPr>
      <w:bookmarkStart w:id="13" w:name="_Toc11046"/>
      <w:r>
        <w:rPr>
          <w:rFonts w:hint="eastAsia"/>
          <w:i w:val="0"/>
          <w:lang w:eastAsia="zh-CN"/>
        </w:rPr>
        <w:t>附表2符合性审查表</w:t>
      </w:r>
      <w:bookmarkEnd w:id="13"/>
    </w:p>
    <w:p>
      <w:pPr>
        <w:rPr>
          <w:rFonts w:hint="eastAsia" w:ascii="宋体" w:hAnsi="宋体" w:cs="宋体"/>
          <w:spacing w:val="15"/>
          <w:lang w:eastAsia="zh-CN"/>
        </w:rPr>
      </w:pPr>
      <w:r>
        <w:rPr>
          <w:rFonts w:hint="eastAsia" w:ascii="宋体" w:hAnsi="宋体"/>
          <w:lang w:eastAsia="zh-CN"/>
        </w:rPr>
        <w:t>项目名称</w:t>
      </w:r>
      <w:r>
        <w:rPr>
          <w:rFonts w:hint="eastAsia" w:ascii="宋体" w:hAnsi="宋体"/>
          <w:kern w:val="28"/>
          <w:lang w:eastAsia="zh-CN"/>
        </w:rPr>
        <w:t>：</w:t>
      </w:r>
    </w:p>
    <w:p>
      <w:pPr>
        <w:rPr>
          <w:rFonts w:hint="eastAsia" w:hAnsi="宋体"/>
          <w:lang w:eastAsia="zh-CN"/>
        </w:rPr>
      </w:pPr>
      <w:r>
        <w:rPr>
          <w:rFonts w:hint="eastAsia" w:ascii="宋体" w:hAnsi="宋体"/>
          <w:lang w:eastAsia="zh-CN"/>
        </w:rPr>
        <w:t>项目编号：</w:t>
      </w:r>
    </w:p>
    <w:tbl>
      <w:tblPr>
        <w:tblStyle w:val="52"/>
        <w:tblW w:w="9111"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fixed"/>
        <w:tblCellMar>
          <w:top w:w="0" w:type="dxa"/>
          <w:left w:w="0" w:type="dxa"/>
          <w:bottom w:w="0" w:type="dxa"/>
          <w:right w:w="0" w:type="dxa"/>
        </w:tblCellMar>
      </w:tblPr>
      <w:tblGrid>
        <w:gridCol w:w="1846"/>
        <w:gridCol w:w="3612"/>
        <w:gridCol w:w="983"/>
        <w:gridCol w:w="843"/>
        <w:gridCol w:w="844"/>
        <w:gridCol w:w="98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84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rPr>
              <w:t>审查项目</w:t>
            </w:r>
          </w:p>
        </w:tc>
        <w:tc>
          <w:tcPr>
            <w:tcW w:w="361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rPr>
              <w:t>评审内容</w:t>
            </w:r>
          </w:p>
        </w:tc>
        <w:tc>
          <w:tcPr>
            <w:tcW w:w="9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eastAsia" w:ascii="宋体" w:hAnsi="宋体" w:cs="Times New Roman"/>
                <w:sz w:val="20"/>
                <w:szCs w:val="20"/>
              </w:rPr>
            </w:pPr>
            <w:r>
              <w:rPr>
                <w:rFonts w:hint="eastAsia" w:ascii="宋体" w:hAnsi="宋体" w:cs="Times New Roman"/>
                <w:sz w:val="20"/>
                <w:szCs w:val="20"/>
              </w:rPr>
              <w:t>投标</w:t>
            </w:r>
          </w:p>
          <w:p>
            <w:pPr>
              <w:widowControl/>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rPr>
              <w:t>人1</w:t>
            </w:r>
          </w:p>
        </w:tc>
        <w:tc>
          <w:tcPr>
            <w:tcW w:w="84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eastAsia" w:ascii="宋体" w:hAnsi="宋体" w:cs="Times New Roman"/>
                <w:sz w:val="20"/>
                <w:szCs w:val="20"/>
              </w:rPr>
            </w:pPr>
            <w:r>
              <w:rPr>
                <w:rFonts w:hint="eastAsia" w:ascii="宋体" w:hAnsi="宋体" w:cs="Times New Roman"/>
                <w:sz w:val="20"/>
                <w:szCs w:val="20"/>
              </w:rPr>
              <w:t>投标</w:t>
            </w:r>
          </w:p>
          <w:p>
            <w:pPr>
              <w:widowControl/>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rPr>
              <w:t>人2</w:t>
            </w:r>
          </w:p>
        </w:tc>
        <w:tc>
          <w:tcPr>
            <w:tcW w:w="84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eastAsia" w:ascii="宋体" w:hAnsi="宋体" w:cs="Times New Roman"/>
                <w:sz w:val="20"/>
                <w:szCs w:val="20"/>
              </w:rPr>
            </w:pPr>
            <w:r>
              <w:rPr>
                <w:rFonts w:hint="eastAsia" w:ascii="宋体" w:hAnsi="宋体" w:cs="Times New Roman"/>
                <w:sz w:val="20"/>
                <w:szCs w:val="20"/>
              </w:rPr>
              <w:t>投标</w:t>
            </w:r>
          </w:p>
          <w:p>
            <w:pPr>
              <w:widowControl/>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rPr>
              <w:t>人3</w:t>
            </w:r>
          </w:p>
        </w:tc>
        <w:tc>
          <w:tcPr>
            <w:tcW w:w="9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eastAsia" w:ascii="宋体" w:hAnsi="宋体" w:cs="Times New Roman"/>
                <w:sz w:val="20"/>
                <w:szCs w:val="20"/>
              </w:rPr>
            </w:pPr>
            <w:r>
              <w:rPr>
                <w:rFonts w:hint="eastAsia" w:ascii="宋体" w:hAnsi="宋体" w:cs="Times New Roman"/>
                <w:sz w:val="20"/>
                <w:szCs w:val="20"/>
              </w:rPr>
              <w:t>备</w:t>
            </w:r>
          </w:p>
          <w:p>
            <w:pPr>
              <w:widowControl/>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184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rPr>
              <w:t>投标文件情况</w:t>
            </w:r>
          </w:p>
        </w:tc>
        <w:tc>
          <w:tcPr>
            <w:tcW w:w="361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Times New Roman"/>
                <w:sz w:val="20"/>
                <w:szCs w:val="20"/>
                <w:lang w:eastAsia="zh-CN"/>
              </w:rPr>
            </w:pPr>
            <w:r>
              <w:rPr>
                <w:rFonts w:hint="eastAsia" w:ascii="宋体" w:hAnsi="宋体" w:cs="Times New Roman"/>
                <w:sz w:val="20"/>
                <w:szCs w:val="20"/>
                <w:lang w:eastAsia="zh-CN"/>
              </w:rPr>
              <w:t>按招标文件的规定编制、签署、盖章</w:t>
            </w:r>
          </w:p>
        </w:tc>
        <w:tc>
          <w:tcPr>
            <w:tcW w:w="9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lang w:eastAsia="zh-CN"/>
              </w:rPr>
            </w:pPr>
          </w:p>
        </w:tc>
        <w:tc>
          <w:tcPr>
            <w:tcW w:w="84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lang w:eastAsia="zh-CN"/>
              </w:rPr>
            </w:pPr>
          </w:p>
        </w:tc>
        <w:tc>
          <w:tcPr>
            <w:tcW w:w="84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lang w:eastAsia="zh-CN"/>
              </w:rPr>
            </w:pPr>
          </w:p>
        </w:tc>
        <w:tc>
          <w:tcPr>
            <w:tcW w:w="9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36" w:hRule="atLeast"/>
          <w:jc w:val="center"/>
        </w:trPr>
        <w:tc>
          <w:tcPr>
            <w:tcW w:w="1846"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eastAsia" w:ascii="宋体" w:hAnsi="宋体" w:cs="Times New Roman"/>
                <w:sz w:val="20"/>
                <w:szCs w:val="20"/>
                <w:lang w:eastAsia="zh-CN"/>
              </w:rPr>
            </w:pPr>
            <w:r>
              <w:rPr>
                <w:rFonts w:hint="eastAsia" w:ascii="宋体" w:hAnsi="宋体" w:cs="Times New Roman"/>
                <w:sz w:val="20"/>
                <w:szCs w:val="20"/>
                <w:lang w:eastAsia="zh-CN"/>
              </w:rPr>
              <w:t>服务期限</w:t>
            </w:r>
          </w:p>
        </w:tc>
        <w:tc>
          <w:tcPr>
            <w:tcW w:w="3612"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Times New Roman"/>
                <w:sz w:val="20"/>
                <w:szCs w:val="20"/>
                <w:lang w:eastAsia="zh-CN"/>
              </w:rPr>
            </w:pPr>
            <w:r>
              <w:rPr>
                <w:rFonts w:hint="eastAsia" w:ascii="宋体" w:hAnsi="宋体" w:cs="Times New Roman"/>
                <w:sz w:val="20"/>
                <w:szCs w:val="20"/>
                <w:lang w:eastAsia="zh-CN"/>
              </w:rPr>
              <w:t>是否满足服务期</w:t>
            </w:r>
          </w:p>
        </w:tc>
        <w:tc>
          <w:tcPr>
            <w:tcW w:w="9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lang w:eastAsia="zh-CN"/>
              </w:rPr>
            </w:pPr>
          </w:p>
        </w:tc>
        <w:tc>
          <w:tcPr>
            <w:tcW w:w="84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lang w:eastAsia="zh-CN"/>
              </w:rPr>
            </w:pPr>
          </w:p>
        </w:tc>
        <w:tc>
          <w:tcPr>
            <w:tcW w:w="84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lang w:eastAsia="zh-CN"/>
              </w:rPr>
            </w:pPr>
          </w:p>
        </w:tc>
        <w:tc>
          <w:tcPr>
            <w:tcW w:w="9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lang w:eastAsia="zh-CN"/>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351" w:hRule="atLeast"/>
          <w:jc w:val="center"/>
        </w:trPr>
        <w:tc>
          <w:tcPr>
            <w:tcW w:w="1846"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eastAsia" w:ascii="宋体" w:hAnsi="宋体" w:cs="Times New Roman"/>
                <w:sz w:val="20"/>
                <w:szCs w:val="20"/>
              </w:rPr>
            </w:pPr>
            <w:r>
              <w:rPr>
                <w:rFonts w:hint="eastAsia" w:ascii="宋体" w:hAnsi="宋体" w:cs="Times New Roman"/>
                <w:sz w:val="20"/>
                <w:szCs w:val="20"/>
              </w:rPr>
              <w:t>投标有效期</w:t>
            </w:r>
          </w:p>
        </w:tc>
        <w:tc>
          <w:tcPr>
            <w:tcW w:w="3612"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eastAsia" w:ascii="宋体" w:hAnsi="宋体" w:cs="Times New Roman"/>
                <w:sz w:val="20"/>
                <w:szCs w:val="20"/>
              </w:rPr>
            </w:pPr>
            <w:r>
              <w:rPr>
                <w:rFonts w:hint="eastAsia" w:ascii="宋体" w:hAnsi="宋体" w:cs="Times New Roman"/>
                <w:sz w:val="20"/>
                <w:szCs w:val="20"/>
              </w:rPr>
              <w:t>是否满足投标有效期</w:t>
            </w:r>
          </w:p>
        </w:tc>
        <w:tc>
          <w:tcPr>
            <w:tcW w:w="983"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843"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844"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983" w:type="dxa"/>
            <w:tcBorders>
              <w:top w:val="single" w:color="auto" w:sz="4" w:space="0"/>
              <w:left w:val="single" w:color="auto" w:sz="8" w:space="0"/>
              <w:bottom w:val="single" w:color="auto" w:sz="4"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5" w:hRule="atLeast"/>
          <w:jc w:val="center"/>
        </w:trPr>
        <w:tc>
          <w:tcPr>
            <w:tcW w:w="1846"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eastAsia" w:ascii="宋体" w:hAnsi="宋体" w:cs="Times New Roman"/>
                <w:sz w:val="20"/>
                <w:szCs w:val="20"/>
                <w:lang w:eastAsia="zh-CN"/>
              </w:rPr>
            </w:pPr>
            <w:r>
              <w:rPr>
                <w:rFonts w:hint="eastAsia" w:ascii="宋体" w:hAnsi="宋体" w:cs="Times New Roman"/>
                <w:sz w:val="20"/>
                <w:szCs w:val="20"/>
                <w:lang w:eastAsia="zh-CN"/>
              </w:rPr>
              <w:t>实质响应</w:t>
            </w:r>
          </w:p>
        </w:tc>
        <w:tc>
          <w:tcPr>
            <w:tcW w:w="3612"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rPr>
                <w:rFonts w:hint="eastAsia" w:ascii="宋体" w:hAnsi="宋体" w:cs="Times New Roman"/>
                <w:sz w:val="20"/>
                <w:szCs w:val="20"/>
                <w:lang w:eastAsia="zh-CN"/>
              </w:rPr>
            </w:pPr>
            <w:r>
              <w:rPr>
                <w:rFonts w:hint="eastAsia" w:ascii="宋体" w:hAnsi="宋体" w:cs="Times New Roman"/>
                <w:sz w:val="20"/>
                <w:szCs w:val="20"/>
                <w:lang w:eastAsia="zh-CN"/>
              </w:rPr>
              <w:t>是否响应采购需求内容，无实质性偏离(重大偏离)</w:t>
            </w:r>
          </w:p>
        </w:tc>
        <w:tc>
          <w:tcPr>
            <w:tcW w:w="983"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843"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844"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983"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35" w:hRule="atLeast"/>
          <w:jc w:val="center"/>
        </w:trPr>
        <w:tc>
          <w:tcPr>
            <w:tcW w:w="1846"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eastAsia" w:ascii="宋体" w:hAnsi="宋体" w:cs="Times New Roman"/>
                <w:sz w:val="20"/>
                <w:szCs w:val="20"/>
                <w:lang w:eastAsia="zh-CN"/>
              </w:rPr>
            </w:pPr>
            <w:r>
              <w:rPr>
                <w:rFonts w:hint="eastAsia" w:ascii="宋体" w:hAnsi="宋体" w:cs="Times New Roman"/>
                <w:sz w:val="20"/>
                <w:szCs w:val="20"/>
                <w:lang w:eastAsia="zh-CN"/>
              </w:rPr>
              <w:t>其他</w:t>
            </w:r>
          </w:p>
        </w:tc>
        <w:tc>
          <w:tcPr>
            <w:tcW w:w="3612"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rPr>
                <w:rFonts w:hint="eastAsia" w:ascii="宋体" w:hAnsi="宋体" w:cs="Times New Roman"/>
                <w:sz w:val="20"/>
                <w:szCs w:val="20"/>
                <w:lang w:eastAsia="zh-CN"/>
              </w:rPr>
            </w:pPr>
            <w:r>
              <w:rPr>
                <w:rFonts w:hint="eastAsia" w:ascii="宋体" w:hAnsi="宋体" w:cs="Times New Roman"/>
                <w:sz w:val="20"/>
                <w:szCs w:val="20"/>
                <w:lang w:eastAsia="zh-CN"/>
              </w:rPr>
              <w:t>是否有其它无效响应认定的条件</w:t>
            </w:r>
          </w:p>
        </w:tc>
        <w:tc>
          <w:tcPr>
            <w:tcW w:w="983"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843"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844"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983" w:type="dxa"/>
            <w:tcBorders>
              <w:top w:val="single" w:color="auto" w:sz="4"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jc w:val="center"/>
        </w:trPr>
        <w:tc>
          <w:tcPr>
            <w:tcW w:w="5458" w:type="dxa"/>
            <w:gridSpan w:val="2"/>
            <w:tcBorders>
              <w:top w:val="single" w:color="auto" w:sz="8" w:space="0"/>
              <w:left w:val="single" w:color="auto" w:sz="8" w:space="0"/>
              <w:bottom w:val="single" w:color="auto" w:sz="8" w:space="0"/>
              <w:right w:val="single" w:color="auto" w:sz="8" w:space="0"/>
            </w:tcBorders>
            <w:shd w:val="clear" w:color="auto" w:fill="FFFFFF"/>
            <w:vAlign w:val="center"/>
          </w:tcPr>
          <w:p>
            <w:pPr>
              <w:widowControl/>
              <w:spacing w:before="0" w:beforeAutospacing="0" w:after="0" w:afterAutospacing="0" w:line="360" w:lineRule="auto"/>
              <w:ind w:left="0" w:right="0"/>
              <w:jc w:val="center"/>
              <w:rPr>
                <w:rFonts w:hint="default" w:ascii="宋体" w:hAnsi="宋体" w:cs="Times New Roman"/>
                <w:sz w:val="20"/>
                <w:szCs w:val="20"/>
              </w:rPr>
            </w:pPr>
            <w:r>
              <w:rPr>
                <w:rFonts w:hint="eastAsia" w:ascii="宋体" w:hAnsi="宋体" w:cs="Times New Roman"/>
                <w:sz w:val="20"/>
                <w:szCs w:val="20"/>
              </w:rPr>
              <w:t>结     论</w:t>
            </w:r>
          </w:p>
        </w:tc>
        <w:tc>
          <w:tcPr>
            <w:tcW w:w="9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84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844"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c>
          <w:tcPr>
            <w:tcW w:w="983" w:type="dxa"/>
            <w:tcBorders>
              <w:top w:val="single" w:color="auto" w:sz="8" w:space="0"/>
              <w:left w:val="single" w:color="auto" w:sz="8" w:space="0"/>
              <w:bottom w:val="single" w:color="auto" w:sz="8" w:space="0"/>
              <w:right w:val="single" w:color="auto" w:sz="8" w:space="0"/>
            </w:tcBorders>
            <w:shd w:val="clear" w:color="auto" w:fill="FFFFFF"/>
            <w:tcMar>
              <w:top w:w="0" w:type="dxa"/>
              <w:left w:w="108" w:type="dxa"/>
              <w:bottom w:w="0" w:type="dxa"/>
              <w:right w:w="108" w:type="dxa"/>
            </w:tcMar>
            <w:vAlign w:val="center"/>
          </w:tcPr>
          <w:p>
            <w:pPr>
              <w:widowControl/>
              <w:spacing w:before="0" w:beforeAutospacing="0" w:after="0" w:afterAutospacing="0" w:line="360" w:lineRule="auto"/>
              <w:ind w:left="0" w:right="0"/>
              <w:jc w:val="center"/>
              <w:rPr>
                <w:rFonts w:hint="default" w:ascii="宋体" w:hAnsi="宋体" w:cs="宋体"/>
                <w:sz w:val="20"/>
                <w:szCs w:val="20"/>
              </w:rPr>
            </w:pPr>
          </w:p>
        </w:tc>
      </w:tr>
    </w:tbl>
    <w:p>
      <w:pPr>
        <w:shd w:val="clear" w:color="auto" w:fill="FFFFFF"/>
        <w:snapToGrid w:val="0"/>
        <w:spacing w:line="480" w:lineRule="exact"/>
        <w:rPr>
          <w:rFonts w:ascii="宋体" w:hAnsi="宋体"/>
          <w:lang w:eastAsia="zh-CN"/>
        </w:rPr>
      </w:pPr>
      <w:r>
        <w:rPr>
          <w:rFonts w:hint="eastAsia" w:ascii="宋体" w:hAnsi="宋体"/>
          <w:szCs w:val="21"/>
          <w:lang w:eastAsia="zh-CN"/>
        </w:rPr>
        <w:t>1、表中只需填写“√/通过”或“×/不通过”。</w:t>
      </w:r>
    </w:p>
    <w:p>
      <w:pPr>
        <w:shd w:val="clear" w:color="auto" w:fill="FFFFFF"/>
        <w:snapToGrid w:val="0"/>
        <w:spacing w:line="480" w:lineRule="exact"/>
        <w:rPr>
          <w:rFonts w:ascii="宋体" w:hAnsi="宋体"/>
          <w:lang w:eastAsia="zh-CN"/>
        </w:rPr>
      </w:pPr>
      <w:r>
        <w:rPr>
          <w:rFonts w:hint="eastAsia" w:ascii="宋体" w:hAnsi="宋体"/>
          <w:szCs w:val="21"/>
          <w:lang w:eastAsia="zh-CN"/>
        </w:rPr>
        <w:t>2、在结论中按“一项否决”的原则，只有全部是√/通过的，填写“合格”；只要其中有一项是×/不通过的，填写“不合格”。</w:t>
      </w:r>
    </w:p>
    <w:p>
      <w:pPr>
        <w:shd w:val="clear" w:color="auto" w:fill="FFFFFF"/>
        <w:tabs>
          <w:tab w:val="left" w:pos="1832"/>
          <w:tab w:val="left" w:pos="2748"/>
          <w:tab w:val="left" w:pos="4580"/>
          <w:tab w:val="left" w:pos="5565"/>
          <w:tab w:val="left" w:pos="6412"/>
          <w:tab w:val="left" w:pos="7328"/>
          <w:tab w:val="left" w:pos="8244"/>
          <w:tab w:val="left" w:pos="9160"/>
          <w:tab w:val="left" w:pos="10076"/>
          <w:tab w:val="left" w:pos="10992"/>
          <w:tab w:val="left" w:pos="11908"/>
          <w:tab w:val="left" w:pos="12824"/>
          <w:tab w:val="left" w:pos="13740"/>
          <w:tab w:val="left" w:pos="14656"/>
        </w:tabs>
        <w:snapToGrid w:val="0"/>
        <w:spacing w:line="480" w:lineRule="exact"/>
        <w:rPr>
          <w:rFonts w:ascii="宋体" w:hAnsi="宋体"/>
          <w:lang w:eastAsia="zh-CN"/>
        </w:rPr>
      </w:pPr>
      <w:r>
        <w:rPr>
          <w:rFonts w:hint="eastAsia" w:ascii="宋体" w:hAnsi="宋体"/>
          <w:szCs w:val="21"/>
          <w:lang w:eastAsia="zh-CN"/>
        </w:rPr>
        <w:t>3、结论是合格的，才能进入下一轮；不合格的被淘汰。</w:t>
      </w:r>
    </w:p>
    <w:p>
      <w:pPr>
        <w:shd w:val="clear" w:color="auto" w:fill="FFFFFF"/>
        <w:snapToGrid w:val="0"/>
        <w:spacing w:line="480" w:lineRule="exact"/>
        <w:rPr>
          <w:rFonts w:hint="eastAsia" w:ascii="宋体" w:hAnsi="宋体"/>
          <w:u w:val="single"/>
          <w:lang w:eastAsia="zh-CN"/>
        </w:rPr>
      </w:pPr>
      <w:r>
        <w:rPr>
          <w:rFonts w:hint="eastAsia" w:ascii="宋体" w:hAnsi="宋体"/>
          <w:lang w:eastAsia="zh-CN"/>
        </w:rPr>
        <w:t>评标委员会（签名）</w:t>
      </w:r>
    </w:p>
    <w:p>
      <w:pPr>
        <w:shd w:val="clear" w:color="auto" w:fill="FFFFFF"/>
        <w:snapToGrid w:val="0"/>
        <w:spacing w:line="480" w:lineRule="exact"/>
        <w:rPr>
          <w:rFonts w:ascii="宋体" w:hAnsi="宋体"/>
          <w:sz w:val="24"/>
          <w:szCs w:val="24"/>
          <w:lang w:eastAsia="zh-CN"/>
        </w:rPr>
      </w:pPr>
      <w:r>
        <w:rPr>
          <w:rFonts w:hint="eastAsia" w:ascii="宋体" w:hAnsi="宋体"/>
          <w:sz w:val="24"/>
          <w:szCs w:val="24"/>
          <w:lang w:eastAsia="zh-CN"/>
        </w:rPr>
        <w:t>2024</w:t>
      </w:r>
      <w:r>
        <w:rPr>
          <w:rFonts w:hint="eastAsia" w:ascii="宋体" w:hAnsi="宋体"/>
          <w:sz w:val="24"/>
          <w:szCs w:val="24"/>
          <w:lang w:val="en-US" w:eastAsia="zh-CN"/>
        </w:rPr>
        <w:t xml:space="preserve"> </w:t>
      </w:r>
      <w:r>
        <w:rPr>
          <w:rFonts w:hint="eastAsia" w:ascii="宋体" w:hAnsi="宋体"/>
          <w:sz w:val="24"/>
          <w:szCs w:val="24"/>
          <w:lang w:eastAsia="zh-CN"/>
        </w:rPr>
        <w:t>年</w:t>
      </w:r>
      <w:r>
        <w:rPr>
          <w:rFonts w:hint="eastAsia" w:ascii="宋体" w:hAnsi="宋体"/>
          <w:sz w:val="24"/>
          <w:szCs w:val="24"/>
          <w:lang w:val="en-US" w:eastAsia="zh-CN"/>
        </w:rPr>
        <w:t xml:space="preserve"> </w:t>
      </w:r>
      <w:r>
        <w:rPr>
          <w:rFonts w:hint="eastAsia" w:ascii="宋体" w:hAnsi="宋体"/>
          <w:sz w:val="24"/>
          <w:szCs w:val="24"/>
          <w:lang w:eastAsia="zh-CN"/>
        </w:rPr>
        <w:t>月</w:t>
      </w:r>
      <w:r>
        <w:rPr>
          <w:rFonts w:hint="eastAsia" w:ascii="宋体" w:hAnsi="宋体"/>
          <w:sz w:val="24"/>
          <w:szCs w:val="24"/>
          <w:lang w:val="en-US" w:eastAsia="zh-CN"/>
        </w:rPr>
        <w:t xml:space="preserve">  </w:t>
      </w:r>
      <w:r>
        <w:rPr>
          <w:rFonts w:hint="eastAsia" w:ascii="宋体" w:hAnsi="宋体"/>
          <w:sz w:val="24"/>
          <w:szCs w:val="24"/>
          <w:lang w:eastAsia="zh-CN"/>
        </w:rPr>
        <w:t>日</w:t>
      </w:r>
    </w:p>
    <w:p>
      <w:pPr>
        <w:shd w:val="clear" w:color="auto" w:fill="FFFFFF"/>
        <w:snapToGrid w:val="0"/>
        <w:spacing w:line="360" w:lineRule="auto"/>
        <w:ind w:firstLine="472" w:firstLineChars="196"/>
        <w:rPr>
          <w:rFonts w:hint="eastAsia" w:ascii="宋体" w:hAnsi="宋体"/>
          <w:b/>
          <w:bCs/>
          <w:lang w:eastAsia="zh-CN"/>
        </w:rPr>
      </w:pPr>
    </w:p>
    <w:p>
      <w:pPr>
        <w:snapToGrid w:val="0"/>
        <w:spacing w:line="360" w:lineRule="auto"/>
        <w:rPr>
          <w:rFonts w:hint="eastAsia" w:ascii="宋体" w:hAnsi="宋体"/>
          <w:b/>
          <w:bCs/>
          <w:sz w:val="28"/>
          <w:szCs w:val="28"/>
          <w:lang w:eastAsia="zh-CN" w:bidi="ar-SA"/>
        </w:rPr>
      </w:pPr>
    </w:p>
    <w:p>
      <w:pPr>
        <w:snapToGrid w:val="0"/>
        <w:spacing w:line="360" w:lineRule="auto"/>
        <w:outlineLvl w:val="1"/>
        <w:rPr>
          <w:rFonts w:hint="eastAsia" w:ascii="宋体" w:hAnsi="宋体" w:cs="宋体"/>
          <w:b/>
          <w:bCs/>
          <w:sz w:val="28"/>
          <w:szCs w:val="28"/>
          <w:lang w:eastAsia="zh-CN" w:bidi="ar-SA"/>
        </w:rPr>
      </w:pPr>
      <w:r>
        <w:rPr>
          <w:rFonts w:hint="eastAsia" w:ascii="宋体" w:hAnsi="宋体" w:cs="宋体"/>
          <w:b/>
          <w:bCs/>
          <w:sz w:val="28"/>
          <w:szCs w:val="28"/>
          <w:lang w:eastAsia="zh-CN" w:bidi="ar-SA"/>
        </w:rPr>
        <w:br w:type="page"/>
      </w:r>
      <w:bookmarkStart w:id="14" w:name="_Toc7167"/>
      <w:r>
        <w:rPr>
          <w:rFonts w:hint="eastAsia" w:ascii="宋体" w:hAnsi="宋体" w:cs="宋体"/>
          <w:b/>
          <w:bCs/>
          <w:sz w:val="28"/>
          <w:szCs w:val="28"/>
          <w:lang w:eastAsia="zh-CN" w:bidi="ar-SA"/>
        </w:rPr>
        <w:t>附表3综合评分表</w:t>
      </w:r>
      <w:bookmarkEnd w:id="14"/>
    </w:p>
    <w:p>
      <w:pPr>
        <w:pStyle w:val="157"/>
        <w:rPr>
          <w:rFonts w:hint="eastAsia"/>
        </w:rPr>
      </w:pPr>
    </w:p>
    <w:p>
      <w:pPr>
        <w:rPr>
          <w:rFonts w:hint="eastAsia" w:hAnsi="宋体"/>
          <w:lang w:eastAsia="zh-CN" w:bidi="ar-SA"/>
        </w:rPr>
      </w:pPr>
    </w:p>
    <w:p>
      <w:pPr>
        <w:ind w:firstLine="1325" w:firstLineChars="550"/>
        <w:rPr>
          <w:rFonts w:hint="eastAsia" w:hAnsi="宋体"/>
          <w:b/>
          <w:bCs/>
          <w:lang w:eastAsia="zh-CN" w:bidi="ar-SA"/>
        </w:rPr>
      </w:pPr>
    </w:p>
    <w:p>
      <w:pPr>
        <w:widowControl w:val="0"/>
        <w:jc w:val="center"/>
        <w:rPr>
          <w:rFonts w:ascii="宋体" w:hAnsi="宋体" w:cs="黑体"/>
          <w:b/>
          <w:bCs/>
          <w:spacing w:val="-7"/>
          <w:kern w:val="2"/>
          <w:sz w:val="32"/>
          <w:szCs w:val="32"/>
          <w:lang w:eastAsia="zh-CN" w:bidi="ar-SA"/>
        </w:rPr>
      </w:pPr>
      <w:r>
        <w:rPr>
          <w:rFonts w:hint="eastAsia" w:ascii="宋体" w:hAnsi="宋体" w:cs="黑体"/>
          <w:b/>
          <w:bCs/>
          <w:spacing w:val="-7"/>
          <w:kern w:val="2"/>
          <w:sz w:val="32"/>
          <w:szCs w:val="32"/>
          <w:lang w:eastAsia="zh-CN" w:bidi="ar-SA"/>
        </w:rPr>
        <w:t>投标人综合评分表</w:t>
      </w:r>
    </w:p>
    <w:tbl>
      <w:tblPr>
        <w:tblStyle w:val="52"/>
        <w:tblW w:w="7705"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53"/>
        <w:gridCol w:w="4471"/>
        <w:gridCol w:w="27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5"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default" w:ascii="Times New Roman" w:hAnsi="宋体" w:cs="Times New Roman"/>
                <w:kern w:val="2"/>
                <w:sz w:val="20"/>
                <w:szCs w:val="20"/>
                <w:lang w:eastAsia="zh-CN" w:bidi="ar-SA"/>
              </w:rPr>
            </w:pPr>
            <w:r>
              <w:rPr>
                <w:rFonts w:hint="eastAsia" w:ascii="Times New Roman" w:hAnsi="宋体" w:cs="Times New Roman"/>
                <w:kern w:val="2"/>
                <w:sz w:val="20"/>
                <w:szCs w:val="20"/>
                <w:lang w:eastAsia="zh-CN" w:bidi="ar-SA"/>
              </w:rPr>
              <w:t>序号</w:t>
            </w:r>
          </w:p>
        </w:tc>
        <w:tc>
          <w:tcPr>
            <w:tcW w:w="4471"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default" w:ascii="Times New Roman" w:hAnsi="宋体" w:cs="Times New Roman"/>
                <w:kern w:val="2"/>
                <w:sz w:val="20"/>
                <w:szCs w:val="20"/>
                <w:lang w:eastAsia="zh-CN" w:bidi="ar-SA"/>
              </w:rPr>
            </w:pPr>
            <w:r>
              <w:rPr>
                <w:rFonts w:hint="eastAsia" w:ascii="Times New Roman" w:hAnsi="宋体" w:cs="Times New Roman"/>
                <w:kern w:val="2"/>
                <w:sz w:val="20"/>
                <w:szCs w:val="20"/>
                <w:lang w:eastAsia="zh-CN" w:bidi="ar-SA"/>
              </w:rPr>
              <w:t>评审因素</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val="0"/>
              <w:spacing w:before="0" w:beforeAutospacing="0" w:after="0" w:afterAutospacing="0"/>
              <w:ind w:left="0" w:right="0"/>
              <w:jc w:val="center"/>
              <w:rPr>
                <w:rFonts w:hint="default" w:ascii="Times New Roman" w:hAnsi="宋体" w:cs="Times New Roman"/>
                <w:kern w:val="2"/>
                <w:sz w:val="20"/>
                <w:szCs w:val="20"/>
                <w:lang w:eastAsia="zh-CN" w:bidi="ar-SA"/>
              </w:rPr>
            </w:pPr>
            <w:r>
              <w:rPr>
                <w:rFonts w:hint="eastAsia" w:ascii="Times New Roman" w:hAnsi="宋体" w:cs="Times New Roman"/>
                <w:kern w:val="2"/>
                <w:sz w:val="20"/>
                <w:szCs w:val="20"/>
                <w:lang w:eastAsia="zh-CN" w:bidi="ar-SA"/>
              </w:rPr>
              <w:t>分值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widowControl w:val="0"/>
              <w:spacing w:before="111" w:beforeAutospacing="0" w:after="0" w:afterAutospacing="0"/>
              <w:ind w:left="56" w:right="0"/>
              <w:jc w:val="center"/>
              <w:rPr>
                <w:rFonts w:hint="default" w:ascii="宋体" w:hAnsi="宋体" w:cs="Times New Roman"/>
                <w:kern w:val="2"/>
                <w:sz w:val="20"/>
                <w:szCs w:val="20"/>
                <w:lang w:eastAsia="zh-CN" w:bidi="ar-SA"/>
              </w:rPr>
            </w:pPr>
            <w:r>
              <w:rPr>
                <w:rFonts w:hint="eastAsia" w:ascii="宋体" w:hAnsi="宋体" w:cs="Times New Roman"/>
                <w:spacing w:val="-10"/>
                <w:kern w:val="2"/>
                <w:sz w:val="20"/>
                <w:szCs w:val="20"/>
                <w:lang w:eastAsia="zh-CN" w:bidi="ar-SA"/>
              </w:rPr>
              <w:t>1</w:t>
            </w:r>
          </w:p>
        </w:tc>
        <w:tc>
          <w:tcPr>
            <w:tcW w:w="4471" w:type="dxa"/>
            <w:tcBorders>
              <w:top w:val="single" w:color="auto" w:sz="4" w:space="0"/>
              <w:left w:val="single" w:color="auto" w:sz="4" w:space="0"/>
              <w:bottom w:val="single" w:color="auto" w:sz="4" w:space="0"/>
              <w:right w:val="single" w:color="auto" w:sz="4" w:space="0"/>
            </w:tcBorders>
            <w:vAlign w:val="center"/>
          </w:tcPr>
          <w:p>
            <w:pPr>
              <w:widowControl w:val="0"/>
              <w:spacing w:before="109" w:beforeAutospacing="0" w:after="0" w:afterAutospacing="0"/>
              <w:ind w:left="11" w:right="7"/>
              <w:jc w:val="center"/>
              <w:rPr>
                <w:rFonts w:hint="default" w:ascii="宋体" w:hAnsi="宋体" w:cs="Times New Roman"/>
                <w:kern w:val="2"/>
                <w:sz w:val="20"/>
                <w:szCs w:val="20"/>
                <w:lang w:eastAsia="zh-CN" w:bidi="ar-SA"/>
              </w:rPr>
            </w:pPr>
            <w:bookmarkStart w:id="15" w:name="前附表_3：综合评分表"/>
            <w:bookmarkEnd w:id="15"/>
            <w:r>
              <w:rPr>
                <w:rFonts w:hint="eastAsia" w:ascii="宋体" w:hAnsi="宋体" w:cs="Times New Roman"/>
                <w:spacing w:val="-7"/>
                <w:kern w:val="2"/>
                <w:sz w:val="20"/>
                <w:szCs w:val="20"/>
                <w:lang w:eastAsia="zh-CN" w:bidi="ar-SA"/>
              </w:rPr>
              <w:t>项目运营经验</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val="0"/>
              <w:spacing w:before="109" w:beforeAutospacing="0" w:after="0" w:afterAutospacing="0"/>
              <w:ind w:left="39" w:right="15"/>
              <w:jc w:val="center"/>
              <w:rPr>
                <w:rFonts w:hint="default" w:ascii="宋体" w:hAnsi="宋体" w:cs="Times New Roman"/>
                <w:kern w:val="2"/>
                <w:sz w:val="20"/>
                <w:szCs w:val="20"/>
                <w:lang w:eastAsia="zh-CN" w:bidi="ar-SA"/>
              </w:rPr>
            </w:pPr>
            <w:r>
              <w:rPr>
                <w:rFonts w:hint="eastAsia" w:ascii="宋体" w:hAnsi="宋体" w:cs="Times New Roman"/>
                <w:spacing w:val="-24"/>
                <w:kern w:val="2"/>
                <w:sz w:val="20"/>
                <w:szCs w:val="20"/>
                <w:lang w:eastAsia="zh-CN" w:bidi="ar-SA"/>
              </w:rPr>
              <w:t>1</w:t>
            </w:r>
            <w:r>
              <w:rPr>
                <w:rFonts w:hint="eastAsia" w:ascii="宋体" w:hAnsi="宋体" w:cs="Times New Roman"/>
                <w:spacing w:val="-24"/>
                <w:kern w:val="2"/>
                <w:sz w:val="20"/>
                <w:szCs w:val="20"/>
                <w:lang w:val="en-US" w:eastAsia="zh-CN" w:bidi="ar-SA"/>
              </w:rPr>
              <w:t>9</w:t>
            </w:r>
            <w:r>
              <w:rPr>
                <w:rFonts w:hint="eastAsia" w:ascii="宋体" w:hAnsi="宋体" w:cs="Times New Roman"/>
                <w:spacing w:val="-24"/>
                <w:kern w:val="2"/>
                <w:sz w:val="20"/>
                <w:szCs w:val="20"/>
                <w:lang w:eastAsia="zh-CN" w:bidi="ar-S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2"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widowControl w:val="0"/>
              <w:spacing w:before="111" w:beforeAutospacing="0" w:after="0" w:afterAutospacing="0"/>
              <w:ind w:left="56" w:right="0"/>
              <w:jc w:val="center"/>
              <w:rPr>
                <w:rFonts w:hint="default" w:ascii="宋体" w:hAnsi="宋体" w:cs="Times New Roman"/>
                <w:spacing w:val="-10"/>
                <w:kern w:val="2"/>
                <w:sz w:val="20"/>
                <w:szCs w:val="20"/>
                <w:lang w:val="en-US" w:eastAsia="zh-CN" w:bidi="ar-SA"/>
              </w:rPr>
            </w:pPr>
            <w:r>
              <w:rPr>
                <w:rFonts w:hint="eastAsia" w:ascii="宋体" w:hAnsi="宋体" w:cs="Times New Roman"/>
                <w:spacing w:val="-10"/>
                <w:kern w:val="2"/>
                <w:sz w:val="20"/>
                <w:szCs w:val="20"/>
                <w:lang w:val="en-US" w:eastAsia="zh-CN" w:bidi="ar-SA"/>
              </w:rPr>
              <w:t>2</w:t>
            </w:r>
          </w:p>
        </w:tc>
        <w:tc>
          <w:tcPr>
            <w:tcW w:w="4471" w:type="dxa"/>
            <w:tcBorders>
              <w:top w:val="single" w:color="auto" w:sz="4" w:space="0"/>
              <w:left w:val="single" w:color="auto" w:sz="4" w:space="0"/>
              <w:bottom w:val="single" w:color="auto" w:sz="4" w:space="0"/>
              <w:right w:val="single" w:color="auto" w:sz="4" w:space="0"/>
            </w:tcBorders>
            <w:vAlign w:val="center"/>
          </w:tcPr>
          <w:p>
            <w:pPr>
              <w:widowControl w:val="0"/>
              <w:spacing w:before="109" w:beforeAutospacing="0" w:after="0" w:afterAutospacing="0"/>
              <w:ind w:left="11" w:right="7"/>
              <w:jc w:val="center"/>
              <w:rPr>
                <w:rFonts w:hint="default" w:ascii="宋体" w:hAnsi="宋体" w:cs="Times New Roman"/>
                <w:spacing w:val="-7"/>
                <w:kern w:val="2"/>
                <w:sz w:val="20"/>
                <w:szCs w:val="20"/>
                <w:lang w:val="en-US" w:eastAsia="zh-CN" w:bidi="ar-SA"/>
              </w:rPr>
            </w:pPr>
            <w:r>
              <w:rPr>
                <w:rFonts w:hint="eastAsia" w:ascii="宋体" w:hAnsi="宋体" w:cs="Times New Roman"/>
                <w:spacing w:val="-7"/>
                <w:kern w:val="2"/>
                <w:sz w:val="20"/>
                <w:szCs w:val="20"/>
                <w:lang w:val="en-US" w:eastAsia="zh-CN" w:bidi="ar-SA"/>
              </w:rPr>
              <w:t>企业实力</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val="0"/>
              <w:spacing w:before="109" w:beforeAutospacing="0" w:after="0" w:afterAutospacing="0"/>
              <w:ind w:left="39" w:right="15"/>
              <w:jc w:val="center"/>
              <w:rPr>
                <w:rFonts w:hint="default" w:ascii="宋体" w:hAnsi="宋体" w:cs="Times New Roman"/>
                <w:spacing w:val="-24"/>
                <w:kern w:val="2"/>
                <w:sz w:val="20"/>
                <w:szCs w:val="20"/>
                <w:lang w:val="en-US" w:eastAsia="zh-CN" w:bidi="ar-SA"/>
              </w:rPr>
            </w:pPr>
            <w:r>
              <w:rPr>
                <w:rFonts w:hint="eastAsia" w:ascii="宋体" w:hAnsi="宋体" w:cs="Times New Roman"/>
                <w:spacing w:val="-24"/>
                <w:kern w:val="2"/>
                <w:sz w:val="20"/>
                <w:szCs w:val="20"/>
                <w:lang w:val="en-US" w:eastAsia="zh-CN" w:bidi="ar-SA"/>
              </w:rPr>
              <w:t>37分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1"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widowControl w:val="0"/>
              <w:spacing w:before="112" w:beforeAutospacing="0" w:after="0" w:afterAutospacing="0"/>
              <w:ind w:left="56" w:right="24"/>
              <w:jc w:val="center"/>
              <w:rPr>
                <w:rFonts w:hint="default" w:ascii="宋体" w:hAnsi="宋体" w:cs="Times New Roman"/>
                <w:kern w:val="2"/>
                <w:sz w:val="20"/>
                <w:szCs w:val="20"/>
                <w:lang w:eastAsia="zh-CN" w:bidi="ar-SA"/>
              </w:rPr>
            </w:pPr>
            <w:r>
              <w:rPr>
                <w:rFonts w:hint="eastAsia" w:ascii="宋体" w:hAnsi="宋体" w:cs="Times New Roman"/>
                <w:spacing w:val="-10"/>
                <w:kern w:val="2"/>
                <w:sz w:val="20"/>
                <w:szCs w:val="20"/>
                <w:lang w:eastAsia="zh-CN" w:bidi="ar-SA"/>
              </w:rPr>
              <w:t>3</w:t>
            </w:r>
          </w:p>
        </w:tc>
        <w:tc>
          <w:tcPr>
            <w:tcW w:w="4471" w:type="dxa"/>
            <w:tcBorders>
              <w:top w:val="single" w:color="auto" w:sz="4" w:space="0"/>
              <w:left w:val="single" w:color="auto" w:sz="4" w:space="0"/>
              <w:bottom w:val="single" w:color="auto" w:sz="4" w:space="0"/>
              <w:right w:val="single" w:color="auto" w:sz="4" w:space="0"/>
            </w:tcBorders>
            <w:vAlign w:val="center"/>
          </w:tcPr>
          <w:p>
            <w:pPr>
              <w:widowControl w:val="0"/>
              <w:spacing w:before="110" w:beforeAutospacing="0" w:after="0" w:afterAutospacing="0"/>
              <w:ind w:left="11" w:right="0"/>
              <w:jc w:val="center"/>
              <w:rPr>
                <w:rFonts w:hint="default" w:ascii="宋体" w:hAnsi="宋体" w:cs="Times New Roman"/>
                <w:kern w:val="2"/>
                <w:sz w:val="20"/>
                <w:szCs w:val="20"/>
                <w:lang w:eastAsia="zh-CN" w:bidi="ar-SA"/>
              </w:rPr>
            </w:pPr>
            <w:r>
              <w:rPr>
                <w:rFonts w:hint="eastAsia" w:ascii="宋体" w:hAnsi="宋体" w:cs="Times New Roman"/>
                <w:spacing w:val="-9"/>
                <w:kern w:val="2"/>
                <w:sz w:val="20"/>
                <w:szCs w:val="20"/>
                <w:lang w:eastAsia="zh-CN" w:bidi="ar-SA"/>
              </w:rPr>
              <w:t>实施方案</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val="0"/>
              <w:spacing w:before="110" w:beforeAutospacing="0" w:after="0" w:afterAutospacing="0"/>
              <w:ind w:left="39" w:right="0"/>
              <w:jc w:val="center"/>
              <w:rPr>
                <w:rFonts w:hint="default" w:ascii="宋体" w:hAnsi="宋体" w:cs="Times New Roman"/>
                <w:kern w:val="2"/>
                <w:sz w:val="20"/>
                <w:szCs w:val="20"/>
                <w:lang w:eastAsia="zh-CN" w:bidi="ar-SA"/>
              </w:rPr>
            </w:pPr>
            <w:r>
              <w:rPr>
                <w:rFonts w:hint="eastAsia" w:ascii="宋体" w:hAnsi="宋体" w:cs="Times New Roman"/>
                <w:spacing w:val="-11"/>
                <w:kern w:val="2"/>
                <w:sz w:val="20"/>
                <w:szCs w:val="20"/>
                <w:lang w:eastAsia="zh-CN" w:bidi="ar-SA"/>
              </w:rPr>
              <w:t>10</w:t>
            </w:r>
            <w:r>
              <w:rPr>
                <w:rFonts w:hint="eastAsia" w:ascii="宋体" w:hAnsi="宋体" w:cs="Times New Roman"/>
                <w:spacing w:val="-31"/>
                <w:kern w:val="2"/>
                <w:sz w:val="20"/>
                <w:szCs w:val="20"/>
                <w:lang w:eastAsia="zh-CN" w:bidi="ar-SA"/>
              </w:rPr>
              <w:t>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77" w:hRule="atLeast"/>
          <w:jc w:val="center"/>
        </w:trPr>
        <w:tc>
          <w:tcPr>
            <w:tcW w:w="453" w:type="dxa"/>
            <w:tcBorders>
              <w:top w:val="single" w:color="auto" w:sz="4" w:space="0"/>
              <w:left w:val="single" w:color="auto" w:sz="4" w:space="0"/>
              <w:bottom w:val="single" w:color="auto" w:sz="4" w:space="0"/>
              <w:right w:val="single" w:color="auto" w:sz="4" w:space="0"/>
            </w:tcBorders>
            <w:vAlign w:val="center"/>
          </w:tcPr>
          <w:p>
            <w:pPr>
              <w:widowControl w:val="0"/>
              <w:spacing w:before="113" w:beforeAutospacing="0" w:after="0" w:afterAutospacing="0"/>
              <w:ind w:left="56" w:right="39"/>
              <w:jc w:val="center"/>
              <w:rPr>
                <w:rFonts w:hint="default" w:ascii="宋体" w:hAnsi="宋体" w:cs="Times New Roman"/>
                <w:kern w:val="2"/>
                <w:sz w:val="20"/>
                <w:szCs w:val="20"/>
                <w:lang w:eastAsia="zh-CN" w:bidi="ar-SA"/>
              </w:rPr>
            </w:pPr>
            <w:r>
              <w:rPr>
                <w:rFonts w:hint="eastAsia" w:ascii="宋体" w:hAnsi="宋体" w:cs="Times New Roman"/>
                <w:spacing w:val="-10"/>
                <w:kern w:val="2"/>
                <w:sz w:val="20"/>
                <w:szCs w:val="20"/>
                <w:lang w:eastAsia="zh-CN" w:bidi="ar-SA"/>
              </w:rPr>
              <w:t>4</w:t>
            </w:r>
          </w:p>
        </w:tc>
        <w:tc>
          <w:tcPr>
            <w:tcW w:w="4471" w:type="dxa"/>
            <w:tcBorders>
              <w:top w:val="single" w:color="auto" w:sz="4" w:space="0"/>
              <w:left w:val="single" w:color="auto" w:sz="4" w:space="0"/>
              <w:bottom w:val="single" w:color="auto" w:sz="4" w:space="0"/>
              <w:right w:val="single" w:color="auto" w:sz="4" w:space="0"/>
            </w:tcBorders>
            <w:vAlign w:val="center"/>
          </w:tcPr>
          <w:p>
            <w:pPr>
              <w:widowControl w:val="0"/>
              <w:spacing w:before="110" w:beforeAutospacing="0" w:after="0" w:afterAutospacing="0"/>
              <w:ind w:left="11" w:right="5"/>
              <w:jc w:val="center"/>
              <w:rPr>
                <w:rFonts w:hint="default" w:ascii="宋体" w:hAnsi="宋体" w:cs="Times New Roman"/>
                <w:kern w:val="2"/>
                <w:sz w:val="20"/>
                <w:szCs w:val="20"/>
                <w:lang w:eastAsia="zh-CN" w:bidi="ar-SA"/>
              </w:rPr>
            </w:pPr>
            <w:r>
              <w:rPr>
                <w:rFonts w:hint="eastAsia" w:ascii="宋体" w:hAnsi="宋体" w:cs="Times New Roman"/>
                <w:spacing w:val="-5"/>
                <w:kern w:val="2"/>
                <w:sz w:val="20"/>
                <w:szCs w:val="20"/>
                <w:lang w:eastAsia="zh-CN" w:bidi="ar-SA"/>
              </w:rPr>
              <w:t>售后服务能力</w:t>
            </w:r>
          </w:p>
        </w:tc>
        <w:tc>
          <w:tcPr>
            <w:tcW w:w="2781" w:type="dxa"/>
            <w:tcBorders>
              <w:top w:val="single" w:color="auto" w:sz="4" w:space="0"/>
              <w:left w:val="single" w:color="auto" w:sz="4" w:space="0"/>
              <w:bottom w:val="single" w:color="auto" w:sz="4" w:space="0"/>
              <w:right w:val="single" w:color="auto" w:sz="4" w:space="0"/>
            </w:tcBorders>
            <w:vAlign w:val="center"/>
          </w:tcPr>
          <w:p>
            <w:pPr>
              <w:widowControl w:val="0"/>
              <w:spacing w:before="110" w:beforeAutospacing="0" w:after="0" w:afterAutospacing="0"/>
              <w:ind w:left="39" w:right="12"/>
              <w:jc w:val="center"/>
              <w:rPr>
                <w:rFonts w:hint="default" w:ascii="宋体" w:hAnsi="宋体" w:cs="Times New Roman"/>
                <w:kern w:val="2"/>
                <w:sz w:val="20"/>
                <w:szCs w:val="20"/>
                <w:lang w:eastAsia="zh-CN" w:bidi="ar-SA"/>
              </w:rPr>
            </w:pPr>
            <w:r>
              <w:rPr>
                <w:rFonts w:hint="eastAsia" w:ascii="宋体" w:hAnsi="宋体" w:cs="Times New Roman"/>
                <w:spacing w:val="-10"/>
                <w:kern w:val="2"/>
                <w:sz w:val="20"/>
                <w:szCs w:val="20"/>
                <w:lang w:eastAsia="zh-CN" w:bidi="ar-SA"/>
              </w:rPr>
              <w:t>34</w:t>
            </w:r>
            <w:r>
              <w:rPr>
                <w:rFonts w:hint="eastAsia" w:ascii="宋体" w:hAnsi="宋体" w:cs="Times New Roman"/>
                <w:spacing w:val="-26"/>
                <w:kern w:val="2"/>
                <w:sz w:val="20"/>
                <w:szCs w:val="20"/>
                <w:lang w:eastAsia="zh-CN" w:bidi="ar-SA"/>
              </w:rPr>
              <w:t>分</w:t>
            </w:r>
          </w:p>
        </w:tc>
      </w:tr>
    </w:tbl>
    <w:p>
      <w:pPr>
        <w:widowControl w:val="0"/>
        <w:jc w:val="center"/>
        <w:rPr>
          <w:rFonts w:hint="eastAsia" w:ascii="Calibri" w:hAnsi="Calibri" w:cs="黑体"/>
          <w:kern w:val="2"/>
          <w:sz w:val="21"/>
          <w:szCs w:val="21"/>
          <w:lang w:eastAsia="zh-CN" w:bidi="ar-SA"/>
        </w:rPr>
      </w:pPr>
    </w:p>
    <w:p>
      <w:pPr>
        <w:widowControl w:val="0"/>
        <w:jc w:val="both"/>
        <w:rPr>
          <w:rFonts w:ascii="Calibri" w:hAnsi="Calibri" w:cs="黑体"/>
          <w:kern w:val="2"/>
          <w:sz w:val="21"/>
          <w:szCs w:val="21"/>
          <w:lang w:eastAsia="zh-CN" w:bidi="ar-SA"/>
        </w:rPr>
      </w:pPr>
    </w:p>
    <w:tbl>
      <w:tblPr>
        <w:tblStyle w:val="52"/>
        <w:tblW w:w="8796" w:type="dxa"/>
        <w:tblInd w:w="468"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644"/>
        <w:gridCol w:w="1107"/>
        <w:gridCol w:w="1217"/>
        <w:gridCol w:w="582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16" w:hRule="atLeast"/>
        </w:trPr>
        <w:tc>
          <w:tcPr>
            <w:tcW w:w="644" w:type="dxa"/>
            <w:tcBorders>
              <w:top w:val="single" w:color="auto" w:sz="4" w:space="0"/>
              <w:left w:val="single" w:color="auto" w:sz="4" w:space="0"/>
              <w:bottom w:val="single" w:color="000000"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序号</w:t>
            </w:r>
          </w:p>
        </w:tc>
        <w:tc>
          <w:tcPr>
            <w:tcW w:w="2324" w:type="dxa"/>
            <w:gridSpan w:val="2"/>
            <w:tcBorders>
              <w:top w:val="single" w:color="auto" w:sz="4" w:space="0"/>
              <w:left w:val="nil"/>
              <w:bottom w:val="single" w:color="000000"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评审因素</w:t>
            </w:r>
          </w:p>
        </w:tc>
        <w:tc>
          <w:tcPr>
            <w:tcW w:w="5828" w:type="dxa"/>
            <w:tcBorders>
              <w:top w:val="single" w:color="auto" w:sz="4" w:space="0"/>
              <w:left w:val="nil"/>
              <w:bottom w:val="single" w:color="000000"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评审标准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51" w:hRule="atLeast"/>
        </w:trPr>
        <w:tc>
          <w:tcPr>
            <w:tcW w:w="64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1</w:t>
            </w:r>
          </w:p>
        </w:tc>
        <w:tc>
          <w:tcPr>
            <w:tcW w:w="1107"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项目运营经验</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（1</w:t>
            </w:r>
            <w:r>
              <w:rPr>
                <w:rFonts w:hint="eastAsia" w:ascii="宋体" w:hAnsi="宋体" w:cs="黑体"/>
                <w:color w:val="000000"/>
                <w:sz w:val="20"/>
                <w:szCs w:val="20"/>
                <w:lang w:val="en-US" w:eastAsia="zh-CN" w:bidi="ar-SA"/>
              </w:rPr>
              <w:t>9</w:t>
            </w:r>
            <w:r>
              <w:rPr>
                <w:rFonts w:hint="eastAsia" w:ascii="宋体" w:hAnsi="宋体" w:cs="黑体"/>
                <w:color w:val="000000"/>
                <w:sz w:val="20"/>
                <w:szCs w:val="20"/>
                <w:lang w:eastAsia="zh-CN" w:bidi="ar-SA"/>
              </w:rPr>
              <w:t>分）</w:t>
            </w:r>
          </w:p>
        </w:tc>
        <w:tc>
          <w:tcPr>
            <w:tcW w:w="1217"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类似业绩(10分)</w:t>
            </w:r>
          </w:p>
        </w:tc>
        <w:tc>
          <w:tcPr>
            <w:tcW w:w="5828" w:type="dxa"/>
            <w:tcBorders>
              <w:top w:val="nil"/>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2020年1月1日至今(时间以签订时间为准)投标人具有类似项目业绩的，每提供1个业绩得2分，最高得10分。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证明材料：须提供合同/保单或中标(成交)通知书复印件并加盖公章，不提供不得分。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35" w:hRule="atLeast"/>
        </w:trPr>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107" w:type="dxa"/>
            <w:vMerge w:val="continue"/>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217"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扶持和支持残疾人事业</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w:t>
            </w:r>
            <w:r>
              <w:rPr>
                <w:rFonts w:hint="eastAsia" w:ascii="宋体" w:hAnsi="宋体" w:cs="黑体"/>
                <w:color w:val="000000"/>
                <w:sz w:val="20"/>
                <w:szCs w:val="20"/>
                <w:lang w:val="en-US" w:eastAsia="zh-CN" w:bidi="ar-SA"/>
              </w:rPr>
              <w:t>9</w:t>
            </w:r>
            <w:r>
              <w:rPr>
                <w:rFonts w:hint="eastAsia" w:ascii="宋体" w:hAnsi="宋体" w:cs="黑体"/>
                <w:color w:val="000000"/>
                <w:sz w:val="20"/>
                <w:szCs w:val="20"/>
                <w:lang w:eastAsia="zh-CN" w:bidi="ar-SA"/>
              </w:rPr>
              <w:t>分)</w:t>
            </w:r>
          </w:p>
        </w:tc>
        <w:tc>
          <w:tcPr>
            <w:tcW w:w="5828" w:type="dxa"/>
            <w:tcBorders>
              <w:top w:val="nil"/>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2020年1月1日至今，投标人已参与、正在参与或计划参与的扶持和支持残疾人事业活动的，每提供1个案例得</w:t>
            </w:r>
            <w:r>
              <w:rPr>
                <w:rFonts w:hint="eastAsia" w:ascii="宋体" w:hAnsi="宋体" w:cs="黑体"/>
                <w:color w:val="000000"/>
                <w:sz w:val="20"/>
                <w:szCs w:val="20"/>
                <w:lang w:val="en-US" w:eastAsia="zh-CN" w:bidi="ar-SA"/>
              </w:rPr>
              <w:t>3</w:t>
            </w:r>
            <w:r>
              <w:rPr>
                <w:rFonts w:hint="eastAsia" w:ascii="宋体" w:hAnsi="宋体" w:cs="黑体"/>
                <w:color w:val="000000"/>
                <w:sz w:val="20"/>
                <w:szCs w:val="20"/>
                <w:lang w:eastAsia="zh-CN" w:bidi="ar-SA"/>
              </w:rPr>
              <w:t>分，最高得</w:t>
            </w:r>
            <w:r>
              <w:rPr>
                <w:rFonts w:hint="eastAsia" w:ascii="宋体" w:hAnsi="宋体" w:cs="黑体"/>
                <w:color w:val="000000"/>
                <w:sz w:val="20"/>
                <w:szCs w:val="20"/>
                <w:lang w:val="en-US" w:eastAsia="zh-CN" w:bidi="ar-SA"/>
              </w:rPr>
              <w:t>9</w:t>
            </w:r>
            <w:r>
              <w:rPr>
                <w:rFonts w:hint="eastAsia" w:ascii="宋体" w:hAnsi="宋体" w:cs="黑体"/>
                <w:color w:val="000000"/>
                <w:sz w:val="20"/>
                <w:szCs w:val="20"/>
                <w:lang w:eastAsia="zh-CN" w:bidi="ar-SA"/>
              </w:rPr>
              <w:t>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证明材料：须提供能证明该案例真实存在的证明材料及活动现场照片加盖公章。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156" w:hRule="atLeast"/>
        </w:trPr>
        <w:tc>
          <w:tcPr>
            <w:tcW w:w="64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2</w:t>
            </w:r>
          </w:p>
        </w:tc>
        <w:tc>
          <w:tcPr>
            <w:tcW w:w="1107" w:type="dxa"/>
            <w:vMerge w:val="restart"/>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企业实力</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w:t>
            </w:r>
            <w:r>
              <w:rPr>
                <w:rFonts w:hint="eastAsia" w:ascii="宋体" w:hAnsi="宋体" w:cs="黑体"/>
                <w:color w:val="000000"/>
                <w:sz w:val="20"/>
                <w:szCs w:val="20"/>
                <w:lang w:val="en-US" w:eastAsia="zh-CN" w:bidi="ar-SA"/>
              </w:rPr>
              <w:t>37</w:t>
            </w:r>
            <w:r>
              <w:rPr>
                <w:rFonts w:hint="eastAsia" w:ascii="宋体" w:hAnsi="宋体" w:cs="黑体"/>
                <w:color w:val="000000"/>
                <w:sz w:val="20"/>
                <w:szCs w:val="20"/>
                <w:lang w:eastAsia="zh-CN" w:bidi="ar-SA"/>
              </w:rPr>
              <w:t>分）</w:t>
            </w:r>
          </w:p>
        </w:tc>
        <w:tc>
          <w:tcPr>
            <w:tcW w:w="1217"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服务网络(10分)</w:t>
            </w:r>
          </w:p>
        </w:tc>
        <w:tc>
          <w:tcPr>
            <w:tcW w:w="5828" w:type="dxa"/>
            <w:tcBorders>
              <w:top w:val="nil"/>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1、投标人设有市县级分(支)保险公司或营销服务部的数量覆盖达12(含)个的得10分，每缺少一个扣0.5分；扣完为止。</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证明材料：</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（1）设有分(支)保险公司的需提供分支保险公司工商登记营业执照复印件以及经营保险业务许可证复印件加盖公章，不提供不得分。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（2）设有营销服务部的需提供营销服务部的营业执照复印件加盖公章，不提供不得分。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注：如投标保险公司在一个市县及乡镇设立多家分（支）保险公司的视为同一个，含三沙市及洋浦经济开发区。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756" w:hRule="atLeast"/>
        </w:trPr>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107" w:type="dxa"/>
            <w:vMerge w:val="continue"/>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217"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合规经营（</w:t>
            </w:r>
            <w:r>
              <w:rPr>
                <w:rFonts w:hint="eastAsia" w:ascii="宋体" w:hAnsi="宋体" w:cs="黑体"/>
                <w:color w:val="000000"/>
                <w:sz w:val="20"/>
                <w:szCs w:val="20"/>
                <w:lang w:val="en-US" w:eastAsia="zh-CN" w:bidi="ar-SA"/>
              </w:rPr>
              <w:t>3</w:t>
            </w:r>
            <w:r>
              <w:rPr>
                <w:rFonts w:hint="eastAsia" w:ascii="宋体" w:hAnsi="宋体" w:cs="黑体"/>
                <w:color w:val="000000"/>
                <w:sz w:val="20"/>
                <w:szCs w:val="20"/>
                <w:lang w:eastAsia="zh-CN" w:bidi="ar-SA"/>
              </w:rPr>
              <w:t>分）</w:t>
            </w:r>
          </w:p>
        </w:tc>
        <w:tc>
          <w:tcPr>
            <w:tcW w:w="5828" w:type="dxa"/>
            <w:tcBorders>
              <w:top w:val="single" w:color="auto" w:sz="4" w:space="0"/>
              <w:left w:val="nil"/>
              <w:bottom w:val="single" w:color="auto" w:sz="4" w:space="0"/>
              <w:right w:val="single" w:color="auto" w:sz="4" w:space="0"/>
            </w:tcBorders>
            <w:vAlign w:val="center"/>
          </w:tcPr>
          <w:p>
            <w:pPr>
              <w:widowControl/>
              <w:autoSpaceDE w:val="0"/>
              <w:spacing w:before="0" w:beforeAutospacing="0" w:after="0" w:afterAutospacing="0" w:line="300" w:lineRule="exact"/>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投标人（含投标人在海南省所属的分支机构及人员），近四年内（2020-至今）无中国银保监会海南监管局行政处罚者得</w:t>
            </w:r>
            <w:r>
              <w:rPr>
                <w:rFonts w:hint="eastAsia" w:ascii="宋体" w:hAnsi="宋体" w:cs="黑体"/>
                <w:color w:val="000000"/>
                <w:sz w:val="20"/>
                <w:szCs w:val="20"/>
                <w:lang w:val="en-US" w:eastAsia="zh-CN" w:bidi="ar-SA"/>
              </w:rPr>
              <w:t>3</w:t>
            </w:r>
            <w:r>
              <w:rPr>
                <w:rFonts w:hint="eastAsia" w:ascii="宋体" w:hAnsi="宋体" w:cs="黑体"/>
                <w:color w:val="000000"/>
                <w:sz w:val="20"/>
                <w:szCs w:val="20"/>
                <w:lang w:eastAsia="zh-CN" w:bidi="ar-SA"/>
              </w:rPr>
              <w:t>分，每有一个行政处罚扣</w:t>
            </w:r>
            <w:r>
              <w:rPr>
                <w:rFonts w:hint="eastAsia" w:ascii="宋体" w:hAnsi="宋体" w:cs="黑体"/>
                <w:color w:val="000000"/>
                <w:sz w:val="20"/>
                <w:szCs w:val="20"/>
                <w:lang w:val="en-US" w:eastAsia="zh-CN" w:bidi="ar-SA"/>
              </w:rPr>
              <w:t>1</w:t>
            </w:r>
            <w:r>
              <w:rPr>
                <w:rFonts w:hint="eastAsia" w:ascii="宋体" w:hAnsi="宋体" w:cs="黑体"/>
                <w:color w:val="000000"/>
                <w:sz w:val="20"/>
                <w:szCs w:val="20"/>
                <w:lang w:eastAsia="zh-CN" w:bidi="ar-SA"/>
              </w:rPr>
              <w:t>分，扣完为止。</w:t>
            </w:r>
          </w:p>
          <w:p>
            <w:pPr>
              <w:widowControl/>
              <w:autoSpaceDE w:val="0"/>
              <w:spacing w:before="0" w:beforeAutospacing="0" w:after="0" w:afterAutospacing="0" w:line="300" w:lineRule="exact"/>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证明材料：需提供中国银行保险监督管理委员会海南监管局或原海南保监局行政处罚官网行政处罚决定书截图，没有记录的供应商提供承诺函，加盖单位公章)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297" w:hRule="atLeast"/>
        </w:trPr>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107" w:type="dxa"/>
            <w:vMerge w:val="continue"/>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217"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消费者投诉率</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(10分)</w:t>
            </w:r>
          </w:p>
        </w:tc>
        <w:tc>
          <w:tcPr>
            <w:tcW w:w="5828"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以中国银保监会官网http://www.cbirc.gov.cn/银保监消保发关于2023年第一季度保险消费投诉情况的通报【银保监消保发〔2023〕6号】公布的数据，投标人所属总公司万张保单投诉量的数值进行打分（需附文号、附件截图。）：</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1、0.01（不含）以下，得10分；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2、0.01（含）-0.12（不含），得8分；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3、0.12（含）-0.22（不含），得6分；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4、0.22（含）以上或未提供，得4分。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注：须提供相关证明材料并加盖投标人公章。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8" w:hRule="atLeast"/>
        </w:trPr>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107" w:type="dxa"/>
            <w:vMerge w:val="continue"/>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217"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偿付能力充足率</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(8分)</w:t>
            </w:r>
          </w:p>
        </w:tc>
        <w:tc>
          <w:tcPr>
            <w:tcW w:w="5828" w:type="dxa"/>
            <w:tcBorders>
              <w:top w:val="nil"/>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投标人或投标人所属总公司公开披露的2023年第2季度的综合偿付能力充足率：</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(1)230%（含）以上得8分；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(2)200%（含）至230%（不含）得6分；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(3)170%（含）至200%（不含）得4分；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(4)140%（含）至170%（不含）得2分；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(5)140%（不含）以下不得分。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证明材料：提供公开披露的2023年第2季度偿付能力专题审计报告复印件加盖公章。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044" w:hRule="atLeast"/>
        </w:trPr>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107" w:type="dxa"/>
            <w:vMerge w:val="continue"/>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217"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系统数据备份及恢复</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(6分)</w:t>
            </w:r>
          </w:p>
        </w:tc>
        <w:tc>
          <w:tcPr>
            <w:tcW w:w="5828" w:type="dxa"/>
            <w:tcBorders>
              <w:top w:val="nil"/>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(1)具有完整的信息系统安全管理策略及灾难备份与恢复策略，能实现系统级千公里异地热备份、灾难下能1个工作日内恢复业务的，得6分。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(2)具有完整的信息系统安全管理策略及灾难备份与恢复策略，备份系统至少能实现同城异地应用级备份的，得4分。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(3)具有完整的信息系统安全管理策略及灾难备份与恢复策略，备份系统至少能实现同城异地数据级备份的，得2分。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(4)不具备系统数据备份及恢复能力的或不做说明的不得分。注：本项不重复计分，最高得6分。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证明材料：提供相关证明材料复印件并加盖公章。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29" w:hRule="atLeast"/>
        </w:trPr>
        <w:tc>
          <w:tcPr>
            <w:tcW w:w="64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3</w:t>
            </w:r>
          </w:p>
        </w:tc>
        <w:tc>
          <w:tcPr>
            <w:tcW w:w="1107" w:type="dxa"/>
            <w:vMerge w:val="restart"/>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实施方案</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（10分）</w:t>
            </w:r>
          </w:p>
        </w:tc>
        <w:tc>
          <w:tcPr>
            <w:tcW w:w="1217"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服务方案(6分)</w:t>
            </w:r>
          </w:p>
        </w:tc>
        <w:tc>
          <w:tcPr>
            <w:tcW w:w="5828"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根据投标人提供的保险服务方案(须涵盖“采购需求”中所有保险责任项目)及增值服务方案的全面性、合理性、可行性进行综合打分，最高计6分，有缺漏项或欠合理的每项扣1分，扣完为止。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47" w:hRule="atLeast"/>
        </w:trPr>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107" w:type="dxa"/>
            <w:vMerge w:val="continue"/>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217"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咨诉反馈能力</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(4分)</w:t>
            </w:r>
          </w:p>
        </w:tc>
        <w:tc>
          <w:tcPr>
            <w:tcW w:w="5828"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根据投标人提供通畅的咨询、投诉专线电话等通道，实现咨询、投诉快速处理的有效机制及措施，所制定的投诉反馈及处理方案的合理高效程度、专业程度等方面赋分：1-4分，不提供者不得分。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617" w:hRule="atLeast"/>
        </w:trPr>
        <w:tc>
          <w:tcPr>
            <w:tcW w:w="644" w:type="dxa"/>
            <w:vMerge w:val="restart"/>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4</w:t>
            </w:r>
          </w:p>
        </w:tc>
        <w:tc>
          <w:tcPr>
            <w:tcW w:w="1107" w:type="dxa"/>
            <w:vMerge w:val="restart"/>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售后服务能力</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（34分）</w:t>
            </w:r>
          </w:p>
        </w:tc>
        <w:tc>
          <w:tcPr>
            <w:tcW w:w="1217"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人员配备方案</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(8分)</w:t>
            </w:r>
          </w:p>
        </w:tc>
        <w:tc>
          <w:tcPr>
            <w:tcW w:w="5828" w:type="dxa"/>
            <w:tcBorders>
              <w:top w:val="nil"/>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根据投标人提供的人员配备方案，包括但不限于人员构成；人员职责分工；人员层次和结构；设立网络服务人员分配情况安排等内容；本项满分8分。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人员配备计划方案内容完善，不缺项漏项：人员构成合理，职责分工明确、适用性强，各市县人员分布情况安排思路清晰、完整均匀，人员层次和结构能够根据实际情况制订，整体方案优于招标人的需求，考虑问题周全，实施过程务实且具有可行性的得5.4-8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人员配备计划方案内容相对完善，基本不缺项漏项：人员构成清楚，职责分工较明确，各市县人员分布情况安排思路一般，人员层次和结构能相对根据实际情况制订，整体方案较合理、可行性一般的得2.7-5.3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(3)整体方案内容缺项漏项不完整且条理不清、方案思路及可行性较差的得0-2.6分；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(4)不提供者得0分。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992" w:hRule="atLeast"/>
        </w:trPr>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107" w:type="dxa"/>
            <w:vMerge w:val="continue"/>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217" w:type="dxa"/>
            <w:tcBorders>
              <w:top w:val="nil"/>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工作计划(8分)</w:t>
            </w:r>
          </w:p>
        </w:tc>
        <w:tc>
          <w:tcPr>
            <w:tcW w:w="5828" w:type="dxa"/>
            <w:tcBorders>
              <w:top w:val="nil"/>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根据投标人提供的工作计划(包括但不限于承保流程；索赔机制；理赔流程及理赔材料；理赔措施等内容)的完整性、简捷可行性、合理性进行综合打分，本项满分8分。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(1)工作计划内容完整丰富且不缺项漏项：根据承保流程的完整性、索赔机制的完善性、理赔流程的简捷度、理赔材料的清晰明确程度、理赔措施的合理高效程度等方面赋分：5.4-8分；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(2)工作计划内容基本完整：根据承保流程的完整性、索赔机制的完善性、理赔流程的简捷度、理赔材料的清晰明确程度、理赔措施的合理高效程度等方面赋分：2.7-5.3分；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(3)工作计划内容缺项漏项不完整：根据描述的方案完整性、条理性、针对性等程度赋分：0-2.6分；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(4)不提供者得0分。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924" w:hRule="atLeast"/>
        </w:trPr>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107" w:type="dxa"/>
            <w:vMerge w:val="continue"/>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217"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理赔服务质量保障方案</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(8分)</w:t>
            </w:r>
          </w:p>
        </w:tc>
        <w:tc>
          <w:tcPr>
            <w:tcW w:w="5828"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根据投标人提供的理赔服务质量保障方案，包括但不限于理赔质量保障措施、理赔质量保障承诺(承诺中需包含“在索赔材料齐全的情况下，开具赔款通知书时间不得超过5个工作日、结案时间不得超过20个工作日”的等相应承诺，超时或不提供的不得分)等方面的合理完善性、可行性进行综合打分，最高计8分，有缺漏项或欠合理的每项扣2分，扣完为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267" w:hRule="atLeast"/>
        </w:trPr>
        <w:tc>
          <w:tcPr>
            <w:tcW w:w="644" w:type="dxa"/>
            <w:vMerge w:val="continue"/>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107" w:type="dxa"/>
            <w:vMerge w:val="continue"/>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default" w:ascii="宋体" w:hAnsi="宋体" w:cs="黑体"/>
                <w:color w:val="000000"/>
                <w:sz w:val="20"/>
                <w:szCs w:val="20"/>
                <w:lang w:eastAsia="zh-CN" w:bidi="ar-SA"/>
              </w:rPr>
            </w:pPr>
          </w:p>
        </w:tc>
        <w:tc>
          <w:tcPr>
            <w:tcW w:w="1217"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自助支持能力</w:t>
            </w:r>
          </w:p>
          <w:p>
            <w:pPr>
              <w:widowControl/>
              <w:spacing w:before="0" w:beforeAutospacing="0" w:after="0" w:afterAutospacing="0"/>
              <w:ind w:left="0" w:right="0"/>
              <w:jc w:val="center"/>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(10分)</w:t>
            </w:r>
          </w:p>
        </w:tc>
        <w:tc>
          <w:tcPr>
            <w:tcW w:w="5828" w:type="dxa"/>
            <w:tcBorders>
              <w:top w:val="single" w:color="auto" w:sz="4" w:space="0"/>
              <w:left w:val="nil"/>
              <w:bottom w:val="single" w:color="auto" w:sz="4" w:space="0"/>
              <w:right w:val="single" w:color="auto" w:sz="4" w:space="0"/>
            </w:tcBorders>
            <w:vAlign w:val="center"/>
          </w:tcPr>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1.自助理赔支持能力</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(1)能为被保人提供手机自助理赔服务者，并拥有专属自主平台进行自助理赔服务者得5分；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(2)能提供自助理赔服务，需要借助第三方平台实现者得3分；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(3)不能提供自助理赔服务者不得分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(提供自助理赔专属平台下载链接或二维码作为验证依据)；</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2.自助查询支持能力</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(1)能为被保人提供手机自助查询服务者，并拥有专属自主平台进行自助查询保单信息者得5分；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(2)能提供自助查询服务，但需要借助第三方平台才能实现者得3分；</w:t>
            </w:r>
          </w:p>
          <w:p>
            <w:pPr>
              <w:widowControl/>
              <w:spacing w:before="0" w:beforeAutospacing="0" w:after="0" w:afterAutospacing="0"/>
              <w:ind w:left="0" w:right="0"/>
              <w:rPr>
                <w:rFonts w:hint="eastAsia" w:ascii="宋体" w:hAnsi="宋体" w:cs="黑体"/>
                <w:color w:val="000000"/>
                <w:sz w:val="20"/>
                <w:szCs w:val="20"/>
                <w:lang w:eastAsia="zh-CN" w:bidi="ar-SA"/>
              </w:rPr>
            </w:pPr>
            <w:r>
              <w:rPr>
                <w:rFonts w:hint="eastAsia" w:ascii="宋体" w:hAnsi="宋体" w:cs="黑体"/>
                <w:color w:val="000000"/>
                <w:sz w:val="20"/>
                <w:szCs w:val="20"/>
                <w:lang w:eastAsia="zh-CN" w:bidi="ar-SA"/>
              </w:rPr>
              <w:t>(3)不能提供自助查询服务者不得分</w:t>
            </w:r>
          </w:p>
          <w:p>
            <w:pPr>
              <w:widowControl/>
              <w:spacing w:before="0" w:beforeAutospacing="0" w:after="0" w:afterAutospacing="0"/>
              <w:ind w:left="0" w:right="0"/>
              <w:rPr>
                <w:rFonts w:hint="default" w:ascii="宋体" w:hAnsi="宋体" w:cs="黑体"/>
                <w:color w:val="000000"/>
                <w:sz w:val="20"/>
                <w:szCs w:val="20"/>
                <w:lang w:eastAsia="zh-CN" w:bidi="ar-SA"/>
              </w:rPr>
            </w:pPr>
            <w:r>
              <w:rPr>
                <w:rFonts w:hint="eastAsia" w:ascii="宋体" w:hAnsi="宋体" w:cs="黑体"/>
                <w:color w:val="000000"/>
                <w:sz w:val="20"/>
                <w:szCs w:val="20"/>
                <w:lang w:eastAsia="zh-CN" w:bidi="ar-SA"/>
              </w:rPr>
              <w:t>(提供自助查询服务专属平台下载链接或二维码作为验证依据)。</w:t>
            </w:r>
          </w:p>
        </w:tc>
      </w:tr>
    </w:tbl>
    <w:p>
      <w:pPr>
        <w:widowControl w:val="0"/>
        <w:jc w:val="both"/>
        <w:rPr>
          <w:rFonts w:ascii="Calibri" w:hAnsi="Calibri" w:cs="黑体"/>
          <w:kern w:val="2"/>
          <w:sz w:val="21"/>
          <w:szCs w:val="21"/>
          <w:lang w:eastAsia="zh-CN" w:bidi="ar-SA"/>
        </w:rPr>
      </w:pPr>
    </w:p>
    <w:p>
      <w:pPr>
        <w:widowControl w:val="0"/>
        <w:jc w:val="both"/>
        <w:rPr>
          <w:rFonts w:ascii="Calibri" w:hAnsi="Calibri" w:cs="黑体"/>
          <w:kern w:val="2"/>
          <w:sz w:val="21"/>
          <w:szCs w:val="21"/>
          <w:lang w:eastAsia="zh-CN" w:bidi="ar-SA"/>
        </w:rPr>
      </w:pPr>
    </w:p>
    <w:p>
      <w:pPr>
        <w:shd w:val="clear" w:color="auto" w:fill="FFFFFF"/>
        <w:spacing w:line="360" w:lineRule="auto"/>
        <w:rPr>
          <w:rFonts w:hint="eastAsia" w:ascii="宋体" w:hAnsi="宋体"/>
          <w:lang w:eastAsia="zh-CN" w:bidi="ar-SA"/>
        </w:rPr>
      </w:pPr>
      <w:r>
        <w:rPr>
          <w:rFonts w:hint="eastAsia" w:ascii="宋体" w:hAnsi="宋体"/>
          <w:lang w:eastAsia="zh-CN" w:bidi="ar-SA"/>
        </w:rPr>
        <w:t>评标委员会（签字）：</w:t>
      </w:r>
      <w:r>
        <w:rPr>
          <w:rFonts w:hint="eastAsia" w:ascii="宋体" w:hAnsi="宋体"/>
          <w:lang w:val="en-US" w:eastAsia="zh-CN" w:bidi="ar-SA"/>
        </w:rPr>
        <w:t xml:space="preserve"> </w:t>
      </w:r>
      <w:r>
        <w:rPr>
          <w:rFonts w:hint="eastAsia" w:ascii="宋体" w:hAnsi="宋体"/>
          <w:lang w:eastAsia="zh-CN" w:bidi="ar-SA"/>
        </w:rPr>
        <w:t>日期：</w:t>
      </w:r>
      <w:r>
        <w:rPr>
          <w:rFonts w:hint="eastAsia" w:ascii="宋体" w:hAnsi="宋体"/>
          <w:lang w:val="en-US" w:eastAsia="zh-CN" w:bidi="ar-SA"/>
        </w:rPr>
        <w:t xml:space="preserve">   </w:t>
      </w:r>
      <w:r>
        <w:rPr>
          <w:rFonts w:hint="eastAsia" w:ascii="宋体" w:hAnsi="宋体"/>
          <w:lang w:eastAsia="zh-CN" w:bidi="ar-SA"/>
        </w:rPr>
        <w:t>年</w:t>
      </w:r>
      <w:r>
        <w:rPr>
          <w:rFonts w:hint="eastAsia" w:ascii="宋体" w:hAnsi="宋体"/>
          <w:lang w:val="en-US" w:eastAsia="zh-CN" w:bidi="ar-SA"/>
        </w:rPr>
        <w:t xml:space="preserve">  </w:t>
      </w:r>
      <w:r>
        <w:rPr>
          <w:rFonts w:hint="eastAsia" w:ascii="宋体" w:hAnsi="宋体"/>
          <w:lang w:eastAsia="zh-CN" w:bidi="ar-SA"/>
        </w:rPr>
        <w:t>月</w:t>
      </w:r>
      <w:r>
        <w:rPr>
          <w:rFonts w:hint="eastAsia" w:ascii="宋体" w:hAnsi="宋体"/>
          <w:lang w:val="en-US" w:eastAsia="zh-CN" w:bidi="ar-SA"/>
        </w:rPr>
        <w:t xml:space="preserve">  </w:t>
      </w:r>
      <w:r>
        <w:rPr>
          <w:rFonts w:hint="eastAsia" w:ascii="宋体" w:hAnsi="宋体"/>
          <w:lang w:eastAsia="zh-CN" w:bidi="ar-SA"/>
        </w:rPr>
        <w:t>日</w:t>
      </w:r>
    </w:p>
    <w:p>
      <w:pPr>
        <w:shd w:val="clear" w:color="auto" w:fill="FFFFFF"/>
        <w:spacing w:line="360" w:lineRule="auto"/>
        <w:rPr>
          <w:rFonts w:hint="eastAsia" w:ascii="宋体" w:hAnsi="宋体"/>
          <w:sz w:val="28"/>
          <w:szCs w:val="28"/>
          <w:lang w:eastAsia="zh-CN" w:bidi="ar-SA"/>
        </w:rPr>
      </w:pPr>
    </w:p>
    <w:p>
      <w:pPr>
        <w:shd w:val="clear" w:color="auto" w:fill="FFFFFF"/>
        <w:spacing w:line="360" w:lineRule="auto"/>
        <w:rPr>
          <w:rFonts w:hint="eastAsia" w:ascii="宋体" w:hAnsi="宋体"/>
          <w:sz w:val="28"/>
          <w:szCs w:val="28"/>
          <w:lang w:eastAsia="zh-CN" w:bidi="ar-SA"/>
        </w:rPr>
      </w:pPr>
    </w:p>
    <w:p>
      <w:pPr>
        <w:spacing w:before="360" w:after="360"/>
        <w:jc w:val="center"/>
        <w:rPr>
          <w:rFonts w:hint="eastAsia"/>
          <w:lang w:eastAsia="zh-CN"/>
        </w:rPr>
      </w:pPr>
      <w:r>
        <w:rPr>
          <w:rFonts w:hint="eastAsia" w:ascii="宋体" w:hAnsi="宋体"/>
          <w:b/>
          <w:bCs/>
          <w:sz w:val="28"/>
          <w:szCs w:val="28"/>
          <w:lang w:eastAsia="zh-CN" w:bidi="ar-SA"/>
        </w:rPr>
        <w:br w:type="page"/>
      </w:r>
    </w:p>
    <w:p>
      <w:pPr>
        <w:spacing w:line="271" w:lineRule="auto"/>
        <w:rPr>
          <w:rFonts w:ascii="Arial"/>
        </w:rPr>
      </w:pPr>
    </w:p>
    <w:p>
      <w:pPr>
        <w:spacing w:before="101"/>
        <w:ind w:left="1687"/>
        <w:outlineLvl w:val="0"/>
        <w:rPr>
          <w:rFonts w:ascii="宋体" w:hAnsi="宋体"/>
          <w:b/>
          <w:bCs/>
          <w:sz w:val="32"/>
          <w:szCs w:val="32"/>
        </w:rPr>
      </w:pPr>
      <w:r>
        <w:rPr>
          <w:rFonts w:hint="eastAsia" w:ascii="宋体" w:hAnsi="宋体"/>
          <w:b/>
          <w:bCs/>
          <w:spacing w:val="16"/>
          <w:sz w:val="32"/>
          <w:szCs w:val="32"/>
        </w:rPr>
        <w:t>第</w:t>
      </w:r>
      <w:r>
        <w:rPr>
          <w:rFonts w:hint="eastAsia" w:ascii="宋体" w:hAnsi="宋体"/>
          <w:b/>
          <w:bCs/>
          <w:spacing w:val="12"/>
          <w:sz w:val="32"/>
          <w:szCs w:val="32"/>
          <w:lang w:eastAsia="zh-CN"/>
        </w:rPr>
        <w:t>五</w:t>
      </w:r>
      <w:r>
        <w:rPr>
          <w:rFonts w:hint="eastAsia" w:ascii="宋体" w:hAnsi="宋体"/>
          <w:b/>
          <w:bCs/>
          <w:spacing w:val="8"/>
          <w:sz w:val="32"/>
          <w:szCs w:val="32"/>
        </w:rPr>
        <w:t>章合同主要条款(参考范本)</w:t>
      </w:r>
    </w:p>
    <w:p>
      <w:pPr>
        <w:spacing w:line="256" w:lineRule="auto"/>
        <w:rPr>
          <w:rFonts w:hint="eastAsia" w:ascii="Arial" w:eastAsia="宋体"/>
          <w:sz w:val="21"/>
          <w:szCs w:val="21"/>
          <w:lang w:eastAsia="zh-CN"/>
        </w:rPr>
      </w:pPr>
    </w:p>
    <w:p>
      <w:pPr>
        <w:spacing w:line="256" w:lineRule="auto"/>
        <w:rPr>
          <w:rFonts w:hint="eastAsia" w:ascii="Arial" w:eastAsia="宋体"/>
          <w:lang w:eastAsia="zh-CN"/>
        </w:rPr>
      </w:pPr>
    </w:p>
    <w:p>
      <w:pPr>
        <w:spacing w:line="256" w:lineRule="auto"/>
        <w:rPr>
          <w:rFonts w:hint="eastAsia" w:ascii="Arial" w:eastAsia="宋体"/>
          <w:lang w:eastAsia="zh-CN"/>
        </w:rPr>
      </w:pPr>
    </w:p>
    <w:p>
      <w:pPr>
        <w:spacing w:line="256" w:lineRule="auto"/>
        <w:rPr>
          <w:rFonts w:hint="eastAsia" w:ascii="Arial" w:eastAsia="宋体"/>
          <w:lang w:eastAsia="zh-CN"/>
        </w:rPr>
      </w:pPr>
    </w:p>
    <w:p>
      <w:pPr>
        <w:spacing w:before="74"/>
        <w:ind w:left="586"/>
        <w:rPr>
          <w:rFonts w:ascii="宋体" w:hAnsi="宋体"/>
          <w:sz w:val="23"/>
          <w:szCs w:val="23"/>
        </w:rPr>
      </w:pPr>
      <w:r>
        <w:rPr>
          <w:rFonts w:hint="eastAsia" w:ascii="宋体" w:hAnsi="宋体"/>
          <w:spacing w:val="13"/>
          <w:sz w:val="23"/>
          <w:szCs w:val="23"/>
        </w:rPr>
        <w:t>(只在此提供合同模板，具体内容由招标人和中标人根据招标文件的内容具体协商约定</w:t>
      </w:r>
      <w:r>
        <w:rPr>
          <w:rFonts w:hint="eastAsia" w:ascii="宋体" w:hAnsi="宋体"/>
          <w:spacing w:val="7"/>
          <w:sz w:val="23"/>
          <w:szCs w:val="23"/>
        </w:rPr>
        <w:t>)</w:t>
      </w:r>
    </w:p>
    <w:p>
      <w:pPr>
        <w:spacing w:line="256" w:lineRule="auto"/>
        <w:rPr>
          <w:rFonts w:hint="eastAsia" w:ascii="Arial" w:eastAsia="宋体"/>
          <w:sz w:val="21"/>
          <w:szCs w:val="21"/>
          <w:lang w:eastAsia="zh-CN"/>
        </w:rPr>
      </w:pPr>
    </w:p>
    <w:p>
      <w:pPr>
        <w:spacing w:line="259" w:lineRule="auto"/>
        <w:rPr>
          <w:rFonts w:hint="eastAsia" w:ascii="Arial" w:eastAsia="宋体"/>
          <w:lang w:eastAsia="zh-CN"/>
        </w:rPr>
      </w:pPr>
    </w:p>
    <w:p>
      <w:pPr>
        <w:spacing w:line="259" w:lineRule="auto"/>
        <w:rPr>
          <w:rFonts w:hint="eastAsia" w:ascii="Arial" w:eastAsia="宋体"/>
          <w:lang w:eastAsia="zh-CN"/>
        </w:rPr>
      </w:pPr>
    </w:p>
    <w:p>
      <w:pPr>
        <w:spacing w:line="259" w:lineRule="auto"/>
        <w:rPr>
          <w:rFonts w:hint="eastAsia" w:ascii="Arial" w:eastAsia="宋体"/>
          <w:lang w:eastAsia="zh-CN"/>
        </w:rPr>
      </w:pPr>
    </w:p>
    <w:p>
      <w:pPr>
        <w:spacing w:line="259" w:lineRule="auto"/>
        <w:rPr>
          <w:rFonts w:hint="eastAsia" w:ascii="Arial" w:eastAsia="宋体"/>
          <w:lang w:eastAsia="zh-CN"/>
        </w:rPr>
      </w:pPr>
    </w:p>
    <w:p>
      <w:pPr>
        <w:spacing w:before="101"/>
        <w:ind w:left="2895"/>
        <w:rPr>
          <w:rFonts w:ascii="宋体" w:hAnsi="宋体"/>
          <w:sz w:val="31"/>
          <w:szCs w:val="31"/>
        </w:rPr>
      </w:pPr>
      <w:r>
        <w:rPr>
          <w:rFonts w:hint="eastAsia" w:ascii="宋体" w:hAnsi="宋体"/>
          <w:spacing w:val="11"/>
          <w:sz w:val="31"/>
          <w:szCs w:val="31"/>
        </w:rPr>
        <w:t>合</w:t>
      </w:r>
      <w:r>
        <w:rPr>
          <w:rFonts w:hint="eastAsia" w:ascii="宋体" w:hAnsi="宋体"/>
          <w:spacing w:val="9"/>
          <w:sz w:val="31"/>
          <w:szCs w:val="31"/>
        </w:rPr>
        <w:t>同通用条款部分</w:t>
      </w:r>
    </w:p>
    <w:p>
      <w:pPr>
        <w:spacing w:line="422" w:lineRule="auto"/>
        <w:rPr>
          <w:rFonts w:hint="eastAsia" w:ascii="Arial" w:eastAsia="宋体"/>
          <w:sz w:val="21"/>
          <w:szCs w:val="21"/>
          <w:lang w:eastAsia="zh-CN"/>
        </w:rPr>
      </w:pPr>
    </w:p>
    <w:p>
      <w:pPr>
        <w:spacing w:before="101"/>
        <w:ind w:left="3711"/>
        <w:rPr>
          <w:rFonts w:ascii="宋体" w:hAnsi="宋体"/>
          <w:sz w:val="31"/>
          <w:szCs w:val="31"/>
        </w:rPr>
      </w:pPr>
      <w:r>
        <w:rPr>
          <w:rFonts w:hint="eastAsia" w:ascii="宋体" w:hAnsi="宋体"/>
          <w:spacing w:val="50"/>
          <w:sz w:val="31"/>
          <w:szCs w:val="31"/>
        </w:rPr>
        <w:t>(略)</w:t>
      </w:r>
    </w:p>
    <w:p>
      <w:pPr>
        <w:spacing w:line="252" w:lineRule="auto"/>
        <w:rPr>
          <w:rFonts w:hint="eastAsia" w:ascii="Arial" w:eastAsia="宋体"/>
          <w:sz w:val="21"/>
          <w:szCs w:val="21"/>
          <w:lang w:eastAsia="zh-CN"/>
        </w:rPr>
      </w:pPr>
    </w:p>
    <w:p>
      <w:pPr>
        <w:spacing w:line="252" w:lineRule="auto"/>
        <w:rPr>
          <w:rFonts w:hint="eastAsia" w:ascii="Arial" w:eastAsia="宋体"/>
          <w:lang w:eastAsia="zh-CN"/>
        </w:rPr>
      </w:pPr>
    </w:p>
    <w:p>
      <w:pPr>
        <w:spacing w:line="252" w:lineRule="auto"/>
        <w:rPr>
          <w:rFonts w:hint="eastAsia" w:ascii="Arial" w:eastAsia="宋体"/>
          <w:lang w:eastAsia="zh-CN"/>
        </w:rPr>
      </w:pPr>
    </w:p>
    <w:p>
      <w:pPr>
        <w:spacing w:before="101"/>
        <w:ind w:left="2895"/>
        <w:rPr>
          <w:rFonts w:ascii="宋体" w:hAnsi="宋体"/>
          <w:sz w:val="31"/>
          <w:szCs w:val="31"/>
        </w:rPr>
      </w:pPr>
      <w:r>
        <w:rPr>
          <w:rFonts w:hint="eastAsia" w:ascii="宋体" w:hAnsi="宋体"/>
          <w:spacing w:val="11"/>
          <w:sz w:val="31"/>
          <w:szCs w:val="31"/>
        </w:rPr>
        <w:t>合</w:t>
      </w:r>
      <w:r>
        <w:rPr>
          <w:rFonts w:hint="eastAsia" w:ascii="宋体" w:hAnsi="宋体"/>
          <w:spacing w:val="9"/>
          <w:sz w:val="31"/>
          <w:szCs w:val="31"/>
        </w:rPr>
        <w:t>同专用条款部分</w:t>
      </w:r>
    </w:p>
    <w:p>
      <w:pPr>
        <w:rPr>
          <w:rFonts w:ascii="Arial"/>
        </w:rPr>
        <w:sectPr>
          <w:headerReference r:id="rId6" w:type="default"/>
          <w:footerReference r:id="rId7" w:type="default"/>
          <w:type w:val="continuous"/>
          <w:pgSz w:w="11906" w:h="16839"/>
          <w:pgMar w:top="400" w:right="1785" w:bottom="882" w:left="1785" w:header="720" w:footer="720" w:gutter="0"/>
          <w:pgNumType w:fmt="decimal"/>
          <w:cols w:space="720" w:num="1"/>
        </w:sectPr>
      </w:pPr>
    </w:p>
    <w:p>
      <w:pPr>
        <w:spacing w:line="247" w:lineRule="auto"/>
        <w:jc w:val="center"/>
        <w:rPr>
          <w:rFonts w:hint="eastAsia" w:ascii="Arial"/>
          <w:b w:val="0"/>
          <w:bCs/>
          <w:sz w:val="32"/>
          <w:szCs w:val="32"/>
        </w:rPr>
      </w:pPr>
      <w:r>
        <w:rPr>
          <w:rFonts w:hint="eastAsia" w:ascii="宋体" w:hAnsi="宋体"/>
          <w:b w:val="0"/>
          <w:bCs/>
          <w:sz w:val="32"/>
          <w:szCs w:val="32"/>
          <w:lang w:eastAsia="zh-CN"/>
        </w:rPr>
        <w:t>合同文本</w:t>
      </w: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before="75"/>
        <w:rPr>
          <w:rFonts w:ascii="宋体" w:hAnsi="宋体"/>
          <w:sz w:val="23"/>
          <w:szCs w:val="23"/>
        </w:rPr>
      </w:pPr>
      <w:r>
        <w:rPr>
          <w:rFonts w:hint="eastAsia" w:ascii="宋体" w:hAnsi="宋体"/>
          <w:spacing w:val="8"/>
          <w:sz w:val="23"/>
          <w:szCs w:val="23"/>
        </w:rPr>
        <w:t>协</w:t>
      </w:r>
      <w:r>
        <w:rPr>
          <w:rFonts w:hint="eastAsia" w:ascii="宋体" w:hAnsi="宋体"/>
          <w:spacing w:val="6"/>
          <w:sz w:val="23"/>
          <w:szCs w:val="23"/>
        </w:rPr>
        <w:t>议编号：</w:t>
      </w:r>
    </w:p>
    <w:p>
      <w:pPr>
        <w:spacing w:line="266" w:lineRule="auto"/>
        <w:rPr>
          <w:rFonts w:hint="eastAsia" w:ascii="Arial" w:eastAsia="宋体"/>
          <w:sz w:val="21"/>
          <w:szCs w:val="21"/>
          <w:lang w:eastAsia="zh-CN"/>
        </w:rPr>
      </w:pPr>
    </w:p>
    <w:p>
      <w:pPr>
        <w:spacing w:line="266" w:lineRule="auto"/>
        <w:rPr>
          <w:rFonts w:hint="eastAsia" w:ascii="Arial" w:eastAsia="宋体"/>
          <w:lang w:eastAsia="zh-CN"/>
        </w:rPr>
      </w:pPr>
    </w:p>
    <w:p>
      <w:pPr>
        <w:spacing w:line="266" w:lineRule="auto"/>
        <w:rPr>
          <w:rFonts w:hint="eastAsia" w:ascii="Arial" w:eastAsia="宋体"/>
          <w:lang w:eastAsia="zh-CN"/>
        </w:rPr>
      </w:pPr>
    </w:p>
    <w:p>
      <w:pPr>
        <w:spacing w:line="266" w:lineRule="auto"/>
        <w:rPr>
          <w:rFonts w:hint="eastAsia" w:ascii="Arial" w:eastAsia="宋体"/>
          <w:lang w:eastAsia="zh-CN"/>
        </w:rPr>
      </w:pPr>
    </w:p>
    <w:p>
      <w:pPr>
        <w:spacing w:line="266" w:lineRule="auto"/>
        <w:rPr>
          <w:rFonts w:hint="eastAsia" w:ascii="Arial" w:eastAsia="宋体"/>
          <w:lang w:eastAsia="zh-CN"/>
        </w:rPr>
      </w:pPr>
    </w:p>
    <w:p>
      <w:pPr>
        <w:spacing w:before="140"/>
        <w:ind w:left="708" w:firstLine="876" w:firstLineChars="200"/>
        <w:rPr>
          <w:rFonts w:ascii="宋体" w:hAnsi="宋体"/>
          <w:sz w:val="43"/>
          <w:szCs w:val="43"/>
        </w:rPr>
      </w:pPr>
      <w:r>
        <w:rPr>
          <w:rFonts w:hint="eastAsia" w:ascii="宋体" w:hAnsi="宋体"/>
          <w:spacing w:val="4"/>
          <w:sz w:val="43"/>
          <w:szCs w:val="43"/>
        </w:rPr>
        <w:t>为残疾人购买</w:t>
      </w:r>
      <w:r>
        <w:rPr>
          <w:rFonts w:hint="eastAsia" w:ascii="宋体" w:hAnsi="宋体"/>
          <w:spacing w:val="2"/>
          <w:sz w:val="43"/>
          <w:szCs w:val="43"/>
        </w:rPr>
        <w:t>商业保险项目(202</w:t>
      </w:r>
      <w:r>
        <w:rPr>
          <w:rFonts w:hint="eastAsia" w:ascii="宋体" w:hAnsi="宋体"/>
          <w:spacing w:val="2"/>
          <w:sz w:val="43"/>
          <w:szCs w:val="43"/>
          <w:lang w:eastAsia="zh-CN"/>
        </w:rPr>
        <w:t>4</w:t>
      </w:r>
      <w:r>
        <w:rPr>
          <w:rFonts w:hint="eastAsia" w:ascii="宋体" w:hAnsi="宋体"/>
          <w:spacing w:val="2"/>
          <w:sz w:val="43"/>
          <w:szCs w:val="43"/>
        </w:rPr>
        <w:t>年)</w:t>
      </w:r>
    </w:p>
    <w:p>
      <w:pPr>
        <w:spacing w:before="103"/>
        <w:ind w:left="3818"/>
        <w:rPr>
          <w:rFonts w:hint="eastAsia" w:ascii="宋体" w:hAnsi="宋体"/>
          <w:sz w:val="43"/>
          <w:szCs w:val="43"/>
        </w:rPr>
      </w:pPr>
      <w:r>
        <w:rPr>
          <w:rFonts w:hint="eastAsia" w:ascii="宋体" w:hAnsi="宋体"/>
          <w:spacing w:val="-10"/>
          <w:sz w:val="43"/>
          <w:szCs w:val="43"/>
        </w:rPr>
        <w:t>(</w:t>
      </w:r>
      <w:r>
        <w:rPr>
          <w:rFonts w:hint="eastAsia" w:ascii="宋体" w:hAnsi="宋体"/>
          <w:spacing w:val="-7"/>
          <w:sz w:val="43"/>
          <w:szCs w:val="43"/>
        </w:rPr>
        <w:t>统招分签)</w:t>
      </w:r>
    </w:p>
    <w:p>
      <w:pPr>
        <w:spacing w:line="244" w:lineRule="auto"/>
        <w:rPr>
          <w:rFonts w:hint="eastAsia" w:ascii="Arial" w:eastAsia="宋体"/>
          <w:sz w:val="21"/>
          <w:szCs w:val="21"/>
          <w:lang w:eastAsia="zh-CN"/>
        </w:rPr>
      </w:pPr>
    </w:p>
    <w:p>
      <w:pPr>
        <w:spacing w:line="244" w:lineRule="auto"/>
        <w:rPr>
          <w:rFonts w:hint="eastAsia" w:ascii="Arial" w:eastAsia="宋体"/>
          <w:lang w:eastAsia="zh-CN"/>
        </w:rPr>
      </w:pPr>
    </w:p>
    <w:p>
      <w:pPr>
        <w:spacing w:line="244"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line="247" w:lineRule="auto"/>
        <w:rPr>
          <w:rFonts w:hint="eastAsia" w:ascii="Arial" w:eastAsia="宋体"/>
          <w:lang w:eastAsia="zh-CN"/>
        </w:rPr>
      </w:pPr>
    </w:p>
    <w:p>
      <w:pPr>
        <w:spacing w:before="91"/>
        <w:ind w:left="3185"/>
        <w:rPr>
          <w:rFonts w:ascii="宋体" w:hAnsi="宋体"/>
          <w:sz w:val="28"/>
          <w:szCs w:val="28"/>
        </w:rPr>
      </w:pPr>
      <w:r>
        <w:rPr>
          <w:rFonts w:hint="eastAsia" w:ascii="宋体" w:hAnsi="宋体"/>
          <w:spacing w:val="-6"/>
          <w:sz w:val="28"/>
          <w:szCs w:val="28"/>
        </w:rPr>
        <w:t>签署时间</w:t>
      </w:r>
      <w:r>
        <w:rPr>
          <w:rFonts w:hint="eastAsia" w:ascii="宋体" w:hAnsi="宋体"/>
          <w:spacing w:val="-5"/>
          <w:sz w:val="28"/>
          <w:szCs w:val="28"/>
        </w:rPr>
        <w:t>：</w:t>
      </w:r>
      <w:r>
        <w:rPr>
          <w:rFonts w:hint="eastAsia" w:ascii="宋体" w:hAnsi="宋体"/>
          <w:spacing w:val="-5"/>
          <w:sz w:val="28"/>
          <w:szCs w:val="28"/>
          <w:lang w:val="en-US" w:eastAsia="zh-CN"/>
        </w:rPr>
        <w:t xml:space="preserve"> </w:t>
      </w:r>
      <w:r>
        <w:rPr>
          <w:rFonts w:hint="eastAsia" w:ascii="宋体" w:hAnsi="宋体"/>
          <w:spacing w:val="-3"/>
          <w:sz w:val="28"/>
          <w:szCs w:val="28"/>
        </w:rPr>
        <w:t>年</w:t>
      </w:r>
      <w:r>
        <w:rPr>
          <w:rFonts w:hint="eastAsia" w:ascii="宋体" w:hAnsi="宋体"/>
          <w:spacing w:val="-3"/>
          <w:sz w:val="28"/>
          <w:szCs w:val="28"/>
          <w:lang w:val="en-US" w:eastAsia="zh-CN"/>
        </w:rPr>
        <w:t xml:space="preserve"> </w:t>
      </w:r>
      <w:r>
        <w:rPr>
          <w:rFonts w:hint="eastAsia" w:ascii="宋体" w:hAnsi="宋体"/>
          <w:spacing w:val="-3"/>
          <w:sz w:val="28"/>
          <w:szCs w:val="28"/>
        </w:rPr>
        <w:t>月</w:t>
      </w:r>
      <w:r>
        <w:rPr>
          <w:rFonts w:hint="eastAsia" w:ascii="宋体" w:hAnsi="宋体"/>
          <w:spacing w:val="-3"/>
          <w:sz w:val="28"/>
          <w:szCs w:val="28"/>
          <w:lang w:val="en-US" w:eastAsia="zh-CN"/>
        </w:rPr>
        <w:t xml:space="preserve"> </w:t>
      </w:r>
      <w:r>
        <w:rPr>
          <w:rFonts w:hint="eastAsia" w:ascii="宋体" w:hAnsi="宋体"/>
          <w:spacing w:val="-3"/>
          <w:sz w:val="28"/>
          <w:szCs w:val="28"/>
        </w:rPr>
        <w:t>日</w:t>
      </w:r>
    </w:p>
    <w:p>
      <w:pPr>
        <w:rPr>
          <w:rFonts w:ascii="Arial"/>
        </w:rPr>
        <w:sectPr>
          <w:pgSz w:w="11906" w:h="16839"/>
          <w:pgMar w:top="400" w:right="1660" w:bottom="882" w:left="1090" w:header="720" w:footer="720" w:gutter="0"/>
          <w:pgNumType w:fmt="decimal"/>
          <w:cols w:space="720" w:num="1"/>
        </w:sectPr>
      </w:pPr>
    </w:p>
    <w:p>
      <w:pPr>
        <w:spacing w:line="244" w:lineRule="auto"/>
        <w:rPr>
          <w:rFonts w:hint="eastAsia" w:ascii="Arial" w:eastAsia="宋体"/>
          <w:sz w:val="21"/>
          <w:szCs w:val="21"/>
          <w:lang w:eastAsia="zh-CN"/>
        </w:rPr>
      </w:pPr>
    </w:p>
    <w:p>
      <w:pPr>
        <w:spacing w:line="244" w:lineRule="auto"/>
        <w:rPr>
          <w:rFonts w:hint="eastAsia" w:ascii="Arial" w:eastAsia="宋体"/>
          <w:lang w:eastAsia="zh-CN"/>
        </w:rPr>
      </w:pPr>
    </w:p>
    <w:p>
      <w:pPr>
        <w:rPr>
          <w:rFonts w:hint="eastAsia" w:ascii="Arial" w:eastAsia="宋体"/>
          <w:lang w:eastAsia="zh-CN"/>
        </w:rPr>
      </w:pPr>
    </w:p>
    <w:p>
      <w:pPr>
        <w:spacing w:line="244" w:lineRule="auto"/>
        <w:rPr>
          <w:rFonts w:hint="eastAsia" w:ascii="Arial" w:eastAsia="宋体"/>
          <w:lang w:eastAsia="zh-CN"/>
        </w:rPr>
      </w:pPr>
    </w:p>
    <w:p>
      <w:pPr>
        <w:spacing w:line="244" w:lineRule="auto"/>
        <w:rPr>
          <w:rFonts w:hint="eastAsia" w:ascii="Arial" w:eastAsia="宋体"/>
          <w:lang w:eastAsia="zh-CN"/>
        </w:rPr>
      </w:pPr>
    </w:p>
    <w:p>
      <w:r>
        <w:rPr>
          <w:rFonts w:hint="eastAsia"/>
        </w:rPr>
        <w:t>合同文本</w:t>
      </w:r>
    </w:p>
    <w:p>
      <w:pPr>
        <w:pStyle w:val="28"/>
        <w:spacing w:line="480" w:lineRule="auto"/>
        <w:ind w:firstLine="530" w:firstLineChars="200"/>
        <w:jc w:val="center"/>
        <w:rPr>
          <w:rFonts w:hAnsi="宋体" w:cs="Arial"/>
          <w:sz w:val="28"/>
          <w:szCs w:val="28"/>
        </w:rPr>
      </w:pPr>
      <w:r>
        <w:rPr>
          <w:rFonts w:hint="eastAsia" w:hAnsi="宋体"/>
          <w:b/>
          <w:bCs/>
          <w:sz w:val="28"/>
          <w:szCs w:val="28"/>
        </w:rPr>
        <w:t>（本合同为样本，仅供甲乙双方参考，具体以双方签订的合同为准)</w:t>
      </w:r>
    </w:p>
    <w:p>
      <w:pPr>
        <w:spacing w:line="360" w:lineRule="auto"/>
        <w:rPr>
          <w:rFonts w:hint="eastAsia" w:eastAsia="宋体"/>
          <w:sz w:val="21"/>
          <w:szCs w:val="21"/>
          <w:lang w:eastAsia="zh-CN"/>
        </w:rPr>
      </w:pPr>
      <w:r>
        <w:rPr>
          <w:rFonts w:hint="eastAsia" w:ascii="宋体" w:hAnsi="宋体"/>
          <w:b/>
          <w:bCs/>
        </w:rPr>
        <w:t>协议编号：</w:t>
      </w:r>
    </w:p>
    <w:p>
      <w:pPr>
        <w:spacing w:line="360" w:lineRule="auto"/>
        <w:rPr>
          <w:rFonts w:hint="eastAsia" w:eastAsia="宋体"/>
          <w:lang w:eastAsia="zh-CN"/>
        </w:rPr>
      </w:pPr>
      <w:r>
        <w:rPr>
          <w:rFonts w:hint="eastAsia" w:ascii="宋体" w:hAnsi="宋体"/>
          <w:b/>
          <w:bCs/>
        </w:rPr>
        <w:t>甲方：海南省残疾人联合会</w:t>
      </w:r>
    </w:p>
    <w:p>
      <w:pPr>
        <w:spacing w:line="360" w:lineRule="auto"/>
        <w:rPr>
          <w:rFonts w:hint="eastAsia" w:eastAsia="宋体"/>
          <w:lang w:eastAsia="zh-CN"/>
        </w:rPr>
      </w:pPr>
      <w:r>
        <w:rPr>
          <w:rFonts w:hint="eastAsia" w:ascii="宋体" w:hAnsi="宋体"/>
          <w:b/>
          <w:bCs/>
        </w:rPr>
        <w:t>地址：</w:t>
      </w:r>
    </w:p>
    <w:p>
      <w:pPr>
        <w:spacing w:line="360" w:lineRule="auto"/>
        <w:rPr>
          <w:rFonts w:hint="eastAsia" w:eastAsia="宋体"/>
          <w:lang w:eastAsia="zh-CN"/>
        </w:rPr>
      </w:pPr>
      <w:r>
        <w:rPr>
          <w:rFonts w:hint="eastAsia" w:ascii="宋体" w:hAnsi="宋体"/>
          <w:b/>
          <w:bCs/>
        </w:rPr>
        <w:t>乙方：</w:t>
      </w:r>
    </w:p>
    <w:p>
      <w:pPr>
        <w:spacing w:line="360" w:lineRule="auto"/>
        <w:rPr>
          <w:rFonts w:hint="eastAsia" w:eastAsia="宋体"/>
          <w:lang w:eastAsia="zh-CN"/>
        </w:rPr>
      </w:pPr>
      <w:r>
        <w:rPr>
          <w:rFonts w:hint="eastAsia" w:ascii="宋体" w:hAnsi="宋体"/>
          <w:b/>
          <w:bCs/>
        </w:rPr>
        <w:t>地址：</w:t>
      </w:r>
    </w:p>
    <w:p>
      <w:pPr>
        <w:spacing w:line="360" w:lineRule="auto"/>
        <w:rPr>
          <w:rFonts w:hint="eastAsia" w:eastAsia="宋体"/>
          <w:lang w:eastAsia="zh-CN"/>
        </w:rPr>
      </w:pPr>
      <w:r>
        <w:rPr>
          <w:rFonts w:hint="eastAsia" w:ascii="宋体" w:hAnsi="宋体"/>
        </w:rPr>
        <w:t>根据《中华人民共和国政府采购法》、《中华人民共和国民法典》及《中华人民共和国保险法》等相关法律法规和</w:t>
      </w:r>
      <w:r>
        <w:rPr>
          <w:rFonts w:hint="eastAsia" w:ascii="宋体" w:hAnsi="宋体"/>
          <w:b/>
          <w:bCs/>
        </w:rPr>
        <w:t>残疾人购买商业保险项目（202</w:t>
      </w:r>
      <w:r>
        <w:rPr>
          <w:rFonts w:hint="eastAsia" w:ascii="宋体" w:hAnsi="宋体"/>
          <w:b/>
          <w:bCs/>
          <w:lang w:eastAsia="zh-CN"/>
        </w:rPr>
        <w:t>4</w:t>
      </w:r>
      <w:r>
        <w:rPr>
          <w:rFonts w:hint="eastAsia" w:ascii="宋体" w:hAnsi="宋体"/>
          <w:b/>
          <w:bCs/>
        </w:rPr>
        <w:t>年）（统招分签）</w:t>
      </w:r>
      <w:r>
        <w:rPr>
          <w:rFonts w:hint="eastAsia" w:ascii="宋体" w:hAnsi="宋体"/>
        </w:rPr>
        <w:t>《招标文件》（项目编号：HN</w:t>
      </w:r>
      <w:r>
        <w:rPr>
          <w:rFonts w:hint="eastAsia" w:ascii="宋体" w:hAnsi="宋体"/>
          <w:lang w:eastAsia="zh-CN"/>
        </w:rPr>
        <w:t>HJ</w:t>
      </w:r>
      <w:r>
        <w:rPr>
          <w:rFonts w:hint="eastAsia" w:ascii="宋体" w:hAnsi="宋体"/>
        </w:rPr>
        <w:t>202</w:t>
      </w:r>
      <w:r>
        <w:rPr>
          <w:rFonts w:hint="eastAsia" w:ascii="宋体" w:hAnsi="宋体"/>
          <w:lang w:eastAsia="zh-CN"/>
        </w:rPr>
        <w:t>4</w:t>
      </w:r>
      <w:r>
        <w:rPr>
          <w:rFonts w:hint="eastAsia" w:ascii="宋体" w:hAnsi="宋体"/>
        </w:rPr>
        <w:t>-</w:t>
      </w:r>
      <w:r>
        <w:rPr>
          <w:rFonts w:hint="eastAsia" w:ascii="宋体" w:hAnsi="宋体"/>
          <w:lang w:eastAsia="zh-CN"/>
        </w:rPr>
        <w:t>03-002</w:t>
      </w:r>
      <w:r>
        <w:rPr>
          <w:rFonts w:hint="eastAsia" w:ascii="宋体" w:hAnsi="宋体"/>
        </w:rPr>
        <w:t>），乙方的《投标文件》及《中标通知书》，甲、乙双方同意签订本合作协议书。</w:t>
      </w:r>
    </w:p>
    <w:p>
      <w:pPr>
        <w:spacing w:line="360" w:lineRule="auto"/>
        <w:rPr>
          <w:rFonts w:hint="eastAsia" w:eastAsia="宋体"/>
          <w:sz w:val="28"/>
          <w:szCs w:val="28"/>
          <w:lang w:eastAsia="zh-CN"/>
        </w:rPr>
      </w:pPr>
      <w:r>
        <w:rPr>
          <w:rFonts w:hint="eastAsia" w:ascii="宋体" w:hAnsi="宋体"/>
          <w:b/>
          <w:bCs/>
          <w:sz w:val="28"/>
          <w:szCs w:val="28"/>
        </w:rPr>
        <w:t>一、服务名称</w:t>
      </w:r>
    </w:p>
    <w:p>
      <w:pPr>
        <w:spacing w:line="360" w:lineRule="auto"/>
        <w:rPr>
          <w:rFonts w:hint="eastAsia" w:eastAsia="宋体"/>
          <w:lang w:eastAsia="zh-CN"/>
        </w:rPr>
      </w:pPr>
      <w:r>
        <w:rPr>
          <w:rFonts w:hint="eastAsia" w:ascii="宋体" w:hAnsi="宋体"/>
        </w:rPr>
        <w:t>1.1招标服务项目名称：</w:t>
      </w:r>
      <w:r>
        <w:rPr>
          <w:rFonts w:hint="eastAsia" w:ascii="宋体" w:hAnsi="宋体"/>
          <w:b/>
          <w:bCs/>
        </w:rPr>
        <w:t>为残疾人购买商业保险项目（202</w:t>
      </w:r>
      <w:r>
        <w:rPr>
          <w:rFonts w:hint="eastAsia" w:ascii="宋体" w:hAnsi="宋体"/>
          <w:b/>
          <w:bCs/>
          <w:lang w:eastAsia="zh-CN"/>
        </w:rPr>
        <w:t>4</w:t>
      </w:r>
      <w:r>
        <w:rPr>
          <w:rFonts w:hint="eastAsia" w:ascii="宋体" w:hAnsi="宋体"/>
          <w:b/>
          <w:bCs/>
        </w:rPr>
        <w:t>年）（统招分签）。</w:t>
      </w:r>
    </w:p>
    <w:p>
      <w:pPr>
        <w:spacing w:line="360" w:lineRule="auto"/>
        <w:rPr>
          <w:rFonts w:hint="eastAsia" w:eastAsia="宋体"/>
          <w:sz w:val="28"/>
          <w:szCs w:val="28"/>
          <w:lang w:eastAsia="zh-CN"/>
        </w:rPr>
      </w:pPr>
      <w:r>
        <w:rPr>
          <w:rFonts w:hint="eastAsia" w:ascii="宋体" w:hAnsi="宋体"/>
          <w:b/>
          <w:bCs/>
          <w:sz w:val="28"/>
          <w:szCs w:val="28"/>
        </w:rPr>
        <w:t>二、保险期间</w:t>
      </w:r>
    </w:p>
    <w:p>
      <w:pPr>
        <w:spacing w:line="360" w:lineRule="auto"/>
        <w:rPr>
          <w:rFonts w:hint="eastAsia" w:eastAsia="宋体"/>
          <w:lang w:eastAsia="zh-CN"/>
        </w:rPr>
      </w:pPr>
      <w:r>
        <w:rPr>
          <w:rFonts w:hint="eastAsia" w:ascii="宋体" w:hAnsi="宋体"/>
        </w:rPr>
        <w:t>2.1.本协议有效期为一年，自202</w:t>
      </w:r>
      <w:r>
        <w:rPr>
          <w:rFonts w:hint="eastAsia" w:ascii="宋体" w:hAnsi="宋体"/>
          <w:lang w:eastAsia="zh-CN"/>
        </w:rPr>
        <w:t>4</w:t>
      </w:r>
      <w:r>
        <w:rPr>
          <w:rFonts w:hint="eastAsia" w:ascii="宋体" w:hAnsi="宋体"/>
        </w:rPr>
        <w:t>年月日零时起至202</w:t>
      </w:r>
      <w:r>
        <w:rPr>
          <w:rFonts w:hint="eastAsia" w:ascii="宋体" w:hAnsi="宋体"/>
          <w:lang w:val="en-US" w:eastAsia="zh-CN"/>
        </w:rPr>
        <w:t>5</w:t>
      </w:r>
      <w:r>
        <w:rPr>
          <w:rFonts w:hint="eastAsia" w:ascii="宋体" w:hAnsi="宋体"/>
        </w:rPr>
        <w:t>年月日24时止。在本协议有效期内，保险人基于本协议承担的保险责任起止时间以保险人出具的有效保险单上载明的时间为准。该保险期间构成本协议项下指的“保险年度”。</w:t>
      </w:r>
    </w:p>
    <w:p>
      <w:pPr>
        <w:spacing w:line="360" w:lineRule="auto"/>
        <w:rPr>
          <w:rFonts w:hint="eastAsia" w:eastAsia="宋体"/>
          <w:sz w:val="28"/>
          <w:szCs w:val="28"/>
          <w:lang w:eastAsia="zh-CN"/>
        </w:rPr>
      </w:pPr>
      <w:r>
        <w:rPr>
          <w:rFonts w:hint="eastAsia" w:ascii="宋体" w:hAnsi="宋体"/>
          <w:b/>
          <w:bCs/>
          <w:sz w:val="28"/>
          <w:szCs w:val="28"/>
        </w:rPr>
        <w:t>三、服务要求</w:t>
      </w:r>
    </w:p>
    <w:p>
      <w:pPr>
        <w:spacing w:line="360" w:lineRule="auto"/>
        <w:rPr>
          <w:rFonts w:hint="eastAsia" w:eastAsia="宋体"/>
          <w:lang w:eastAsia="zh-CN"/>
        </w:rPr>
      </w:pPr>
      <w:r>
        <w:rPr>
          <w:rFonts w:hint="eastAsia" w:ascii="宋体" w:hAnsi="宋体"/>
        </w:rPr>
        <w:t>3.1在协议有效期间内，由甲方下属各市县的残疾人联合会按照本协议要求作为“为残疾人购买商业保险项目（202</w:t>
      </w:r>
      <w:r>
        <w:rPr>
          <w:rFonts w:hint="eastAsia" w:ascii="宋体" w:hAnsi="宋体"/>
          <w:lang w:eastAsia="zh-CN"/>
        </w:rPr>
        <w:t>4</w:t>
      </w:r>
      <w:r>
        <w:rPr>
          <w:rFonts w:hint="eastAsia" w:ascii="宋体" w:hAnsi="宋体"/>
        </w:rPr>
        <w:t>年）（统招分签）”（项目编号：HN</w:t>
      </w:r>
      <w:r>
        <w:rPr>
          <w:rFonts w:hint="eastAsia" w:ascii="宋体" w:hAnsi="宋体"/>
          <w:lang w:eastAsia="zh-CN"/>
        </w:rPr>
        <w:t>HJ</w:t>
      </w:r>
      <w:r>
        <w:rPr>
          <w:rFonts w:hint="eastAsia" w:ascii="宋体" w:hAnsi="宋体"/>
        </w:rPr>
        <w:t>202</w:t>
      </w:r>
      <w:r>
        <w:rPr>
          <w:rFonts w:hint="eastAsia" w:ascii="宋体" w:hAnsi="宋体"/>
          <w:lang w:eastAsia="zh-CN"/>
        </w:rPr>
        <w:t>4</w:t>
      </w:r>
      <w:r>
        <w:rPr>
          <w:rFonts w:hint="eastAsia" w:ascii="宋体" w:hAnsi="宋体"/>
        </w:rPr>
        <w:t>-</w:t>
      </w:r>
      <w:r>
        <w:rPr>
          <w:rFonts w:hint="eastAsia" w:ascii="宋体" w:hAnsi="宋体"/>
          <w:lang w:eastAsia="zh-CN"/>
        </w:rPr>
        <w:t>03-002</w:t>
      </w:r>
      <w:r>
        <w:rPr>
          <w:rFonts w:hint="eastAsia" w:ascii="宋体" w:hAnsi="宋体"/>
        </w:rPr>
        <w:t>）的投保人，分别与乙方签订保险协议，各市县残疾人联合会履行投保人义务，乙方履行保险人义务，被保险人为残疾人。甲方下属各市县残疾人联合会基本信息详见本协议附件。</w:t>
      </w:r>
    </w:p>
    <w:p>
      <w:pPr>
        <w:spacing w:line="360" w:lineRule="auto"/>
        <w:rPr>
          <w:rFonts w:hint="eastAsia" w:eastAsia="宋体"/>
          <w:sz w:val="28"/>
          <w:szCs w:val="28"/>
          <w:lang w:eastAsia="zh-CN"/>
        </w:rPr>
      </w:pPr>
      <w:r>
        <w:rPr>
          <w:rFonts w:hint="eastAsia" w:ascii="宋体" w:hAnsi="宋体"/>
          <w:b/>
          <w:bCs/>
          <w:sz w:val="28"/>
          <w:szCs w:val="28"/>
        </w:rPr>
        <w:t>四、付款方式</w:t>
      </w:r>
    </w:p>
    <w:p>
      <w:pPr>
        <w:spacing w:line="360" w:lineRule="auto"/>
        <w:rPr>
          <w:rFonts w:hint="eastAsia" w:ascii="宋体" w:hAnsi="宋体"/>
        </w:rPr>
      </w:pPr>
      <w:r>
        <w:rPr>
          <w:rFonts w:hint="eastAsia" w:ascii="宋体" w:hAnsi="宋体"/>
        </w:rPr>
        <w:t>4.1自合同签订后5天内，乙方（中标人）需将付款申请函及正式有效的全额发票交给甲方（招标人），经甲方确认无误后5天内将保险费（中标价）由海南省各市县残疾人联合会分别以趸交的方式缴纳。</w:t>
      </w:r>
    </w:p>
    <w:p>
      <w:pPr>
        <w:rPr>
          <w:rFonts w:hint="eastAsia" w:ascii="宋体" w:hAnsi="宋体" w:eastAsia="宋体"/>
          <w:b/>
          <w:bCs/>
          <w:sz w:val="28"/>
          <w:szCs w:val="28"/>
          <w:lang w:eastAsia="zh-CN"/>
        </w:rPr>
      </w:pPr>
    </w:p>
    <w:p>
      <w:pPr>
        <w:rPr>
          <w:rFonts w:hint="eastAsia" w:eastAsia="宋体"/>
          <w:kern w:val="2"/>
          <w:sz w:val="28"/>
          <w:szCs w:val="28"/>
          <w:lang w:eastAsia="zh-CN"/>
        </w:rPr>
      </w:pPr>
      <w:r>
        <w:rPr>
          <w:rFonts w:hint="eastAsia" w:ascii="宋体" w:hAnsi="宋体"/>
          <w:b/>
          <w:bCs/>
          <w:sz w:val="28"/>
          <w:szCs w:val="28"/>
        </w:rPr>
        <w:t>五、保险方案</w:t>
      </w:r>
    </w:p>
    <w:tbl>
      <w:tblPr>
        <w:tblStyle w:val="52"/>
        <w:tblW w:w="9203" w:type="dxa"/>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37"/>
        <w:gridCol w:w="2069"/>
        <w:gridCol w:w="1594"/>
        <w:gridCol w:w="1762"/>
        <w:gridCol w:w="334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00" w:hRule="atLeast"/>
        </w:trPr>
        <w:tc>
          <w:tcPr>
            <w:tcW w:w="437" w:type="dxa"/>
            <w:tcBorders>
              <w:top w:val="single" w:color="000000" w:sz="8" w:space="0"/>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b/>
                <w:bCs/>
                <w:color w:val="000000"/>
                <w:sz w:val="22"/>
                <w:szCs w:val="22"/>
              </w:rPr>
            </w:pPr>
            <w:r>
              <w:rPr>
                <w:rFonts w:hint="eastAsia" w:ascii="宋体" w:hAnsi="宋体" w:cs="宋体"/>
                <w:b/>
                <w:bCs/>
                <w:color w:val="000000"/>
                <w:sz w:val="22"/>
                <w:szCs w:val="22"/>
              </w:rPr>
              <w:t>层级</w:t>
            </w:r>
          </w:p>
        </w:tc>
        <w:tc>
          <w:tcPr>
            <w:tcW w:w="2069"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ind w:left="0" w:right="0"/>
              <w:textAlignment w:val="center"/>
              <w:rPr>
                <w:rFonts w:hint="eastAsia" w:ascii="宋体" w:hAnsi="宋体" w:cs="宋体"/>
                <w:b/>
                <w:bCs/>
                <w:color w:val="000000"/>
                <w:sz w:val="22"/>
                <w:szCs w:val="22"/>
              </w:rPr>
            </w:pPr>
            <w:r>
              <w:rPr>
                <w:rFonts w:hint="eastAsia" w:ascii="宋体" w:hAnsi="宋体" w:cs="宋体"/>
                <w:b/>
                <w:bCs/>
                <w:color w:val="000000"/>
                <w:sz w:val="22"/>
                <w:szCs w:val="22"/>
              </w:rPr>
              <w:t>层级名称</w:t>
            </w:r>
          </w:p>
        </w:tc>
        <w:tc>
          <w:tcPr>
            <w:tcW w:w="1594"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ind w:left="0" w:right="0"/>
              <w:textAlignment w:val="center"/>
              <w:rPr>
                <w:rFonts w:hint="eastAsia" w:ascii="宋体" w:hAnsi="宋体" w:cs="宋体"/>
                <w:b/>
                <w:bCs/>
                <w:color w:val="000000"/>
                <w:sz w:val="22"/>
                <w:szCs w:val="22"/>
              </w:rPr>
            </w:pPr>
            <w:r>
              <w:rPr>
                <w:rFonts w:hint="eastAsia" w:ascii="宋体" w:hAnsi="宋体" w:cs="宋体"/>
                <w:b/>
                <w:bCs/>
                <w:color w:val="000000"/>
                <w:sz w:val="22"/>
                <w:szCs w:val="22"/>
              </w:rPr>
              <w:t>保险责任项目</w:t>
            </w:r>
          </w:p>
        </w:tc>
        <w:tc>
          <w:tcPr>
            <w:tcW w:w="1762"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ind w:left="0" w:right="0"/>
              <w:textAlignment w:val="center"/>
              <w:rPr>
                <w:rFonts w:hint="eastAsia" w:ascii="宋体" w:hAnsi="宋体" w:cs="宋体"/>
                <w:b/>
                <w:bCs/>
                <w:color w:val="000000"/>
                <w:sz w:val="22"/>
                <w:szCs w:val="22"/>
              </w:rPr>
            </w:pPr>
            <w:r>
              <w:rPr>
                <w:rFonts w:hint="eastAsia" w:ascii="宋体" w:hAnsi="宋体" w:cs="宋体"/>
                <w:b/>
                <w:bCs/>
                <w:color w:val="000000"/>
                <w:sz w:val="22"/>
                <w:szCs w:val="22"/>
              </w:rPr>
              <w:t>保险金额</w:t>
            </w:r>
          </w:p>
        </w:tc>
        <w:tc>
          <w:tcPr>
            <w:tcW w:w="3341" w:type="dxa"/>
            <w:tcBorders>
              <w:top w:val="single" w:color="000000" w:sz="8" w:space="0"/>
              <w:left w:val="nil"/>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b/>
                <w:bCs/>
                <w:color w:val="000000"/>
                <w:sz w:val="22"/>
                <w:szCs w:val="22"/>
              </w:rPr>
            </w:pPr>
            <w:r>
              <w:rPr>
                <w:rFonts w:hint="eastAsia" w:ascii="宋体" w:hAnsi="宋体" w:cs="宋体"/>
                <w:b/>
                <w:bCs/>
                <w:color w:val="000000"/>
                <w:sz w:val="22"/>
                <w:szCs w:val="22"/>
              </w:rPr>
              <w:t>特别备注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905" w:hRule="atLeast"/>
        </w:trPr>
        <w:tc>
          <w:tcPr>
            <w:tcW w:w="437" w:type="dxa"/>
            <w:vMerge w:val="restart"/>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color w:val="000000"/>
                <w:sz w:val="22"/>
                <w:szCs w:val="22"/>
              </w:rPr>
            </w:pPr>
            <w:r>
              <w:rPr>
                <w:rFonts w:hint="eastAsia" w:ascii="宋体" w:hAnsi="宋体" w:cs="宋体"/>
                <w:color w:val="000000"/>
                <w:sz w:val="22"/>
                <w:szCs w:val="22"/>
              </w:rPr>
              <w:t>一</w:t>
            </w:r>
          </w:p>
        </w:tc>
        <w:tc>
          <w:tcPr>
            <w:tcW w:w="2069" w:type="dxa"/>
            <w:vMerge w:val="restart"/>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有民事行为能力人（含限制民事行为能力人与完全民事行为能力人）</w:t>
            </w: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意外伤害保险责任（身故、伤残保险责任）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FF0000"/>
                <w:sz w:val="22"/>
                <w:szCs w:val="22"/>
              </w:rPr>
            </w:pPr>
            <w:r>
              <w:rPr>
                <w:rFonts w:hint="eastAsia" w:ascii="宋体" w:hAnsi="宋体" w:cs="宋体"/>
                <w:color w:val="auto"/>
                <w:sz w:val="22"/>
                <w:szCs w:val="22"/>
              </w:rPr>
              <w:t>80000元/人（法定节假日期间保额提升至160000元/人）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因遭受意外伤害事故导致的身故责任，按约定保额进行赔付；意外伤残按照相关约定赔付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意外医疗保险金责任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25000元/人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每次意外医疗费用按100%赔付，包含救护车费用等科目在内的自费药责任。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意外住院津贴保险金责任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250元/天/人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按照实际住院天数赔付，最高赔付</w:t>
            </w:r>
            <w:r>
              <w:rPr>
                <w:rFonts w:hint="eastAsia" w:ascii="宋体" w:hAnsi="宋体" w:cs="宋体"/>
                <w:b/>
                <w:bCs/>
                <w:color w:val="auto"/>
                <w:sz w:val="22"/>
                <w:szCs w:val="22"/>
              </w:rPr>
              <w:t>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重大疾病保险金责任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40000元/人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eastAsia="宋体" w:cs="宋体"/>
                <w:color w:val="000000"/>
                <w:sz w:val="22"/>
                <w:szCs w:val="22"/>
              </w:rPr>
              <w:t>中国保险行业协会制定的《重大疾病保险的疾病定义使用规范(2020年修订版)》的疾病定义，包含28种重大疾病和3种轻症疾病</w:t>
            </w:r>
            <w:r>
              <w:rPr>
                <w:rFonts w:hint="eastAsia" w:ascii="宋体" w:hAnsi="宋体" w:cs="宋体"/>
                <w:color w:val="000000"/>
                <w:sz w:val="22"/>
                <w:szCs w:val="22"/>
                <w:lang w:val="en-US" w:eastAsia="zh-CN"/>
              </w:rPr>
              <w:t>基础上，扩展至不少于50种重大疾病</w:t>
            </w:r>
            <w:r>
              <w:rPr>
                <w:rFonts w:hint="eastAsia" w:ascii="宋体" w:hAnsi="宋体" w:cs="宋体"/>
                <w:color w:val="000000"/>
                <w:sz w:val="22"/>
                <w:szCs w:val="22"/>
              </w:rPr>
              <w:t>（</w:t>
            </w:r>
            <w:r>
              <w:rPr>
                <w:rFonts w:hint="eastAsia" w:ascii="宋体" w:hAnsi="宋体" w:cs="宋体"/>
                <w:color w:val="000000"/>
                <w:sz w:val="22"/>
                <w:szCs w:val="22"/>
                <w:lang w:val="en-US" w:eastAsia="zh-CN"/>
              </w:rPr>
              <w:t>包括但不限于</w:t>
            </w:r>
            <w:r>
              <w:rPr>
                <w:rFonts w:hint="eastAsia" w:ascii="宋体" w:hAnsi="宋体" w:cs="宋体"/>
                <w:color w:val="000000"/>
                <w:sz w:val="22"/>
                <w:szCs w:val="22"/>
              </w:rPr>
              <w:t>视神经脊髓炎谱系疾病</w:t>
            </w:r>
            <w:r>
              <w:rPr>
                <w:rFonts w:hint="eastAsia" w:ascii="宋体" w:hAnsi="宋体" w:cs="宋体"/>
                <w:color w:val="000000"/>
                <w:sz w:val="22"/>
                <w:szCs w:val="22"/>
                <w:lang w:val="en-US" w:eastAsia="zh-CN"/>
              </w:rPr>
              <w:t>等罕见重大疾病</w:t>
            </w:r>
            <w:r>
              <w:rPr>
                <w:rFonts w:hint="eastAsia" w:ascii="宋体" w:hAnsi="宋体" w:cs="宋体"/>
                <w:color w:val="000000"/>
                <w:sz w:val="22"/>
                <w:szCs w:val="22"/>
              </w:rPr>
              <w:t>，可通过特别约定加入）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421" w:hRule="atLeast"/>
        </w:trPr>
        <w:tc>
          <w:tcPr>
            <w:tcW w:w="437" w:type="dxa"/>
            <w:vMerge w:val="restart"/>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color w:val="000000"/>
                <w:sz w:val="22"/>
                <w:szCs w:val="22"/>
              </w:rPr>
            </w:pPr>
            <w:r>
              <w:rPr>
                <w:rFonts w:hint="eastAsia" w:ascii="宋体" w:hAnsi="宋体" w:cs="宋体"/>
                <w:color w:val="000000"/>
                <w:sz w:val="22"/>
                <w:szCs w:val="22"/>
              </w:rPr>
              <w:t>二</w:t>
            </w:r>
          </w:p>
        </w:tc>
        <w:tc>
          <w:tcPr>
            <w:tcW w:w="2069" w:type="dxa"/>
            <w:vMerge w:val="restart"/>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无民事行为能力人</w:t>
            </w: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意外伤残保险责任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80000元/人（法定节假日期间保额提升至160000元/人）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因遭受意外伤害事故导致的身故责任，按约定保额进行赔付；意外伤残按照相关约定赔付.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82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意外医疗保险金责任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25000元/人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每次意外医疗费用按100%赔付，包含救护车费用等科目在内的自费药责任。</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55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意外住院津贴保险金责任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250元/天/人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按照实际住院天数赔付，最高赔付</w:t>
            </w:r>
            <w:r>
              <w:rPr>
                <w:rFonts w:hint="eastAsia" w:ascii="宋体" w:hAnsi="宋体" w:cs="宋体"/>
                <w:b/>
                <w:bCs/>
                <w:color w:val="auto"/>
                <w:sz w:val="22"/>
                <w:szCs w:val="22"/>
              </w:rPr>
              <w:t>180天。</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365" w:hRule="atLeast"/>
        </w:trPr>
        <w:tc>
          <w:tcPr>
            <w:tcW w:w="437" w:type="dxa"/>
            <w:vMerge w:val="continue"/>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rPr>
                <w:rFonts w:hint="eastAsia" w:ascii="宋体" w:hAnsi="宋体" w:cs="宋体"/>
                <w:color w:val="000000"/>
                <w:sz w:val="22"/>
                <w:szCs w:val="22"/>
              </w:rPr>
            </w:pPr>
          </w:p>
        </w:tc>
        <w:tc>
          <w:tcPr>
            <w:tcW w:w="2069" w:type="dxa"/>
            <w:vMerge w:val="continue"/>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重大疾病保险金责任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40000元/人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eastAsia="宋体" w:cs="宋体"/>
                <w:color w:val="auto"/>
                <w:sz w:val="22"/>
                <w:szCs w:val="22"/>
                <w:lang w:eastAsia="zh-CN"/>
              </w:rPr>
            </w:pPr>
            <w:r>
              <w:rPr>
                <w:rFonts w:hint="eastAsia" w:ascii="宋体" w:hAnsi="宋体" w:eastAsia="宋体" w:cs="宋体"/>
                <w:color w:val="auto"/>
                <w:sz w:val="22"/>
                <w:szCs w:val="22"/>
              </w:rPr>
              <w:t>中国保险行业协会制定的《重大疾病保险的疾病定义使用规范(2020年修订版)》的疾病定义，包含28种重大疾病和3种轻症疾病</w:t>
            </w:r>
            <w:r>
              <w:rPr>
                <w:rFonts w:hint="eastAsia" w:ascii="宋体" w:hAnsi="宋体" w:cs="宋体"/>
                <w:color w:val="auto"/>
                <w:sz w:val="22"/>
                <w:szCs w:val="22"/>
                <w:lang w:val="en-US" w:eastAsia="zh-CN"/>
              </w:rPr>
              <w:t>基础上，扩展至不少于50种重大疾病</w:t>
            </w:r>
            <w:r>
              <w:rPr>
                <w:rFonts w:hint="eastAsia" w:ascii="宋体" w:hAnsi="宋体" w:cs="宋体"/>
                <w:color w:val="auto"/>
                <w:sz w:val="22"/>
                <w:szCs w:val="22"/>
              </w:rPr>
              <w:t>（</w:t>
            </w:r>
            <w:r>
              <w:rPr>
                <w:rFonts w:hint="eastAsia" w:ascii="宋体" w:hAnsi="宋体" w:cs="宋体"/>
                <w:color w:val="auto"/>
                <w:sz w:val="22"/>
                <w:szCs w:val="22"/>
                <w:lang w:val="en-US" w:eastAsia="zh-CN"/>
              </w:rPr>
              <w:t>包括但不限于</w:t>
            </w:r>
            <w:r>
              <w:rPr>
                <w:rFonts w:hint="eastAsia" w:ascii="宋体" w:hAnsi="宋体" w:cs="宋体"/>
                <w:color w:val="auto"/>
                <w:sz w:val="22"/>
                <w:szCs w:val="22"/>
              </w:rPr>
              <w:t>视神经脊髓炎谱系疾病</w:t>
            </w:r>
            <w:r>
              <w:rPr>
                <w:rFonts w:hint="eastAsia" w:ascii="宋体" w:hAnsi="宋体" w:cs="宋体"/>
                <w:color w:val="auto"/>
                <w:sz w:val="22"/>
                <w:szCs w:val="22"/>
                <w:lang w:val="en-US" w:eastAsia="zh-CN"/>
              </w:rPr>
              <w:t>等罕见重大疾病</w:t>
            </w:r>
            <w:r>
              <w:rPr>
                <w:rFonts w:hint="eastAsia" w:ascii="宋体" w:hAnsi="宋体" w:cs="宋体"/>
                <w:color w:val="auto"/>
                <w:sz w:val="22"/>
                <w:szCs w:val="22"/>
              </w:rPr>
              <w:t>，可通过特别约定加入）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665" w:hRule="atLeast"/>
        </w:trPr>
        <w:tc>
          <w:tcPr>
            <w:tcW w:w="437"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ind w:left="0" w:right="0"/>
              <w:jc w:val="center"/>
              <w:textAlignment w:val="center"/>
              <w:rPr>
                <w:rFonts w:hint="eastAsia" w:ascii="宋体" w:hAnsi="宋体" w:cs="宋体"/>
                <w:color w:val="000000"/>
                <w:sz w:val="22"/>
                <w:szCs w:val="22"/>
              </w:rPr>
            </w:pPr>
            <w:r>
              <w:rPr>
                <w:rFonts w:hint="eastAsia" w:ascii="宋体" w:hAnsi="宋体" w:cs="宋体"/>
                <w:color w:val="000000"/>
                <w:sz w:val="22"/>
                <w:szCs w:val="22"/>
              </w:rPr>
              <w:t>三</w:t>
            </w:r>
          </w:p>
        </w:tc>
        <w:tc>
          <w:tcPr>
            <w:tcW w:w="2069" w:type="dxa"/>
            <w:vMerge w:val="restart"/>
            <w:tcBorders>
              <w:top w:val="nil"/>
              <w:left w:val="nil"/>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有民事行为能力人（含限制民事行为能力人与完全民事行为能力人）、无民事行为能力人</w:t>
            </w: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补充住院医疗保险金（公共保额）责任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auto"/>
                <w:sz w:val="22"/>
                <w:szCs w:val="22"/>
              </w:rPr>
            </w:pPr>
            <w:r>
              <w:rPr>
                <w:rFonts w:hint="eastAsia" w:ascii="宋体" w:hAnsi="宋体" w:cs="宋体"/>
                <w:color w:val="auto"/>
                <w:sz w:val="22"/>
                <w:szCs w:val="22"/>
              </w:rPr>
              <w:t>10000元/人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eastAsia="宋体" w:cs="宋体"/>
                <w:color w:val="auto"/>
                <w:sz w:val="22"/>
                <w:szCs w:val="22"/>
                <w:lang w:eastAsia="zh-CN"/>
              </w:rPr>
            </w:pPr>
            <w:r>
              <w:rPr>
                <w:rFonts w:hint="eastAsia" w:ascii="宋体" w:hAnsi="宋体" w:cs="宋体"/>
                <w:color w:val="auto"/>
                <w:sz w:val="22"/>
                <w:szCs w:val="22"/>
              </w:rPr>
              <w:t>每次住院医疗经社保统筹支付后，按100%赔付（含乙类自理费用），被保险人累计报销限额以保额为限，（包含既往症），本项目保单累计限额为</w:t>
            </w:r>
            <w:r>
              <w:rPr>
                <w:rFonts w:hint="default" w:ascii="Times New Roman" w:hAnsi="Times New Roman" w:cs="Times New Roman"/>
                <w:color w:val="auto"/>
                <w:sz w:val="22"/>
                <w:szCs w:val="22"/>
              </w:rPr>
              <w:t>1</w:t>
            </w:r>
            <w:r>
              <w:rPr>
                <w:rFonts w:hint="eastAsia" w:ascii="Times New Roman" w:hAnsi="Times New Roman" w:cs="Times New Roman"/>
                <w:color w:val="auto"/>
                <w:sz w:val="22"/>
                <w:szCs w:val="22"/>
              </w:rPr>
              <w:t>650</w:t>
            </w:r>
            <w:r>
              <w:rPr>
                <w:rFonts w:hint="eastAsia" w:ascii="宋体" w:hAnsi="宋体" w:cs="宋体"/>
                <w:color w:val="auto"/>
                <w:sz w:val="22"/>
                <w:szCs w:val="22"/>
              </w:rPr>
              <w:t>万元，具体保险责任以合同约定为准。</w:t>
            </w:r>
            <w:r>
              <w:rPr>
                <w:rFonts w:hint="eastAsia" w:ascii="宋体" w:hAnsi="宋体" w:cs="Times New Roman"/>
                <w:color w:val="auto"/>
                <w:sz w:val="22"/>
                <w:szCs w:val="22"/>
              </w:rPr>
              <w:t>累计赔付达到限额后，本项目所有保单下此项责任终止，保险人不再承担补充住院医疗保险金（公共保额）责任</w:t>
            </w:r>
            <w:r>
              <w:rPr>
                <w:rFonts w:hint="eastAsia" w:ascii="宋体" w:hAnsi="宋体" w:cs="Times New Roman"/>
                <w:color w:val="auto"/>
                <w:sz w:val="22"/>
                <w:szCs w:val="22"/>
                <w:lang w:eastAsia="zh-CN"/>
              </w:rPr>
              <w: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37"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00" w:lineRule="exact"/>
              <w:ind w:left="0" w:right="0"/>
              <w:jc w:val="center"/>
              <w:textAlignment w:val="center"/>
              <w:rPr>
                <w:rFonts w:hint="eastAsia" w:ascii="宋体" w:hAnsi="宋体" w:cs="宋体"/>
                <w:color w:val="000000"/>
                <w:sz w:val="22"/>
                <w:szCs w:val="22"/>
              </w:rPr>
            </w:pPr>
            <w:r>
              <w:rPr>
                <w:rFonts w:hint="eastAsia" w:ascii="宋体" w:hAnsi="宋体" w:cs="宋体"/>
                <w:color w:val="000000"/>
                <w:sz w:val="22"/>
                <w:szCs w:val="22"/>
              </w:rPr>
              <w:t>四</w:t>
            </w:r>
          </w:p>
        </w:tc>
        <w:tc>
          <w:tcPr>
            <w:tcW w:w="2069" w:type="dxa"/>
            <w:vMerge w:val="continue"/>
            <w:tcBorders>
              <w:left w:val="nil"/>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意外伤害医疗保险金（公共保额）责任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20000元/人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textAlignment w:val="center"/>
              <w:rPr>
                <w:rFonts w:hint="eastAsia" w:ascii="宋体" w:hAnsi="宋体" w:cs="宋体"/>
                <w:color w:val="000000"/>
                <w:sz w:val="22"/>
                <w:szCs w:val="22"/>
              </w:rPr>
            </w:pPr>
            <w:r>
              <w:rPr>
                <w:rFonts w:hint="eastAsia" w:ascii="宋体" w:hAnsi="宋体" w:cs="宋体"/>
                <w:color w:val="000000"/>
                <w:sz w:val="22"/>
                <w:szCs w:val="22"/>
              </w:rPr>
              <w:t>保险期间内，当被保险人因意外伤害进行治疗，经意外医疗保险责任赔付达到其意外伤害医疗保险金额后，对于其符合意外医疗保险责任的剩余医疗费用，对超出部分从意外伤害医疗公共保额保险额度内赔付，免赔额0元、每人最高以2万元为限，对本项目所有被保险人意外伤害医疗保险（公共保额）累计给付金额以30万元为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60" w:hRule="atLeast"/>
        </w:trPr>
        <w:tc>
          <w:tcPr>
            <w:tcW w:w="437" w:type="dxa"/>
            <w:tcBorders>
              <w:top w:val="nil"/>
              <w:left w:val="single" w:color="000000" w:sz="8" w:space="0"/>
              <w:bottom w:val="single" w:color="000000" w:sz="8" w:space="0"/>
              <w:right w:val="single" w:color="000000" w:sz="8" w:space="0"/>
            </w:tcBorders>
            <w:vAlign w:val="center"/>
          </w:tcPr>
          <w:p>
            <w:pPr>
              <w:widowControl/>
              <w:spacing w:before="0" w:beforeAutospacing="0" w:after="0" w:afterAutospacing="0" w:line="400" w:lineRule="exact"/>
              <w:ind w:left="0" w:right="0"/>
              <w:jc w:val="center"/>
              <w:rPr>
                <w:rFonts w:hint="eastAsia" w:ascii="宋体" w:hAnsi="宋体" w:cs="宋体"/>
                <w:color w:val="000000"/>
                <w:sz w:val="22"/>
                <w:szCs w:val="22"/>
              </w:rPr>
            </w:pPr>
          </w:p>
        </w:tc>
        <w:tc>
          <w:tcPr>
            <w:tcW w:w="2069" w:type="dxa"/>
            <w:vMerge w:val="continue"/>
            <w:tcBorders>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p>
        </w:tc>
        <w:tc>
          <w:tcPr>
            <w:tcW w:w="1594"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r>
              <w:rPr>
                <w:rFonts w:hint="eastAsia" w:ascii="宋体" w:hAnsi="宋体" w:cs="宋体"/>
                <w:color w:val="000000"/>
                <w:sz w:val="22"/>
                <w:szCs w:val="22"/>
              </w:rPr>
              <w:t>猝死</w:t>
            </w:r>
          </w:p>
        </w:tc>
        <w:tc>
          <w:tcPr>
            <w:tcW w:w="1762"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r>
              <w:rPr>
                <w:rFonts w:hint="eastAsia" w:ascii="宋体" w:hAnsi="宋体" w:cs="宋体"/>
                <w:color w:val="000000"/>
                <w:sz w:val="22"/>
                <w:szCs w:val="22"/>
              </w:rPr>
              <w:t>25000元/人</w:t>
            </w:r>
          </w:p>
        </w:tc>
        <w:tc>
          <w:tcPr>
            <w:tcW w:w="3341" w:type="dxa"/>
            <w:tcBorders>
              <w:top w:val="nil"/>
              <w:left w:val="nil"/>
              <w:bottom w:val="single" w:color="000000" w:sz="8" w:space="0"/>
              <w:right w:val="single" w:color="000000" w:sz="8" w:space="0"/>
            </w:tcBorders>
            <w:vAlign w:val="center"/>
          </w:tcPr>
          <w:p>
            <w:pPr>
              <w:widowControl/>
              <w:spacing w:before="0" w:beforeAutospacing="0" w:after="0" w:afterAutospacing="0" w:line="400" w:lineRule="exact"/>
              <w:ind w:left="0" w:right="0"/>
              <w:rPr>
                <w:rFonts w:hint="eastAsia" w:ascii="宋体" w:hAnsi="宋体" w:cs="宋体"/>
                <w:color w:val="000000"/>
                <w:sz w:val="22"/>
                <w:szCs w:val="22"/>
              </w:rPr>
            </w:pPr>
            <w:r>
              <w:rPr>
                <w:rFonts w:hint="eastAsia" w:ascii="宋体" w:hAnsi="宋体" w:cs="宋体"/>
                <w:color w:val="auto"/>
                <w:sz w:val="22"/>
                <w:szCs w:val="22"/>
              </w:rPr>
              <w:t>在保险期间内，若被保险人在本附加险合同保险期间内</w:t>
            </w:r>
            <w:r>
              <w:rPr>
                <w:rFonts w:hint="eastAsia" w:ascii="宋体" w:hAnsi="宋体" w:cs="宋体"/>
                <w:color w:val="auto"/>
                <w:sz w:val="22"/>
                <w:szCs w:val="22"/>
                <w:lang w:val="en-US" w:eastAsia="zh-CN"/>
              </w:rPr>
              <w:t>且符合保险公司约定范围内</w:t>
            </w:r>
            <w:r>
              <w:rPr>
                <w:rFonts w:hint="eastAsia" w:ascii="宋体" w:hAnsi="宋体" w:cs="宋体"/>
                <w:color w:val="auto"/>
                <w:sz w:val="22"/>
                <w:szCs w:val="22"/>
              </w:rPr>
              <w:t>猝死的，保险公司按约定的保险金额给付身故保险金。</w:t>
            </w:r>
            <w:r>
              <w:rPr>
                <w:rFonts w:hint="eastAsia" w:ascii="宋体" w:hAnsi="宋体" w:cs="宋体"/>
                <w:color w:val="auto"/>
                <w:sz w:val="22"/>
                <w:szCs w:val="22"/>
                <w:highlight w:val="none"/>
              </w:rPr>
              <w:t>仅限60周岁(不含）以内人群。</w:t>
            </w:r>
          </w:p>
        </w:tc>
      </w:tr>
    </w:tbl>
    <w:p>
      <w:pPr>
        <w:rPr>
          <w:rFonts w:hint="eastAsia" w:ascii="宋体" w:hAnsi="宋体" w:eastAsia="宋体"/>
          <w:b/>
          <w:bCs/>
          <w:lang w:eastAsia="zh-CN"/>
        </w:rPr>
      </w:pPr>
    </w:p>
    <w:p>
      <w:pPr>
        <w:spacing w:line="360" w:lineRule="auto"/>
        <w:ind w:left="324" w:leftChars="135" w:firstLine="560"/>
        <w:rPr>
          <w:rFonts w:hint="eastAsia" w:ascii="宋体" w:hAnsi="宋体"/>
          <w:kern w:val="2"/>
        </w:rPr>
      </w:pPr>
      <w:r>
        <w:rPr>
          <w:rFonts w:hint="eastAsia" w:ascii="宋体" w:hAnsi="宋体"/>
        </w:rPr>
        <w:t>（一）以上保险责任涵盖海南省户籍持有残疾人证的全部残疾人（包括具有民事行为能力人和无民事行为能力人）；</w:t>
      </w:r>
    </w:p>
    <w:p>
      <w:pPr>
        <w:spacing w:line="360" w:lineRule="auto"/>
        <w:ind w:left="324" w:leftChars="135" w:firstLine="480" w:firstLineChars="200"/>
        <w:rPr>
          <w:rFonts w:hint="eastAsia" w:ascii="宋体" w:hAnsi="宋体"/>
          <w:color w:val="auto"/>
        </w:rPr>
      </w:pPr>
      <w:r>
        <w:rPr>
          <w:rFonts w:hint="eastAsia" w:ascii="宋体" w:hAnsi="宋体"/>
        </w:rPr>
        <w:t>（二）针对本项目下所有保单，补充住院医疗保险金（公共保额）责任累计最高赔付限额以1</w:t>
      </w:r>
      <w:r>
        <w:rPr>
          <w:rFonts w:hint="eastAsia" w:ascii="宋体" w:hAnsi="宋体"/>
          <w:lang w:val="en-US" w:eastAsia="zh-CN"/>
        </w:rPr>
        <w:t>65</w:t>
      </w:r>
      <w:r>
        <w:rPr>
          <w:rFonts w:hint="eastAsia" w:ascii="宋体" w:hAnsi="宋体"/>
        </w:rPr>
        <w:t>0万元为限</w:t>
      </w:r>
      <w:r>
        <w:rPr>
          <w:rFonts w:hint="eastAsia" w:ascii="宋体" w:hAnsi="宋体"/>
          <w:color w:val="auto"/>
        </w:rPr>
        <w:t>，累计赔付达到限额后，本项目所有保单下此项责任终止，保险人不再承担补充住院医疗保险金（公共保额）责任；</w:t>
      </w:r>
    </w:p>
    <w:p>
      <w:pPr>
        <w:spacing w:line="360" w:lineRule="auto"/>
        <w:ind w:left="324" w:leftChars="135" w:firstLine="480" w:firstLineChars="200"/>
        <w:rPr>
          <w:rFonts w:hint="eastAsia" w:ascii="宋体" w:hAnsi="宋体" w:eastAsia="宋体"/>
          <w:lang w:eastAsia="zh-CN"/>
        </w:rPr>
      </w:pPr>
      <w:r>
        <w:rPr>
          <w:rFonts w:hint="eastAsia" w:ascii="宋体" w:hAnsi="宋体"/>
        </w:rPr>
        <w:t>（三）针对本项目下所有保单，意外伤害医疗保险金（公共保额）责任累计最高赔付限额以30万元为限，累计赔付达到限额后，本项目所有保单下此项责任终止，保险人不再承担意外伤害医疗保险金（公共保额）责任；</w:t>
      </w:r>
    </w:p>
    <w:p>
      <w:pPr>
        <w:spacing w:line="360" w:lineRule="auto"/>
        <w:ind w:left="324" w:leftChars="135" w:firstLine="480" w:firstLineChars="200"/>
        <w:rPr>
          <w:rFonts w:hint="eastAsia" w:ascii="宋体" w:hAnsi="宋体"/>
          <w:b/>
          <w:bCs/>
          <w:kern w:val="44"/>
        </w:rPr>
      </w:pPr>
      <w:r>
        <w:rPr>
          <w:rFonts w:hint="eastAsia" w:ascii="宋体" w:hAnsi="宋体"/>
        </w:rPr>
        <w:t>（四）“法定节假日期间”指：法定节假日为现行有效的《全国年节及纪念日放假办法》所规定的全体公民放假的节日及中华人民共和国国务院办公厅发布的连同上述节日的调休安排日期。全体公民放假的节日包括：新年（1月1日）、春节（农历正月初一、初二、初三）、清明节（农历清明节当日）、劳动节（5月1日）、端午节（农历端午节当日）、中秋节（农历中秋节当日）、国庆节（10月1日、2日、3日）。</w:t>
      </w:r>
    </w:p>
    <w:p>
      <w:pPr>
        <w:pStyle w:val="2"/>
        <w:ind w:firstLine="0"/>
        <w:rPr>
          <w:rFonts w:hint="eastAsia" w:ascii="Times New Roman" w:eastAsia="宋体"/>
          <w:kern w:val="2"/>
          <w:szCs w:val="21"/>
          <w:lang w:eastAsia="zh-CN"/>
        </w:rPr>
      </w:pPr>
    </w:p>
    <w:p>
      <w:pPr>
        <w:keepNext/>
        <w:keepLines/>
        <w:shd w:val="clear" w:color="auto" w:fill="FFFFFF"/>
        <w:snapToGrid w:val="0"/>
        <w:spacing w:after="120" w:line="440" w:lineRule="exact"/>
        <w:outlineLvl w:val="0"/>
        <w:rPr>
          <w:rFonts w:ascii="宋体" w:hAnsi="宋体"/>
          <w:b/>
          <w:bCs/>
          <w:kern w:val="44"/>
          <w:sz w:val="28"/>
          <w:szCs w:val="28"/>
        </w:rPr>
      </w:pPr>
      <w:r>
        <w:rPr>
          <w:rFonts w:hint="eastAsia" w:ascii="宋体" w:hAnsi="宋体"/>
          <w:b/>
          <w:bCs/>
          <w:kern w:val="44"/>
          <w:sz w:val="28"/>
          <w:szCs w:val="28"/>
        </w:rPr>
        <w:t>六、保险责任</w:t>
      </w:r>
    </w:p>
    <w:p>
      <w:pPr>
        <w:spacing w:line="360" w:lineRule="auto"/>
        <w:ind w:firstLine="480" w:firstLineChars="200"/>
        <w:rPr>
          <w:rFonts w:hint="eastAsia" w:ascii="宋体" w:hAnsi="宋体"/>
          <w:kern w:val="2"/>
        </w:rPr>
      </w:pPr>
      <w:r>
        <w:rPr>
          <w:rFonts w:hint="eastAsia" w:ascii="宋体" w:hAnsi="宋体"/>
        </w:rPr>
        <w:t>要实现本项目保险保障项目，供应商提供的保险产品可以采用保险主条款或附加条款的形式，但须经中国保险监督管理委员会备案，本项目相关保险责任要求简述如下：</w:t>
      </w:r>
    </w:p>
    <w:p>
      <w:pPr>
        <w:spacing w:line="360" w:lineRule="auto"/>
        <w:ind w:firstLine="602" w:firstLineChars="250"/>
        <w:rPr>
          <w:rFonts w:hint="eastAsia" w:ascii="宋体" w:hAnsi="宋体"/>
          <w:b/>
          <w:bCs/>
        </w:rPr>
      </w:pPr>
      <w:r>
        <w:rPr>
          <w:rFonts w:hint="eastAsia" w:ascii="宋体" w:hAnsi="宋体"/>
          <w:b/>
          <w:bCs/>
        </w:rPr>
        <w:t>6.1意外身故保险责任</w:t>
      </w:r>
    </w:p>
    <w:p>
      <w:pPr>
        <w:spacing w:line="360" w:lineRule="auto"/>
        <w:ind w:firstLine="600" w:firstLineChars="250"/>
        <w:rPr>
          <w:rFonts w:hint="eastAsia" w:ascii="宋体" w:hAnsi="宋体"/>
        </w:rPr>
      </w:pPr>
      <w:r>
        <w:rPr>
          <w:rFonts w:hint="eastAsia" w:ascii="宋体" w:hAnsi="宋体"/>
        </w:rPr>
        <w:t>有民事行为能力人（含限制民事行为能力人与完全民事行为能力人）的被保险人因遭受意外事故，并自事故发生之日起180日内因该事故身故的，保险公司按其意外身故保险金额给付意外身故保险金，对该被保险人保险责任终止。</w:t>
      </w:r>
    </w:p>
    <w:p>
      <w:pPr>
        <w:spacing w:line="360" w:lineRule="auto"/>
        <w:ind w:firstLine="600" w:firstLineChars="250"/>
        <w:rPr>
          <w:rFonts w:hint="eastAsia" w:ascii="宋体" w:hAnsi="宋体"/>
        </w:rPr>
      </w:pPr>
      <w:r>
        <w:rPr>
          <w:rFonts w:hint="eastAsia" w:ascii="宋体" w:hAnsi="宋体"/>
        </w:rPr>
        <w:t>在指定的国家法定节假日期间，有民事行为能力人（含限制民事行为能力人与完全民事行为能力人）意外身故责任保额提高至160000元。</w:t>
      </w:r>
    </w:p>
    <w:p>
      <w:pPr>
        <w:spacing w:line="360" w:lineRule="auto"/>
        <w:ind w:firstLine="602" w:firstLineChars="250"/>
        <w:rPr>
          <w:rFonts w:hint="eastAsia" w:ascii="宋体" w:hAnsi="宋体"/>
          <w:b/>
          <w:bCs/>
        </w:rPr>
      </w:pPr>
      <w:r>
        <w:rPr>
          <w:rFonts w:hint="eastAsia" w:ascii="宋体" w:hAnsi="宋体"/>
          <w:b/>
          <w:bCs/>
        </w:rPr>
        <w:t>6.2意外残疾保险责任</w:t>
      </w:r>
    </w:p>
    <w:p>
      <w:pPr>
        <w:spacing w:line="360" w:lineRule="auto"/>
        <w:ind w:firstLine="600" w:firstLineChars="250"/>
        <w:rPr>
          <w:rFonts w:hint="eastAsia" w:ascii="宋体" w:hAnsi="宋体"/>
        </w:rPr>
      </w:pPr>
      <w:r>
        <w:rPr>
          <w:rFonts w:hint="eastAsia" w:ascii="宋体" w:hAnsi="宋体"/>
        </w:rPr>
        <w:t>被保险人因遭受意外事故，并自事故发生之日起180日内因该事故造成《人身保险伤残评定标准及代码》（JR/T0083-2013）（中国银保监会发布，保监发〔2014〕6号）所列伤残类别的，保险公司依照该标准规定的评定原则对伤残类别和等级进行评定，除另有约定外，保险公司按评定结果所对应该标准规定的给付比例乘以意外伤残保险金额给付意外伤残保险金。如自该次意外事故发生之日起第180日时治疗仍未结束的，按该次意外事故发生之日起第180日的身体情况进行伤残鉴定，并据此给付意外伤残保险金。</w:t>
      </w:r>
    </w:p>
    <w:p>
      <w:pPr>
        <w:spacing w:line="360" w:lineRule="auto"/>
        <w:ind w:firstLine="600" w:firstLineChars="250"/>
        <w:rPr>
          <w:rFonts w:hint="eastAsia" w:ascii="宋体" w:hAnsi="宋体"/>
        </w:rPr>
      </w:pPr>
      <w:r>
        <w:rPr>
          <w:rFonts w:hint="eastAsia" w:ascii="宋体" w:hAnsi="宋体"/>
        </w:rPr>
        <w:t>人身保险伤残评定标准中意外伤残程度与对应的保险给付比例为：第一级100%、第二级90%、第三级80%、第四级70%、第五级60%、第六级50%、第七级40%、第八级30%、第九级20%、第十级10%。</w:t>
      </w:r>
    </w:p>
    <w:p>
      <w:pPr>
        <w:spacing w:line="440" w:lineRule="exact"/>
        <w:ind w:firstLine="600" w:firstLineChars="250"/>
        <w:rPr>
          <w:rFonts w:hint="eastAsia" w:ascii="宋体" w:hAnsi="宋体"/>
        </w:rPr>
      </w:pPr>
      <w:r>
        <w:rPr>
          <w:rFonts w:hint="eastAsia" w:ascii="宋体" w:hAnsi="宋体"/>
        </w:rPr>
        <w:t>人身保险伤残评定标准：</w:t>
      </w:r>
    </w:p>
    <w:tbl>
      <w:tblPr>
        <w:tblStyle w:val="52"/>
        <w:tblW w:w="9837" w:type="dxa"/>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4777"/>
        <w:gridCol w:w="506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8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center"/>
          </w:tcPr>
          <w:p>
            <w:pPr>
              <w:pStyle w:val="40"/>
              <w:adjustRightInd w:val="0"/>
              <w:snapToGrid w:val="0"/>
              <w:spacing w:before="0" w:beforeAutospacing="0" w:after="0" w:afterAutospacing="0" w:line="440" w:lineRule="exact"/>
              <w:ind w:left="0" w:right="0" w:firstLine="480"/>
              <w:jc w:val="center"/>
              <w:rPr>
                <w:rFonts w:hint="default" w:ascii="宋体" w:hAnsi="宋体" w:cs="Times New Roman"/>
                <w:sz w:val="20"/>
                <w:szCs w:val="20"/>
              </w:rPr>
            </w:pPr>
            <w:r>
              <w:rPr>
                <w:rFonts w:hint="eastAsia" w:ascii="宋体" w:hAnsi="宋体" w:cs="Times New Roman"/>
                <w:sz w:val="20"/>
                <w:szCs w:val="20"/>
              </w:rPr>
              <w:t>意外伤残程度</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保险金给付比例</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第一级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第二级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90%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第三级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第四级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70%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第五级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60%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第六级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第七级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40%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第八级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82"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第九级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20%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315" w:hRule="atLeast"/>
          <w:jc w:val="center"/>
        </w:trPr>
        <w:tc>
          <w:tcPr>
            <w:tcW w:w="4777" w:type="dxa"/>
            <w:tcBorders>
              <w:top w:val="single" w:color="auto" w:sz="4" w:space="0"/>
              <w:left w:val="single" w:color="auto" w:sz="4" w:space="0"/>
              <w:bottom w:val="single" w:color="auto" w:sz="4" w:space="0"/>
              <w:right w:val="single" w:color="auto" w:sz="4" w:space="0"/>
            </w:tcBorders>
            <w:tcMar>
              <w:top w:w="15" w:type="dxa"/>
              <w:left w:w="15" w:type="dxa"/>
              <w:bottom w:w="0" w:type="dxa"/>
              <w:right w:w="15" w:type="dxa"/>
            </w:tcMar>
            <w:vAlign w:val="top"/>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第十级</w:t>
            </w:r>
          </w:p>
        </w:tc>
        <w:tc>
          <w:tcPr>
            <w:tcW w:w="5060" w:type="dxa"/>
            <w:tcBorders>
              <w:top w:val="single" w:color="auto" w:sz="4" w:space="0"/>
              <w:left w:val="nil"/>
              <w:bottom w:val="single" w:color="auto" w:sz="4" w:space="0"/>
              <w:right w:val="single" w:color="auto" w:sz="4" w:space="0"/>
            </w:tcBorders>
            <w:tcMar>
              <w:top w:w="15" w:type="dxa"/>
              <w:left w:w="15" w:type="dxa"/>
              <w:bottom w:w="0" w:type="dxa"/>
              <w:right w:w="15" w:type="dxa"/>
            </w:tcMar>
            <w:vAlign w:val="center"/>
          </w:tcPr>
          <w:p>
            <w:pPr>
              <w:widowControl w:val="0"/>
              <w:adjustRightInd w:val="0"/>
              <w:snapToGrid w:val="0"/>
              <w:spacing w:before="0" w:beforeAutospacing="0" w:after="0" w:afterAutospacing="0" w:line="440" w:lineRule="exact"/>
              <w:ind w:left="0" w:right="0"/>
              <w:jc w:val="center"/>
              <w:rPr>
                <w:rFonts w:hint="default" w:ascii="宋体" w:hAnsi="宋体" w:cs="Times New Roman"/>
                <w:kern w:val="2"/>
                <w:sz w:val="20"/>
                <w:szCs w:val="20"/>
              </w:rPr>
            </w:pPr>
            <w:r>
              <w:rPr>
                <w:rFonts w:hint="eastAsia" w:ascii="宋体" w:hAnsi="宋体" w:cs="Times New Roman"/>
                <w:sz w:val="20"/>
                <w:szCs w:val="20"/>
              </w:rPr>
              <w:t>10%</w:t>
            </w:r>
          </w:p>
        </w:tc>
      </w:tr>
    </w:tbl>
    <w:p>
      <w:pPr>
        <w:spacing w:line="440" w:lineRule="exact"/>
        <w:ind w:firstLine="600" w:firstLineChars="250"/>
        <w:rPr>
          <w:rFonts w:hint="eastAsia" w:ascii="宋体" w:hAnsi="宋体" w:eastAsia="宋体"/>
          <w:kern w:val="2"/>
          <w:lang w:eastAsia="zh-CN"/>
        </w:rPr>
      </w:pPr>
    </w:p>
    <w:p>
      <w:pPr>
        <w:spacing w:line="360" w:lineRule="auto"/>
        <w:ind w:firstLine="600" w:firstLineChars="250"/>
        <w:rPr>
          <w:rFonts w:hint="eastAsia" w:ascii="宋体" w:hAnsi="宋体"/>
        </w:rPr>
      </w:pPr>
      <w:r>
        <w:rPr>
          <w:rFonts w:hint="eastAsia" w:ascii="宋体" w:hAnsi="宋体"/>
        </w:rPr>
        <w:t>被保险人该次意外事故导致的伤残合并前次伤残可领较严重等级意外伤残保险金的，保险公司按较严重等级标准给付，但前次已给付的意外伤残保险金（投保前已有或因责任免除事项所致《人身保险伤残评定标准及代码》（JR/T0083-2013）所列伤残的，视为已给付意外伤残保险金）应予以扣除。</w:t>
      </w:r>
    </w:p>
    <w:p>
      <w:pPr>
        <w:spacing w:line="360" w:lineRule="auto"/>
        <w:ind w:firstLine="600" w:firstLineChars="250"/>
        <w:rPr>
          <w:rFonts w:hint="eastAsia" w:ascii="宋体" w:hAnsi="宋体"/>
        </w:rPr>
      </w:pPr>
      <w:r>
        <w:rPr>
          <w:rFonts w:hint="eastAsia" w:ascii="宋体" w:hAnsi="宋体"/>
        </w:rPr>
        <w:t>被保险人的意外伤残保险金的累计给付金额以该被保险人的意外伤残保险金额为限，累计给付金额达到其意外伤残保险金额时，保险公司对该被保险人的该项保险责任终止。</w:t>
      </w:r>
    </w:p>
    <w:p>
      <w:pPr>
        <w:spacing w:line="360" w:lineRule="auto"/>
        <w:ind w:firstLine="600" w:firstLineChars="250"/>
        <w:rPr>
          <w:rFonts w:hint="eastAsia" w:ascii="宋体" w:hAnsi="宋体"/>
        </w:rPr>
      </w:pPr>
      <w:r>
        <w:rPr>
          <w:rFonts w:hint="eastAsia" w:ascii="宋体" w:hAnsi="宋体"/>
        </w:rPr>
        <w:t>在指定的国家法定节假日期间，全残责任保额提高至160000元。</w:t>
      </w:r>
    </w:p>
    <w:p>
      <w:pPr>
        <w:spacing w:line="360" w:lineRule="auto"/>
        <w:ind w:firstLine="602" w:firstLineChars="250"/>
        <w:rPr>
          <w:rFonts w:hint="eastAsia" w:ascii="宋体" w:hAnsi="宋体"/>
          <w:b/>
          <w:bCs/>
          <w:lang w:eastAsia="zh-CN"/>
        </w:rPr>
      </w:pPr>
      <w:r>
        <w:rPr>
          <w:rFonts w:hint="eastAsia" w:ascii="宋体" w:hAnsi="宋体"/>
          <w:b/>
          <w:bCs/>
        </w:rPr>
        <w:t>6.3意外住院津贴保险金责任</w:t>
      </w:r>
    </w:p>
    <w:p>
      <w:pPr>
        <w:spacing w:line="360" w:lineRule="auto"/>
        <w:ind w:firstLine="600" w:firstLineChars="250"/>
        <w:rPr>
          <w:rFonts w:hint="eastAsia" w:ascii="宋体" w:hAnsi="宋体"/>
        </w:rPr>
      </w:pPr>
      <w:r>
        <w:rPr>
          <w:rFonts w:hint="eastAsia" w:ascii="宋体" w:hAnsi="宋体"/>
        </w:rPr>
        <w:t>被保险人因遭受意外事故，并自事故发生之日起180日内因该事故经医院确诊必须住院治疗的，保险公司按其合理住院日数乘以250元住院日额现金补贴给付意外住院医疗现金补贴。</w:t>
      </w:r>
    </w:p>
    <w:p>
      <w:pPr>
        <w:spacing w:line="360" w:lineRule="auto"/>
        <w:ind w:firstLine="600" w:firstLineChars="250"/>
        <w:rPr>
          <w:rFonts w:hint="eastAsia" w:ascii="宋体" w:hAnsi="宋体"/>
        </w:rPr>
      </w:pPr>
      <w:r>
        <w:rPr>
          <w:rFonts w:hint="eastAsia" w:ascii="宋体" w:hAnsi="宋体"/>
        </w:rPr>
        <w:t>意外住院医疗现金补贴的累计给付日数最多为180日，累计给付日数达到180日时，对该被保险人的保险责任终止。</w:t>
      </w:r>
    </w:p>
    <w:p>
      <w:pPr>
        <w:spacing w:line="360" w:lineRule="auto"/>
        <w:ind w:firstLine="602" w:firstLineChars="250"/>
        <w:rPr>
          <w:rFonts w:hint="eastAsia" w:ascii="宋体" w:hAnsi="宋体"/>
          <w:b/>
          <w:bCs/>
        </w:rPr>
      </w:pPr>
      <w:r>
        <w:rPr>
          <w:rFonts w:hint="eastAsia" w:ascii="宋体" w:hAnsi="宋体"/>
          <w:b/>
          <w:bCs/>
        </w:rPr>
        <w:t>6.4意外医疗保险责任</w:t>
      </w:r>
    </w:p>
    <w:p>
      <w:pPr>
        <w:spacing w:line="360" w:lineRule="auto"/>
        <w:ind w:firstLine="600" w:firstLineChars="250"/>
        <w:rPr>
          <w:rFonts w:hint="eastAsia" w:ascii="宋体" w:hAnsi="宋体"/>
        </w:rPr>
      </w:pPr>
      <w:r>
        <w:rPr>
          <w:rFonts w:hint="eastAsia" w:ascii="宋体" w:hAnsi="宋体"/>
        </w:rPr>
        <w:t>被保险人每次因遭受意外事故并在医院进行治疗的，保险公司就其该次意外事故发生之日起180日内发生的医疗费用（含符合当地社会医疗保险规定的合理医疗费用、自费费用）统筹后，按100%给付比例给付意外医疗保险金。</w:t>
      </w:r>
    </w:p>
    <w:p>
      <w:pPr>
        <w:spacing w:line="360" w:lineRule="auto"/>
        <w:ind w:firstLine="600" w:firstLineChars="250"/>
        <w:rPr>
          <w:rFonts w:hint="eastAsia" w:ascii="宋体" w:hAnsi="宋体"/>
        </w:rPr>
      </w:pPr>
      <w:r>
        <w:rPr>
          <w:rFonts w:hint="eastAsia" w:ascii="宋体" w:hAnsi="宋体"/>
        </w:rPr>
        <w:t>被保险人不论一次或多次遭受意外事故而造成医疗费用支出的，保险公司均按上述约定分别给付意外医疗保险金，但累计给付金额以该被保险人的意外医疗保险金额为限，累计给付金额达到其意外医疗保险金额时，对该被保险人的保险责任终止。</w:t>
      </w:r>
    </w:p>
    <w:p>
      <w:pPr>
        <w:spacing w:line="360" w:lineRule="auto"/>
        <w:ind w:firstLine="600" w:firstLineChars="250"/>
        <w:rPr>
          <w:rFonts w:hint="eastAsia" w:ascii="宋体" w:hAnsi="宋体"/>
        </w:rPr>
      </w:pPr>
      <w:r>
        <w:rPr>
          <w:rFonts w:hint="eastAsia" w:ascii="宋体" w:hAnsi="宋体"/>
        </w:rPr>
        <w:t>保险公司在保险责任范围内给付保险金，但若被保险人已从其它途径（包括但不限于社会医疗保险、公费医疗、工作单位、侵权人或侵权责任承担方、保险公司在内的任何保险机构）获得补偿，保险公司在扣除其他途径已获得的补偿后，对于剩余部分费用根据本附加合同约定在该被保险人的保险金额的限额内按照约定的给付比例给付意外医疗保险金。</w:t>
      </w:r>
    </w:p>
    <w:p>
      <w:pPr>
        <w:spacing w:line="360" w:lineRule="auto"/>
        <w:ind w:firstLine="602" w:firstLineChars="250"/>
        <w:rPr>
          <w:rFonts w:hint="eastAsia" w:ascii="宋体" w:hAnsi="宋体"/>
          <w:b/>
          <w:bCs/>
        </w:rPr>
      </w:pPr>
      <w:r>
        <w:rPr>
          <w:rFonts w:hint="eastAsia" w:ascii="宋体" w:hAnsi="宋体"/>
          <w:b/>
          <w:bCs/>
        </w:rPr>
        <w:t>6.5补充住院医疗责任</w:t>
      </w:r>
    </w:p>
    <w:p>
      <w:pPr>
        <w:spacing w:line="360" w:lineRule="auto"/>
        <w:ind w:firstLine="600" w:firstLineChars="250"/>
        <w:rPr>
          <w:rFonts w:hint="eastAsia" w:ascii="宋体" w:hAnsi="宋体"/>
        </w:rPr>
      </w:pPr>
      <w:r>
        <w:rPr>
          <w:rFonts w:hint="eastAsia" w:ascii="宋体" w:hAnsi="宋体"/>
        </w:rPr>
        <w:t>本项责任无等待期限制，既往症属于保险责任范围。</w:t>
      </w:r>
    </w:p>
    <w:p>
      <w:pPr>
        <w:spacing w:line="360" w:lineRule="auto"/>
        <w:ind w:firstLine="600" w:firstLineChars="250"/>
        <w:rPr>
          <w:rFonts w:hint="eastAsia" w:ascii="宋体" w:hAnsi="宋体" w:eastAsia="宋体"/>
          <w:lang w:eastAsia="zh-CN"/>
        </w:rPr>
      </w:pPr>
      <w:r>
        <w:rPr>
          <w:rFonts w:hint="eastAsia" w:ascii="宋体" w:hAnsi="宋体"/>
        </w:rPr>
        <w:t>本方案中补充住院医疗责任累计最高赔付限额以1</w:t>
      </w:r>
      <w:r>
        <w:rPr>
          <w:rFonts w:hint="eastAsia" w:ascii="宋体" w:hAnsi="宋体"/>
          <w:lang w:val="en-US" w:eastAsia="zh-CN"/>
        </w:rPr>
        <w:t>65</w:t>
      </w:r>
      <w:r>
        <w:rPr>
          <w:rFonts w:hint="eastAsia" w:ascii="宋体" w:hAnsi="宋体"/>
        </w:rPr>
        <w:t>0万元为限，累计赔付达到限额后，本项目所有保单下此项责任终止，保险人不再承担补充住院医疗保险金（公共保额）责任</w:t>
      </w:r>
      <w:r>
        <w:rPr>
          <w:rFonts w:hint="eastAsia" w:ascii="宋体" w:hAnsi="宋体"/>
          <w:lang w:eastAsia="zh-CN"/>
        </w:rPr>
        <w:t>。</w:t>
      </w:r>
    </w:p>
    <w:p>
      <w:pPr>
        <w:spacing w:line="360" w:lineRule="auto"/>
        <w:ind w:firstLine="600" w:firstLineChars="250"/>
        <w:rPr>
          <w:rFonts w:hint="eastAsia" w:ascii="宋体" w:hAnsi="宋体"/>
        </w:rPr>
      </w:pPr>
      <w:r>
        <w:rPr>
          <w:rFonts w:hint="eastAsia" w:ascii="宋体" w:hAnsi="宋体"/>
        </w:rPr>
        <w:t>被保险人在保险期间内发生且延续至合同满期日后30日内的住院治疗，保险公司承担给付保险金的责任。</w:t>
      </w:r>
    </w:p>
    <w:p>
      <w:pPr>
        <w:spacing w:line="360" w:lineRule="auto"/>
        <w:ind w:firstLine="600" w:firstLineChars="250"/>
        <w:rPr>
          <w:rFonts w:hint="eastAsia" w:ascii="宋体" w:hAnsi="宋体"/>
        </w:rPr>
      </w:pPr>
      <w:r>
        <w:rPr>
          <w:rFonts w:hint="eastAsia" w:ascii="宋体" w:hAnsi="宋体"/>
        </w:rPr>
        <w:t>被保险人因遭受意外事故或疾病，经医院确诊必须住院治疗的，保险公司就其住院期间发生的、符合当地社会医疗保险规定的合理医疗费用，在每次住院医疗经社保统筹支付后，按100%比例给付补充住院医疗保险金。</w:t>
      </w:r>
    </w:p>
    <w:p>
      <w:pPr>
        <w:spacing w:line="360" w:lineRule="auto"/>
        <w:ind w:firstLine="600" w:firstLineChars="250"/>
        <w:rPr>
          <w:rFonts w:hint="eastAsia" w:ascii="宋体" w:hAnsi="宋体"/>
        </w:rPr>
      </w:pPr>
      <w:r>
        <w:rPr>
          <w:rFonts w:hint="eastAsia" w:ascii="宋体" w:hAnsi="宋体"/>
        </w:rPr>
        <w:t>被保险人不论一次或多次住院治疗，保险公司均按上述约定给付补充住院医疗保险金，但累计给付金额以该被保险人的保险金额为限，累计给付金额达到其保险金额时，对该被保险人保险责任终止。</w:t>
      </w:r>
    </w:p>
    <w:p>
      <w:pPr>
        <w:spacing w:line="360" w:lineRule="auto"/>
        <w:ind w:firstLine="600" w:firstLineChars="250"/>
        <w:rPr>
          <w:rFonts w:hint="eastAsia" w:ascii="宋体" w:hAnsi="宋体"/>
          <w:b/>
          <w:bCs/>
        </w:rPr>
      </w:pPr>
      <w:r>
        <w:rPr>
          <w:rFonts w:hint="eastAsia" w:ascii="宋体" w:hAnsi="宋体"/>
        </w:rPr>
        <w:t>保险公司在本合同保险责任范围内给付保险金，但若被保险人已从其它途径（包括但不限于社会医疗保险、公费医疗、工作单位、侵权人或侵权责任承担方、本公司在内的任何保险机构）获得补偿，对于与当地社会医疗保险支付范围相符的合理医疗费用，本公司在扣除其他途径已获得的补偿后，对于剩余部分费用根据本合同约定在该被保险人的保险金额的限额内按照约定的支付范围和支付比例给付住院医疗保险金。</w:t>
      </w:r>
    </w:p>
    <w:p>
      <w:pPr>
        <w:spacing w:line="360" w:lineRule="auto"/>
        <w:ind w:firstLine="482" w:firstLineChars="200"/>
        <w:rPr>
          <w:rFonts w:hint="eastAsia" w:ascii="宋体" w:hAnsi="宋体"/>
          <w:b/>
          <w:bCs/>
        </w:rPr>
      </w:pPr>
      <w:r>
        <w:rPr>
          <w:rFonts w:hint="eastAsia" w:ascii="宋体" w:hAnsi="宋体"/>
          <w:b/>
          <w:bCs/>
        </w:rPr>
        <w:t>6.6重大疾病保险责任</w:t>
      </w:r>
    </w:p>
    <w:p>
      <w:pPr>
        <w:spacing w:line="360" w:lineRule="auto"/>
        <w:ind w:firstLine="600" w:firstLineChars="250"/>
        <w:rPr>
          <w:rFonts w:hint="eastAsia" w:ascii="宋体" w:hAnsi="宋体"/>
        </w:rPr>
      </w:pPr>
      <w:r>
        <w:rPr>
          <w:rFonts w:hint="eastAsia" w:ascii="宋体" w:hAnsi="宋体"/>
        </w:rPr>
        <w:t>在保险期间内，自保险期间开始且保险单载明的30日等待期满之日起（连续不间断续保从续保生效日起），至保险期间终止之日止，被保险人符合本保险合同约定的定点医院，如未约定定点医院的，则经中华人民共和国卫生部门评审确认的二级或二级以上的医疗机构的专科医生明确诊断初次发生约定的疾病、疾病状态或手术的，保险人按“重大疾病保险金额”给付本款项下保险金，对该被保险人的该项保险责任终止。</w:t>
      </w:r>
    </w:p>
    <w:p>
      <w:pPr>
        <w:spacing w:line="360" w:lineRule="auto"/>
        <w:ind w:firstLine="600" w:firstLineChars="250"/>
        <w:rPr>
          <w:rFonts w:hint="eastAsia" w:ascii="宋体" w:hAnsi="宋体"/>
        </w:rPr>
      </w:pPr>
      <w:r>
        <w:rPr>
          <w:rFonts w:hint="eastAsia" w:ascii="宋体" w:hAnsi="宋体"/>
        </w:rPr>
        <w:t>在保险期间，保险人因意外伤害导致其患重大疾病的，无等待期。</w:t>
      </w:r>
    </w:p>
    <w:p>
      <w:pPr>
        <w:spacing w:line="360" w:lineRule="auto"/>
        <w:ind w:firstLine="600" w:firstLineChars="250"/>
        <w:rPr>
          <w:rFonts w:hint="eastAsia" w:ascii="宋体" w:hAnsi="宋体" w:eastAsia="宋体"/>
          <w:lang w:eastAsia="zh-CN"/>
        </w:rPr>
      </w:pPr>
      <w:r>
        <w:rPr>
          <w:rFonts w:hint="eastAsia" w:ascii="宋体" w:hAnsi="宋体"/>
        </w:rPr>
        <w:t>重大疾病的具体疾病种类及疾病定义以是中国保险行业协会制定的《重大疾病保险的疾病定义使用规范(2020年修订版)》的疾病定义，包含28种重大疾病和3种轻症疾病。</w:t>
      </w:r>
      <w:r>
        <w:rPr>
          <w:rFonts w:hint="eastAsia" w:ascii="宋体" w:hAnsi="宋体"/>
          <w:lang w:val="en-US" w:eastAsia="zh-CN"/>
        </w:rPr>
        <w:t>本项目重大疾病保险责任涉及病种详见附件。</w:t>
      </w:r>
    </w:p>
    <w:p>
      <w:pPr>
        <w:spacing w:line="360" w:lineRule="auto"/>
        <w:rPr>
          <w:rFonts w:hint="eastAsia" w:eastAsia="宋体"/>
          <w:sz w:val="28"/>
          <w:szCs w:val="28"/>
          <w:lang w:eastAsia="zh-CN"/>
        </w:rPr>
      </w:pPr>
      <w:r>
        <w:rPr>
          <w:rFonts w:hint="eastAsia" w:ascii="宋体" w:hAnsi="宋体"/>
          <w:b/>
          <w:bCs/>
          <w:sz w:val="28"/>
          <w:szCs w:val="28"/>
        </w:rPr>
        <w:t>七、保全服务</w:t>
      </w:r>
    </w:p>
    <w:p>
      <w:pPr>
        <w:spacing w:line="360" w:lineRule="auto"/>
        <w:ind w:firstLine="480" w:firstLineChars="200"/>
        <w:rPr>
          <w:rFonts w:hint="eastAsia" w:eastAsia="宋体"/>
          <w:lang w:eastAsia="zh-CN"/>
        </w:rPr>
      </w:pPr>
      <w:r>
        <w:rPr>
          <w:rFonts w:hint="eastAsia" w:ascii="宋体" w:hAnsi="宋体"/>
        </w:rPr>
        <w:t>该项目采用不记名的投保形式，被保险人申请理赔时，需进行人员信息补录，补录申请材料如下：</w:t>
      </w:r>
    </w:p>
    <w:p>
      <w:pPr>
        <w:spacing w:line="360" w:lineRule="auto"/>
        <w:rPr>
          <w:rFonts w:hint="eastAsia" w:eastAsia="宋体"/>
          <w:lang w:eastAsia="zh-CN"/>
        </w:rPr>
      </w:pPr>
      <w:r>
        <w:rPr>
          <w:rFonts w:hint="eastAsia" w:ascii="宋体" w:hAnsi="宋体"/>
        </w:rPr>
        <w:t>7.1、保全申请书（免投保单位盖章）</w:t>
      </w:r>
    </w:p>
    <w:p>
      <w:pPr>
        <w:spacing w:line="360" w:lineRule="auto"/>
        <w:rPr>
          <w:rFonts w:hint="eastAsia" w:eastAsia="宋体"/>
          <w:lang w:eastAsia="zh-CN"/>
        </w:rPr>
      </w:pPr>
      <w:r>
        <w:rPr>
          <w:rFonts w:hint="eastAsia" w:ascii="宋体" w:hAnsi="宋体"/>
        </w:rPr>
        <w:t>7.2、理赔申请材料（理赔申请书、被保险人身份证明、门诊/住院病历、医疗费用原始发票、费用明细清单/处方、医保结算清单等相关材料）</w:t>
      </w:r>
    </w:p>
    <w:p>
      <w:pPr>
        <w:spacing w:line="360" w:lineRule="auto"/>
        <w:rPr>
          <w:rFonts w:hint="eastAsia" w:ascii="宋体" w:hAnsi="宋体" w:eastAsia="宋体"/>
          <w:b/>
          <w:bCs/>
          <w:lang w:eastAsia="zh-CN"/>
        </w:rPr>
      </w:pPr>
      <w:r>
        <w:rPr>
          <w:rFonts w:hint="eastAsia" w:ascii="宋体" w:hAnsi="宋体"/>
        </w:rPr>
        <w:t>7.3、被保险人有效残疾证</w:t>
      </w:r>
    </w:p>
    <w:p>
      <w:pPr>
        <w:spacing w:line="360" w:lineRule="auto"/>
        <w:rPr>
          <w:rFonts w:hint="eastAsia" w:eastAsia="宋体"/>
          <w:kern w:val="2"/>
          <w:sz w:val="28"/>
          <w:szCs w:val="28"/>
          <w:lang w:eastAsia="zh-CN"/>
        </w:rPr>
      </w:pPr>
      <w:r>
        <w:rPr>
          <w:rFonts w:hint="eastAsia" w:ascii="宋体" w:hAnsi="宋体"/>
          <w:b/>
          <w:bCs/>
          <w:sz w:val="28"/>
          <w:szCs w:val="28"/>
        </w:rPr>
        <w:t>八、反商业贿赂条款</w:t>
      </w:r>
    </w:p>
    <w:p>
      <w:pPr>
        <w:spacing w:line="360" w:lineRule="auto"/>
        <w:rPr>
          <w:rFonts w:hint="eastAsia" w:eastAsia="宋体"/>
          <w:lang w:eastAsia="zh-CN"/>
        </w:rPr>
      </w:pPr>
      <w:r>
        <w:rPr>
          <w:rFonts w:hint="eastAsia" w:ascii="宋体" w:hAnsi="宋体"/>
        </w:rPr>
        <w:t>8.1反商业贿赂条款是本协议之必备条款，与本协议其它条款具有同等法律效力，请签署协议之当事人认真阅读本条款，同意签订并遵守如下反商业贿赂条款：</w:t>
      </w:r>
    </w:p>
    <w:p>
      <w:pPr>
        <w:spacing w:line="360" w:lineRule="auto"/>
        <w:rPr>
          <w:rFonts w:hint="eastAsia" w:eastAsia="宋体"/>
          <w:lang w:eastAsia="zh-CN"/>
        </w:rPr>
      </w:pPr>
      <w:r>
        <w:rPr>
          <w:rFonts w:hint="eastAsia" w:ascii="宋体" w:hAnsi="宋体"/>
        </w:rPr>
        <w:t>8.1.1甲乙双方都清楚并愿意严格遵守中华人民共和国反商业贿赂的法律规定，双方都清楚任何形式的贿赂和贪渎行为都将触犯法律，并将受到法律的严惩。</w:t>
      </w:r>
    </w:p>
    <w:p>
      <w:pPr>
        <w:spacing w:line="360" w:lineRule="auto"/>
        <w:rPr>
          <w:rFonts w:hint="eastAsia" w:eastAsia="宋体"/>
          <w:lang w:eastAsia="zh-CN"/>
        </w:rPr>
      </w:pPr>
      <w:r>
        <w:rPr>
          <w:rFonts w:hint="eastAsia" w:ascii="宋体" w:hAnsi="宋体"/>
        </w:rPr>
        <w:t>8.1.2甲方或乙方均不得向对方或对方经办人或其他相关人员索要、收受、提供、给予协议约定外的任何利益，包括但不限于明扣、暗扣、现金、购物卡、实物、有价证券、旅游或其他非物质性利益等，但如该等利益属于行业惯例或通常做法，则须在协议中明示。</w:t>
      </w:r>
    </w:p>
    <w:p>
      <w:pPr>
        <w:spacing w:line="360" w:lineRule="auto"/>
        <w:rPr>
          <w:rFonts w:hint="eastAsia" w:eastAsia="宋体"/>
          <w:lang w:eastAsia="zh-CN"/>
        </w:rPr>
      </w:pPr>
      <w:r>
        <w:rPr>
          <w:rFonts w:hint="eastAsia" w:ascii="宋体" w:hAnsi="宋体"/>
        </w:rPr>
        <w:t>8.1.3乙方严格禁止乙方经办人员的任何商业贿赂行为。乙方经办人发生本条第二款所列示</w:t>
      </w:r>
    </w:p>
    <w:p>
      <w:pPr>
        <w:spacing w:line="360" w:lineRule="auto"/>
        <w:rPr>
          <w:rFonts w:hint="eastAsia" w:eastAsia="宋体"/>
          <w:lang w:eastAsia="zh-CN"/>
        </w:rPr>
      </w:pPr>
      <w:r>
        <w:rPr>
          <w:rFonts w:hint="eastAsia" w:ascii="宋体" w:hAnsi="宋体"/>
        </w:rPr>
        <w:t>的任何一种行为，都是违反乙方公司制度的，都将受到乙方公司制度和国家法律的惩处。</w:t>
      </w:r>
    </w:p>
    <w:p>
      <w:pPr>
        <w:spacing w:line="360" w:lineRule="auto"/>
        <w:rPr>
          <w:rFonts w:hint="eastAsia" w:eastAsia="宋体"/>
          <w:lang w:eastAsia="zh-CN"/>
        </w:rPr>
      </w:pPr>
      <w:r>
        <w:rPr>
          <w:rFonts w:hint="eastAsia" w:ascii="宋体" w:hAnsi="宋体"/>
        </w:rPr>
        <w:t>8.1.4乙方郑重提示：乙方反对甲方或甲方经办人员为了本协议之目的与本协议以外的任何第三方发生本条款第二款所列示的任何一种行为，该等行为都是违反国家法律的行为，并将受到国家法律的惩处。</w:t>
      </w:r>
    </w:p>
    <w:p>
      <w:pPr>
        <w:spacing w:line="360" w:lineRule="auto"/>
        <w:rPr>
          <w:rFonts w:hint="eastAsia" w:eastAsia="宋体"/>
          <w:lang w:eastAsia="zh-CN"/>
        </w:rPr>
      </w:pPr>
      <w:r>
        <w:rPr>
          <w:rFonts w:hint="eastAsia" w:ascii="宋体" w:hAnsi="宋体"/>
        </w:rPr>
        <w:t>8.1.5如因一方或一方经办人违反本条第二款、第三款、第四款之规定，给对方造成损失的，应承担损害赔偿责任。</w:t>
      </w:r>
    </w:p>
    <w:p>
      <w:pPr>
        <w:spacing w:line="360" w:lineRule="auto"/>
        <w:rPr>
          <w:rFonts w:hint="eastAsia" w:eastAsia="宋体"/>
          <w:sz w:val="28"/>
          <w:szCs w:val="28"/>
          <w:lang w:eastAsia="zh-CN"/>
        </w:rPr>
      </w:pPr>
      <w:r>
        <w:rPr>
          <w:rFonts w:hint="eastAsia" w:ascii="宋体" w:hAnsi="宋体"/>
        </w:rPr>
        <w:t>8.1.6本条所称“其他相关人员”是指甲乙方经办人以外的与协议有直接或间接利益关系的人员，包括但不仅限于协议经办人的亲友</w:t>
      </w:r>
      <w:r>
        <w:rPr>
          <w:rFonts w:hint="eastAsia" w:ascii="宋体" w:hAnsi="宋体"/>
          <w:sz w:val="28"/>
          <w:szCs w:val="28"/>
        </w:rPr>
        <w:t>。</w:t>
      </w:r>
    </w:p>
    <w:p>
      <w:pPr>
        <w:spacing w:line="360" w:lineRule="auto"/>
        <w:rPr>
          <w:rFonts w:hint="eastAsia" w:eastAsia="宋体"/>
          <w:sz w:val="28"/>
          <w:szCs w:val="28"/>
          <w:lang w:eastAsia="zh-CN"/>
        </w:rPr>
      </w:pPr>
      <w:r>
        <w:rPr>
          <w:rFonts w:hint="eastAsia" w:ascii="宋体" w:hAnsi="宋体"/>
          <w:b/>
          <w:bCs/>
          <w:sz w:val="28"/>
          <w:szCs w:val="28"/>
        </w:rPr>
        <w:t>九、反虚假宣传条款</w:t>
      </w:r>
    </w:p>
    <w:p>
      <w:pPr>
        <w:spacing w:line="360" w:lineRule="auto"/>
        <w:rPr>
          <w:rFonts w:hint="eastAsia" w:ascii="宋体" w:hAnsi="宋体"/>
        </w:rPr>
      </w:pPr>
      <w:r>
        <w:rPr>
          <w:rFonts w:hint="eastAsia" w:ascii="宋体" w:hAnsi="宋体"/>
          <w:lang w:val="en-US" w:eastAsia="zh-CN"/>
        </w:rPr>
        <w:t xml:space="preserve">   </w:t>
      </w:r>
      <w:r>
        <w:rPr>
          <w:rFonts w:hint="eastAsia" w:ascii="宋体" w:hAnsi="宋体"/>
        </w:rPr>
        <w:t>甲、乙双方均清楚并愿意严格遵守中华人民共和国《著作权法》、《商标法》、《专利法》、《反不正当竞争法》等知识产权类、民法典及广告法等相关法律的规定，双方均有权就本合同所约定事项以约定方式在约定范围内进行真实、合理的使用或宣传，但不得涉及合同所约定的保密内容。为避免商标侵权及不当宣传等风险的发生，双方均同意，在使用对方的商标、品牌、企业名称等进行宣传前，均须获得对方事先的书面认可，否则，不得进行此类使用或宣传。双方在此承诺，会积极响应对方提出的就合作事项的合理使用或宣传申请。双方均承认，未经对方事先书面同意而利用其商标、品牌及企业名称等进行商业宣传；虚构合作事项；夸大合作范围、内容、效果、规模、程度等，均属对本合同的违反，并可能因虚假宣传构成不正当竞争，守约方或被侵权人将保留追究相应法律责任的权利。</w:t>
      </w:r>
    </w:p>
    <w:p>
      <w:pPr>
        <w:pStyle w:val="2"/>
        <w:numPr>
          <w:ilvl w:val="0"/>
          <w:numId w:val="11"/>
        </w:numPr>
        <w:ind w:left="0" w:leftChars="0" w:firstLine="0" w:firstLineChars="0"/>
        <w:rPr>
          <w:rFonts w:hint="eastAsia" w:hAnsi="宋体"/>
          <w:b/>
          <w:bCs/>
          <w:color w:val="auto"/>
          <w:sz w:val="28"/>
          <w:szCs w:val="28"/>
          <w:lang w:eastAsia="zh-CN"/>
        </w:rPr>
      </w:pPr>
      <w:r>
        <w:rPr>
          <w:rFonts w:hint="eastAsia" w:hAnsi="宋体"/>
          <w:b/>
          <w:bCs/>
          <w:color w:val="auto"/>
          <w:sz w:val="28"/>
          <w:szCs w:val="28"/>
          <w:lang w:eastAsia="zh-CN"/>
        </w:rPr>
        <w:t>双方权利义务</w:t>
      </w:r>
    </w:p>
    <w:p>
      <w:pPr>
        <w:pStyle w:val="20"/>
        <w:spacing w:before="83" w:line="360" w:lineRule="auto"/>
        <w:ind w:right="163"/>
        <w:rPr>
          <w:rFonts w:hint="eastAsia" w:ascii="宋体" w:hAnsi="宋体" w:eastAsia="宋体" w:cs="Times New Roman"/>
          <w:color w:val="auto"/>
          <w:sz w:val="24"/>
          <w:szCs w:val="24"/>
          <w:lang w:val="en-US" w:eastAsia="en-US" w:bidi="en-US"/>
        </w:rPr>
      </w:pPr>
      <w:r>
        <w:rPr>
          <w:rFonts w:ascii="Calibri" w:hAnsi="Calibri" w:eastAsia="Calibri" w:cs="Calibri"/>
          <w:color w:val="auto"/>
          <w:spacing w:val="-1"/>
        </w:rPr>
        <w:t xml:space="preserve">10.1 </w:t>
      </w:r>
      <w:r>
        <w:rPr>
          <w:rFonts w:hint="eastAsia" w:ascii="宋体" w:hAnsi="宋体" w:eastAsia="宋体" w:cs="Times New Roman"/>
          <w:color w:val="auto"/>
          <w:sz w:val="24"/>
          <w:szCs w:val="24"/>
          <w:lang w:val="en-US" w:eastAsia="en-US" w:bidi="en-US"/>
        </w:rPr>
        <w:t>在协议执行过程中，甲方有权向乙方提出本项目相关问题， 乙方应在 5 个工作日内回应。</w:t>
      </w:r>
    </w:p>
    <w:p>
      <w:pPr>
        <w:pStyle w:val="20"/>
        <w:spacing w:before="83" w:line="360" w:lineRule="auto"/>
        <w:ind w:right="100"/>
        <w:rPr>
          <w:rFonts w:hint="eastAsia" w:ascii="宋体" w:hAnsi="宋体" w:eastAsia="宋体" w:cs="Times New Roman"/>
          <w:color w:val="auto"/>
          <w:sz w:val="24"/>
          <w:szCs w:val="24"/>
          <w:lang w:val="en-US" w:eastAsia="en-US" w:bidi="en-US"/>
        </w:rPr>
      </w:pPr>
      <w:r>
        <w:rPr>
          <w:rFonts w:hint="eastAsia" w:ascii="宋体" w:hAnsi="宋体" w:eastAsia="宋体" w:cs="Times New Roman"/>
          <w:color w:val="auto"/>
          <w:sz w:val="24"/>
          <w:szCs w:val="24"/>
          <w:lang w:val="en-US" w:eastAsia="en-US" w:bidi="en-US"/>
        </w:rPr>
        <w:t>10.2 被保险人或受益人对保险合同内容存在纠纷和争议时，甲方 应积极协助乙方协调解决。</w:t>
      </w:r>
    </w:p>
    <w:p>
      <w:pPr>
        <w:pStyle w:val="20"/>
        <w:spacing w:before="85" w:line="360" w:lineRule="auto"/>
        <w:ind w:right="98"/>
        <w:rPr>
          <w:rFonts w:hint="eastAsia" w:ascii="宋体" w:hAnsi="宋体" w:eastAsia="宋体" w:cs="Times New Roman"/>
          <w:color w:val="auto"/>
          <w:sz w:val="24"/>
          <w:szCs w:val="24"/>
          <w:lang w:val="en-US" w:eastAsia="en-US" w:bidi="en-US"/>
        </w:rPr>
      </w:pPr>
      <w:r>
        <w:rPr>
          <w:rFonts w:hint="eastAsia" w:ascii="宋体" w:hAnsi="宋体" w:eastAsia="宋体" w:cs="Times New Roman"/>
          <w:color w:val="auto"/>
          <w:sz w:val="24"/>
          <w:szCs w:val="24"/>
          <w:lang w:val="en-US" w:eastAsia="en-US" w:bidi="en-US"/>
        </w:rPr>
        <w:t>10.3 甲方有权对乙方消费者权益保护相关工作进行监督评价，乙 方应积极进行配合。若发现乙方存在侵害消费者权益行为，甲方有权 督促乙方进行整改。乙方拒不整改或不积极整改的，甲方可单方面解除合作协议，且甲方无需承担违约责任，并将乙方机构列入甲方合作机构黑名单。对此造成的一切不利后果，由乙方承担。</w:t>
      </w:r>
    </w:p>
    <w:p>
      <w:pPr>
        <w:pStyle w:val="20"/>
        <w:spacing w:before="86" w:line="360" w:lineRule="auto"/>
        <w:rPr>
          <w:rFonts w:hint="eastAsia" w:ascii="宋体" w:hAnsi="宋体" w:eastAsia="宋体" w:cs="Times New Roman"/>
          <w:color w:val="auto"/>
          <w:sz w:val="24"/>
          <w:szCs w:val="24"/>
          <w:lang w:val="en-US" w:eastAsia="en-US" w:bidi="en-US"/>
        </w:rPr>
      </w:pPr>
      <w:r>
        <w:rPr>
          <w:rFonts w:hint="eastAsia" w:ascii="宋体" w:hAnsi="宋体" w:eastAsia="宋体" w:cs="Times New Roman"/>
          <w:color w:val="auto"/>
          <w:sz w:val="24"/>
          <w:szCs w:val="24"/>
          <w:lang w:val="en-US" w:eastAsia="en-US" w:bidi="en-US"/>
        </w:rPr>
        <w:t>10.4 乙方应遵守《保险法》的有关规定，履行承保人作出的承保、理赔及其他服务承诺，为被保险人提供优质服务。</w:t>
      </w:r>
    </w:p>
    <w:p>
      <w:pPr>
        <w:pStyle w:val="20"/>
        <w:spacing w:before="84" w:line="360" w:lineRule="auto"/>
        <w:ind w:right="100"/>
        <w:rPr>
          <w:rFonts w:hint="eastAsia" w:ascii="宋体" w:hAnsi="宋体" w:eastAsia="宋体" w:cs="Times New Roman"/>
          <w:color w:val="auto"/>
          <w:sz w:val="24"/>
          <w:szCs w:val="24"/>
          <w:lang w:val="en-US" w:eastAsia="en-US" w:bidi="en-US"/>
        </w:rPr>
      </w:pPr>
      <w:r>
        <w:rPr>
          <w:rFonts w:hint="eastAsia" w:ascii="宋体" w:hAnsi="宋体" w:eastAsia="宋体" w:cs="Times New Roman"/>
          <w:color w:val="auto"/>
          <w:sz w:val="24"/>
          <w:szCs w:val="24"/>
          <w:lang w:val="en-US" w:eastAsia="en-US" w:bidi="en-US"/>
        </w:rPr>
        <w:t>10.5 乙方应发挥保险机构网络优势，为被保险人提供优质便捷的 理赔服务。</w:t>
      </w:r>
    </w:p>
    <w:p>
      <w:pPr>
        <w:pStyle w:val="20"/>
        <w:spacing w:before="86" w:line="360" w:lineRule="auto"/>
        <w:ind w:right="21"/>
        <w:rPr>
          <w:rFonts w:hint="eastAsia" w:ascii="宋体" w:hAnsi="宋体" w:eastAsia="宋体" w:cs="Times New Roman"/>
          <w:color w:val="auto"/>
          <w:sz w:val="24"/>
          <w:szCs w:val="24"/>
          <w:lang w:val="en-US" w:eastAsia="en-US" w:bidi="en-US"/>
        </w:rPr>
      </w:pPr>
      <w:r>
        <w:rPr>
          <w:rFonts w:hint="eastAsia" w:ascii="宋体" w:hAnsi="宋体" w:eastAsia="宋体" w:cs="Times New Roman"/>
          <w:color w:val="auto"/>
          <w:sz w:val="24"/>
          <w:szCs w:val="24"/>
          <w:lang w:val="en-US" w:eastAsia="en-US" w:bidi="en-US"/>
        </w:rPr>
        <w:t>10.6 乙方应做好产品和服务信息的披露及告知，保证向甲方客户 对合作业务进行完整、如实介绍，确保甲方客户已充分了解合作内容，不得存在夸大业务功能、收取额外费用等侵犯消费者权益和违反监管部门相关规定的情况。因乙方及其业务人员的违规行为，给甲方及其客户造成的损失，由乙方承担。</w:t>
      </w:r>
    </w:p>
    <w:p>
      <w:pPr>
        <w:pStyle w:val="20"/>
        <w:spacing w:before="330" w:line="360" w:lineRule="auto"/>
        <w:rPr>
          <w:rFonts w:hint="eastAsia" w:ascii="宋体" w:hAnsi="宋体" w:eastAsia="宋体" w:cs="Times New Roman"/>
          <w:color w:val="auto"/>
          <w:sz w:val="24"/>
          <w:szCs w:val="24"/>
          <w:lang w:val="en-US" w:eastAsia="en-US" w:bidi="en-US"/>
        </w:rPr>
      </w:pPr>
      <w:r>
        <w:rPr>
          <w:rFonts w:hint="eastAsia" w:ascii="宋体" w:hAnsi="宋体" w:eastAsia="宋体" w:cs="Times New Roman"/>
          <w:color w:val="auto"/>
          <w:sz w:val="24"/>
          <w:szCs w:val="24"/>
          <w:lang w:val="en-US" w:eastAsia="en-US" w:bidi="en-US"/>
        </w:rPr>
        <w:t>10.7乙方应确保相关合作行为符合法律、监管法规、行业规则等要求，做好风险管理。</w:t>
      </w:r>
    </w:p>
    <w:p>
      <w:pPr>
        <w:spacing w:line="360" w:lineRule="auto"/>
        <w:rPr>
          <w:rFonts w:hint="eastAsia" w:ascii="宋体" w:hAnsi="宋体" w:eastAsia="宋体" w:cs="Times New Roman"/>
          <w:color w:val="auto"/>
          <w:sz w:val="24"/>
          <w:szCs w:val="24"/>
          <w:lang w:val="en-US" w:eastAsia="en-US" w:bidi="en-US"/>
        </w:rPr>
      </w:pPr>
      <w:r>
        <w:rPr>
          <w:rFonts w:hint="eastAsia" w:ascii="宋体" w:hAnsi="宋体" w:eastAsia="宋体" w:cs="Times New Roman"/>
          <w:color w:val="auto"/>
          <w:sz w:val="24"/>
          <w:szCs w:val="24"/>
          <w:lang w:val="en-US" w:eastAsia="en-US" w:bidi="en-US"/>
        </w:rPr>
        <w:t xml:space="preserve">10.8在合作有效期内，根据实际赔付情况，可由甲乙双方协商， 在现有基础上调整保障额度、保障内容等，更大程度上给参保者提供保障。 </w:t>
      </w:r>
    </w:p>
    <w:p>
      <w:pPr>
        <w:spacing w:line="360" w:lineRule="auto"/>
        <w:rPr>
          <w:rFonts w:hint="eastAsia" w:eastAsia="宋体"/>
          <w:sz w:val="28"/>
          <w:szCs w:val="28"/>
          <w:lang w:eastAsia="zh-CN"/>
        </w:rPr>
      </w:pPr>
      <w:r>
        <w:rPr>
          <w:rFonts w:hint="eastAsia" w:ascii="宋体" w:hAnsi="宋体"/>
          <w:b/>
          <w:bCs/>
          <w:sz w:val="28"/>
          <w:szCs w:val="28"/>
        </w:rPr>
        <w:t>十</w:t>
      </w:r>
      <w:r>
        <w:rPr>
          <w:rFonts w:hint="eastAsia" w:ascii="宋体" w:hAnsi="宋体"/>
          <w:b/>
          <w:bCs/>
          <w:sz w:val="28"/>
          <w:szCs w:val="28"/>
          <w:lang w:eastAsia="zh-CN"/>
        </w:rPr>
        <w:t>一</w:t>
      </w:r>
      <w:r>
        <w:rPr>
          <w:rFonts w:hint="eastAsia" w:ascii="宋体" w:hAnsi="宋体"/>
          <w:b/>
          <w:bCs/>
          <w:sz w:val="28"/>
          <w:szCs w:val="28"/>
        </w:rPr>
        <w:t>、争议解决</w:t>
      </w:r>
    </w:p>
    <w:p>
      <w:pPr>
        <w:spacing w:line="360" w:lineRule="auto"/>
        <w:rPr>
          <w:rFonts w:hint="eastAsia" w:eastAsia="宋体"/>
          <w:kern w:val="2"/>
          <w:sz w:val="21"/>
          <w:szCs w:val="21"/>
          <w:lang w:eastAsia="zh-CN"/>
        </w:rPr>
      </w:pPr>
      <w:r>
        <w:rPr>
          <w:rFonts w:hint="eastAsia" w:ascii="宋体" w:hAnsi="宋体"/>
          <w:lang w:val="en-US" w:eastAsia="zh-CN"/>
        </w:rPr>
        <w:t>11</w:t>
      </w:r>
      <w:r>
        <w:rPr>
          <w:rFonts w:hint="eastAsia" w:ascii="宋体" w:hAnsi="宋体"/>
        </w:rPr>
        <w:t>.1凡因执行本协议产生的一切争议，双方均应友好协商解决。</w:t>
      </w:r>
    </w:p>
    <w:p>
      <w:pPr>
        <w:spacing w:line="360" w:lineRule="auto"/>
        <w:rPr>
          <w:rFonts w:hint="eastAsia" w:eastAsia="宋体"/>
          <w:lang w:eastAsia="zh-CN"/>
        </w:rPr>
      </w:pPr>
      <w:r>
        <w:rPr>
          <w:rFonts w:hint="eastAsia" w:ascii="宋体" w:hAnsi="宋体"/>
        </w:rPr>
        <w:t>1</w:t>
      </w:r>
      <w:r>
        <w:rPr>
          <w:rFonts w:hint="eastAsia" w:ascii="宋体" w:hAnsi="宋体"/>
          <w:lang w:val="en-US" w:eastAsia="zh-CN"/>
        </w:rPr>
        <w:t>1</w:t>
      </w:r>
      <w:r>
        <w:rPr>
          <w:rFonts w:hint="eastAsia" w:ascii="宋体" w:hAnsi="宋体"/>
        </w:rPr>
        <w:t>.2如协商不能解决，甲、乙双方均有权向甲方所在地人民法院提起诉讼，通过诉讼方式解决争议的内容。</w:t>
      </w:r>
    </w:p>
    <w:p>
      <w:pPr>
        <w:spacing w:line="360" w:lineRule="auto"/>
        <w:rPr>
          <w:rFonts w:hint="eastAsia" w:eastAsia="宋体"/>
          <w:sz w:val="28"/>
          <w:szCs w:val="28"/>
          <w:lang w:eastAsia="zh-CN"/>
        </w:rPr>
      </w:pPr>
      <w:r>
        <w:rPr>
          <w:rFonts w:hint="eastAsia" w:ascii="宋体" w:hAnsi="宋体"/>
          <w:b/>
          <w:bCs/>
          <w:sz w:val="28"/>
          <w:szCs w:val="28"/>
        </w:rPr>
        <w:t>十</w:t>
      </w:r>
      <w:r>
        <w:rPr>
          <w:rFonts w:hint="eastAsia" w:ascii="宋体" w:hAnsi="宋体"/>
          <w:b/>
          <w:bCs/>
          <w:sz w:val="28"/>
          <w:szCs w:val="28"/>
          <w:lang w:eastAsia="zh-CN"/>
        </w:rPr>
        <w:t>二</w:t>
      </w:r>
      <w:r>
        <w:rPr>
          <w:rFonts w:hint="eastAsia" w:ascii="宋体" w:hAnsi="宋体"/>
          <w:b/>
          <w:bCs/>
          <w:sz w:val="28"/>
          <w:szCs w:val="28"/>
        </w:rPr>
        <w:t>、协议效力</w:t>
      </w:r>
    </w:p>
    <w:p>
      <w:pPr>
        <w:spacing w:line="360" w:lineRule="auto"/>
        <w:rPr>
          <w:rFonts w:hint="eastAsia" w:eastAsia="宋体"/>
          <w:lang w:eastAsia="zh-CN"/>
        </w:rPr>
      </w:pPr>
      <w:r>
        <w:rPr>
          <w:rFonts w:hint="eastAsia" w:ascii="宋体" w:hAnsi="宋体"/>
          <w:lang w:val="en-US" w:eastAsia="zh-CN"/>
        </w:rPr>
        <w:t xml:space="preserve">    </w:t>
      </w:r>
      <w:r>
        <w:rPr>
          <w:rFonts w:hint="eastAsia" w:ascii="宋体" w:hAnsi="宋体"/>
        </w:rPr>
        <w:t>本协议经双方授权代表签字、加盖公章后成立并生效。本合同一式陆份，中文书写。甲、乙双方各执贰份，招标代理机构执壹份，由招标代理机构报政府采购主管部门备案壹份。每份协议具有同等法律效力。</w:t>
      </w:r>
    </w:p>
    <w:p>
      <w:pPr>
        <w:spacing w:line="360" w:lineRule="auto"/>
        <w:rPr>
          <w:rFonts w:hint="eastAsia" w:eastAsia="宋体"/>
          <w:sz w:val="28"/>
          <w:szCs w:val="28"/>
          <w:lang w:eastAsia="zh-CN"/>
        </w:rPr>
      </w:pPr>
      <w:r>
        <w:rPr>
          <w:rFonts w:hint="eastAsia" w:ascii="宋体" w:hAnsi="宋体"/>
          <w:b/>
          <w:bCs/>
          <w:sz w:val="28"/>
          <w:szCs w:val="28"/>
        </w:rPr>
        <w:t>十</w:t>
      </w:r>
      <w:r>
        <w:rPr>
          <w:rFonts w:hint="eastAsia" w:ascii="宋体" w:hAnsi="宋体"/>
          <w:b/>
          <w:bCs/>
          <w:sz w:val="28"/>
          <w:szCs w:val="28"/>
          <w:lang w:eastAsia="zh-CN"/>
        </w:rPr>
        <w:t>三</w:t>
      </w:r>
      <w:r>
        <w:rPr>
          <w:rFonts w:hint="eastAsia" w:ascii="宋体" w:hAnsi="宋体"/>
          <w:b/>
          <w:bCs/>
          <w:sz w:val="28"/>
          <w:szCs w:val="28"/>
        </w:rPr>
        <w:t>、政策变更</w:t>
      </w:r>
    </w:p>
    <w:p>
      <w:pPr>
        <w:spacing w:line="360" w:lineRule="auto"/>
        <w:rPr>
          <w:rFonts w:hint="eastAsia" w:eastAsia="宋体"/>
          <w:lang w:eastAsia="zh-CN"/>
        </w:rPr>
      </w:pPr>
      <w:r>
        <w:rPr>
          <w:rFonts w:hint="eastAsia" w:ascii="宋体" w:hAnsi="宋体"/>
          <w:lang w:val="en-US" w:eastAsia="zh-CN"/>
        </w:rPr>
        <w:t xml:space="preserve">    </w:t>
      </w:r>
      <w:r>
        <w:rPr>
          <w:rFonts w:hint="eastAsia" w:ascii="宋体" w:hAnsi="宋体"/>
        </w:rPr>
        <w:t>在本协议的履行过程中若国家政策有重大变化导致保险人不能履行或不能完全履行协议时，保险人可向投保人提出书面变更，保险人和投保人应根据新的政策或新的情况重新修订本协议的相关内容，以保证协议的继续有效履行。</w:t>
      </w:r>
    </w:p>
    <w:p>
      <w:pPr>
        <w:spacing w:line="360" w:lineRule="auto"/>
        <w:rPr>
          <w:rFonts w:hint="eastAsia" w:eastAsia="宋体"/>
          <w:sz w:val="28"/>
          <w:szCs w:val="28"/>
          <w:lang w:eastAsia="zh-CN"/>
        </w:rPr>
      </w:pPr>
      <w:r>
        <w:rPr>
          <w:rFonts w:hint="eastAsia" w:ascii="宋体" w:hAnsi="宋体"/>
          <w:b/>
          <w:bCs/>
          <w:sz w:val="28"/>
          <w:szCs w:val="28"/>
        </w:rPr>
        <w:t>十</w:t>
      </w:r>
      <w:r>
        <w:rPr>
          <w:rFonts w:hint="eastAsia" w:ascii="宋体" w:hAnsi="宋体"/>
          <w:b/>
          <w:bCs/>
          <w:sz w:val="28"/>
          <w:szCs w:val="28"/>
          <w:lang w:eastAsia="zh-CN"/>
        </w:rPr>
        <w:t>四</w:t>
      </w:r>
      <w:r>
        <w:rPr>
          <w:rFonts w:hint="eastAsia" w:ascii="宋体" w:hAnsi="宋体"/>
          <w:b/>
          <w:bCs/>
          <w:sz w:val="28"/>
          <w:szCs w:val="28"/>
        </w:rPr>
        <w:t>、其他</w:t>
      </w:r>
    </w:p>
    <w:p>
      <w:pPr>
        <w:spacing w:line="360" w:lineRule="auto"/>
        <w:rPr>
          <w:rFonts w:hint="eastAsia" w:eastAsia="宋体"/>
          <w:sz w:val="28"/>
          <w:szCs w:val="28"/>
          <w:lang w:eastAsia="zh-CN"/>
        </w:rPr>
      </w:pPr>
      <w:r>
        <w:rPr>
          <w:rFonts w:hint="eastAsia" w:ascii="宋体" w:hAnsi="宋体"/>
          <w:lang w:val="en-US" w:eastAsia="zh-CN"/>
        </w:rPr>
        <w:t xml:space="preserve">   </w:t>
      </w:r>
      <w:r>
        <w:rPr>
          <w:rFonts w:hint="eastAsia" w:ascii="宋体" w:hAnsi="宋体"/>
        </w:rPr>
        <w:t>协议内容与（保险公司）条款不符的，以本协议内容为准，其他未尽事宜参照保</w:t>
      </w:r>
      <w:r>
        <w:rPr>
          <w:rFonts w:hint="eastAsia" w:ascii="宋体" w:hAnsi="宋体"/>
          <w:sz w:val="28"/>
          <w:szCs w:val="28"/>
        </w:rPr>
        <w:t>险条款执行。</w:t>
      </w:r>
    </w:p>
    <w:p>
      <w:pPr>
        <w:spacing w:line="360" w:lineRule="auto"/>
        <w:rPr>
          <w:rFonts w:hint="eastAsia" w:eastAsia="宋体"/>
          <w:sz w:val="28"/>
          <w:szCs w:val="28"/>
          <w:lang w:eastAsia="zh-CN"/>
        </w:rPr>
      </w:pPr>
      <w:r>
        <w:rPr>
          <w:rFonts w:hint="eastAsia" w:ascii="宋体" w:hAnsi="宋体"/>
          <w:b/>
          <w:bCs/>
          <w:sz w:val="28"/>
          <w:szCs w:val="28"/>
        </w:rPr>
        <w:t>（以下无正文）</w:t>
      </w:r>
    </w:p>
    <w:p>
      <w:pPr>
        <w:spacing w:line="360" w:lineRule="auto"/>
        <w:rPr>
          <w:rFonts w:hint="eastAsia" w:eastAsia="宋体"/>
          <w:lang w:eastAsia="zh-CN"/>
        </w:rPr>
      </w:pPr>
      <w:r>
        <w:rPr>
          <w:rFonts w:hint="eastAsia" w:ascii="宋体" w:hAnsi="宋体"/>
        </w:rPr>
        <w:t>甲方（盖章）：海南省残疾人联合会</w:t>
      </w:r>
    </w:p>
    <w:p>
      <w:pPr>
        <w:rPr>
          <w:rFonts w:hint="eastAsia" w:ascii="宋体" w:hAnsi="宋体" w:eastAsia="宋体"/>
          <w:lang w:eastAsia="zh-CN"/>
        </w:rPr>
      </w:pPr>
    </w:p>
    <w:p>
      <w:pPr>
        <w:rPr>
          <w:rFonts w:hint="eastAsia" w:ascii="宋体" w:hAnsi="宋体" w:eastAsia="宋体"/>
          <w:lang w:eastAsia="zh-CN"/>
        </w:rPr>
      </w:pPr>
      <w:r>
        <w:rPr>
          <w:rFonts w:hint="eastAsia" w:ascii="宋体" w:hAnsi="宋体"/>
        </w:rPr>
        <w:t>法定代表人或授权代表：</w:t>
      </w:r>
    </w:p>
    <w:p>
      <w:pPr>
        <w:rPr>
          <w:rFonts w:hint="eastAsia" w:ascii="宋体" w:hAnsi="宋体" w:eastAsia="宋体"/>
          <w:lang w:eastAsia="zh-CN"/>
        </w:rPr>
      </w:pPr>
    </w:p>
    <w:p>
      <w:pPr>
        <w:rPr>
          <w:rFonts w:hint="eastAsia" w:eastAsia="宋体"/>
          <w:kern w:val="2"/>
          <w:sz w:val="21"/>
          <w:szCs w:val="21"/>
          <w:lang w:eastAsia="zh-CN"/>
        </w:rPr>
      </w:pPr>
      <w:r>
        <w:rPr>
          <w:rFonts w:hint="eastAsia" w:ascii="宋体" w:hAnsi="宋体"/>
        </w:rPr>
        <w:t>签约日期：</w:t>
      </w:r>
    </w:p>
    <w:p>
      <w:pPr>
        <w:rPr>
          <w:rFonts w:hint="eastAsia" w:ascii="宋体" w:hAnsi="宋体" w:eastAsia="宋体"/>
          <w:lang w:eastAsia="zh-CN"/>
        </w:rPr>
      </w:pPr>
    </w:p>
    <w:p>
      <w:pPr>
        <w:rPr>
          <w:rFonts w:hint="eastAsia" w:eastAsia="宋体"/>
          <w:kern w:val="2"/>
          <w:sz w:val="21"/>
          <w:szCs w:val="21"/>
          <w:lang w:eastAsia="zh-CN"/>
        </w:rPr>
      </w:pPr>
      <w:r>
        <w:rPr>
          <w:rFonts w:hint="eastAsia" w:ascii="宋体" w:hAnsi="宋体"/>
        </w:rPr>
        <w:t>年月日</w:t>
      </w:r>
    </w:p>
    <w:p>
      <w:pPr>
        <w:rPr>
          <w:rFonts w:hint="eastAsia" w:ascii="宋体" w:hAnsi="宋体" w:eastAsia="宋体"/>
          <w:lang w:eastAsia="zh-CN"/>
        </w:rPr>
      </w:pPr>
    </w:p>
    <w:p>
      <w:pPr>
        <w:pStyle w:val="2"/>
      </w:pPr>
    </w:p>
    <w:p>
      <w:pPr>
        <w:rPr>
          <w:rFonts w:hint="eastAsia" w:eastAsia="宋体"/>
          <w:kern w:val="2"/>
          <w:sz w:val="21"/>
          <w:szCs w:val="21"/>
          <w:lang w:eastAsia="zh-CN"/>
        </w:rPr>
      </w:pPr>
      <w:r>
        <w:rPr>
          <w:rFonts w:hint="eastAsia" w:ascii="宋体" w:hAnsi="宋体"/>
        </w:rPr>
        <w:t>乙方（盖章）：</w:t>
      </w:r>
    </w:p>
    <w:p>
      <w:pPr>
        <w:rPr>
          <w:rFonts w:hint="eastAsia" w:ascii="宋体" w:hAnsi="宋体" w:eastAsia="宋体"/>
          <w:lang w:eastAsia="zh-CN"/>
        </w:rPr>
      </w:pPr>
    </w:p>
    <w:p>
      <w:pPr>
        <w:rPr>
          <w:rFonts w:hint="eastAsia" w:eastAsia="宋体"/>
          <w:kern w:val="2"/>
          <w:sz w:val="21"/>
          <w:szCs w:val="21"/>
          <w:lang w:eastAsia="zh-CN"/>
        </w:rPr>
      </w:pPr>
      <w:r>
        <w:rPr>
          <w:rFonts w:hint="eastAsia" w:ascii="宋体" w:hAnsi="宋体"/>
        </w:rPr>
        <w:t>法定代表人或授权代表：</w:t>
      </w:r>
    </w:p>
    <w:p>
      <w:pPr>
        <w:rPr>
          <w:rFonts w:hint="eastAsia" w:ascii="宋体" w:hAnsi="宋体" w:eastAsia="宋体"/>
          <w:lang w:eastAsia="zh-CN"/>
        </w:rPr>
      </w:pPr>
    </w:p>
    <w:p>
      <w:pPr>
        <w:rPr>
          <w:rFonts w:hint="eastAsia" w:eastAsia="宋体"/>
          <w:kern w:val="2"/>
          <w:sz w:val="21"/>
          <w:szCs w:val="21"/>
          <w:lang w:eastAsia="zh-CN"/>
        </w:rPr>
      </w:pPr>
      <w:r>
        <w:rPr>
          <w:rFonts w:hint="eastAsia" w:ascii="宋体" w:hAnsi="宋体"/>
        </w:rPr>
        <w:t>签约日期：</w:t>
      </w:r>
    </w:p>
    <w:p>
      <w:pPr>
        <w:rPr>
          <w:rFonts w:hint="eastAsia" w:ascii="宋体" w:hAnsi="宋体" w:eastAsia="宋体"/>
          <w:lang w:eastAsia="zh-CN"/>
        </w:rPr>
      </w:pPr>
    </w:p>
    <w:p>
      <w:pPr>
        <w:rPr>
          <w:rFonts w:hint="eastAsia" w:eastAsia="宋体"/>
          <w:kern w:val="2"/>
          <w:sz w:val="21"/>
          <w:szCs w:val="21"/>
          <w:lang w:eastAsia="zh-CN"/>
        </w:rPr>
      </w:pPr>
      <w:r>
        <w:rPr>
          <w:rFonts w:hint="eastAsia" w:ascii="宋体" w:hAnsi="宋体"/>
        </w:rPr>
        <w:t>年月日</w:t>
      </w:r>
    </w:p>
    <w:p>
      <w:pPr>
        <w:rPr>
          <w:rFonts w:hint="eastAsia" w:ascii="宋体" w:hAnsi="宋体" w:eastAsia="宋体"/>
          <w:lang w:eastAsia="zh-CN"/>
        </w:rPr>
      </w:pPr>
    </w:p>
    <w:p>
      <w:pPr>
        <w:spacing w:line="360" w:lineRule="auto"/>
        <w:rPr>
          <w:rFonts w:hint="eastAsia" w:ascii="宋体" w:hAnsi="宋体"/>
        </w:rPr>
      </w:pPr>
      <w:r>
        <w:rPr>
          <w:rFonts w:hint="eastAsia" w:ascii="宋体" w:hAnsi="宋体"/>
        </w:rPr>
        <w:t>招标代理机构声明：本合同标的经过海南</w:t>
      </w:r>
      <w:r>
        <w:rPr>
          <w:rFonts w:hint="eastAsia" w:ascii="宋体" w:hAnsi="宋体"/>
          <w:lang w:eastAsia="zh-CN"/>
        </w:rPr>
        <w:t>华教设备招标</w:t>
      </w:r>
      <w:r>
        <w:rPr>
          <w:rFonts w:hint="eastAsia" w:ascii="宋体" w:hAnsi="宋体"/>
        </w:rPr>
        <w:t>有限公司依法定程序采购，</w:t>
      </w:r>
    </w:p>
    <w:p>
      <w:pPr>
        <w:spacing w:line="360" w:lineRule="auto"/>
        <w:rPr>
          <w:rFonts w:hint="eastAsia" w:eastAsia="宋体"/>
          <w:kern w:val="2"/>
          <w:sz w:val="21"/>
          <w:szCs w:val="21"/>
          <w:lang w:eastAsia="zh-CN"/>
        </w:rPr>
      </w:pPr>
      <w:r>
        <w:rPr>
          <w:rFonts w:hint="eastAsia" w:ascii="宋体" w:hAnsi="宋体"/>
        </w:rPr>
        <w:t>合同主要条款内容与招标文件的内容一致。</w:t>
      </w:r>
    </w:p>
    <w:p>
      <w:pPr>
        <w:rPr>
          <w:rFonts w:hint="eastAsia" w:ascii="宋体" w:hAnsi="宋体" w:eastAsia="宋体"/>
          <w:lang w:eastAsia="zh-CN"/>
        </w:rPr>
      </w:pPr>
    </w:p>
    <w:p>
      <w:pPr>
        <w:rPr>
          <w:rFonts w:hint="eastAsia" w:eastAsia="宋体"/>
          <w:kern w:val="2"/>
          <w:sz w:val="21"/>
          <w:szCs w:val="21"/>
          <w:lang w:eastAsia="zh-CN"/>
        </w:rPr>
      </w:pPr>
      <w:r>
        <w:rPr>
          <w:rFonts w:hint="eastAsia" w:ascii="宋体" w:hAnsi="宋体"/>
        </w:rPr>
        <w:t>招标代理机构（盖章）：海南</w:t>
      </w:r>
      <w:r>
        <w:rPr>
          <w:rFonts w:hint="eastAsia" w:ascii="宋体" w:hAnsi="宋体"/>
          <w:lang w:eastAsia="zh-CN"/>
        </w:rPr>
        <w:t>华教设备招标</w:t>
      </w:r>
      <w:r>
        <w:rPr>
          <w:rFonts w:hint="eastAsia" w:ascii="宋体" w:hAnsi="宋体"/>
        </w:rPr>
        <w:t>有限公司</w:t>
      </w:r>
    </w:p>
    <w:p>
      <w:pPr>
        <w:rPr>
          <w:rFonts w:hint="eastAsia" w:ascii="宋体" w:hAnsi="宋体" w:eastAsia="宋体"/>
          <w:lang w:eastAsia="zh-CN"/>
        </w:rPr>
      </w:pPr>
    </w:p>
    <w:p>
      <w:pPr>
        <w:rPr>
          <w:rFonts w:hint="eastAsia" w:eastAsia="宋体"/>
          <w:kern w:val="2"/>
          <w:sz w:val="21"/>
          <w:szCs w:val="21"/>
          <w:lang w:eastAsia="zh-CN"/>
        </w:rPr>
      </w:pPr>
      <w:r>
        <w:rPr>
          <w:rFonts w:hint="eastAsia" w:ascii="宋体" w:hAnsi="宋体"/>
        </w:rPr>
        <w:t>法定代表人或被授权人（签字或私章）：</w:t>
      </w:r>
    </w:p>
    <w:p>
      <w:pPr>
        <w:rPr>
          <w:rFonts w:hint="eastAsia" w:ascii="宋体" w:hAnsi="宋体" w:eastAsia="宋体"/>
          <w:lang w:eastAsia="zh-CN"/>
        </w:rPr>
      </w:pPr>
    </w:p>
    <w:p>
      <w:pPr>
        <w:rPr>
          <w:rFonts w:hint="eastAsia" w:ascii="宋体" w:hAnsi="宋体"/>
        </w:rPr>
      </w:pPr>
      <w:r>
        <w:rPr>
          <w:rFonts w:hint="eastAsia" w:ascii="宋体" w:hAnsi="宋体"/>
        </w:rPr>
        <w:t>签订日期：</w:t>
      </w:r>
    </w:p>
    <w:p>
      <w:pPr>
        <w:rPr>
          <w:rFonts w:hint="eastAsia" w:ascii="宋体" w:hAnsi="宋体" w:eastAsia="宋体"/>
          <w:lang w:eastAsia="zh-CN"/>
        </w:rPr>
      </w:pPr>
    </w:p>
    <w:p>
      <w:pPr>
        <w:rPr>
          <w:rFonts w:hint="eastAsia"/>
          <w:kern w:val="2"/>
          <w:sz w:val="21"/>
          <w:szCs w:val="21"/>
        </w:rPr>
      </w:pPr>
      <w:r>
        <w:rPr>
          <w:rFonts w:hint="eastAsia" w:ascii="宋体" w:hAnsi="宋体"/>
        </w:rPr>
        <w:t>年月日</w:t>
      </w:r>
    </w:p>
    <w:p>
      <w:pPr>
        <w:spacing w:line="400" w:lineRule="exact"/>
        <w:ind w:firstLine="480" w:firstLineChars="200"/>
        <w:outlineLvl w:val="0"/>
        <w:rPr>
          <w:rFonts w:hint="eastAsia" w:eastAsia="宋体"/>
          <w:lang w:eastAsia="zh-CN"/>
        </w:rPr>
      </w:pPr>
    </w:p>
    <w:p>
      <w:pPr>
        <w:spacing w:line="400" w:lineRule="exact"/>
        <w:ind w:firstLine="480" w:firstLineChars="200"/>
        <w:outlineLvl w:val="0"/>
        <w:rPr>
          <w:rFonts w:hint="eastAsia" w:eastAsia="宋体"/>
          <w:lang w:eastAsia="zh-CN"/>
        </w:rPr>
      </w:pPr>
    </w:p>
    <w:p>
      <w:pPr>
        <w:spacing w:line="400" w:lineRule="exact"/>
        <w:ind w:firstLine="480" w:firstLineChars="200"/>
        <w:outlineLvl w:val="0"/>
        <w:rPr>
          <w:rFonts w:hint="eastAsia" w:eastAsia="宋体"/>
          <w:lang w:eastAsia="zh-CN"/>
        </w:rPr>
      </w:pPr>
    </w:p>
    <w:p>
      <w:pPr>
        <w:spacing w:line="400" w:lineRule="exact"/>
        <w:ind w:firstLine="480" w:firstLineChars="200"/>
        <w:outlineLvl w:val="0"/>
        <w:rPr>
          <w:rFonts w:hint="eastAsia" w:eastAsia="宋体"/>
          <w:lang w:eastAsia="zh-CN"/>
        </w:rPr>
      </w:pPr>
    </w:p>
    <w:p>
      <w:pPr>
        <w:spacing w:line="400" w:lineRule="exact"/>
        <w:ind w:firstLine="480" w:firstLineChars="200"/>
        <w:outlineLvl w:val="0"/>
        <w:rPr>
          <w:rFonts w:hint="eastAsia" w:eastAsia="宋体"/>
          <w:lang w:eastAsia="zh-CN"/>
        </w:rPr>
      </w:pPr>
    </w:p>
    <w:p>
      <w:pPr>
        <w:spacing w:line="400" w:lineRule="exact"/>
        <w:ind w:firstLine="480" w:firstLineChars="200"/>
        <w:outlineLvl w:val="0"/>
        <w:rPr>
          <w:rFonts w:hint="eastAsia" w:eastAsia="宋体"/>
          <w:lang w:eastAsia="zh-CN"/>
        </w:rPr>
      </w:pPr>
    </w:p>
    <w:p>
      <w:pPr>
        <w:pStyle w:val="3"/>
        <w:spacing w:before="360" w:after="360"/>
        <w:jc w:val="center"/>
        <w:rPr>
          <w:rFonts w:hint="eastAsia" w:ascii="宋体" w:hAnsi="宋体"/>
          <w:lang w:eastAsia="zh-CN"/>
        </w:rPr>
      </w:pPr>
      <w:bookmarkStart w:id="16" w:name="_Toc27249"/>
      <w:bookmarkStart w:id="17" w:name="_Toc23269"/>
      <w:r>
        <w:rPr>
          <w:rFonts w:hint="eastAsia" w:ascii="宋体" w:hAnsi="宋体"/>
          <w:sz w:val="32"/>
          <w:szCs w:val="32"/>
          <w:lang w:eastAsia="zh-CN"/>
        </w:rPr>
        <w:t>第六章投标文件格式要求</w:t>
      </w:r>
      <w:bookmarkEnd w:id="16"/>
      <w:bookmarkEnd w:id="17"/>
    </w:p>
    <w:p>
      <w:pPr>
        <w:spacing w:line="500" w:lineRule="exact"/>
        <w:ind w:right="120"/>
        <w:jc w:val="right"/>
        <w:rPr>
          <w:rFonts w:hint="eastAsia" w:ascii="仿宋" w:hAnsi="仿宋" w:eastAsia="仿宋" w:cs="仿宋"/>
          <w:bCs/>
          <w:szCs w:val="28"/>
          <w:lang w:eastAsia="zh-CN"/>
        </w:rPr>
      </w:pPr>
    </w:p>
    <w:p>
      <w:pPr>
        <w:widowControl w:val="0"/>
        <w:spacing w:before="179"/>
        <w:ind w:firstLine="896" w:firstLineChars="200"/>
        <w:jc w:val="both"/>
        <w:outlineLvl w:val="0"/>
        <w:rPr>
          <w:rFonts w:ascii="宋体" w:hAnsi="宋体"/>
          <w:kern w:val="2"/>
          <w:sz w:val="55"/>
          <w:szCs w:val="55"/>
          <w:lang w:eastAsia="zh-CN" w:bidi="ar-SA"/>
        </w:rPr>
      </w:pPr>
      <w:r>
        <w:rPr>
          <w:rFonts w:hint="eastAsia" w:ascii="宋体" w:hAnsi="宋体"/>
          <w:spacing w:val="-51"/>
          <w:kern w:val="2"/>
          <w:sz w:val="55"/>
          <w:szCs w:val="55"/>
          <w:lang w:eastAsia="zh-CN" w:bidi="ar-SA"/>
        </w:rPr>
        <w:t>为残疾人购买商业保险项目(2024年</w:t>
      </w:r>
      <w:r>
        <w:rPr>
          <w:rFonts w:hint="eastAsia" w:ascii="宋体" w:hAnsi="宋体"/>
          <w:spacing w:val="-49"/>
          <w:kern w:val="2"/>
          <w:sz w:val="55"/>
          <w:szCs w:val="55"/>
          <w:lang w:eastAsia="zh-CN" w:bidi="ar-SA"/>
        </w:rPr>
        <w:t>)</w:t>
      </w:r>
    </w:p>
    <w:p>
      <w:pPr>
        <w:widowControl w:val="0"/>
        <w:spacing w:before="271"/>
        <w:ind w:left="3420"/>
        <w:jc w:val="both"/>
        <w:outlineLvl w:val="0"/>
        <w:rPr>
          <w:rFonts w:hint="eastAsia" w:ascii="宋体" w:hAnsi="宋体"/>
          <w:kern w:val="2"/>
          <w:sz w:val="55"/>
          <w:szCs w:val="55"/>
          <w:lang w:eastAsia="zh-CN" w:bidi="ar-SA"/>
        </w:rPr>
      </w:pPr>
      <w:r>
        <w:rPr>
          <w:rFonts w:hint="eastAsia" w:ascii="宋体" w:hAnsi="宋体"/>
          <w:spacing w:val="-60"/>
          <w:kern w:val="2"/>
          <w:sz w:val="55"/>
          <w:szCs w:val="55"/>
          <w:lang w:eastAsia="zh-CN" w:bidi="ar-SA"/>
        </w:rPr>
        <w:t>(</w:t>
      </w:r>
      <w:r>
        <w:rPr>
          <w:rFonts w:hint="eastAsia" w:ascii="宋体" w:hAnsi="宋体"/>
          <w:spacing w:val="-56"/>
          <w:kern w:val="2"/>
          <w:sz w:val="55"/>
          <w:szCs w:val="55"/>
          <w:lang w:eastAsia="zh-CN" w:bidi="ar-SA"/>
        </w:rPr>
        <w:t>统招分签)</w:t>
      </w:r>
    </w:p>
    <w:p>
      <w:pPr>
        <w:widowControl w:val="0"/>
        <w:jc w:val="both"/>
        <w:rPr>
          <w:rFonts w:hint="eastAsia" w:ascii="Arial"/>
          <w:kern w:val="2"/>
          <w:sz w:val="21"/>
          <w:szCs w:val="21"/>
          <w:lang w:eastAsia="zh-CN" w:bidi="ar-SA"/>
        </w:rPr>
      </w:pPr>
    </w:p>
    <w:p>
      <w:pPr>
        <w:widowControl w:val="0"/>
        <w:jc w:val="both"/>
        <w:rPr>
          <w:rFonts w:ascii="Arial"/>
          <w:kern w:val="2"/>
          <w:sz w:val="21"/>
          <w:szCs w:val="21"/>
          <w:lang w:eastAsia="zh-CN" w:bidi="ar-SA"/>
        </w:rPr>
      </w:pPr>
    </w:p>
    <w:p>
      <w:pPr>
        <w:widowControl w:val="0"/>
        <w:jc w:val="both"/>
        <w:rPr>
          <w:rFonts w:ascii="Arial"/>
          <w:kern w:val="2"/>
          <w:sz w:val="21"/>
          <w:szCs w:val="21"/>
          <w:lang w:eastAsia="zh-CN" w:bidi="ar-SA"/>
        </w:rPr>
      </w:pPr>
    </w:p>
    <w:p>
      <w:pPr>
        <w:widowControl w:val="0"/>
        <w:jc w:val="both"/>
        <w:rPr>
          <w:rFonts w:ascii="Arial"/>
          <w:kern w:val="2"/>
          <w:sz w:val="21"/>
          <w:szCs w:val="21"/>
          <w:lang w:eastAsia="zh-CN" w:bidi="ar-SA"/>
        </w:rPr>
      </w:pPr>
    </w:p>
    <w:p>
      <w:pPr>
        <w:widowControl w:val="0"/>
        <w:jc w:val="both"/>
        <w:rPr>
          <w:rFonts w:ascii="Arial"/>
          <w:kern w:val="2"/>
          <w:sz w:val="21"/>
          <w:szCs w:val="21"/>
          <w:lang w:eastAsia="zh-CN" w:bidi="ar-SA"/>
        </w:rPr>
      </w:pPr>
    </w:p>
    <w:p>
      <w:pPr>
        <w:widowControl w:val="0"/>
        <w:jc w:val="both"/>
        <w:rPr>
          <w:rFonts w:ascii="Arial"/>
          <w:kern w:val="2"/>
          <w:sz w:val="21"/>
          <w:szCs w:val="21"/>
          <w:lang w:eastAsia="zh-CN" w:bidi="ar-SA"/>
        </w:rPr>
      </w:pPr>
    </w:p>
    <w:p>
      <w:pPr>
        <w:widowControl w:val="0"/>
        <w:spacing w:before="94"/>
        <w:ind w:firstLine="2268" w:firstLineChars="600"/>
        <w:jc w:val="both"/>
        <w:rPr>
          <w:rFonts w:ascii="宋体" w:hAnsi="宋体"/>
          <w:kern w:val="2"/>
          <w:sz w:val="36"/>
          <w:szCs w:val="36"/>
          <w:lang w:eastAsia="zh-CN" w:bidi="ar-SA"/>
        </w:rPr>
      </w:pPr>
      <w:r>
        <w:rPr>
          <w:rFonts w:hint="eastAsia" w:ascii="宋体" w:hAnsi="宋体"/>
          <w:spacing w:val="9"/>
          <w:kern w:val="2"/>
          <w:sz w:val="36"/>
          <w:szCs w:val="36"/>
          <w:lang w:eastAsia="zh-CN" w:bidi="ar-SA"/>
        </w:rPr>
        <w:t>项</w:t>
      </w:r>
      <w:r>
        <w:rPr>
          <w:rFonts w:hint="eastAsia" w:ascii="宋体" w:hAnsi="宋体"/>
          <w:spacing w:val="8"/>
          <w:kern w:val="2"/>
          <w:sz w:val="36"/>
          <w:szCs w:val="36"/>
          <w:lang w:eastAsia="zh-CN" w:bidi="ar-SA"/>
        </w:rPr>
        <w:t>目编号：</w:t>
      </w:r>
      <w:r>
        <w:rPr>
          <w:rFonts w:hint="eastAsia" w:ascii="宋体" w:hAnsi="宋体"/>
          <w:kern w:val="2"/>
          <w:sz w:val="36"/>
          <w:szCs w:val="36"/>
          <w:lang w:eastAsia="zh-CN" w:bidi="ar-SA"/>
        </w:rPr>
        <w:t>HNHJ2024-03-002</w:t>
      </w:r>
    </w:p>
    <w:p>
      <w:pPr>
        <w:widowControl w:val="0"/>
        <w:spacing w:line="252" w:lineRule="auto"/>
        <w:jc w:val="both"/>
        <w:rPr>
          <w:rFonts w:hint="eastAsia" w:ascii="Arial"/>
          <w:kern w:val="2"/>
          <w:sz w:val="21"/>
          <w:szCs w:val="21"/>
          <w:lang w:eastAsia="zh-CN" w:bidi="ar-SA"/>
        </w:rPr>
      </w:pPr>
    </w:p>
    <w:p>
      <w:pPr>
        <w:widowControl w:val="0"/>
        <w:spacing w:line="252" w:lineRule="auto"/>
        <w:jc w:val="both"/>
        <w:rPr>
          <w:rFonts w:ascii="Arial"/>
          <w:kern w:val="2"/>
          <w:sz w:val="21"/>
          <w:szCs w:val="21"/>
          <w:lang w:eastAsia="zh-CN" w:bidi="ar-SA"/>
        </w:rPr>
      </w:pPr>
    </w:p>
    <w:p>
      <w:pPr>
        <w:widowControl w:val="0"/>
        <w:spacing w:line="254" w:lineRule="auto"/>
        <w:jc w:val="both"/>
        <w:rPr>
          <w:rFonts w:ascii="Arial"/>
          <w:kern w:val="2"/>
          <w:sz w:val="21"/>
          <w:szCs w:val="21"/>
          <w:lang w:eastAsia="zh-CN" w:bidi="ar-SA"/>
        </w:rPr>
      </w:pPr>
    </w:p>
    <w:p>
      <w:pPr>
        <w:widowControl w:val="0"/>
        <w:spacing w:line="254" w:lineRule="auto"/>
        <w:jc w:val="both"/>
        <w:rPr>
          <w:rFonts w:ascii="Arial"/>
          <w:kern w:val="2"/>
          <w:sz w:val="21"/>
          <w:szCs w:val="21"/>
          <w:lang w:eastAsia="zh-CN" w:bidi="ar-SA"/>
        </w:rPr>
      </w:pPr>
    </w:p>
    <w:p>
      <w:pPr>
        <w:widowControl w:val="0"/>
        <w:spacing w:line="254" w:lineRule="auto"/>
        <w:jc w:val="both"/>
        <w:rPr>
          <w:rFonts w:ascii="Arial"/>
          <w:kern w:val="2"/>
          <w:sz w:val="21"/>
          <w:szCs w:val="21"/>
          <w:lang w:eastAsia="zh-CN" w:bidi="ar-SA"/>
        </w:rPr>
      </w:pPr>
    </w:p>
    <w:p>
      <w:pPr>
        <w:widowControl w:val="0"/>
        <w:spacing w:line="254" w:lineRule="auto"/>
        <w:jc w:val="both"/>
        <w:rPr>
          <w:rFonts w:ascii="Arial"/>
          <w:kern w:val="2"/>
          <w:sz w:val="21"/>
          <w:szCs w:val="21"/>
          <w:lang w:eastAsia="zh-CN" w:bidi="ar-SA"/>
        </w:rPr>
      </w:pPr>
    </w:p>
    <w:p>
      <w:pPr>
        <w:widowControl w:val="0"/>
        <w:spacing w:line="254" w:lineRule="auto"/>
        <w:jc w:val="both"/>
        <w:rPr>
          <w:rFonts w:ascii="Arial"/>
          <w:kern w:val="2"/>
          <w:sz w:val="21"/>
          <w:szCs w:val="21"/>
          <w:lang w:eastAsia="zh-CN" w:bidi="ar-SA"/>
        </w:rPr>
      </w:pPr>
    </w:p>
    <w:p>
      <w:pPr>
        <w:widowControl w:val="0"/>
        <w:spacing w:before="270"/>
        <w:ind w:left="2987"/>
        <w:jc w:val="both"/>
        <w:rPr>
          <w:rFonts w:ascii="宋体" w:hAnsi="宋体"/>
          <w:kern w:val="2"/>
          <w:sz w:val="72"/>
          <w:szCs w:val="72"/>
          <w:lang w:eastAsia="zh-CN" w:bidi="ar-SA"/>
        </w:rPr>
      </w:pPr>
      <w:r>
        <w:rPr>
          <w:rFonts w:hint="eastAsia" w:ascii="宋体" w:hAnsi="宋体"/>
          <w:spacing w:val="2"/>
          <w:kern w:val="2"/>
          <w:sz w:val="72"/>
          <w:szCs w:val="72"/>
          <w:lang w:eastAsia="zh-CN" w:bidi="ar-SA"/>
        </w:rPr>
        <w:t>投标</w:t>
      </w:r>
      <w:r>
        <w:rPr>
          <w:rFonts w:hint="eastAsia" w:ascii="宋体" w:hAnsi="宋体"/>
          <w:spacing w:val="1"/>
          <w:kern w:val="2"/>
          <w:sz w:val="72"/>
          <w:szCs w:val="72"/>
          <w:lang w:eastAsia="zh-CN" w:bidi="ar-SA"/>
        </w:rPr>
        <w:t>文件</w:t>
      </w:r>
    </w:p>
    <w:p>
      <w:pPr>
        <w:widowControl w:val="0"/>
        <w:spacing w:line="247" w:lineRule="auto"/>
        <w:jc w:val="both"/>
        <w:rPr>
          <w:rFonts w:hint="eastAsia" w:ascii="Arial"/>
          <w:kern w:val="2"/>
          <w:sz w:val="21"/>
          <w:szCs w:val="21"/>
          <w:lang w:eastAsia="zh-CN" w:bidi="ar-SA"/>
        </w:rPr>
      </w:pPr>
    </w:p>
    <w:p>
      <w:pPr>
        <w:widowControl w:val="0"/>
        <w:spacing w:line="247" w:lineRule="auto"/>
        <w:jc w:val="both"/>
        <w:rPr>
          <w:rFonts w:ascii="Arial"/>
          <w:kern w:val="2"/>
          <w:sz w:val="21"/>
          <w:szCs w:val="21"/>
          <w:lang w:eastAsia="zh-CN" w:bidi="ar-SA"/>
        </w:rPr>
      </w:pPr>
    </w:p>
    <w:p>
      <w:pPr>
        <w:widowControl w:val="0"/>
        <w:spacing w:line="247" w:lineRule="auto"/>
        <w:jc w:val="both"/>
        <w:rPr>
          <w:rFonts w:ascii="Arial"/>
          <w:kern w:val="2"/>
          <w:sz w:val="21"/>
          <w:szCs w:val="21"/>
          <w:lang w:eastAsia="zh-CN" w:bidi="ar-SA"/>
        </w:rPr>
      </w:pPr>
    </w:p>
    <w:p>
      <w:pPr>
        <w:widowControl w:val="0"/>
        <w:spacing w:line="247" w:lineRule="auto"/>
        <w:jc w:val="both"/>
        <w:rPr>
          <w:rFonts w:ascii="Arial"/>
          <w:kern w:val="2"/>
          <w:sz w:val="21"/>
          <w:szCs w:val="21"/>
          <w:lang w:eastAsia="zh-CN" w:bidi="ar-SA"/>
        </w:rPr>
      </w:pPr>
    </w:p>
    <w:p>
      <w:pPr>
        <w:widowControl w:val="0"/>
        <w:spacing w:before="95"/>
        <w:ind w:left="675"/>
        <w:jc w:val="both"/>
        <w:rPr>
          <w:rFonts w:ascii="宋体" w:hAnsi="宋体"/>
          <w:kern w:val="2"/>
          <w:sz w:val="29"/>
          <w:szCs w:val="29"/>
          <w:lang w:eastAsia="zh-CN" w:bidi="ar-SA"/>
        </w:rPr>
      </w:pPr>
      <w:r>
        <w:rPr>
          <w:rFonts w:hint="eastAsia" w:ascii="宋体" w:hAnsi="宋体"/>
          <w:spacing w:val="7"/>
          <w:kern w:val="2"/>
          <w:sz w:val="29"/>
          <w:szCs w:val="29"/>
          <w:lang w:eastAsia="zh-CN" w:bidi="ar-SA"/>
        </w:rPr>
        <w:t>投</w:t>
      </w:r>
      <w:r>
        <w:rPr>
          <w:rFonts w:hint="eastAsia" w:ascii="宋体" w:hAnsi="宋体"/>
          <w:spacing w:val="6"/>
          <w:kern w:val="2"/>
          <w:sz w:val="29"/>
          <w:szCs w:val="29"/>
          <w:lang w:eastAsia="zh-CN" w:bidi="ar-SA"/>
        </w:rPr>
        <w:t>标人(公章)：</w:t>
      </w:r>
    </w:p>
    <w:p>
      <w:pPr>
        <w:widowControl w:val="0"/>
        <w:spacing w:line="338" w:lineRule="auto"/>
        <w:jc w:val="both"/>
        <w:rPr>
          <w:rFonts w:hint="eastAsia" w:ascii="Arial"/>
          <w:kern w:val="2"/>
          <w:sz w:val="21"/>
          <w:szCs w:val="21"/>
          <w:lang w:eastAsia="zh-CN" w:bidi="ar-SA"/>
        </w:rPr>
      </w:pPr>
    </w:p>
    <w:p>
      <w:pPr>
        <w:widowControl w:val="0"/>
        <w:spacing w:line="338" w:lineRule="auto"/>
        <w:jc w:val="both"/>
        <w:rPr>
          <w:rFonts w:ascii="Arial"/>
          <w:kern w:val="2"/>
          <w:sz w:val="21"/>
          <w:szCs w:val="21"/>
          <w:lang w:eastAsia="zh-CN" w:bidi="ar-SA"/>
        </w:rPr>
      </w:pPr>
    </w:p>
    <w:p>
      <w:pPr>
        <w:widowControl w:val="0"/>
        <w:spacing w:before="94"/>
        <w:ind w:left="673"/>
        <w:jc w:val="both"/>
        <w:outlineLvl w:val="1"/>
        <w:rPr>
          <w:rFonts w:ascii="宋体" w:hAnsi="宋体"/>
          <w:kern w:val="2"/>
          <w:sz w:val="29"/>
          <w:szCs w:val="29"/>
          <w:lang w:eastAsia="zh-CN" w:bidi="ar-SA"/>
        </w:rPr>
      </w:pPr>
      <w:r>
        <w:rPr>
          <w:rFonts w:hint="eastAsia" w:ascii="宋体" w:hAnsi="宋体"/>
          <w:spacing w:val="13"/>
          <w:kern w:val="2"/>
          <w:sz w:val="29"/>
          <w:szCs w:val="29"/>
          <w:lang w:eastAsia="zh-CN" w:bidi="ar-SA"/>
        </w:rPr>
        <w:t>法</w:t>
      </w:r>
      <w:r>
        <w:rPr>
          <w:rFonts w:hint="eastAsia" w:ascii="宋体" w:hAnsi="宋体"/>
          <w:spacing w:val="9"/>
          <w:kern w:val="2"/>
          <w:sz w:val="29"/>
          <w:szCs w:val="29"/>
          <w:lang w:eastAsia="zh-CN" w:bidi="ar-SA"/>
        </w:rPr>
        <w:t>定代表人/负责人或其委托代理人(签字或签章)：</w:t>
      </w:r>
    </w:p>
    <w:p>
      <w:pPr>
        <w:widowControl w:val="0"/>
        <w:jc w:val="both"/>
        <w:rPr>
          <w:rFonts w:hint="eastAsia" w:ascii="Arial"/>
          <w:kern w:val="2"/>
          <w:sz w:val="21"/>
          <w:szCs w:val="21"/>
          <w:lang w:eastAsia="zh-CN" w:bidi="ar-SA"/>
        </w:rPr>
      </w:pPr>
    </w:p>
    <w:p>
      <w:pPr>
        <w:widowControl w:val="0"/>
        <w:jc w:val="both"/>
        <w:rPr>
          <w:rFonts w:ascii="Arial"/>
          <w:kern w:val="2"/>
          <w:sz w:val="21"/>
          <w:szCs w:val="21"/>
          <w:lang w:eastAsia="zh-CN" w:bidi="ar-SA"/>
        </w:rPr>
      </w:pPr>
    </w:p>
    <w:p>
      <w:pPr>
        <w:widowControl w:val="0"/>
        <w:jc w:val="both"/>
        <w:rPr>
          <w:rFonts w:hint="eastAsia" w:ascii="Arial"/>
          <w:kern w:val="2"/>
          <w:sz w:val="21"/>
          <w:szCs w:val="21"/>
          <w:lang w:eastAsia="zh-CN" w:bidi="ar-SA"/>
        </w:rPr>
      </w:pPr>
    </w:p>
    <w:p>
      <w:pPr>
        <w:widowControl w:val="0"/>
        <w:spacing w:before="115"/>
        <w:ind w:left="3154"/>
        <w:jc w:val="both"/>
        <w:outlineLvl w:val="0"/>
        <w:rPr>
          <w:rFonts w:ascii="宋体" w:hAnsi="宋体"/>
          <w:kern w:val="2"/>
          <w:sz w:val="35"/>
          <w:szCs w:val="35"/>
          <w:lang w:eastAsia="zh-CN" w:bidi="ar-SA"/>
        </w:rPr>
      </w:pPr>
      <w:r>
        <w:rPr>
          <w:rFonts w:hint="eastAsia" w:ascii="宋体" w:hAnsi="宋体"/>
          <w:spacing w:val="13"/>
          <w:kern w:val="2"/>
          <w:sz w:val="35"/>
          <w:szCs w:val="35"/>
          <w:lang w:eastAsia="zh-CN" w:bidi="ar-SA"/>
        </w:rPr>
        <w:t>年</w:t>
      </w:r>
      <w:r>
        <w:rPr>
          <w:rFonts w:hint="eastAsia" w:ascii="宋体" w:hAnsi="宋体"/>
          <w:spacing w:val="13"/>
          <w:kern w:val="2"/>
          <w:sz w:val="35"/>
          <w:szCs w:val="35"/>
          <w:lang w:val="en-US" w:eastAsia="zh-CN" w:bidi="ar-SA"/>
        </w:rPr>
        <w:t xml:space="preserve"> </w:t>
      </w:r>
      <w:r>
        <w:rPr>
          <w:rFonts w:hint="eastAsia" w:ascii="宋体" w:hAnsi="宋体"/>
          <w:spacing w:val="13"/>
          <w:kern w:val="2"/>
          <w:sz w:val="35"/>
          <w:szCs w:val="35"/>
          <w:lang w:eastAsia="zh-CN" w:bidi="ar-SA"/>
        </w:rPr>
        <w:t>月</w:t>
      </w:r>
      <w:r>
        <w:rPr>
          <w:rFonts w:hint="eastAsia" w:ascii="宋体" w:hAnsi="宋体"/>
          <w:spacing w:val="13"/>
          <w:kern w:val="2"/>
          <w:sz w:val="35"/>
          <w:szCs w:val="35"/>
          <w:lang w:val="en-US" w:eastAsia="zh-CN" w:bidi="ar-SA"/>
        </w:rPr>
        <w:t xml:space="preserve"> </w:t>
      </w:r>
      <w:r>
        <w:rPr>
          <w:rFonts w:hint="eastAsia" w:ascii="宋体" w:hAnsi="宋体"/>
          <w:spacing w:val="13"/>
          <w:kern w:val="2"/>
          <w:sz w:val="35"/>
          <w:szCs w:val="35"/>
          <w:lang w:eastAsia="zh-CN" w:bidi="ar-SA"/>
        </w:rPr>
        <w:t>日</w:t>
      </w:r>
    </w:p>
    <w:p>
      <w:pPr>
        <w:widowControl w:val="0"/>
        <w:jc w:val="both"/>
        <w:rPr>
          <w:kern w:val="2"/>
          <w:sz w:val="21"/>
          <w:szCs w:val="21"/>
          <w:lang w:eastAsia="zh-CN" w:bidi="ar-SA"/>
        </w:rPr>
        <w:sectPr>
          <w:type w:val="continuous"/>
          <w:pgSz w:w="12240" w:h="15840"/>
          <w:pgMar w:top="1440" w:right="1800" w:bottom="1440" w:left="1800" w:header="720" w:footer="720" w:gutter="0"/>
          <w:pgNumType w:fmt="decimal"/>
          <w:cols w:space="720" w:num="1"/>
        </w:sectPr>
      </w:pPr>
    </w:p>
    <w:p>
      <w:pPr>
        <w:spacing w:line="500" w:lineRule="exact"/>
        <w:ind w:firstLine="3000" w:firstLineChars="1250"/>
        <w:rPr>
          <w:rFonts w:hint="eastAsia" w:ascii="宋体" w:hAnsi="宋体" w:cs="宋体"/>
          <w:sz w:val="44"/>
          <w:szCs w:val="44"/>
          <w:lang w:eastAsia="zh-CN"/>
        </w:rPr>
      </w:pPr>
      <w:r>
        <w:rPr>
          <w:rFonts w:hint="eastAsia" w:ascii="宋体" w:hAnsi="宋体"/>
          <w:bCs/>
          <w:lang w:eastAsia="zh-CN"/>
        </w:rPr>
        <w:br w:type="page"/>
      </w:r>
      <w:r>
        <w:rPr>
          <w:rFonts w:hint="eastAsia" w:ascii="宋体" w:hAnsi="宋体" w:cs="宋体"/>
          <w:sz w:val="44"/>
          <w:szCs w:val="44"/>
          <w:lang w:eastAsia="zh-CN"/>
        </w:rPr>
        <w:t>目录（参考）</w:t>
      </w:r>
    </w:p>
    <w:p>
      <w:pPr>
        <w:rPr>
          <w:rFonts w:hint="eastAsia"/>
          <w:lang w:eastAsia="zh-CN" w:bidi="ar-SA"/>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hint="eastAsia" w:ascii="宋体" w:hAnsi="宋体"/>
          <w:b/>
          <w:sz w:val="28"/>
          <w:szCs w:val="28"/>
          <w:lang w:eastAsia="zh-CN"/>
        </w:rPr>
      </w:pPr>
      <w:r>
        <w:rPr>
          <w:rFonts w:hint="eastAsia" w:ascii="宋体" w:hAnsi="宋体"/>
          <w:b/>
          <w:sz w:val="28"/>
          <w:szCs w:val="28"/>
          <w:lang w:eastAsia="zh-CN"/>
        </w:rPr>
        <w:t>一、投标函</w:t>
      </w:r>
    </w:p>
    <w:p>
      <w:pPr>
        <w:shd w:val="clear" w:color="auto" w:fill="FFFFFF"/>
        <w:snapToGrid w:val="0"/>
        <w:spacing w:line="500" w:lineRule="exact"/>
        <w:rPr>
          <w:rFonts w:hint="eastAsia" w:ascii="宋体" w:hAnsi="宋体"/>
          <w:lang w:eastAsia="zh-CN"/>
        </w:rPr>
      </w:pPr>
    </w:p>
    <w:p>
      <w:pPr>
        <w:shd w:val="clear" w:color="auto" w:fill="FFFFFF"/>
        <w:snapToGrid w:val="0"/>
        <w:spacing w:line="500" w:lineRule="exact"/>
        <w:rPr>
          <w:rFonts w:ascii="宋体" w:hAnsi="宋体"/>
          <w:lang w:eastAsia="zh-CN"/>
        </w:rPr>
      </w:pPr>
      <w:r>
        <w:rPr>
          <w:rFonts w:hint="eastAsia" w:ascii="宋体" w:hAnsi="宋体"/>
          <w:lang w:eastAsia="zh-CN"/>
        </w:rPr>
        <w:t>致：海南华教设备招标有限公司</w:t>
      </w:r>
    </w:p>
    <w:p>
      <w:pPr>
        <w:shd w:val="clear" w:color="auto" w:fill="FFFFFF"/>
        <w:spacing w:line="500" w:lineRule="exact"/>
        <w:ind w:firstLine="480" w:firstLineChars="200"/>
        <w:rPr>
          <w:rFonts w:hint="eastAsia" w:ascii="宋体" w:hAnsi="宋体"/>
          <w:lang w:eastAsia="zh-CN"/>
        </w:rPr>
      </w:pPr>
      <w:r>
        <w:rPr>
          <w:rFonts w:hint="eastAsia" w:ascii="宋体" w:hAnsi="宋体"/>
          <w:lang w:eastAsia="zh-CN"/>
        </w:rPr>
        <w:t>根据贵单位项目编号为的投标邀请函，正式授权下述签字人姓名和职务）代表投标人（投标单位名称）提交投标文件。</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根据此函，我们宣布同意如下：</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1、我方接受招标文件的所有的条款和规定。</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2、我方同意按照招标文件第二章“投标人须知”的规定，本投标文件的有效期为从投标截止日期起计算的天，在此期间，本投标文件将始终对我方具有约束力，并可随时被接受。</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3、我们同意提供贵单位要求的有关本次投标的所有资料或证据，并保证资料、证据的真实有效性。</w:t>
      </w:r>
    </w:p>
    <w:p>
      <w:pPr>
        <w:shd w:val="clear" w:color="auto" w:fill="FFFFFF"/>
        <w:snapToGrid w:val="0"/>
        <w:spacing w:line="500" w:lineRule="exact"/>
        <w:ind w:firstLine="480" w:firstLineChars="200"/>
        <w:rPr>
          <w:rFonts w:hint="eastAsia" w:ascii="宋体" w:hAnsi="宋体"/>
          <w:lang w:eastAsia="zh-CN"/>
        </w:rPr>
      </w:pP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4、如果我方中标，我们将根据招标文件的规定严格履行自己的责任和义务，按时签订采购合同，否则，愿意承担一切法律责任。</w:t>
      </w:r>
    </w:p>
    <w:p>
      <w:pPr>
        <w:shd w:val="clear" w:color="auto" w:fill="FFFFFF"/>
        <w:snapToGrid w:val="0"/>
        <w:spacing w:line="500" w:lineRule="exact"/>
        <w:ind w:firstLine="480" w:firstLineChars="200"/>
        <w:rPr>
          <w:rFonts w:hint="eastAsia" w:ascii="宋体" w:hAnsi="宋体"/>
          <w:lang w:eastAsia="zh-CN"/>
        </w:rPr>
      </w:pPr>
      <w:r>
        <w:rPr>
          <w:rFonts w:hint="eastAsia" w:ascii="宋体" w:hAnsi="宋体"/>
          <w:lang w:eastAsia="zh-CN"/>
        </w:rPr>
        <w:t>5、如果我方中标，我方将支付本次招标的服务费。</w:t>
      </w:r>
    </w:p>
    <w:p>
      <w:pPr>
        <w:shd w:val="clear" w:color="auto" w:fill="FFFFFF"/>
        <w:snapToGrid w:val="0"/>
        <w:spacing w:line="500" w:lineRule="exact"/>
        <w:ind w:firstLine="480" w:firstLineChars="200"/>
        <w:rPr>
          <w:rFonts w:hint="eastAsia" w:ascii="宋体" w:hAnsi="宋体"/>
          <w:lang w:eastAsia="zh-CN"/>
        </w:rPr>
      </w:pPr>
    </w:p>
    <w:p>
      <w:pPr>
        <w:shd w:val="clear" w:color="auto" w:fill="FFFFFF"/>
        <w:snapToGrid w:val="0"/>
        <w:spacing w:line="500" w:lineRule="exact"/>
        <w:rPr>
          <w:rFonts w:hint="eastAsia" w:ascii="宋体" w:hAnsi="宋体"/>
          <w:lang w:eastAsia="zh-CN"/>
        </w:rPr>
      </w:pPr>
      <w:r>
        <w:rPr>
          <w:rFonts w:hint="eastAsia" w:ascii="宋体" w:hAnsi="宋体"/>
          <w:lang w:eastAsia="zh-CN"/>
        </w:rPr>
        <w:t>投标人名称：（盖公章）</w:t>
      </w:r>
    </w:p>
    <w:p>
      <w:pPr>
        <w:shd w:val="clear" w:color="auto" w:fill="FFFFFF"/>
        <w:snapToGrid w:val="0"/>
        <w:spacing w:line="500" w:lineRule="exact"/>
        <w:ind w:firstLine="960" w:firstLineChars="400"/>
        <w:rPr>
          <w:rFonts w:hint="eastAsia" w:ascii="宋体" w:hAnsi="宋体"/>
          <w:u w:val="single"/>
          <w:lang w:eastAsia="zh-CN"/>
        </w:rPr>
      </w:pPr>
      <w:r>
        <w:rPr>
          <w:rFonts w:hint="eastAsia" w:ascii="宋体" w:hAnsi="宋体"/>
          <w:lang w:eastAsia="zh-CN"/>
        </w:rPr>
        <w:t>地址：</w:t>
      </w:r>
    </w:p>
    <w:p>
      <w:pPr>
        <w:shd w:val="clear" w:color="auto" w:fill="FFFFFF"/>
        <w:snapToGrid w:val="0"/>
        <w:spacing w:line="500" w:lineRule="exact"/>
        <w:ind w:firstLine="960" w:firstLineChars="400"/>
        <w:rPr>
          <w:rFonts w:hint="eastAsia" w:ascii="宋体" w:hAnsi="宋体"/>
          <w:u w:val="single"/>
          <w:lang w:eastAsia="zh-CN"/>
        </w:rPr>
      </w:pPr>
      <w:r>
        <w:rPr>
          <w:rFonts w:hint="eastAsia" w:ascii="宋体" w:hAnsi="宋体"/>
          <w:lang w:eastAsia="zh-CN"/>
        </w:rPr>
        <w:t>邮编：</w:t>
      </w:r>
    </w:p>
    <w:p>
      <w:pPr>
        <w:shd w:val="clear" w:color="auto" w:fill="FFFFFF"/>
        <w:snapToGrid w:val="0"/>
        <w:spacing w:line="500" w:lineRule="exact"/>
        <w:ind w:firstLine="960" w:firstLineChars="400"/>
        <w:rPr>
          <w:rFonts w:hint="eastAsia" w:ascii="宋体" w:hAnsi="宋体"/>
          <w:u w:val="single"/>
          <w:lang w:eastAsia="zh-CN"/>
        </w:rPr>
      </w:pPr>
      <w:r>
        <w:rPr>
          <w:rFonts w:hint="eastAsia" w:ascii="宋体" w:hAnsi="宋体"/>
          <w:lang w:eastAsia="zh-CN"/>
        </w:rPr>
        <w:t>电话：</w:t>
      </w:r>
    </w:p>
    <w:p>
      <w:pPr>
        <w:shd w:val="clear" w:color="auto" w:fill="FFFFFF"/>
        <w:snapToGrid w:val="0"/>
        <w:spacing w:line="500" w:lineRule="exact"/>
        <w:ind w:firstLine="960" w:firstLineChars="400"/>
        <w:rPr>
          <w:rFonts w:hint="eastAsia" w:ascii="宋体" w:hAnsi="宋体"/>
          <w:u w:val="single"/>
          <w:lang w:eastAsia="zh-CN"/>
        </w:rPr>
      </w:pPr>
      <w:r>
        <w:rPr>
          <w:rFonts w:hint="eastAsia" w:ascii="宋体" w:hAnsi="宋体"/>
          <w:lang w:eastAsia="zh-CN"/>
        </w:rPr>
        <w:t>传真：</w:t>
      </w:r>
    </w:p>
    <w:p>
      <w:pPr>
        <w:shd w:val="clear" w:color="auto" w:fill="FFFFFF"/>
        <w:snapToGrid w:val="0"/>
        <w:spacing w:line="500" w:lineRule="exact"/>
        <w:ind w:firstLine="960" w:firstLineChars="400"/>
        <w:rPr>
          <w:rFonts w:hint="eastAsia" w:ascii="宋体" w:hAnsi="宋体"/>
          <w:lang w:eastAsia="zh-CN"/>
        </w:rPr>
      </w:pPr>
      <w:r>
        <w:rPr>
          <w:rFonts w:hint="eastAsia" w:ascii="宋体" w:hAnsi="宋体"/>
          <w:lang w:eastAsia="zh-CN"/>
        </w:rPr>
        <w:t>授权代表：（签名或盖章）</w:t>
      </w:r>
    </w:p>
    <w:p>
      <w:pPr>
        <w:shd w:val="clear" w:color="auto" w:fill="FFFFFF"/>
        <w:snapToGrid w:val="0"/>
        <w:spacing w:line="500" w:lineRule="exact"/>
        <w:ind w:firstLine="960" w:firstLineChars="400"/>
        <w:rPr>
          <w:rFonts w:hint="eastAsia" w:ascii="宋体" w:hAnsi="宋体"/>
          <w:u w:val="single"/>
          <w:lang w:eastAsia="zh-CN"/>
        </w:rPr>
      </w:pPr>
      <w:r>
        <w:rPr>
          <w:rFonts w:hint="eastAsia" w:ascii="宋体" w:hAnsi="宋体"/>
          <w:lang w:eastAsia="zh-CN"/>
        </w:rPr>
        <w:t>职务：</w:t>
      </w:r>
    </w:p>
    <w:p>
      <w:pPr>
        <w:shd w:val="clear" w:color="auto" w:fill="FFFFFF"/>
        <w:snapToGrid w:val="0"/>
        <w:spacing w:line="500" w:lineRule="exact"/>
        <w:ind w:firstLine="960" w:firstLineChars="400"/>
        <w:rPr>
          <w:rFonts w:hint="eastAsia" w:ascii="宋体" w:hAnsi="宋体"/>
          <w:lang w:eastAsia="zh-CN"/>
        </w:rPr>
      </w:pPr>
      <w:r>
        <w:rPr>
          <w:rFonts w:hint="eastAsia" w:ascii="宋体" w:hAnsi="宋体"/>
          <w:lang w:eastAsia="zh-CN"/>
        </w:rPr>
        <w:t>日期：</w:t>
      </w:r>
    </w:p>
    <w:p>
      <w:pPr>
        <w:rPr>
          <w:rFonts w:hint="eastAsia"/>
          <w:lang w:eastAsia="zh-CN" w:bidi="ar-SA"/>
        </w:rPr>
      </w:pPr>
    </w:p>
    <w:p>
      <w:pPr>
        <w:rPr>
          <w:rFonts w:hint="eastAsia"/>
          <w:lang w:eastAsia="zh-CN"/>
        </w:rPr>
      </w:pPr>
    </w:p>
    <w:p>
      <w:pPr>
        <w:numPr>
          <w:ilvl w:val="0"/>
          <w:numId w:val="12"/>
        </w:numPr>
        <w:ind w:firstLine="2361" w:firstLineChars="840"/>
        <w:rPr>
          <w:rFonts w:hint="eastAsia"/>
          <w:b/>
          <w:sz w:val="28"/>
          <w:szCs w:val="28"/>
        </w:rPr>
      </w:pPr>
      <w:r>
        <w:rPr>
          <w:rFonts w:hint="eastAsia"/>
          <w:b/>
          <w:sz w:val="28"/>
          <w:szCs w:val="28"/>
        </w:rPr>
        <w:t>开标一览表</w:t>
      </w:r>
    </w:p>
    <w:p>
      <w:pPr>
        <w:numPr>
          <w:ilvl w:val="0"/>
          <w:numId w:val="0"/>
        </w:numPr>
        <w:rPr>
          <w:rFonts w:hint="eastAsia"/>
          <w:b/>
          <w:sz w:val="28"/>
          <w:szCs w:val="28"/>
        </w:rPr>
      </w:pPr>
    </w:p>
    <w:p>
      <w:pPr>
        <w:numPr>
          <w:ilvl w:val="0"/>
          <w:numId w:val="0"/>
        </w:numPr>
        <w:rPr>
          <w:rFonts w:hint="eastAsia"/>
          <w:b/>
          <w:sz w:val="28"/>
          <w:szCs w:val="28"/>
        </w:rPr>
      </w:pPr>
    </w:p>
    <w:p>
      <w:pPr>
        <w:rPr>
          <w:rFonts w:hint="eastAsia" w:eastAsia="宋体"/>
          <w:u w:val="single"/>
          <w:lang w:eastAsia="zh-CN"/>
        </w:rPr>
      </w:pPr>
      <w:r>
        <w:rPr>
          <w:rFonts w:hint="eastAsia"/>
        </w:rPr>
        <w:t>项目名称：</w:t>
      </w:r>
    </w:p>
    <w:p>
      <w:pPr>
        <w:rPr>
          <w:rFonts w:hint="eastAsia" w:eastAsia="宋体"/>
          <w:lang w:eastAsia="zh-CN"/>
        </w:rPr>
      </w:pPr>
      <w:r>
        <w:rPr>
          <w:rFonts w:hint="eastAsia"/>
        </w:rPr>
        <w:t>招标编号：</w:t>
      </w:r>
    </w:p>
    <w:tbl>
      <w:tblPr>
        <w:tblStyle w:val="53"/>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widowControl w:val="0"/>
              <w:spacing w:before="0" w:beforeAutospacing="0" w:after="0" w:afterAutospacing="0"/>
              <w:ind w:left="0" w:right="0"/>
              <w:jc w:val="both"/>
              <w:rPr>
                <w:rFonts w:hint="eastAsia"/>
              </w:rPr>
            </w:pPr>
            <w:r>
              <w:rPr>
                <w:rFonts w:hint="eastAsia"/>
              </w:rPr>
              <w:t>列名称</w:t>
            </w:r>
          </w:p>
        </w:tc>
        <w:tc>
          <w:tcPr>
            <w:tcW w:w="4261" w:type="dxa"/>
            <w:vAlign w:val="top"/>
          </w:tcPr>
          <w:p>
            <w:pPr>
              <w:widowControl w:val="0"/>
              <w:spacing w:before="0" w:beforeAutospacing="0" w:after="0" w:afterAutospacing="0"/>
              <w:ind w:left="0" w:right="0"/>
              <w:jc w:val="both"/>
              <w:rPr>
                <w:rFonts w:hint="eastAsia"/>
              </w:rPr>
            </w:pPr>
            <w:r>
              <w:rPr>
                <w:rFonts w:hint="eastAsia"/>
              </w:rPr>
              <w:t>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widowControl w:val="0"/>
              <w:spacing w:before="0" w:beforeAutospacing="0" w:after="0" w:afterAutospacing="0"/>
              <w:ind w:left="0" w:right="0"/>
              <w:jc w:val="both"/>
              <w:rPr>
                <w:rFonts w:hint="eastAsia"/>
              </w:rPr>
            </w:pPr>
            <w:r>
              <w:rPr>
                <w:rFonts w:hint="eastAsia"/>
              </w:rPr>
              <w:t>投标单位名称</w:t>
            </w:r>
          </w:p>
        </w:tc>
        <w:tc>
          <w:tcPr>
            <w:tcW w:w="4261" w:type="dxa"/>
            <w:vAlign w:val="top"/>
          </w:tcPr>
          <w:p>
            <w:pPr>
              <w:widowControl w:val="0"/>
              <w:spacing w:before="0" w:beforeAutospacing="0" w:after="0" w:afterAutospacing="0"/>
              <w:ind w:left="0" w:right="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widowControl w:val="0"/>
              <w:spacing w:before="0" w:beforeAutospacing="0" w:after="0" w:afterAutospacing="0"/>
              <w:ind w:left="0" w:right="0"/>
              <w:jc w:val="both"/>
              <w:rPr>
                <w:rFonts w:hint="eastAsia"/>
                <w:lang w:eastAsia="zh-CN"/>
              </w:rPr>
            </w:pPr>
            <w:r>
              <w:rPr>
                <w:rFonts w:hint="eastAsia"/>
                <w:lang w:eastAsia="zh-CN"/>
              </w:rPr>
              <w:t>服务地点</w:t>
            </w:r>
          </w:p>
        </w:tc>
        <w:tc>
          <w:tcPr>
            <w:tcW w:w="4261" w:type="dxa"/>
            <w:vAlign w:val="top"/>
          </w:tcPr>
          <w:p>
            <w:pPr>
              <w:widowControl w:val="0"/>
              <w:spacing w:before="0" w:beforeAutospacing="0" w:after="0" w:afterAutospacing="0"/>
              <w:ind w:left="0" w:right="0"/>
              <w:jc w:val="both"/>
              <w:rPr>
                <w:rFonts w:hint="eastAsi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261" w:type="dxa"/>
            <w:vAlign w:val="top"/>
          </w:tcPr>
          <w:p>
            <w:pPr>
              <w:widowControl w:val="0"/>
              <w:spacing w:before="0" w:beforeAutospacing="0" w:after="0" w:afterAutospacing="0"/>
              <w:ind w:left="0" w:right="0"/>
              <w:jc w:val="both"/>
              <w:rPr>
                <w:rFonts w:hint="default"/>
                <w:lang w:eastAsia="zh-CN"/>
              </w:rPr>
            </w:pPr>
            <w:r>
              <w:rPr>
                <w:rFonts w:hint="eastAsia"/>
                <w:lang w:eastAsia="zh-CN"/>
              </w:rPr>
              <w:t>合同履行期限(服务期)</w:t>
            </w:r>
          </w:p>
          <w:p>
            <w:pPr>
              <w:widowControl w:val="0"/>
              <w:spacing w:before="0" w:beforeAutospacing="0" w:after="0" w:afterAutospacing="0"/>
              <w:ind w:left="0" w:right="0"/>
              <w:jc w:val="both"/>
              <w:rPr>
                <w:rFonts w:hint="eastAsia"/>
              </w:rPr>
            </w:pPr>
          </w:p>
        </w:tc>
        <w:tc>
          <w:tcPr>
            <w:tcW w:w="4261" w:type="dxa"/>
            <w:vAlign w:val="top"/>
          </w:tcPr>
          <w:p>
            <w:pPr>
              <w:widowControl w:val="0"/>
              <w:spacing w:before="0" w:beforeAutospacing="0" w:after="0" w:afterAutospacing="0"/>
              <w:ind w:left="0" w:right="0"/>
              <w:jc w:val="both"/>
              <w:rPr>
                <w:rFonts w:hint="eastAsia"/>
              </w:rPr>
            </w:pPr>
          </w:p>
        </w:tc>
      </w:tr>
    </w:tbl>
    <w:p>
      <w:pPr>
        <w:rPr>
          <w:rFonts w:hint="eastAsia"/>
        </w:rPr>
      </w:pPr>
    </w:p>
    <w:p>
      <w:pPr>
        <w:rPr>
          <w:rFonts w:hint="eastAsia"/>
        </w:rPr>
      </w:pPr>
    </w:p>
    <w:p>
      <w:pPr>
        <w:rPr>
          <w:rFonts w:hint="eastAsia"/>
          <w:u w:val="single"/>
        </w:rPr>
      </w:pPr>
      <w:r>
        <w:rPr>
          <w:rFonts w:hint="eastAsia"/>
        </w:rPr>
        <w:t>投标单位：</w:t>
      </w:r>
      <w:r>
        <w:rPr>
          <w:rFonts w:hint="eastAsia"/>
          <w:u w:val="single"/>
        </w:rPr>
        <w:t>（盖公章）</w:t>
      </w:r>
    </w:p>
    <w:p>
      <w:pPr>
        <w:rPr>
          <w:rFonts w:hint="eastAsia"/>
          <w:u w:val="single"/>
        </w:rPr>
      </w:pPr>
    </w:p>
    <w:p>
      <w:pPr>
        <w:rPr>
          <w:rFonts w:hint="eastAsia"/>
          <w:u w:val="single"/>
        </w:rPr>
      </w:pPr>
      <w:r>
        <w:rPr>
          <w:rFonts w:hint="eastAsia"/>
          <w:u w:val="single"/>
        </w:rPr>
        <w:t>法定代表人</w:t>
      </w:r>
      <w:r>
        <w:rPr>
          <w:rFonts w:hint="eastAsia"/>
        </w:rPr>
        <w:t>（或授权代理人）：</w:t>
      </w:r>
      <w:r>
        <w:rPr>
          <w:rFonts w:hint="eastAsia"/>
          <w:u w:val="single"/>
        </w:rPr>
        <w:t>（签字或盖章）</w:t>
      </w:r>
    </w:p>
    <w:p>
      <w:pPr>
        <w:rPr>
          <w:rFonts w:hint="eastAsia"/>
          <w:u w:val="single"/>
        </w:rPr>
      </w:pPr>
    </w:p>
    <w:p>
      <w:pPr>
        <w:rPr>
          <w:rFonts w:hint="eastAsia" w:eastAsia="宋体"/>
          <w:lang w:eastAsia="zh-CN"/>
        </w:rPr>
      </w:pPr>
      <w:r>
        <w:rPr>
          <w:rFonts w:hint="eastAsia"/>
        </w:rPr>
        <w:t>日期：</w:t>
      </w:r>
    </w:p>
    <w:p>
      <w:pPr>
        <w:rPr>
          <w:rFonts w:hint="eastAsia"/>
        </w:rPr>
      </w:pPr>
    </w:p>
    <w:p>
      <w:pPr>
        <w:spacing w:before="75"/>
        <w:ind w:left="401"/>
        <w:rPr>
          <w:rFonts w:hint="default" w:ascii="宋体" w:hAnsi="宋体"/>
          <w:kern w:val="2"/>
          <w:lang w:val="en-US" w:eastAsia="zh-CN" w:bidi="ar-SA"/>
        </w:rPr>
        <w:sectPr>
          <w:type w:val="continuous"/>
          <w:pgSz w:w="12240" w:h="15840"/>
          <w:pgMar w:top="1440" w:right="1800" w:bottom="1440" w:left="1800" w:header="720" w:footer="720" w:gutter="0"/>
          <w:pgNumType w:fmt="decimal"/>
          <w:cols w:space="720" w:num="1"/>
        </w:sectPr>
      </w:pPr>
      <w:r>
        <w:rPr>
          <w:rFonts w:hint="eastAsia" w:ascii="宋体" w:hAnsi="宋体"/>
          <w:spacing w:val="16"/>
          <w:kern w:val="2"/>
          <w:lang w:eastAsia="zh-CN" w:bidi="ar-SA"/>
        </w:rPr>
        <w:t>注:</w:t>
      </w:r>
      <w:r>
        <w:rPr>
          <w:rFonts w:hint="eastAsia" w:ascii="宋体" w:hAnsi="宋体"/>
          <w:spacing w:val="8"/>
          <w:kern w:val="2"/>
          <w:lang w:eastAsia="zh-CN" w:bidi="ar-SA"/>
        </w:rPr>
        <w:t>此表为表样，行数可自行添加，但表式不</w:t>
      </w:r>
      <w:r>
        <w:rPr>
          <w:rFonts w:hint="eastAsia" w:ascii="宋体" w:hAnsi="宋体"/>
          <w:spacing w:val="8"/>
          <w:kern w:val="2"/>
          <w:lang w:val="en-US" w:eastAsia="zh-CN" w:bidi="ar-SA"/>
        </w:rPr>
        <w:t>变</w:t>
      </w:r>
    </w:p>
    <w:p>
      <w:pPr>
        <w:pStyle w:val="4"/>
        <w:numPr>
          <w:ilvl w:val="0"/>
          <w:numId w:val="0"/>
        </w:numPr>
        <w:spacing w:before="0" w:after="0"/>
        <w:jc w:val="center"/>
        <w:rPr>
          <w:rFonts w:hint="eastAsia" w:ascii="宋体" w:hAnsi="宋体"/>
          <w:i w:val="0"/>
          <w:iCs w:val="0"/>
          <w:sz w:val="28"/>
          <w:szCs w:val="28"/>
          <w:lang w:eastAsia="zh-CN" w:bidi="en-US"/>
        </w:rPr>
      </w:pPr>
      <w:r>
        <w:rPr>
          <w:rFonts w:hint="eastAsia" w:ascii="宋体" w:hAnsi="宋体"/>
          <w:i w:val="0"/>
          <w:iCs w:val="0"/>
          <w:sz w:val="28"/>
          <w:szCs w:val="28"/>
          <w:lang w:eastAsia="zh-CN" w:bidi="en-US"/>
        </w:rPr>
        <w:t>三、采购需求响应表</w:t>
      </w:r>
    </w:p>
    <w:p>
      <w:pPr>
        <w:pStyle w:val="2"/>
        <w:numPr>
          <w:ilvl w:val="0"/>
          <w:numId w:val="0"/>
        </w:numPr>
        <w:ind w:left="569" w:leftChars="0"/>
        <w:rPr>
          <w:rFonts w:hint="eastAsia"/>
          <w:lang w:eastAsia="zh-CN"/>
        </w:rPr>
      </w:pPr>
    </w:p>
    <w:p>
      <w:pPr>
        <w:spacing w:line="360" w:lineRule="auto"/>
        <w:ind w:firstLine="480" w:firstLineChars="200"/>
      </w:pPr>
      <w:r>
        <w:rPr>
          <w:rFonts w:hint="eastAsia" w:cs="宋体"/>
        </w:rPr>
        <w:t>说明：请</w:t>
      </w:r>
      <w:r>
        <w:rPr>
          <w:rFonts w:hint="eastAsia" w:cs="宋体"/>
          <w:lang w:eastAsia="zh-CN"/>
        </w:rPr>
        <w:t>投标人</w:t>
      </w:r>
      <w:r>
        <w:rPr>
          <w:rFonts w:hint="eastAsia" w:cs="宋体"/>
        </w:rPr>
        <w:t>对应</w:t>
      </w:r>
      <w:r>
        <w:rPr>
          <w:rFonts w:hint="eastAsia" w:cs="宋体"/>
          <w:lang w:eastAsia="zh-CN"/>
        </w:rPr>
        <w:t>招标</w:t>
      </w:r>
      <w:r>
        <w:rPr>
          <w:rFonts w:hint="eastAsia" w:cs="宋体"/>
        </w:rPr>
        <w:t>文件的“</w:t>
      </w:r>
      <w:r>
        <w:rPr>
          <w:rFonts w:hint="eastAsia" w:cs="宋体"/>
          <w:lang w:eastAsia="zh-CN"/>
        </w:rPr>
        <w:t>投标人</w:t>
      </w:r>
      <w:r>
        <w:rPr>
          <w:rFonts w:hint="eastAsia" w:cs="宋体"/>
        </w:rPr>
        <w:t>须知”、“用户需求书”中有关项目</w:t>
      </w:r>
      <w:r>
        <w:rPr>
          <w:rFonts w:hint="eastAsia" w:cs="宋体"/>
          <w:lang w:eastAsia="zh-CN"/>
        </w:rPr>
        <w:t>合同履约</w:t>
      </w:r>
      <w:r>
        <w:rPr>
          <w:rFonts w:hint="eastAsia" w:cs="宋体"/>
        </w:rPr>
        <w:t>期、响应有效期、质保期、等商务要求以及该项目服务内容的要求，如实、完整准确的填写该表。响应文件有正、负偏离均应在下表中列明。若无偏离，请标明“完全响应”。</w:t>
      </w:r>
    </w:p>
    <w:p>
      <w:pPr>
        <w:spacing w:line="360" w:lineRule="auto"/>
        <w:ind w:firstLine="720" w:firstLineChars="300"/>
        <w:rPr>
          <w:rFonts w:hint="eastAsia" w:ascii="宋体" w:hAnsi="宋体" w:cs="宋体"/>
        </w:rPr>
      </w:pPr>
    </w:p>
    <w:tbl>
      <w:tblPr>
        <w:tblStyle w:val="52"/>
        <w:tblW w:w="8589" w:type="dxa"/>
        <w:tblInd w:w="26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59"/>
        <w:gridCol w:w="1824"/>
        <w:gridCol w:w="2594"/>
        <w:gridCol w:w="2036"/>
        <w:gridCol w:w="8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259"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rPr>
                <w:rFonts w:hint="eastAsia" w:ascii="宋体" w:hAnsi="宋体" w:cs="宋体"/>
                <w:sz w:val="20"/>
                <w:szCs w:val="20"/>
              </w:rPr>
            </w:pPr>
            <w:r>
              <w:rPr>
                <w:rFonts w:hint="eastAsia" w:ascii="宋体" w:hAnsi="宋体" w:cs="宋体"/>
                <w:sz w:val="20"/>
                <w:szCs w:val="20"/>
              </w:rPr>
              <w:t>序号</w:t>
            </w:r>
          </w:p>
        </w:tc>
        <w:tc>
          <w:tcPr>
            <w:tcW w:w="182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rPr>
                <w:rFonts w:hint="eastAsia" w:ascii="宋体" w:hAnsi="宋体" w:cs="宋体"/>
                <w:sz w:val="20"/>
                <w:szCs w:val="20"/>
              </w:rPr>
            </w:pPr>
            <w:r>
              <w:rPr>
                <w:rFonts w:hint="eastAsia" w:ascii="宋体" w:hAnsi="宋体" w:cs="宋体"/>
                <w:sz w:val="20"/>
                <w:szCs w:val="20"/>
                <w:lang w:eastAsia="zh-CN"/>
              </w:rPr>
              <w:t>招标</w:t>
            </w:r>
            <w:r>
              <w:rPr>
                <w:rFonts w:hint="eastAsia" w:ascii="宋体" w:hAnsi="宋体" w:cs="宋体"/>
                <w:sz w:val="20"/>
                <w:szCs w:val="20"/>
              </w:rPr>
              <w:t>文件条款</w:t>
            </w:r>
          </w:p>
        </w:tc>
        <w:tc>
          <w:tcPr>
            <w:tcW w:w="2594"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eastAsia" w:ascii="宋体" w:hAnsi="宋体" w:cs="宋体"/>
                <w:sz w:val="20"/>
                <w:szCs w:val="20"/>
              </w:rPr>
            </w:pPr>
            <w:r>
              <w:rPr>
                <w:rFonts w:hint="eastAsia" w:ascii="宋体" w:hAnsi="宋体" w:cs="宋体"/>
                <w:sz w:val="20"/>
                <w:szCs w:val="20"/>
                <w:lang w:eastAsia="zh-CN"/>
              </w:rPr>
              <w:t>招标</w:t>
            </w:r>
            <w:r>
              <w:rPr>
                <w:rFonts w:hint="eastAsia" w:ascii="宋体" w:hAnsi="宋体" w:cs="宋体"/>
                <w:sz w:val="20"/>
                <w:szCs w:val="20"/>
              </w:rPr>
              <w:t>文件商务要求</w:t>
            </w:r>
          </w:p>
        </w:tc>
        <w:tc>
          <w:tcPr>
            <w:tcW w:w="2036"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eastAsia" w:ascii="宋体" w:hAnsi="宋体" w:cs="宋体"/>
                <w:sz w:val="20"/>
                <w:szCs w:val="20"/>
              </w:rPr>
            </w:pPr>
            <w:r>
              <w:rPr>
                <w:rFonts w:hint="eastAsia" w:ascii="宋体" w:hAnsi="宋体" w:cs="宋体"/>
                <w:sz w:val="20"/>
                <w:szCs w:val="20"/>
                <w:lang w:eastAsia="zh-CN"/>
              </w:rPr>
              <w:t>投标</w:t>
            </w:r>
            <w:r>
              <w:rPr>
                <w:rFonts w:hint="eastAsia" w:ascii="宋体" w:hAnsi="宋体" w:cs="宋体"/>
                <w:sz w:val="20"/>
                <w:szCs w:val="20"/>
              </w:rPr>
              <w:t>文件响应</w:t>
            </w:r>
          </w:p>
        </w:tc>
        <w:tc>
          <w:tcPr>
            <w:tcW w:w="876"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eastAsia" w:ascii="宋体" w:hAnsi="宋体" w:cs="宋体"/>
                <w:sz w:val="20"/>
                <w:szCs w:val="20"/>
              </w:rPr>
            </w:pPr>
            <w:r>
              <w:rPr>
                <w:rFonts w:hint="eastAsia" w:ascii="宋体" w:hAnsi="宋体" w:cs="宋体"/>
                <w:sz w:val="20"/>
                <w:szCs w:val="20"/>
              </w:rPr>
              <w:t>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8" w:hRule="atLeast"/>
        </w:trPr>
        <w:tc>
          <w:tcPr>
            <w:tcW w:w="1259"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r>
              <w:rPr>
                <w:rFonts w:hint="eastAsia" w:ascii="宋体" w:hAnsi="宋体" w:cs="宋体"/>
                <w:sz w:val="20"/>
                <w:szCs w:val="20"/>
              </w:rPr>
              <w:t>1</w:t>
            </w:r>
          </w:p>
        </w:tc>
        <w:tc>
          <w:tcPr>
            <w:tcW w:w="182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259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203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87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0" w:hRule="atLeast"/>
        </w:trPr>
        <w:tc>
          <w:tcPr>
            <w:tcW w:w="1259"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r>
              <w:rPr>
                <w:rFonts w:hint="eastAsia" w:ascii="宋体" w:hAnsi="宋体" w:cs="宋体"/>
                <w:sz w:val="20"/>
                <w:szCs w:val="20"/>
              </w:rPr>
              <w:t>2</w:t>
            </w:r>
          </w:p>
        </w:tc>
        <w:tc>
          <w:tcPr>
            <w:tcW w:w="182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259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203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87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59"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r>
              <w:rPr>
                <w:rFonts w:hint="eastAsia" w:ascii="宋体" w:hAnsi="宋体" w:cs="宋体"/>
                <w:sz w:val="20"/>
                <w:szCs w:val="20"/>
              </w:rPr>
              <w:t>3</w:t>
            </w:r>
          </w:p>
        </w:tc>
        <w:tc>
          <w:tcPr>
            <w:tcW w:w="182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259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203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87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59"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r>
              <w:rPr>
                <w:rFonts w:hint="eastAsia" w:ascii="宋体" w:hAnsi="宋体" w:cs="宋体"/>
                <w:sz w:val="20"/>
                <w:szCs w:val="20"/>
              </w:rPr>
              <w:t>…</w:t>
            </w:r>
          </w:p>
        </w:tc>
        <w:tc>
          <w:tcPr>
            <w:tcW w:w="182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1"/>
              </w:rPr>
            </w:pPr>
            <w:r>
              <w:rPr>
                <w:rFonts w:hint="eastAsia" w:ascii="宋体" w:hAnsi="宋体" w:cs="宋体"/>
                <w:sz w:val="20"/>
                <w:szCs w:val="21"/>
              </w:rPr>
              <w:t>未列入本表条款</w:t>
            </w:r>
          </w:p>
        </w:tc>
        <w:tc>
          <w:tcPr>
            <w:tcW w:w="259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1"/>
              </w:rPr>
            </w:pPr>
            <w:r>
              <w:rPr>
                <w:rFonts w:hint="eastAsia" w:ascii="宋体" w:hAnsi="宋体" w:cs="宋体"/>
                <w:sz w:val="20"/>
                <w:szCs w:val="21"/>
              </w:rPr>
              <w:t>全部接受</w:t>
            </w:r>
          </w:p>
        </w:tc>
        <w:tc>
          <w:tcPr>
            <w:tcW w:w="203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1"/>
              </w:rPr>
            </w:pPr>
            <w:r>
              <w:rPr>
                <w:rFonts w:hint="eastAsia" w:ascii="宋体" w:hAnsi="宋体" w:cs="宋体"/>
                <w:sz w:val="20"/>
                <w:szCs w:val="21"/>
              </w:rPr>
              <w:t>完全响应</w:t>
            </w:r>
          </w:p>
        </w:tc>
        <w:tc>
          <w:tcPr>
            <w:tcW w:w="87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1" w:hRule="atLeast"/>
        </w:trPr>
        <w:tc>
          <w:tcPr>
            <w:tcW w:w="1259"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182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2594"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203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c>
          <w:tcPr>
            <w:tcW w:w="876"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eastAsia" w:ascii="宋体" w:hAnsi="宋体" w:cs="宋体"/>
                <w:sz w:val="20"/>
                <w:szCs w:val="20"/>
              </w:rPr>
            </w:pPr>
          </w:p>
        </w:tc>
      </w:tr>
    </w:tbl>
    <w:p>
      <w:pPr>
        <w:spacing w:line="360" w:lineRule="auto"/>
        <w:ind w:left="614" w:leftChars="206" w:hanging="120" w:hangingChars="50"/>
        <w:rPr>
          <w:rFonts w:hint="eastAsia" w:ascii="宋体" w:hAnsi="宋体" w:cs="宋体"/>
          <w:bCs/>
          <w:lang w:eastAsia="zh-CN"/>
        </w:rPr>
      </w:pPr>
    </w:p>
    <w:p>
      <w:pPr>
        <w:spacing w:line="360" w:lineRule="auto"/>
        <w:ind w:left="614" w:leftChars="206" w:hanging="120" w:hangingChars="50"/>
        <w:rPr>
          <w:rFonts w:hint="eastAsia" w:ascii="宋体" w:hAnsi="宋体" w:eastAsia="宋体" w:cs="宋体"/>
          <w:lang w:eastAsia="zh-CN"/>
        </w:rPr>
      </w:pPr>
      <w:r>
        <w:rPr>
          <w:rFonts w:hint="eastAsia" w:ascii="宋体" w:hAnsi="宋体" w:cs="宋体"/>
          <w:bCs/>
          <w:lang w:eastAsia="zh-CN"/>
        </w:rPr>
        <w:t>投标人</w:t>
      </w:r>
      <w:r>
        <w:rPr>
          <w:rFonts w:hint="eastAsia" w:ascii="宋体" w:hAnsi="宋体" w:cs="宋体"/>
          <w:bCs/>
        </w:rPr>
        <w:t>全称（公章）：法定代表人或授权代表：（</w:t>
      </w:r>
      <w:r>
        <w:rPr>
          <w:rFonts w:hint="eastAsia" w:ascii="宋体" w:hAnsi="宋体" w:cs="宋体"/>
          <w:bCs/>
          <w:u w:val="single"/>
        </w:rPr>
        <w:t>签字或盖章）</w:t>
      </w:r>
    </w:p>
    <w:p>
      <w:pPr>
        <w:pStyle w:val="46"/>
        <w:spacing w:after="120" w:line="360" w:lineRule="auto"/>
        <w:ind w:left="480" w:leftChars="200" w:firstLine="480" w:firstLineChars="200"/>
        <w:jc w:val="both"/>
        <w:rPr>
          <w:rFonts w:hint="eastAsia" w:eastAsia="宋体"/>
          <w:bCs/>
          <w:lang w:eastAsia="zh-CN"/>
        </w:rPr>
      </w:pPr>
      <w:r>
        <w:rPr>
          <w:bCs/>
        </w:rPr>
        <w:t>日期：</w:t>
      </w:r>
    </w:p>
    <w:p>
      <w:pPr>
        <w:spacing w:line="360" w:lineRule="auto"/>
        <w:ind w:left="614" w:leftChars="206" w:hanging="120" w:hangingChars="50"/>
        <w:rPr>
          <w:rFonts w:hint="eastAsia" w:ascii="宋体" w:hAnsi="宋体" w:cs="宋体"/>
        </w:rPr>
      </w:pPr>
    </w:p>
    <w:p>
      <w:pPr>
        <w:spacing w:line="360" w:lineRule="auto"/>
        <w:rPr>
          <w:rFonts w:hint="eastAsia" w:ascii="宋体" w:hAnsi="宋体" w:cs="宋体"/>
        </w:rPr>
      </w:pPr>
      <w:r>
        <w:rPr>
          <w:rFonts w:hint="eastAsia" w:ascii="宋体" w:hAnsi="宋体" w:cs="宋体"/>
        </w:rPr>
        <w:t>注：1、此表为样表，行数可自行添加，但格式不变。</w:t>
      </w:r>
    </w:p>
    <w:p>
      <w:pPr>
        <w:numPr>
          <w:ilvl w:val="0"/>
          <w:numId w:val="13"/>
        </w:numPr>
        <w:spacing w:line="360" w:lineRule="auto"/>
        <w:ind w:firstLine="480" w:firstLineChars="200"/>
        <w:rPr>
          <w:rFonts w:hint="eastAsia" w:ascii="宋体" w:hAnsi="宋体" w:cs="宋体"/>
        </w:rPr>
      </w:pPr>
      <w:r>
        <w:rPr>
          <w:rFonts w:hint="eastAsia" w:ascii="宋体" w:hAnsi="宋体" w:cs="宋体"/>
        </w:rPr>
        <w:t>根据投标文件响应情况，分别注明“正偏离”、“完全响应”、“负偏离”。</w:t>
      </w:r>
    </w:p>
    <w:p>
      <w:pPr>
        <w:numPr>
          <w:ilvl w:val="0"/>
          <w:numId w:val="13"/>
        </w:numPr>
        <w:spacing w:line="360" w:lineRule="auto"/>
        <w:ind w:firstLine="480" w:firstLineChars="200"/>
      </w:pPr>
      <w:r>
        <w:t>对招标文件无偏离，视为对未列入本表的条款全部接受，注明“完全响应”。</w:t>
      </w:r>
    </w:p>
    <w:p>
      <w:pPr>
        <w:pStyle w:val="2"/>
        <w:ind w:left="0" w:leftChars="0" w:firstLine="0" w:firstLineChars="0"/>
        <w:rPr>
          <w:rFonts w:hint="eastAsia" w:ascii="宋体" w:hAnsi="宋体" w:cs="宋体"/>
          <w:lang w:eastAsia="zh-CN"/>
        </w:rPr>
      </w:pPr>
    </w:p>
    <w:p>
      <w:pPr>
        <w:rPr>
          <w:rFonts w:hint="eastAsia" w:ascii="宋体" w:hAnsi="宋体" w:cs="宋体"/>
          <w:lang w:eastAsia="zh-CN"/>
        </w:rPr>
      </w:pPr>
    </w:p>
    <w:p>
      <w:pPr>
        <w:pStyle w:val="2"/>
        <w:rPr>
          <w:rFonts w:hint="eastAsia" w:ascii="宋体" w:hAnsi="宋体" w:cs="宋体"/>
          <w:lang w:eastAsia="zh-CN"/>
        </w:rPr>
      </w:pPr>
    </w:p>
    <w:p>
      <w:pPr>
        <w:rPr>
          <w:rFonts w:hint="eastAsia" w:ascii="宋体" w:hAnsi="宋体" w:cs="宋体"/>
          <w:lang w:eastAsia="zh-CN"/>
        </w:rPr>
      </w:pPr>
    </w:p>
    <w:p>
      <w:pPr>
        <w:rPr>
          <w:rFonts w:hint="eastAsia"/>
          <w:lang w:eastAsia="zh-CN"/>
        </w:rPr>
        <w:sectPr>
          <w:type w:val="continuous"/>
          <w:pgSz w:w="11906" w:h="16838"/>
          <w:pgMar w:top="1080" w:right="1440" w:bottom="1080" w:left="1440" w:header="851" w:footer="851" w:gutter="0"/>
          <w:pgNumType w:fmt="decimal"/>
          <w:cols w:space="720" w:num="1"/>
          <w:docGrid w:linePitch="312" w:charSpace="0"/>
        </w:sectPr>
      </w:pPr>
    </w:p>
    <w:p>
      <w:pPr>
        <w:pStyle w:val="4"/>
        <w:spacing w:line="400" w:lineRule="exact"/>
        <w:jc w:val="center"/>
        <w:rPr>
          <w:rFonts w:hint="eastAsia" w:ascii="宋体" w:cs="宋体"/>
          <w:bCs w:val="0"/>
          <w:i w:val="0"/>
        </w:rPr>
      </w:pPr>
      <w:bookmarkStart w:id="18" w:name="_Toc25017"/>
      <w:bookmarkStart w:id="19" w:name="_Toc13893"/>
      <w:r>
        <w:rPr>
          <w:rFonts w:hint="eastAsia" w:ascii="宋体" w:hAnsi="宋体"/>
          <w:i w:val="0"/>
          <w:iCs w:val="0"/>
          <w:lang w:eastAsia="zh-CN" w:bidi="en-US"/>
        </w:rPr>
        <w:t>四、投标人基本情况</w:t>
      </w:r>
      <w:bookmarkEnd w:id="18"/>
      <w:bookmarkEnd w:id="19"/>
    </w:p>
    <w:p>
      <w:pPr>
        <w:tabs>
          <w:tab w:val="left" w:pos="5580"/>
        </w:tabs>
        <w:spacing w:before="120" w:line="360" w:lineRule="auto"/>
        <w:jc w:val="center"/>
        <w:rPr>
          <w:rFonts w:hint="eastAsia" w:ascii="宋体" w:hAnsi="宋体"/>
          <w:b/>
        </w:rPr>
      </w:pPr>
    </w:p>
    <w:p>
      <w:pPr>
        <w:pStyle w:val="31"/>
        <w:ind w:firstLine="480" w:firstLineChars="200"/>
        <w:rPr>
          <w:rFonts w:hAnsi="宋体" w:cs="宋体"/>
          <w:bCs/>
          <w:lang w:eastAsia="zh-CN"/>
        </w:rPr>
      </w:pPr>
    </w:p>
    <w:tbl>
      <w:tblPr>
        <w:tblStyle w:val="401"/>
        <w:tblW w:w="8923" w:type="dxa"/>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697"/>
        <w:gridCol w:w="867"/>
        <w:gridCol w:w="145"/>
        <w:gridCol w:w="1077"/>
        <w:gridCol w:w="1144"/>
        <w:gridCol w:w="143"/>
        <w:gridCol w:w="1052"/>
        <w:gridCol w:w="680"/>
        <w:gridCol w:w="303"/>
        <w:gridCol w:w="676"/>
        <w:gridCol w:w="113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03"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234" w:beforeAutospacing="0" w:after="0" w:afterAutospacing="0"/>
              <w:ind w:left="251" w:right="0"/>
              <w:jc w:val="both"/>
              <w:rPr>
                <w:rFonts w:hint="default" w:ascii="宋体" w:hAnsi="宋体"/>
                <w:kern w:val="2"/>
                <w:sz w:val="23"/>
                <w:szCs w:val="23"/>
                <w:lang w:eastAsia="zh-CN" w:bidi="ar-SA"/>
              </w:rPr>
            </w:pPr>
            <w:r>
              <w:rPr>
                <w:rFonts w:hint="eastAsia" w:ascii="宋体" w:hAnsi="宋体"/>
                <w:spacing w:val="9"/>
                <w:kern w:val="2"/>
                <w:sz w:val="23"/>
                <w:szCs w:val="23"/>
                <w:lang w:eastAsia="zh-CN" w:bidi="ar-SA"/>
              </w:rPr>
              <w:t>投</w:t>
            </w:r>
            <w:r>
              <w:rPr>
                <w:rFonts w:hint="eastAsia" w:ascii="宋体" w:hAnsi="宋体"/>
                <w:spacing w:val="7"/>
                <w:kern w:val="2"/>
                <w:sz w:val="23"/>
                <w:szCs w:val="23"/>
                <w:lang w:eastAsia="zh-CN" w:bidi="ar-SA"/>
              </w:rPr>
              <w:t>标人名称</w:t>
            </w:r>
          </w:p>
        </w:tc>
        <w:tc>
          <w:tcPr>
            <w:tcW w:w="7226" w:type="dxa"/>
            <w:gridSpan w:val="10"/>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120"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line="360" w:lineRule="auto"/>
              <w:ind w:left="0" w:right="0"/>
              <w:jc w:val="both"/>
              <w:rPr>
                <w:rFonts w:hint="default" w:ascii="Arial"/>
                <w:kern w:val="2"/>
                <w:sz w:val="21"/>
                <w:szCs w:val="21"/>
                <w:lang w:eastAsia="zh-CN" w:bidi="ar-SA"/>
              </w:rPr>
            </w:pPr>
          </w:p>
          <w:p>
            <w:pPr>
              <w:widowControl w:val="0"/>
              <w:spacing w:before="74" w:beforeAutospacing="0" w:after="0" w:afterAutospacing="0"/>
              <w:ind w:left="368" w:right="0"/>
              <w:jc w:val="both"/>
              <w:rPr>
                <w:rFonts w:hint="default" w:ascii="宋体" w:hAnsi="宋体"/>
                <w:kern w:val="2"/>
                <w:sz w:val="23"/>
                <w:szCs w:val="23"/>
                <w:lang w:eastAsia="zh-CN" w:bidi="ar-SA"/>
              </w:rPr>
            </w:pPr>
            <w:r>
              <w:rPr>
                <w:rFonts w:hint="eastAsia" w:ascii="宋体" w:hAnsi="宋体"/>
                <w:spacing w:val="9"/>
                <w:kern w:val="2"/>
                <w:sz w:val="23"/>
                <w:szCs w:val="23"/>
                <w:lang w:eastAsia="zh-CN" w:bidi="ar-SA"/>
              </w:rPr>
              <w:t>注</w:t>
            </w:r>
            <w:r>
              <w:rPr>
                <w:rFonts w:hint="eastAsia" w:ascii="宋体" w:hAnsi="宋体"/>
                <w:spacing w:val="7"/>
                <w:kern w:val="2"/>
                <w:sz w:val="23"/>
                <w:szCs w:val="23"/>
                <w:lang w:eastAsia="zh-CN" w:bidi="ar-SA"/>
              </w:rPr>
              <w:t>册地址</w:t>
            </w:r>
          </w:p>
        </w:tc>
        <w:tc>
          <w:tcPr>
            <w:tcW w:w="3233" w:type="dxa"/>
            <w:gridSpan w:val="4"/>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195"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360" w:lineRule="auto"/>
              <w:ind w:left="0" w:right="0"/>
              <w:jc w:val="both"/>
              <w:rPr>
                <w:rFonts w:hint="default" w:ascii="Arial"/>
                <w:kern w:val="2"/>
                <w:sz w:val="21"/>
                <w:szCs w:val="21"/>
                <w:lang w:eastAsia="zh-CN" w:bidi="ar-SA"/>
              </w:rPr>
            </w:pPr>
          </w:p>
          <w:p>
            <w:pPr>
              <w:widowControl w:val="0"/>
              <w:spacing w:before="75" w:beforeAutospacing="0" w:after="0" w:afterAutospacing="0"/>
              <w:ind w:left="138" w:right="0"/>
              <w:jc w:val="both"/>
              <w:rPr>
                <w:rFonts w:hint="default" w:ascii="宋体" w:hAnsi="宋体"/>
                <w:kern w:val="2"/>
                <w:sz w:val="23"/>
                <w:szCs w:val="23"/>
                <w:lang w:eastAsia="zh-CN" w:bidi="ar-SA"/>
              </w:rPr>
            </w:pPr>
            <w:r>
              <w:rPr>
                <w:rFonts w:hint="eastAsia" w:ascii="宋体" w:hAnsi="宋体"/>
                <w:spacing w:val="3"/>
                <w:kern w:val="2"/>
                <w:sz w:val="23"/>
                <w:szCs w:val="23"/>
                <w:lang w:eastAsia="zh-CN" w:bidi="ar-SA"/>
              </w:rPr>
              <w:t>邮政编码</w:t>
            </w:r>
          </w:p>
        </w:tc>
        <w:tc>
          <w:tcPr>
            <w:tcW w:w="2798" w:type="dxa"/>
            <w:gridSpan w:val="4"/>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1697" w:type="dxa"/>
            <w:vMerge w:val="restart"/>
            <w:tcBorders>
              <w:top w:val="nil"/>
              <w:left w:val="single" w:color="000000" w:sz="6" w:space="0"/>
              <w:bottom w:val="nil"/>
              <w:right w:val="single" w:color="000000" w:sz="6" w:space="0"/>
            </w:tcBorders>
            <w:vAlign w:val="top"/>
          </w:tcPr>
          <w:p>
            <w:pPr>
              <w:widowControl w:val="0"/>
              <w:spacing w:before="0" w:beforeAutospacing="0" w:after="0" w:afterAutospacing="0" w:line="247" w:lineRule="auto"/>
              <w:ind w:left="0" w:right="0"/>
              <w:jc w:val="both"/>
              <w:rPr>
                <w:rFonts w:hint="default" w:ascii="Arial"/>
                <w:kern w:val="2"/>
                <w:sz w:val="21"/>
                <w:szCs w:val="21"/>
                <w:lang w:eastAsia="zh-CN" w:bidi="ar-SA"/>
              </w:rPr>
            </w:pPr>
          </w:p>
          <w:p>
            <w:pPr>
              <w:widowControl w:val="0"/>
              <w:spacing w:before="0" w:beforeAutospacing="0" w:after="0" w:afterAutospacing="0" w:line="247" w:lineRule="auto"/>
              <w:ind w:left="0" w:right="0"/>
              <w:jc w:val="both"/>
              <w:rPr>
                <w:rFonts w:hint="default" w:ascii="Arial"/>
                <w:kern w:val="2"/>
                <w:sz w:val="21"/>
                <w:szCs w:val="21"/>
                <w:lang w:eastAsia="zh-CN" w:bidi="ar-SA"/>
              </w:rPr>
            </w:pPr>
          </w:p>
          <w:p>
            <w:pPr>
              <w:widowControl w:val="0"/>
              <w:spacing w:before="75" w:beforeAutospacing="0" w:after="0" w:afterAutospacing="0"/>
              <w:ind w:left="369" w:right="0"/>
              <w:jc w:val="both"/>
              <w:rPr>
                <w:rFonts w:hint="default" w:ascii="宋体" w:hAnsi="宋体"/>
                <w:kern w:val="2"/>
                <w:sz w:val="23"/>
                <w:szCs w:val="23"/>
                <w:lang w:eastAsia="zh-CN" w:bidi="ar-SA"/>
              </w:rPr>
            </w:pPr>
            <w:r>
              <w:rPr>
                <w:rFonts w:hint="eastAsia" w:ascii="宋体" w:hAnsi="宋体"/>
                <w:spacing w:val="8"/>
                <w:kern w:val="2"/>
                <w:sz w:val="23"/>
                <w:szCs w:val="23"/>
                <w:lang w:eastAsia="zh-CN" w:bidi="ar-SA"/>
              </w:rPr>
              <w:t>联</w:t>
            </w:r>
            <w:r>
              <w:rPr>
                <w:rFonts w:hint="eastAsia" w:ascii="宋体" w:hAnsi="宋体"/>
                <w:spacing w:val="7"/>
                <w:kern w:val="2"/>
                <w:sz w:val="23"/>
                <w:szCs w:val="23"/>
                <w:lang w:eastAsia="zh-CN" w:bidi="ar-SA"/>
              </w:rPr>
              <w:t>系方式</w:t>
            </w:r>
          </w:p>
        </w:tc>
        <w:tc>
          <w:tcPr>
            <w:tcW w:w="1012" w:type="dxa"/>
            <w:gridSpan w:val="2"/>
            <w:tcBorders>
              <w:top w:val="single" w:color="000000" w:sz="2" w:space="0"/>
              <w:left w:val="nil"/>
              <w:bottom w:val="single" w:color="000000" w:sz="2" w:space="0"/>
              <w:right w:val="single" w:color="000000" w:sz="6" w:space="0"/>
            </w:tcBorders>
            <w:vAlign w:val="top"/>
          </w:tcPr>
          <w:p>
            <w:pPr>
              <w:widowControl w:val="0"/>
              <w:spacing w:before="224" w:beforeAutospacing="0" w:after="0" w:afterAutospacing="0"/>
              <w:ind w:left="143" w:right="0"/>
              <w:jc w:val="both"/>
              <w:rPr>
                <w:rFonts w:hint="default" w:ascii="宋体" w:hAnsi="宋体"/>
                <w:kern w:val="2"/>
                <w:sz w:val="23"/>
                <w:szCs w:val="23"/>
                <w:lang w:eastAsia="zh-CN" w:bidi="ar-SA"/>
              </w:rPr>
            </w:pPr>
            <w:r>
              <w:rPr>
                <w:rFonts w:hint="eastAsia" w:ascii="宋体" w:hAnsi="宋体"/>
                <w:spacing w:val="7"/>
                <w:kern w:val="2"/>
                <w:sz w:val="23"/>
                <w:szCs w:val="23"/>
                <w:lang w:eastAsia="zh-CN" w:bidi="ar-SA"/>
              </w:rPr>
              <w:t>联</w:t>
            </w:r>
            <w:r>
              <w:rPr>
                <w:rFonts w:hint="eastAsia" w:ascii="宋体" w:hAnsi="宋体"/>
                <w:spacing w:val="6"/>
                <w:kern w:val="2"/>
                <w:sz w:val="23"/>
                <w:szCs w:val="23"/>
                <w:lang w:eastAsia="zh-CN" w:bidi="ar-SA"/>
              </w:rPr>
              <w:t>系人</w:t>
            </w:r>
          </w:p>
        </w:tc>
        <w:tc>
          <w:tcPr>
            <w:tcW w:w="2221"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195" w:type="dxa"/>
            <w:gridSpan w:val="2"/>
            <w:tcBorders>
              <w:top w:val="single" w:color="000000" w:sz="2" w:space="0"/>
              <w:left w:val="nil"/>
              <w:bottom w:val="single" w:color="000000" w:sz="2" w:space="0"/>
              <w:right w:val="single" w:color="000000" w:sz="6" w:space="0"/>
            </w:tcBorders>
            <w:vAlign w:val="top"/>
          </w:tcPr>
          <w:p>
            <w:pPr>
              <w:widowControl w:val="0"/>
              <w:spacing w:before="224" w:beforeAutospacing="0" w:after="0" w:afterAutospacing="0"/>
              <w:ind w:left="389" w:right="0"/>
              <w:jc w:val="both"/>
              <w:rPr>
                <w:rFonts w:hint="default" w:ascii="宋体" w:hAnsi="宋体"/>
                <w:kern w:val="2"/>
                <w:sz w:val="23"/>
                <w:szCs w:val="23"/>
                <w:lang w:eastAsia="zh-CN" w:bidi="ar-SA"/>
              </w:rPr>
            </w:pPr>
            <w:r>
              <w:rPr>
                <w:rFonts w:hint="eastAsia" w:ascii="宋体" w:hAnsi="宋体"/>
                <w:spacing w:val="-10"/>
                <w:kern w:val="2"/>
                <w:sz w:val="23"/>
                <w:szCs w:val="23"/>
                <w:lang w:eastAsia="zh-CN" w:bidi="ar-SA"/>
              </w:rPr>
              <w:t>电</w:t>
            </w:r>
            <w:r>
              <w:rPr>
                <w:rFonts w:hint="eastAsia" w:ascii="宋体" w:hAnsi="宋体"/>
                <w:spacing w:val="-8"/>
                <w:kern w:val="2"/>
                <w:sz w:val="23"/>
                <w:szCs w:val="23"/>
                <w:lang w:eastAsia="zh-CN" w:bidi="ar-SA"/>
              </w:rPr>
              <w:t>话</w:t>
            </w:r>
          </w:p>
        </w:tc>
        <w:tc>
          <w:tcPr>
            <w:tcW w:w="2798" w:type="dxa"/>
            <w:gridSpan w:val="4"/>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1697" w:type="dxa"/>
            <w:vMerge w:val="continue"/>
            <w:tcBorders>
              <w:top w:val="nil"/>
              <w:left w:val="single" w:color="000000" w:sz="6" w:space="0"/>
              <w:bottom w:val="nil"/>
              <w:right w:val="single" w:color="000000" w:sz="6" w:space="0"/>
            </w:tcBorders>
            <w:vAlign w:val="center"/>
          </w:tcPr>
          <w:p>
            <w:pPr>
              <w:widowControl/>
              <w:spacing w:before="0" w:beforeAutospacing="0" w:after="0" w:afterAutospacing="0"/>
              <w:ind w:left="0" w:right="0"/>
              <w:rPr>
                <w:rFonts w:hint="default" w:ascii="宋体" w:hAnsi="宋体"/>
                <w:kern w:val="2"/>
                <w:sz w:val="23"/>
                <w:szCs w:val="23"/>
                <w:lang w:eastAsia="zh-CN" w:bidi="ar-SA"/>
              </w:rPr>
            </w:pPr>
          </w:p>
        </w:tc>
        <w:tc>
          <w:tcPr>
            <w:tcW w:w="1012" w:type="dxa"/>
            <w:gridSpan w:val="2"/>
            <w:tcBorders>
              <w:top w:val="single" w:color="000000" w:sz="2" w:space="0"/>
              <w:left w:val="nil"/>
              <w:bottom w:val="single" w:color="000000" w:sz="2" w:space="0"/>
              <w:right w:val="single" w:color="000000" w:sz="6" w:space="0"/>
            </w:tcBorders>
            <w:vAlign w:val="top"/>
          </w:tcPr>
          <w:p>
            <w:pPr>
              <w:widowControl w:val="0"/>
              <w:spacing w:before="224" w:beforeAutospacing="0" w:after="0" w:afterAutospacing="0"/>
              <w:ind w:left="260" w:right="0"/>
              <w:jc w:val="both"/>
              <w:rPr>
                <w:rFonts w:hint="default" w:ascii="宋体" w:hAnsi="宋体"/>
                <w:kern w:val="2"/>
                <w:sz w:val="23"/>
                <w:szCs w:val="23"/>
                <w:lang w:eastAsia="zh-CN" w:bidi="ar-SA"/>
              </w:rPr>
            </w:pPr>
            <w:r>
              <w:rPr>
                <w:rFonts w:hint="eastAsia" w:ascii="宋体" w:hAnsi="宋体"/>
                <w:spacing w:val="6"/>
                <w:kern w:val="2"/>
                <w:sz w:val="23"/>
                <w:szCs w:val="23"/>
                <w:lang w:eastAsia="zh-CN" w:bidi="ar-SA"/>
              </w:rPr>
              <w:t>传真</w:t>
            </w:r>
          </w:p>
        </w:tc>
        <w:tc>
          <w:tcPr>
            <w:tcW w:w="2221"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195" w:type="dxa"/>
            <w:gridSpan w:val="2"/>
            <w:tcBorders>
              <w:top w:val="single" w:color="000000" w:sz="2" w:space="0"/>
              <w:left w:val="nil"/>
              <w:bottom w:val="single" w:color="000000" w:sz="2" w:space="0"/>
              <w:right w:val="single" w:color="000000" w:sz="6" w:space="0"/>
            </w:tcBorders>
            <w:vAlign w:val="top"/>
          </w:tcPr>
          <w:p>
            <w:pPr>
              <w:widowControl w:val="0"/>
              <w:spacing w:before="225" w:beforeAutospacing="0" w:after="0" w:afterAutospacing="0"/>
              <w:ind w:left="379" w:right="0"/>
              <w:jc w:val="both"/>
              <w:rPr>
                <w:rFonts w:hint="default" w:ascii="宋体" w:hAnsi="宋体"/>
                <w:kern w:val="2"/>
                <w:sz w:val="23"/>
                <w:szCs w:val="23"/>
                <w:lang w:eastAsia="zh-CN" w:bidi="ar-SA"/>
              </w:rPr>
            </w:pPr>
            <w:r>
              <w:rPr>
                <w:rFonts w:hint="eastAsia" w:ascii="宋体" w:hAnsi="宋体"/>
                <w:spacing w:val="-5"/>
                <w:kern w:val="2"/>
                <w:sz w:val="23"/>
                <w:szCs w:val="23"/>
                <w:lang w:eastAsia="zh-CN" w:bidi="ar-SA"/>
              </w:rPr>
              <w:t>网</w:t>
            </w:r>
            <w:r>
              <w:rPr>
                <w:rFonts w:hint="eastAsia" w:ascii="宋体" w:hAnsi="宋体"/>
                <w:spacing w:val="-4"/>
                <w:kern w:val="2"/>
                <w:sz w:val="23"/>
                <w:szCs w:val="23"/>
                <w:lang w:eastAsia="zh-CN" w:bidi="ar-SA"/>
              </w:rPr>
              <w:t>址</w:t>
            </w:r>
          </w:p>
        </w:tc>
        <w:tc>
          <w:tcPr>
            <w:tcW w:w="2798" w:type="dxa"/>
            <w:gridSpan w:val="4"/>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226" w:beforeAutospacing="0" w:after="0" w:afterAutospacing="0"/>
              <w:ind w:left="371" w:right="0"/>
              <w:jc w:val="both"/>
              <w:rPr>
                <w:rFonts w:hint="default" w:ascii="宋体" w:hAnsi="宋体"/>
                <w:kern w:val="2"/>
                <w:sz w:val="23"/>
                <w:szCs w:val="23"/>
                <w:lang w:eastAsia="zh-CN" w:bidi="ar-SA"/>
              </w:rPr>
            </w:pPr>
            <w:r>
              <w:rPr>
                <w:rFonts w:hint="eastAsia" w:ascii="宋体" w:hAnsi="宋体"/>
                <w:spacing w:val="7"/>
                <w:kern w:val="2"/>
                <w:sz w:val="23"/>
                <w:szCs w:val="23"/>
                <w:lang w:eastAsia="zh-CN" w:bidi="ar-SA"/>
              </w:rPr>
              <w:t>组织结</w:t>
            </w:r>
            <w:r>
              <w:rPr>
                <w:rFonts w:hint="eastAsia" w:ascii="宋体" w:hAnsi="宋体"/>
                <w:spacing w:val="6"/>
                <w:kern w:val="2"/>
                <w:sz w:val="23"/>
                <w:szCs w:val="23"/>
                <w:lang w:eastAsia="zh-CN" w:bidi="ar-SA"/>
              </w:rPr>
              <w:t>构</w:t>
            </w:r>
          </w:p>
        </w:tc>
        <w:tc>
          <w:tcPr>
            <w:tcW w:w="7226" w:type="dxa"/>
            <w:gridSpan w:val="10"/>
            <w:tcBorders>
              <w:top w:val="single" w:color="000000" w:sz="2" w:space="0"/>
              <w:left w:val="nil"/>
              <w:bottom w:val="single" w:color="000000" w:sz="2" w:space="0"/>
              <w:right w:val="single" w:color="000000" w:sz="6" w:space="0"/>
            </w:tcBorders>
            <w:vAlign w:val="top"/>
          </w:tcPr>
          <w:p>
            <w:pPr>
              <w:widowControl w:val="0"/>
              <w:spacing w:before="226" w:beforeAutospacing="0" w:after="0" w:afterAutospacing="0"/>
              <w:ind w:left="3389" w:right="0"/>
              <w:jc w:val="both"/>
              <w:rPr>
                <w:rFonts w:hint="default" w:ascii="宋体" w:hAnsi="宋体"/>
                <w:kern w:val="2"/>
                <w:sz w:val="23"/>
                <w:szCs w:val="23"/>
                <w:lang w:eastAsia="zh-CN" w:bidi="ar-SA"/>
              </w:rPr>
            </w:pPr>
            <w:r>
              <w:rPr>
                <w:rFonts w:hint="eastAsia" w:ascii="宋体" w:hAnsi="宋体"/>
                <w:spacing w:val="-5"/>
                <w:kern w:val="2"/>
                <w:sz w:val="23"/>
                <w:szCs w:val="23"/>
                <w:lang w:eastAsia="zh-CN" w:bidi="ar-SA"/>
              </w:rPr>
              <w:t>附</w:t>
            </w:r>
            <w:r>
              <w:rPr>
                <w:rFonts w:hint="eastAsia" w:ascii="宋体" w:hAnsi="宋体"/>
                <w:spacing w:val="-4"/>
                <w:kern w:val="2"/>
                <w:sz w:val="23"/>
                <w:szCs w:val="23"/>
                <w:lang w:eastAsia="zh-CN" w:bidi="ar-SA"/>
              </w:rPr>
              <w:t>后</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51"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120" w:beforeAutospacing="0" w:after="0" w:afterAutospacing="0" w:line="468" w:lineRule="exact"/>
              <w:ind w:left="189" w:right="0"/>
              <w:jc w:val="both"/>
              <w:rPr>
                <w:rFonts w:hint="default" w:ascii="宋体" w:hAnsi="宋体"/>
                <w:kern w:val="2"/>
                <w:sz w:val="23"/>
                <w:szCs w:val="23"/>
                <w:lang w:eastAsia="zh-CN" w:bidi="ar-SA"/>
              </w:rPr>
            </w:pPr>
            <w:r>
              <w:rPr>
                <w:rFonts w:hint="eastAsia" w:ascii="宋体" w:hAnsi="宋体"/>
                <w:spacing w:val="9"/>
                <w:kern w:val="2"/>
                <w:position w:val="17"/>
                <w:sz w:val="23"/>
                <w:szCs w:val="23"/>
                <w:lang w:eastAsia="zh-CN" w:bidi="ar-SA"/>
              </w:rPr>
              <w:t>法</w:t>
            </w:r>
            <w:r>
              <w:rPr>
                <w:rFonts w:hint="eastAsia" w:ascii="宋体" w:hAnsi="宋体"/>
                <w:spacing w:val="7"/>
                <w:kern w:val="2"/>
                <w:position w:val="17"/>
                <w:sz w:val="23"/>
                <w:szCs w:val="23"/>
                <w:lang w:eastAsia="zh-CN" w:bidi="ar-SA"/>
              </w:rPr>
              <w:t>定代表人/</w:t>
            </w:r>
          </w:p>
          <w:p>
            <w:pPr>
              <w:widowControl w:val="0"/>
              <w:spacing w:before="0" w:beforeAutospacing="0" w:after="0" w:afterAutospacing="0"/>
              <w:ind w:left="497" w:right="0"/>
              <w:jc w:val="both"/>
              <w:rPr>
                <w:rFonts w:hint="default" w:ascii="宋体" w:hAnsi="宋体"/>
                <w:kern w:val="2"/>
                <w:sz w:val="23"/>
                <w:szCs w:val="23"/>
                <w:lang w:eastAsia="zh-CN" w:bidi="ar-SA"/>
              </w:rPr>
            </w:pPr>
            <w:r>
              <w:rPr>
                <w:rFonts w:hint="eastAsia" w:ascii="宋体" w:hAnsi="宋体"/>
                <w:spacing w:val="5"/>
                <w:kern w:val="2"/>
                <w:sz w:val="23"/>
                <w:szCs w:val="23"/>
                <w:lang w:eastAsia="zh-CN" w:bidi="ar-SA"/>
              </w:rPr>
              <w:t>负</w:t>
            </w:r>
            <w:r>
              <w:rPr>
                <w:rFonts w:hint="eastAsia" w:ascii="宋体" w:hAnsi="宋体"/>
                <w:spacing w:val="3"/>
                <w:kern w:val="2"/>
                <w:sz w:val="23"/>
                <w:szCs w:val="23"/>
                <w:lang w:eastAsia="zh-CN" w:bidi="ar-SA"/>
              </w:rPr>
              <w:t>责人</w:t>
            </w:r>
          </w:p>
        </w:tc>
        <w:tc>
          <w:tcPr>
            <w:tcW w:w="867"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278" w:lineRule="auto"/>
              <w:ind w:left="0" w:right="0"/>
              <w:jc w:val="both"/>
              <w:rPr>
                <w:rFonts w:hint="default" w:ascii="Arial"/>
                <w:kern w:val="2"/>
                <w:sz w:val="21"/>
                <w:szCs w:val="21"/>
                <w:lang w:eastAsia="zh-CN" w:bidi="ar-SA"/>
              </w:rPr>
            </w:pPr>
          </w:p>
          <w:p>
            <w:pPr>
              <w:widowControl w:val="0"/>
              <w:spacing w:before="75" w:beforeAutospacing="0" w:after="0" w:afterAutospacing="0"/>
              <w:ind w:left="190" w:right="0"/>
              <w:jc w:val="both"/>
              <w:rPr>
                <w:rFonts w:hint="default" w:ascii="宋体" w:hAnsi="宋体"/>
                <w:kern w:val="2"/>
                <w:sz w:val="23"/>
                <w:szCs w:val="23"/>
                <w:lang w:eastAsia="zh-CN" w:bidi="ar-SA"/>
              </w:rPr>
            </w:pPr>
            <w:r>
              <w:rPr>
                <w:rFonts w:hint="eastAsia" w:ascii="宋体" w:hAnsi="宋体"/>
                <w:spacing w:val="5"/>
                <w:kern w:val="2"/>
                <w:sz w:val="23"/>
                <w:szCs w:val="23"/>
                <w:lang w:eastAsia="zh-CN" w:bidi="ar-SA"/>
              </w:rPr>
              <w:t>姓名</w:t>
            </w:r>
          </w:p>
        </w:tc>
        <w:tc>
          <w:tcPr>
            <w:tcW w:w="1222"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87"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278" w:lineRule="auto"/>
              <w:ind w:left="0" w:right="0"/>
              <w:jc w:val="both"/>
              <w:rPr>
                <w:rFonts w:hint="default" w:ascii="Arial"/>
                <w:kern w:val="2"/>
                <w:sz w:val="21"/>
                <w:szCs w:val="21"/>
                <w:lang w:eastAsia="zh-CN" w:bidi="ar-SA"/>
              </w:rPr>
            </w:pPr>
          </w:p>
          <w:p>
            <w:pPr>
              <w:widowControl w:val="0"/>
              <w:spacing w:before="75" w:beforeAutospacing="0" w:after="0" w:afterAutospacing="0"/>
              <w:ind w:left="166" w:right="0"/>
              <w:jc w:val="both"/>
              <w:rPr>
                <w:rFonts w:hint="default" w:ascii="宋体" w:hAnsi="宋体"/>
                <w:kern w:val="2"/>
                <w:sz w:val="23"/>
                <w:szCs w:val="23"/>
                <w:lang w:eastAsia="zh-CN" w:bidi="ar-SA"/>
              </w:rPr>
            </w:pPr>
            <w:r>
              <w:rPr>
                <w:rFonts w:hint="eastAsia" w:ascii="宋体" w:hAnsi="宋体"/>
                <w:spacing w:val="8"/>
                <w:kern w:val="2"/>
                <w:sz w:val="23"/>
                <w:szCs w:val="23"/>
                <w:lang w:eastAsia="zh-CN" w:bidi="ar-SA"/>
              </w:rPr>
              <w:t>技</w:t>
            </w:r>
            <w:r>
              <w:rPr>
                <w:rFonts w:hint="eastAsia" w:ascii="宋体" w:hAnsi="宋体"/>
                <w:spacing w:val="7"/>
                <w:kern w:val="2"/>
                <w:sz w:val="23"/>
                <w:szCs w:val="23"/>
                <w:lang w:eastAsia="zh-CN" w:bidi="ar-SA"/>
              </w:rPr>
              <w:t>术职称</w:t>
            </w:r>
          </w:p>
        </w:tc>
        <w:tc>
          <w:tcPr>
            <w:tcW w:w="1732"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979"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276" w:lineRule="auto"/>
              <w:ind w:left="0" w:right="0"/>
              <w:jc w:val="both"/>
              <w:rPr>
                <w:rFonts w:hint="default" w:ascii="Arial"/>
                <w:kern w:val="2"/>
                <w:sz w:val="21"/>
                <w:szCs w:val="21"/>
                <w:lang w:eastAsia="zh-CN" w:bidi="ar-SA"/>
              </w:rPr>
            </w:pPr>
          </w:p>
          <w:p>
            <w:pPr>
              <w:widowControl w:val="0"/>
              <w:spacing w:before="75" w:beforeAutospacing="0" w:after="0" w:afterAutospacing="0"/>
              <w:ind w:left="282" w:right="0"/>
              <w:jc w:val="both"/>
              <w:rPr>
                <w:rFonts w:hint="default" w:ascii="宋体" w:hAnsi="宋体"/>
                <w:kern w:val="2"/>
                <w:sz w:val="23"/>
                <w:szCs w:val="23"/>
                <w:lang w:eastAsia="zh-CN" w:bidi="ar-SA"/>
              </w:rPr>
            </w:pPr>
            <w:r>
              <w:rPr>
                <w:rFonts w:hint="eastAsia" w:ascii="宋体" w:hAnsi="宋体"/>
                <w:spacing w:val="-10"/>
                <w:kern w:val="2"/>
                <w:sz w:val="23"/>
                <w:szCs w:val="23"/>
                <w:lang w:eastAsia="zh-CN" w:bidi="ar-SA"/>
              </w:rPr>
              <w:t>电</w:t>
            </w:r>
            <w:r>
              <w:rPr>
                <w:rFonts w:hint="eastAsia" w:ascii="宋体" w:hAnsi="宋体"/>
                <w:spacing w:val="-8"/>
                <w:kern w:val="2"/>
                <w:sz w:val="23"/>
                <w:szCs w:val="23"/>
                <w:lang w:eastAsia="zh-CN" w:bidi="ar-SA"/>
              </w:rPr>
              <w:t>话</w:t>
            </w:r>
          </w:p>
        </w:tc>
        <w:tc>
          <w:tcPr>
            <w:tcW w:w="113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224" w:beforeAutospacing="0" w:after="0" w:afterAutospacing="0"/>
              <w:ind w:left="370" w:right="0"/>
              <w:jc w:val="both"/>
              <w:rPr>
                <w:rFonts w:hint="default" w:ascii="宋体" w:hAnsi="宋体"/>
                <w:kern w:val="2"/>
                <w:sz w:val="23"/>
                <w:szCs w:val="23"/>
                <w:lang w:eastAsia="zh-CN" w:bidi="ar-SA"/>
              </w:rPr>
            </w:pPr>
            <w:r>
              <w:rPr>
                <w:rFonts w:hint="eastAsia" w:ascii="宋体" w:hAnsi="宋体"/>
                <w:spacing w:val="7"/>
                <w:kern w:val="2"/>
                <w:sz w:val="23"/>
                <w:szCs w:val="23"/>
                <w:lang w:eastAsia="zh-CN" w:bidi="ar-SA"/>
              </w:rPr>
              <w:t>成立时间</w:t>
            </w:r>
          </w:p>
        </w:tc>
        <w:tc>
          <w:tcPr>
            <w:tcW w:w="2089" w:type="dxa"/>
            <w:gridSpan w:val="3"/>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5137" w:type="dxa"/>
            <w:gridSpan w:val="7"/>
            <w:tcBorders>
              <w:top w:val="single" w:color="000000" w:sz="2" w:space="0"/>
              <w:left w:val="nil"/>
              <w:bottom w:val="single" w:color="000000" w:sz="2" w:space="0"/>
              <w:right w:val="single" w:color="000000" w:sz="6" w:space="0"/>
            </w:tcBorders>
            <w:vAlign w:val="top"/>
          </w:tcPr>
          <w:p>
            <w:pPr>
              <w:widowControl w:val="0"/>
              <w:spacing w:before="225" w:beforeAutospacing="0" w:after="0" w:afterAutospacing="0"/>
              <w:ind w:left="1857" w:right="0"/>
              <w:jc w:val="both"/>
              <w:rPr>
                <w:rFonts w:hint="default" w:ascii="宋体" w:hAnsi="宋体"/>
                <w:kern w:val="2"/>
                <w:sz w:val="23"/>
                <w:szCs w:val="23"/>
                <w:lang w:eastAsia="zh-CN" w:bidi="ar-SA"/>
              </w:rPr>
            </w:pPr>
            <w:r>
              <w:rPr>
                <w:rFonts w:hint="eastAsia" w:ascii="宋体" w:hAnsi="宋体"/>
                <w:spacing w:val="6"/>
                <w:kern w:val="2"/>
                <w:sz w:val="23"/>
                <w:szCs w:val="23"/>
                <w:lang w:eastAsia="zh-CN" w:bidi="ar-SA"/>
              </w:rPr>
              <w:t>员</w:t>
            </w:r>
            <w:r>
              <w:rPr>
                <w:rFonts w:hint="eastAsia" w:ascii="宋体" w:hAnsi="宋体"/>
                <w:spacing w:val="5"/>
                <w:kern w:val="2"/>
                <w:sz w:val="23"/>
                <w:szCs w:val="23"/>
                <w:lang w:eastAsia="zh-CN" w:bidi="ar-SA"/>
              </w:rPr>
              <w:t>工总人数：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225" w:beforeAutospacing="0" w:after="0" w:afterAutospacing="0"/>
              <w:ind w:left="256" w:right="0"/>
              <w:jc w:val="both"/>
              <w:rPr>
                <w:rFonts w:hint="default" w:ascii="宋体" w:hAnsi="宋体"/>
                <w:kern w:val="2"/>
                <w:sz w:val="23"/>
                <w:szCs w:val="23"/>
                <w:lang w:eastAsia="zh-CN" w:bidi="ar-SA"/>
              </w:rPr>
            </w:pPr>
            <w:r>
              <w:rPr>
                <w:rFonts w:hint="eastAsia" w:ascii="宋体" w:hAnsi="宋体"/>
                <w:spacing w:val="9"/>
                <w:kern w:val="2"/>
                <w:sz w:val="23"/>
                <w:szCs w:val="23"/>
                <w:lang w:eastAsia="zh-CN" w:bidi="ar-SA"/>
              </w:rPr>
              <w:t>营</w:t>
            </w:r>
            <w:r>
              <w:rPr>
                <w:rFonts w:hint="eastAsia" w:ascii="宋体" w:hAnsi="宋体"/>
                <w:spacing w:val="6"/>
                <w:kern w:val="2"/>
                <w:sz w:val="23"/>
                <w:szCs w:val="23"/>
                <w:lang w:eastAsia="zh-CN" w:bidi="ar-SA"/>
              </w:rPr>
              <w:t>业执照号</w:t>
            </w:r>
          </w:p>
        </w:tc>
        <w:tc>
          <w:tcPr>
            <w:tcW w:w="2089" w:type="dxa"/>
            <w:gridSpan w:val="3"/>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144" w:type="dxa"/>
            <w:vMerge w:val="restart"/>
            <w:tcBorders>
              <w:top w:val="nil"/>
              <w:left w:val="nil"/>
              <w:bottom w:val="nil"/>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2178" w:type="dxa"/>
            <w:gridSpan w:val="4"/>
            <w:tcBorders>
              <w:top w:val="single" w:color="000000" w:sz="2" w:space="0"/>
              <w:left w:val="nil"/>
              <w:bottom w:val="single" w:color="000000" w:sz="2" w:space="0"/>
              <w:right w:val="single" w:color="000000" w:sz="6" w:space="0"/>
            </w:tcBorders>
            <w:vAlign w:val="top"/>
          </w:tcPr>
          <w:p>
            <w:pPr>
              <w:widowControl w:val="0"/>
              <w:spacing w:before="225" w:beforeAutospacing="0" w:after="0" w:afterAutospacing="0"/>
              <w:ind w:left="379" w:right="0"/>
              <w:jc w:val="both"/>
              <w:rPr>
                <w:rFonts w:hint="default" w:ascii="宋体" w:hAnsi="宋体"/>
                <w:kern w:val="2"/>
                <w:sz w:val="23"/>
                <w:szCs w:val="23"/>
                <w:lang w:eastAsia="zh-CN" w:bidi="ar-SA"/>
              </w:rPr>
            </w:pPr>
            <w:r>
              <w:rPr>
                <w:rFonts w:hint="eastAsia" w:ascii="宋体" w:hAnsi="宋体"/>
                <w:spacing w:val="9"/>
                <w:kern w:val="2"/>
                <w:sz w:val="23"/>
                <w:szCs w:val="23"/>
                <w:lang w:eastAsia="zh-CN" w:bidi="ar-SA"/>
              </w:rPr>
              <w:t>高</w:t>
            </w:r>
            <w:r>
              <w:rPr>
                <w:rFonts w:hint="eastAsia" w:ascii="宋体" w:hAnsi="宋体"/>
                <w:spacing w:val="7"/>
                <w:kern w:val="2"/>
                <w:sz w:val="23"/>
                <w:szCs w:val="23"/>
                <w:lang w:eastAsia="zh-CN" w:bidi="ar-SA"/>
              </w:rPr>
              <w:t>级职称人员</w:t>
            </w:r>
          </w:p>
        </w:tc>
        <w:tc>
          <w:tcPr>
            <w:tcW w:w="1815"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694"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226" w:beforeAutospacing="0" w:after="0" w:afterAutospacing="0"/>
              <w:ind w:left="368" w:right="0"/>
              <w:jc w:val="both"/>
              <w:rPr>
                <w:rFonts w:hint="default" w:ascii="宋体" w:hAnsi="宋体"/>
                <w:kern w:val="2"/>
                <w:sz w:val="23"/>
                <w:szCs w:val="23"/>
                <w:lang w:eastAsia="zh-CN" w:bidi="ar-SA"/>
              </w:rPr>
            </w:pPr>
            <w:r>
              <w:rPr>
                <w:rFonts w:hint="eastAsia" w:ascii="宋体" w:hAnsi="宋体"/>
                <w:spacing w:val="9"/>
                <w:kern w:val="2"/>
                <w:sz w:val="23"/>
                <w:szCs w:val="23"/>
                <w:lang w:eastAsia="zh-CN" w:bidi="ar-SA"/>
              </w:rPr>
              <w:t>注</w:t>
            </w:r>
            <w:r>
              <w:rPr>
                <w:rFonts w:hint="eastAsia" w:ascii="宋体" w:hAnsi="宋体"/>
                <w:spacing w:val="7"/>
                <w:kern w:val="2"/>
                <w:sz w:val="23"/>
                <w:szCs w:val="23"/>
                <w:lang w:eastAsia="zh-CN" w:bidi="ar-SA"/>
              </w:rPr>
              <w:t>册资金</w:t>
            </w:r>
          </w:p>
        </w:tc>
        <w:tc>
          <w:tcPr>
            <w:tcW w:w="2089" w:type="dxa"/>
            <w:gridSpan w:val="3"/>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144" w:type="dxa"/>
            <w:vMerge w:val="continue"/>
            <w:tcBorders>
              <w:top w:val="nil"/>
              <w:left w:val="nil"/>
              <w:bottom w:val="nil"/>
              <w:right w:val="single" w:color="000000" w:sz="6" w:space="0"/>
            </w:tcBorders>
            <w:vAlign w:val="center"/>
          </w:tcPr>
          <w:p>
            <w:pPr>
              <w:widowControl/>
              <w:spacing w:before="0" w:beforeAutospacing="0" w:after="0" w:afterAutospacing="0"/>
              <w:ind w:left="0" w:right="0"/>
              <w:rPr>
                <w:rFonts w:hint="default" w:ascii="Arial"/>
                <w:kern w:val="2"/>
                <w:sz w:val="21"/>
                <w:szCs w:val="21"/>
                <w:lang w:eastAsia="zh-CN" w:bidi="ar-SA"/>
              </w:rPr>
            </w:pPr>
          </w:p>
        </w:tc>
        <w:tc>
          <w:tcPr>
            <w:tcW w:w="2178" w:type="dxa"/>
            <w:gridSpan w:val="4"/>
            <w:tcBorders>
              <w:top w:val="single" w:color="000000" w:sz="2" w:space="0"/>
              <w:left w:val="nil"/>
              <w:bottom w:val="single" w:color="000000" w:sz="2" w:space="0"/>
              <w:right w:val="single" w:color="000000" w:sz="6" w:space="0"/>
            </w:tcBorders>
            <w:vAlign w:val="top"/>
          </w:tcPr>
          <w:p>
            <w:pPr>
              <w:widowControl w:val="0"/>
              <w:spacing w:before="226" w:beforeAutospacing="0" w:after="0" w:afterAutospacing="0"/>
              <w:ind w:left="395" w:right="0"/>
              <w:jc w:val="both"/>
              <w:rPr>
                <w:rFonts w:hint="default" w:ascii="宋体" w:hAnsi="宋体"/>
                <w:kern w:val="2"/>
                <w:sz w:val="23"/>
                <w:szCs w:val="23"/>
                <w:lang w:eastAsia="zh-CN" w:bidi="ar-SA"/>
              </w:rPr>
            </w:pPr>
            <w:r>
              <w:rPr>
                <w:rFonts w:hint="eastAsia" w:ascii="宋体" w:hAnsi="宋体"/>
                <w:spacing w:val="8"/>
                <w:kern w:val="2"/>
                <w:sz w:val="23"/>
                <w:szCs w:val="23"/>
                <w:lang w:eastAsia="zh-CN" w:bidi="ar-SA"/>
              </w:rPr>
              <w:t>中</w:t>
            </w:r>
            <w:r>
              <w:rPr>
                <w:rFonts w:hint="eastAsia" w:ascii="宋体" w:hAnsi="宋体"/>
                <w:spacing w:val="4"/>
                <w:kern w:val="2"/>
                <w:sz w:val="23"/>
                <w:szCs w:val="23"/>
                <w:lang w:eastAsia="zh-CN" w:bidi="ar-SA"/>
              </w:rPr>
              <w:t>级职称人员</w:t>
            </w:r>
          </w:p>
        </w:tc>
        <w:tc>
          <w:tcPr>
            <w:tcW w:w="1815"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7"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line="304" w:lineRule="auto"/>
              <w:ind w:left="0" w:right="0"/>
              <w:jc w:val="both"/>
              <w:rPr>
                <w:rFonts w:hint="default" w:ascii="Arial"/>
                <w:kern w:val="2"/>
                <w:sz w:val="21"/>
                <w:szCs w:val="21"/>
                <w:lang w:eastAsia="zh-CN" w:bidi="ar-SA"/>
              </w:rPr>
            </w:pPr>
          </w:p>
          <w:p>
            <w:pPr>
              <w:widowControl w:val="0"/>
              <w:spacing w:before="75" w:beforeAutospacing="0" w:after="0" w:afterAutospacing="0"/>
              <w:ind w:left="369" w:right="0"/>
              <w:jc w:val="both"/>
              <w:rPr>
                <w:rFonts w:hint="default" w:ascii="宋体" w:hAnsi="宋体"/>
                <w:kern w:val="2"/>
                <w:sz w:val="23"/>
                <w:szCs w:val="23"/>
                <w:lang w:eastAsia="zh-CN" w:bidi="ar-SA"/>
              </w:rPr>
            </w:pPr>
            <w:r>
              <w:rPr>
                <w:rFonts w:hint="eastAsia" w:ascii="宋体" w:hAnsi="宋体"/>
                <w:spacing w:val="8"/>
                <w:kern w:val="2"/>
                <w:sz w:val="23"/>
                <w:szCs w:val="23"/>
                <w:lang w:eastAsia="zh-CN" w:bidi="ar-SA"/>
              </w:rPr>
              <w:t>开</w:t>
            </w:r>
            <w:r>
              <w:rPr>
                <w:rFonts w:hint="eastAsia" w:ascii="宋体" w:hAnsi="宋体"/>
                <w:spacing w:val="7"/>
                <w:kern w:val="2"/>
                <w:sz w:val="23"/>
                <w:szCs w:val="23"/>
                <w:lang w:eastAsia="zh-CN" w:bidi="ar-SA"/>
              </w:rPr>
              <w:t>户银行</w:t>
            </w:r>
          </w:p>
        </w:tc>
        <w:tc>
          <w:tcPr>
            <w:tcW w:w="2089" w:type="dxa"/>
            <w:gridSpan w:val="3"/>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144" w:type="dxa"/>
            <w:vMerge w:val="continue"/>
            <w:tcBorders>
              <w:top w:val="nil"/>
              <w:left w:val="nil"/>
              <w:bottom w:val="nil"/>
              <w:right w:val="single" w:color="000000" w:sz="6" w:space="0"/>
            </w:tcBorders>
            <w:vAlign w:val="center"/>
          </w:tcPr>
          <w:p>
            <w:pPr>
              <w:widowControl/>
              <w:spacing w:before="0" w:beforeAutospacing="0" w:after="0" w:afterAutospacing="0"/>
              <w:ind w:left="0" w:right="0"/>
              <w:rPr>
                <w:rFonts w:hint="default" w:ascii="Arial"/>
                <w:kern w:val="2"/>
                <w:sz w:val="21"/>
                <w:szCs w:val="21"/>
                <w:lang w:eastAsia="zh-CN" w:bidi="ar-SA"/>
              </w:rPr>
            </w:pPr>
          </w:p>
        </w:tc>
        <w:tc>
          <w:tcPr>
            <w:tcW w:w="2178" w:type="dxa"/>
            <w:gridSpan w:val="4"/>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302" w:lineRule="auto"/>
              <w:ind w:left="0" w:right="0"/>
              <w:jc w:val="both"/>
              <w:rPr>
                <w:rFonts w:hint="default" w:ascii="Arial"/>
                <w:kern w:val="2"/>
                <w:sz w:val="21"/>
                <w:szCs w:val="21"/>
                <w:lang w:eastAsia="zh-CN" w:bidi="ar-SA"/>
              </w:rPr>
            </w:pPr>
          </w:p>
          <w:p>
            <w:pPr>
              <w:widowControl w:val="0"/>
              <w:spacing w:before="75" w:beforeAutospacing="0" w:after="0" w:afterAutospacing="0"/>
              <w:ind w:left="372" w:right="0"/>
              <w:jc w:val="both"/>
              <w:rPr>
                <w:rFonts w:hint="default" w:ascii="宋体" w:hAnsi="宋体"/>
                <w:kern w:val="2"/>
                <w:sz w:val="23"/>
                <w:szCs w:val="23"/>
                <w:lang w:eastAsia="zh-CN" w:bidi="ar-SA"/>
              </w:rPr>
            </w:pPr>
            <w:r>
              <w:rPr>
                <w:rFonts w:hint="eastAsia" w:ascii="宋体" w:hAnsi="宋体"/>
                <w:spacing w:val="11"/>
                <w:kern w:val="2"/>
                <w:sz w:val="23"/>
                <w:szCs w:val="23"/>
                <w:lang w:eastAsia="zh-CN" w:bidi="ar-SA"/>
              </w:rPr>
              <w:t>初</w:t>
            </w:r>
            <w:r>
              <w:rPr>
                <w:rFonts w:hint="eastAsia" w:ascii="宋体" w:hAnsi="宋体"/>
                <w:spacing w:val="8"/>
                <w:kern w:val="2"/>
                <w:sz w:val="23"/>
                <w:szCs w:val="23"/>
                <w:lang w:eastAsia="zh-CN" w:bidi="ar-SA"/>
              </w:rPr>
              <w:t>级职称人员</w:t>
            </w:r>
          </w:p>
        </w:tc>
        <w:tc>
          <w:tcPr>
            <w:tcW w:w="1815"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000"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line="302" w:lineRule="auto"/>
              <w:ind w:left="0" w:right="0"/>
              <w:jc w:val="both"/>
              <w:rPr>
                <w:rFonts w:hint="default" w:ascii="Arial"/>
                <w:kern w:val="2"/>
                <w:sz w:val="21"/>
                <w:szCs w:val="21"/>
                <w:lang w:eastAsia="zh-CN" w:bidi="ar-SA"/>
              </w:rPr>
            </w:pPr>
          </w:p>
          <w:p>
            <w:pPr>
              <w:widowControl w:val="0"/>
              <w:spacing w:before="75" w:beforeAutospacing="0" w:after="0" w:afterAutospacing="0"/>
              <w:ind w:left="612" w:right="0"/>
              <w:jc w:val="both"/>
              <w:rPr>
                <w:rFonts w:hint="default" w:ascii="宋体" w:hAnsi="宋体"/>
                <w:kern w:val="2"/>
                <w:sz w:val="23"/>
                <w:szCs w:val="23"/>
                <w:lang w:eastAsia="zh-CN" w:bidi="ar-SA"/>
              </w:rPr>
            </w:pPr>
            <w:r>
              <w:rPr>
                <w:rFonts w:hint="eastAsia" w:ascii="宋体" w:hAnsi="宋体"/>
                <w:spacing w:val="3"/>
                <w:kern w:val="2"/>
                <w:sz w:val="23"/>
                <w:szCs w:val="23"/>
                <w:lang w:eastAsia="zh-CN" w:bidi="ar-SA"/>
              </w:rPr>
              <w:t>账号</w:t>
            </w:r>
          </w:p>
        </w:tc>
        <w:tc>
          <w:tcPr>
            <w:tcW w:w="2089" w:type="dxa"/>
            <w:gridSpan w:val="3"/>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144" w:type="dxa"/>
            <w:vMerge w:val="continue"/>
            <w:tcBorders>
              <w:top w:val="nil"/>
              <w:left w:val="nil"/>
              <w:bottom w:val="nil"/>
              <w:right w:val="single" w:color="000000" w:sz="6" w:space="0"/>
            </w:tcBorders>
            <w:vAlign w:val="center"/>
          </w:tcPr>
          <w:p>
            <w:pPr>
              <w:widowControl/>
              <w:spacing w:before="0" w:beforeAutospacing="0" w:after="0" w:afterAutospacing="0"/>
              <w:ind w:left="0" w:right="0"/>
              <w:rPr>
                <w:rFonts w:hint="default" w:ascii="Arial"/>
                <w:kern w:val="2"/>
                <w:sz w:val="21"/>
                <w:szCs w:val="21"/>
                <w:lang w:eastAsia="zh-CN" w:bidi="ar-SA"/>
              </w:rPr>
            </w:pPr>
          </w:p>
        </w:tc>
        <w:tc>
          <w:tcPr>
            <w:tcW w:w="2178" w:type="dxa"/>
            <w:gridSpan w:val="4"/>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302" w:lineRule="auto"/>
              <w:ind w:left="0" w:right="0"/>
              <w:jc w:val="both"/>
              <w:rPr>
                <w:rFonts w:hint="default" w:ascii="Arial"/>
                <w:kern w:val="2"/>
                <w:sz w:val="21"/>
                <w:szCs w:val="21"/>
                <w:lang w:eastAsia="zh-CN" w:bidi="ar-SA"/>
              </w:rPr>
            </w:pPr>
          </w:p>
          <w:p>
            <w:pPr>
              <w:widowControl w:val="0"/>
              <w:spacing w:before="75" w:beforeAutospacing="0" w:after="0" w:afterAutospacing="0"/>
              <w:ind w:left="853" w:right="0"/>
              <w:jc w:val="both"/>
              <w:rPr>
                <w:rFonts w:hint="default" w:ascii="宋体" w:hAnsi="宋体"/>
                <w:kern w:val="2"/>
                <w:sz w:val="23"/>
                <w:szCs w:val="23"/>
                <w:lang w:eastAsia="zh-CN" w:bidi="ar-SA"/>
              </w:rPr>
            </w:pPr>
            <w:r>
              <w:rPr>
                <w:rFonts w:hint="eastAsia" w:ascii="宋体" w:hAnsi="宋体"/>
                <w:spacing w:val="5"/>
                <w:kern w:val="2"/>
                <w:sz w:val="23"/>
                <w:szCs w:val="23"/>
                <w:lang w:eastAsia="zh-CN" w:bidi="ar-SA"/>
              </w:rPr>
              <w:t>技</w:t>
            </w:r>
            <w:r>
              <w:rPr>
                <w:rFonts w:hint="eastAsia" w:ascii="宋体" w:hAnsi="宋体"/>
                <w:spacing w:val="4"/>
                <w:kern w:val="2"/>
                <w:sz w:val="23"/>
                <w:szCs w:val="23"/>
                <w:lang w:eastAsia="zh-CN" w:bidi="ar-SA"/>
              </w:rPr>
              <w:t>工</w:t>
            </w:r>
          </w:p>
        </w:tc>
        <w:tc>
          <w:tcPr>
            <w:tcW w:w="1815" w:type="dxa"/>
            <w:gridSpan w:val="2"/>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1221"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line="412" w:lineRule="auto"/>
              <w:ind w:left="0" w:right="0"/>
              <w:jc w:val="both"/>
              <w:rPr>
                <w:rFonts w:hint="default" w:ascii="Arial"/>
                <w:kern w:val="2"/>
                <w:sz w:val="21"/>
                <w:szCs w:val="21"/>
                <w:lang w:eastAsia="zh-CN" w:bidi="ar-SA"/>
              </w:rPr>
            </w:pPr>
          </w:p>
          <w:p>
            <w:pPr>
              <w:widowControl w:val="0"/>
              <w:spacing w:before="74" w:beforeAutospacing="0" w:after="0" w:afterAutospacing="0"/>
              <w:ind w:left="370" w:right="0"/>
              <w:jc w:val="both"/>
              <w:rPr>
                <w:rFonts w:hint="default" w:ascii="宋体" w:hAnsi="宋体"/>
                <w:kern w:val="2"/>
                <w:sz w:val="23"/>
                <w:szCs w:val="23"/>
                <w:lang w:eastAsia="zh-CN" w:bidi="ar-SA"/>
              </w:rPr>
            </w:pPr>
            <w:r>
              <w:rPr>
                <w:rFonts w:hint="eastAsia" w:ascii="宋体" w:hAnsi="宋体"/>
                <w:spacing w:val="7"/>
                <w:kern w:val="2"/>
                <w:sz w:val="23"/>
                <w:szCs w:val="23"/>
                <w:lang w:eastAsia="zh-CN" w:bidi="ar-SA"/>
              </w:rPr>
              <w:t>经营范围</w:t>
            </w:r>
          </w:p>
        </w:tc>
        <w:tc>
          <w:tcPr>
            <w:tcW w:w="7226" w:type="dxa"/>
            <w:gridSpan w:val="10"/>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26" w:hRule="atLeast"/>
        </w:trPr>
        <w:tc>
          <w:tcPr>
            <w:tcW w:w="1697" w:type="dxa"/>
            <w:tcBorders>
              <w:top w:val="single" w:color="000000" w:sz="2" w:space="0"/>
              <w:left w:val="single" w:color="000000" w:sz="6" w:space="0"/>
              <w:bottom w:val="single" w:color="000000" w:sz="2" w:space="0"/>
              <w:right w:val="single" w:color="000000" w:sz="6" w:space="0"/>
            </w:tcBorders>
            <w:vAlign w:val="top"/>
          </w:tcPr>
          <w:p>
            <w:pPr>
              <w:widowControl w:val="0"/>
              <w:spacing w:before="239" w:beforeAutospacing="0" w:after="0" w:afterAutospacing="0"/>
              <w:ind w:left="611" w:right="0"/>
              <w:jc w:val="both"/>
              <w:rPr>
                <w:rFonts w:hint="default" w:ascii="宋体" w:hAnsi="宋体"/>
                <w:kern w:val="2"/>
                <w:sz w:val="23"/>
                <w:szCs w:val="23"/>
                <w:lang w:eastAsia="zh-CN" w:bidi="ar-SA"/>
              </w:rPr>
            </w:pPr>
            <w:r>
              <w:rPr>
                <w:rFonts w:hint="eastAsia" w:ascii="宋体" w:hAnsi="宋体"/>
                <w:spacing w:val="4"/>
                <w:kern w:val="2"/>
                <w:sz w:val="23"/>
                <w:szCs w:val="23"/>
                <w:lang w:eastAsia="zh-CN" w:bidi="ar-SA"/>
              </w:rPr>
              <w:t>备</w:t>
            </w:r>
            <w:r>
              <w:rPr>
                <w:rFonts w:hint="eastAsia" w:ascii="宋体" w:hAnsi="宋体"/>
                <w:spacing w:val="3"/>
                <w:kern w:val="2"/>
                <w:sz w:val="23"/>
                <w:szCs w:val="23"/>
                <w:lang w:eastAsia="zh-CN" w:bidi="ar-SA"/>
              </w:rPr>
              <w:t>注</w:t>
            </w:r>
          </w:p>
        </w:tc>
        <w:tc>
          <w:tcPr>
            <w:tcW w:w="7226" w:type="dxa"/>
            <w:gridSpan w:val="10"/>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bl>
    <w:p>
      <w:pPr>
        <w:pStyle w:val="4"/>
        <w:numPr>
          <w:ilvl w:val="0"/>
          <w:numId w:val="14"/>
        </w:numPr>
        <w:spacing w:after="240"/>
        <w:ind w:firstLine="3486" w:firstLineChars="1240"/>
        <w:rPr>
          <w:rFonts w:hint="eastAsia" w:ascii="宋体" w:hAnsi="宋体"/>
          <w:i w:val="0"/>
          <w:iCs w:val="0"/>
          <w:lang w:eastAsia="zh-CN" w:bidi="en-US"/>
        </w:rPr>
      </w:pPr>
      <w:bookmarkStart w:id="20" w:name="_Toc21196"/>
      <w:r>
        <w:rPr>
          <w:rFonts w:hint="eastAsia"/>
          <w:i w:val="0"/>
          <w:lang w:eastAsia="zh-CN"/>
        </w:rPr>
        <w:br w:type="page"/>
      </w:r>
      <w:bookmarkStart w:id="21" w:name="_Toc20250"/>
      <w:r>
        <w:rPr>
          <w:rFonts w:hint="eastAsia" w:ascii="宋体" w:hAnsi="宋体"/>
          <w:i w:val="0"/>
          <w:iCs w:val="0"/>
          <w:lang w:eastAsia="zh-CN" w:bidi="en-US"/>
        </w:rPr>
        <w:t>授权委托书</w:t>
      </w:r>
      <w:bookmarkEnd w:id="20"/>
      <w:bookmarkEnd w:id="21"/>
    </w:p>
    <w:p>
      <w:pPr>
        <w:pStyle w:val="2"/>
        <w:numPr>
          <w:ilvl w:val="0"/>
          <w:numId w:val="0"/>
        </w:numPr>
        <w:rPr>
          <w:rFonts w:hint="eastAsia"/>
          <w:lang w:eastAsia="zh-CN"/>
        </w:rPr>
      </w:pPr>
    </w:p>
    <w:p>
      <w:pPr>
        <w:shd w:val="clear" w:color="auto" w:fill="FFFFFF"/>
        <w:spacing w:line="360" w:lineRule="auto"/>
        <w:ind w:firstLine="482" w:firstLineChars="200"/>
        <w:rPr>
          <w:rFonts w:hint="eastAsia" w:ascii="宋体" w:hAnsi="宋体"/>
          <w:b/>
          <w:lang w:eastAsia="zh-CN"/>
        </w:rPr>
      </w:pPr>
      <w:r>
        <w:rPr>
          <w:rFonts w:hint="eastAsia" w:ascii="宋体" w:hAnsi="宋体"/>
          <w:b/>
          <w:lang w:eastAsia="zh-CN"/>
        </w:rPr>
        <w:t>致：海南华教设备招标有限公司</w:t>
      </w:r>
    </w:p>
    <w:p>
      <w:pPr>
        <w:shd w:val="clear" w:color="auto" w:fill="FFFFFF"/>
        <w:spacing w:line="360" w:lineRule="auto"/>
        <w:ind w:firstLine="480" w:firstLineChars="200"/>
        <w:rPr>
          <w:rFonts w:hint="eastAsia" w:ascii="宋体" w:hAnsi="宋体"/>
          <w:lang w:eastAsia="zh-CN"/>
        </w:rPr>
      </w:pPr>
      <w:r>
        <w:rPr>
          <w:rFonts w:hint="eastAsia" w:ascii="宋体" w:hAnsi="宋体"/>
          <w:lang w:eastAsia="zh-CN"/>
        </w:rPr>
        <w:t>本授权书声明：</w:t>
      </w:r>
    </w:p>
    <w:p>
      <w:pPr>
        <w:shd w:val="clear" w:color="auto" w:fill="FFFFFF"/>
        <w:snapToGrid w:val="0"/>
        <w:spacing w:line="360" w:lineRule="auto"/>
        <w:ind w:firstLine="480" w:firstLineChars="200"/>
        <w:rPr>
          <w:rFonts w:hint="eastAsia" w:ascii="宋体" w:hAnsi="宋体"/>
          <w:u w:val="single"/>
          <w:lang w:eastAsia="zh-CN"/>
        </w:rPr>
      </w:pPr>
      <w:r>
        <w:rPr>
          <w:rFonts w:hint="eastAsia" w:ascii="宋体" w:hAnsi="宋体"/>
          <w:lang w:eastAsia="zh-CN"/>
        </w:rPr>
        <w:t>委托人：</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地址：法定代表人：</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受托人：姓名性别：出生日期：年月日</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所在单位：职务：</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身份证：联系方式:</w:t>
      </w:r>
    </w:p>
    <w:p>
      <w:pPr>
        <w:spacing w:line="360" w:lineRule="auto"/>
        <w:ind w:firstLine="600" w:firstLineChars="250"/>
        <w:rPr>
          <w:rFonts w:hint="eastAsia" w:hAnsi="宋体"/>
          <w:lang w:eastAsia="zh-CN"/>
        </w:rPr>
      </w:pPr>
      <w:r>
        <w:rPr>
          <w:rFonts w:hint="eastAsia" w:ascii="宋体" w:hAnsi="宋体"/>
          <w:lang w:eastAsia="zh-CN"/>
        </w:rPr>
        <w:t>兹委托受托人代表我方参加组织的项目名称</w:t>
      </w:r>
      <w:r>
        <w:rPr>
          <w:rFonts w:hint="eastAsia" w:ascii="宋体" w:hAnsi="宋体"/>
          <w:kern w:val="28"/>
          <w:lang w:eastAsia="zh-CN"/>
        </w:rPr>
        <w:t>：</w:t>
      </w:r>
      <w:r>
        <w:rPr>
          <w:rFonts w:hint="eastAsia" w:ascii="宋体" w:hAnsi="宋体"/>
          <w:lang w:eastAsia="zh-CN"/>
        </w:rPr>
        <w:t>（项目编号为</w:t>
      </w:r>
      <w:r>
        <w:rPr>
          <w:rFonts w:hint="eastAsia" w:ascii="宋体" w:hAnsi="宋体"/>
          <w:u w:val="single"/>
          <w:lang w:eastAsia="zh-CN"/>
        </w:rPr>
        <w:t>：）</w:t>
      </w:r>
      <w:r>
        <w:rPr>
          <w:rFonts w:hint="eastAsia" w:ascii="宋体" w:hAnsi="宋体"/>
          <w:lang w:eastAsia="zh-CN"/>
        </w:rPr>
        <w:t>的招标活动，并授权其全权办理以下事宜：</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1、参加投标活动；</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2、出席开标评标会议；</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3、签订与中标事宜有关的合同；</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4、负责合同的履行、服务以及在合同履行过程中有关事宜的洽谈和处理。</w:t>
      </w:r>
    </w:p>
    <w:p>
      <w:pPr>
        <w:shd w:val="clear" w:color="auto" w:fill="FFFFFF"/>
        <w:snapToGrid w:val="0"/>
        <w:spacing w:line="360" w:lineRule="auto"/>
        <w:rPr>
          <w:rFonts w:hint="eastAsia" w:ascii="宋体" w:hAnsi="宋体"/>
          <w:lang w:eastAsia="zh-CN"/>
        </w:rPr>
      </w:pPr>
      <w:r>
        <w:rPr>
          <w:rFonts w:hint="eastAsia" w:ascii="宋体" w:hAnsi="宋体"/>
          <w:lang w:eastAsia="zh-CN"/>
        </w:rPr>
        <w:t>受托人在办理上述事宜过程中以其自己的名义所签署的所有文件我方均予以承认。受托人无转委托权。</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委托期限：至上述事宜处理完毕止。</w:t>
      </w:r>
    </w:p>
    <w:p>
      <w:pPr>
        <w:shd w:val="clear" w:color="auto" w:fill="FFFFFF"/>
        <w:snapToGrid w:val="0"/>
        <w:spacing w:line="360" w:lineRule="auto"/>
        <w:ind w:firstLine="3840" w:firstLineChars="1600"/>
        <w:rPr>
          <w:rFonts w:hint="eastAsia" w:ascii="宋体" w:hAnsi="宋体"/>
          <w:lang w:eastAsia="zh-CN"/>
        </w:rPr>
      </w:pPr>
    </w:p>
    <w:p>
      <w:pPr>
        <w:shd w:val="clear" w:color="auto" w:fill="FFFFFF"/>
        <w:snapToGrid w:val="0"/>
        <w:spacing w:line="360" w:lineRule="auto"/>
        <w:rPr>
          <w:rFonts w:hint="eastAsia" w:ascii="宋体" w:hAnsi="宋体"/>
          <w:u w:val="single"/>
          <w:lang w:eastAsia="zh-CN"/>
        </w:rPr>
      </w:pPr>
      <w:r>
        <w:rPr>
          <w:rFonts w:hint="eastAsia" w:ascii="宋体" w:hAnsi="宋体"/>
          <w:lang w:eastAsia="zh-CN"/>
        </w:rPr>
        <w:t>委托单位：</w:t>
      </w:r>
      <w:r>
        <w:rPr>
          <w:rFonts w:hint="eastAsia" w:ascii="宋体" w:hAnsi="宋体"/>
          <w:u w:val="single"/>
          <w:lang w:eastAsia="zh-CN"/>
        </w:rPr>
        <w:t>（盖公章）</w:t>
      </w:r>
    </w:p>
    <w:p>
      <w:pPr>
        <w:shd w:val="clear" w:color="auto" w:fill="FFFFFF"/>
        <w:snapToGrid w:val="0"/>
        <w:spacing w:line="360" w:lineRule="auto"/>
        <w:rPr>
          <w:rFonts w:hint="eastAsia" w:ascii="宋体" w:hAnsi="宋体"/>
          <w:u w:val="single"/>
          <w:lang w:eastAsia="zh-CN"/>
        </w:rPr>
      </w:pPr>
      <w:r>
        <w:rPr>
          <w:rFonts w:hint="eastAsia" w:ascii="宋体" w:hAnsi="宋体"/>
          <w:lang w:eastAsia="zh-CN"/>
        </w:rPr>
        <w:t>法定代表人：</w:t>
      </w:r>
      <w:r>
        <w:rPr>
          <w:rFonts w:hint="eastAsia" w:ascii="宋体" w:hAnsi="宋体"/>
          <w:u w:val="single"/>
          <w:lang w:eastAsia="zh-CN"/>
        </w:rPr>
        <w:t>（签名或盖章）</w:t>
      </w:r>
    </w:p>
    <w:p>
      <w:pPr>
        <w:shd w:val="clear" w:color="auto" w:fill="FFFFFF"/>
        <w:snapToGrid w:val="0"/>
        <w:spacing w:line="360" w:lineRule="auto"/>
        <w:rPr>
          <w:rFonts w:hint="eastAsia" w:ascii="宋体" w:hAnsi="宋体"/>
          <w:u w:val="single"/>
          <w:lang w:eastAsia="zh-CN"/>
        </w:rPr>
      </w:pPr>
      <w:r>
        <w:rPr>
          <w:rFonts w:hint="eastAsia" w:ascii="宋体" w:hAnsi="宋体"/>
          <w:lang w:eastAsia="zh-CN"/>
        </w:rPr>
        <w:t>受托人：</w:t>
      </w:r>
      <w:r>
        <w:rPr>
          <w:rFonts w:hint="eastAsia" w:ascii="宋体" w:hAnsi="宋体"/>
          <w:u w:val="single"/>
          <w:lang w:eastAsia="zh-CN"/>
        </w:rPr>
        <w:t>（签名或盖章）</w:t>
      </w:r>
    </w:p>
    <w:p>
      <w:pPr>
        <w:shd w:val="clear" w:color="auto" w:fill="FFFFFF"/>
        <w:snapToGrid w:val="0"/>
        <w:spacing w:line="360" w:lineRule="auto"/>
        <w:rPr>
          <w:rFonts w:hint="eastAsia" w:ascii="宋体" w:hAnsi="宋体"/>
          <w:lang w:eastAsia="zh-CN"/>
        </w:rPr>
      </w:pPr>
      <w:r>
        <w:rPr>
          <w:rFonts w:hint="eastAsia" w:ascii="宋体" w:hAnsi="宋体"/>
          <w:lang w:eastAsia="zh-CN"/>
        </w:rPr>
        <w:t>日期：年月日</w:t>
      </w:r>
    </w:p>
    <w:p>
      <w:pPr>
        <w:shd w:val="clear" w:color="auto" w:fill="FFFFFF"/>
        <w:snapToGrid w:val="0"/>
        <w:spacing w:line="360" w:lineRule="auto"/>
        <w:ind w:firstLine="480" w:firstLineChars="200"/>
        <w:rPr>
          <w:rFonts w:hint="eastAsia" w:ascii="宋体" w:hAnsi="宋体"/>
          <w:lang w:eastAsia="zh-CN"/>
        </w:rPr>
      </w:pPr>
      <w:r>
        <w:rPr>
          <w:rFonts w:hint="eastAsia" w:ascii="宋体" w:hAnsi="宋体"/>
          <w:lang w:eastAsia="zh-CN"/>
        </w:rPr>
        <w:t>（附上授权人和被授权人身份证正反面复印件）</w:t>
      </w:r>
    </w:p>
    <w:p>
      <w:pPr>
        <w:shd w:val="clear" w:color="auto" w:fill="FFFFFF"/>
        <w:snapToGrid w:val="0"/>
        <w:spacing w:line="360" w:lineRule="auto"/>
        <w:rPr>
          <w:rFonts w:hint="eastAsia" w:ascii="宋体" w:hAnsi="宋体"/>
          <w:lang w:eastAsia="zh-CN"/>
        </w:rPr>
      </w:pPr>
    </w:p>
    <w:p>
      <w:pPr>
        <w:pStyle w:val="4"/>
        <w:spacing w:after="240"/>
        <w:jc w:val="center"/>
        <w:rPr>
          <w:rFonts w:hint="eastAsia" w:ascii="宋体" w:hAnsi="宋体"/>
          <w:i w:val="0"/>
          <w:iCs w:val="0"/>
          <w:lang w:eastAsia="zh-CN" w:bidi="en-US"/>
        </w:rPr>
      </w:pPr>
      <w:bookmarkStart w:id="22" w:name="_Toc3728"/>
      <w:r>
        <w:rPr>
          <w:rFonts w:hint="eastAsia"/>
          <w:i w:val="0"/>
          <w:lang w:eastAsia="zh-CN"/>
        </w:rPr>
        <w:br w:type="page"/>
      </w:r>
      <w:bookmarkEnd w:id="22"/>
      <w:bookmarkStart w:id="23" w:name="_Toc6458"/>
      <w:bookmarkStart w:id="24" w:name="_Toc12244"/>
      <w:r>
        <w:rPr>
          <w:rFonts w:hint="eastAsia" w:ascii="宋体" w:hAnsi="宋体"/>
          <w:i w:val="0"/>
          <w:iCs w:val="0"/>
          <w:lang w:eastAsia="zh-CN" w:bidi="en-US"/>
        </w:rPr>
        <w:t>六、投标人项目业绩表</w:t>
      </w:r>
      <w:bookmarkEnd w:id="23"/>
      <w:bookmarkEnd w:id="24"/>
    </w:p>
    <w:p>
      <w:pPr>
        <w:widowControl w:val="0"/>
        <w:spacing w:before="325"/>
        <w:ind w:left="3363"/>
        <w:jc w:val="both"/>
        <w:outlineLvl w:val="1"/>
        <w:rPr>
          <w:rFonts w:ascii="宋体" w:hAnsi="宋体"/>
          <w:kern w:val="2"/>
          <w:sz w:val="28"/>
          <w:szCs w:val="28"/>
          <w:lang w:eastAsia="zh-CN" w:bidi="ar-SA"/>
        </w:rPr>
      </w:pPr>
      <w:r>
        <w:rPr>
          <w:rFonts w:hint="eastAsia" w:ascii="宋体" w:hAnsi="宋体"/>
          <w:spacing w:val="17"/>
          <w:kern w:val="2"/>
          <w:sz w:val="28"/>
          <w:szCs w:val="28"/>
          <w:lang w:eastAsia="zh-CN" w:bidi="ar-SA"/>
        </w:rPr>
        <w:t>(</w:t>
      </w:r>
      <w:r>
        <w:rPr>
          <w:rFonts w:hint="eastAsia" w:ascii="宋体" w:hAnsi="宋体"/>
          <w:spacing w:val="14"/>
          <w:kern w:val="2"/>
          <w:sz w:val="28"/>
          <w:szCs w:val="28"/>
          <w:lang w:eastAsia="zh-CN" w:bidi="ar-SA"/>
        </w:rPr>
        <w:t>一)类似业绩表</w:t>
      </w:r>
    </w:p>
    <w:p>
      <w:pPr>
        <w:pStyle w:val="2"/>
        <w:rPr>
          <w:rFonts w:hint="eastAsia"/>
          <w:lang w:bidi="en-US"/>
        </w:rPr>
      </w:pPr>
    </w:p>
    <w:tbl>
      <w:tblPr>
        <w:tblStyle w:val="52"/>
        <w:tblW w:w="954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345"/>
        <w:gridCol w:w="1535"/>
        <w:gridCol w:w="1477"/>
        <w:gridCol w:w="1403"/>
        <w:gridCol w:w="1980"/>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cs="Arial"/>
                <w:b/>
                <w:sz w:val="20"/>
                <w:szCs w:val="20"/>
              </w:rPr>
            </w:pPr>
            <w:r>
              <w:rPr>
                <w:rFonts w:hint="eastAsia" w:ascii="宋体" w:hAnsi="宋体" w:cs="Arial"/>
                <w:b/>
                <w:sz w:val="20"/>
                <w:szCs w:val="20"/>
              </w:rPr>
              <w:t>序号</w:t>
            </w:r>
          </w:p>
        </w:tc>
        <w:tc>
          <w:tcPr>
            <w:tcW w:w="134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cs="Arial"/>
                <w:b/>
                <w:sz w:val="20"/>
                <w:szCs w:val="20"/>
              </w:rPr>
            </w:pPr>
            <w:r>
              <w:rPr>
                <w:rFonts w:hint="eastAsia" w:ascii="宋体" w:hAnsi="宋体" w:cs="Arial"/>
                <w:b/>
                <w:sz w:val="20"/>
                <w:szCs w:val="20"/>
              </w:rPr>
              <w:t>项目名称</w:t>
            </w:r>
          </w:p>
        </w:tc>
        <w:tc>
          <w:tcPr>
            <w:tcW w:w="1535"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cs="Arial"/>
                <w:b/>
                <w:sz w:val="20"/>
                <w:szCs w:val="20"/>
              </w:rPr>
            </w:pPr>
            <w:r>
              <w:rPr>
                <w:rFonts w:hint="eastAsia" w:ascii="宋体" w:hAnsi="宋体" w:cs="Arial"/>
                <w:b/>
                <w:sz w:val="20"/>
                <w:szCs w:val="20"/>
              </w:rPr>
              <w:t>项目内容</w:t>
            </w:r>
          </w:p>
        </w:tc>
        <w:tc>
          <w:tcPr>
            <w:tcW w:w="1477"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cs="Arial"/>
                <w:b/>
                <w:sz w:val="20"/>
                <w:szCs w:val="20"/>
              </w:rPr>
            </w:pPr>
            <w:r>
              <w:rPr>
                <w:rFonts w:hint="eastAsia" w:ascii="宋体" w:hAnsi="宋体" w:cs="Arial"/>
                <w:b/>
                <w:sz w:val="20"/>
                <w:szCs w:val="20"/>
              </w:rPr>
              <w:t>合同金额</w:t>
            </w:r>
          </w:p>
        </w:tc>
        <w:tc>
          <w:tcPr>
            <w:tcW w:w="1403"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cs="Arial"/>
                <w:b/>
                <w:sz w:val="20"/>
                <w:szCs w:val="20"/>
              </w:rPr>
            </w:pPr>
            <w:r>
              <w:rPr>
                <w:rFonts w:hint="eastAsia" w:ascii="宋体" w:hAnsi="宋体" w:cs="Arial"/>
                <w:b/>
                <w:sz w:val="20"/>
                <w:szCs w:val="20"/>
              </w:rPr>
              <w:t>完成时间</w:t>
            </w: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cs="Arial"/>
                <w:b/>
                <w:sz w:val="20"/>
                <w:szCs w:val="20"/>
              </w:rPr>
            </w:pPr>
            <w:r>
              <w:rPr>
                <w:rFonts w:hint="eastAsia" w:ascii="宋体" w:hAnsi="宋体" w:cs="Arial"/>
                <w:b/>
                <w:sz w:val="20"/>
                <w:szCs w:val="20"/>
              </w:rPr>
              <w:t>业主联系人电话</w:t>
            </w:r>
          </w:p>
        </w:tc>
        <w:tc>
          <w:tcPr>
            <w:tcW w:w="108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cs="Arial"/>
                <w:b/>
                <w:sz w:val="20"/>
                <w:szCs w:val="20"/>
              </w:rPr>
            </w:pPr>
            <w:r>
              <w:rPr>
                <w:rFonts w:hint="eastAsia" w:ascii="宋体" w:hAnsi="宋体" w:cs="Arial"/>
                <w:b/>
                <w:sz w:val="20"/>
                <w:szCs w:val="20"/>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345"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535"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477"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jc w:val="center"/>
              <w:rPr>
                <w:rFonts w:hint="default" w:ascii="宋体" w:hAnsi="宋体" w:cs="Arial"/>
                <w:b/>
                <w:sz w:val="20"/>
                <w:szCs w:val="21"/>
              </w:rPr>
            </w:pPr>
          </w:p>
        </w:tc>
        <w:tc>
          <w:tcPr>
            <w:tcW w:w="1403"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cs="Arial"/>
                <w:b/>
                <w:sz w:val="20"/>
                <w:szCs w:val="21"/>
              </w:rPr>
            </w:pPr>
          </w:p>
        </w:tc>
        <w:tc>
          <w:tcPr>
            <w:tcW w:w="1980" w:type="dxa"/>
            <w:tcBorders>
              <w:top w:val="single" w:color="auto" w:sz="4" w:space="0"/>
              <w:left w:val="single" w:color="auto" w:sz="4" w:space="0"/>
              <w:bottom w:val="single" w:color="auto" w:sz="4" w:space="0"/>
              <w:right w:val="single" w:color="auto" w:sz="4" w:space="0"/>
            </w:tcBorders>
            <w:vAlign w:val="center"/>
          </w:tcPr>
          <w:p>
            <w:pPr>
              <w:widowControl/>
              <w:spacing w:before="0" w:beforeAutospacing="0" w:after="0" w:afterAutospacing="0" w:line="360" w:lineRule="auto"/>
              <w:ind w:left="0" w:right="0"/>
              <w:jc w:val="center"/>
              <w:rPr>
                <w:rFonts w:hint="default" w:ascii="宋体" w:hAnsi="宋体" w:cs="Arial"/>
                <w:b/>
                <w:sz w:val="2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345"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535"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477"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403"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98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2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345"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535"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477"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403"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98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c>
          <w:tcPr>
            <w:tcW w:w="1080" w:type="dxa"/>
            <w:tcBorders>
              <w:top w:val="single" w:color="auto" w:sz="4" w:space="0"/>
              <w:left w:val="single" w:color="auto" w:sz="4" w:space="0"/>
              <w:bottom w:val="single" w:color="auto" w:sz="4" w:space="0"/>
              <w:right w:val="single" w:color="auto" w:sz="4" w:space="0"/>
            </w:tcBorders>
            <w:vAlign w:val="top"/>
          </w:tcPr>
          <w:p>
            <w:pPr>
              <w:widowControl/>
              <w:spacing w:before="0" w:beforeAutospacing="0" w:after="0" w:afterAutospacing="0" w:line="360" w:lineRule="auto"/>
              <w:ind w:left="0" w:right="0"/>
              <w:rPr>
                <w:rFonts w:hint="default" w:ascii="宋体" w:hAnsi="宋体" w:cs="Arial"/>
                <w:sz w:val="20"/>
                <w:szCs w:val="21"/>
              </w:rPr>
            </w:pPr>
          </w:p>
        </w:tc>
      </w:tr>
    </w:tbl>
    <w:p>
      <w:pPr>
        <w:snapToGrid w:val="0"/>
        <w:spacing w:line="360" w:lineRule="auto"/>
        <w:ind w:firstLine="240" w:firstLineChars="100"/>
        <w:rPr>
          <w:rFonts w:hint="eastAsia" w:ascii="宋体" w:hAnsi="宋体"/>
          <w:bCs/>
        </w:rPr>
      </w:pPr>
    </w:p>
    <w:p>
      <w:pPr>
        <w:snapToGrid w:val="0"/>
        <w:spacing w:line="360" w:lineRule="auto"/>
        <w:ind w:firstLine="240" w:firstLineChars="100"/>
        <w:rPr>
          <w:rFonts w:hint="eastAsia" w:ascii="宋体" w:hAnsi="宋体"/>
          <w:bCs/>
          <w:lang w:eastAsia="zh-CN"/>
        </w:rPr>
      </w:pPr>
      <w:r>
        <w:rPr>
          <w:rFonts w:hint="eastAsia" w:ascii="宋体" w:hAnsi="宋体"/>
          <w:bCs/>
          <w:lang w:eastAsia="zh-CN"/>
        </w:rPr>
        <w:t>投标人全称：（盖公章）</w:t>
      </w:r>
    </w:p>
    <w:p>
      <w:pPr>
        <w:snapToGrid w:val="0"/>
        <w:spacing w:line="360" w:lineRule="auto"/>
        <w:rPr>
          <w:rFonts w:ascii="宋体" w:hAnsi="宋体"/>
          <w:lang w:eastAsia="zh-CN"/>
        </w:rPr>
      </w:pPr>
      <w:r>
        <w:rPr>
          <w:rFonts w:hint="eastAsia" w:ascii="宋体" w:hAnsi="宋体"/>
          <w:bCs/>
          <w:lang w:eastAsia="zh-CN"/>
        </w:rPr>
        <w:t>授权代表：（签名或盖章）</w:t>
      </w:r>
    </w:p>
    <w:p>
      <w:pPr>
        <w:tabs>
          <w:tab w:val="left" w:pos="630"/>
        </w:tabs>
        <w:spacing w:line="360" w:lineRule="auto"/>
        <w:rPr>
          <w:rFonts w:ascii="宋体" w:hAnsi="宋体"/>
          <w:szCs w:val="21"/>
          <w:lang w:eastAsia="zh-CN"/>
        </w:rPr>
      </w:pPr>
      <w:r>
        <w:rPr>
          <w:rFonts w:hint="eastAsia" w:ascii="宋体" w:hAnsi="宋体"/>
          <w:lang w:eastAsia="zh-CN"/>
        </w:rPr>
        <w:t>日期：</w:t>
      </w:r>
    </w:p>
    <w:p>
      <w:pPr>
        <w:tabs>
          <w:tab w:val="left" w:pos="630"/>
        </w:tabs>
        <w:spacing w:line="360" w:lineRule="auto"/>
        <w:rPr>
          <w:rFonts w:ascii="宋体" w:hAnsi="宋体"/>
          <w:lang w:eastAsia="zh-CN"/>
        </w:rPr>
      </w:pPr>
      <w:r>
        <w:rPr>
          <w:rFonts w:hint="eastAsia" w:ascii="宋体" w:hAnsi="宋体"/>
          <w:lang w:eastAsia="zh-CN"/>
        </w:rPr>
        <w:t>注：附合同或中标(成交)通知书复印件加盖公章。</w:t>
      </w:r>
    </w:p>
    <w:p>
      <w:pPr>
        <w:tabs>
          <w:tab w:val="left" w:pos="630"/>
        </w:tabs>
        <w:spacing w:line="360" w:lineRule="auto"/>
        <w:rPr>
          <w:rFonts w:hint="eastAsia" w:ascii="宋体" w:hAnsi="宋体"/>
          <w:lang w:eastAsia="zh-CN"/>
        </w:rPr>
      </w:pPr>
    </w:p>
    <w:p>
      <w:pPr>
        <w:tabs>
          <w:tab w:val="left" w:pos="630"/>
        </w:tabs>
        <w:spacing w:line="360" w:lineRule="auto"/>
        <w:rPr>
          <w:rFonts w:ascii="宋体" w:hAnsi="宋体"/>
          <w:lang w:eastAsia="zh-CN"/>
        </w:rPr>
      </w:pPr>
    </w:p>
    <w:p>
      <w:pPr>
        <w:widowControl w:val="0"/>
        <w:spacing w:before="91"/>
        <w:ind w:left="2237"/>
        <w:jc w:val="both"/>
        <w:outlineLvl w:val="1"/>
        <w:rPr>
          <w:rFonts w:ascii="宋体" w:hAnsi="宋体"/>
          <w:kern w:val="2"/>
          <w:sz w:val="28"/>
          <w:szCs w:val="28"/>
          <w:lang w:eastAsia="zh-CN" w:bidi="ar-SA"/>
        </w:rPr>
      </w:pPr>
      <w:r>
        <w:rPr>
          <w:rFonts w:hint="eastAsia" w:ascii="宋体" w:hAnsi="宋体"/>
          <w:spacing w:val="10"/>
          <w:kern w:val="2"/>
          <w:sz w:val="28"/>
          <w:szCs w:val="28"/>
          <w:lang w:eastAsia="zh-CN" w:bidi="ar-SA"/>
        </w:rPr>
        <w:t>(</w:t>
      </w:r>
      <w:r>
        <w:rPr>
          <w:rFonts w:hint="eastAsia" w:ascii="宋体" w:hAnsi="宋体"/>
          <w:spacing w:val="8"/>
          <w:kern w:val="2"/>
          <w:sz w:val="28"/>
          <w:szCs w:val="28"/>
          <w:lang w:eastAsia="zh-CN" w:bidi="ar-SA"/>
        </w:rPr>
        <w:t>二)扶持和支持残疾人事业案例表</w:t>
      </w:r>
    </w:p>
    <w:p>
      <w:pPr>
        <w:widowControl w:val="0"/>
        <w:spacing w:line="117" w:lineRule="exact"/>
        <w:jc w:val="both"/>
        <w:rPr>
          <w:rFonts w:hint="eastAsia"/>
          <w:kern w:val="2"/>
          <w:sz w:val="21"/>
          <w:szCs w:val="21"/>
          <w:lang w:eastAsia="zh-CN" w:bidi="ar-SA"/>
        </w:rPr>
      </w:pPr>
    </w:p>
    <w:tbl>
      <w:tblPr>
        <w:tblStyle w:val="401"/>
        <w:tblW w:w="8921" w:type="dxa"/>
        <w:tblInd w:w="107"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0" w:type="dxa"/>
          <w:bottom w:w="0" w:type="dxa"/>
          <w:right w:w="0" w:type="dxa"/>
        </w:tblCellMar>
      </w:tblPr>
      <w:tblGrid>
        <w:gridCol w:w="1205"/>
        <w:gridCol w:w="1950"/>
        <w:gridCol w:w="1769"/>
        <w:gridCol w:w="1403"/>
        <w:gridCol w:w="1213"/>
        <w:gridCol w:w="138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960"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line="285" w:lineRule="auto"/>
              <w:ind w:left="0" w:right="0"/>
              <w:jc w:val="both"/>
              <w:rPr>
                <w:rFonts w:hint="default" w:ascii="Arial"/>
                <w:kern w:val="2"/>
                <w:sz w:val="21"/>
                <w:szCs w:val="21"/>
                <w:lang w:eastAsia="zh-CN" w:bidi="ar-SA"/>
              </w:rPr>
            </w:pPr>
          </w:p>
          <w:p>
            <w:pPr>
              <w:widowControl w:val="0"/>
              <w:spacing w:before="75" w:beforeAutospacing="0" w:after="0" w:afterAutospacing="0"/>
              <w:ind w:left="361" w:right="0"/>
              <w:jc w:val="both"/>
              <w:rPr>
                <w:rFonts w:hint="default" w:ascii="宋体" w:hAnsi="宋体"/>
                <w:kern w:val="2"/>
                <w:sz w:val="23"/>
                <w:szCs w:val="23"/>
                <w:lang w:eastAsia="zh-CN" w:bidi="ar-SA"/>
              </w:rPr>
            </w:pPr>
            <w:r>
              <w:rPr>
                <w:rFonts w:hint="eastAsia" w:ascii="宋体" w:hAnsi="宋体"/>
                <w:spacing w:val="6"/>
                <w:kern w:val="2"/>
                <w:sz w:val="23"/>
                <w:szCs w:val="23"/>
                <w:lang w:eastAsia="zh-CN" w:bidi="ar-SA"/>
              </w:rPr>
              <w:t>序</w:t>
            </w:r>
            <w:r>
              <w:rPr>
                <w:rFonts w:hint="eastAsia" w:ascii="宋体" w:hAnsi="宋体"/>
                <w:spacing w:val="5"/>
                <w:kern w:val="2"/>
                <w:sz w:val="23"/>
                <w:szCs w:val="23"/>
                <w:lang w:eastAsia="zh-CN" w:bidi="ar-SA"/>
              </w:rPr>
              <w:t>号</w:t>
            </w:r>
          </w:p>
        </w:tc>
        <w:tc>
          <w:tcPr>
            <w:tcW w:w="1950" w:type="dxa"/>
            <w:tcBorders>
              <w:top w:val="single" w:color="000000" w:sz="2" w:space="0"/>
              <w:left w:val="nil"/>
              <w:bottom w:val="single" w:color="000000" w:sz="2" w:space="0"/>
              <w:right w:val="single" w:color="000000" w:sz="6" w:space="0"/>
            </w:tcBorders>
            <w:vAlign w:val="top"/>
          </w:tcPr>
          <w:p>
            <w:pPr>
              <w:widowControl w:val="0"/>
              <w:spacing w:before="130" w:beforeAutospacing="0" w:after="0" w:afterAutospacing="0" w:line="468" w:lineRule="exact"/>
              <w:ind w:left="372" w:right="0"/>
              <w:jc w:val="both"/>
              <w:rPr>
                <w:rFonts w:hint="default" w:ascii="宋体" w:hAnsi="宋体"/>
                <w:kern w:val="2"/>
                <w:sz w:val="23"/>
                <w:szCs w:val="23"/>
                <w:lang w:eastAsia="zh-CN" w:bidi="ar-SA"/>
              </w:rPr>
            </w:pPr>
            <w:r>
              <w:rPr>
                <w:rFonts w:hint="eastAsia" w:ascii="宋体" w:hAnsi="宋体"/>
                <w:spacing w:val="8"/>
                <w:kern w:val="2"/>
                <w:position w:val="17"/>
                <w:sz w:val="23"/>
                <w:szCs w:val="23"/>
                <w:lang w:eastAsia="zh-CN" w:bidi="ar-SA"/>
              </w:rPr>
              <w:t>残疾人事业</w:t>
            </w:r>
          </w:p>
          <w:p>
            <w:pPr>
              <w:widowControl w:val="0"/>
              <w:spacing w:before="0" w:beforeAutospacing="0" w:after="0" w:afterAutospacing="0"/>
              <w:ind w:left="494" w:right="0"/>
              <w:jc w:val="both"/>
              <w:rPr>
                <w:rFonts w:hint="default" w:ascii="宋体" w:hAnsi="宋体"/>
                <w:kern w:val="2"/>
                <w:sz w:val="23"/>
                <w:szCs w:val="23"/>
                <w:lang w:eastAsia="zh-CN" w:bidi="ar-SA"/>
              </w:rPr>
            </w:pPr>
            <w:r>
              <w:rPr>
                <w:rFonts w:hint="eastAsia" w:ascii="宋体" w:hAnsi="宋体"/>
                <w:spacing w:val="7"/>
                <w:kern w:val="2"/>
                <w:sz w:val="23"/>
                <w:szCs w:val="23"/>
                <w:lang w:eastAsia="zh-CN" w:bidi="ar-SA"/>
              </w:rPr>
              <w:t>单位名称</w:t>
            </w: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285" w:lineRule="auto"/>
              <w:ind w:left="0" w:right="0"/>
              <w:jc w:val="both"/>
              <w:rPr>
                <w:rFonts w:hint="default" w:ascii="Arial"/>
                <w:kern w:val="2"/>
                <w:sz w:val="21"/>
                <w:szCs w:val="21"/>
                <w:lang w:eastAsia="zh-CN" w:bidi="ar-SA"/>
              </w:rPr>
            </w:pPr>
          </w:p>
          <w:p>
            <w:pPr>
              <w:widowControl w:val="0"/>
              <w:spacing w:before="74" w:beforeAutospacing="0" w:after="0" w:afterAutospacing="0"/>
              <w:ind w:left="410" w:right="0"/>
              <w:jc w:val="both"/>
              <w:rPr>
                <w:rFonts w:hint="default" w:ascii="宋体" w:hAnsi="宋体"/>
                <w:kern w:val="2"/>
                <w:sz w:val="23"/>
                <w:szCs w:val="23"/>
                <w:lang w:eastAsia="zh-CN" w:bidi="ar-SA"/>
              </w:rPr>
            </w:pPr>
            <w:r>
              <w:rPr>
                <w:rFonts w:hint="eastAsia" w:ascii="宋体" w:hAnsi="宋体"/>
                <w:spacing w:val="8"/>
                <w:kern w:val="2"/>
                <w:sz w:val="23"/>
                <w:szCs w:val="23"/>
                <w:lang w:eastAsia="zh-CN" w:bidi="ar-SA"/>
              </w:rPr>
              <w:t>项</w:t>
            </w:r>
            <w:r>
              <w:rPr>
                <w:rFonts w:hint="eastAsia" w:ascii="宋体" w:hAnsi="宋体"/>
                <w:spacing w:val="6"/>
                <w:kern w:val="2"/>
                <w:sz w:val="23"/>
                <w:szCs w:val="23"/>
                <w:lang w:eastAsia="zh-CN" w:bidi="ar-SA"/>
              </w:rPr>
              <w:t>目名称</w:t>
            </w: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285" w:lineRule="auto"/>
              <w:ind w:left="0" w:right="0"/>
              <w:jc w:val="both"/>
              <w:rPr>
                <w:rFonts w:hint="default" w:ascii="Arial"/>
                <w:kern w:val="2"/>
                <w:sz w:val="21"/>
                <w:szCs w:val="21"/>
                <w:lang w:eastAsia="zh-CN" w:bidi="ar-SA"/>
              </w:rPr>
            </w:pPr>
          </w:p>
          <w:p>
            <w:pPr>
              <w:widowControl w:val="0"/>
              <w:spacing w:before="75" w:beforeAutospacing="0" w:after="0" w:afterAutospacing="0"/>
              <w:ind w:left="228" w:right="0"/>
              <w:jc w:val="both"/>
              <w:rPr>
                <w:rFonts w:hint="default" w:ascii="宋体" w:hAnsi="宋体"/>
                <w:kern w:val="2"/>
                <w:sz w:val="23"/>
                <w:szCs w:val="23"/>
                <w:lang w:eastAsia="zh-CN" w:bidi="ar-SA"/>
              </w:rPr>
            </w:pPr>
            <w:r>
              <w:rPr>
                <w:rFonts w:hint="eastAsia" w:ascii="宋体" w:hAnsi="宋体"/>
                <w:spacing w:val="8"/>
                <w:kern w:val="2"/>
                <w:sz w:val="23"/>
                <w:szCs w:val="23"/>
                <w:lang w:eastAsia="zh-CN" w:bidi="ar-SA"/>
              </w:rPr>
              <w:t>项</w:t>
            </w:r>
            <w:r>
              <w:rPr>
                <w:rFonts w:hint="eastAsia" w:ascii="宋体" w:hAnsi="宋体"/>
                <w:spacing w:val="6"/>
                <w:kern w:val="2"/>
                <w:sz w:val="23"/>
                <w:szCs w:val="23"/>
                <w:lang w:eastAsia="zh-CN" w:bidi="ar-SA"/>
              </w:rPr>
              <w:t>目金额</w:t>
            </w: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285" w:lineRule="auto"/>
              <w:ind w:left="0" w:right="0"/>
              <w:jc w:val="both"/>
              <w:rPr>
                <w:rFonts w:hint="default" w:ascii="Arial"/>
                <w:kern w:val="2"/>
                <w:sz w:val="21"/>
                <w:szCs w:val="21"/>
                <w:lang w:eastAsia="zh-CN" w:bidi="ar-SA"/>
              </w:rPr>
            </w:pPr>
          </w:p>
          <w:p>
            <w:pPr>
              <w:widowControl w:val="0"/>
              <w:spacing w:before="75" w:beforeAutospacing="0" w:after="0" w:afterAutospacing="0"/>
              <w:ind w:left="383" w:right="0"/>
              <w:jc w:val="both"/>
              <w:rPr>
                <w:rFonts w:hint="default" w:ascii="宋体" w:hAnsi="宋体"/>
                <w:kern w:val="2"/>
                <w:sz w:val="23"/>
                <w:szCs w:val="23"/>
                <w:lang w:eastAsia="zh-CN" w:bidi="ar-SA"/>
              </w:rPr>
            </w:pPr>
            <w:r>
              <w:rPr>
                <w:rFonts w:hint="eastAsia" w:ascii="宋体" w:hAnsi="宋体"/>
                <w:spacing w:val="-1"/>
                <w:kern w:val="2"/>
                <w:sz w:val="23"/>
                <w:szCs w:val="23"/>
                <w:lang w:eastAsia="zh-CN" w:bidi="ar-SA"/>
              </w:rPr>
              <w:t>时</w:t>
            </w:r>
            <w:r>
              <w:rPr>
                <w:rFonts w:hint="eastAsia" w:ascii="宋体" w:hAnsi="宋体"/>
                <w:kern w:val="2"/>
                <w:sz w:val="23"/>
                <w:szCs w:val="23"/>
                <w:lang w:eastAsia="zh-CN" w:bidi="ar-SA"/>
              </w:rPr>
              <w:t>间</w:t>
            </w: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line="285" w:lineRule="auto"/>
              <w:ind w:left="0" w:right="0"/>
              <w:jc w:val="both"/>
              <w:rPr>
                <w:rFonts w:hint="default" w:ascii="Arial"/>
                <w:kern w:val="2"/>
                <w:sz w:val="21"/>
                <w:szCs w:val="21"/>
                <w:lang w:eastAsia="zh-CN" w:bidi="ar-SA"/>
              </w:rPr>
            </w:pPr>
          </w:p>
          <w:p>
            <w:pPr>
              <w:widowControl w:val="0"/>
              <w:spacing w:before="75" w:beforeAutospacing="0" w:after="0" w:afterAutospacing="0"/>
              <w:ind w:left="457" w:right="0"/>
              <w:jc w:val="both"/>
              <w:rPr>
                <w:rFonts w:hint="default" w:ascii="宋体" w:hAnsi="宋体"/>
                <w:kern w:val="2"/>
                <w:sz w:val="23"/>
                <w:szCs w:val="23"/>
                <w:lang w:eastAsia="zh-CN" w:bidi="ar-SA"/>
              </w:rPr>
            </w:pPr>
            <w:r>
              <w:rPr>
                <w:rFonts w:hint="eastAsia" w:ascii="宋体" w:hAnsi="宋体"/>
                <w:spacing w:val="4"/>
                <w:kern w:val="2"/>
                <w:sz w:val="23"/>
                <w:szCs w:val="23"/>
                <w:lang w:eastAsia="zh-CN" w:bidi="ar-SA"/>
              </w:rPr>
              <w:t>备</w:t>
            </w:r>
            <w:r>
              <w:rPr>
                <w:rFonts w:hint="eastAsia" w:ascii="宋体" w:hAnsi="宋体"/>
                <w:spacing w:val="3"/>
                <w:kern w:val="2"/>
                <w:sz w:val="23"/>
                <w:szCs w:val="23"/>
                <w:lang w:eastAsia="zh-CN" w:bidi="ar-SA"/>
              </w:rPr>
              <w:t>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39"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40"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769" w:hRule="atLeast"/>
        </w:trPr>
        <w:tc>
          <w:tcPr>
            <w:tcW w:w="1205" w:type="dxa"/>
            <w:tcBorders>
              <w:top w:val="single" w:color="000000" w:sz="2" w:space="0"/>
              <w:left w:val="single" w:color="000000" w:sz="6" w:space="0"/>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950"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769"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40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213"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c>
          <w:tcPr>
            <w:tcW w:w="1381" w:type="dxa"/>
            <w:tcBorders>
              <w:top w:val="single" w:color="000000" w:sz="2" w:space="0"/>
              <w:left w:val="nil"/>
              <w:bottom w:val="single" w:color="000000" w:sz="2" w:space="0"/>
              <w:right w:val="single" w:color="000000" w:sz="6" w:space="0"/>
            </w:tcBorders>
            <w:vAlign w:val="top"/>
          </w:tcPr>
          <w:p>
            <w:pPr>
              <w:widowControl w:val="0"/>
              <w:spacing w:before="0" w:beforeAutospacing="0" w:after="0" w:afterAutospacing="0"/>
              <w:ind w:left="0" w:right="0"/>
              <w:jc w:val="both"/>
              <w:rPr>
                <w:rFonts w:hint="default" w:ascii="Arial"/>
                <w:kern w:val="2"/>
                <w:sz w:val="21"/>
                <w:szCs w:val="21"/>
                <w:lang w:eastAsia="zh-CN" w:bidi="ar-SA"/>
              </w:rPr>
            </w:pPr>
          </w:p>
        </w:tc>
      </w:tr>
    </w:tbl>
    <w:p>
      <w:pPr>
        <w:widowControl w:val="0"/>
        <w:spacing w:before="193"/>
        <w:ind w:left="103"/>
        <w:jc w:val="both"/>
        <w:outlineLvl w:val="0"/>
        <w:rPr>
          <w:rFonts w:ascii="宋体" w:hAnsi="宋体"/>
          <w:kern w:val="2"/>
          <w:sz w:val="23"/>
          <w:szCs w:val="23"/>
          <w:lang w:eastAsia="zh-CN" w:bidi="ar-SA"/>
        </w:rPr>
      </w:pPr>
      <w:r>
        <w:rPr>
          <w:rFonts w:hint="eastAsia" w:ascii="宋体" w:hAnsi="宋体"/>
          <w:spacing w:val="16"/>
          <w:kern w:val="2"/>
          <w:sz w:val="23"/>
          <w:szCs w:val="23"/>
          <w:lang w:eastAsia="zh-CN" w:bidi="ar-SA"/>
        </w:rPr>
        <w:t>附：</w:t>
      </w:r>
      <w:r>
        <w:rPr>
          <w:rFonts w:hint="eastAsia" w:ascii="宋体" w:hAnsi="宋体"/>
          <w:spacing w:val="15"/>
          <w:kern w:val="2"/>
          <w:sz w:val="23"/>
          <w:szCs w:val="23"/>
          <w:lang w:eastAsia="zh-CN" w:bidi="ar-SA"/>
        </w:rPr>
        <w:t>提</w:t>
      </w:r>
      <w:r>
        <w:rPr>
          <w:rFonts w:hint="eastAsia" w:ascii="宋体" w:hAnsi="宋体"/>
          <w:spacing w:val="8"/>
          <w:kern w:val="2"/>
          <w:sz w:val="23"/>
          <w:szCs w:val="23"/>
          <w:lang w:eastAsia="zh-CN" w:bidi="ar-SA"/>
        </w:rPr>
        <w:t>供能证明该案例真实存在的证明材料及活动现场照片加盖公章。</w:t>
      </w:r>
    </w:p>
    <w:p>
      <w:pPr>
        <w:widowControl w:val="0"/>
        <w:jc w:val="both"/>
        <w:rPr>
          <w:kern w:val="2"/>
          <w:sz w:val="21"/>
          <w:szCs w:val="21"/>
          <w:lang w:eastAsia="zh-CN" w:bidi="ar-SA"/>
        </w:rPr>
        <w:sectPr>
          <w:pgSz w:w="12240" w:h="15840"/>
          <w:pgMar w:top="1440" w:right="1800" w:bottom="1440" w:left="1800" w:header="720" w:footer="720" w:gutter="0"/>
          <w:pgNumType w:fmt="decimal"/>
          <w:cols w:space="720" w:num="1"/>
        </w:sectPr>
      </w:pPr>
    </w:p>
    <w:p>
      <w:pPr>
        <w:numPr>
          <w:ilvl w:val="0"/>
          <w:numId w:val="14"/>
        </w:numPr>
        <w:adjustRightInd w:val="0"/>
        <w:snapToGrid w:val="0"/>
        <w:ind w:left="0" w:leftChars="0" w:firstLine="3486" w:firstLineChars="1240"/>
        <w:jc w:val="left"/>
        <w:outlineLvl w:val="1"/>
        <w:rPr>
          <w:rFonts w:hint="eastAsia" w:ascii="宋体" w:hAnsi="宋体"/>
          <w:b/>
          <w:bCs/>
          <w:sz w:val="28"/>
          <w:szCs w:val="28"/>
          <w:lang w:eastAsia="zh-CN"/>
        </w:rPr>
      </w:pPr>
      <w:bookmarkStart w:id="25" w:name="_Toc26343"/>
      <w:r>
        <w:rPr>
          <w:rFonts w:hint="eastAsia" w:ascii="宋体" w:hAnsi="宋体"/>
          <w:b/>
          <w:bCs/>
          <w:sz w:val="28"/>
          <w:szCs w:val="28"/>
          <w:lang w:eastAsia="zh-CN"/>
        </w:rPr>
        <w:t>投标人资格承诺书</w:t>
      </w:r>
      <w:bookmarkEnd w:id="25"/>
    </w:p>
    <w:p>
      <w:pPr>
        <w:numPr>
          <w:ilvl w:val="0"/>
          <w:numId w:val="0"/>
        </w:numPr>
        <w:adjustRightInd w:val="0"/>
        <w:snapToGrid w:val="0"/>
        <w:ind w:leftChars="1240"/>
        <w:jc w:val="both"/>
        <w:outlineLvl w:val="1"/>
        <w:rPr>
          <w:rFonts w:hint="eastAsia" w:ascii="宋体" w:hAnsi="宋体"/>
          <w:b/>
          <w:bCs/>
          <w:sz w:val="28"/>
          <w:szCs w:val="28"/>
          <w:lang w:eastAsia="zh-CN"/>
        </w:rPr>
      </w:pPr>
    </w:p>
    <w:p>
      <w:pPr>
        <w:adjustRightInd w:val="0"/>
        <w:snapToGrid w:val="0"/>
        <w:ind w:firstLine="2479" w:firstLineChars="1029"/>
        <w:rPr>
          <w:rFonts w:hint="eastAsia" w:ascii="宋体" w:hAnsi="宋体"/>
          <w:b/>
          <w:bCs/>
          <w:lang w:eastAsia="zh-CN"/>
        </w:rPr>
      </w:pPr>
    </w:p>
    <w:p>
      <w:pPr>
        <w:adjustRightInd w:val="0"/>
        <w:snapToGrid w:val="0"/>
        <w:spacing w:line="360" w:lineRule="auto"/>
        <w:rPr>
          <w:rFonts w:hint="eastAsia" w:ascii="宋体" w:hAnsi="宋体"/>
          <w:b/>
          <w:bCs/>
          <w:lang w:eastAsia="zh-CN"/>
        </w:rPr>
      </w:pPr>
      <w:r>
        <w:rPr>
          <w:rFonts w:hint="eastAsia" w:ascii="宋体" w:hAnsi="宋体"/>
          <w:b/>
          <w:bCs/>
          <w:lang w:eastAsia="zh-CN"/>
        </w:rPr>
        <w:t>致：海南华教设备招标有限公司</w:t>
      </w:r>
    </w:p>
    <w:p>
      <w:pPr>
        <w:spacing w:line="360" w:lineRule="auto"/>
        <w:ind w:firstLine="480"/>
        <w:rPr>
          <w:rFonts w:hint="eastAsia" w:ascii="宋体" w:hAnsi="宋体" w:cs="宋体"/>
          <w:color w:val="000000"/>
        </w:rPr>
      </w:pPr>
    </w:p>
    <w:p>
      <w:pPr>
        <w:spacing w:line="360" w:lineRule="auto"/>
        <w:ind w:firstLine="480" w:firstLineChars="200"/>
        <w:rPr>
          <w:rFonts w:hint="eastAsia" w:ascii="宋体" w:hAnsi="宋体" w:cs="宋体"/>
          <w:color w:val="000000"/>
        </w:rPr>
      </w:pPr>
      <w:r>
        <w:rPr>
          <w:rFonts w:hint="eastAsia" w:ascii="宋体" w:hAnsi="宋体" w:cs="宋体"/>
          <w:color w:val="000000"/>
        </w:rPr>
        <w:t>我单位参与</w:t>
      </w:r>
      <w:r>
        <w:rPr>
          <w:rFonts w:hint="eastAsia" w:ascii="宋体" w:hAnsi="宋体" w:cs="宋体"/>
          <w:color w:val="000000"/>
          <w:u w:val="single"/>
        </w:rPr>
        <w:t>（项目名称）（项目编号）</w:t>
      </w:r>
      <w:r>
        <w:rPr>
          <w:rFonts w:hint="eastAsia" w:ascii="宋体" w:hAnsi="宋体" w:cs="宋体"/>
          <w:color w:val="000000"/>
        </w:rPr>
        <w:t>项目的政府采购活动，现承诺如下：</w:t>
      </w:r>
    </w:p>
    <w:p>
      <w:pPr>
        <w:spacing w:line="360" w:lineRule="auto"/>
        <w:ind w:firstLine="480" w:firstLineChars="200"/>
        <w:rPr>
          <w:rFonts w:hint="eastAsia" w:ascii="宋体" w:hAnsi="宋体" w:cs="宋体"/>
          <w:color w:val="000000"/>
        </w:rPr>
      </w:pPr>
      <w:r>
        <w:rPr>
          <w:rFonts w:hint="eastAsia" w:ascii="宋体" w:hAnsi="宋体" w:cs="宋体"/>
          <w:color w:val="000000"/>
        </w:rPr>
        <w:t>1.我单位满足《中华人民共和国政府采购法》第二十二条规定</w:t>
      </w:r>
    </w:p>
    <w:p>
      <w:pPr>
        <w:spacing w:line="360" w:lineRule="auto"/>
        <w:ind w:firstLine="480" w:firstLineChars="200"/>
        <w:rPr>
          <w:rFonts w:hint="eastAsia" w:ascii="宋体" w:hAnsi="宋体" w:cs="宋体"/>
          <w:color w:val="000000"/>
        </w:rPr>
      </w:pPr>
      <w:r>
        <w:rPr>
          <w:rFonts w:hint="eastAsia" w:ascii="宋体" w:hAnsi="宋体" w:cs="宋体"/>
          <w:color w:val="000000"/>
        </w:rPr>
        <w:t>2.我单位具有符合《中华人民共和国政府采购法》《中华人民共和国政府采购法实施条例》及采购文件资格要求规定的良好的商业信誉和健全的财务会计制度。</w:t>
      </w:r>
    </w:p>
    <w:p>
      <w:pPr>
        <w:spacing w:line="360" w:lineRule="auto"/>
        <w:ind w:firstLine="480" w:firstLineChars="200"/>
        <w:rPr>
          <w:rFonts w:hint="eastAsia" w:ascii="宋体" w:hAnsi="宋体" w:cs="宋体"/>
          <w:color w:val="000000"/>
        </w:rPr>
      </w:pPr>
      <w:r>
        <w:rPr>
          <w:rFonts w:hint="eastAsia" w:ascii="宋体" w:hAnsi="宋体" w:cs="宋体"/>
          <w:color w:val="000000"/>
        </w:rPr>
        <w:t>3.我单位具有符合《中华人民共和国政府采购法》《中华人民共和国政府采购法实施条例》及采购文件资格要求规定的履行合同所必需的设备和专业技术能力。</w:t>
      </w:r>
    </w:p>
    <w:p>
      <w:pPr>
        <w:spacing w:line="360" w:lineRule="auto"/>
        <w:ind w:firstLine="480" w:firstLineChars="200"/>
        <w:rPr>
          <w:rFonts w:hint="eastAsia" w:ascii="宋体" w:hAnsi="宋体" w:cs="宋体"/>
          <w:color w:val="000000"/>
        </w:rPr>
      </w:pPr>
      <w:r>
        <w:rPr>
          <w:rFonts w:hint="eastAsia" w:ascii="宋体" w:hAnsi="宋体" w:cs="宋体"/>
          <w:color w:val="000000"/>
        </w:rPr>
        <w:t>4.我单位具有符合《中华人民共和国政府采购法》《中华人民共和国政府采购法实施条例》及采购文件资格要求规定的依法缴纳税收和社会保障资金的相关证明材料。</w:t>
      </w:r>
    </w:p>
    <w:p>
      <w:pPr>
        <w:spacing w:line="360" w:lineRule="auto"/>
        <w:ind w:firstLine="480" w:firstLineChars="200"/>
        <w:rPr>
          <w:rFonts w:hint="eastAsia" w:ascii="宋体" w:hAnsi="宋体" w:cs="宋体"/>
          <w:color w:val="000000"/>
        </w:rPr>
      </w:pPr>
      <w:r>
        <w:rPr>
          <w:rFonts w:hint="eastAsia" w:ascii="宋体" w:hAnsi="宋体" w:cs="宋体"/>
          <w:color w:val="000000"/>
        </w:rPr>
        <w:t>5.我单位符合《中华人民共和国政府采购法》《中华人民共和国政府采购法实施条例》及采购文件资格要求规定的在参加政府采购活动前三年内，在经营活动中没有重大违法记录；</w:t>
      </w:r>
      <w:r>
        <w:rPr>
          <w:rFonts w:hint="eastAsia" w:ascii="宋体" w:hAnsi="宋体" w:cs="宋体"/>
        </w:rPr>
        <w:t>截至投标截止日未被列入“失信被执行人、重大税收违法案件当事人名单、政府采购严重违法失信行为记录名单”。</w:t>
      </w:r>
    </w:p>
    <w:p>
      <w:pPr>
        <w:spacing w:line="360" w:lineRule="auto"/>
        <w:ind w:firstLine="540" w:firstLineChars="225"/>
        <w:rPr>
          <w:rFonts w:hint="eastAsia" w:ascii="宋体" w:hAnsi="宋体" w:cs="宋体"/>
        </w:rPr>
      </w:pPr>
      <w:r>
        <w:rPr>
          <w:rFonts w:hint="eastAsia"/>
        </w:rPr>
        <w:t>6.</w:t>
      </w:r>
      <w:r>
        <w:rPr>
          <w:rFonts w:hint="eastAsia" w:ascii="宋体" w:hAnsi="宋体" w:cs="宋体"/>
        </w:rPr>
        <w:t>我单位在参加政府采购活动前三年内没有环保类行政处罚记录。</w:t>
      </w:r>
    </w:p>
    <w:p>
      <w:pPr>
        <w:pStyle w:val="165"/>
        <w:spacing w:line="360" w:lineRule="auto"/>
        <w:ind w:firstLine="480"/>
        <w:rPr>
          <w:rFonts w:hint="eastAsia"/>
        </w:rPr>
      </w:pPr>
    </w:p>
    <w:p>
      <w:pPr>
        <w:spacing w:line="360" w:lineRule="auto"/>
        <w:ind w:firstLine="480" w:firstLineChars="200"/>
        <w:rPr>
          <w:rFonts w:hint="eastAsia" w:ascii="宋体" w:hAnsi="宋体" w:cs="宋体"/>
          <w:color w:val="000000"/>
        </w:rPr>
      </w:pPr>
      <w:r>
        <w:rPr>
          <w:rFonts w:hint="eastAsia" w:ascii="宋体" w:hAnsi="宋体" w:cs="宋体"/>
          <w:color w:val="000000"/>
        </w:rPr>
        <w:t>7.我单位符合《中华人民共和国政府采购法》《中华人民共和国政府采购法实施条例》及采购文件资格要求规定的符合法律、行政法规规定的其他条件;</w:t>
      </w:r>
    </w:p>
    <w:p>
      <w:pPr>
        <w:spacing w:line="360" w:lineRule="auto"/>
        <w:ind w:firstLine="480" w:firstLineChars="200"/>
        <w:rPr>
          <w:rFonts w:hint="eastAsia" w:ascii="宋体" w:hAnsi="宋体" w:cs="宋体"/>
          <w:color w:val="000000"/>
        </w:rPr>
      </w:pPr>
      <w:r>
        <w:rPr>
          <w:rFonts w:hint="eastAsia" w:ascii="宋体" w:hAnsi="宋体" w:cs="宋体"/>
          <w:color w:val="000000"/>
        </w:rPr>
        <w:t>同意此承诺书在海南省的政府采购信息发布平台公示，接受社会各界监督。若我单位以上承诺不实，自愿承担提供虚假材料谋取中标、成交的法律责任。</w:t>
      </w:r>
    </w:p>
    <w:p>
      <w:pPr>
        <w:spacing w:line="360" w:lineRule="auto"/>
        <w:ind w:firstLine="480"/>
        <w:rPr>
          <w:rFonts w:hint="eastAsia" w:ascii="宋体" w:hAnsi="宋体" w:cs="宋体"/>
          <w:color w:val="000000"/>
        </w:rPr>
      </w:pPr>
    </w:p>
    <w:p>
      <w:pPr>
        <w:spacing w:line="360" w:lineRule="auto"/>
        <w:ind w:firstLine="480"/>
        <w:rPr>
          <w:rFonts w:hint="eastAsia" w:ascii="宋体" w:hAnsi="宋体" w:cs="宋体"/>
          <w:color w:val="000000"/>
        </w:rPr>
      </w:pPr>
    </w:p>
    <w:p>
      <w:pPr>
        <w:spacing w:line="360" w:lineRule="auto"/>
        <w:ind w:firstLine="480"/>
        <w:rPr>
          <w:rFonts w:hint="eastAsia" w:ascii="宋体" w:hAnsi="宋体" w:cs="宋体"/>
          <w:color w:val="000000"/>
          <w:u w:val="single"/>
        </w:rPr>
      </w:pPr>
      <w:r>
        <w:rPr>
          <w:rFonts w:hint="eastAsia" w:ascii="宋体" w:hAnsi="宋体" w:cs="宋体"/>
          <w:color w:val="000000"/>
        </w:rPr>
        <w:t>承诺供应商：（全称并加盖公章）</w:t>
      </w:r>
    </w:p>
    <w:p>
      <w:pPr>
        <w:spacing w:line="360" w:lineRule="auto"/>
        <w:ind w:firstLine="480"/>
        <w:rPr>
          <w:rFonts w:hint="eastAsia" w:ascii="宋体" w:hAnsi="宋体" w:cs="宋体"/>
          <w:color w:val="000000"/>
          <w:u w:val="single"/>
        </w:rPr>
      </w:pPr>
      <w:r>
        <w:rPr>
          <w:rFonts w:hint="eastAsia" w:ascii="宋体" w:hAnsi="宋体" w:cs="宋体"/>
          <w:color w:val="000000"/>
        </w:rPr>
        <w:t>法定代表人或授权代表：（签字）</w:t>
      </w:r>
    </w:p>
    <w:p>
      <w:pPr>
        <w:spacing w:line="360" w:lineRule="auto"/>
        <w:ind w:firstLine="480"/>
        <w:rPr>
          <w:rFonts w:hint="eastAsia" w:ascii="宋体" w:hAnsi="宋体" w:cs="宋体"/>
          <w:color w:val="000000"/>
        </w:rPr>
      </w:pPr>
      <w:r>
        <w:rPr>
          <w:rFonts w:hint="eastAsia" w:ascii="宋体" w:hAnsi="宋体" w:cs="宋体"/>
          <w:color w:val="000000"/>
        </w:rPr>
        <w:t>日期：</w:t>
      </w:r>
    </w:p>
    <w:p>
      <w:pPr>
        <w:spacing w:line="360" w:lineRule="auto"/>
        <w:ind w:right="-588" w:rightChars="-245"/>
        <w:rPr>
          <w:rFonts w:hint="eastAsia" w:ascii="宋体" w:hAnsi="宋体"/>
          <w:lang w:eastAsia="zh-CN"/>
        </w:rPr>
      </w:pPr>
    </w:p>
    <w:p>
      <w:pPr>
        <w:numPr>
          <w:ilvl w:val="0"/>
          <w:numId w:val="15"/>
        </w:numPr>
        <w:jc w:val="center"/>
        <w:outlineLvl w:val="1"/>
        <w:rPr>
          <w:rFonts w:hint="eastAsia" w:ascii="宋体" w:hAnsi="宋体"/>
          <w:b/>
          <w:bCs/>
          <w:sz w:val="28"/>
          <w:szCs w:val="28"/>
          <w:lang w:eastAsia="zh-CN"/>
        </w:rPr>
      </w:pPr>
      <w:r>
        <w:rPr>
          <w:rFonts w:hint="eastAsia" w:ascii="宋体" w:hAnsi="宋体"/>
          <w:bCs/>
          <w:lang w:eastAsia="zh-CN"/>
        </w:rPr>
        <w:br w:type="page"/>
      </w:r>
      <w:bookmarkStart w:id="26" w:name="_Toc183588718"/>
      <w:bookmarkStart w:id="27" w:name="_Toc6647"/>
      <w:r>
        <w:rPr>
          <w:rFonts w:hint="eastAsia" w:ascii="宋体" w:hAnsi="宋体"/>
          <w:b/>
          <w:bCs/>
          <w:sz w:val="28"/>
          <w:szCs w:val="28"/>
          <w:lang w:eastAsia="zh-CN"/>
        </w:rPr>
        <w:t>代理服务费承诺书（格式）</w:t>
      </w:r>
      <w:bookmarkEnd w:id="26"/>
      <w:bookmarkEnd w:id="27"/>
    </w:p>
    <w:p>
      <w:pPr>
        <w:pStyle w:val="2"/>
        <w:numPr>
          <w:ilvl w:val="0"/>
          <w:numId w:val="0"/>
        </w:numPr>
        <w:rPr>
          <w:rFonts w:hint="eastAsia"/>
        </w:rPr>
      </w:pPr>
    </w:p>
    <w:p>
      <w:pPr>
        <w:pStyle w:val="28"/>
        <w:spacing w:line="360" w:lineRule="auto"/>
        <w:ind w:firstLine="448" w:firstLineChars="200"/>
        <w:rPr>
          <w:rFonts w:hint="eastAsia" w:hAnsi="宋体"/>
          <w:szCs w:val="24"/>
        </w:rPr>
      </w:pPr>
      <w:r>
        <w:rPr>
          <w:rFonts w:hint="eastAsia" w:hAnsi="宋体"/>
          <w:szCs w:val="24"/>
        </w:rPr>
        <w:t>致：海南华教设备招标有限公司</w:t>
      </w:r>
    </w:p>
    <w:p>
      <w:pPr>
        <w:pStyle w:val="28"/>
        <w:spacing w:line="360" w:lineRule="auto"/>
        <w:ind w:firstLine="448" w:firstLineChars="200"/>
        <w:rPr>
          <w:rFonts w:hint="eastAsia" w:hAnsi="宋体"/>
          <w:szCs w:val="24"/>
        </w:rPr>
      </w:pPr>
      <w:r>
        <w:rPr>
          <w:rFonts w:hAnsi="宋体"/>
          <w:szCs w:val="24"/>
        </w:rPr>
        <w:tab/>
      </w:r>
      <w:r>
        <w:rPr>
          <w:rFonts w:hint="eastAsia" w:hAnsi="宋体"/>
          <w:szCs w:val="24"/>
        </w:rPr>
        <w:t>我们在贵公司组织的</w:t>
      </w:r>
      <w:r>
        <w:rPr>
          <w:rFonts w:hAnsi="宋体"/>
          <w:szCs w:val="24"/>
          <w:u w:val="single"/>
        </w:rPr>
        <w:tab/>
      </w:r>
      <w:r>
        <w:rPr>
          <w:rFonts w:hAnsi="宋体"/>
          <w:szCs w:val="24"/>
          <w:u w:val="single"/>
        </w:rPr>
        <w:tab/>
      </w:r>
      <w:r>
        <w:rPr>
          <w:rFonts w:hint="eastAsia" w:hAnsi="宋体"/>
          <w:szCs w:val="24"/>
        </w:rPr>
        <w:t>项目（设备）采购活动中若获成中标人（项目文件编号：</w:t>
      </w:r>
      <w:r>
        <w:rPr>
          <w:rFonts w:hAnsi="宋体"/>
          <w:szCs w:val="24"/>
          <w:u w:val="single"/>
        </w:rPr>
        <w:tab/>
      </w:r>
      <w:r>
        <w:rPr>
          <w:rFonts w:hAnsi="宋体"/>
          <w:szCs w:val="24"/>
          <w:u w:val="single"/>
        </w:rPr>
        <w:tab/>
      </w:r>
      <w:r>
        <w:rPr>
          <w:rFonts w:hint="eastAsia" w:hAnsi="宋体"/>
          <w:szCs w:val="24"/>
        </w:rPr>
        <w:t>），我们保证在签订合同的同时按招标文件的规定，在领取《中标通知书》时以支票、汇票或现金方式，向贵公司一次性支付应该交纳的代理服务费用。收费标准按</w:t>
      </w:r>
      <w:r>
        <w:rPr>
          <w:rFonts w:hint="eastAsia" w:hAnsi="宋体"/>
        </w:rPr>
        <w:t>“</w:t>
      </w:r>
      <w:r>
        <w:rPr>
          <w:rFonts w:hAnsi="宋体"/>
          <w:bCs/>
        </w:rPr>
        <w:t>中华人民共和国国家计划委员会</w:t>
      </w:r>
      <w:r>
        <w:rPr>
          <w:rFonts w:hAnsi="宋体"/>
        </w:rPr>
        <w:t>[计价格［2002］1980号]</w:t>
      </w:r>
      <w:r>
        <w:rPr>
          <w:rFonts w:hint="eastAsia" w:hAnsi="宋体"/>
        </w:rPr>
        <w:t>”文件规定收取</w:t>
      </w:r>
      <w:r>
        <w:rPr>
          <w:rFonts w:hint="eastAsia" w:hAnsi="宋体"/>
          <w:szCs w:val="24"/>
        </w:rPr>
        <w:t>。</w:t>
      </w:r>
    </w:p>
    <w:p>
      <w:pPr>
        <w:pStyle w:val="28"/>
        <w:spacing w:line="360" w:lineRule="auto"/>
        <w:ind w:firstLine="448" w:firstLineChars="200"/>
        <w:rPr>
          <w:rFonts w:hAnsi="宋体"/>
          <w:szCs w:val="24"/>
        </w:rPr>
      </w:pPr>
    </w:p>
    <w:p>
      <w:pPr>
        <w:pStyle w:val="28"/>
        <w:spacing w:line="360" w:lineRule="auto"/>
        <w:ind w:firstLine="448" w:firstLineChars="200"/>
        <w:rPr>
          <w:rFonts w:hAnsi="宋体"/>
          <w:szCs w:val="24"/>
        </w:rPr>
      </w:pPr>
      <w:r>
        <w:rPr>
          <w:rFonts w:hAnsi="宋体"/>
          <w:szCs w:val="24"/>
        </w:rPr>
        <w:tab/>
      </w:r>
      <w:r>
        <w:rPr>
          <w:rFonts w:hAnsi="宋体"/>
          <w:szCs w:val="24"/>
        </w:rPr>
        <w:tab/>
      </w:r>
      <w:r>
        <w:rPr>
          <w:rFonts w:hint="eastAsia" w:hAnsi="宋体"/>
          <w:szCs w:val="24"/>
        </w:rPr>
        <w:t>特此承诺！</w:t>
      </w:r>
    </w:p>
    <w:p>
      <w:pPr>
        <w:pStyle w:val="28"/>
        <w:spacing w:line="360" w:lineRule="auto"/>
        <w:ind w:firstLine="448" w:firstLineChars="200"/>
        <w:rPr>
          <w:rFonts w:hint="eastAsia" w:hAnsi="宋体"/>
          <w:szCs w:val="24"/>
        </w:rPr>
      </w:pPr>
    </w:p>
    <w:p>
      <w:pPr>
        <w:pStyle w:val="28"/>
        <w:spacing w:line="360" w:lineRule="auto"/>
        <w:ind w:firstLine="448" w:firstLineChars="200"/>
        <w:rPr>
          <w:rFonts w:hAnsi="宋体"/>
          <w:szCs w:val="24"/>
        </w:rPr>
      </w:pPr>
      <w:r>
        <w:rPr>
          <w:rFonts w:hAnsi="宋体"/>
          <w:szCs w:val="24"/>
        </w:rPr>
        <w:tab/>
      </w:r>
      <w:r>
        <w:rPr>
          <w:rFonts w:hint="eastAsia" w:hAnsi="宋体"/>
          <w:szCs w:val="24"/>
        </w:rPr>
        <w:t>承诺方法定名称：</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pPr>
        <w:pStyle w:val="28"/>
        <w:spacing w:line="360" w:lineRule="auto"/>
        <w:ind w:firstLine="448" w:firstLineChars="200"/>
        <w:rPr>
          <w:rFonts w:hAnsi="宋体"/>
          <w:szCs w:val="24"/>
        </w:rPr>
      </w:pPr>
      <w:r>
        <w:rPr>
          <w:rFonts w:hAnsi="宋体"/>
          <w:szCs w:val="24"/>
        </w:rPr>
        <w:tab/>
      </w:r>
      <w:r>
        <w:rPr>
          <w:rFonts w:hint="eastAsia" w:hAnsi="宋体"/>
          <w:szCs w:val="24"/>
        </w:rPr>
        <w:t>地址：</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pPr>
        <w:pStyle w:val="28"/>
        <w:spacing w:line="360" w:lineRule="auto"/>
        <w:ind w:firstLine="448" w:firstLineChars="200"/>
        <w:rPr>
          <w:rFonts w:hAnsi="宋体"/>
          <w:szCs w:val="24"/>
        </w:rPr>
      </w:pPr>
      <w:r>
        <w:rPr>
          <w:rFonts w:hAnsi="宋体"/>
          <w:szCs w:val="24"/>
        </w:rPr>
        <w:tab/>
      </w:r>
      <w:r>
        <w:rPr>
          <w:rFonts w:hint="eastAsia" w:hAnsi="宋体"/>
          <w:szCs w:val="24"/>
        </w:rPr>
        <w:t>电话：</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int="eastAsia" w:hAnsi="宋体"/>
          <w:szCs w:val="24"/>
        </w:rPr>
        <w:t>传真：</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pPr>
        <w:pStyle w:val="28"/>
        <w:spacing w:line="360" w:lineRule="auto"/>
        <w:ind w:firstLine="448" w:firstLineChars="200"/>
        <w:rPr>
          <w:rFonts w:hAnsi="宋体"/>
          <w:szCs w:val="24"/>
        </w:rPr>
      </w:pPr>
      <w:r>
        <w:rPr>
          <w:rFonts w:hAnsi="宋体"/>
          <w:szCs w:val="24"/>
        </w:rPr>
        <w:tab/>
      </w:r>
      <w:r>
        <w:rPr>
          <w:rFonts w:hint="eastAsia" w:hAnsi="宋体"/>
          <w:szCs w:val="24"/>
        </w:rPr>
        <w:t>电传：</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int="eastAsia" w:hAnsi="宋体"/>
          <w:szCs w:val="24"/>
        </w:rPr>
        <w:t>邮编：</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p>
    <w:p>
      <w:pPr>
        <w:pStyle w:val="28"/>
        <w:spacing w:line="360" w:lineRule="auto"/>
        <w:ind w:firstLine="448" w:firstLineChars="200"/>
        <w:rPr>
          <w:rFonts w:hAnsi="宋体"/>
          <w:szCs w:val="24"/>
        </w:rPr>
      </w:pPr>
      <w:r>
        <w:rPr>
          <w:rFonts w:hAnsi="宋体"/>
          <w:szCs w:val="24"/>
        </w:rPr>
        <w:tab/>
      </w:r>
      <w:r>
        <w:rPr>
          <w:rFonts w:hint="eastAsia" w:hAnsi="宋体"/>
          <w:szCs w:val="24"/>
        </w:rPr>
        <w:t>承诺方授权代表签字：</w:t>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Ansi="宋体"/>
          <w:szCs w:val="24"/>
        </w:rPr>
        <w:tab/>
      </w:r>
      <w:r>
        <w:rPr>
          <w:rFonts w:hint="eastAsia" w:hAnsi="宋体"/>
          <w:szCs w:val="24"/>
        </w:rPr>
        <w:t>（承诺方盖章）</w:t>
      </w:r>
    </w:p>
    <w:p>
      <w:pPr>
        <w:pStyle w:val="28"/>
        <w:spacing w:line="360" w:lineRule="auto"/>
        <w:ind w:firstLine="448" w:firstLineChars="200"/>
        <w:rPr>
          <w:rFonts w:hint="eastAsia" w:hAnsi="宋体"/>
          <w:szCs w:val="24"/>
        </w:rPr>
      </w:pPr>
      <w:r>
        <w:rPr>
          <w:rFonts w:hAnsi="宋体"/>
          <w:szCs w:val="24"/>
        </w:rPr>
        <w:tab/>
      </w:r>
      <w:r>
        <w:rPr>
          <w:rFonts w:hint="eastAsia" w:hAnsi="宋体"/>
          <w:szCs w:val="24"/>
        </w:rPr>
        <w:t>承诺日期：</w:t>
      </w:r>
      <w:r>
        <w:rPr>
          <w:rFonts w:hAnsi="宋体"/>
          <w:szCs w:val="24"/>
        </w:rPr>
        <w:tab/>
      </w:r>
      <w:r>
        <w:rPr>
          <w:rFonts w:hAnsi="宋体"/>
          <w:szCs w:val="24"/>
        </w:rPr>
        <w:tab/>
      </w:r>
      <w:r>
        <w:rPr>
          <w:rFonts w:hAnsi="宋体"/>
          <w:szCs w:val="24"/>
        </w:rPr>
        <w:tab/>
      </w:r>
      <w:r>
        <w:rPr>
          <w:rFonts w:hAnsi="宋体"/>
          <w:szCs w:val="24"/>
        </w:rPr>
        <w:tab/>
      </w:r>
    </w:p>
    <w:p>
      <w:pPr>
        <w:pStyle w:val="28"/>
        <w:ind w:firstLine="448" w:firstLineChars="200"/>
        <w:rPr>
          <w:rFonts w:hint="eastAsia" w:hAnsi="宋体"/>
          <w:szCs w:val="24"/>
        </w:rPr>
      </w:pPr>
    </w:p>
    <w:p>
      <w:pPr>
        <w:pStyle w:val="28"/>
        <w:ind w:firstLine="448" w:firstLineChars="200"/>
        <w:rPr>
          <w:rFonts w:hint="eastAsia" w:hAnsi="宋体"/>
          <w:szCs w:val="24"/>
        </w:rPr>
      </w:pPr>
    </w:p>
    <w:p>
      <w:pPr>
        <w:pStyle w:val="28"/>
        <w:ind w:firstLine="448" w:firstLineChars="200"/>
        <w:rPr>
          <w:rFonts w:hint="eastAsia" w:hAnsi="宋体"/>
          <w:szCs w:val="24"/>
        </w:rPr>
      </w:pPr>
    </w:p>
    <w:p>
      <w:pPr>
        <w:pStyle w:val="28"/>
        <w:ind w:firstLine="448" w:firstLineChars="200"/>
        <w:rPr>
          <w:rFonts w:hint="eastAsia" w:hAnsi="宋体"/>
          <w:szCs w:val="24"/>
        </w:rPr>
      </w:pPr>
    </w:p>
    <w:p>
      <w:pPr>
        <w:pStyle w:val="28"/>
        <w:ind w:firstLine="448" w:firstLineChars="200"/>
        <w:rPr>
          <w:rFonts w:hint="eastAsia" w:hAnsi="宋体"/>
          <w:szCs w:val="24"/>
        </w:rPr>
      </w:pPr>
    </w:p>
    <w:p>
      <w:pPr>
        <w:numPr>
          <w:ilvl w:val="0"/>
          <w:numId w:val="15"/>
        </w:numPr>
        <w:spacing w:before="91"/>
        <w:ind w:left="0" w:leftChars="0" w:firstLine="0" w:firstLineChars="0"/>
        <w:jc w:val="center"/>
        <w:rPr>
          <w:rFonts w:hint="eastAsia" w:ascii="宋体" w:hAnsi="宋体"/>
          <w:b/>
          <w:kern w:val="2"/>
          <w:sz w:val="28"/>
          <w:szCs w:val="28"/>
          <w:lang w:eastAsia="zh-CN" w:bidi="ar-SA"/>
        </w:rPr>
      </w:pPr>
      <w:r>
        <w:rPr>
          <w:rFonts w:hint="eastAsia" w:ascii="宋体" w:hAnsi="宋体"/>
          <w:b/>
          <w:spacing w:val="-1"/>
          <w:kern w:val="2"/>
          <w:sz w:val="28"/>
          <w:szCs w:val="28"/>
          <w:lang w:eastAsia="zh-CN" w:bidi="ar-SA"/>
        </w:rPr>
        <w:t>其他材</w:t>
      </w:r>
      <w:r>
        <w:rPr>
          <w:rFonts w:hint="eastAsia" w:ascii="宋体" w:hAnsi="宋体"/>
          <w:b/>
          <w:kern w:val="2"/>
          <w:sz w:val="28"/>
          <w:szCs w:val="28"/>
          <w:lang w:eastAsia="zh-CN" w:bidi="ar-SA"/>
        </w:rPr>
        <w:t>料</w:t>
      </w:r>
    </w:p>
    <w:p>
      <w:pPr>
        <w:numPr>
          <w:ilvl w:val="0"/>
          <w:numId w:val="0"/>
        </w:numPr>
        <w:spacing w:before="91"/>
        <w:ind w:leftChars="0"/>
        <w:rPr>
          <w:rFonts w:hint="eastAsia" w:ascii="宋体" w:hAnsi="宋体"/>
          <w:b/>
          <w:kern w:val="2"/>
          <w:sz w:val="28"/>
          <w:szCs w:val="28"/>
          <w:lang w:eastAsia="zh-CN" w:bidi="ar-SA"/>
        </w:rPr>
      </w:pPr>
    </w:p>
    <w:p>
      <w:pPr>
        <w:spacing w:before="134"/>
        <w:ind w:left="1426"/>
        <w:rPr>
          <w:rFonts w:ascii="宋体" w:hAnsi="宋体"/>
          <w:kern w:val="2"/>
          <w:sz w:val="23"/>
          <w:szCs w:val="23"/>
          <w:lang w:eastAsia="zh-CN" w:bidi="ar-SA"/>
        </w:rPr>
      </w:pPr>
      <w:r>
        <w:rPr>
          <w:rFonts w:hint="eastAsia" w:ascii="宋体" w:hAnsi="宋体"/>
          <w:spacing w:val="26"/>
          <w:kern w:val="2"/>
          <w:sz w:val="23"/>
          <w:szCs w:val="23"/>
          <w:lang w:eastAsia="zh-CN" w:bidi="ar-SA"/>
        </w:rPr>
        <w:t>(</w:t>
      </w:r>
      <w:r>
        <w:rPr>
          <w:rFonts w:hint="eastAsia" w:ascii="宋体" w:hAnsi="宋体"/>
          <w:spacing w:val="15"/>
          <w:kern w:val="2"/>
          <w:sz w:val="23"/>
          <w:szCs w:val="23"/>
          <w:lang w:eastAsia="zh-CN" w:bidi="ar-SA"/>
        </w:rPr>
        <w:t>附</w:t>
      </w:r>
      <w:r>
        <w:rPr>
          <w:rFonts w:hint="eastAsia" w:ascii="宋体" w:hAnsi="宋体"/>
          <w:spacing w:val="13"/>
          <w:kern w:val="2"/>
          <w:sz w:val="23"/>
          <w:szCs w:val="23"/>
          <w:lang w:eastAsia="zh-CN" w:bidi="ar-SA"/>
        </w:rPr>
        <w:t>投标人认为需要的、涉及评分的其他相关材料)</w:t>
      </w:r>
    </w:p>
    <w:p>
      <w:pPr>
        <w:pStyle w:val="28"/>
        <w:ind w:firstLine="448" w:firstLineChars="200"/>
        <w:rPr>
          <w:rFonts w:hint="eastAsia" w:hAnsi="宋体"/>
          <w:szCs w:val="24"/>
        </w:rPr>
      </w:pPr>
    </w:p>
    <w:p>
      <w:pPr>
        <w:spacing w:line="360" w:lineRule="auto"/>
        <w:jc w:val="center"/>
        <w:outlineLvl w:val="1"/>
        <w:rPr>
          <w:rFonts w:hint="eastAsia" w:ascii="宋体" w:hAnsi="宋体"/>
          <w:b/>
          <w:bCs/>
          <w:sz w:val="28"/>
          <w:szCs w:val="28"/>
          <w:lang w:eastAsia="zh-CN"/>
        </w:rPr>
      </w:pPr>
      <w:r>
        <w:rPr>
          <w:rFonts w:hint="eastAsia"/>
          <w:b/>
          <w:bCs/>
          <w:sz w:val="28"/>
          <w:szCs w:val="28"/>
          <w:lang w:eastAsia="zh-CN"/>
        </w:rPr>
        <w:br w:type="page"/>
      </w:r>
      <w:bookmarkStart w:id="28" w:name="_Toc18286"/>
      <w:r>
        <w:rPr>
          <w:rFonts w:hint="eastAsia" w:ascii="宋体" w:hAnsi="宋体"/>
          <w:b/>
          <w:bCs/>
          <w:sz w:val="28"/>
          <w:szCs w:val="28"/>
          <w:lang w:eastAsia="zh-CN"/>
        </w:rPr>
        <w:t>十、实施方案</w:t>
      </w:r>
      <w:bookmarkEnd w:id="28"/>
    </w:p>
    <w:p>
      <w:pPr>
        <w:spacing w:line="360" w:lineRule="auto"/>
        <w:ind w:right="-588" w:rightChars="-245"/>
        <w:rPr>
          <w:rFonts w:hint="eastAsia" w:ascii="宋体" w:hAnsi="宋体"/>
          <w:lang w:eastAsia="zh-CN"/>
        </w:rPr>
      </w:pPr>
      <w:r>
        <w:rPr>
          <w:rFonts w:hint="eastAsia" w:ascii="宋体" w:hAnsi="宋体"/>
          <w:lang w:eastAsia="zh-CN"/>
        </w:rPr>
        <w:t>（自拟）</w:t>
      </w:r>
    </w:p>
    <w:p>
      <w:pPr>
        <w:spacing w:line="360" w:lineRule="auto"/>
        <w:ind w:right="-588" w:rightChars="-245"/>
        <w:rPr>
          <w:rFonts w:hint="eastAsia" w:ascii="宋体" w:hAnsi="宋体"/>
          <w:lang w:eastAsia="zh-CN"/>
        </w:rPr>
      </w:pPr>
    </w:p>
    <w:p>
      <w:pPr>
        <w:spacing w:line="360" w:lineRule="auto"/>
        <w:ind w:right="-588" w:rightChars="-245"/>
        <w:rPr>
          <w:rFonts w:hint="eastAsia" w:ascii="宋体" w:hAnsi="宋体"/>
          <w:lang w:eastAsia="zh-CN"/>
        </w:rPr>
      </w:pPr>
    </w:p>
    <w:p>
      <w:pPr>
        <w:shd w:val="clear" w:color="auto" w:fill="FFFFFF"/>
        <w:spacing w:line="360" w:lineRule="auto"/>
        <w:rPr>
          <w:rFonts w:hint="eastAsia" w:ascii="宋体" w:hAnsi="宋体"/>
          <w:sz w:val="28"/>
          <w:szCs w:val="28"/>
          <w:lang w:eastAsia="zh-CN"/>
        </w:rPr>
      </w:pPr>
    </w:p>
    <w:p>
      <w:pPr>
        <w:spacing w:line="360" w:lineRule="auto"/>
        <w:rPr>
          <w:rFonts w:hint="eastAsia"/>
          <w:lang w:eastAsia="zh-CN"/>
        </w:rPr>
      </w:pPr>
    </w:p>
    <w:sectPr>
      <w:footerReference r:id="rId11" w:type="first"/>
      <w:headerReference r:id="rId8" w:type="default"/>
      <w:footerReference r:id="rId9" w:type="default"/>
      <w:footerReference r:id="rId10" w:type="even"/>
      <w:pgSz w:w="11906" w:h="16838"/>
      <w:pgMar w:top="1080" w:right="1440" w:bottom="1080" w:left="1440" w:header="851" w:footer="851" w:gutter="0"/>
      <w:pgNumType w:fmt="decimal"/>
      <w:cols w:space="720" w:num="1"/>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auto"/>
    <w:pitch w:val="default"/>
    <w:sig w:usb0="E00006FF" w:usb1="420024FF" w:usb2="02000000" w:usb3="00000000" w:csb0="2000019F" w:csb1="00000000"/>
  </w:font>
  <w:font w:name="Arial Unicode MS">
    <w:altName w:val="Arial"/>
    <w:panose1 w:val="020B0604020202020204"/>
    <w:charset w:val="00"/>
    <w:family w:val="auto"/>
    <w:pitch w:val="default"/>
    <w:sig w:usb0="00000000" w:usb1="00000000" w:usb2="00000000" w:usb3="00000000" w:csb0="00000001" w:csb1="00000000"/>
  </w:font>
  <w:font w:name="仿宋_GB2312">
    <w:altName w:val="仿宋"/>
    <w:panose1 w:val="02010609030101010101"/>
    <w:charset w:val="86"/>
    <w:family w:val="auto"/>
    <w:pitch w:val="default"/>
    <w:sig w:usb0="00000000" w:usb1="00000000" w:usb2="00000000" w:usb3="00000000" w:csb0="00040000" w:csb1="00000000"/>
  </w:font>
  <w:font w:name="Verdana">
    <w:panose1 w:val="020B0604030504040204"/>
    <w:charset w:val="00"/>
    <w:family w:val="auto"/>
    <w:pitch w:val="default"/>
    <w:sig w:usb0="A0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新宋体">
    <w:panose1 w:val="02010609030101010101"/>
    <w:charset w:val="86"/>
    <w:family w:val="auto"/>
    <w:pitch w:val="default"/>
    <w:sig w:usb0="00000283" w:usb1="288F0000" w:usb2="00000006" w:usb3="00000000" w:csb0="00040001" w:csb1="00000000"/>
  </w:font>
  <w:font w:name="Arial,BoldItalic">
    <w:altName w:val="Arial"/>
    <w:panose1 w:val="00000000000000000000"/>
    <w:charset w:val="00"/>
    <w:family w:val="auto"/>
    <w:pitch w:val="default"/>
    <w:sig w:usb0="00000000" w:usb1="00000000" w:usb2="00000000" w:usb3="00000000" w:csb0="00000001" w:csb1="00000000"/>
  </w:font>
  <w:font w:name="Helvetica">
    <w:altName w:val="Arial"/>
    <w:panose1 w:val="020B0604020202020204"/>
    <w:charset w:val="00"/>
    <w:family w:val="auto"/>
    <w:pitch w:val="default"/>
    <w:sig w:usb0="00000000" w:usb1="00000000" w:usb2="00000000" w:usb3="00000000" w:csb0="00000001" w:csb1="00000000"/>
  </w:font>
  <w:font w:name="方正书宋简体">
    <w:altName w:val="宋体"/>
    <w:panose1 w:val="00000000000000000000"/>
    <w:charset w:val="86"/>
    <w:family w:val="auto"/>
    <w:pitch w:val="default"/>
    <w:sig w:usb0="00000000" w:usb1="00000000" w:usb2="00000010" w:usb3="00000000" w:csb0="00040000" w:csb1="00000000"/>
  </w:font>
  <w:font w:name="汉仪细等线简">
    <w:altName w:val="宋体"/>
    <w:panose1 w:val="00000000000000000000"/>
    <w:charset w:val="86"/>
    <w:family w:val="auto"/>
    <w:pitch w:val="default"/>
    <w:sig w:usb0="00000000" w:usb1="00000000" w:usb2="00000012" w:usb3="00000000" w:csb0="00040000" w:csb1="00000000"/>
  </w:font>
  <w:font w:name="Garamond">
    <w:altName w:val="PMingLiU-ExtB"/>
    <w:panose1 w:val="02020404030301010803"/>
    <w:charset w:val="00"/>
    <w:family w:val="auto"/>
    <w:pitch w:val="default"/>
    <w:sig w:usb0="00000000" w:usb1="00000000" w:usb2="00000000" w:usb3="00000000" w:csb0="0000009F" w:csb1="DFD70000"/>
  </w:font>
  <w:font w:name="幼圆">
    <w:altName w:val="宋体"/>
    <w:panose1 w:val="0201050906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New Century Schlbk">
    <w:altName w:val="Times New Roman"/>
    <w:panose1 w:val="00000000000000000000"/>
    <w:charset w:val="00"/>
    <w:family w:val="auto"/>
    <w:pitch w:val="default"/>
    <w:sig w:usb0="00000000" w:usb1="00000000" w:usb2="00000000" w:usb3="00000000" w:csb0="00000001" w:csb1="00000000"/>
  </w:font>
  <w:font w:name="CG Times">
    <w:altName w:val="Times New Roman"/>
    <w:panose1 w:val="00000000000000000000"/>
    <w:charset w:val="00"/>
    <w:family w:val="auto"/>
    <w:pitch w:val="default"/>
    <w:sig w:usb0="00000000" w:usb1="00000000" w:usb2="00000000" w:usb3="00000000" w:csb0="00000001" w:csb1="00000000"/>
  </w:font>
  <w:font w:name="Arial Black">
    <w:panose1 w:val="020B0A04020102020204"/>
    <w:charset w:val="00"/>
    <w:family w:val="auto"/>
    <w:pitch w:val="default"/>
    <w:sig w:usb0="A00002AF" w:usb1="400078FB" w:usb2="00000000" w:usb3="00000000" w:csb0="6000009F" w:csb1="DFD70000"/>
  </w:font>
  <w:font w:name="微软雅黑">
    <w:panose1 w:val="020B0503020204020204"/>
    <w:charset w:val="86"/>
    <w:family w:val="auto"/>
    <w:pitch w:val="default"/>
    <w:sig w:usb0="80000287" w:usb1="2ACF3C50" w:usb2="00000016" w:usb3="00000000" w:csb0="0004001F" w:csb1="00000000"/>
  </w:font>
  <w:font w:name="Geneva">
    <w:altName w:val="Arial"/>
    <w:panose1 w:val="00000000000000000000"/>
    <w:charset w:val="00"/>
    <w:family w:val="auto"/>
    <w:pitch w:val="default"/>
    <w:sig w:usb0="00000000" w:usb1="00000000" w:usb2="00000000" w:usb3="00000000" w:csb0="00000001" w:csb1="00000000"/>
  </w:font>
  <w:font w:name="PMingLiU">
    <w:altName w:val="PMingLiU-ExtB"/>
    <w:panose1 w:val="02020300000000000000"/>
    <w:charset w:val="88"/>
    <w:family w:val="auto"/>
    <w:pitch w:val="default"/>
    <w:sig w:usb0="00000000" w:usb1="00000000" w:usb2="00000016" w:usb3="00000000" w:csb0="00100001" w:csb1="00000000"/>
  </w:font>
  <w:font w:name="??Regular">
    <w:altName w:val="宋体"/>
    <w:panose1 w:val="00000000000000000000"/>
    <w:charset w:val="86"/>
    <w:family w:val="auto"/>
    <w:pitch w:val="default"/>
    <w:sig w:usb0="00000000" w:usb1="00000000" w:usb2="00000010" w:usb3="00000000" w:csb0="00040000" w:csb1="00000000"/>
  </w:font>
  <w:font w:name="sans-serif">
    <w:altName w:val="Courier New"/>
    <w:panose1 w:val="00000000000000000000"/>
    <w:charset w:val="00"/>
    <w:family w:val="auto"/>
    <w:pitch w:val="default"/>
    <w:sig w:usb0="00000000" w:usb1="00000000" w:usb2="00000000" w:usb3="00000000" w:csb0="00040001" w:csb1="00000000"/>
  </w:font>
  <w:font w:name="仿宋">
    <w:panose1 w:val="02010609060101010101"/>
    <w:charset w:val="86"/>
    <w:family w:val="auto"/>
    <w:pitch w:val="default"/>
    <w:sig w:usb0="800002BF" w:usb1="38CF7CFA" w:usb2="00000016" w:usb3="00000000" w:csb0="00040001" w:csb1="00000000"/>
  </w:font>
  <w:font w:name="PMingLiU-ExtB">
    <w:panose1 w:val="02020500000000000000"/>
    <w:charset w:val="88"/>
    <w:family w:val="auto"/>
    <w:pitch w:val="default"/>
    <w:sig w:usb0="8000002F" w:usb1="02000008" w:usb2="00000000" w:usb3="00000000" w:csb0="0010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ascii="宋体" w:hAnsi="Times New Roman" w:eastAsia="宋体" w:cs="Times New Roman"/>
        <w:sz w:val="18"/>
        <w:szCs w:val="20"/>
        <w:lang w:val="en-US" w:eastAsia="zh-CN" w:bidi="ar-SA"/>
      </w:rPr>
      <w:pict>
        <v:rect id="文本框 5" o:spid="_x0000_s4097" o:spt="1" style="position:absolute;left:0pt;margin-top:0pt;height:144pt;width:144pt;mso-position-horizontal:center;mso-position-horizontal-relative:margin;mso-wrap-style:none;z-index:251662336;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3"/>
                </w:pPr>
                <w:r>
                  <w:fldChar w:fldCharType="begin"/>
                </w:r>
                <w:r>
                  <w:instrText xml:space="preserve"> PAGE  \* MERGEFORMAT </w:instrText>
                </w:r>
                <w:r>
                  <w:fldChar w:fldCharType="separate"/>
                </w:r>
                <w:r>
                  <w:t>2</w:t>
                </w:r>
                <w:r>
                  <w:fldChar w:fldCharType="end"/>
                </w:r>
              </w:p>
            </w:txbxContent>
          </v:textbox>
        </v:rect>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ascii="宋体" w:hAnsi="Times New Roman" w:eastAsia="宋体" w:cs="Times New Roman"/>
        <w:sz w:val="18"/>
        <w:szCs w:val="20"/>
        <w:lang w:val="en-US" w:eastAsia="zh-CN" w:bidi="ar-SA"/>
      </w:rPr>
      <w:pict>
        <v:rect id="文本框 7" o:spid="_x0000_s4098" o:spt="1" style="position:absolute;left:0pt;margin-top:0pt;height:10.35pt;width:9.05pt;mso-position-horizontal:center;mso-position-horizontal-relative:margin;mso-wrap-style:none;z-index:251661312;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snapToGrid w:val="0"/>
                  <w:rPr>
                    <w:rFonts w:hint="eastAsia"/>
                    <w:sz w:val="18"/>
                    <w:lang w:eastAsia="zh-CN"/>
                  </w:rPr>
                </w:pPr>
                <w:r>
                  <w:rPr>
                    <w:rFonts w:hint="eastAsia"/>
                    <w:sz w:val="18"/>
                    <w:lang w:eastAsia="zh-CN"/>
                  </w:rPr>
                  <w:fldChar w:fldCharType="begin"/>
                </w:r>
                <w:r>
                  <w:rPr>
                    <w:rFonts w:hint="eastAsia"/>
                    <w:sz w:val="18"/>
                    <w:lang w:eastAsia="zh-CN"/>
                  </w:rPr>
                  <w:instrText xml:space="preserve"> PAGE  \* MERGEFORMAT </w:instrText>
                </w:r>
                <w:r>
                  <w:rPr>
                    <w:rFonts w:hint="eastAsia"/>
                    <w:sz w:val="18"/>
                    <w:lang w:eastAsia="zh-CN"/>
                  </w:rPr>
                  <w:fldChar w:fldCharType="separate"/>
                </w:r>
                <w:r>
                  <w:rPr>
                    <w:sz w:val="18"/>
                  </w:rPr>
                  <w:t>54</w:t>
                </w:r>
                <w:r>
                  <w:rPr>
                    <w:rFonts w:hint="eastAsia"/>
                    <w:sz w:val="18"/>
                    <w:lang w:eastAsia="zh-CN"/>
                  </w:rPr>
                  <w:fldChar w:fldCharType="end"/>
                </w:r>
              </w:p>
            </w:txbxContent>
          </v:textbox>
        </v:rect>
      </w:pic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jc w:val="center"/>
      <w:rPr>
        <w:rFonts w:hint="eastAsia"/>
      </w:rPr>
    </w:pPr>
    <w:r>
      <w:rPr>
        <w:rFonts w:ascii="宋体" w:hAnsi="Times New Roman" w:eastAsia="宋体" w:cs="Times New Roman"/>
        <w:sz w:val="18"/>
        <w:szCs w:val="20"/>
        <w:lang w:val="en-US" w:eastAsia="zh-CN" w:bidi="ar-SA"/>
      </w:rPr>
      <w:pict>
        <v:rect id="文本框 1028" o:spid="_x0000_s4100" o:spt="1" style="position:absolute;left:0pt;margin-top:0pt;height:11.65pt;width:13.55pt;mso-position-horizontal:center;mso-position-horizontal-relative:margin;mso-wrap-style:none;z-index:251659264;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3"/>
                </w:pPr>
                <w:r>
                  <w:fldChar w:fldCharType="begin"/>
                </w:r>
                <w:r>
                  <w:instrText xml:space="preserve"> PAGE  \* MERGEFORMAT </w:instrText>
                </w:r>
                <w:r>
                  <w:fldChar w:fldCharType="separate"/>
                </w:r>
                <w:r>
                  <w:t>71</w:t>
                </w:r>
                <w:r>
                  <w:fldChar w:fldCharType="end"/>
                </w:r>
              </w:p>
            </w:txbxContent>
          </v:textbox>
        </v:rect>
      </w:pict>
    </w:r>
  </w:p>
  <w:p>
    <w:pPr>
      <w:pStyle w:val="33"/>
      <w:jc w:val="center"/>
      <w:rPr>
        <w:rFonts w:hint="eastAsia"/>
      </w:rPr>
    </w:pPr>
  </w:p>
  <w:p>
    <w:pPr>
      <w:pStyle w:val="3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framePr w:wrap="around" w:vAnchor="text" w:hAnchor="margin" w:xAlign="center" w:y="1"/>
      <w:rPr>
        <w:rStyle w:val="56"/>
      </w:rPr>
    </w:pPr>
    <w:r>
      <w:fldChar w:fldCharType="begin"/>
    </w:r>
    <w:r>
      <w:rPr>
        <w:rStyle w:val="56"/>
      </w:rPr>
      <w:instrText xml:space="preserve">PAGE  </w:instrText>
    </w:r>
    <w:r>
      <w:fldChar w:fldCharType="separate"/>
    </w:r>
    <w:r>
      <w:fldChar w:fldCharType="end"/>
    </w:r>
  </w:p>
  <w:p>
    <w:pPr>
      <w:pStyle w:val="3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3"/>
    </w:pPr>
    <w:r>
      <w:rPr>
        <w:rFonts w:ascii="宋体" w:hAnsi="Times New Roman" w:eastAsia="宋体" w:cs="Times New Roman"/>
        <w:sz w:val="18"/>
        <w:szCs w:val="20"/>
        <w:lang w:val="en-US" w:eastAsia="zh-CN" w:bidi="ar-SA"/>
      </w:rPr>
      <w:pict>
        <v:rect id="文本框 1029" o:spid="_x0000_s4099" o:spt="1" style="position:absolute;left:0pt;margin-top:0pt;height:11.65pt;width:13.55pt;mso-position-horizontal:center;mso-position-horizontal-relative:margin;mso-wrap-style:none;z-index:251660288;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33"/>
                </w:pPr>
                <w:r>
                  <w:fldChar w:fldCharType="begin"/>
                </w:r>
                <w:r>
                  <w:instrText xml:space="preserve"> PAGE  \* MERGEFORMAT </w:instrText>
                </w:r>
                <w:r>
                  <w:fldChar w:fldCharType="separate"/>
                </w:r>
                <w:r>
                  <w:t>112</w:t>
                </w:r>
                <w:r>
                  <w:fldChar w:fldCharType="end"/>
                </w:r>
              </w:p>
            </w:txbxContent>
          </v:textbox>
        </v:rect>
      </w:pic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pBdr>
        <w:bottom w:val="none" w:color="auto" w:sz="0" w:space="1"/>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4"/>
      <w:jc w:val="left"/>
      <w:rPr>
        <w:rFonts w:hint="eastAsia" w:hAnsi="宋体"/>
        <w:b/>
        <w:i/>
        <w:color w:val="000000"/>
        <w:szCs w:val="18"/>
      </w:rPr>
    </w:pPr>
    <w:r>
      <w:rPr>
        <w:rFonts w:hint="eastAsia"/>
        <w:b/>
        <w:i/>
        <w:szCs w:val="18"/>
      </w:rPr>
      <w:t>海南华教设备招标有限公司HNHJ2024-03-002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BFA9DD"/>
    <w:multiLevelType w:val="singleLevel"/>
    <w:tmpl w:val="CFBFA9DD"/>
    <w:lvl w:ilvl="0" w:tentative="0">
      <w:start w:val="2"/>
      <w:numFmt w:val="decimal"/>
      <w:suff w:val="nothing"/>
      <w:lvlText w:val="%1、"/>
      <w:lvlJc w:val="left"/>
    </w:lvl>
  </w:abstractNum>
  <w:abstractNum w:abstractNumId="1">
    <w:nsid w:val="0000000A"/>
    <w:multiLevelType w:val="multilevel"/>
    <w:tmpl w:val="0000000A"/>
    <w:lvl w:ilvl="0" w:tentative="0">
      <w:start w:val="1"/>
      <w:numFmt w:val="bullet"/>
      <w:pStyle w:val="162"/>
      <w:lvlText w:val=""/>
      <w:lvlJc w:val="left"/>
      <w:pPr>
        <w:tabs>
          <w:tab w:val="left" w:pos="720"/>
        </w:tabs>
        <w:ind w:left="720" w:hanging="720"/>
      </w:pPr>
      <w:rPr>
        <w:rFonts w:hint="default" w:ascii="Symbol" w:hAnsi="Symbol"/>
        <w:b w:val="0"/>
        <w:i w:val="0"/>
        <w:color w:val="auto"/>
      </w:rPr>
    </w:lvl>
    <w:lvl w:ilvl="1" w:tentative="0">
      <w:start w:val="1"/>
      <w:numFmt w:val="bullet"/>
      <w:lvlRestart w:val="0"/>
      <w:pStyle w:val="202"/>
      <w:lvlText w:val=""/>
      <w:lvlJc w:val="left"/>
      <w:pPr>
        <w:tabs>
          <w:tab w:val="left" w:pos="1440"/>
        </w:tabs>
        <w:ind w:left="1440" w:hanging="720"/>
      </w:pPr>
      <w:rPr>
        <w:rFonts w:hint="default" w:ascii="Symbol" w:hAnsi="Symbol"/>
        <w:b/>
        <w:i w:val="0"/>
      </w:rPr>
    </w:lvl>
    <w:lvl w:ilvl="2" w:tentative="0">
      <w:start w:val="1"/>
      <w:numFmt w:val="bullet"/>
      <w:lvlRestart w:val="0"/>
      <w:pStyle w:val="241"/>
      <w:lvlText w:val=""/>
      <w:lvlJc w:val="left"/>
      <w:pPr>
        <w:tabs>
          <w:tab w:val="left" w:pos="2160"/>
        </w:tabs>
        <w:ind w:left="2160" w:hanging="720"/>
      </w:pPr>
      <w:rPr>
        <w:rFonts w:hint="default" w:ascii="Wingdings" w:hAnsi="Wingdings"/>
        <w:b w:val="0"/>
        <w:i w:val="0"/>
        <w:color w:val="auto"/>
        <w:sz w:val="12"/>
      </w:rPr>
    </w:lvl>
    <w:lvl w:ilvl="3" w:tentative="0">
      <w:start w:val="1"/>
      <w:numFmt w:val="bullet"/>
      <w:lvlRestart w:val="0"/>
      <w:lvlText w:val=""/>
      <w:lvlJc w:val="left"/>
      <w:pPr>
        <w:tabs>
          <w:tab w:val="left" w:pos="2880"/>
        </w:tabs>
        <w:ind w:left="2880" w:hanging="720"/>
      </w:pPr>
      <w:rPr>
        <w:rFonts w:hint="default" w:ascii="Wingdings" w:hAnsi="Wingdings"/>
        <w:b w:val="0"/>
        <w:i w:val="0"/>
        <w:sz w:val="16"/>
      </w:rPr>
    </w:lvl>
    <w:lvl w:ilvl="4" w:tentative="0">
      <w:start w:val="1"/>
      <w:numFmt w:val="none"/>
      <w:lvlRestart w:val="0"/>
      <w:suff w:val="nothing"/>
      <w:lvlText w:val=""/>
      <w:lvlJc w:val="left"/>
      <w:pPr>
        <w:ind w:left="0" w:firstLine="0"/>
      </w:pPr>
    </w:lvl>
    <w:lvl w:ilvl="5" w:tentative="0">
      <w:start w:val="1"/>
      <w:numFmt w:val="none"/>
      <w:lvlRestart w:val="0"/>
      <w:suff w:val="nothing"/>
      <w:lvlText w:val="%5%6"/>
      <w:lvlJc w:val="left"/>
      <w:pPr>
        <w:ind w:left="0" w:firstLine="0"/>
      </w:pPr>
    </w:lvl>
    <w:lvl w:ilvl="6" w:tentative="0">
      <w:start w:val="1"/>
      <w:numFmt w:val="none"/>
      <w:lvlRestart w:val="0"/>
      <w:suff w:val="nothing"/>
      <w:lvlText w:val=""/>
      <w:lvlJc w:val="left"/>
      <w:pPr>
        <w:ind w:left="0" w:firstLine="0"/>
      </w:pPr>
    </w:lvl>
    <w:lvl w:ilvl="7" w:tentative="0">
      <w:start w:val="1"/>
      <w:numFmt w:val="none"/>
      <w:lvlRestart w:val="0"/>
      <w:suff w:val="nothing"/>
      <w:lvlText w:val=""/>
      <w:lvlJc w:val="left"/>
      <w:pPr>
        <w:ind w:left="0" w:firstLine="0"/>
      </w:pPr>
    </w:lvl>
    <w:lvl w:ilvl="8" w:tentative="0">
      <w:start w:val="1"/>
      <w:numFmt w:val="none"/>
      <w:lvlRestart w:val="0"/>
      <w:suff w:val="nothing"/>
      <w:lvlText w:val=""/>
      <w:lvlJc w:val="left"/>
      <w:pPr>
        <w:ind w:left="0" w:firstLine="0"/>
      </w:pPr>
    </w:lvl>
  </w:abstractNum>
  <w:abstractNum w:abstractNumId="2">
    <w:nsid w:val="0000000B"/>
    <w:multiLevelType w:val="multilevel"/>
    <w:tmpl w:val="0000000B"/>
    <w:lvl w:ilvl="0" w:tentative="0">
      <w:start w:val="1"/>
      <w:numFmt w:val="none"/>
      <w:lvlText w:val=""/>
      <w:lvlJc w:val="left"/>
      <w:pPr>
        <w:tabs>
          <w:tab w:val="left" w:pos="425"/>
        </w:tabs>
        <w:ind w:left="425" w:hanging="425"/>
      </w:pPr>
      <w:rPr>
        <w:rFonts w:hint="eastAsia"/>
      </w:rPr>
    </w:lvl>
    <w:lvl w:ilvl="1" w:tentative="0">
      <w:start w:val="1"/>
      <w:numFmt w:val="decimal"/>
      <w:lvlText w:val="%1%2."/>
      <w:lvlJc w:val="left"/>
      <w:pPr>
        <w:tabs>
          <w:tab w:val="left" w:pos="567"/>
        </w:tabs>
        <w:ind w:left="567" w:hanging="567"/>
      </w:pPr>
      <w:rPr>
        <w:rFonts w:hint="eastAsia" w:eastAsia="宋体"/>
      </w:rPr>
    </w:lvl>
    <w:lvl w:ilvl="2" w:tentative="0">
      <w:start w:val="1"/>
      <w:numFmt w:val="decimal"/>
      <w:pStyle w:val="107"/>
      <w:lvlText w:val="%1%2.%3."/>
      <w:lvlJc w:val="left"/>
      <w:pPr>
        <w:tabs>
          <w:tab w:val="left" w:pos="709"/>
        </w:tabs>
        <w:ind w:left="709" w:hanging="709"/>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3">
    <w:nsid w:val="0000000C"/>
    <w:multiLevelType w:val="multilevel"/>
    <w:tmpl w:val="0000000C"/>
    <w:lvl w:ilvl="0" w:tentative="0">
      <w:start w:val="1"/>
      <w:numFmt w:val="decimal"/>
      <w:pStyle w:val="68"/>
      <w:lvlText w:val="%1."/>
      <w:lvlJc w:val="left"/>
      <w:pPr>
        <w:tabs>
          <w:tab w:val="left" w:pos="709"/>
        </w:tabs>
        <w:ind w:left="709" w:hanging="709"/>
      </w:pPr>
      <w:rPr>
        <w:rFonts w:hint="eastAsia"/>
      </w:rPr>
    </w:lvl>
    <w:lvl w:ilvl="1" w:tentative="0">
      <w:start w:val="1"/>
      <w:numFmt w:val="decimal"/>
      <w:lvlText w:val="%1.%2"/>
      <w:lvlJc w:val="left"/>
      <w:pPr>
        <w:tabs>
          <w:tab w:val="left" w:pos="709"/>
        </w:tabs>
        <w:ind w:left="709" w:hanging="709"/>
      </w:pPr>
      <w:rPr>
        <w:rFonts w:hint="eastAsia"/>
        <w:color w:val="auto"/>
      </w:rPr>
    </w:lvl>
    <w:lvl w:ilvl="2" w:tentative="0">
      <w:start w:val="1"/>
      <w:numFmt w:val="decimal"/>
      <w:lvlText w:val="%1.%2.%3."/>
      <w:lvlJc w:val="left"/>
      <w:pPr>
        <w:tabs>
          <w:tab w:val="left" w:pos="425"/>
        </w:tabs>
        <w:ind w:left="425" w:hanging="425"/>
      </w:pPr>
      <w:rPr>
        <w:rFonts w:hint="eastAsia"/>
      </w:rPr>
    </w:lvl>
    <w:lvl w:ilvl="3" w:tentative="0">
      <w:start w:val="1"/>
      <w:numFmt w:val="decimal"/>
      <w:lvlText w:val="%1.%2.%3.%4."/>
      <w:lvlJc w:val="left"/>
      <w:pPr>
        <w:tabs>
          <w:tab w:val="left" w:pos="851"/>
        </w:tabs>
        <w:ind w:left="851" w:hanging="851"/>
      </w:pPr>
      <w:rPr>
        <w:rFonts w:hint="eastAsia"/>
      </w:rPr>
    </w:lvl>
    <w:lvl w:ilvl="4" w:tentative="0">
      <w:start w:val="1"/>
      <w:numFmt w:val="decimal"/>
      <w:lvlText w:val="%1.%2.%3.%4.%5."/>
      <w:lvlJc w:val="left"/>
      <w:pPr>
        <w:tabs>
          <w:tab w:val="left" w:pos="992"/>
        </w:tabs>
        <w:ind w:left="992" w:hanging="992"/>
      </w:pPr>
      <w:rPr>
        <w:rFonts w:hint="eastAsia"/>
      </w:rPr>
    </w:lvl>
    <w:lvl w:ilvl="5" w:tentative="0">
      <w:start w:val="1"/>
      <w:numFmt w:val="decimal"/>
      <w:lvlText w:val="%1.%2.%3.%4.%5.%6."/>
      <w:lvlJc w:val="left"/>
      <w:pPr>
        <w:tabs>
          <w:tab w:val="left" w:pos="1134"/>
        </w:tabs>
        <w:ind w:left="1134" w:hanging="1134"/>
      </w:pPr>
      <w:rPr>
        <w:rFonts w:hint="eastAsia"/>
      </w:rPr>
    </w:lvl>
    <w:lvl w:ilvl="6" w:tentative="0">
      <w:start w:val="1"/>
      <w:numFmt w:val="decimal"/>
      <w:lvlText w:val="%1.%2.%3.%4.%5.%6.%7."/>
      <w:lvlJc w:val="left"/>
      <w:pPr>
        <w:tabs>
          <w:tab w:val="left" w:pos="1276"/>
        </w:tabs>
        <w:ind w:left="1276" w:hanging="1276"/>
      </w:pPr>
      <w:rPr>
        <w:rFonts w:hint="eastAsia"/>
      </w:rPr>
    </w:lvl>
    <w:lvl w:ilvl="7" w:tentative="0">
      <w:start w:val="1"/>
      <w:numFmt w:val="decimal"/>
      <w:lvlText w:val="%1.%2.%3.%4.%5.%6.%7.%8."/>
      <w:lvlJc w:val="left"/>
      <w:pPr>
        <w:tabs>
          <w:tab w:val="left" w:pos="1418"/>
        </w:tabs>
        <w:ind w:left="1418" w:hanging="1418"/>
      </w:pPr>
      <w:rPr>
        <w:rFonts w:hint="eastAsia"/>
      </w:rPr>
    </w:lvl>
    <w:lvl w:ilvl="8" w:tentative="0">
      <w:start w:val="1"/>
      <w:numFmt w:val="decimal"/>
      <w:lvlText w:val="%1.%2.%3.%4.%5.%6.%7.%8.%9."/>
      <w:lvlJc w:val="left"/>
      <w:pPr>
        <w:tabs>
          <w:tab w:val="left" w:pos="1559"/>
        </w:tabs>
        <w:ind w:left="1559" w:hanging="1559"/>
      </w:pPr>
      <w:rPr>
        <w:rFonts w:hint="eastAsia"/>
      </w:rPr>
    </w:lvl>
  </w:abstractNum>
  <w:abstractNum w:abstractNumId="4">
    <w:nsid w:val="0000000D"/>
    <w:multiLevelType w:val="multilevel"/>
    <w:tmpl w:val="0000000D"/>
    <w:lvl w:ilvl="0" w:tentative="0">
      <w:start w:val="1"/>
      <w:numFmt w:val="chineseCountingThousand"/>
      <w:pStyle w:val="115"/>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E"/>
    <w:multiLevelType w:val="multilevel"/>
    <w:tmpl w:val="0000000E"/>
    <w:lvl w:ilvl="0" w:tentative="0">
      <w:start w:val="1"/>
      <w:numFmt w:val="japaneseCounting"/>
      <w:pStyle w:val="171"/>
      <w:lvlText w:val="%1、"/>
      <w:lvlJc w:val="left"/>
      <w:pPr>
        <w:tabs>
          <w:tab w:val="left" w:pos="180"/>
        </w:tabs>
        <w:ind w:left="180" w:hanging="420"/>
      </w:pPr>
      <w:rPr>
        <w:rFonts w:hint="eastAsia"/>
      </w:rPr>
    </w:lvl>
    <w:lvl w:ilvl="1" w:tentative="0">
      <w:start w:val="1"/>
      <w:numFmt w:val="decimal"/>
      <w:pStyle w:val="245"/>
      <w:lvlText w:val="%2、"/>
      <w:lvlJc w:val="left"/>
      <w:pPr>
        <w:tabs>
          <w:tab w:val="left" w:pos="540"/>
        </w:tabs>
        <w:ind w:left="540" w:hanging="360"/>
      </w:pPr>
      <w:rPr>
        <w:rFonts w:hint="eastAsia"/>
      </w:rPr>
    </w:lvl>
    <w:lvl w:ilvl="2" w:tentative="0">
      <w:start w:val="1"/>
      <w:numFmt w:val="decimalEnclosedParen"/>
      <w:pStyle w:val="92"/>
      <w:lvlText w:val="%3、"/>
      <w:lvlJc w:val="left"/>
      <w:pPr>
        <w:tabs>
          <w:tab w:val="left" w:pos="1020"/>
        </w:tabs>
        <w:ind w:left="1020" w:hanging="420"/>
      </w:pPr>
      <w:rPr>
        <w:rFonts w:hint="eastAsia"/>
      </w:rPr>
    </w:lvl>
    <w:lvl w:ilvl="3" w:tentative="0">
      <w:start w:val="1"/>
      <w:numFmt w:val="decimal"/>
      <w:pStyle w:val="228"/>
      <w:lvlText w:val="%4."/>
      <w:lvlJc w:val="left"/>
      <w:pPr>
        <w:tabs>
          <w:tab w:val="left" w:pos="1440"/>
        </w:tabs>
        <w:ind w:left="1440" w:hanging="420"/>
      </w:pPr>
    </w:lvl>
    <w:lvl w:ilvl="4" w:tentative="0">
      <w:start w:val="1"/>
      <w:numFmt w:val="lowerLetter"/>
      <w:lvlText w:val="%5)"/>
      <w:lvlJc w:val="left"/>
      <w:pPr>
        <w:tabs>
          <w:tab w:val="left" w:pos="1860"/>
        </w:tabs>
        <w:ind w:left="1860" w:hanging="420"/>
      </w:pPr>
    </w:lvl>
    <w:lvl w:ilvl="5" w:tentative="0">
      <w:start w:val="1"/>
      <w:numFmt w:val="lowerRoman"/>
      <w:lvlText w:val="%6."/>
      <w:lvlJc w:val="right"/>
      <w:pPr>
        <w:tabs>
          <w:tab w:val="left" w:pos="2280"/>
        </w:tabs>
        <w:ind w:left="2280" w:hanging="420"/>
      </w:pPr>
    </w:lvl>
    <w:lvl w:ilvl="6" w:tentative="0">
      <w:start w:val="1"/>
      <w:numFmt w:val="decimal"/>
      <w:lvlText w:val="%7."/>
      <w:lvlJc w:val="left"/>
      <w:pPr>
        <w:tabs>
          <w:tab w:val="left" w:pos="2700"/>
        </w:tabs>
        <w:ind w:left="2700" w:hanging="420"/>
      </w:pPr>
    </w:lvl>
    <w:lvl w:ilvl="7" w:tentative="0">
      <w:start w:val="1"/>
      <w:numFmt w:val="lowerLetter"/>
      <w:lvlText w:val="%8)"/>
      <w:lvlJc w:val="left"/>
      <w:pPr>
        <w:tabs>
          <w:tab w:val="left" w:pos="3120"/>
        </w:tabs>
        <w:ind w:left="3120" w:hanging="420"/>
      </w:pPr>
    </w:lvl>
    <w:lvl w:ilvl="8" w:tentative="0">
      <w:start w:val="1"/>
      <w:numFmt w:val="lowerRoman"/>
      <w:lvlText w:val="%9."/>
      <w:lvlJc w:val="right"/>
      <w:pPr>
        <w:tabs>
          <w:tab w:val="left" w:pos="3540"/>
        </w:tabs>
        <w:ind w:left="3540" w:hanging="420"/>
      </w:pPr>
    </w:lvl>
  </w:abstractNum>
  <w:abstractNum w:abstractNumId="6">
    <w:nsid w:val="0000000F"/>
    <w:multiLevelType w:val="multilevel"/>
    <w:tmpl w:val="0000000F"/>
    <w:lvl w:ilvl="0" w:tentative="0">
      <w:start w:val="4"/>
      <w:numFmt w:val="decimal"/>
      <w:pStyle w:val="126"/>
      <w:lvlText w:val="%1、"/>
      <w:lvlJc w:val="left"/>
      <w:pPr>
        <w:tabs>
          <w:tab w:val="left" w:pos="780"/>
        </w:tabs>
        <w:ind w:left="780" w:hanging="360"/>
      </w:pPr>
      <w:rPr>
        <w:rFonts w:ascii="Times New Roman" w:hAnsi="Times New Roman" w:eastAsia="Times New Roman" w:cs="Times New Roman"/>
      </w:rPr>
    </w:lvl>
    <w:lvl w:ilvl="1" w:tentative="0">
      <w:start w:val="1"/>
      <w:numFmt w:val="lowerLetter"/>
      <w:lvlText w:val="%2)"/>
      <w:lvlJc w:val="left"/>
      <w:pPr>
        <w:tabs>
          <w:tab w:val="left" w:pos="1260"/>
        </w:tabs>
        <w:ind w:left="1260" w:hanging="420"/>
      </w:pPr>
    </w:lvl>
    <w:lvl w:ilvl="2" w:tentative="0">
      <w:start w:val="1"/>
      <w:numFmt w:val="lowerRoman"/>
      <w:pStyle w:val="211"/>
      <w:lvlText w:val="%3."/>
      <w:lvlJc w:val="right"/>
      <w:pPr>
        <w:tabs>
          <w:tab w:val="left" w:pos="1680"/>
        </w:tabs>
        <w:ind w:left="1680" w:hanging="420"/>
      </w:pPr>
    </w:lvl>
    <w:lvl w:ilvl="3" w:tentative="0">
      <w:start w:val="1"/>
      <w:numFmt w:val="decimal"/>
      <w:pStyle w:val="146"/>
      <w:lvlText w:val="%4."/>
      <w:lvlJc w:val="left"/>
      <w:pPr>
        <w:tabs>
          <w:tab w:val="left" w:pos="2100"/>
        </w:tabs>
        <w:ind w:left="2100" w:hanging="420"/>
      </w:pPr>
    </w:lvl>
    <w:lvl w:ilvl="4" w:tentative="0">
      <w:start w:val="1"/>
      <w:numFmt w:val="lowerLetter"/>
      <w:lvlText w:val="%5)"/>
      <w:lvlJc w:val="left"/>
      <w:pPr>
        <w:tabs>
          <w:tab w:val="left" w:pos="2520"/>
        </w:tabs>
        <w:ind w:left="2520" w:hanging="420"/>
      </w:pPr>
    </w:lvl>
    <w:lvl w:ilvl="5" w:tentative="0">
      <w:start w:val="1"/>
      <w:numFmt w:val="lowerRoman"/>
      <w:lvlText w:val="%6."/>
      <w:lvlJc w:val="right"/>
      <w:pPr>
        <w:tabs>
          <w:tab w:val="left" w:pos="2940"/>
        </w:tabs>
        <w:ind w:left="2940" w:hanging="420"/>
      </w:pPr>
    </w:lvl>
    <w:lvl w:ilvl="6" w:tentative="0">
      <w:start w:val="1"/>
      <w:numFmt w:val="decimal"/>
      <w:lvlText w:val="%7."/>
      <w:lvlJc w:val="left"/>
      <w:pPr>
        <w:tabs>
          <w:tab w:val="left" w:pos="3360"/>
        </w:tabs>
        <w:ind w:left="3360" w:hanging="420"/>
      </w:pPr>
    </w:lvl>
    <w:lvl w:ilvl="7" w:tentative="0">
      <w:start w:val="1"/>
      <w:numFmt w:val="lowerLetter"/>
      <w:lvlText w:val="%8)"/>
      <w:lvlJc w:val="left"/>
      <w:pPr>
        <w:tabs>
          <w:tab w:val="left" w:pos="3780"/>
        </w:tabs>
        <w:ind w:left="3780" w:hanging="420"/>
      </w:pPr>
    </w:lvl>
    <w:lvl w:ilvl="8" w:tentative="0">
      <w:start w:val="1"/>
      <w:numFmt w:val="lowerRoman"/>
      <w:lvlText w:val="%9."/>
      <w:lvlJc w:val="right"/>
      <w:pPr>
        <w:tabs>
          <w:tab w:val="left" w:pos="4200"/>
        </w:tabs>
        <w:ind w:left="4200" w:hanging="420"/>
      </w:pPr>
    </w:lvl>
  </w:abstractNum>
  <w:abstractNum w:abstractNumId="7">
    <w:nsid w:val="00000010"/>
    <w:multiLevelType w:val="multilevel"/>
    <w:tmpl w:val="00000010"/>
    <w:lvl w:ilvl="0" w:tentative="0">
      <w:start w:val="1"/>
      <w:numFmt w:val="bullet"/>
      <w:pStyle w:val="138"/>
      <w:lvlText w:val=""/>
      <w:lvlJc w:val="left"/>
      <w:pPr>
        <w:tabs>
          <w:tab w:val="left" w:pos="2405"/>
        </w:tabs>
        <w:ind w:left="2405" w:hanging="420"/>
      </w:pPr>
      <w:rPr>
        <w:rFonts w:hint="default" w:ascii="Wingdings" w:hAnsi="Wingdings"/>
      </w:rPr>
    </w:lvl>
    <w:lvl w:ilvl="1" w:tentative="0">
      <w:start w:val="1"/>
      <w:numFmt w:val="bullet"/>
      <w:lvlText w:val=""/>
      <w:lvlJc w:val="left"/>
      <w:pPr>
        <w:tabs>
          <w:tab w:val="left" w:pos="2825"/>
        </w:tabs>
        <w:ind w:left="2825" w:hanging="420"/>
      </w:pPr>
      <w:rPr>
        <w:rFonts w:hint="default" w:ascii="Wingdings" w:hAnsi="Wingdings"/>
      </w:rPr>
    </w:lvl>
    <w:lvl w:ilvl="2" w:tentative="0">
      <w:start w:val="1"/>
      <w:numFmt w:val="bullet"/>
      <w:lvlText w:val=""/>
      <w:lvlJc w:val="left"/>
      <w:pPr>
        <w:tabs>
          <w:tab w:val="left" w:pos="3245"/>
        </w:tabs>
        <w:ind w:left="3245" w:hanging="420"/>
      </w:pPr>
      <w:rPr>
        <w:rFonts w:hint="default" w:ascii="Wingdings" w:hAnsi="Wingdings"/>
      </w:rPr>
    </w:lvl>
    <w:lvl w:ilvl="3" w:tentative="0">
      <w:start w:val="1"/>
      <w:numFmt w:val="bullet"/>
      <w:lvlText w:val=""/>
      <w:lvlJc w:val="left"/>
      <w:pPr>
        <w:tabs>
          <w:tab w:val="left" w:pos="3665"/>
        </w:tabs>
        <w:ind w:left="3665" w:hanging="420"/>
      </w:pPr>
      <w:rPr>
        <w:rFonts w:hint="default" w:ascii="Wingdings" w:hAnsi="Wingdings"/>
      </w:rPr>
    </w:lvl>
    <w:lvl w:ilvl="4" w:tentative="0">
      <w:start w:val="1"/>
      <w:numFmt w:val="bullet"/>
      <w:lvlText w:val=""/>
      <w:lvlJc w:val="left"/>
      <w:pPr>
        <w:tabs>
          <w:tab w:val="left" w:pos="4085"/>
        </w:tabs>
        <w:ind w:left="4085" w:hanging="420"/>
      </w:pPr>
      <w:rPr>
        <w:rFonts w:hint="default" w:ascii="Wingdings" w:hAnsi="Wingdings"/>
      </w:rPr>
    </w:lvl>
    <w:lvl w:ilvl="5" w:tentative="0">
      <w:start w:val="1"/>
      <w:numFmt w:val="bullet"/>
      <w:lvlText w:val=""/>
      <w:lvlJc w:val="left"/>
      <w:pPr>
        <w:tabs>
          <w:tab w:val="left" w:pos="4505"/>
        </w:tabs>
        <w:ind w:left="4505" w:hanging="420"/>
      </w:pPr>
      <w:rPr>
        <w:rFonts w:hint="default" w:ascii="Wingdings" w:hAnsi="Wingdings"/>
      </w:rPr>
    </w:lvl>
    <w:lvl w:ilvl="6" w:tentative="0">
      <w:start w:val="1"/>
      <w:numFmt w:val="bullet"/>
      <w:lvlText w:val=""/>
      <w:lvlJc w:val="left"/>
      <w:pPr>
        <w:tabs>
          <w:tab w:val="left" w:pos="4925"/>
        </w:tabs>
        <w:ind w:left="4925" w:hanging="420"/>
      </w:pPr>
      <w:rPr>
        <w:rFonts w:hint="default" w:ascii="Wingdings" w:hAnsi="Wingdings"/>
      </w:rPr>
    </w:lvl>
    <w:lvl w:ilvl="7" w:tentative="0">
      <w:start w:val="1"/>
      <w:numFmt w:val="bullet"/>
      <w:lvlText w:val=""/>
      <w:lvlJc w:val="left"/>
      <w:pPr>
        <w:tabs>
          <w:tab w:val="left" w:pos="5345"/>
        </w:tabs>
        <w:ind w:left="5345" w:hanging="420"/>
      </w:pPr>
      <w:rPr>
        <w:rFonts w:hint="default" w:ascii="Wingdings" w:hAnsi="Wingdings"/>
      </w:rPr>
    </w:lvl>
    <w:lvl w:ilvl="8" w:tentative="0">
      <w:start w:val="1"/>
      <w:numFmt w:val="bullet"/>
      <w:lvlText w:val=""/>
      <w:lvlJc w:val="left"/>
      <w:pPr>
        <w:tabs>
          <w:tab w:val="left" w:pos="5765"/>
        </w:tabs>
        <w:ind w:left="5765" w:hanging="420"/>
      </w:pPr>
      <w:rPr>
        <w:rFonts w:hint="default" w:ascii="Wingdings" w:hAnsi="Wingdings"/>
      </w:rPr>
    </w:lvl>
  </w:abstractNum>
  <w:abstractNum w:abstractNumId="8">
    <w:nsid w:val="00000011"/>
    <w:multiLevelType w:val="multilevel"/>
    <w:tmpl w:val="00000011"/>
    <w:lvl w:ilvl="0" w:tentative="0">
      <w:start w:val="1"/>
      <w:numFmt w:val="bullet"/>
      <w:pStyle w:val="154"/>
      <w:lvlText w:val=""/>
      <w:lvlJc w:val="left"/>
      <w:pPr>
        <w:tabs>
          <w:tab w:val="left" w:pos="420"/>
        </w:tabs>
        <w:ind w:left="420" w:hanging="420"/>
      </w:pPr>
      <w:rPr>
        <w:rFonts w:hint="default" w:ascii="Wingdings" w:hAnsi="Wingdings"/>
      </w:rPr>
    </w:lvl>
    <w:lvl w:ilvl="1" w:tentative="0">
      <w:start w:val="1"/>
      <w:numFmt w:val="bullet"/>
      <w:lvlText w:val=""/>
      <w:lvlJc w:val="left"/>
      <w:pPr>
        <w:tabs>
          <w:tab w:val="left" w:pos="840"/>
        </w:tabs>
        <w:ind w:left="840" w:hanging="420"/>
      </w:pPr>
      <w:rPr>
        <w:rFonts w:hint="default" w:ascii="Wingdings" w:hAnsi="Wingdings"/>
      </w:rPr>
    </w:lvl>
    <w:lvl w:ilvl="2" w:tentative="0">
      <w:start w:val="1"/>
      <w:numFmt w:val="bullet"/>
      <w:lvlText w:val=""/>
      <w:lvlJc w:val="left"/>
      <w:pPr>
        <w:tabs>
          <w:tab w:val="left" w:pos="1260"/>
        </w:tabs>
        <w:ind w:left="1260" w:hanging="420"/>
      </w:pPr>
      <w:rPr>
        <w:rFonts w:hint="default" w:ascii="Wingdings" w:hAnsi="Wingdings"/>
      </w:rPr>
    </w:lvl>
    <w:lvl w:ilvl="3" w:tentative="0">
      <w:start w:val="1"/>
      <w:numFmt w:val="bullet"/>
      <w:lvlText w:val=""/>
      <w:lvlJc w:val="left"/>
      <w:pPr>
        <w:tabs>
          <w:tab w:val="left" w:pos="1680"/>
        </w:tabs>
        <w:ind w:left="1680" w:hanging="420"/>
      </w:pPr>
      <w:rPr>
        <w:rFonts w:hint="default" w:ascii="Wingdings" w:hAnsi="Wingdings"/>
      </w:rPr>
    </w:lvl>
    <w:lvl w:ilvl="4" w:tentative="0">
      <w:start w:val="1"/>
      <w:numFmt w:val="bullet"/>
      <w:lvlText w:val=""/>
      <w:lvlJc w:val="left"/>
      <w:pPr>
        <w:tabs>
          <w:tab w:val="left" w:pos="2100"/>
        </w:tabs>
        <w:ind w:left="2100" w:hanging="420"/>
      </w:pPr>
      <w:rPr>
        <w:rFonts w:hint="default" w:ascii="Wingdings" w:hAnsi="Wingdings"/>
      </w:rPr>
    </w:lvl>
    <w:lvl w:ilvl="5" w:tentative="0">
      <w:start w:val="1"/>
      <w:numFmt w:val="bullet"/>
      <w:lvlText w:val=""/>
      <w:lvlJc w:val="left"/>
      <w:pPr>
        <w:tabs>
          <w:tab w:val="left" w:pos="2520"/>
        </w:tabs>
        <w:ind w:left="2520" w:hanging="420"/>
      </w:pPr>
      <w:rPr>
        <w:rFonts w:hint="default" w:ascii="Wingdings" w:hAnsi="Wingdings"/>
      </w:rPr>
    </w:lvl>
    <w:lvl w:ilvl="6" w:tentative="0">
      <w:start w:val="1"/>
      <w:numFmt w:val="bullet"/>
      <w:lvlText w:val=""/>
      <w:lvlJc w:val="left"/>
      <w:pPr>
        <w:tabs>
          <w:tab w:val="left" w:pos="2940"/>
        </w:tabs>
        <w:ind w:left="2940" w:hanging="420"/>
      </w:pPr>
      <w:rPr>
        <w:rFonts w:hint="default" w:ascii="Wingdings" w:hAnsi="Wingdings"/>
      </w:rPr>
    </w:lvl>
    <w:lvl w:ilvl="7" w:tentative="0">
      <w:start w:val="1"/>
      <w:numFmt w:val="bullet"/>
      <w:lvlText w:val=""/>
      <w:lvlJc w:val="left"/>
      <w:pPr>
        <w:tabs>
          <w:tab w:val="left" w:pos="3360"/>
        </w:tabs>
        <w:ind w:left="3360" w:hanging="420"/>
      </w:pPr>
      <w:rPr>
        <w:rFonts w:hint="default" w:ascii="Wingdings" w:hAnsi="Wingdings"/>
      </w:rPr>
    </w:lvl>
    <w:lvl w:ilvl="8" w:tentative="0">
      <w:start w:val="1"/>
      <w:numFmt w:val="bullet"/>
      <w:lvlText w:val=""/>
      <w:lvlJc w:val="left"/>
      <w:pPr>
        <w:tabs>
          <w:tab w:val="left" w:pos="3780"/>
        </w:tabs>
        <w:ind w:left="3780" w:hanging="420"/>
      </w:pPr>
      <w:rPr>
        <w:rFonts w:hint="default" w:ascii="Wingdings" w:hAnsi="Wingdings"/>
      </w:rPr>
    </w:lvl>
  </w:abstractNum>
  <w:abstractNum w:abstractNumId="9">
    <w:nsid w:val="00000012"/>
    <w:multiLevelType w:val="multilevel"/>
    <w:tmpl w:val="00000012"/>
    <w:lvl w:ilvl="0" w:tentative="0">
      <w:start w:val="1"/>
      <w:numFmt w:val="bullet"/>
      <w:pStyle w:val="140"/>
      <w:lvlText w:val=""/>
      <w:lvlJc w:val="left"/>
      <w:pPr>
        <w:tabs>
          <w:tab w:val="left" w:pos="840"/>
        </w:tabs>
        <w:ind w:left="840" w:hanging="420"/>
      </w:pPr>
      <w:rPr>
        <w:rFonts w:hint="default" w:ascii="Wingdings" w:hAnsi="Wingdings"/>
      </w:rPr>
    </w:lvl>
    <w:lvl w:ilvl="1" w:tentative="0">
      <w:start w:val="1"/>
      <w:numFmt w:val="bullet"/>
      <w:lvlText w:val=""/>
      <w:lvlJc w:val="left"/>
      <w:pPr>
        <w:tabs>
          <w:tab w:val="left" w:pos="1260"/>
        </w:tabs>
        <w:ind w:left="1260" w:hanging="420"/>
      </w:pPr>
      <w:rPr>
        <w:rFonts w:hint="default" w:ascii="Wingdings" w:hAnsi="Wingdings"/>
      </w:rPr>
    </w:lvl>
    <w:lvl w:ilvl="2" w:tentative="0">
      <w:start w:val="1"/>
      <w:numFmt w:val="bullet"/>
      <w:lvlText w:val=""/>
      <w:lvlJc w:val="left"/>
      <w:pPr>
        <w:tabs>
          <w:tab w:val="left" w:pos="1680"/>
        </w:tabs>
        <w:ind w:left="1680" w:hanging="420"/>
      </w:pPr>
      <w:rPr>
        <w:rFonts w:hint="default" w:ascii="Wingdings" w:hAnsi="Wingdings"/>
      </w:rPr>
    </w:lvl>
    <w:lvl w:ilvl="3" w:tentative="0">
      <w:start w:val="1"/>
      <w:numFmt w:val="bullet"/>
      <w:lvlText w:val=""/>
      <w:lvlJc w:val="left"/>
      <w:pPr>
        <w:tabs>
          <w:tab w:val="left" w:pos="2100"/>
        </w:tabs>
        <w:ind w:left="2100" w:hanging="420"/>
      </w:pPr>
      <w:rPr>
        <w:rFonts w:hint="default" w:ascii="Wingdings" w:hAnsi="Wingdings"/>
      </w:rPr>
    </w:lvl>
    <w:lvl w:ilvl="4" w:tentative="0">
      <w:start w:val="1"/>
      <w:numFmt w:val="bullet"/>
      <w:lvlText w:val=""/>
      <w:lvlJc w:val="left"/>
      <w:pPr>
        <w:tabs>
          <w:tab w:val="left" w:pos="2520"/>
        </w:tabs>
        <w:ind w:left="2520" w:hanging="420"/>
      </w:pPr>
      <w:rPr>
        <w:rFonts w:hint="default" w:ascii="Wingdings" w:hAnsi="Wingdings"/>
      </w:rPr>
    </w:lvl>
    <w:lvl w:ilvl="5" w:tentative="0">
      <w:start w:val="1"/>
      <w:numFmt w:val="bullet"/>
      <w:lvlText w:val=""/>
      <w:lvlJc w:val="left"/>
      <w:pPr>
        <w:tabs>
          <w:tab w:val="left" w:pos="2940"/>
        </w:tabs>
        <w:ind w:left="2940" w:hanging="420"/>
      </w:pPr>
      <w:rPr>
        <w:rFonts w:hint="default" w:ascii="Wingdings" w:hAnsi="Wingdings"/>
      </w:rPr>
    </w:lvl>
    <w:lvl w:ilvl="6" w:tentative="0">
      <w:start w:val="1"/>
      <w:numFmt w:val="bullet"/>
      <w:lvlText w:val=""/>
      <w:lvlJc w:val="left"/>
      <w:pPr>
        <w:tabs>
          <w:tab w:val="left" w:pos="3360"/>
        </w:tabs>
        <w:ind w:left="3360" w:hanging="420"/>
      </w:pPr>
      <w:rPr>
        <w:rFonts w:hint="default" w:ascii="Wingdings" w:hAnsi="Wingdings"/>
      </w:rPr>
    </w:lvl>
    <w:lvl w:ilvl="7" w:tentative="0">
      <w:start w:val="1"/>
      <w:numFmt w:val="bullet"/>
      <w:lvlText w:val=""/>
      <w:lvlJc w:val="left"/>
      <w:pPr>
        <w:tabs>
          <w:tab w:val="left" w:pos="3780"/>
        </w:tabs>
        <w:ind w:left="3780" w:hanging="420"/>
      </w:pPr>
      <w:rPr>
        <w:rFonts w:hint="default" w:ascii="Wingdings" w:hAnsi="Wingdings"/>
      </w:rPr>
    </w:lvl>
    <w:lvl w:ilvl="8" w:tentative="0">
      <w:start w:val="1"/>
      <w:numFmt w:val="bullet"/>
      <w:lvlText w:val=""/>
      <w:lvlJc w:val="left"/>
      <w:pPr>
        <w:tabs>
          <w:tab w:val="left" w:pos="4200"/>
        </w:tabs>
        <w:ind w:left="4200" w:hanging="420"/>
      </w:pPr>
      <w:rPr>
        <w:rFonts w:hint="default" w:ascii="Wingdings" w:hAnsi="Wingdings"/>
      </w:rPr>
    </w:lvl>
  </w:abstractNum>
  <w:abstractNum w:abstractNumId="10">
    <w:nsid w:val="08A0EBA0"/>
    <w:multiLevelType w:val="singleLevel"/>
    <w:tmpl w:val="08A0EBA0"/>
    <w:lvl w:ilvl="0" w:tentative="0">
      <w:start w:val="2"/>
      <w:numFmt w:val="chineseCounting"/>
      <w:suff w:val="nothing"/>
      <w:lvlText w:val="%1、"/>
      <w:lvlJc w:val="left"/>
      <w:rPr>
        <w:rFonts w:hint="eastAsia"/>
      </w:rPr>
    </w:lvl>
  </w:abstractNum>
  <w:abstractNum w:abstractNumId="11">
    <w:nsid w:val="2EDFE714"/>
    <w:multiLevelType w:val="singleLevel"/>
    <w:tmpl w:val="2EDFE714"/>
    <w:lvl w:ilvl="0" w:tentative="0">
      <w:start w:val="8"/>
      <w:numFmt w:val="chineseCounting"/>
      <w:suff w:val="nothing"/>
      <w:lvlText w:val="%1、"/>
      <w:lvlJc w:val="left"/>
      <w:rPr>
        <w:rFonts w:hint="eastAsia"/>
      </w:rPr>
    </w:lvl>
  </w:abstractNum>
  <w:abstractNum w:abstractNumId="12">
    <w:nsid w:val="552D73C5"/>
    <w:multiLevelType w:val="singleLevel"/>
    <w:tmpl w:val="552D73C5"/>
    <w:lvl w:ilvl="0" w:tentative="0">
      <w:start w:val="10"/>
      <w:numFmt w:val="chineseCounting"/>
      <w:suff w:val="nothing"/>
      <w:lvlText w:val="%1、"/>
      <w:lvlJc w:val="left"/>
      <w:rPr>
        <w:rFonts w:hint="eastAsia"/>
      </w:rPr>
    </w:lvl>
  </w:abstractNum>
  <w:abstractNum w:abstractNumId="13">
    <w:nsid w:val="6603BE62"/>
    <w:multiLevelType w:val="singleLevel"/>
    <w:tmpl w:val="6603BE62"/>
    <w:lvl w:ilvl="0" w:tentative="0">
      <w:start w:val="4"/>
      <w:numFmt w:val="chineseCounting"/>
      <w:suff w:val="nothing"/>
      <w:lvlText w:val="%1、"/>
      <w:lvlJc w:val="left"/>
    </w:lvl>
  </w:abstractNum>
  <w:abstractNum w:abstractNumId="14">
    <w:nsid w:val="73E57EB8"/>
    <w:multiLevelType w:val="singleLevel"/>
    <w:tmpl w:val="73E57EB8"/>
    <w:lvl w:ilvl="0" w:tentative="0">
      <w:start w:val="5"/>
      <w:numFmt w:val="chineseCounting"/>
      <w:suff w:val="nothing"/>
      <w:lvlText w:val="%1、"/>
      <w:lvlJc w:val="left"/>
      <w:rPr>
        <w:rFonts w:hint="eastAsia"/>
      </w:rPr>
    </w:lvl>
  </w:abstractNum>
  <w:num w:numId="1">
    <w:abstractNumId w:val="3"/>
  </w:num>
  <w:num w:numId="2">
    <w:abstractNumId w:val="5"/>
  </w:num>
  <w:num w:numId="3">
    <w:abstractNumId w:val="2"/>
  </w:num>
  <w:num w:numId="4">
    <w:abstractNumId w:val="4"/>
  </w:num>
  <w:num w:numId="5">
    <w:abstractNumId w:val="6"/>
  </w:num>
  <w:num w:numId="6">
    <w:abstractNumId w:val="7"/>
  </w:num>
  <w:num w:numId="7">
    <w:abstractNumId w:val="9"/>
  </w:num>
  <w:num w:numId="8">
    <w:abstractNumId w:val="8"/>
  </w:num>
  <w:num w:numId="9">
    <w:abstractNumId w:val="1"/>
  </w:num>
  <w:num w:numId="10">
    <w:abstractNumId w:val="13"/>
  </w:num>
  <w:num w:numId="11">
    <w:abstractNumId w:val="12"/>
  </w:num>
  <w:num w:numId="12">
    <w:abstractNumId w:val="10"/>
  </w:num>
  <w:num w:numId="13">
    <w:abstractNumId w:val="0"/>
  </w:num>
  <w:num w:numId="14">
    <w:abstractNumId w:val="14"/>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val="bestFit" w:percent="144"/>
  <w:bordersDoNotSurroundHeader w:val="1"/>
  <w:bordersDoNotSurroundFooter w:val="1"/>
  <w:documentProtection w:enforcement="0"/>
  <w:defaultTabStop w:val="420"/>
  <w:drawingGridVerticalSpacing w:val="156"/>
  <w:displayHorizontalDrawingGridEvery w:val="0"/>
  <w:displayVerticalDrawingGridEvery w:val="2"/>
  <w:doNotShadeFormData w:val="1"/>
  <w:characterSpacingControl w:val="compressPunctuation"/>
  <w:hdrShapeDefaults>
    <o:shapelayout v:ext="edit">
      <o:idmap v:ext="edit" data="3,4"/>
    </o:shapelayout>
  </w:hdrShapeDefaults>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doNotVertAlignCellWithSp/>
    <w:doNotBreakConstrainedForcedTable/>
    <w:doNotVertAlignInTxbx/>
    <w:useAnsiKerningPairs/>
    <w:cachedColBalance/>
    <w:compatSetting w:name="compatibilityMode" w:uri="http://schemas.microsoft.com/office/word" w:val="12"/>
  </w:compat>
  <w:docVars>
    <w:docVar w:name="commondata" w:val="eyJoZGlkIjoiYTc3M2JlMjE0N2RjYjE4Mjc4Y2IzMWFjZGVkMTRkN2QifQ=="/>
  </w:docVars>
  <w:rsids>
    <w:rsidRoot w:val="00172A27"/>
    <w:rsid w:val="00076226"/>
    <w:rsid w:val="000F423F"/>
    <w:rsid w:val="001360EA"/>
    <w:rsid w:val="0016164D"/>
    <w:rsid w:val="001862F0"/>
    <w:rsid w:val="0019514B"/>
    <w:rsid w:val="001B2B87"/>
    <w:rsid w:val="00224B65"/>
    <w:rsid w:val="00287945"/>
    <w:rsid w:val="002E3B97"/>
    <w:rsid w:val="003035AD"/>
    <w:rsid w:val="003C0020"/>
    <w:rsid w:val="00427EC4"/>
    <w:rsid w:val="00442AF9"/>
    <w:rsid w:val="00447C51"/>
    <w:rsid w:val="00465B06"/>
    <w:rsid w:val="004D509F"/>
    <w:rsid w:val="0051627F"/>
    <w:rsid w:val="00527580"/>
    <w:rsid w:val="005A245A"/>
    <w:rsid w:val="00610946"/>
    <w:rsid w:val="006C744D"/>
    <w:rsid w:val="006E6F44"/>
    <w:rsid w:val="0070215E"/>
    <w:rsid w:val="00984CB8"/>
    <w:rsid w:val="009A412B"/>
    <w:rsid w:val="009D419D"/>
    <w:rsid w:val="00AD6558"/>
    <w:rsid w:val="00B726BE"/>
    <w:rsid w:val="00C32DD8"/>
    <w:rsid w:val="00CA2FEB"/>
    <w:rsid w:val="00CD2D0B"/>
    <w:rsid w:val="00D27453"/>
    <w:rsid w:val="00D46E31"/>
    <w:rsid w:val="00D76ED9"/>
    <w:rsid w:val="00D87301"/>
    <w:rsid w:val="00E34225"/>
    <w:rsid w:val="00ED3C84"/>
    <w:rsid w:val="00F027D9"/>
    <w:rsid w:val="00F1139A"/>
    <w:rsid w:val="00F45769"/>
    <w:rsid w:val="00F66902"/>
    <w:rsid w:val="00F96F85"/>
    <w:rsid w:val="00FB470A"/>
    <w:rsid w:val="00FD28E3"/>
    <w:rsid w:val="02CE20BE"/>
    <w:rsid w:val="058C3EA3"/>
    <w:rsid w:val="07D24F8D"/>
    <w:rsid w:val="08B647A1"/>
    <w:rsid w:val="09D422DE"/>
    <w:rsid w:val="0C9E3D6D"/>
    <w:rsid w:val="0D7D62E4"/>
    <w:rsid w:val="10667503"/>
    <w:rsid w:val="107C5919"/>
    <w:rsid w:val="14E44A3D"/>
    <w:rsid w:val="15917521"/>
    <w:rsid w:val="168F4DEA"/>
    <w:rsid w:val="17BF5735"/>
    <w:rsid w:val="18A83312"/>
    <w:rsid w:val="19E120D2"/>
    <w:rsid w:val="1C45282D"/>
    <w:rsid w:val="1CC16CA0"/>
    <w:rsid w:val="1CEB6DC6"/>
    <w:rsid w:val="1DAE415E"/>
    <w:rsid w:val="1F625877"/>
    <w:rsid w:val="1FA83694"/>
    <w:rsid w:val="208B196B"/>
    <w:rsid w:val="20E2444F"/>
    <w:rsid w:val="216C578D"/>
    <w:rsid w:val="21E155BD"/>
    <w:rsid w:val="25E35426"/>
    <w:rsid w:val="26920BFA"/>
    <w:rsid w:val="27AC7A9A"/>
    <w:rsid w:val="28B53E93"/>
    <w:rsid w:val="290E40AE"/>
    <w:rsid w:val="2A1F09F7"/>
    <w:rsid w:val="2AB014B5"/>
    <w:rsid w:val="2AE250AE"/>
    <w:rsid w:val="2B333751"/>
    <w:rsid w:val="2BEE6015"/>
    <w:rsid w:val="2D3A11CE"/>
    <w:rsid w:val="2D4F15F3"/>
    <w:rsid w:val="2D5D192A"/>
    <w:rsid w:val="2E193096"/>
    <w:rsid w:val="319B28B6"/>
    <w:rsid w:val="3489363D"/>
    <w:rsid w:val="37021484"/>
    <w:rsid w:val="37ED5C91"/>
    <w:rsid w:val="3ABB42C5"/>
    <w:rsid w:val="3B1707B1"/>
    <w:rsid w:val="3CB7456D"/>
    <w:rsid w:val="3FD142B6"/>
    <w:rsid w:val="40172BAD"/>
    <w:rsid w:val="42002B9B"/>
    <w:rsid w:val="423D1EA5"/>
    <w:rsid w:val="4420119C"/>
    <w:rsid w:val="443F4352"/>
    <w:rsid w:val="478C40BC"/>
    <w:rsid w:val="49EF2516"/>
    <w:rsid w:val="4C673101"/>
    <w:rsid w:val="4DF07DEB"/>
    <w:rsid w:val="4F363F69"/>
    <w:rsid w:val="4FBB53A4"/>
    <w:rsid w:val="4FC92795"/>
    <w:rsid w:val="501222E0"/>
    <w:rsid w:val="509D0FDA"/>
    <w:rsid w:val="52C359EF"/>
    <w:rsid w:val="556A3DB5"/>
    <w:rsid w:val="557369BF"/>
    <w:rsid w:val="559D67BF"/>
    <w:rsid w:val="56474B1D"/>
    <w:rsid w:val="588311E3"/>
    <w:rsid w:val="5AC90A7E"/>
    <w:rsid w:val="5ACF1E42"/>
    <w:rsid w:val="5C660C64"/>
    <w:rsid w:val="5EE160E1"/>
    <w:rsid w:val="5F887EC9"/>
    <w:rsid w:val="5FC324AB"/>
    <w:rsid w:val="61C535F7"/>
    <w:rsid w:val="622D720C"/>
    <w:rsid w:val="67656D42"/>
    <w:rsid w:val="6898779E"/>
    <w:rsid w:val="68EB0D11"/>
    <w:rsid w:val="697B0A9F"/>
    <w:rsid w:val="6A6D7FCC"/>
    <w:rsid w:val="6EA678FF"/>
    <w:rsid w:val="6F045332"/>
    <w:rsid w:val="728028DF"/>
    <w:rsid w:val="745708AE"/>
    <w:rsid w:val="7B371E1B"/>
    <w:rsid w:val="7C2D79D7"/>
    <w:rsid w:val="7C7D5283"/>
    <w:rsid w:val="7DAF766D"/>
    <w:rsid w:val="7E4C5855"/>
    <w:rsid w:val="7FCA420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nhideWhenUsed="0" w:uiPriority="9" w:semiHidden="0" w:name="heading 4"/>
    <w:lsdException w:qFormat="1" w:unhideWhenUsed="0" w:uiPriority="9" w:semiHidden="0" w:name="heading 5"/>
    <w:lsdException w:qFormat="1" w:unhideWhenUsed="0" w:uiPriority="9" w:semiHidden="0" w:name="heading 6"/>
    <w:lsdException w:qFormat="1" w:unhideWhenUsed="0" w:uiPriority="9" w:semiHidden="0" w:name="heading 7"/>
    <w:lsdException w:qFormat="1" w:unhideWhenUsed="0" w:uiPriority="9" w:semiHidden="0" w:name="heading 8"/>
    <w:lsdException w:qFormat="1" w:unhideWhenUsed="0" w:uiPriority="9" w:semiHidden="0" w:name="heading 9"/>
    <w:lsdException w:qFormat="1"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39" w:semiHidden="0" w:name="toc 4"/>
    <w:lsdException w:qFormat="1" w:unhideWhenUsed="0" w:uiPriority="0" w:semiHidden="0" w:name="toc 5"/>
    <w:lsdException w:qFormat="1" w:unhideWhenUsed="0" w:uiPriority="39" w:semiHidden="0" w:name="toc 6"/>
    <w:lsdException w:qFormat="1" w:unhideWhenUsed="0" w:uiPriority="0" w:semiHidden="0" w:name="toc 7"/>
    <w:lsdException w:qFormat="1" w:unhideWhenUsed="0" w:uiPriority="0" w:semiHidden="0" w:name="toc 8"/>
    <w:lsdException w:qFormat="1"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nhideWhenUsed="0"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0" w:semiHidden="0" w:name="List"/>
    <w:lsdException w:unhideWhenUsed="0" w:uiPriority="0" w:semiHidden="0" w:name="List Bullet"/>
    <w:lsdException w:unhideWhenUsed="0" w:uiPriority="0" w:semiHidden="0" w:name="List Number"/>
    <w:lsdException w:qFormat="1" w:unhideWhenUsed="0" w:uiPriority="0" w:semiHidden="0" w:name="List 2"/>
    <w:lsdException w:qFormat="1" w:unhideWhenUsed="0" w:uiPriority="0" w:semiHidden="0" w:name="List 3"/>
    <w:lsdException w:unhideWhenUsed="0" w:uiPriority="0" w:semiHidden="0" w:name="List 4"/>
    <w:lsdException w:unhideWhenUsed="0" w:uiPriority="0" w:semiHidden="0" w:name="List 5"/>
    <w:lsdException w:qFormat="1"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qFormat="1"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qFormat="1"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nhideWhenUsed="0" w:uiPriority="0" w:semiHidden="0" w:name="Message Header"/>
    <w:lsdException w:qFormat="1" w:unhideWhenUsed="0" w:uiPriority="11" w:semiHidden="0" w:name="Subtitle"/>
    <w:lsdException w:qFormat="1" w:unhideWhenUsed="0" w:uiPriority="0" w:semiHidden="0" w:name="Salutation"/>
    <w:lsdException w:qFormat="1"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qFormat="1" w:unhideWhenUsed="0" w:uiPriority="0" w:semiHidden="0" w:name="Body Text 3"/>
    <w:lsdException w:qFormat="1" w:unhideWhenUsed="0" w:uiPriority="0" w:semiHidden="0" w:name="Body Text Indent 2"/>
    <w:lsdException w:qFormat="1" w:unhideWhenUsed="0" w:uiPriority="0" w:semiHidden="0" w:name="Body Text Indent 3"/>
    <w:lsdException w:qFormat="1" w:unhideWhenUsed="0" w:uiPriority="0" w:semiHidden="0"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宋体" w:cs="Times New Roman"/>
      <w:sz w:val="24"/>
      <w:szCs w:val="24"/>
      <w:lang w:val="en-US" w:eastAsia="en-US" w:bidi="en-US"/>
    </w:rPr>
  </w:style>
  <w:style w:type="paragraph" w:styleId="3">
    <w:name w:val="heading 1"/>
    <w:basedOn w:val="1"/>
    <w:next w:val="1"/>
    <w:link w:val="278"/>
    <w:autoRedefine/>
    <w:qFormat/>
    <w:uiPriority w:val="9"/>
    <w:pPr>
      <w:keepNext/>
      <w:spacing w:before="240" w:beforeLines="0" w:after="60" w:afterLines="0"/>
      <w:outlineLvl w:val="0"/>
    </w:pPr>
    <w:rPr>
      <w:rFonts w:ascii="Cambria" w:hAnsi="Cambria"/>
      <w:b/>
      <w:bCs/>
      <w:kern w:val="32"/>
      <w:sz w:val="32"/>
      <w:szCs w:val="32"/>
      <w:lang w:bidi="ar-SA"/>
    </w:rPr>
  </w:style>
  <w:style w:type="paragraph" w:styleId="4">
    <w:name w:val="heading 2"/>
    <w:basedOn w:val="1"/>
    <w:next w:val="2"/>
    <w:link w:val="279"/>
    <w:qFormat/>
    <w:uiPriority w:val="9"/>
    <w:pPr>
      <w:keepNext/>
      <w:spacing w:before="240" w:beforeLines="0" w:after="60" w:afterLines="0"/>
      <w:outlineLvl w:val="1"/>
    </w:pPr>
    <w:rPr>
      <w:rFonts w:ascii="Cambria" w:hAnsi="Cambria"/>
      <w:b/>
      <w:bCs/>
      <w:i/>
      <w:iCs/>
      <w:sz w:val="28"/>
      <w:szCs w:val="28"/>
      <w:lang w:bidi="ar-SA"/>
    </w:rPr>
  </w:style>
  <w:style w:type="paragraph" w:styleId="5">
    <w:name w:val="heading 3"/>
    <w:basedOn w:val="1"/>
    <w:next w:val="1"/>
    <w:link w:val="280"/>
    <w:autoRedefine/>
    <w:qFormat/>
    <w:uiPriority w:val="9"/>
    <w:pPr>
      <w:keepNext/>
      <w:spacing w:before="240" w:beforeLines="0" w:after="60" w:afterLines="0"/>
      <w:outlineLvl w:val="2"/>
    </w:pPr>
    <w:rPr>
      <w:rFonts w:ascii="Cambria" w:hAnsi="Cambria"/>
      <w:b/>
      <w:bCs/>
      <w:sz w:val="26"/>
      <w:szCs w:val="26"/>
      <w:lang w:bidi="ar-SA"/>
    </w:rPr>
  </w:style>
  <w:style w:type="paragraph" w:styleId="6">
    <w:name w:val="heading 4"/>
    <w:basedOn w:val="1"/>
    <w:next w:val="1"/>
    <w:link w:val="281"/>
    <w:autoRedefine/>
    <w:qFormat/>
    <w:uiPriority w:val="9"/>
    <w:pPr>
      <w:keepNext/>
      <w:spacing w:before="240" w:beforeLines="0" w:after="60" w:afterLines="0"/>
      <w:outlineLvl w:val="3"/>
    </w:pPr>
    <w:rPr>
      <w:b/>
      <w:bCs/>
      <w:sz w:val="28"/>
      <w:szCs w:val="28"/>
      <w:lang w:bidi="ar-SA"/>
    </w:rPr>
  </w:style>
  <w:style w:type="paragraph" w:styleId="7">
    <w:name w:val="heading 5"/>
    <w:basedOn w:val="1"/>
    <w:next w:val="1"/>
    <w:link w:val="282"/>
    <w:autoRedefine/>
    <w:qFormat/>
    <w:uiPriority w:val="9"/>
    <w:pPr>
      <w:spacing w:before="240" w:beforeLines="0" w:after="60" w:afterLines="0"/>
      <w:outlineLvl w:val="4"/>
    </w:pPr>
    <w:rPr>
      <w:b/>
      <w:bCs/>
      <w:i/>
      <w:iCs/>
      <w:sz w:val="26"/>
      <w:szCs w:val="26"/>
      <w:lang w:bidi="ar-SA"/>
    </w:rPr>
  </w:style>
  <w:style w:type="paragraph" w:styleId="8">
    <w:name w:val="heading 6"/>
    <w:basedOn w:val="1"/>
    <w:next w:val="1"/>
    <w:link w:val="283"/>
    <w:autoRedefine/>
    <w:qFormat/>
    <w:uiPriority w:val="9"/>
    <w:pPr>
      <w:spacing w:before="240" w:beforeLines="0" w:after="60" w:afterLines="0"/>
      <w:outlineLvl w:val="5"/>
    </w:pPr>
    <w:rPr>
      <w:b/>
      <w:bCs/>
      <w:sz w:val="20"/>
      <w:szCs w:val="20"/>
      <w:lang w:bidi="ar-SA"/>
    </w:rPr>
  </w:style>
  <w:style w:type="paragraph" w:styleId="9">
    <w:name w:val="heading 7"/>
    <w:basedOn w:val="1"/>
    <w:next w:val="1"/>
    <w:link w:val="284"/>
    <w:qFormat/>
    <w:uiPriority w:val="9"/>
    <w:pPr>
      <w:spacing w:before="240" w:beforeLines="0" w:after="60" w:afterLines="0"/>
      <w:outlineLvl w:val="6"/>
    </w:pPr>
    <w:rPr>
      <w:lang w:bidi="ar-SA"/>
    </w:rPr>
  </w:style>
  <w:style w:type="paragraph" w:styleId="10">
    <w:name w:val="heading 8"/>
    <w:basedOn w:val="1"/>
    <w:next w:val="1"/>
    <w:link w:val="285"/>
    <w:autoRedefine/>
    <w:qFormat/>
    <w:uiPriority w:val="9"/>
    <w:pPr>
      <w:spacing w:before="240" w:beforeLines="0" w:after="60" w:afterLines="0"/>
      <w:outlineLvl w:val="7"/>
    </w:pPr>
    <w:rPr>
      <w:i/>
      <w:iCs/>
      <w:lang w:bidi="ar-SA"/>
    </w:rPr>
  </w:style>
  <w:style w:type="paragraph" w:styleId="11">
    <w:name w:val="heading 9"/>
    <w:basedOn w:val="1"/>
    <w:next w:val="1"/>
    <w:link w:val="286"/>
    <w:qFormat/>
    <w:uiPriority w:val="9"/>
    <w:pPr>
      <w:spacing w:before="240" w:beforeLines="0" w:after="60" w:afterLines="0"/>
      <w:outlineLvl w:val="8"/>
    </w:pPr>
    <w:rPr>
      <w:rFonts w:ascii="Cambria" w:hAnsi="Cambria"/>
      <w:sz w:val="20"/>
      <w:szCs w:val="20"/>
      <w:lang w:bidi="ar-SA"/>
    </w:rPr>
  </w:style>
  <w:style w:type="character" w:default="1" w:styleId="54">
    <w:name w:val="Default Paragraph Font"/>
    <w:autoRedefine/>
    <w:qFormat/>
    <w:uiPriority w:val="0"/>
  </w:style>
  <w:style w:type="table" w:default="1" w:styleId="52">
    <w:name w:val="Normal Table"/>
    <w:autoRedefine/>
    <w:semiHidden/>
    <w:qFormat/>
    <w:uiPriority w:val="0"/>
    <w:pPr>
      <w:widowControl/>
      <w:spacing w:before="0" w:beforeAutospacing="0" w:after="0" w:afterAutospacing="0"/>
      <w:ind w:left="0" w:right="0"/>
    </w:pPr>
    <w:rPr>
      <w:rFonts w:hint="default" w:ascii="Times New Roman" w:hAnsi="Times New Roman" w:cs="Times New Roman"/>
      <w:sz w:val="20"/>
      <w:szCs w:val="20"/>
    </w:rPr>
    <w:tblPr>
      <w:tblCellMar>
        <w:top w:w="0" w:type="dxa"/>
        <w:left w:w="108" w:type="dxa"/>
        <w:bottom w:w="0" w:type="dxa"/>
        <w:right w:w="108" w:type="dxa"/>
      </w:tblCellMar>
    </w:tblPr>
  </w:style>
  <w:style w:type="paragraph" w:styleId="2">
    <w:name w:val="Normal Indent"/>
    <w:basedOn w:val="1"/>
    <w:next w:val="1"/>
    <w:link w:val="277"/>
    <w:autoRedefine/>
    <w:qFormat/>
    <w:uiPriority w:val="0"/>
    <w:pPr>
      <w:spacing w:line="360" w:lineRule="auto"/>
      <w:ind w:firstLine="420"/>
    </w:pPr>
    <w:rPr>
      <w:rFonts w:ascii="宋体"/>
      <w:sz w:val="21"/>
      <w:szCs w:val="20"/>
      <w:lang w:eastAsia="zh-CN" w:bidi="ar-SA"/>
    </w:rPr>
  </w:style>
  <w:style w:type="paragraph" w:styleId="12">
    <w:name w:val="List 3"/>
    <w:basedOn w:val="1"/>
    <w:qFormat/>
    <w:uiPriority w:val="0"/>
    <w:pPr>
      <w:spacing w:before="100" w:beforeLines="0" w:beforeAutospacing="1" w:after="100" w:afterLines="0" w:afterAutospacing="1"/>
    </w:pPr>
    <w:rPr>
      <w:rFonts w:ascii="Arial Unicode MS" w:hAnsi="Arial Unicode MS" w:eastAsia="Arial Unicode MS"/>
      <w:sz w:val="24"/>
      <w:szCs w:val="24"/>
    </w:rPr>
  </w:style>
  <w:style w:type="paragraph" w:styleId="13">
    <w:name w:val="toc 7"/>
    <w:basedOn w:val="1"/>
    <w:next w:val="1"/>
    <w:qFormat/>
    <w:uiPriority w:val="0"/>
    <w:pPr>
      <w:ind w:left="1440"/>
    </w:pPr>
    <w:rPr>
      <w:rFonts w:ascii="Calibri" w:hAnsi="Calibri"/>
      <w:sz w:val="18"/>
      <w:szCs w:val="18"/>
    </w:rPr>
  </w:style>
  <w:style w:type="paragraph" w:styleId="14">
    <w:name w:val="caption"/>
    <w:basedOn w:val="1"/>
    <w:next w:val="1"/>
    <w:autoRedefine/>
    <w:qFormat/>
    <w:uiPriority w:val="35"/>
    <w:pPr>
      <w:spacing w:line="240" w:lineRule="auto"/>
    </w:pPr>
    <w:rPr>
      <w:b/>
      <w:bCs/>
      <w:color w:val="4F81BD"/>
      <w:sz w:val="18"/>
      <w:szCs w:val="18"/>
    </w:rPr>
  </w:style>
  <w:style w:type="paragraph" w:styleId="15">
    <w:name w:val="Document Map"/>
    <w:basedOn w:val="1"/>
    <w:link w:val="287"/>
    <w:qFormat/>
    <w:uiPriority w:val="0"/>
    <w:pPr>
      <w:shd w:val="clear" w:color="auto" w:fill="000080"/>
    </w:pPr>
  </w:style>
  <w:style w:type="paragraph" w:styleId="16">
    <w:name w:val="annotation text"/>
    <w:basedOn w:val="1"/>
    <w:link w:val="288"/>
    <w:qFormat/>
    <w:uiPriority w:val="0"/>
    <w:rPr>
      <w:sz w:val="21"/>
      <w:szCs w:val="20"/>
      <w:lang w:bidi="ar-SA"/>
    </w:rPr>
  </w:style>
  <w:style w:type="paragraph" w:styleId="17">
    <w:name w:val="Salutation"/>
    <w:basedOn w:val="1"/>
    <w:next w:val="1"/>
    <w:autoRedefine/>
    <w:qFormat/>
    <w:uiPriority w:val="0"/>
    <w:pPr>
      <w:widowControl w:val="0"/>
      <w:jc w:val="both"/>
    </w:pPr>
    <w:rPr>
      <w:color w:val="000000"/>
      <w:szCs w:val="23"/>
    </w:rPr>
  </w:style>
  <w:style w:type="paragraph" w:styleId="18">
    <w:name w:val="Body Text 3"/>
    <w:basedOn w:val="1"/>
    <w:autoRedefine/>
    <w:qFormat/>
    <w:uiPriority w:val="0"/>
    <w:pPr>
      <w:widowControl w:val="0"/>
      <w:spacing w:line="360" w:lineRule="auto"/>
    </w:pPr>
    <w:rPr>
      <w:rFonts w:ascii="宋体"/>
      <w:iCs/>
      <w:kern w:val="2"/>
      <w:sz w:val="24"/>
      <w:szCs w:val="24"/>
    </w:rPr>
  </w:style>
  <w:style w:type="paragraph" w:styleId="19">
    <w:name w:val="Closing"/>
    <w:basedOn w:val="1"/>
    <w:autoRedefine/>
    <w:qFormat/>
    <w:uiPriority w:val="0"/>
    <w:pPr>
      <w:widowControl w:val="0"/>
      <w:ind w:left="100" w:leftChars="2100"/>
      <w:jc w:val="both"/>
    </w:pPr>
    <w:rPr>
      <w:color w:val="000000"/>
      <w:szCs w:val="23"/>
    </w:rPr>
  </w:style>
  <w:style w:type="paragraph" w:styleId="20">
    <w:name w:val="Body Text"/>
    <w:basedOn w:val="1"/>
    <w:next w:val="1"/>
    <w:link w:val="289"/>
    <w:autoRedefine/>
    <w:qFormat/>
    <w:uiPriority w:val="0"/>
    <w:pPr>
      <w:spacing w:after="120" w:afterLines="0" w:afterAutospacing="0"/>
    </w:pPr>
  </w:style>
  <w:style w:type="paragraph" w:styleId="21">
    <w:name w:val="Body Text Indent"/>
    <w:basedOn w:val="1"/>
    <w:link w:val="290"/>
    <w:autoRedefine/>
    <w:qFormat/>
    <w:uiPriority w:val="0"/>
    <w:pPr>
      <w:spacing w:after="120" w:afterLines="0" w:afterAutospacing="0"/>
      <w:ind w:left="420" w:leftChars="200"/>
    </w:pPr>
    <w:rPr>
      <w:sz w:val="21"/>
      <w:szCs w:val="20"/>
      <w:lang w:eastAsia="zh-CN" w:bidi="ar-SA"/>
    </w:rPr>
  </w:style>
  <w:style w:type="paragraph" w:styleId="22">
    <w:name w:val="List Number 3"/>
    <w:basedOn w:val="1"/>
    <w:autoRedefine/>
    <w:qFormat/>
    <w:uiPriority w:val="0"/>
    <w:pPr>
      <w:tabs>
        <w:tab w:val="left" w:pos="425"/>
        <w:tab w:val="left" w:pos="851"/>
        <w:tab w:val="left" w:pos="1134"/>
      </w:tabs>
      <w:spacing w:line="280" w:lineRule="atLeast"/>
      <w:ind w:left="1135" w:hanging="284"/>
    </w:pPr>
    <w:rPr>
      <w:rFonts w:ascii="Arial" w:hAnsi="Arial"/>
      <w:sz w:val="16"/>
      <w:lang w:eastAsia="en-US"/>
    </w:rPr>
  </w:style>
  <w:style w:type="paragraph" w:styleId="23">
    <w:name w:val="List 2"/>
    <w:basedOn w:val="1"/>
    <w:autoRedefine/>
    <w:qFormat/>
    <w:uiPriority w:val="0"/>
    <w:pPr>
      <w:widowControl w:val="0"/>
      <w:ind w:left="100" w:leftChars="200" w:hanging="200" w:hangingChars="200"/>
      <w:jc w:val="both"/>
    </w:pPr>
    <w:rPr>
      <w:kern w:val="2"/>
      <w:szCs w:val="24"/>
    </w:rPr>
  </w:style>
  <w:style w:type="paragraph" w:styleId="24">
    <w:name w:val="Block Text"/>
    <w:basedOn w:val="1"/>
    <w:qFormat/>
    <w:uiPriority w:val="0"/>
    <w:pPr>
      <w:widowControl w:val="0"/>
      <w:adjustRightInd w:val="0"/>
      <w:ind w:left="420" w:right="33"/>
      <w:textAlignment w:val="baseline"/>
    </w:pPr>
    <w:rPr>
      <w:sz w:val="24"/>
    </w:rPr>
  </w:style>
  <w:style w:type="paragraph" w:styleId="25">
    <w:name w:val="List Bullet 2"/>
    <w:basedOn w:val="1"/>
    <w:qFormat/>
    <w:uiPriority w:val="0"/>
    <w:pPr>
      <w:widowControl w:val="0"/>
      <w:spacing w:line="360" w:lineRule="auto"/>
      <w:jc w:val="both"/>
    </w:pPr>
    <w:rPr>
      <w:rFonts w:ascii="宋体" w:hAnsi="宋体"/>
      <w:spacing w:val="20"/>
      <w:kern w:val="2"/>
      <w:sz w:val="24"/>
      <w:szCs w:val="24"/>
    </w:rPr>
  </w:style>
  <w:style w:type="paragraph" w:styleId="26">
    <w:name w:val="toc 5"/>
    <w:basedOn w:val="1"/>
    <w:next w:val="1"/>
    <w:autoRedefine/>
    <w:qFormat/>
    <w:uiPriority w:val="0"/>
    <w:pPr>
      <w:ind w:left="960"/>
    </w:pPr>
    <w:rPr>
      <w:rFonts w:ascii="Calibri" w:hAnsi="Calibri"/>
      <w:sz w:val="18"/>
      <w:szCs w:val="18"/>
    </w:rPr>
  </w:style>
  <w:style w:type="paragraph" w:styleId="27">
    <w:name w:val="toc 3"/>
    <w:basedOn w:val="1"/>
    <w:next w:val="1"/>
    <w:autoRedefine/>
    <w:qFormat/>
    <w:uiPriority w:val="39"/>
    <w:pPr>
      <w:ind w:left="480"/>
    </w:pPr>
    <w:rPr>
      <w:rFonts w:ascii="Calibri" w:hAnsi="Calibri"/>
      <w:i/>
      <w:iCs/>
      <w:sz w:val="20"/>
      <w:szCs w:val="20"/>
    </w:rPr>
  </w:style>
  <w:style w:type="paragraph" w:styleId="28">
    <w:name w:val="Plain Text"/>
    <w:basedOn w:val="1"/>
    <w:link w:val="291"/>
    <w:autoRedefine/>
    <w:qFormat/>
    <w:uiPriority w:val="0"/>
    <w:pPr>
      <w:widowControl w:val="0"/>
      <w:spacing w:line="360" w:lineRule="auto"/>
      <w:jc w:val="both"/>
    </w:pPr>
    <w:rPr>
      <w:rFonts w:ascii="宋体" w:hAnsi="Courier New"/>
      <w:spacing w:val="-8"/>
      <w:kern w:val="2"/>
      <w:szCs w:val="20"/>
      <w:lang w:eastAsia="zh-CN" w:bidi="ar-SA"/>
    </w:rPr>
  </w:style>
  <w:style w:type="paragraph" w:styleId="29">
    <w:name w:val="toc 8"/>
    <w:basedOn w:val="1"/>
    <w:next w:val="1"/>
    <w:autoRedefine/>
    <w:qFormat/>
    <w:uiPriority w:val="0"/>
    <w:pPr>
      <w:ind w:left="1680"/>
    </w:pPr>
    <w:rPr>
      <w:rFonts w:ascii="Calibri" w:hAnsi="Calibri"/>
      <w:sz w:val="18"/>
      <w:szCs w:val="18"/>
    </w:rPr>
  </w:style>
  <w:style w:type="paragraph" w:styleId="30">
    <w:name w:val="Date"/>
    <w:basedOn w:val="1"/>
    <w:next w:val="1"/>
    <w:qFormat/>
    <w:uiPriority w:val="0"/>
    <w:pPr>
      <w:ind w:left="100" w:leftChars="2500"/>
    </w:pPr>
  </w:style>
  <w:style w:type="paragraph" w:styleId="31">
    <w:name w:val="Body Text Indent 2"/>
    <w:basedOn w:val="1"/>
    <w:qFormat/>
    <w:uiPriority w:val="0"/>
    <w:pPr>
      <w:widowControl w:val="0"/>
      <w:spacing w:line="360" w:lineRule="auto"/>
      <w:ind w:firstLine="360"/>
      <w:jc w:val="both"/>
    </w:pPr>
    <w:rPr>
      <w:rFonts w:ascii="宋体"/>
      <w:kern w:val="2"/>
      <w:sz w:val="24"/>
    </w:rPr>
  </w:style>
  <w:style w:type="paragraph" w:styleId="32">
    <w:name w:val="Balloon Text"/>
    <w:basedOn w:val="1"/>
    <w:link w:val="292"/>
    <w:autoRedefine/>
    <w:qFormat/>
    <w:uiPriority w:val="0"/>
    <w:pPr>
      <w:widowControl w:val="0"/>
      <w:jc w:val="both"/>
    </w:pPr>
    <w:rPr>
      <w:kern w:val="2"/>
      <w:sz w:val="18"/>
    </w:rPr>
  </w:style>
  <w:style w:type="paragraph" w:styleId="33">
    <w:name w:val="footer"/>
    <w:basedOn w:val="1"/>
    <w:link w:val="293"/>
    <w:qFormat/>
    <w:uiPriority w:val="0"/>
    <w:pPr>
      <w:widowControl w:val="0"/>
      <w:tabs>
        <w:tab w:val="center" w:pos="4153"/>
        <w:tab w:val="right" w:pos="8306"/>
      </w:tabs>
      <w:autoSpaceDE w:val="0"/>
      <w:autoSpaceDN w:val="0"/>
      <w:adjustRightInd w:val="0"/>
      <w:snapToGrid w:val="0"/>
    </w:pPr>
    <w:rPr>
      <w:rFonts w:ascii="宋体"/>
      <w:sz w:val="18"/>
      <w:szCs w:val="20"/>
      <w:lang w:eastAsia="zh-CN" w:bidi="ar-SA"/>
    </w:rPr>
  </w:style>
  <w:style w:type="paragraph" w:styleId="34">
    <w:name w:val="header"/>
    <w:basedOn w:val="1"/>
    <w:link w:val="294"/>
    <w:autoRedefine/>
    <w:qFormat/>
    <w:uiPriority w:val="0"/>
    <w:pPr>
      <w:widowControl w:val="0"/>
      <w:pBdr>
        <w:bottom w:val="single" w:color="auto" w:sz="6" w:space="1"/>
      </w:pBdr>
      <w:tabs>
        <w:tab w:val="center" w:pos="4153"/>
        <w:tab w:val="right" w:pos="8306"/>
      </w:tabs>
      <w:autoSpaceDE w:val="0"/>
      <w:autoSpaceDN w:val="0"/>
      <w:adjustRightInd w:val="0"/>
      <w:snapToGrid w:val="0"/>
      <w:jc w:val="center"/>
    </w:pPr>
    <w:rPr>
      <w:rFonts w:ascii="宋体"/>
      <w:sz w:val="18"/>
      <w:szCs w:val="20"/>
      <w:lang w:eastAsia="zh-CN" w:bidi="ar-SA"/>
    </w:rPr>
  </w:style>
  <w:style w:type="paragraph" w:styleId="35">
    <w:name w:val="toc 1"/>
    <w:basedOn w:val="1"/>
    <w:next w:val="1"/>
    <w:qFormat/>
    <w:uiPriority w:val="39"/>
    <w:pPr>
      <w:spacing w:before="120" w:beforeLines="0" w:after="120" w:afterLines="0"/>
    </w:pPr>
    <w:rPr>
      <w:rFonts w:ascii="Calibri" w:hAnsi="Calibri"/>
      <w:b/>
      <w:bCs/>
      <w:caps/>
      <w:sz w:val="20"/>
      <w:szCs w:val="20"/>
    </w:rPr>
  </w:style>
  <w:style w:type="paragraph" w:styleId="36">
    <w:name w:val="toc 4"/>
    <w:basedOn w:val="1"/>
    <w:next w:val="1"/>
    <w:qFormat/>
    <w:uiPriority w:val="39"/>
    <w:pPr>
      <w:ind w:left="720"/>
    </w:pPr>
    <w:rPr>
      <w:rFonts w:ascii="Calibri" w:hAnsi="Calibri"/>
      <w:sz w:val="18"/>
      <w:szCs w:val="18"/>
    </w:rPr>
  </w:style>
  <w:style w:type="paragraph" w:styleId="37">
    <w:name w:val="Subtitle"/>
    <w:basedOn w:val="1"/>
    <w:next w:val="1"/>
    <w:link w:val="295"/>
    <w:qFormat/>
    <w:uiPriority w:val="11"/>
    <w:pPr>
      <w:spacing w:after="60" w:afterLines="0"/>
      <w:jc w:val="center"/>
      <w:outlineLvl w:val="1"/>
    </w:pPr>
    <w:rPr>
      <w:rFonts w:ascii="Cambria" w:hAnsi="Cambria"/>
      <w:lang w:bidi="ar-SA"/>
    </w:rPr>
  </w:style>
  <w:style w:type="paragraph" w:styleId="38">
    <w:name w:val="List"/>
    <w:basedOn w:val="1"/>
    <w:qFormat/>
    <w:uiPriority w:val="0"/>
    <w:pPr>
      <w:widowControl w:val="0"/>
      <w:ind w:left="200" w:hanging="200" w:hangingChars="200"/>
      <w:jc w:val="both"/>
    </w:pPr>
    <w:rPr>
      <w:kern w:val="2"/>
      <w:szCs w:val="24"/>
    </w:rPr>
  </w:style>
  <w:style w:type="paragraph" w:styleId="39">
    <w:name w:val="toc 6"/>
    <w:basedOn w:val="1"/>
    <w:next w:val="1"/>
    <w:autoRedefine/>
    <w:qFormat/>
    <w:uiPriority w:val="39"/>
    <w:pPr>
      <w:ind w:left="1200"/>
    </w:pPr>
    <w:rPr>
      <w:rFonts w:ascii="Calibri" w:hAnsi="Calibri"/>
      <w:sz w:val="18"/>
      <w:szCs w:val="18"/>
    </w:rPr>
  </w:style>
  <w:style w:type="paragraph" w:styleId="40">
    <w:name w:val="Body Text Indent 3"/>
    <w:basedOn w:val="1"/>
    <w:qFormat/>
    <w:uiPriority w:val="0"/>
    <w:pPr>
      <w:widowControl w:val="0"/>
      <w:spacing w:line="360" w:lineRule="exact"/>
      <w:ind w:firstLine="420" w:firstLineChars="200"/>
      <w:jc w:val="both"/>
    </w:pPr>
    <w:rPr>
      <w:kern w:val="2"/>
    </w:rPr>
  </w:style>
  <w:style w:type="paragraph" w:styleId="41">
    <w:name w:val="toc 2"/>
    <w:basedOn w:val="1"/>
    <w:next w:val="1"/>
    <w:qFormat/>
    <w:uiPriority w:val="39"/>
    <w:pPr>
      <w:ind w:left="240"/>
    </w:pPr>
    <w:rPr>
      <w:rFonts w:ascii="Calibri" w:hAnsi="Calibri"/>
      <w:smallCaps/>
      <w:sz w:val="20"/>
      <w:szCs w:val="20"/>
    </w:rPr>
  </w:style>
  <w:style w:type="paragraph" w:styleId="42">
    <w:name w:val="toc 9"/>
    <w:basedOn w:val="1"/>
    <w:next w:val="1"/>
    <w:qFormat/>
    <w:uiPriority w:val="0"/>
    <w:pPr>
      <w:ind w:left="1920"/>
    </w:pPr>
    <w:rPr>
      <w:rFonts w:ascii="Calibri" w:hAnsi="Calibri"/>
      <w:sz w:val="18"/>
      <w:szCs w:val="18"/>
    </w:rPr>
  </w:style>
  <w:style w:type="paragraph" w:styleId="43">
    <w:name w:val="Body Text 2"/>
    <w:basedOn w:val="1"/>
    <w:qFormat/>
    <w:uiPriority w:val="0"/>
    <w:pPr>
      <w:widowControl w:val="0"/>
      <w:spacing w:line="280" w:lineRule="exact"/>
      <w:jc w:val="both"/>
    </w:pPr>
    <w:rPr>
      <w:rFonts w:ascii="仿宋_GB2312" w:eastAsia="仿宋_GB2312"/>
      <w:kern w:val="2"/>
      <w:sz w:val="24"/>
    </w:rPr>
  </w:style>
  <w:style w:type="paragraph" w:styleId="44">
    <w:name w:val="Message Header"/>
    <w:basedOn w:val="20"/>
    <w:qFormat/>
    <w:uiPriority w:val="0"/>
    <w:pPr>
      <w:keepLines/>
      <w:pBdr>
        <w:bottom w:val="single" w:color="auto" w:sz="6" w:space="2"/>
        <w:between w:val="single" w:color="auto" w:sz="6" w:space="2"/>
      </w:pBdr>
      <w:tabs>
        <w:tab w:val="left" w:pos="720"/>
        <w:tab w:val="left" w:pos="4320"/>
        <w:tab w:val="left" w:pos="5040"/>
        <w:tab w:val="right" w:pos="8640"/>
      </w:tabs>
      <w:overflowPunct w:val="0"/>
      <w:autoSpaceDE w:val="0"/>
      <w:autoSpaceDN w:val="0"/>
      <w:adjustRightInd w:val="0"/>
      <w:spacing w:after="0" w:afterLines="0" w:afterAutospacing="0" w:line="440" w:lineRule="atLeast"/>
      <w:ind w:left="720" w:hanging="720"/>
      <w:textAlignment w:val="baseline"/>
    </w:pPr>
    <w:rPr>
      <w:rFonts w:ascii="Arial" w:hAnsi="Arial"/>
      <w:spacing w:val="-5"/>
      <w:sz w:val="20"/>
    </w:rPr>
  </w:style>
  <w:style w:type="paragraph" w:styleId="4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黑体" w:hAnsi="Courier New" w:eastAsia="黑体" w:cs="Courier New"/>
      <w:sz w:val="20"/>
    </w:rPr>
  </w:style>
  <w:style w:type="paragraph" w:styleId="46">
    <w:name w:val="Normal (Web)"/>
    <w:basedOn w:val="1"/>
    <w:qFormat/>
    <w:uiPriority w:val="0"/>
    <w:pPr>
      <w:spacing w:before="100" w:beforeLines="0" w:beforeAutospacing="1" w:after="100" w:afterLines="0" w:afterAutospacing="1"/>
    </w:pPr>
    <w:rPr>
      <w:rFonts w:ascii="宋体" w:hAnsi="宋体"/>
      <w:sz w:val="24"/>
    </w:rPr>
  </w:style>
  <w:style w:type="paragraph" w:styleId="47">
    <w:name w:val="index 1"/>
    <w:basedOn w:val="1"/>
    <w:next w:val="1"/>
    <w:qFormat/>
    <w:uiPriority w:val="0"/>
    <w:pPr>
      <w:widowControl w:val="0"/>
      <w:jc w:val="both"/>
    </w:pPr>
    <w:rPr>
      <w:kern w:val="2"/>
      <w:szCs w:val="24"/>
    </w:rPr>
  </w:style>
  <w:style w:type="paragraph" w:styleId="48">
    <w:name w:val="Title"/>
    <w:basedOn w:val="1"/>
    <w:next w:val="1"/>
    <w:link w:val="296"/>
    <w:qFormat/>
    <w:uiPriority w:val="10"/>
    <w:pPr>
      <w:spacing w:before="240" w:beforeLines="0" w:after="60" w:afterLines="0"/>
      <w:jc w:val="center"/>
      <w:outlineLvl w:val="0"/>
    </w:pPr>
    <w:rPr>
      <w:rFonts w:ascii="Cambria" w:hAnsi="Cambria"/>
      <w:b/>
      <w:bCs/>
      <w:kern w:val="28"/>
      <w:sz w:val="32"/>
      <w:szCs w:val="32"/>
      <w:lang w:bidi="ar-SA"/>
    </w:rPr>
  </w:style>
  <w:style w:type="paragraph" w:styleId="49">
    <w:name w:val="annotation subject"/>
    <w:basedOn w:val="16"/>
    <w:next w:val="16"/>
    <w:link w:val="297"/>
    <w:qFormat/>
    <w:uiPriority w:val="0"/>
    <w:rPr>
      <w:b/>
      <w:bCs/>
    </w:rPr>
  </w:style>
  <w:style w:type="paragraph" w:styleId="50">
    <w:name w:val="Body Text First Indent"/>
    <w:basedOn w:val="1"/>
    <w:qFormat/>
    <w:uiPriority w:val="0"/>
    <w:pPr>
      <w:widowControl w:val="0"/>
      <w:adjustRightInd w:val="0"/>
      <w:snapToGrid w:val="0"/>
      <w:spacing w:after="120" w:afterLines="0" w:afterAutospacing="0" w:line="400" w:lineRule="exact"/>
      <w:ind w:firstLine="510"/>
      <w:jc w:val="both"/>
    </w:pPr>
    <w:rPr>
      <w:kern w:val="2"/>
      <w:sz w:val="24"/>
    </w:rPr>
  </w:style>
  <w:style w:type="paragraph" w:styleId="51">
    <w:name w:val="Body Text First Indent 2"/>
    <w:basedOn w:val="21"/>
    <w:next w:val="20"/>
    <w:qFormat/>
    <w:uiPriority w:val="0"/>
    <w:pPr>
      <w:widowControl w:val="0"/>
      <w:spacing w:after="0" w:afterLines="0" w:line="460" w:lineRule="exact"/>
      <w:ind w:left="0" w:leftChars="0" w:firstLine="420" w:firstLineChars="200"/>
      <w:jc w:val="both"/>
    </w:pPr>
    <w:rPr>
      <w:rFonts w:ascii="宋体" w:hAnsi="宋体"/>
      <w:kern w:val="2"/>
      <w:sz w:val="24"/>
      <w:szCs w:val="24"/>
    </w:rPr>
  </w:style>
  <w:style w:type="table" w:styleId="53">
    <w:name w:val="Table Grid"/>
    <w:basedOn w:val="5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55">
    <w:name w:val="Strong"/>
    <w:qFormat/>
    <w:uiPriority w:val="22"/>
    <w:rPr>
      <w:b/>
      <w:bCs/>
    </w:rPr>
  </w:style>
  <w:style w:type="character" w:styleId="56">
    <w:name w:val="page number"/>
    <w:qFormat/>
    <w:uiPriority w:val="0"/>
  </w:style>
  <w:style w:type="character" w:styleId="57">
    <w:name w:val="FollowedHyperlink"/>
    <w:basedOn w:val="54"/>
    <w:qFormat/>
    <w:uiPriority w:val="0"/>
    <w:rPr>
      <w:color w:val="800080"/>
      <w:u w:val="single"/>
    </w:rPr>
  </w:style>
  <w:style w:type="character" w:styleId="58">
    <w:name w:val="Emphasis"/>
    <w:qFormat/>
    <w:uiPriority w:val="20"/>
    <w:rPr>
      <w:rFonts w:ascii="Calibri" w:hAnsi="Calibri"/>
      <w:b/>
      <w:i/>
      <w:iCs/>
    </w:rPr>
  </w:style>
  <w:style w:type="character" w:styleId="59">
    <w:name w:val="Hyperlink"/>
    <w:basedOn w:val="54"/>
    <w:qFormat/>
    <w:uiPriority w:val="99"/>
    <w:rPr>
      <w:rFonts w:hint="default" w:ascii="Verdana" w:hAnsi="Verdana" w:eastAsia="仿宋_GB2312" w:cs="Verdana"/>
      <w:color w:val="0000FF"/>
      <w:kern w:val="0"/>
      <w:sz w:val="24"/>
      <w:szCs w:val="20"/>
      <w:u w:val="single"/>
      <w:lang w:eastAsia="en-US"/>
    </w:rPr>
  </w:style>
  <w:style w:type="character" w:styleId="60">
    <w:name w:val="annotation reference"/>
    <w:qFormat/>
    <w:uiPriority w:val="0"/>
    <w:rPr>
      <w:sz w:val="21"/>
      <w:szCs w:val="21"/>
    </w:rPr>
  </w:style>
  <w:style w:type="paragraph" w:customStyle="1" w:styleId="61">
    <w:name w:val="明显引用"/>
    <w:basedOn w:val="1"/>
    <w:next w:val="1"/>
    <w:link w:val="312"/>
    <w:qFormat/>
    <w:uiPriority w:val="30"/>
    <w:pPr>
      <w:ind w:left="720" w:right="720"/>
    </w:pPr>
    <w:rPr>
      <w:b/>
      <w:i/>
      <w:szCs w:val="20"/>
      <w:lang w:bidi="ar-SA"/>
    </w:rPr>
  </w:style>
  <w:style w:type="paragraph" w:customStyle="1" w:styleId="62">
    <w:name w:val="Body Text First Indent"/>
    <w:basedOn w:val="20"/>
    <w:link w:val="314"/>
    <w:qFormat/>
    <w:uiPriority w:val="0"/>
    <w:pPr>
      <w:widowControl w:val="0"/>
      <w:ind w:firstLine="420" w:firstLineChars="100"/>
      <w:jc w:val="both"/>
    </w:pPr>
    <w:rPr>
      <w:sz w:val="20"/>
      <w:lang w:bidi="ar-SA"/>
    </w:rPr>
  </w:style>
  <w:style w:type="paragraph" w:customStyle="1" w:styleId="63">
    <w:name w:val="段"/>
    <w:link w:val="316"/>
    <w:qFormat/>
    <w:uiPriority w:val="0"/>
    <w:pPr>
      <w:autoSpaceDE w:val="0"/>
      <w:autoSpaceDN w:val="0"/>
      <w:spacing w:after="200" w:afterLines="0" w:line="276" w:lineRule="auto"/>
      <w:ind w:firstLine="200" w:firstLineChars="200"/>
      <w:jc w:val="both"/>
    </w:pPr>
    <w:rPr>
      <w:rFonts w:ascii="宋体" w:hAnsi="Times New Roman" w:eastAsia="宋体" w:cs="Times New Roman"/>
      <w:sz w:val="21"/>
      <w:szCs w:val="22"/>
      <w:lang w:val="en-US" w:eastAsia="zh-CN" w:bidi="ar-SA"/>
    </w:rPr>
  </w:style>
  <w:style w:type="paragraph" w:customStyle="1" w:styleId="64">
    <w:name w:val="样式2"/>
    <w:basedOn w:val="1"/>
    <w:link w:val="326"/>
    <w:qFormat/>
    <w:uiPriority w:val="0"/>
    <w:pPr>
      <w:widowControl w:val="0"/>
      <w:adjustRightInd w:val="0"/>
      <w:spacing w:after="60" w:afterLines="0" w:line="400" w:lineRule="atLeast"/>
      <w:textAlignment w:val="baseline"/>
    </w:pPr>
    <w:rPr>
      <w:sz w:val="28"/>
    </w:rPr>
  </w:style>
  <w:style w:type="paragraph" w:customStyle="1" w:styleId="65">
    <w:name w:val="HTML Top of Form"/>
    <w:basedOn w:val="1"/>
    <w:link w:val="330"/>
    <w:qFormat/>
    <w:uiPriority w:val="0"/>
    <w:pPr>
      <w:widowControl w:val="0"/>
      <w:spacing w:line="360" w:lineRule="auto"/>
      <w:ind w:firstLine="420" w:firstLineChars="200"/>
      <w:jc w:val="both"/>
    </w:pPr>
    <w:rPr>
      <w:sz w:val="20"/>
      <w:szCs w:val="20"/>
      <w:lang w:bidi="ar-SA"/>
    </w:rPr>
  </w:style>
  <w:style w:type="paragraph" w:customStyle="1" w:styleId="66">
    <w:name w:val="模板正文"/>
    <w:basedOn w:val="40"/>
    <w:link w:val="338"/>
    <w:qFormat/>
    <w:uiPriority w:val="0"/>
    <w:pPr>
      <w:widowControl/>
      <w:spacing w:before="200" w:beforeLines="0" w:line="360" w:lineRule="auto"/>
      <w:ind w:firstLine="480"/>
      <w:jc w:val="left"/>
    </w:pPr>
    <w:rPr>
      <w:rFonts w:ascii="Calibri" w:hAnsi="Calibri"/>
      <w:kern w:val="0"/>
      <w:lang w:eastAsia="zh-CN"/>
    </w:rPr>
  </w:style>
  <w:style w:type="paragraph" w:customStyle="1" w:styleId="67">
    <w:name w:val="样式 样式 标书正文 + 首行缩进:  0.01 字符 + 首行缩进:  0.01 字符"/>
    <w:basedOn w:val="1"/>
    <w:link w:val="341"/>
    <w:qFormat/>
    <w:uiPriority w:val="0"/>
    <w:pPr>
      <w:widowControl w:val="0"/>
      <w:adjustRightInd w:val="0"/>
      <w:snapToGrid w:val="0"/>
      <w:spacing w:after="156" w:afterLines="50" w:line="360" w:lineRule="auto"/>
      <w:ind w:left="-2" w:leftChars="-2" w:firstLine="200" w:firstLineChars="200"/>
      <w:jc w:val="both"/>
    </w:pPr>
    <w:rPr>
      <w:rFonts w:ascii="宋体" w:hAnsi="宋体" w:cs="宋体"/>
      <w:kern w:val="2"/>
      <w:sz w:val="28"/>
      <w:szCs w:val="20"/>
      <w:lang w:eastAsia="zh-CN" w:bidi="ar-SA"/>
    </w:rPr>
  </w:style>
  <w:style w:type="paragraph" w:customStyle="1" w:styleId="68">
    <w:name w:val="样式1"/>
    <w:basedOn w:val="1"/>
    <w:link w:val="355"/>
    <w:qFormat/>
    <w:uiPriority w:val="0"/>
    <w:pPr>
      <w:widowControl w:val="0"/>
      <w:numPr>
        <w:ilvl w:val="0"/>
        <w:numId w:val="1"/>
      </w:numPr>
      <w:adjustRightInd w:val="0"/>
      <w:jc w:val="both"/>
      <w:textAlignment w:val="baseline"/>
    </w:pPr>
    <w:rPr>
      <w:rFonts w:ascii="宋体" w:hAnsi="宋体"/>
    </w:rPr>
  </w:style>
  <w:style w:type="paragraph" w:customStyle="1" w:styleId="69">
    <w:name w:val="表格"/>
    <w:basedOn w:val="1"/>
    <w:link w:val="356"/>
    <w:qFormat/>
    <w:uiPriority w:val="0"/>
    <w:pPr>
      <w:widowControl w:val="0"/>
      <w:jc w:val="center"/>
    </w:pPr>
    <w:rPr>
      <w:rFonts w:ascii="宋体" w:hAnsi="宋体"/>
      <w:kern w:val="2"/>
      <w:sz w:val="21"/>
      <w:szCs w:val="21"/>
      <w:lang w:bidi="ar-SA"/>
    </w:rPr>
  </w:style>
  <w:style w:type="paragraph" w:customStyle="1" w:styleId="70">
    <w:name w:val="引用"/>
    <w:basedOn w:val="1"/>
    <w:next w:val="1"/>
    <w:link w:val="367"/>
    <w:qFormat/>
    <w:uiPriority w:val="29"/>
    <w:rPr>
      <w:i/>
      <w:lang w:bidi="ar-SA"/>
    </w:rPr>
  </w:style>
  <w:style w:type="paragraph" w:customStyle="1" w:styleId="71">
    <w:name w:val="样式4"/>
    <w:basedOn w:val="1"/>
    <w:next w:val="1"/>
    <w:link w:val="371"/>
    <w:qFormat/>
    <w:uiPriority w:val="0"/>
    <w:pPr>
      <w:widowControl w:val="0"/>
      <w:spacing w:before="120" w:beforeLines="0" w:after="120" w:afterLines="0" w:line="360" w:lineRule="auto"/>
      <w:jc w:val="both"/>
      <w:outlineLvl w:val="3"/>
    </w:pPr>
    <w:rPr>
      <w:b/>
      <w:sz w:val="28"/>
      <w:szCs w:val="20"/>
      <w:lang w:bidi="ar-SA"/>
    </w:rPr>
  </w:style>
  <w:style w:type="paragraph" w:customStyle="1" w:styleId="72">
    <w:name w:val="正文111"/>
    <w:basedOn w:val="1"/>
    <w:link w:val="372"/>
    <w:qFormat/>
    <w:uiPriority w:val="0"/>
    <w:pPr>
      <w:widowControl w:val="0"/>
      <w:spacing w:before="156" w:beforeLines="50" w:line="360" w:lineRule="auto"/>
      <w:ind w:firstLine="200" w:firstLineChars="200"/>
      <w:jc w:val="both"/>
    </w:pPr>
    <w:rPr>
      <w:szCs w:val="20"/>
      <w:lang w:bidi="ar-SA"/>
    </w:rPr>
  </w:style>
  <w:style w:type="paragraph" w:customStyle="1" w:styleId="73">
    <w:name w:val="样式3"/>
    <w:basedOn w:val="1"/>
    <w:next w:val="1"/>
    <w:link w:val="391"/>
    <w:qFormat/>
    <w:uiPriority w:val="0"/>
    <w:pPr>
      <w:widowControl w:val="0"/>
      <w:spacing w:before="240" w:beforeLines="0" w:after="120" w:afterLines="0" w:line="360" w:lineRule="auto"/>
      <w:jc w:val="both"/>
      <w:outlineLvl w:val="2"/>
    </w:pPr>
    <w:rPr>
      <w:b/>
      <w:sz w:val="30"/>
      <w:szCs w:val="20"/>
      <w:lang w:bidi="ar-SA"/>
    </w:rPr>
  </w:style>
  <w:style w:type="paragraph" w:customStyle="1" w:styleId="74">
    <w:name w:val="列出段落"/>
    <w:basedOn w:val="1"/>
    <w:link w:val="394"/>
    <w:qFormat/>
    <w:uiPriority w:val="34"/>
    <w:pPr>
      <w:ind w:left="720"/>
      <w:contextualSpacing/>
    </w:pPr>
    <w:rPr>
      <w:lang w:bidi="ar-SA"/>
    </w:rPr>
  </w:style>
  <w:style w:type="paragraph" w:customStyle="1" w:styleId="75">
    <w:name w:val="正文(首行缩进)"/>
    <w:link w:val="397"/>
    <w:qFormat/>
    <w:uiPriority w:val="0"/>
    <w:pPr>
      <w:spacing w:after="200" w:afterLines="0" w:line="276" w:lineRule="auto"/>
      <w:ind w:firstLine="500" w:firstLineChars="200"/>
      <w:jc w:val="both"/>
    </w:pPr>
    <w:rPr>
      <w:rFonts w:ascii="宋体" w:hAnsi="宋体" w:eastAsia="宋体" w:cs="Times New Roman"/>
      <w:spacing w:val="20"/>
      <w:kern w:val="24"/>
      <w:sz w:val="21"/>
      <w:szCs w:val="21"/>
      <w:lang w:val="en-US" w:eastAsia="zh-CN" w:bidi="ar-SA"/>
    </w:rPr>
  </w:style>
  <w:style w:type="paragraph" w:customStyle="1" w:styleId="76">
    <w:name w:val="Char Char1"/>
    <w:basedOn w:val="1"/>
    <w:qFormat/>
    <w:uiPriority w:val="0"/>
    <w:pPr>
      <w:spacing w:after="160" w:afterLines="0" w:line="240" w:lineRule="exact"/>
    </w:pPr>
    <w:rPr>
      <w:kern w:val="2"/>
      <w:szCs w:val="24"/>
    </w:rPr>
  </w:style>
  <w:style w:type="paragraph" w:customStyle="1" w:styleId="77">
    <w:name w:val=" Char1 Char Char Char Char Char Char"/>
    <w:basedOn w:val="1"/>
    <w:qFormat/>
    <w:uiPriority w:val="0"/>
    <w:pPr>
      <w:widowControl w:val="0"/>
      <w:jc w:val="both"/>
    </w:pPr>
    <w:rPr>
      <w:rFonts w:ascii="Tahoma" w:hAnsi="Tahoma"/>
      <w:kern w:val="2"/>
      <w:sz w:val="24"/>
    </w:rPr>
  </w:style>
  <w:style w:type="paragraph" w:customStyle="1" w:styleId="78">
    <w:name w:val="样式"/>
    <w:qFormat/>
    <w:uiPriority w:val="0"/>
    <w:pPr>
      <w:widowControl w:val="0"/>
      <w:autoSpaceDE w:val="0"/>
      <w:autoSpaceDN w:val="0"/>
      <w:adjustRightInd w:val="0"/>
      <w:spacing w:after="200" w:afterLines="0" w:line="276" w:lineRule="auto"/>
    </w:pPr>
    <w:rPr>
      <w:rFonts w:ascii="宋体" w:hAnsi="宋体" w:eastAsia="宋体" w:cs="宋体"/>
      <w:sz w:val="24"/>
      <w:szCs w:val="24"/>
      <w:lang w:val="en-US" w:eastAsia="zh-CN" w:bidi="ar-SA"/>
    </w:rPr>
  </w:style>
  <w:style w:type="paragraph" w:customStyle="1" w:styleId="79">
    <w:name w:val="正文缩进2格"/>
    <w:basedOn w:val="1"/>
    <w:qFormat/>
    <w:uiPriority w:val="0"/>
    <w:pPr>
      <w:widowControl w:val="0"/>
      <w:spacing w:line="600" w:lineRule="exact"/>
      <w:ind w:firstLine="639" w:firstLineChars="206"/>
      <w:jc w:val="both"/>
    </w:pPr>
    <w:rPr>
      <w:rFonts w:ascii="仿宋_GB2312" w:hAnsi="宋体" w:eastAsia="仿宋_GB2312"/>
      <w:sz w:val="31"/>
      <w:lang w:eastAsia="zh-CN" w:bidi="ar-SA"/>
    </w:rPr>
  </w:style>
  <w:style w:type="paragraph" w:customStyle="1" w:styleId="80">
    <w:name w:val="样式 样式 正文文本缩进 + 仿宋_GB2312 小四 首行缩进:  0 厘米 行距: 1.5 倍行距 + (中文) 仿宋_GB... Char Char"/>
    <w:basedOn w:val="1"/>
    <w:qFormat/>
    <w:uiPriority w:val="0"/>
    <w:pPr>
      <w:widowControl w:val="0"/>
      <w:spacing w:line="360" w:lineRule="auto"/>
      <w:ind w:firstLine="480" w:firstLineChars="200"/>
      <w:jc w:val="both"/>
    </w:pPr>
    <w:rPr>
      <w:rFonts w:ascii="仿宋_GB2312" w:eastAsia="新宋体"/>
      <w:kern w:val="2"/>
      <w:sz w:val="24"/>
    </w:rPr>
  </w:style>
  <w:style w:type="paragraph" w:customStyle="1" w:styleId="81">
    <w:name w:val="pa-0"/>
    <w:basedOn w:val="1"/>
    <w:qFormat/>
    <w:uiPriority w:val="0"/>
    <w:pPr>
      <w:spacing w:line="240" w:lineRule="atLeast"/>
      <w:jc w:val="both"/>
    </w:pPr>
    <w:rPr>
      <w:rFonts w:ascii="宋体" w:hAnsi="宋体" w:cs="宋体"/>
      <w:sz w:val="24"/>
      <w:szCs w:val="24"/>
    </w:rPr>
  </w:style>
  <w:style w:type="paragraph" w:customStyle="1" w:styleId="82">
    <w:name w:val="font0"/>
    <w:basedOn w:val="1"/>
    <w:qFormat/>
    <w:uiPriority w:val="0"/>
    <w:pPr>
      <w:spacing w:before="100" w:beforeLines="0" w:beforeAutospacing="1" w:after="100" w:afterLines="0" w:afterAutospacing="1"/>
    </w:pPr>
    <w:rPr>
      <w:rFonts w:hint="eastAsia" w:ascii="宋体" w:hAnsi="宋体" w:cs="Arial Unicode MS"/>
      <w:sz w:val="24"/>
      <w:szCs w:val="24"/>
    </w:rPr>
  </w:style>
  <w:style w:type="paragraph" w:customStyle="1" w:styleId="83">
    <w:name w:val="5"/>
    <w:basedOn w:val="1"/>
    <w:qFormat/>
    <w:uiPriority w:val="0"/>
    <w:pPr>
      <w:widowControl w:val="0"/>
      <w:autoSpaceDE w:val="0"/>
      <w:autoSpaceDN w:val="0"/>
      <w:adjustRightInd w:val="0"/>
    </w:pPr>
    <w:rPr>
      <w:rFonts w:ascii="宋体"/>
      <w:b/>
      <w:bCs/>
      <w:sz w:val="18"/>
      <w:szCs w:val="18"/>
    </w:rPr>
  </w:style>
  <w:style w:type="paragraph" w:customStyle="1" w:styleId="84">
    <w:name w:val="目录"/>
    <w:basedOn w:val="1"/>
    <w:qFormat/>
    <w:uiPriority w:val="0"/>
    <w:pPr>
      <w:jc w:val="center"/>
    </w:pPr>
    <w:rPr>
      <w:rFonts w:ascii="宋体"/>
      <w:b/>
      <w:sz w:val="36"/>
    </w:rPr>
  </w:style>
  <w:style w:type="paragraph" w:customStyle="1" w:styleId="85">
    <w:name w:val="p15"/>
    <w:basedOn w:val="1"/>
    <w:qFormat/>
    <w:uiPriority w:val="0"/>
    <w:pPr>
      <w:snapToGrid w:val="0"/>
      <w:spacing w:line="360" w:lineRule="auto"/>
      <w:ind w:firstLine="420"/>
      <w:jc w:val="both"/>
    </w:pPr>
    <w:rPr>
      <w:rFonts w:ascii="Arial" w:hAnsi="Arial" w:cs="Arial"/>
      <w:sz w:val="24"/>
      <w:szCs w:val="24"/>
    </w:rPr>
  </w:style>
  <w:style w:type="paragraph" w:customStyle="1" w:styleId="86">
    <w:name w:val="Normal"/>
    <w:qFormat/>
    <w:uiPriority w:val="0"/>
    <w:pPr>
      <w:widowControl w:val="0"/>
      <w:adjustRightInd w:val="0"/>
      <w:spacing w:after="200" w:afterLines="0" w:line="360" w:lineRule="atLeast"/>
      <w:textAlignment w:val="baseline"/>
    </w:pPr>
    <w:rPr>
      <w:rFonts w:ascii="宋体" w:hAnsi="Times New Roman" w:eastAsia="宋体" w:cs="Times New Roman"/>
      <w:sz w:val="34"/>
      <w:szCs w:val="22"/>
      <w:lang w:val="en-US" w:eastAsia="zh-CN" w:bidi="ar-SA"/>
    </w:rPr>
  </w:style>
  <w:style w:type="paragraph" w:customStyle="1" w:styleId="87">
    <w:name w:val="Bulleted List 1"/>
    <w:basedOn w:val="1"/>
    <w:qFormat/>
    <w:uiPriority w:val="0"/>
    <w:pPr>
      <w:tabs>
        <w:tab w:val="left" w:pos="360"/>
      </w:tabs>
      <w:spacing w:before="60" w:beforeLines="0" w:after="60" w:afterLines="0" w:line="260" w:lineRule="exact"/>
      <w:ind w:left="360" w:hanging="360"/>
    </w:pPr>
    <w:rPr>
      <w:rFonts w:ascii="Verdana" w:hAnsi="Verdana"/>
      <w:color w:val="000000"/>
      <w:sz w:val="20"/>
      <w:lang w:eastAsia="en-US"/>
    </w:rPr>
  </w:style>
  <w:style w:type="paragraph" w:customStyle="1" w:styleId="88">
    <w:name w:val="标题 3（网御星云）"/>
    <w:basedOn w:val="5"/>
    <w:next w:val="1"/>
    <w:qFormat/>
    <w:uiPriority w:val="0"/>
    <w:pPr>
      <w:tabs>
        <w:tab w:val="left" w:pos="960"/>
      </w:tabs>
      <w:spacing w:line="415" w:lineRule="auto"/>
      <w:ind w:left="907" w:hanging="907"/>
      <w:jc w:val="left"/>
    </w:pPr>
    <w:rPr>
      <w:rFonts w:ascii="Arial" w:hAnsi="Arial" w:eastAsia="黑体"/>
      <w:kern w:val="0"/>
      <w:sz w:val="30"/>
      <w:szCs w:val="30"/>
    </w:rPr>
  </w:style>
  <w:style w:type="paragraph" w:customStyle="1" w:styleId="89">
    <w:name w:val="缩进正文"/>
    <w:basedOn w:val="1"/>
    <w:autoRedefine/>
    <w:qFormat/>
    <w:uiPriority w:val="0"/>
    <w:pPr>
      <w:spacing w:after="200" w:afterLines="0" w:line="400" w:lineRule="exact"/>
      <w:ind w:left="1418"/>
    </w:pPr>
    <w:rPr>
      <w:rFonts w:ascii="宋体"/>
    </w:rPr>
  </w:style>
  <w:style w:type="paragraph" w:customStyle="1" w:styleId="90">
    <w:name w:val="lgh样式正文缩2"/>
    <w:basedOn w:val="2"/>
    <w:qFormat/>
    <w:uiPriority w:val="0"/>
    <w:pPr>
      <w:widowControl w:val="0"/>
      <w:adjustRightInd w:val="0"/>
      <w:snapToGrid w:val="0"/>
      <w:ind w:firstLine="480" w:firstLineChars="200"/>
      <w:jc w:val="both"/>
    </w:pPr>
    <w:rPr>
      <w:rFonts w:ascii="Times New Roman"/>
      <w:kern w:val="2"/>
      <w:sz w:val="24"/>
    </w:rPr>
  </w:style>
  <w:style w:type="paragraph" w:customStyle="1" w:styleId="91">
    <w:name w:val="样式 宋体 小四 首行缩进:  0.74 厘米 行距: 1.5 倍行距"/>
    <w:basedOn w:val="1"/>
    <w:qFormat/>
    <w:uiPriority w:val="0"/>
    <w:pPr>
      <w:spacing w:line="360" w:lineRule="auto"/>
      <w:ind w:firstLine="420"/>
    </w:pPr>
    <w:rPr>
      <w:rFonts w:ascii="宋体" w:hAnsi="宋体" w:cs="宋体"/>
      <w:sz w:val="24"/>
    </w:rPr>
  </w:style>
  <w:style w:type="paragraph" w:customStyle="1" w:styleId="92">
    <w:name w:val="Bullet 3"/>
    <w:basedOn w:val="1"/>
    <w:qFormat/>
    <w:uiPriority w:val="0"/>
    <w:pPr>
      <w:numPr>
        <w:ilvl w:val="2"/>
        <w:numId w:val="2"/>
      </w:numPr>
      <w:tabs>
        <w:tab w:val="left" w:pos="180"/>
        <w:tab w:val="left" w:pos="1260"/>
        <w:tab w:val="clear" w:pos="1020"/>
      </w:tabs>
      <w:spacing w:line="290" w:lineRule="atLeast"/>
    </w:pPr>
    <w:rPr>
      <w:rFonts w:eastAsia="Times New Roman"/>
      <w:sz w:val="24"/>
      <w:lang w:eastAsia="en-US"/>
    </w:rPr>
  </w:style>
  <w:style w:type="paragraph" w:customStyle="1" w:styleId="93">
    <w:name w:val="符合标题4"/>
    <w:basedOn w:val="1"/>
    <w:qFormat/>
    <w:uiPriority w:val="0"/>
    <w:pPr>
      <w:tabs>
        <w:tab w:val="left" w:pos="0"/>
      </w:tabs>
      <w:spacing w:before="100" w:beforeLines="0" w:beforeAutospacing="1" w:after="100" w:afterLines="0" w:afterAutospacing="1" w:line="360" w:lineRule="auto"/>
    </w:pPr>
    <w:rPr>
      <w:rFonts w:ascii="宋体" w:hAnsi="宋体"/>
      <w:sz w:val="24"/>
      <w:szCs w:val="24"/>
    </w:rPr>
  </w:style>
  <w:style w:type="paragraph" w:customStyle="1" w:styleId="94">
    <w:name w:val="默认段落字体 Para Char"/>
    <w:basedOn w:val="1"/>
    <w:qFormat/>
    <w:uiPriority w:val="0"/>
    <w:pPr>
      <w:widowControl w:val="0"/>
      <w:jc w:val="both"/>
    </w:pPr>
    <w:rPr>
      <w:kern w:val="2"/>
    </w:rPr>
  </w:style>
  <w:style w:type="paragraph" w:customStyle="1" w:styleId="95">
    <w:name w:val="±íÉí"/>
    <w:basedOn w:val="1"/>
    <w:qFormat/>
    <w:uiPriority w:val="0"/>
    <w:pPr>
      <w:overflowPunct w:val="0"/>
      <w:autoSpaceDE w:val="0"/>
      <w:autoSpaceDN w:val="0"/>
      <w:adjustRightInd w:val="0"/>
      <w:spacing w:line="300" w:lineRule="auto"/>
      <w:textAlignment w:val="baseline"/>
    </w:pPr>
    <w:rPr>
      <w:sz w:val="18"/>
    </w:rPr>
  </w:style>
  <w:style w:type="paragraph" w:customStyle="1" w:styleId="96">
    <w:name w:val="普通 (Web)"/>
    <w:basedOn w:val="1"/>
    <w:qFormat/>
    <w:uiPriority w:val="0"/>
    <w:pPr>
      <w:spacing w:before="100" w:beforeLines="0" w:beforeAutospacing="1" w:after="100" w:afterLines="0" w:afterAutospacing="1"/>
    </w:pPr>
    <w:rPr>
      <w:rFonts w:ascii="宋体" w:hAnsi="宋体"/>
      <w:color w:val="000000"/>
      <w:sz w:val="24"/>
      <w:szCs w:val="24"/>
    </w:rPr>
  </w:style>
  <w:style w:type="paragraph" w:customStyle="1" w:styleId="97">
    <w:name w:val="xl26"/>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both"/>
      <w:textAlignment w:val="top"/>
    </w:pPr>
    <w:rPr>
      <w:rFonts w:eastAsia="Arial Unicode MS"/>
      <w:sz w:val="24"/>
      <w:szCs w:val="24"/>
    </w:rPr>
  </w:style>
  <w:style w:type="paragraph" w:customStyle="1" w:styleId="98">
    <w:name w:val="样式 标题 1H1h1Level 1 Topic HeadingHeading 0Heading OnePIM 1..."/>
    <w:basedOn w:val="3"/>
    <w:qFormat/>
    <w:uiPriority w:val="0"/>
    <w:pPr>
      <w:tabs>
        <w:tab w:val="left" w:pos="431"/>
      </w:tabs>
      <w:spacing w:line="576" w:lineRule="auto"/>
      <w:ind w:left="431" w:hanging="431"/>
    </w:pPr>
    <w:rPr>
      <w:rFonts w:ascii="黑体" w:hAnsi="黑体" w:eastAsia="黑体"/>
      <w:bCs w:val="0"/>
      <w:color w:val="000000"/>
      <w:sz w:val="32"/>
      <w:szCs w:val="44"/>
    </w:rPr>
  </w:style>
  <w:style w:type="paragraph" w:customStyle="1" w:styleId="99">
    <w:name w:val="LeftCell"/>
    <w:basedOn w:val="1"/>
    <w:qFormat/>
    <w:uiPriority w:val="0"/>
    <w:pPr>
      <w:spacing w:before="120" w:beforeLines="0"/>
    </w:pPr>
    <w:rPr>
      <w:rFonts w:ascii="Arial" w:hAnsi="Arial"/>
      <w:b/>
      <w:sz w:val="20"/>
      <w:lang w:eastAsia="en-US"/>
    </w:rPr>
  </w:style>
  <w:style w:type="paragraph" w:customStyle="1" w:styleId="100">
    <w:name w:val="6"/>
    <w:basedOn w:val="83"/>
    <w:qFormat/>
    <w:uiPriority w:val="0"/>
    <w:pPr>
      <w:spacing w:line="270" w:lineRule="atLeast"/>
      <w:jc w:val="both"/>
    </w:pPr>
    <w:rPr>
      <w:b w:val="0"/>
      <w:bCs w:val="0"/>
    </w:rPr>
  </w:style>
  <w:style w:type="paragraph" w:customStyle="1" w:styleId="101">
    <w:name w:val="z1"/>
    <w:basedOn w:val="1"/>
    <w:qFormat/>
    <w:uiPriority w:val="0"/>
    <w:pPr>
      <w:wordWrap w:val="0"/>
      <w:adjustRightInd w:val="0"/>
      <w:snapToGrid w:val="0"/>
      <w:spacing w:before="156" w:beforeLines="50" w:after="156" w:afterLines="50" w:line="300" w:lineRule="auto"/>
      <w:ind w:left="359" w:leftChars="171" w:firstLine="480" w:firstLineChars="200"/>
      <w:jc w:val="both"/>
    </w:pPr>
    <w:rPr>
      <w:rFonts w:ascii="Arial" w:hAnsi="Arial"/>
      <w:kern w:val="2"/>
      <w:sz w:val="24"/>
      <w:szCs w:val="21"/>
    </w:rPr>
  </w:style>
  <w:style w:type="paragraph" w:customStyle="1" w:styleId="102">
    <w:name w:val="newtext"/>
    <w:basedOn w:val="1"/>
    <w:qFormat/>
    <w:uiPriority w:val="0"/>
    <w:pPr>
      <w:spacing w:before="100" w:beforeLines="0" w:beforeAutospacing="1" w:after="100" w:afterLines="0" w:afterAutospacing="1"/>
    </w:pPr>
    <w:rPr>
      <w:rFonts w:ascii="宋体" w:hAnsi="宋体" w:cs="宋体"/>
      <w:sz w:val="24"/>
      <w:szCs w:val="24"/>
    </w:rPr>
  </w:style>
  <w:style w:type="paragraph" w:customStyle="1" w:styleId="103">
    <w:name w:val="标准小三"/>
    <w:basedOn w:val="1"/>
    <w:qFormat/>
    <w:uiPriority w:val="0"/>
    <w:pPr>
      <w:widowControl w:val="0"/>
      <w:spacing w:line="700" w:lineRule="exact"/>
      <w:ind w:firstLine="200" w:firstLineChars="200"/>
      <w:jc w:val="both"/>
    </w:pPr>
    <w:rPr>
      <w:rFonts w:ascii="宋体" w:hAnsi="Arial" w:eastAsia="仿宋_GB2312"/>
      <w:sz w:val="30"/>
      <w:szCs w:val="32"/>
    </w:rPr>
  </w:style>
  <w:style w:type="paragraph" w:customStyle="1" w:styleId="104">
    <w:name w:val="itemlist"/>
    <w:basedOn w:val="1"/>
    <w:qFormat/>
    <w:uiPriority w:val="0"/>
    <w:pPr>
      <w:spacing w:before="100" w:beforeLines="0" w:beforeAutospacing="1" w:after="100" w:afterLines="0" w:afterAutospacing="1" w:line="240" w:lineRule="atLeast"/>
    </w:pPr>
    <w:rPr>
      <w:rFonts w:ascii="宋体" w:hAnsi="宋体" w:cs="宋体"/>
      <w:sz w:val="18"/>
      <w:szCs w:val="18"/>
    </w:rPr>
  </w:style>
  <w:style w:type="paragraph" w:customStyle="1" w:styleId="105">
    <w:name w:val="figures"/>
    <w:basedOn w:val="106"/>
    <w:next w:val="106"/>
    <w:qFormat/>
    <w:uiPriority w:val="0"/>
    <w:rPr>
      <w:rFonts w:ascii="Arial,BoldItalic" w:hAnsi="Arial,BoldItalic"/>
      <w:sz w:val="24"/>
      <w:szCs w:val="24"/>
    </w:rPr>
  </w:style>
  <w:style w:type="paragraph" w:customStyle="1" w:styleId="106">
    <w:name w:val="Default"/>
    <w:qFormat/>
    <w:uiPriority w:val="0"/>
    <w:pPr>
      <w:widowControl w:val="0"/>
      <w:autoSpaceDE w:val="0"/>
      <w:autoSpaceDN w:val="0"/>
      <w:adjustRightInd w:val="0"/>
      <w:spacing w:after="200" w:afterLines="0" w:line="276" w:lineRule="auto"/>
    </w:pPr>
    <w:rPr>
      <w:rFonts w:ascii="宋体" w:hAnsi="Times New Roman" w:eastAsia="宋体" w:cs="Times New Roman"/>
      <w:sz w:val="22"/>
      <w:szCs w:val="22"/>
      <w:lang w:val="en-US" w:eastAsia="zh-CN" w:bidi="ar-SA"/>
    </w:rPr>
  </w:style>
  <w:style w:type="paragraph" w:customStyle="1" w:styleId="107">
    <w:name w:val="表格文字1"/>
    <w:basedOn w:val="1"/>
    <w:qFormat/>
    <w:uiPriority w:val="0"/>
    <w:pPr>
      <w:widowControl w:val="0"/>
      <w:numPr>
        <w:ilvl w:val="2"/>
        <w:numId w:val="3"/>
      </w:numPr>
      <w:tabs>
        <w:tab w:val="left" w:pos="425"/>
        <w:tab w:val="clear" w:pos="709"/>
      </w:tabs>
      <w:spacing w:line="360" w:lineRule="auto"/>
      <w:ind w:left="0" w:firstLine="0"/>
      <w:jc w:val="both"/>
    </w:pPr>
    <w:rPr>
      <w:rFonts w:ascii="宋体"/>
      <w:b/>
      <w:bCs/>
      <w:kern w:val="2"/>
      <w:sz w:val="24"/>
      <w:szCs w:val="24"/>
    </w:rPr>
  </w:style>
  <w:style w:type="paragraph" w:customStyle="1" w:styleId="108">
    <w:name w:val="默认段落字体 Para Char Char Char Char Char Char Char Char Char Char Char Char Char Char Char Char Char Char Char"/>
    <w:basedOn w:val="1"/>
    <w:qFormat/>
    <w:uiPriority w:val="0"/>
    <w:pPr>
      <w:widowControl w:val="0"/>
      <w:adjustRightInd w:val="0"/>
      <w:spacing w:line="360" w:lineRule="auto"/>
      <w:jc w:val="both"/>
    </w:pPr>
    <w:rPr>
      <w:sz w:val="24"/>
    </w:rPr>
  </w:style>
  <w:style w:type="paragraph" w:customStyle="1" w:styleId="109">
    <w:name w:val="xl27"/>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eastAsia="Arial Unicode MS"/>
      <w:sz w:val="24"/>
      <w:szCs w:val="24"/>
    </w:rPr>
  </w:style>
  <w:style w:type="paragraph" w:customStyle="1" w:styleId="110">
    <w:name w:val="body"/>
    <w:basedOn w:val="1"/>
    <w:qFormat/>
    <w:uiPriority w:val="0"/>
    <w:pPr>
      <w:keepLines/>
      <w:spacing w:before="80" w:beforeLines="0"/>
    </w:pPr>
    <w:rPr>
      <w:rFonts w:ascii="Helvetica" w:hAnsi="Helvetica"/>
      <w:sz w:val="18"/>
      <w:szCs w:val="24"/>
      <w:lang w:eastAsia="en-US"/>
    </w:rPr>
  </w:style>
  <w:style w:type="paragraph" w:customStyle="1" w:styleId="111">
    <w:name w:val="pa-9"/>
    <w:basedOn w:val="1"/>
    <w:qFormat/>
    <w:uiPriority w:val="0"/>
    <w:pPr>
      <w:spacing w:line="280" w:lineRule="atLeast"/>
      <w:ind w:firstLine="480"/>
    </w:pPr>
    <w:rPr>
      <w:rFonts w:ascii="宋体" w:hAnsi="宋体" w:cs="宋体"/>
      <w:sz w:val="24"/>
      <w:szCs w:val="24"/>
    </w:rPr>
  </w:style>
  <w:style w:type="paragraph" w:customStyle="1" w:styleId="112">
    <w:name w:val="font6"/>
    <w:basedOn w:val="1"/>
    <w:qFormat/>
    <w:uiPriority w:val="0"/>
    <w:pPr>
      <w:spacing w:before="100" w:beforeLines="0" w:beforeAutospacing="1" w:after="100" w:afterLines="0" w:afterAutospacing="1"/>
    </w:pPr>
    <w:rPr>
      <w:rFonts w:hint="eastAsia" w:ascii="宋体" w:hAnsi="宋体" w:cs="Arial Unicode MS"/>
      <w:sz w:val="18"/>
      <w:szCs w:val="18"/>
    </w:rPr>
  </w:style>
  <w:style w:type="paragraph" w:customStyle="1" w:styleId="113">
    <w:name w:val="默认段落字体 Char Char Char"/>
    <w:basedOn w:val="1"/>
    <w:qFormat/>
    <w:uiPriority w:val="0"/>
    <w:pPr>
      <w:jc w:val="both"/>
    </w:pPr>
    <w:rPr>
      <w:rFonts w:ascii="Arial" w:hAnsi="Arial" w:cs="Arial"/>
      <w:kern w:val="2"/>
      <w:sz w:val="22"/>
      <w:szCs w:val="22"/>
      <w:lang w:eastAsia="en-US"/>
    </w:rPr>
  </w:style>
  <w:style w:type="paragraph" w:customStyle="1" w:styleId="114">
    <w:name w:val="1226"/>
    <w:basedOn w:val="3"/>
    <w:qFormat/>
    <w:uiPriority w:val="0"/>
    <w:pPr>
      <w:spacing w:line="576" w:lineRule="auto"/>
    </w:pPr>
    <w:rPr>
      <w:bCs w:val="0"/>
      <w:szCs w:val="44"/>
    </w:rPr>
  </w:style>
  <w:style w:type="paragraph" w:customStyle="1" w:styleId="115">
    <w:name w:val="样式 标题 2第一章 标题 2Heading 2 HiddenHeading 2 CCBSheading 2H2h2..."/>
    <w:basedOn w:val="4"/>
    <w:qFormat/>
    <w:uiPriority w:val="0"/>
    <w:pPr>
      <w:numPr>
        <w:ilvl w:val="0"/>
        <w:numId w:val="4"/>
      </w:numPr>
      <w:adjustRightInd w:val="0"/>
      <w:spacing w:before="120" w:beforeLines="0" w:after="120" w:afterLines="0" w:line="240" w:lineRule="auto"/>
      <w:jc w:val="center"/>
      <w:textAlignment w:val="baseline"/>
    </w:pPr>
    <w:rPr>
      <w:rFonts w:ascii="黑体" w:hAnsi="Times New Roman"/>
      <w:b w:val="0"/>
      <w:kern w:val="0"/>
    </w:rPr>
  </w:style>
  <w:style w:type="paragraph" w:customStyle="1" w:styleId="116">
    <w:name w:val="p19"/>
    <w:basedOn w:val="1"/>
    <w:qFormat/>
    <w:uiPriority w:val="0"/>
    <w:pPr>
      <w:spacing w:line="360" w:lineRule="auto"/>
      <w:ind w:firstLine="420"/>
      <w:jc w:val="both"/>
    </w:pPr>
    <w:rPr>
      <w:rFonts w:ascii="Calibri" w:hAnsi="Calibri" w:cs="宋体"/>
      <w:sz w:val="24"/>
      <w:szCs w:val="24"/>
    </w:rPr>
  </w:style>
  <w:style w:type="paragraph" w:customStyle="1" w:styleId="117">
    <w:name w:val="±íÏî"/>
    <w:basedOn w:val="1"/>
    <w:qFormat/>
    <w:uiPriority w:val="0"/>
    <w:pPr>
      <w:overflowPunct w:val="0"/>
      <w:autoSpaceDE w:val="0"/>
      <w:autoSpaceDN w:val="0"/>
      <w:adjustRightInd w:val="0"/>
      <w:spacing w:line="300" w:lineRule="auto"/>
      <w:jc w:val="center"/>
      <w:textAlignment w:val="baseline"/>
    </w:pPr>
    <w:rPr>
      <w:sz w:val="18"/>
    </w:rPr>
  </w:style>
  <w:style w:type="paragraph" w:customStyle="1" w:styleId="118">
    <w:name w:val="样式 宋体 小四 左"/>
    <w:basedOn w:val="1"/>
    <w:qFormat/>
    <w:uiPriority w:val="0"/>
    <w:pPr>
      <w:widowControl w:val="0"/>
    </w:pPr>
    <w:rPr>
      <w:rFonts w:ascii="宋体" w:hAnsi="宋体" w:cs="宋体"/>
      <w:kern w:val="2"/>
      <w:sz w:val="24"/>
    </w:rPr>
  </w:style>
  <w:style w:type="paragraph" w:customStyle="1" w:styleId="119">
    <w:name w:val="正文首行缩进两字符"/>
    <w:basedOn w:val="1"/>
    <w:qFormat/>
    <w:uiPriority w:val="0"/>
    <w:pPr>
      <w:widowControl w:val="0"/>
      <w:spacing w:line="360" w:lineRule="auto"/>
      <w:ind w:firstLine="200" w:firstLineChars="200"/>
      <w:jc w:val="both"/>
    </w:pPr>
    <w:rPr>
      <w:kern w:val="2"/>
      <w:szCs w:val="24"/>
    </w:rPr>
  </w:style>
  <w:style w:type="paragraph" w:customStyle="1" w:styleId="120">
    <w:name w:val="Char1 Char Char Char Char Char Char1"/>
    <w:basedOn w:val="1"/>
    <w:qFormat/>
    <w:uiPriority w:val="0"/>
    <w:pPr>
      <w:spacing w:after="160" w:afterLines="0" w:line="240" w:lineRule="exact"/>
    </w:pPr>
    <w:rPr>
      <w:rFonts w:ascii="Verdana" w:hAnsi="Verdana"/>
      <w:sz w:val="20"/>
      <w:lang w:eastAsia="en-US"/>
    </w:rPr>
  </w:style>
  <w:style w:type="paragraph" w:customStyle="1" w:styleId="121">
    <w:name w:val="indent"/>
    <w:basedOn w:val="1"/>
    <w:qFormat/>
    <w:uiPriority w:val="0"/>
    <w:pPr>
      <w:spacing w:before="100" w:beforeLines="0" w:beforeAutospacing="1" w:after="100" w:afterLines="0" w:afterAutospacing="1" w:line="278" w:lineRule="atLeast"/>
      <w:ind w:firstLine="416"/>
    </w:pPr>
    <w:rPr>
      <w:rFonts w:ascii="宋体" w:hAnsi="宋体" w:cs="宋体"/>
      <w:szCs w:val="21"/>
    </w:rPr>
  </w:style>
  <w:style w:type="paragraph" w:customStyle="1" w:styleId="122">
    <w:name w:val="首行缩进"/>
    <w:basedOn w:val="1"/>
    <w:qFormat/>
    <w:uiPriority w:val="0"/>
    <w:pPr>
      <w:widowControl w:val="0"/>
      <w:spacing w:line="300" w:lineRule="auto"/>
      <w:ind w:firstLine="420" w:firstLineChars="200"/>
      <w:jc w:val="both"/>
    </w:pPr>
    <w:rPr>
      <w:rFonts w:eastAsia="方正书宋简体" w:cs="宋体"/>
      <w:kern w:val="2"/>
      <w:szCs w:val="20"/>
      <w:lang w:eastAsia="zh-CN" w:bidi="ar-SA"/>
    </w:rPr>
  </w:style>
  <w:style w:type="paragraph" w:customStyle="1" w:styleId="123">
    <w:name w:val="hei"/>
    <w:basedOn w:val="1"/>
    <w:qFormat/>
    <w:uiPriority w:val="0"/>
    <w:pPr>
      <w:spacing w:before="100" w:beforeLines="0" w:beforeAutospacing="1" w:after="100" w:afterLines="0" w:afterAutospacing="1" w:line="320" w:lineRule="atLeast"/>
    </w:pPr>
    <w:rPr>
      <w:rFonts w:ascii="Arial Unicode MS" w:hAnsi="Arial Unicode MS" w:eastAsia="Arial Unicode MS" w:cs="Arial Unicode MS"/>
      <w:color w:val="000000"/>
      <w:sz w:val="18"/>
      <w:szCs w:val="18"/>
    </w:rPr>
  </w:style>
  <w:style w:type="paragraph" w:customStyle="1" w:styleId="124">
    <w:name w:val=" Char Char Char"/>
    <w:basedOn w:val="1"/>
    <w:qFormat/>
    <w:uiPriority w:val="0"/>
    <w:pPr>
      <w:spacing w:after="160" w:afterLines="0" w:line="240" w:lineRule="exact"/>
    </w:pPr>
    <w:rPr>
      <w:rFonts w:ascii="Verdana" w:hAnsi="Verdana" w:cs="Verdana"/>
      <w:szCs w:val="21"/>
      <w:lang w:eastAsia="en-US"/>
    </w:rPr>
  </w:style>
  <w:style w:type="paragraph" w:customStyle="1" w:styleId="125">
    <w:name w:val="_Style 248"/>
    <w:basedOn w:val="1"/>
    <w:next w:val="1"/>
    <w:qFormat/>
    <w:uiPriority w:val="0"/>
    <w:pPr>
      <w:pBdr>
        <w:top w:val="single" w:color="auto" w:sz="6" w:space="1"/>
      </w:pBdr>
      <w:jc w:val="center"/>
    </w:pPr>
    <w:rPr>
      <w:rFonts w:ascii="Arial" w:hAnsi="Arial" w:cs="Arial"/>
      <w:vanish/>
      <w:sz w:val="16"/>
      <w:szCs w:val="16"/>
    </w:rPr>
  </w:style>
  <w:style w:type="paragraph" w:customStyle="1" w:styleId="126">
    <w:name w:val=" Char1 Char Char Char Char Char1 Char Char Char Char"/>
    <w:basedOn w:val="1"/>
    <w:qFormat/>
    <w:uiPriority w:val="0"/>
    <w:pPr>
      <w:widowControl w:val="0"/>
      <w:numPr>
        <w:ilvl w:val="0"/>
        <w:numId w:val="5"/>
      </w:numPr>
      <w:jc w:val="both"/>
    </w:pPr>
    <w:rPr>
      <w:kern w:val="2"/>
      <w:sz w:val="24"/>
      <w:szCs w:val="24"/>
    </w:rPr>
  </w:style>
  <w:style w:type="paragraph" w:customStyle="1" w:styleId="127">
    <w:name w:val="Bullet 4"/>
    <w:basedOn w:val="1"/>
    <w:qFormat/>
    <w:uiPriority w:val="0"/>
    <w:pPr>
      <w:numPr>
        <w:ilvl w:val="3"/>
        <w:numId w:val="2"/>
      </w:numPr>
      <w:tabs>
        <w:tab w:val="left" w:pos="180"/>
        <w:tab w:val="left" w:pos="1680"/>
        <w:tab w:val="clear" w:pos="1440"/>
      </w:tabs>
      <w:spacing w:line="290" w:lineRule="atLeast"/>
    </w:pPr>
    <w:rPr>
      <w:rFonts w:eastAsia="Times New Roman"/>
      <w:sz w:val="24"/>
      <w:lang w:eastAsia="en-US"/>
    </w:rPr>
  </w:style>
  <w:style w:type="paragraph" w:customStyle="1" w:styleId="128">
    <w:name w:val="汉仪细等线简9BOLD"/>
    <w:basedOn w:val="1"/>
    <w:qFormat/>
    <w:uiPriority w:val="0"/>
    <w:pPr>
      <w:widowControl w:val="0"/>
      <w:autoSpaceDE w:val="0"/>
      <w:autoSpaceDN w:val="0"/>
      <w:adjustRightInd w:val="0"/>
      <w:spacing w:line="240" w:lineRule="atLeast"/>
      <w:jc w:val="both"/>
    </w:pPr>
    <w:rPr>
      <w:rFonts w:ascii="汉仪细等线简" w:eastAsia="汉仪细等线简"/>
      <w:b/>
      <w:bCs/>
      <w:sz w:val="18"/>
      <w:szCs w:val="18"/>
    </w:rPr>
  </w:style>
  <w:style w:type="paragraph" w:customStyle="1" w:styleId="129">
    <w:name w:val="8"/>
    <w:basedOn w:val="1"/>
    <w:next w:val="1"/>
    <w:qFormat/>
    <w:uiPriority w:val="0"/>
    <w:pPr>
      <w:widowControl w:val="0"/>
      <w:jc w:val="both"/>
    </w:pPr>
    <w:rPr>
      <w:kern w:val="2"/>
      <w:szCs w:val="24"/>
    </w:rPr>
  </w:style>
  <w:style w:type="paragraph" w:customStyle="1" w:styleId="130">
    <w:name w:val="xl35"/>
    <w:basedOn w:val="1"/>
    <w:qFormat/>
    <w:uiPriority w:val="0"/>
    <w:pPr>
      <w:pBdr>
        <w:bottom w:val="single" w:color="auto" w:sz="4" w:space="0"/>
        <w:right w:val="single" w:color="auto" w:sz="4" w:space="0"/>
      </w:pBdr>
      <w:spacing w:before="100" w:beforeLines="0" w:beforeAutospacing="1" w:after="100" w:afterLines="0" w:afterAutospacing="1"/>
      <w:textAlignment w:val="center"/>
    </w:pPr>
    <w:rPr>
      <w:rFonts w:ascii="Arial Unicode MS" w:hAnsi="Arial Unicode MS"/>
      <w:b/>
      <w:bCs/>
      <w:sz w:val="24"/>
      <w:szCs w:val="24"/>
    </w:rPr>
  </w:style>
  <w:style w:type="paragraph" w:customStyle="1" w:styleId="131">
    <w:name w:val="Ñù"/>
    <w:qFormat/>
    <w:uiPriority w:val="0"/>
    <w:pPr>
      <w:overflowPunct w:val="0"/>
      <w:autoSpaceDE w:val="0"/>
      <w:autoSpaceDN w:val="0"/>
      <w:adjustRightInd w:val="0"/>
      <w:spacing w:after="200" w:afterLines="0" w:line="400" w:lineRule="exact"/>
      <w:jc w:val="both"/>
      <w:textAlignment w:val="baseline"/>
    </w:pPr>
    <w:rPr>
      <w:rFonts w:ascii="Times New Roman" w:hAnsi="Times New Roman" w:eastAsia="宋体" w:cs="Times New Roman"/>
      <w:sz w:val="24"/>
      <w:szCs w:val="22"/>
      <w:lang w:val="en-US" w:eastAsia="zh-CN" w:bidi="ar-SA"/>
    </w:rPr>
  </w:style>
  <w:style w:type="paragraph" w:customStyle="1" w:styleId="132">
    <w:name w:val="xl32"/>
    <w:basedOn w:val="1"/>
    <w:qFormat/>
    <w:uiPriority w:val="0"/>
    <w:pPr>
      <w:pBdr>
        <w:top w:val="single" w:color="auto" w:sz="4" w:space="0"/>
        <w:bottom w:val="single" w:color="auto" w:sz="4" w:space="0"/>
      </w:pBdr>
      <w:spacing w:before="100" w:beforeLines="0" w:beforeAutospacing="1" w:after="100" w:afterLines="0" w:afterAutospacing="1"/>
      <w:textAlignment w:val="center"/>
    </w:pPr>
    <w:rPr>
      <w:rFonts w:ascii="Arial Unicode MS" w:hAnsi="Arial Unicode MS"/>
      <w:b/>
      <w:bCs/>
      <w:sz w:val="24"/>
      <w:szCs w:val="24"/>
    </w:rPr>
  </w:style>
  <w:style w:type="paragraph" w:customStyle="1" w:styleId="133">
    <w:name w:val="正文列表"/>
    <w:basedOn w:val="1"/>
    <w:qFormat/>
    <w:uiPriority w:val="0"/>
    <w:pPr>
      <w:widowControl w:val="0"/>
      <w:tabs>
        <w:tab w:val="left" w:pos="360"/>
      </w:tabs>
      <w:spacing w:after="120" w:afterLines="0"/>
      <w:jc w:val="both"/>
    </w:pPr>
    <w:rPr>
      <w:kern w:val="2"/>
      <w:sz w:val="24"/>
      <w:lang w:eastAsia="zh-TW"/>
    </w:rPr>
  </w:style>
  <w:style w:type="paragraph" w:customStyle="1" w:styleId="134">
    <w:name w:val="图片"/>
    <w:basedOn w:val="1"/>
    <w:next w:val="14"/>
    <w:qFormat/>
    <w:uiPriority w:val="0"/>
    <w:pPr>
      <w:keepNext/>
    </w:pPr>
    <w:rPr>
      <w:rFonts w:ascii="Garamond" w:hAnsi="Garamond"/>
    </w:rPr>
  </w:style>
  <w:style w:type="paragraph" w:customStyle="1" w:styleId="135">
    <w:name w:val="正文_Han_5_4.44"/>
    <w:basedOn w:val="1"/>
    <w:qFormat/>
    <w:uiPriority w:val="0"/>
    <w:pPr>
      <w:widowControl w:val="0"/>
      <w:adjustRightInd w:val="0"/>
      <w:spacing w:before="60" w:beforeLines="0" w:after="60" w:afterLines="0" w:line="288" w:lineRule="auto"/>
      <w:ind w:left="2517"/>
      <w:jc w:val="both"/>
      <w:textAlignment w:val="baseline"/>
    </w:pPr>
    <w:rPr>
      <w:rFonts w:ascii="Arial" w:hAnsi="Arial"/>
      <w:kern w:val="2"/>
    </w:rPr>
  </w:style>
  <w:style w:type="paragraph" w:customStyle="1" w:styleId="136">
    <w:name w:val="Char"/>
    <w:basedOn w:val="1"/>
    <w:qFormat/>
    <w:uiPriority w:val="0"/>
    <w:pPr>
      <w:spacing w:after="160" w:afterLines="0" w:afterAutospacing="0" w:line="240" w:lineRule="exact"/>
    </w:pPr>
    <w:rPr>
      <w:rFonts w:ascii="Verdana" w:hAnsi="Verdana"/>
      <w:sz w:val="20"/>
      <w:lang w:eastAsia="en-US"/>
    </w:rPr>
  </w:style>
  <w:style w:type="paragraph" w:customStyle="1" w:styleId="137">
    <w:name w:val="标题3（编号）"/>
    <w:basedOn w:val="1"/>
    <w:qFormat/>
    <w:uiPriority w:val="0"/>
    <w:pPr>
      <w:widowControl w:val="0"/>
      <w:ind w:left="420"/>
      <w:jc w:val="both"/>
    </w:pPr>
    <w:rPr>
      <w:b/>
      <w:kern w:val="2"/>
      <w:sz w:val="28"/>
      <w:szCs w:val="24"/>
    </w:rPr>
  </w:style>
  <w:style w:type="paragraph" w:customStyle="1" w:styleId="138">
    <w:name w:val="项目符号：一级"/>
    <w:basedOn w:val="1"/>
    <w:next w:val="1"/>
    <w:qFormat/>
    <w:uiPriority w:val="0"/>
    <w:pPr>
      <w:numPr>
        <w:ilvl w:val="0"/>
        <w:numId w:val="6"/>
      </w:numPr>
      <w:tabs>
        <w:tab w:val="left" w:pos="900"/>
        <w:tab w:val="clear" w:pos="2405"/>
      </w:tabs>
      <w:adjustRightInd w:val="0"/>
      <w:snapToGrid w:val="0"/>
      <w:spacing w:line="360" w:lineRule="auto"/>
      <w:textAlignment w:val="baseline"/>
    </w:pPr>
    <w:rPr>
      <w:rFonts w:ascii="宋体" w:hAnsi="宋体"/>
      <w:sz w:val="24"/>
    </w:rPr>
  </w:style>
  <w:style w:type="paragraph" w:customStyle="1" w:styleId="139">
    <w:name w:val="正文 首行缩进:  2 字符"/>
    <w:basedOn w:val="1"/>
    <w:qFormat/>
    <w:uiPriority w:val="0"/>
    <w:pPr>
      <w:spacing w:line="360" w:lineRule="auto"/>
      <w:ind w:firstLine="200" w:firstLineChars="200"/>
    </w:pPr>
    <w:rPr>
      <w:rFonts w:ascii="Verdana" w:hAnsi="Verdana" w:eastAsia="宋体"/>
      <w:sz w:val="24"/>
      <w:lang w:val="en-US" w:eastAsia="zh-CN"/>
    </w:rPr>
  </w:style>
  <w:style w:type="paragraph" w:customStyle="1" w:styleId="140">
    <w:name w:val="标题 4（网御星云）"/>
    <w:basedOn w:val="6"/>
    <w:next w:val="1"/>
    <w:qFormat/>
    <w:uiPriority w:val="0"/>
    <w:pPr>
      <w:widowControl/>
      <w:numPr>
        <w:ilvl w:val="0"/>
        <w:numId w:val="7"/>
      </w:numPr>
      <w:spacing w:after="156" w:afterLines="0" w:line="376" w:lineRule="auto"/>
      <w:ind w:left="1021" w:hanging="1021"/>
      <w:jc w:val="left"/>
    </w:pPr>
    <w:rPr>
      <w:kern w:val="0"/>
      <w:szCs w:val="28"/>
    </w:rPr>
  </w:style>
  <w:style w:type="paragraph" w:customStyle="1" w:styleId="141">
    <w:name w:val="text12"/>
    <w:basedOn w:val="1"/>
    <w:qFormat/>
    <w:uiPriority w:val="0"/>
    <w:pPr>
      <w:spacing w:before="100" w:beforeLines="0" w:beforeAutospacing="1" w:after="100" w:afterLines="0" w:afterAutospacing="1"/>
      <w:ind w:firstLine="480"/>
    </w:pPr>
    <w:rPr>
      <w:rFonts w:ascii="宋体" w:hAnsi="宋体" w:cs="宋体"/>
      <w:szCs w:val="21"/>
    </w:rPr>
  </w:style>
  <w:style w:type="paragraph" w:customStyle="1" w:styleId="142">
    <w:name w:val="pa-20"/>
    <w:basedOn w:val="1"/>
    <w:autoRedefine/>
    <w:qFormat/>
    <w:uiPriority w:val="0"/>
    <w:pPr>
      <w:spacing w:line="280" w:lineRule="atLeast"/>
      <w:ind w:firstLine="480"/>
      <w:jc w:val="both"/>
    </w:pPr>
    <w:rPr>
      <w:rFonts w:ascii="宋体" w:hAnsi="宋体" w:cs="宋体"/>
      <w:sz w:val="24"/>
      <w:szCs w:val="24"/>
    </w:rPr>
  </w:style>
  <w:style w:type="paragraph" w:customStyle="1" w:styleId="143">
    <w:name w:val=" Char Char Char Char Char"/>
    <w:basedOn w:val="1"/>
    <w:qFormat/>
    <w:uiPriority w:val="0"/>
    <w:pPr>
      <w:widowControl w:val="0"/>
      <w:jc w:val="both"/>
    </w:pPr>
    <w:rPr>
      <w:rFonts w:ascii="Tahoma" w:hAnsi="Tahoma" w:cs="Arial"/>
      <w:kern w:val="2"/>
      <w:sz w:val="24"/>
      <w:szCs w:val="21"/>
    </w:rPr>
  </w:style>
  <w:style w:type="paragraph" w:customStyle="1" w:styleId="144">
    <w:name w:val="标题 31"/>
    <w:basedOn w:val="1"/>
    <w:qFormat/>
    <w:uiPriority w:val="0"/>
    <w:pPr>
      <w:keepNext/>
      <w:keepLines/>
      <w:widowControl w:val="0"/>
      <w:spacing w:before="260" w:beforeLines="0" w:after="260" w:afterLines="0" w:line="360" w:lineRule="auto"/>
      <w:jc w:val="both"/>
    </w:pPr>
    <w:rPr>
      <w:rFonts w:ascii="宋体" w:hAnsi="宋体"/>
      <w:b/>
      <w:spacing w:val="2"/>
      <w:kern w:val="2"/>
      <w:sz w:val="30"/>
    </w:rPr>
  </w:style>
  <w:style w:type="paragraph" w:customStyle="1" w:styleId="145">
    <w:name w:val="_Style 268"/>
    <w:basedOn w:val="1"/>
    <w:next w:val="1"/>
    <w:qFormat/>
    <w:uiPriority w:val="0"/>
    <w:pPr>
      <w:pBdr>
        <w:bottom w:val="single" w:color="auto" w:sz="6" w:space="1"/>
      </w:pBdr>
      <w:jc w:val="center"/>
    </w:pPr>
    <w:rPr>
      <w:rFonts w:ascii="Arial" w:hAnsi="Arial" w:cs="Arial"/>
      <w:vanish/>
      <w:sz w:val="16"/>
      <w:szCs w:val="16"/>
    </w:rPr>
  </w:style>
  <w:style w:type="paragraph" w:customStyle="1" w:styleId="146">
    <w:name w:val="二级条标题"/>
    <w:basedOn w:val="147"/>
    <w:next w:val="63"/>
    <w:qFormat/>
    <w:uiPriority w:val="0"/>
    <w:pPr>
      <w:numPr>
        <w:ilvl w:val="3"/>
        <w:numId w:val="5"/>
      </w:numPr>
      <w:tabs>
        <w:tab w:val="left" w:pos="780"/>
        <w:tab w:val="left" w:pos="1800"/>
        <w:tab w:val="left" w:pos="2220"/>
        <w:tab w:val="clear" w:pos="2100"/>
      </w:tabs>
      <w:ind w:left="2220" w:hanging="420"/>
      <w:outlineLvl w:val="3"/>
    </w:pPr>
  </w:style>
  <w:style w:type="paragraph" w:customStyle="1" w:styleId="147">
    <w:name w:val="一级条标题"/>
    <w:basedOn w:val="1"/>
    <w:next w:val="63"/>
    <w:qFormat/>
    <w:uiPriority w:val="0"/>
    <w:pPr>
      <w:numPr>
        <w:ilvl w:val="2"/>
        <w:numId w:val="5"/>
      </w:numPr>
      <w:tabs>
        <w:tab w:val="left" w:pos="780"/>
        <w:tab w:val="left" w:pos="1800"/>
        <w:tab w:val="clear" w:pos="1680"/>
      </w:tabs>
      <w:ind w:left="1800" w:hanging="420"/>
      <w:jc w:val="both"/>
      <w:outlineLvl w:val="2"/>
    </w:pPr>
    <w:rPr>
      <w:rFonts w:ascii="黑体" w:eastAsia="黑体"/>
    </w:rPr>
  </w:style>
  <w:style w:type="paragraph" w:customStyle="1" w:styleId="148">
    <w:name w:val="表格文字"/>
    <w:basedOn w:val="1"/>
    <w:qFormat/>
    <w:uiPriority w:val="0"/>
    <w:pPr>
      <w:widowControl w:val="0"/>
      <w:jc w:val="both"/>
    </w:pPr>
    <w:rPr>
      <w:rFonts w:ascii="Calibri" w:hAnsi="Calibri" w:eastAsia="宋体" w:cs="Times New Roman"/>
      <w:bCs/>
      <w:spacing w:val="10"/>
      <w:kern w:val="2"/>
      <w:lang w:eastAsia="zh-CN" w:bidi="ar-SA"/>
    </w:rPr>
  </w:style>
  <w:style w:type="paragraph" w:customStyle="1" w:styleId="149">
    <w:name w:val=" Char"/>
    <w:basedOn w:val="1"/>
    <w:qFormat/>
    <w:uiPriority w:val="0"/>
    <w:pPr>
      <w:spacing w:after="160" w:afterLines="0" w:afterAutospacing="0" w:line="240" w:lineRule="exact"/>
    </w:pPr>
    <w:rPr>
      <w:rFonts w:ascii="Verdana" w:hAnsi="Verdana"/>
      <w:sz w:val="20"/>
      <w:lang w:eastAsia="en-US"/>
    </w:rPr>
  </w:style>
  <w:style w:type="paragraph" w:customStyle="1" w:styleId="150">
    <w:name w:val="p20"/>
    <w:basedOn w:val="1"/>
    <w:qFormat/>
    <w:uiPriority w:val="0"/>
    <w:pPr>
      <w:spacing w:line="360" w:lineRule="auto"/>
      <w:ind w:firstLine="420"/>
      <w:jc w:val="both"/>
    </w:pPr>
    <w:rPr>
      <w:rFonts w:ascii="Calibri" w:hAnsi="Calibri" w:cs="宋体"/>
      <w:sz w:val="24"/>
      <w:szCs w:val="24"/>
    </w:rPr>
  </w:style>
  <w:style w:type="paragraph" w:customStyle="1" w:styleId="151">
    <w:name w:val=" Char Char Char Char Char Char Char Char Char Char Char Char Char Char Char"/>
    <w:basedOn w:val="1"/>
    <w:qFormat/>
    <w:uiPriority w:val="0"/>
    <w:pPr>
      <w:spacing w:after="160" w:afterLines="0" w:line="240" w:lineRule="exact"/>
    </w:pPr>
    <w:rPr>
      <w:rFonts w:ascii="Verdana" w:hAnsi="Verdana"/>
      <w:sz w:val="20"/>
      <w:lang w:eastAsia="en-US"/>
    </w:rPr>
  </w:style>
  <w:style w:type="paragraph" w:customStyle="1" w:styleId="152">
    <w:name w:val=" Char Char1 Char Char Char Char Char Char Char Char Char Char Char Char Char Char"/>
    <w:basedOn w:val="1"/>
    <w:qFormat/>
    <w:uiPriority w:val="0"/>
    <w:pPr>
      <w:spacing w:after="160" w:afterLines="0" w:afterAutospacing="0" w:line="240" w:lineRule="exact"/>
    </w:pPr>
    <w:rPr>
      <w:rFonts w:ascii="Verdana" w:hAnsi="Verdana"/>
      <w:sz w:val="20"/>
      <w:lang w:eastAsia="en-US"/>
    </w:rPr>
  </w:style>
  <w:style w:type="paragraph" w:customStyle="1" w:styleId="153">
    <w:name w:val="无间隔"/>
    <w:basedOn w:val="1"/>
    <w:qFormat/>
    <w:uiPriority w:val="1"/>
    <w:rPr>
      <w:szCs w:val="32"/>
    </w:rPr>
  </w:style>
  <w:style w:type="paragraph" w:customStyle="1" w:styleId="154">
    <w:name w:val="小标题"/>
    <w:basedOn w:val="1"/>
    <w:next w:val="2"/>
    <w:qFormat/>
    <w:uiPriority w:val="0"/>
    <w:pPr>
      <w:widowControl w:val="0"/>
      <w:numPr>
        <w:ilvl w:val="0"/>
        <w:numId w:val="8"/>
      </w:numPr>
      <w:spacing w:before="78" w:beforeLines="25" w:after="78" w:afterLines="25"/>
      <w:ind w:left="200" w:hanging="200" w:hangingChars="200"/>
      <w:jc w:val="both"/>
    </w:pPr>
    <w:rPr>
      <w:rFonts w:ascii="Arial" w:hAnsi="Arial" w:eastAsia="黑体"/>
      <w:b/>
      <w:kern w:val="2"/>
      <w:sz w:val="28"/>
      <w:szCs w:val="24"/>
    </w:rPr>
  </w:style>
  <w:style w:type="paragraph" w:customStyle="1" w:styleId="155">
    <w:name w:val="xl23"/>
    <w:basedOn w:val="1"/>
    <w:qFormat/>
    <w:uiPriority w:val="0"/>
    <w:pPr>
      <w:pBdr>
        <w:top w:val="single" w:color="auto" w:sz="4" w:space="0"/>
        <w:left w:val="single" w:color="auto" w:sz="4" w:space="0"/>
        <w:bottom w:val="single" w:color="auto" w:sz="4" w:space="0"/>
        <w:right w:val="single" w:color="auto" w:sz="4" w:space="0"/>
      </w:pBdr>
      <w:shd w:val="clear" w:color="auto" w:fill="CCFFFF"/>
      <w:spacing w:before="100" w:beforeLines="0" w:beforeAutospacing="1" w:after="100" w:afterLines="0" w:afterAutospacing="1"/>
      <w:jc w:val="center"/>
      <w:textAlignment w:val="center"/>
    </w:pPr>
    <w:rPr>
      <w:rFonts w:hint="eastAsia" w:ascii="仿宋_GB2312" w:hAnsi="Arial Unicode MS" w:eastAsia="仿宋_GB2312"/>
      <w:b/>
      <w:bCs/>
      <w:sz w:val="24"/>
      <w:szCs w:val="24"/>
    </w:rPr>
  </w:style>
  <w:style w:type="paragraph" w:customStyle="1" w:styleId="156">
    <w:name w:val="正文 + 首行缩进:  2 字符"/>
    <w:basedOn w:val="1"/>
    <w:qFormat/>
    <w:uiPriority w:val="0"/>
    <w:pPr>
      <w:spacing w:line="360" w:lineRule="auto"/>
      <w:ind w:firstLine="480" w:firstLineChars="200"/>
    </w:pPr>
    <w:rPr>
      <w:rFonts w:ascii="Verdana" w:hAnsi="Verdana" w:eastAsia="宋体"/>
      <w:sz w:val="24"/>
      <w:lang w:val="en-US" w:eastAsia="zh-CN"/>
    </w:rPr>
  </w:style>
  <w:style w:type="paragraph" w:customStyle="1" w:styleId="157">
    <w:name w:val="_Style 3"/>
    <w:qFormat/>
    <w:uiPriority w:val="0"/>
    <w:pPr>
      <w:widowControl w:val="0"/>
      <w:jc w:val="both"/>
    </w:pPr>
    <w:rPr>
      <w:rFonts w:ascii="Times New Roman" w:hAnsi="Times New Roman" w:eastAsia="宋体" w:cs="Times New Roman"/>
      <w:kern w:val="2"/>
      <w:sz w:val="21"/>
      <w:szCs w:val="22"/>
      <w:lang w:val="en-US" w:eastAsia="zh-CN" w:bidi="ar-SA"/>
    </w:rPr>
  </w:style>
  <w:style w:type="paragraph" w:customStyle="1" w:styleId="158">
    <w:name w:val="Header"/>
    <w:basedOn w:val="106"/>
    <w:next w:val="106"/>
    <w:qFormat/>
    <w:uiPriority w:val="0"/>
    <w:rPr>
      <w:rFonts w:ascii="Arial,BoldItalic" w:hAnsi="Arial,BoldItalic"/>
      <w:sz w:val="24"/>
      <w:szCs w:val="24"/>
    </w:rPr>
  </w:style>
  <w:style w:type="paragraph" w:customStyle="1" w:styleId="159">
    <w:name w:val="xl30"/>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eastAsia="Arial Unicode MS"/>
      <w:sz w:val="24"/>
      <w:szCs w:val="24"/>
    </w:rPr>
  </w:style>
  <w:style w:type="paragraph" w:customStyle="1" w:styleId="160">
    <w:name w:val="tabletextcharchar"/>
    <w:basedOn w:val="1"/>
    <w:qFormat/>
    <w:uiPriority w:val="0"/>
    <w:pPr>
      <w:spacing w:before="100" w:beforeLines="0" w:beforeAutospacing="1" w:after="100" w:afterLines="0" w:afterAutospacing="1" w:line="240" w:lineRule="atLeast"/>
    </w:pPr>
    <w:rPr>
      <w:rFonts w:ascii="宋体" w:hAnsi="宋体" w:cs="宋体"/>
      <w:sz w:val="18"/>
      <w:szCs w:val="18"/>
    </w:rPr>
  </w:style>
  <w:style w:type="paragraph" w:customStyle="1" w:styleId="161">
    <w:name w:val="tabletext"/>
    <w:basedOn w:val="1"/>
    <w:qFormat/>
    <w:uiPriority w:val="0"/>
    <w:pPr>
      <w:spacing w:before="100" w:beforeLines="0" w:beforeAutospacing="1" w:after="100" w:afterLines="0" w:afterAutospacing="1" w:line="240" w:lineRule="atLeast"/>
    </w:pPr>
    <w:rPr>
      <w:rFonts w:ascii="宋体" w:hAnsi="宋体" w:cs="宋体"/>
      <w:sz w:val="18"/>
      <w:szCs w:val="18"/>
    </w:rPr>
  </w:style>
  <w:style w:type="paragraph" w:customStyle="1" w:styleId="162">
    <w:name w:val="jin3"/>
    <w:basedOn w:val="5"/>
    <w:qFormat/>
    <w:uiPriority w:val="0"/>
    <w:pPr>
      <w:widowControl/>
      <w:numPr>
        <w:ilvl w:val="0"/>
        <w:numId w:val="9"/>
      </w:numPr>
      <w:overflowPunct w:val="0"/>
      <w:autoSpaceDE w:val="0"/>
      <w:autoSpaceDN w:val="0"/>
      <w:adjustRightInd w:val="0"/>
      <w:spacing w:before="360" w:beforeLines="0" w:after="120" w:afterLines="0" w:line="300" w:lineRule="auto"/>
      <w:ind w:left="0" w:firstLine="0"/>
      <w:textAlignment w:val="baseline"/>
      <w:outlineLvl w:val="9"/>
    </w:pPr>
    <w:rPr>
      <w:rFonts w:ascii="宋体" w:hAnsi="Arial"/>
      <w:kern w:val="0"/>
      <w:sz w:val="24"/>
    </w:rPr>
  </w:style>
  <w:style w:type="paragraph" w:customStyle="1" w:styleId="163">
    <w:name w:val="正文（表格）"/>
    <w:basedOn w:val="1"/>
    <w:qFormat/>
    <w:uiPriority w:val="0"/>
    <w:pPr>
      <w:spacing w:line="300" w:lineRule="auto"/>
      <w:jc w:val="both"/>
    </w:pPr>
    <w:rPr>
      <w:kern w:val="2"/>
      <w:szCs w:val="24"/>
    </w:rPr>
  </w:style>
  <w:style w:type="paragraph" w:customStyle="1" w:styleId="164">
    <w:name w:val="pa-1"/>
    <w:basedOn w:val="1"/>
    <w:autoRedefine/>
    <w:qFormat/>
    <w:uiPriority w:val="0"/>
    <w:pPr>
      <w:spacing w:line="340" w:lineRule="atLeast"/>
      <w:jc w:val="both"/>
    </w:pPr>
    <w:rPr>
      <w:rFonts w:ascii="宋体" w:hAnsi="宋体" w:cs="宋体"/>
      <w:sz w:val="24"/>
      <w:szCs w:val="24"/>
    </w:rPr>
  </w:style>
  <w:style w:type="paragraph" w:customStyle="1" w:styleId="165">
    <w:name w:val="列出段落1"/>
    <w:basedOn w:val="1"/>
    <w:qFormat/>
    <w:uiPriority w:val="0"/>
    <w:pPr>
      <w:widowControl w:val="0"/>
      <w:ind w:firstLine="420" w:firstLineChars="200"/>
      <w:jc w:val="both"/>
    </w:pPr>
    <w:rPr>
      <w:rFonts w:ascii="Calibri" w:hAnsi="Calibri"/>
      <w:kern w:val="2"/>
      <w:szCs w:val="22"/>
    </w:rPr>
  </w:style>
  <w:style w:type="paragraph" w:customStyle="1" w:styleId="166">
    <w:name w:val="Message Header First"/>
    <w:basedOn w:val="44"/>
    <w:next w:val="44"/>
    <w:qFormat/>
    <w:uiPriority w:val="0"/>
  </w:style>
  <w:style w:type="paragraph" w:customStyle="1" w:styleId="167">
    <w:name w:val="样式 正文缩进文2ALT+Z表正文正文非缩进特点段1标题4特点 Char Char特点 Char Char C..."/>
    <w:basedOn w:val="1"/>
    <w:qFormat/>
    <w:uiPriority w:val="0"/>
    <w:pPr>
      <w:widowControl w:val="0"/>
      <w:spacing w:before="156" w:beforeLines="50" w:after="156" w:afterLines="50" w:line="360" w:lineRule="auto"/>
      <w:ind w:firstLine="480" w:firstLineChars="200"/>
      <w:jc w:val="both"/>
    </w:pPr>
    <w:rPr>
      <w:rFonts w:eastAsia="仿宋_GB2312"/>
      <w:kern w:val="2"/>
      <w:sz w:val="24"/>
    </w:rPr>
  </w:style>
  <w:style w:type="paragraph" w:customStyle="1" w:styleId="168">
    <w:name w:val="Tables"/>
    <w:basedOn w:val="106"/>
    <w:next w:val="106"/>
    <w:qFormat/>
    <w:uiPriority w:val="0"/>
    <w:pPr>
      <w:spacing w:after="120" w:afterLines="0"/>
    </w:pPr>
    <w:rPr>
      <w:rFonts w:ascii="Arial,BoldItalic" w:hAnsi="Arial,BoldItalic"/>
      <w:sz w:val="24"/>
      <w:szCs w:val="24"/>
    </w:rPr>
  </w:style>
  <w:style w:type="paragraph" w:customStyle="1" w:styleId="169">
    <w:name w:val=" Char Char Char Char Char Char Char Char Char Char"/>
    <w:basedOn w:val="1"/>
    <w:qFormat/>
    <w:uiPriority w:val="0"/>
    <w:pPr>
      <w:widowControl w:val="0"/>
      <w:adjustRightInd w:val="0"/>
      <w:spacing w:line="360" w:lineRule="auto"/>
      <w:jc w:val="both"/>
    </w:pPr>
    <w:rPr>
      <w:kern w:val="2"/>
      <w:szCs w:val="24"/>
    </w:rPr>
  </w:style>
  <w:style w:type="paragraph" w:customStyle="1" w:styleId="170">
    <w:name w:val="xl25"/>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eastAsia="Arial Unicode MS"/>
      <w:sz w:val="24"/>
      <w:szCs w:val="24"/>
    </w:rPr>
  </w:style>
  <w:style w:type="paragraph" w:customStyle="1" w:styleId="171">
    <w:name w:val="Bullet 1"/>
    <w:basedOn w:val="1"/>
    <w:qFormat/>
    <w:uiPriority w:val="0"/>
    <w:pPr>
      <w:numPr>
        <w:ilvl w:val="0"/>
        <w:numId w:val="2"/>
      </w:numPr>
      <w:tabs>
        <w:tab w:val="left" w:pos="420"/>
        <w:tab w:val="clear" w:pos="180"/>
      </w:tabs>
      <w:spacing w:line="290" w:lineRule="atLeast"/>
    </w:pPr>
    <w:rPr>
      <w:rFonts w:eastAsia="Times New Roman"/>
      <w:sz w:val="24"/>
      <w:lang w:eastAsia="en-US"/>
    </w:rPr>
  </w:style>
  <w:style w:type="paragraph" w:customStyle="1" w:styleId="172">
    <w:name w:val="font5"/>
    <w:basedOn w:val="1"/>
    <w:qFormat/>
    <w:uiPriority w:val="0"/>
    <w:pPr>
      <w:spacing w:before="100" w:beforeLines="0" w:beforeAutospacing="1" w:after="100" w:afterLines="0" w:afterAutospacing="1"/>
    </w:pPr>
    <w:rPr>
      <w:rFonts w:hint="eastAsia" w:ascii="宋体" w:hAnsi="宋体" w:cs="Arial Unicode MS"/>
      <w:sz w:val="24"/>
      <w:szCs w:val="24"/>
    </w:rPr>
  </w:style>
  <w:style w:type="paragraph" w:customStyle="1" w:styleId="173">
    <w:name w:val="pa-4"/>
    <w:basedOn w:val="1"/>
    <w:qFormat/>
    <w:uiPriority w:val="0"/>
    <w:pPr>
      <w:spacing w:line="240" w:lineRule="atLeast"/>
      <w:ind w:hanging="420"/>
      <w:jc w:val="both"/>
    </w:pPr>
    <w:rPr>
      <w:rFonts w:ascii="宋体" w:hAnsi="宋体" w:cs="宋体"/>
      <w:sz w:val="24"/>
      <w:szCs w:val="24"/>
    </w:rPr>
  </w:style>
  <w:style w:type="paragraph" w:customStyle="1" w:styleId="174">
    <w:name w:val=" Char Char Char Char Char Char Char"/>
    <w:basedOn w:val="1"/>
    <w:qFormat/>
    <w:uiPriority w:val="0"/>
    <w:pPr>
      <w:widowControl w:val="0"/>
      <w:spacing w:line="360" w:lineRule="auto"/>
    </w:pPr>
    <w:rPr>
      <w:rFonts w:hAnsi="宋体"/>
      <w:kern w:val="2"/>
      <w:sz w:val="21"/>
      <w:lang w:eastAsia="zh-CN" w:bidi="ar-SA"/>
    </w:rPr>
  </w:style>
  <w:style w:type="paragraph" w:customStyle="1" w:styleId="175">
    <w:name w:val="pa-35"/>
    <w:basedOn w:val="1"/>
    <w:qFormat/>
    <w:uiPriority w:val="0"/>
    <w:pPr>
      <w:spacing w:line="280" w:lineRule="atLeast"/>
      <w:ind w:firstLine="460"/>
    </w:pPr>
    <w:rPr>
      <w:rFonts w:ascii="宋体" w:hAnsi="宋体" w:cs="宋体"/>
      <w:sz w:val="24"/>
      <w:szCs w:val="24"/>
    </w:rPr>
  </w:style>
  <w:style w:type="paragraph" w:customStyle="1" w:styleId="176">
    <w:name w:val="样式 宋体 小四 首行缩进:  1 字符"/>
    <w:basedOn w:val="1"/>
    <w:qFormat/>
    <w:uiPriority w:val="0"/>
    <w:pPr>
      <w:widowControl w:val="0"/>
      <w:ind w:firstLine="240" w:firstLineChars="100"/>
      <w:jc w:val="both"/>
    </w:pPr>
    <w:rPr>
      <w:rFonts w:ascii="宋体" w:hAnsi="宋体" w:cs="宋体"/>
      <w:kern w:val="2"/>
      <w:sz w:val="24"/>
    </w:rPr>
  </w:style>
  <w:style w:type="paragraph" w:customStyle="1" w:styleId="177">
    <w:name w:val="2册标题4"/>
    <w:basedOn w:val="1"/>
    <w:next w:val="1"/>
    <w:qFormat/>
    <w:uiPriority w:val="0"/>
    <w:pPr>
      <w:widowControl w:val="0"/>
      <w:spacing w:before="156" w:beforeLines="0" w:beforeAutospacing="0" w:after="156" w:afterLines="0" w:afterAutospacing="0" w:line="300" w:lineRule="auto"/>
      <w:ind w:left="420" w:leftChars="200"/>
      <w:jc w:val="both"/>
      <w:outlineLvl w:val="3"/>
    </w:pPr>
    <w:rPr>
      <w:rFonts w:ascii="Arial" w:hAnsi="Arial" w:eastAsia="幼圆"/>
      <w:b/>
      <w:kern w:val="2"/>
      <w:sz w:val="24"/>
    </w:rPr>
  </w:style>
  <w:style w:type="paragraph" w:customStyle="1" w:styleId="178">
    <w:name w:val="关键词"/>
    <w:basedOn w:val="1"/>
    <w:qFormat/>
    <w:uiPriority w:val="0"/>
    <w:pPr>
      <w:widowControl w:val="0"/>
      <w:tabs>
        <w:tab w:val="left" w:pos="907"/>
      </w:tabs>
      <w:spacing w:line="360" w:lineRule="auto"/>
      <w:ind w:left="879" w:hanging="879"/>
      <w:jc w:val="both"/>
    </w:pPr>
    <w:rPr>
      <w:rFonts w:eastAsia="楷体_GB2312"/>
    </w:rPr>
  </w:style>
  <w:style w:type="paragraph" w:customStyle="1" w:styleId="179">
    <w:name w:val="p9"/>
    <w:basedOn w:val="1"/>
    <w:qFormat/>
    <w:uiPriority w:val="0"/>
    <w:pPr>
      <w:spacing w:before="100" w:beforeLines="0" w:beforeAutospacing="1" w:after="100" w:afterLines="0" w:afterAutospacing="1"/>
    </w:pPr>
    <w:rPr>
      <w:rFonts w:ascii="宋体" w:hAnsi="宋体" w:cs="宋体"/>
      <w:sz w:val="18"/>
      <w:szCs w:val="18"/>
    </w:rPr>
  </w:style>
  <w:style w:type="paragraph" w:customStyle="1" w:styleId="180">
    <w:name w:val="标题 2（网御星云）"/>
    <w:basedOn w:val="4"/>
    <w:next w:val="1"/>
    <w:qFormat/>
    <w:uiPriority w:val="0"/>
    <w:pPr>
      <w:spacing w:line="415" w:lineRule="auto"/>
      <w:ind w:left="794" w:hanging="794"/>
      <w:jc w:val="left"/>
    </w:pPr>
    <w:rPr>
      <w:szCs w:val="32"/>
    </w:rPr>
  </w:style>
  <w:style w:type="paragraph" w:customStyle="1" w:styleId="181">
    <w:name w:val=" Char Char1"/>
    <w:basedOn w:val="15"/>
    <w:qFormat/>
    <w:uiPriority w:val="0"/>
    <w:pPr>
      <w:widowControl w:val="0"/>
      <w:jc w:val="both"/>
    </w:pPr>
    <w:rPr>
      <w:rFonts w:ascii="Tahoma" w:hAnsi="Tahoma"/>
      <w:kern w:val="2"/>
      <w:sz w:val="24"/>
      <w:szCs w:val="24"/>
    </w:rPr>
  </w:style>
  <w:style w:type="paragraph" w:customStyle="1" w:styleId="182">
    <w:name w:val="报告正文"/>
    <w:basedOn w:val="1"/>
    <w:qFormat/>
    <w:uiPriority w:val="0"/>
    <w:pPr>
      <w:overflowPunct w:val="0"/>
      <w:autoSpaceDE w:val="0"/>
      <w:autoSpaceDN w:val="0"/>
      <w:adjustRightInd w:val="0"/>
      <w:spacing w:line="360" w:lineRule="auto"/>
      <w:ind w:firstLine="420"/>
      <w:jc w:val="both"/>
      <w:textAlignment w:val="baseline"/>
    </w:pPr>
    <w:rPr>
      <w:sz w:val="24"/>
    </w:rPr>
  </w:style>
  <w:style w:type="paragraph" w:customStyle="1" w:styleId="183">
    <w:name w:val="正文（无缩进）"/>
    <w:qFormat/>
    <w:uiPriority w:val="0"/>
    <w:pPr>
      <w:spacing w:after="200" w:afterLines="0" w:line="276" w:lineRule="auto"/>
      <w:jc w:val="center"/>
    </w:pPr>
    <w:rPr>
      <w:rFonts w:ascii="Times New Roman" w:hAnsi="Times New Roman" w:eastAsia="仿宋_GB2312" w:cs="Times New Roman"/>
      <w:color w:val="000000"/>
      <w:kern w:val="24"/>
      <w:sz w:val="24"/>
      <w:szCs w:val="22"/>
      <w:lang w:val="en-US" w:eastAsia="zh-CN" w:bidi="ar-SA"/>
    </w:rPr>
  </w:style>
  <w:style w:type="paragraph" w:customStyle="1" w:styleId="184">
    <w:name w:val="xl36"/>
    <w:basedOn w:val="1"/>
    <w:qFormat/>
    <w:uiPriority w:val="0"/>
    <w:pPr>
      <w:pBdr>
        <w:top w:val="single" w:color="auto" w:sz="4" w:space="0"/>
        <w:left w:val="single" w:color="auto" w:sz="4" w:space="0"/>
        <w:bottom w:val="single" w:color="auto" w:sz="4" w:space="0"/>
      </w:pBdr>
      <w:spacing w:before="100" w:beforeLines="0" w:beforeAutospacing="1" w:after="100" w:afterLines="0" w:afterAutospacing="1"/>
      <w:textAlignment w:val="center"/>
    </w:pPr>
    <w:rPr>
      <w:rFonts w:ascii="Arial Unicode MS" w:hAnsi="Arial Unicode MS"/>
      <w:b/>
      <w:bCs/>
      <w:sz w:val="24"/>
      <w:szCs w:val="24"/>
    </w:rPr>
  </w:style>
  <w:style w:type="paragraph" w:customStyle="1" w:styleId="185">
    <w:name w:val="产品描述"/>
    <w:qFormat/>
    <w:uiPriority w:val="0"/>
    <w:pPr>
      <w:widowControl w:val="0"/>
      <w:autoSpaceDE w:val="0"/>
      <w:autoSpaceDN w:val="0"/>
      <w:adjustRightInd w:val="0"/>
      <w:spacing w:after="200" w:afterLines="0" w:line="270" w:lineRule="atLeast"/>
      <w:ind w:firstLine="397"/>
      <w:jc w:val="both"/>
    </w:pPr>
    <w:rPr>
      <w:rFonts w:ascii="宋体" w:hAnsi="Times New Roman" w:eastAsia="宋体" w:cs="Times New Roman"/>
      <w:sz w:val="18"/>
      <w:szCs w:val="18"/>
      <w:lang w:val="en-US" w:eastAsia="zh-CN" w:bidi="ar-SA"/>
    </w:rPr>
  </w:style>
  <w:style w:type="paragraph" w:customStyle="1" w:styleId="186">
    <w:name w:val="并列项 ·"/>
    <w:basedOn w:val="1"/>
    <w:qFormat/>
    <w:uiPriority w:val="0"/>
    <w:pPr>
      <w:adjustRightInd w:val="0"/>
      <w:snapToGrid w:val="0"/>
      <w:spacing w:line="360" w:lineRule="auto"/>
      <w:textAlignment w:val="baseline"/>
    </w:pPr>
    <w:rPr>
      <w:rFonts w:ascii="宋体" w:hAnsi="宋体"/>
      <w:b/>
      <w:snapToGrid w:val="0"/>
      <w:color w:val="FF0000"/>
      <w:kern w:val="24"/>
      <w:sz w:val="28"/>
      <w:szCs w:val="28"/>
    </w:rPr>
  </w:style>
  <w:style w:type="paragraph" w:customStyle="1" w:styleId="187">
    <w:name w:val="a"/>
    <w:basedOn w:val="1"/>
    <w:qFormat/>
    <w:uiPriority w:val="0"/>
    <w:pPr>
      <w:spacing w:before="100" w:beforeLines="0" w:beforeAutospacing="1" w:after="100" w:afterLines="0" w:afterAutospacing="1" w:line="312" w:lineRule="auto"/>
    </w:pPr>
    <w:rPr>
      <w:rFonts w:ascii="宋体" w:hAnsi="宋体" w:cs="宋体"/>
      <w:sz w:val="18"/>
      <w:szCs w:val="18"/>
    </w:rPr>
  </w:style>
  <w:style w:type="paragraph" w:customStyle="1" w:styleId="188">
    <w:name w:val="text"/>
    <w:basedOn w:val="1"/>
    <w:qFormat/>
    <w:uiPriority w:val="0"/>
    <w:pPr>
      <w:spacing w:before="100" w:beforeLines="0" w:beforeAutospacing="1" w:after="100" w:afterLines="0" w:afterAutospacing="1"/>
    </w:pPr>
    <w:rPr>
      <w:rFonts w:ascii="ˎ̥" w:hAnsi="ˎ̥" w:cs="宋体"/>
      <w:color w:val="000000"/>
      <w:sz w:val="18"/>
      <w:szCs w:val="18"/>
    </w:rPr>
  </w:style>
  <w:style w:type="paragraph" w:customStyle="1" w:styleId="189">
    <w:name w:val="样式 样式 标题 3H3sect1.2.3BOD 0Heading 3 - oldh3l3CTLevel 3 Head... +..."/>
    <w:basedOn w:val="1"/>
    <w:qFormat/>
    <w:uiPriority w:val="0"/>
    <w:pPr>
      <w:keepNext/>
      <w:keepLines/>
      <w:widowControl w:val="0"/>
      <w:spacing w:before="120" w:beforeLines="0" w:beforeAutospacing="0" w:after="120" w:afterLines="0" w:afterAutospacing="0"/>
      <w:outlineLvl w:val="2"/>
    </w:pPr>
    <w:rPr>
      <w:b/>
      <w:kern w:val="2"/>
      <w:sz w:val="24"/>
    </w:rPr>
  </w:style>
  <w:style w:type="paragraph" w:customStyle="1" w:styleId="190">
    <w:name w:val="正文1"/>
    <w:basedOn w:val="1"/>
    <w:qFormat/>
    <w:uiPriority w:val="0"/>
    <w:pPr>
      <w:widowControl w:val="0"/>
      <w:spacing w:line="360" w:lineRule="auto"/>
      <w:ind w:firstLine="480" w:firstLineChars="200"/>
      <w:jc w:val="both"/>
    </w:pPr>
    <w:rPr>
      <w:kern w:val="2"/>
      <w:sz w:val="24"/>
      <w:szCs w:val="24"/>
    </w:rPr>
  </w:style>
  <w:style w:type="paragraph" w:customStyle="1" w:styleId="191">
    <w:name w:val="font7"/>
    <w:basedOn w:val="1"/>
    <w:qFormat/>
    <w:uiPriority w:val="0"/>
    <w:pPr>
      <w:spacing w:before="100" w:beforeLines="0" w:beforeAutospacing="1" w:after="100" w:afterLines="0" w:afterAutospacing="1"/>
    </w:pPr>
    <w:rPr>
      <w:rFonts w:eastAsia="Arial Unicode MS"/>
      <w:sz w:val="22"/>
      <w:szCs w:val="22"/>
    </w:rPr>
  </w:style>
  <w:style w:type="paragraph" w:customStyle="1" w:styleId="192">
    <w:name w:val="样式 正文首行缩进 + 宋体 小四 段前: 3 磅 段后: 3 磅 行距: 多倍行距 1.25 字行"/>
    <w:basedOn w:val="50"/>
    <w:qFormat/>
    <w:uiPriority w:val="0"/>
    <w:pPr>
      <w:adjustRightInd/>
      <w:snapToGrid/>
      <w:spacing w:before="60" w:beforeLines="0" w:after="60" w:afterLines="0" w:line="360" w:lineRule="auto"/>
      <w:ind w:firstLine="480" w:firstLineChars="200"/>
    </w:pPr>
    <w:rPr>
      <w:rFonts w:ascii="宋体" w:hAnsi="宋体" w:cs="宋体"/>
      <w:szCs w:val="24"/>
    </w:rPr>
  </w:style>
  <w:style w:type="paragraph" w:customStyle="1" w:styleId="193">
    <w:name w:val="普通(网站)1"/>
    <w:basedOn w:val="1"/>
    <w:qFormat/>
    <w:uiPriority w:val="0"/>
    <w:pPr>
      <w:widowControl w:val="0"/>
      <w:jc w:val="both"/>
    </w:pPr>
    <w:rPr>
      <w:kern w:val="2"/>
      <w:sz w:val="18"/>
    </w:rPr>
  </w:style>
  <w:style w:type="paragraph" w:customStyle="1" w:styleId="194">
    <w:name w:val="标准2级标题"/>
    <w:basedOn w:val="1"/>
    <w:qFormat/>
    <w:uiPriority w:val="0"/>
    <w:pPr>
      <w:spacing w:before="120" w:beforeLines="0" w:after="120" w:afterLines="0" w:line="360" w:lineRule="auto"/>
      <w:outlineLvl w:val="1"/>
    </w:pPr>
    <w:rPr>
      <w:rFonts w:ascii="黑体" w:eastAsia="黑体" w:cs="宋体"/>
      <w:szCs w:val="20"/>
      <w:lang w:eastAsia="zh-CN" w:bidi="ar-SA"/>
    </w:rPr>
  </w:style>
  <w:style w:type="paragraph" w:customStyle="1" w:styleId="195">
    <w:name w:val="00"/>
    <w:basedOn w:val="1"/>
    <w:qFormat/>
    <w:uiPriority w:val="0"/>
    <w:pPr>
      <w:widowControl w:val="0"/>
      <w:autoSpaceDE w:val="0"/>
      <w:autoSpaceDN w:val="0"/>
      <w:adjustRightInd w:val="0"/>
    </w:pPr>
    <w:rPr>
      <w:rFonts w:ascii="黑体" w:eastAsia="黑体"/>
      <w:b/>
      <w:bCs/>
      <w:sz w:val="20"/>
    </w:rPr>
  </w:style>
  <w:style w:type="paragraph" w:customStyle="1" w:styleId="196">
    <w:name w:val="p18"/>
    <w:basedOn w:val="1"/>
    <w:qFormat/>
    <w:uiPriority w:val="0"/>
    <w:pPr>
      <w:snapToGrid w:val="0"/>
      <w:spacing w:before="156" w:beforeLines="0" w:after="156" w:afterLines="0"/>
      <w:ind w:left="851" w:hanging="851"/>
      <w:jc w:val="both"/>
    </w:pPr>
    <w:rPr>
      <w:rFonts w:ascii="Arial" w:hAnsi="Arial" w:cs="Arial"/>
      <w:b/>
      <w:bCs/>
      <w:sz w:val="30"/>
      <w:szCs w:val="30"/>
    </w:rPr>
  </w:style>
  <w:style w:type="paragraph" w:customStyle="1" w:styleId="197">
    <w:name w:val="xl24"/>
    <w:basedOn w:val="1"/>
    <w:qFormat/>
    <w:uiPriority w:val="0"/>
    <w:pPr>
      <w:pBdr>
        <w:top w:val="single" w:color="auto" w:sz="4" w:space="0"/>
        <w:left w:val="single" w:color="auto" w:sz="4" w:space="0"/>
        <w:bottom w:val="single" w:color="auto" w:sz="4" w:space="0"/>
        <w:right w:val="single" w:color="auto" w:sz="4" w:space="0"/>
      </w:pBdr>
      <w:spacing w:before="100" w:beforeLines="0" w:beforeAutospacing="1" w:after="100" w:afterLines="0" w:afterAutospacing="1"/>
      <w:jc w:val="center"/>
    </w:pPr>
    <w:rPr>
      <w:rFonts w:ascii="Arial Unicode MS" w:hAnsi="Arial Unicode MS" w:eastAsia="Arial Unicode MS" w:cs="Arial Unicode MS"/>
      <w:sz w:val="24"/>
      <w:szCs w:val="24"/>
    </w:rPr>
  </w:style>
  <w:style w:type="paragraph" w:customStyle="1" w:styleId="198">
    <w:name w:val="pa-39"/>
    <w:basedOn w:val="1"/>
    <w:qFormat/>
    <w:uiPriority w:val="0"/>
    <w:pPr>
      <w:spacing w:line="280" w:lineRule="atLeast"/>
      <w:ind w:firstLine="360"/>
      <w:jc w:val="both"/>
    </w:pPr>
    <w:rPr>
      <w:rFonts w:ascii="宋体" w:hAnsi="宋体" w:cs="宋体"/>
      <w:sz w:val="24"/>
      <w:szCs w:val="24"/>
    </w:rPr>
  </w:style>
  <w:style w:type="paragraph" w:customStyle="1" w:styleId="199">
    <w:name w:val="xl37"/>
    <w:basedOn w:val="1"/>
    <w:qFormat/>
    <w:uiPriority w:val="0"/>
    <w:pPr>
      <w:pBdr>
        <w:top w:val="single" w:color="auto" w:sz="4" w:space="0"/>
        <w:bottom w:val="single" w:color="auto" w:sz="4" w:space="0"/>
      </w:pBdr>
      <w:spacing w:before="100" w:beforeLines="0" w:beforeAutospacing="1" w:after="100" w:afterLines="0" w:afterAutospacing="1"/>
      <w:textAlignment w:val="center"/>
    </w:pPr>
    <w:rPr>
      <w:rFonts w:ascii="Arial Unicode MS" w:hAnsi="Arial Unicode MS"/>
      <w:b/>
      <w:bCs/>
      <w:sz w:val="24"/>
      <w:szCs w:val="24"/>
    </w:rPr>
  </w:style>
  <w:style w:type="paragraph" w:customStyle="1" w:styleId="200">
    <w:name w:val="Char Char Char Char Char Char Char Char Char Char"/>
    <w:basedOn w:val="1"/>
    <w:qFormat/>
    <w:uiPriority w:val="0"/>
    <w:pPr>
      <w:widowControl w:val="0"/>
      <w:jc w:val="both"/>
    </w:pPr>
    <w:rPr>
      <w:rFonts w:ascii="Tahoma" w:hAnsi="Tahoma"/>
      <w:kern w:val="2"/>
      <w:sz w:val="24"/>
    </w:rPr>
  </w:style>
  <w:style w:type="paragraph" w:customStyle="1" w:styleId="201">
    <w:name w:val="xl34"/>
    <w:basedOn w:val="1"/>
    <w:qFormat/>
    <w:uiPriority w:val="0"/>
    <w:pPr>
      <w:pBdr>
        <w:bottom w:val="single" w:color="auto" w:sz="4" w:space="0"/>
      </w:pBdr>
      <w:spacing w:before="100" w:beforeLines="0" w:beforeAutospacing="1" w:after="100" w:afterLines="0" w:afterAutospacing="1"/>
      <w:textAlignment w:val="center"/>
    </w:pPr>
    <w:rPr>
      <w:rFonts w:ascii="Arial Unicode MS" w:hAnsi="Arial Unicode MS"/>
      <w:b/>
      <w:bCs/>
      <w:sz w:val="24"/>
      <w:szCs w:val="24"/>
    </w:rPr>
  </w:style>
  <w:style w:type="paragraph" w:customStyle="1" w:styleId="202">
    <w:name w:val="样式 标题 3 + 左侧:  0 厘米 首行缩进:  0 厘米"/>
    <w:basedOn w:val="5"/>
    <w:qFormat/>
    <w:uiPriority w:val="0"/>
    <w:pPr>
      <w:numPr>
        <w:ilvl w:val="1"/>
        <w:numId w:val="9"/>
      </w:numPr>
      <w:tabs>
        <w:tab w:val="left" w:pos="414"/>
        <w:tab w:val="left" w:pos="720"/>
        <w:tab w:val="clear" w:pos="1440"/>
      </w:tabs>
      <w:spacing w:line="415" w:lineRule="auto"/>
      <w:ind w:left="414" w:hanging="414"/>
    </w:pPr>
    <w:rPr>
      <w:rFonts w:cs="宋体"/>
      <w:bCs w:val="0"/>
      <w:sz w:val="28"/>
    </w:rPr>
  </w:style>
  <w:style w:type="paragraph" w:customStyle="1" w:styleId="203">
    <w:name w:val="正文(悬挂缩进)"/>
    <w:qFormat/>
    <w:uiPriority w:val="0"/>
    <w:pPr>
      <w:spacing w:after="200" w:afterLines="0" w:line="420" w:lineRule="atLeast"/>
      <w:ind w:left="300" w:leftChars="200" w:hanging="100" w:hangingChars="100"/>
    </w:pPr>
    <w:rPr>
      <w:rFonts w:ascii="Times New Roman" w:hAnsi="Times New Roman" w:eastAsia="仿宋_GB2312" w:cs="Times New Roman"/>
      <w:spacing w:val="2"/>
      <w:kern w:val="24"/>
      <w:sz w:val="24"/>
      <w:szCs w:val="22"/>
      <w:lang w:val="en-US" w:eastAsia="zh-CN" w:bidi="ar-SA"/>
    </w:rPr>
  </w:style>
  <w:style w:type="paragraph" w:customStyle="1" w:styleId="204">
    <w:name w:val="我的正文"/>
    <w:basedOn w:val="1"/>
    <w:qFormat/>
    <w:uiPriority w:val="0"/>
    <w:pPr>
      <w:keepNext/>
      <w:keepLines/>
      <w:widowControl w:val="0"/>
      <w:tabs>
        <w:tab w:val="left" w:pos="780"/>
      </w:tabs>
      <w:adjustRightInd w:val="0"/>
      <w:snapToGrid w:val="0"/>
      <w:spacing w:before="60" w:beforeLines="0" w:after="60" w:afterLines="0" w:line="360" w:lineRule="auto"/>
      <w:ind w:left="780" w:hanging="420"/>
      <w:jc w:val="both"/>
      <w:textAlignment w:val="baseline"/>
    </w:pPr>
    <w:rPr>
      <w:b/>
      <w:iCs/>
      <w:kern w:val="2"/>
      <w:sz w:val="24"/>
      <w:szCs w:val="24"/>
    </w:rPr>
  </w:style>
  <w:style w:type="paragraph" w:customStyle="1" w:styleId="205">
    <w:name w:val="p16"/>
    <w:basedOn w:val="1"/>
    <w:qFormat/>
    <w:uiPriority w:val="0"/>
    <w:pPr>
      <w:snapToGrid w:val="0"/>
      <w:spacing w:line="360" w:lineRule="auto"/>
      <w:ind w:firstLine="420"/>
      <w:jc w:val="both"/>
    </w:pPr>
    <w:rPr>
      <w:rFonts w:ascii="Arial" w:hAnsi="Arial" w:cs="Arial"/>
      <w:sz w:val="24"/>
      <w:szCs w:val="24"/>
    </w:rPr>
  </w:style>
  <w:style w:type="paragraph" w:customStyle="1" w:styleId="206">
    <w:name w:val="Table Paragraph"/>
    <w:basedOn w:val="1"/>
    <w:qFormat/>
    <w:uiPriority w:val="1"/>
    <w:pPr>
      <w:widowControl w:val="0"/>
      <w:autoSpaceDE w:val="0"/>
      <w:autoSpaceDN w:val="0"/>
    </w:pPr>
    <w:rPr>
      <w:rFonts w:ascii="宋体" w:hAnsi="宋体" w:cs="宋体"/>
      <w:sz w:val="22"/>
      <w:szCs w:val="22"/>
      <w:lang w:val="zh-CN" w:eastAsia="zh-CN" w:bidi="zh-CN"/>
    </w:rPr>
  </w:style>
  <w:style w:type="paragraph" w:customStyle="1" w:styleId="207">
    <w:name w:val="l18"/>
    <w:basedOn w:val="1"/>
    <w:qFormat/>
    <w:uiPriority w:val="0"/>
    <w:pPr>
      <w:spacing w:before="30" w:beforeLines="0" w:after="100" w:afterLines="0" w:afterAutospacing="1" w:line="270" w:lineRule="atLeast"/>
      <w:ind w:left="90"/>
    </w:pPr>
    <w:rPr>
      <w:rFonts w:ascii="Arial" w:hAnsi="Arial" w:cs="Arial"/>
      <w:color w:val="000000"/>
      <w:sz w:val="18"/>
      <w:szCs w:val="18"/>
      <w:lang w:eastAsia="en-US"/>
    </w:rPr>
  </w:style>
  <w:style w:type="paragraph" w:customStyle="1" w:styleId="208">
    <w:name w:val="样式 标题 3标题 3 Char + 宋体 四号"/>
    <w:basedOn w:val="5"/>
    <w:qFormat/>
    <w:uiPriority w:val="0"/>
    <w:pPr>
      <w:spacing w:before="0" w:beforeLines="0" w:after="0" w:afterLines="0" w:line="240" w:lineRule="auto"/>
      <w:outlineLvl w:val="9"/>
    </w:pPr>
    <w:rPr>
      <w:rFonts w:ascii="宋体" w:hAnsi="宋体"/>
      <w:bCs w:val="0"/>
      <w:color w:val="000000"/>
      <w:sz w:val="28"/>
    </w:rPr>
  </w:style>
  <w:style w:type="paragraph" w:customStyle="1" w:styleId="209">
    <w:name w:val="style6"/>
    <w:basedOn w:val="1"/>
    <w:qFormat/>
    <w:uiPriority w:val="0"/>
    <w:pPr>
      <w:spacing w:before="100" w:beforeLines="0" w:beforeAutospacing="1" w:after="100" w:afterLines="0" w:afterAutospacing="1"/>
    </w:pPr>
    <w:rPr>
      <w:rFonts w:ascii="宋体" w:hAnsi="宋体" w:cs="宋体"/>
      <w:sz w:val="24"/>
      <w:szCs w:val="24"/>
    </w:rPr>
  </w:style>
  <w:style w:type="paragraph" w:customStyle="1" w:styleId="210">
    <w:name w:val="样式 样式 首行缩进:  1 字符 + 首行缩进:  1 字符"/>
    <w:basedOn w:val="1"/>
    <w:qFormat/>
    <w:uiPriority w:val="0"/>
    <w:pPr>
      <w:widowControl w:val="0"/>
      <w:ind w:firstLine="240" w:firstLineChars="100"/>
      <w:jc w:val="both"/>
    </w:pPr>
    <w:rPr>
      <w:rFonts w:cs="宋体"/>
      <w:kern w:val="2"/>
      <w:sz w:val="24"/>
    </w:rPr>
  </w:style>
  <w:style w:type="paragraph" w:customStyle="1" w:styleId="211">
    <w:name w:val="Dokumententext"/>
    <w:qFormat/>
    <w:uiPriority w:val="0"/>
    <w:pPr>
      <w:numPr>
        <w:ilvl w:val="2"/>
        <w:numId w:val="5"/>
      </w:numPr>
      <w:tabs>
        <w:tab w:val="left" w:pos="780"/>
      </w:tabs>
      <w:spacing w:after="200" w:afterLines="0" w:line="276" w:lineRule="auto"/>
      <w:ind w:left="992" w:firstLine="0"/>
    </w:pPr>
    <w:rPr>
      <w:rFonts w:ascii="Arial" w:hAnsi="Arial" w:eastAsia="宋体" w:cs="Times New Roman"/>
      <w:sz w:val="22"/>
      <w:szCs w:val="22"/>
      <w:lang w:val="en-US" w:eastAsia="zh-CN" w:bidi="ar-SA"/>
    </w:rPr>
  </w:style>
  <w:style w:type="paragraph" w:customStyle="1" w:styleId="212">
    <w:name w:val=" Char16"/>
    <w:basedOn w:val="1"/>
    <w:qFormat/>
    <w:uiPriority w:val="0"/>
    <w:pPr>
      <w:spacing w:after="160" w:afterLines="0" w:line="240" w:lineRule="exact"/>
    </w:pPr>
    <w:rPr>
      <w:rFonts w:ascii="Verdana" w:hAnsi="Verdana"/>
      <w:sz w:val="20"/>
      <w:lang w:eastAsia="en-US"/>
    </w:rPr>
  </w:style>
  <w:style w:type="paragraph" w:customStyle="1" w:styleId="213">
    <w:name w:val="符号"/>
    <w:basedOn w:val="1"/>
    <w:qFormat/>
    <w:uiPriority w:val="0"/>
    <w:pPr>
      <w:widowControl w:val="0"/>
      <w:tabs>
        <w:tab w:val="left" w:pos="840"/>
      </w:tabs>
      <w:adjustRightInd w:val="0"/>
      <w:snapToGrid w:val="0"/>
      <w:spacing w:line="420" w:lineRule="atLeast"/>
      <w:ind w:left="840" w:hanging="420"/>
      <w:textAlignment w:val="baseline"/>
    </w:pPr>
    <w:rPr>
      <w:sz w:val="24"/>
    </w:rPr>
  </w:style>
  <w:style w:type="paragraph" w:customStyle="1" w:styleId="214">
    <w:name w:val="符号标题3"/>
    <w:basedOn w:val="1"/>
    <w:qFormat/>
    <w:uiPriority w:val="0"/>
    <w:pPr>
      <w:widowControl w:val="0"/>
      <w:spacing w:line="360" w:lineRule="auto"/>
      <w:ind w:firstLine="482" w:firstLineChars="200"/>
      <w:jc w:val="both"/>
    </w:pPr>
    <w:rPr>
      <w:rFonts w:ascii="宋体" w:hAnsi="宋体"/>
      <w:kern w:val="2"/>
      <w:szCs w:val="24"/>
    </w:rPr>
  </w:style>
  <w:style w:type="paragraph" w:customStyle="1" w:styleId="215">
    <w:name w:val=" Char1"/>
    <w:basedOn w:val="1"/>
    <w:qFormat/>
    <w:uiPriority w:val="0"/>
    <w:pPr>
      <w:spacing w:after="160" w:afterLines="0" w:line="240" w:lineRule="exact"/>
    </w:pPr>
    <w:rPr>
      <w:rFonts w:ascii="Verdana" w:hAnsi="Verdana"/>
      <w:sz w:val="20"/>
      <w:lang w:eastAsia="en-US"/>
    </w:rPr>
  </w:style>
  <w:style w:type="paragraph" w:customStyle="1" w:styleId="216">
    <w:name w:val="xl38"/>
    <w:basedOn w:val="1"/>
    <w:qFormat/>
    <w:uiPriority w:val="0"/>
    <w:pPr>
      <w:pBdr>
        <w:top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b/>
      <w:bCs/>
      <w:sz w:val="24"/>
      <w:szCs w:val="24"/>
    </w:rPr>
  </w:style>
  <w:style w:type="paragraph" w:customStyle="1" w:styleId="217">
    <w:name w:val="Body"/>
    <w:basedOn w:val="1"/>
    <w:qFormat/>
    <w:uiPriority w:val="0"/>
    <w:pPr>
      <w:spacing w:before="120" w:beforeLines="0" w:after="60" w:afterLines="0" w:line="280" w:lineRule="exact"/>
    </w:pPr>
    <w:rPr>
      <w:kern w:val="20"/>
      <w:sz w:val="20"/>
    </w:rPr>
  </w:style>
  <w:style w:type="paragraph" w:customStyle="1" w:styleId="218">
    <w:name w:val="*正文"/>
    <w:basedOn w:val="1"/>
    <w:qFormat/>
    <w:uiPriority w:val="0"/>
    <w:pPr>
      <w:spacing w:line="360" w:lineRule="auto"/>
      <w:ind w:firstLine="200" w:firstLineChars="200"/>
    </w:pPr>
    <w:rPr>
      <w:rFonts w:ascii="宋体" w:hAnsi="宋体"/>
      <w:sz w:val="24"/>
    </w:rPr>
  </w:style>
  <w:style w:type="paragraph" w:customStyle="1" w:styleId="219">
    <w:name w:val="标题 3正文"/>
    <w:basedOn w:val="1"/>
    <w:qFormat/>
    <w:uiPriority w:val="0"/>
    <w:pPr>
      <w:widowControl w:val="0"/>
      <w:numPr>
        <w:ilvl w:val="2"/>
        <w:numId w:val="2"/>
      </w:numPr>
      <w:tabs>
        <w:tab w:val="left" w:pos="180"/>
        <w:tab w:val="left" w:pos="1260"/>
        <w:tab w:val="clear" w:pos="1020"/>
      </w:tabs>
      <w:spacing w:before="156" w:beforeLines="50" w:line="360" w:lineRule="auto"/>
      <w:ind w:left="0" w:firstLine="410" w:firstLineChars="171"/>
      <w:jc w:val="both"/>
    </w:pPr>
    <w:rPr>
      <w:rFonts w:ascii="宋体" w:hAnsi="宋体"/>
      <w:kern w:val="2"/>
      <w:sz w:val="24"/>
      <w:szCs w:val="24"/>
    </w:rPr>
  </w:style>
  <w:style w:type="paragraph" w:customStyle="1" w:styleId="220">
    <w:name w:val="表格文字2"/>
    <w:basedOn w:val="1"/>
    <w:qFormat/>
    <w:uiPriority w:val="0"/>
    <w:pPr>
      <w:widowControl w:val="0"/>
      <w:spacing w:line="360" w:lineRule="auto"/>
      <w:jc w:val="center"/>
    </w:pPr>
    <w:rPr>
      <w:rFonts w:ascii="宋体"/>
      <w:spacing w:val="22"/>
      <w:kern w:val="2"/>
      <w:szCs w:val="24"/>
    </w:rPr>
  </w:style>
  <w:style w:type="paragraph" w:customStyle="1" w:styleId="221">
    <w:name w:val="信息标题1"/>
    <w:basedOn w:val="1"/>
    <w:qFormat/>
    <w:uiPriority w:val="0"/>
    <w:pPr>
      <w:widowControl w:val="0"/>
      <w:pBdr>
        <w:top w:val="single" w:color="auto" w:sz="6" w:space="1"/>
        <w:left w:val="single" w:color="auto" w:sz="6" w:space="1"/>
        <w:bottom w:val="single" w:color="auto" w:sz="6" w:space="1"/>
        <w:right w:val="single" w:color="auto" w:sz="6" w:space="1"/>
      </w:pBdr>
      <w:shd w:val="pct20" w:color="auto" w:fill="auto"/>
      <w:spacing w:line="360" w:lineRule="auto"/>
      <w:ind w:left="1080" w:leftChars="500" w:hanging="1080" w:hangingChars="500"/>
      <w:jc w:val="both"/>
    </w:pPr>
    <w:rPr>
      <w:rFonts w:ascii="Arial" w:hAnsi="Arial"/>
      <w:kern w:val="2"/>
      <w:szCs w:val="22"/>
      <w:lang w:eastAsia="zh-CN" w:bidi="ar-SA"/>
    </w:rPr>
  </w:style>
  <w:style w:type="paragraph" w:customStyle="1" w:styleId="222">
    <w:name w:val="List Paragraph"/>
    <w:basedOn w:val="1"/>
    <w:qFormat/>
    <w:uiPriority w:val="0"/>
    <w:pPr>
      <w:widowControl w:val="0"/>
      <w:ind w:firstLine="420" w:firstLineChars="200"/>
      <w:jc w:val="both"/>
    </w:pPr>
    <w:rPr>
      <w:rFonts w:ascii="Calibri" w:hAnsi="Calibri"/>
      <w:kern w:val="2"/>
      <w:szCs w:val="22"/>
    </w:rPr>
  </w:style>
  <w:style w:type="paragraph" w:customStyle="1" w:styleId="223">
    <w:name w:val="目录文字"/>
    <w:basedOn w:val="1"/>
    <w:qFormat/>
    <w:uiPriority w:val="0"/>
    <w:pPr>
      <w:spacing w:line="480" w:lineRule="auto"/>
    </w:pPr>
    <w:rPr>
      <w:rFonts w:ascii="宋体" w:hAnsi="宋体"/>
      <w:sz w:val="24"/>
    </w:rPr>
  </w:style>
  <w:style w:type="paragraph" w:customStyle="1" w:styleId="224">
    <w:name w:val="TOC 标题"/>
    <w:basedOn w:val="3"/>
    <w:next w:val="1"/>
    <w:qFormat/>
    <w:uiPriority w:val="39"/>
    <w:pPr>
      <w:outlineLvl w:val="9"/>
    </w:pPr>
  </w:style>
  <w:style w:type="paragraph" w:customStyle="1" w:styleId="225">
    <w:name w:val=" Char Char Char Char Char Char1 Char"/>
    <w:basedOn w:val="1"/>
    <w:qFormat/>
    <w:uiPriority w:val="0"/>
    <w:pPr>
      <w:spacing w:after="160" w:afterLines="0" w:line="240" w:lineRule="exact"/>
    </w:pPr>
    <w:rPr>
      <w:rFonts w:ascii="Verdana" w:hAnsi="Verdana"/>
      <w:lang w:eastAsia="en-US"/>
    </w:rPr>
  </w:style>
  <w:style w:type="paragraph" w:customStyle="1" w:styleId="226">
    <w:name w:val="style103"/>
    <w:basedOn w:val="1"/>
    <w:qFormat/>
    <w:uiPriority w:val="0"/>
    <w:pPr>
      <w:spacing w:before="100" w:beforeLines="0" w:beforeAutospacing="1" w:after="100" w:afterLines="0" w:afterAutospacing="1"/>
    </w:pPr>
    <w:rPr>
      <w:rFonts w:ascii="Arial" w:hAnsi="Arial" w:cs="Arial"/>
      <w:sz w:val="24"/>
      <w:szCs w:val="24"/>
    </w:rPr>
  </w:style>
  <w:style w:type="paragraph" w:customStyle="1" w:styleId="227">
    <w:name w:val=" Char1 Char Char Char Char Char Char1"/>
    <w:basedOn w:val="1"/>
    <w:qFormat/>
    <w:uiPriority w:val="0"/>
    <w:pPr>
      <w:spacing w:after="160" w:afterLines="0" w:line="240" w:lineRule="exact"/>
    </w:pPr>
    <w:rPr>
      <w:rFonts w:ascii="Verdana" w:hAnsi="Verdana"/>
      <w:sz w:val="20"/>
      <w:lang w:eastAsia="en-US"/>
    </w:rPr>
  </w:style>
  <w:style w:type="paragraph" w:customStyle="1" w:styleId="228">
    <w:name w:val="Table Text"/>
    <w:basedOn w:val="1"/>
    <w:qFormat/>
    <w:uiPriority w:val="0"/>
    <w:pPr>
      <w:numPr>
        <w:ilvl w:val="3"/>
        <w:numId w:val="2"/>
      </w:numPr>
      <w:tabs>
        <w:tab w:val="left" w:pos="180"/>
        <w:tab w:val="left" w:pos="1680"/>
        <w:tab w:val="clear" w:pos="1440"/>
      </w:tabs>
      <w:spacing w:before="60" w:beforeLines="0" w:after="60" w:afterLines="0"/>
      <w:ind w:left="0" w:firstLine="0"/>
      <w:jc w:val="both"/>
    </w:pPr>
    <w:rPr>
      <w:rFonts w:ascii="Arial" w:hAnsi="Arial"/>
      <w:sz w:val="20"/>
    </w:rPr>
  </w:style>
  <w:style w:type="paragraph" w:customStyle="1" w:styleId="229">
    <w:name w:val="汉仪细等线简8BOLD"/>
    <w:basedOn w:val="1"/>
    <w:qFormat/>
    <w:uiPriority w:val="0"/>
    <w:pPr>
      <w:widowControl w:val="0"/>
      <w:autoSpaceDE w:val="0"/>
      <w:autoSpaceDN w:val="0"/>
      <w:adjustRightInd w:val="0"/>
      <w:spacing w:line="240" w:lineRule="atLeast"/>
      <w:jc w:val="both"/>
    </w:pPr>
    <w:rPr>
      <w:rFonts w:ascii="汉仪细等线简" w:eastAsia="汉仪细等线简"/>
      <w:b/>
      <w:bCs/>
      <w:sz w:val="16"/>
      <w:szCs w:val="16"/>
    </w:rPr>
  </w:style>
  <w:style w:type="paragraph" w:customStyle="1" w:styleId="230">
    <w:name w:val="正文3"/>
    <w:basedOn w:val="1"/>
    <w:qFormat/>
    <w:uiPriority w:val="0"/>
    <w:pPr>
      <w:widowControl w:val="0"/>
      <w:spacing w:before="60" w:beforeLines="0" w:after="60" w:afterLines="0" w:line="360" w:lineRule="auto"/>
      <w:jc w:val="both"/>
      <w:outlineLvl w:val="8"/>
    </w:pPr>
    <w:rPr>
      <w:kern w:val="2"/>
      <w:sz w:val="24"/>
      <w:szCs w:val="21"/>
    </w:rPr>
  </w:style>
  <w:style w:type="paragraph" w:customStyle="1" w:styleId="231">
    <w:name w:val="p0"/>
    <w:basedOn w:val="1"/>
    <w:qFormat/>
    <w:uiPriority w:val="0"/>
    <w:pPr>
      <w:jc w:val="both"/>
    </w:pPr>
    <w:rPr>
      <w:szCs w:val="21"/>
    </w:rPr>
  </w:style>
  <w:style w:type="paragraph" w:customStyle="1" w:styleId="232">
    <w:name w:val="Char Char Char Char"/>
    <w:basedOn w:val="15"/>
    <w:qFormat/>
    <w:uiPriority w:val="0"/>
    <w:pPr>
      <w:widowControl w:val="0"/>
      <w:adjustRightInd w:val="0"/>
      <w:snapToGrid w:val="0"/>
      <w:spacing w:line="360" w:lineRule="auto"/>
      <w:jc w:val="both"/>
    </w:pPr>
    <w:rPr>
      <w:kern w:val="2"/>
    </w:rPr>
  </w:style>
  <w:style w:type="paragraph" w:customStyle="1" w:styleId="233">
    <w:name w:val=" Char2 Char Char Char Char Char Char"/>
    <w:basedOn w:val="1"/>
    <w:qFormat/>
    <w:uiPriority w:val="0"/>
    <w:pPr>
      <w:spacing w:after="160" w:afterLines="0" w:line="240" w:lineRule="exact"/>
    </w:pPr>
    <w:rPr>
      <w:rFonts w:ascii="Verdana" w:hAnsi="Verdana"/>
      <w:sz w:val="20"/>
      <w:szCs w:val="24"/>
      <w:lang w:eastAsia="en-US"/>
    </w:rPr>
  </w:style>
  <w:style w:type="paragraph" w:customStyle="1" w:styleId="234">
    <w:name w:val="xl33"/>
    <w:basedOn w:val="1"/>
    <w:qFormat/>
    <w:uiPriority w:val="0"/>
    <w:pPr>
      <w:pBdr>
        <w:top w:val="single" w:color="auto" w:sz="4" w:space="0"/>
        <w:bottom w:val="single" w:color="auto" w:sz="4" w:space="0"/>
        <w:right w:val="single" w:color="auto" w:sz="4" w:space="0"/>
      </w:pBdr>
      <w:spacing w:before="100" w:beforeLines="0" w:beforeAutospacing="1" w:after="100" w:afterLines="0" w:afterAutospacing="1"/>
      <w:textAlignment w:val="center"/>
    </w:pPr>
    <w:rPr>
      <w:rFonts w:ascii="Arial Unicode MS" w:hAnsi="Arial Unicode MS"/>
      <w:b/>
      <w:bCs/>
      <w:sz w:val="24"/>
      <w:szCs w:val="24"/>
    </w:rPr>
  </w:style>
  <w:style w:type="paragraph" w:customStyle="1" w:styleId="235">
    <w:name w:val="文字"/>
    <w:basedOn w:val="1"/>
    <w:qFormat/>
    <w:uiPriority w:val="0"/>
    <w:pPr>
      <w:widowControl w:val="0"/>
      <w:spacing w:before="120" w:beforeLines="0" w:line="300" w:lineRule="auto"/>
      <w:jc w:val="both"/>
    </w:pPr>
    <w:rPr>
      <w:rFonts w:ascii="宋体"/>
      <w:snapToGrid w:val="0"/>
      <w:sz w:val="24"/>
      <w:szCs w:val="24"/>
    </w:rPr>
  </w:style>
  <w:style w:type="paragraph" w:customStyle="1" w:styleId="236">
    <w:name w:val="Normal (Web)"/>
    <w:basedOn w:val="1"/>
    <w:qFormat/>
    <w:uiPriority w:val="0"/>
    <w:pPr>
      <w:spacing w:before="100" w:beforeLines="0" w:beforeAutospacing="1" w:after="100" w:afterLines="0" w:afterAutospacing="1"/>
    </w:pPr>
    <w:rPr>
      <w:rFonts w:ascii="Arial Unicode MS" w:hAnsi="Arial Unicode MS" w:eastAsia="Arial Unicode MS"/>
      <w:sz w:val="24"/>
      <w:szCs w:val="24"/>
      <w:lang w:eastAsia="en-US"/>
    </w:rPr>
  </w:style>
  <w:style w:type="paragraph" w:customStyle="1" w:styleId="237">
    <w:name w:val="My 正文"/>
    <w:basedOn w:val="1"/>
    <w:qFormat/>
    <w:uiPriority w:val="0"/>
    <w:pPr>
      <w:widowControl w:val="0"/>
      <w:spacing w:line="520" w:lineRule="atLeast"/>
      <w:ind w:firstLine="480" w:firstLineChars="200"/>
      <w:jc w:val="both"/>
    </w:pPr>
    <w:rPr>
      <w:rFonts w:cs="宋体"/>
      <w:kern w:val="2"/>
      <w:sz w:val="24"/>
    </w:rPr>
  </w:style>
  <w:style w:type="paragraph" w:customStyle="1" w:styleId="238">
    <w:name w:val="list1"/>
    <w:basedOn w:val="1"/>
    <w:qFormat/>
    <w:uiPriority w:val="0"/>
    <w:pPr>
      <w:widowControl w:val="0"/>
      <w:tabs>
        <w:tab w:val="left" w:pos="360"/>
      </w:tabs>
      <w:adjustRightInd w:val="0"/>
      <w:spacing w:line="360" w:lineRule="auto"/>
      <w:jc w:val="both"/>
      <w:textAlignment w:val="baseline"/>
    </w:pPr>
    <w:rPr>
      <w:rFonts w:ascii="宋体"/>
      <w:color w:val="000000"/>
      <w:kern w:val="2"/>
      <w:sz w:val="24"/>
    </w:rPr>
  </w:style>
  <w:style w:type="paragraph" w:customStyle="1" w:styleId="239">
    <w:name w:val="Bullet 2"/>
    <w:basedOn w:val="1"/>
    <w:qFormat/>
    <w:uiPriority w:val="0"/>
    <w:pPr>
      <w:numPr>
        <w:ilvl w:val="1"/>
        <w:numId w:val="2"/>
      </w:numPr>
      <w:tabs>
        <w:tab w:val="left" w:pos="180"/>
        <w:tab w:val="left" w:pos="780"/>
        <w:tab w:val="clear" w:pos="540"/>
      </w:tabs>
      <w:spacing w:line="290" w:lineRule="atLeast"/>
    </w:pPr>
    <w:rPr>
      <w:rFonts w:eastAsia="Times New Roman"/>
      <w:sz w:val="24"/>
      <w:lang w:eastAsia="en-US"/>
    </w:rPr>
  </w:style>
  <w:style w:type="paragraph" w:customStyle="1" w:styleId="240">
    <w:name w:val="xl29"/>
    <w:basedOn w:val="1"/>
    <w:qFormat/>
    <w:uiPriority w:val="0"/>
    <w:pPr>
      <w:pBdr>
        <w:top w:val="single" w:color="auto" w:sz="4" w:space="0"/>
        <w:bottom w:val="single" w:color="auto" w:sz="4" w:space="0"/>
        <w:right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sz w:val="24"/>
      <w:szCs w:val="24"/>
    </w:rPr>
  </w:style>
  <w:style w:type="paragraph" w:customStyle="1" w:styleId="241">
    <w:name w:val="CHX1"/>
    <w:basedOn w:val="1"/>
    <w:qFormat/>
    <w:uiPriority w:val="0"/>
    <w:pPr>
      <w:widowControl w:val="0"/>
      <w:numPr>
        <w:ilvl w:val="2"/>
        <w:numId w:val="9"/>
      </w:numPr>
      <w:tabs>
        <w:tab w:val="left" w:pos="720"/>
        <w:tab w:val="clear" w:pos="2160"/>
      </w:tabs>
      <w:spacing w:line="480" w:lineRule="auto"/>
      <w:ind w:left="0" w:firstLine="0"/>
      <w:jc w:val="both"/>
    </w:pPr>
    <w:rPr>
      <w:rFonts w:ascii="黑体" w:eastAsia="黑体"/>
      <w:b/>
      <w:bCs/>
      <w:kern w:val="2"/>
      <w:sz w:val="28"/>
      <w:szCs w:val="28"/>
    </w:rPr>
  </w:style>
  <w:style w:type="paragraph" w:customStyle="1" w:styleId="242">
    <w:name w:val=" Char2"/>
    <w:basedOn w:val="1"/>
    <w:qFormat/>
    <w:uiPriority w:val="0"/>
    <w:pPr>
      <w:spacing w:after="160" w:afterLines="0" w:line="240" w:lineRule="exact"/>
    </w:pPr>
    <w:rPr>
      <w:rFonts w:ascii="Verdana" w:hAnsi="Verdana"/>
      <w:lang w:eastAsia="en-US"/>
    </w:rPr>
  </w:style>
  <w:style w:type="paragraph" w:customStyle="1" w:styleId="243">
    <w:name w:val="p17"/>
    <w:basedOn w:val="1"/>
    <w:qFormat/>
    <w:uiPriority w:val="0"/>
    <w:pPr>
      <w:snapToGrid w:val="0"/>
      <w:spacing w:before="156" w:beforeLines="0" w:after="156" w:afterLines="0"/>
      <w:ind w:left="851" w:hanging="851"/>
      <w:jc w:val="both"/>
    </w:pPr>
    <w:rPr>
      <w:rFonts w:ascii="Arial" w:hAnsi="Arial" w:cs="Arial"/>
      <w:b/>
      <w:bCs/>
      <w:sz w:val="30"/>
      <w:szCs w:val="30"/>
    </w:rPr>
  </w:style>
  <w:style w:type="paragraph" w:customStyle="1" w:styleId="244">
    <w:name w:val="样式1 Char Char"/>
    <w:basedOn w:val="1"/>
    <w:next w:val="28"/>
    <w:qFormat/>
    <w:uiPriority w:val="0"/>
    <w:pPr>
      <w:widowControl w:val="0"/>
      <w:spacing w:line="360" w:lineRule="auto"/>
      <w:ind w:firstLine="516" w:firstLineChars="215"/>
      <w:jc w:val="both"/>
    </w:pPr>
    <w:rPr>
      <w:kern w:val="2"/>
      <w:sz w:val="24"/>
      <w:szCs w:val="24"/>
    </w:rPr>
  </w:style>
  <w:style w:type="paragraph" w:customStyle="1" w:styleId="245">
    <w:name w:val="文本"/>
    <w:qFormat/>
    <w:uiPriority w:val="0"/>
    <w:pPr>
      <w:numPr>
        <w:ilvl w:val="1"/>
        <w:numId w:val="2"/>
      </w:numPr>
      <w:tabs>
        <w:tab w:val="left" w:pos="180"/>
        <w:tab w:val="left" w:pos="780"/>
        <w:tab w:val="clear" w:pos="540"/>
      </w:tabs>
      <w:spacing w:after="200" w:afterLines="0" w:line="360" w:lineRule="auto"/>
      <w:ind w:left="0" w:firstLine="200" w:firstLineChars="200"/>
    </w:pPr>
    <w:rPr>
      <w:rFonts w:ascii="Times New Roman" w:hAnsi="Times New Roman" w:eastAsia="宋体" w:cs="Times New Roman"/>
      <w:kern w:val="2"/>
      <w:sz w:val="21"/>
      <w:szCs w:val="24"/>
      <w:lang w:val="en-US" w:eastAsia="zh-CN" w:bidi="ar-SA"/>
    </w:rPr>
  </w:style>
  <w:style w:type="paragraph" w:customStyle="1" w:styleId="246">
    <w:name w:val="正文2"/>
    <w:basedOn w:val="190"/>
    <w:qFormat/>
    <w:uiPriority w:val="0"/>
    <w:pPr>
      <w:tabs>
        <w:tab w:val="left" w:pos="420"/>
      </w:tabs>
      <w:ind w:left="420" w:hanging="420" w:firstLineChars="0"/>
    </w:pPr>
  </w:style>
  <w:style w:type="paragraph" w:customStyle="1" w:styleId="247">
    <w:name w:val="摘要"/>
    <w:basedOn w:val="1"/>
    <w:qFormat/>
    <w:uiPriority w:val="0"/>
    <w:pPr>
      <w:widowControl w:val="0"/>
      <w:tabs>
        <w:tab w:val="left" w:pos="907"/>
      </w:tabs>
      <w:spacing w:line="360" w:lineRule="auto"/>
      <w:ind w:left="879" w:hanging="879"/>
      <w:jc w:val="both"/>
    </w:pPr>
    <w:rPr>
      <w:rFonts w:eastAsia="楷体_GB2312"/>
    </w:rPr>
  </w:style>
  <w:style w:type="paragraph" w:customStyle="1" w:styleId="248">
    <w:name w:val="tabletextchar"/>
    <w:basedOn w:val="1"/>
    <w:qFormat/>
    <w:uiPriority w:val="0"/>
    <w:pPr>
      <w:spacing w:before="100" w:beforeLines="0" w:beforeAutospacing="1" w:after="100" w:afterLines="0" w:afterAutospacing="1" w:line="240" w:lineRule="atLeast"/>
    </w:pPr>
    <w:rPr>
      <w:rFonts w:ascii="宋体" w:hAnsi="宋体" w:cs="宋体"/>
      <w:sz w:val="18"/>
      <w:szCs w:val="18"/>
    </w:rPr>
  </w:style>
  <w:style w:type="paragraph" w:customStyle="1" w:styleId="249">
    <w:name w:val="xl31"/>
    <w:basedOn w:val="1"/>
    <w:qFormat/>
    <w:uiPriority w:val="0"/>
    <w:pPr>
      <w:pBdr>
        <w:top w:val="single" w:color="auto" w:sz="4" w:space="0"/>
        <w:left w:val="single" w:color="auto" w:sz="4" w:space="0"/>
        <w:bottom w:val="single" w:color="auto" w:sz="4" w:space="0"/>
      </w:pBdr>
      <w:spacing w:before="100" w:beforeLines="0" w:beforeAutospacing="1" w:after="100" w:afterLines="0" w:afterAutospacing="1"/>
      <w:textAlignment w:val="center"/>
    </w:pPr>
    <w:rPr>
      <w:rFonts w:ascii="Arial Unicode MS" w:hAnsi="Arial Unicode MS"/>
      <w:b/>
      <w:bCs/>
      <w:sz w:val="24"/>
      <w:szCs w:val="24"/>
    </w:rPr>
  </w:style>
  <w:style w:type="paragraph" w:customStyle="1" w:styleId="250">
    <w:name w:val="contentnoteheader"/>
    <w:basedOn w:val="1"/>
    <w:qFormat/>
    <w:uiPriority w:val="0"/>
    <w:pPr>
      <w:spacing w:before="40" w:beforeLines="0" w:after="100" w:afterLines="0" w:afterAutospacing="1"/>
      <w:ind w:left="120"/>
    </w:pPr>
    <w:rPr>
      <w:rFonts w:ascii="Arial" w:hAnsi="Arial" w:cs="Arial"/>
      <w:b/>
      <w:bCs/>
      <w:color w:val="990000"/>
      <w:sz w:val="24"/>
      <w:szCs w:val="24"/>
    </w:rPr>
  </w:style>
  <w:style w:type="paragraph" w:customStyle="1" w:styleId="251">
    <w:name w:val="TABLE"/>
    <w:basedOn w:val="1"/>
    <w:qFormat/>
    <w:uiPriority w:val="0"/>
    <w:pPr>
      <w:widowControl w:val="0"/>
      <w:autoSpaceDE w:val="0"/>
      <w:autoSpaceDN w:val="0"/>
      <w:adjustRightInd w:val="0"/>
      <w:spacing w:before="50" w:beforeLines="0" w:after="50" w:afterLines="0" w:line="240" w:lineRule="exact"/>
      <w:jc w:val="both"/>
    </w:pPr>
    <w:rPr>
      <w:rFonts w:ascii="宋体"/>
      <w:b/>
      <w:i/>
      <w:sz w:val="18"/>
    </w:rPr>
  </w:style>
  <w:style w:type="paragraph" w:customStyle="1" w:styleId="252">
    <w:name w:val=" Char6"/>
    <w:basedOn w:val="1"/>
    <w:qFormat/>
    <w:uiPriority w:val="0"/>
    <w:pPr>
      <w:spacing w:line="360" w:lineRule="auto"/>
    </w:pPr>
    <w:rPr>
      <w:rFonts w:ascii="宋体" w:hAnsi="宋体"/>
      <w:sz w:val="24"/>
      <w:szCs w:val="24"/>
    </w:rPr>
  </w:style>
  <w:style w:type="paragraph" w:customStyle="1" w:styleId="253">
    <w:name w:val="样式 标题 2 + 楷体 四号 非加粗"/>
    <w:basedOn w:val="4"/>
    <w:qFormat/>
    <w:uiPriority w:val="0"/>
    <w:pPr>
      <w:pageBreakBefore/>
      <w:widowControl/>
      <w:tabs>
        <w:tab w:val="left" w:pos="1134"/>
      </w:tabs>
      <w:spacing w:before="240" w:beforeLines="0" w:after="312" w:afterLines="100" w:line="240" w:lineRule="atLeast"/>
      <w:jc w:val="center"/>
    </w:pPr>
    <w:rPr>
      <w:rFonts w:ascii="宋体" w:hAnsi="宋体" w:eastAsia="宋体"/>
      <w:kern w:val="0"/>
      <w:sz w:val="30"/>
      <w:szCs w:val="30"/>
    </w:rPr>
  </w:style>
  <w:style w:type="paragraph" w:customStyle="1" w:styleId="254">
    <w:name w:val="Char Char1 Char Char Char Char Char Char"/>
    <w:basedOn w:val="1"/>
    <w:qFormat/>
    <w:uiPriority w:val="0"/>
    <w:pPr>
      <w:adjustRightInd w:val="0"/>
      <w:snapToGrid w:val="0"/>
      <w:spacing w:before="78" w:beforeLines="25" w:after="78" w:afterLines="25" w:line="240" w:lineRule="exact"/>
      <w:ind w:firstLine="560" w:firstLineChars="192"/>
    </w:pPr>
    <w:rPr>
      <w:rFonts w:ascii="宋体" w:hAnsi="宋体"/>
      <w:sz w:val="28"/>
      <w:szCs w:val="28"/>
      <w:lang w:eastAsia="en-US"/>
    </w:rPr>
  </w:style>
  <w:style w:type="paragraph" w:customStyle="1" w:styleId="255">
    <w:name w:val="Text"/>
    <w:qFormat/>
    <w:uiPriority w:val="0"/>
    <w:pPr>
      <w:spacing w:before="60" w:beforeLines="0" w:after="60" w:afterLines="0" w:line="260" w:lineRule="exact"/>
    </w:pPr>
    <w:rPr>
      <w:rFonts w:ascii="Verdana" w:hAnsi="Verdana" w:eastAsia="宋体" w:cs="Times New Roman"/>
      <w:color w:val="000000"/>
      <w:sz w:val="22"/>
      <w:szCs w:val="22"/>
      <w:lang w:val="en-US" w:eastAsia="en-US" w:bidi="ar-SA"/>
    </w:rPr>
  </w:style>
  <w:style w:type="paragraph" w:customStyle="1" w:styleId="256">
    <w:name w:val="汉议细等线简8"/>
    <w:qFormat/>
    <w:uiPriority w:val="0"/>
    <w:pPr>
      <w:widowControl w:val="0"/>
      <w:autoSpaceDE w:val="0"/>
      <w:autoSpaceDN w:val="0"/>
      <w:adjustRightInd w:val="0"/>
      <w:spacing w:after="200" w:afterLines="0" w:line="260" w:lineRule="atLeast"/>
      <w:jc w:val="both"/>
    </w:pPr>
    <w:rPr>
      <w:rFonts w:ascii="汉仪细等线简" w:hAnsi="Times New Roman" w:eastAsia="汉仪细等线简" w:cs="Times New Roman"/>
      <w:color w:val="000000"/>
      <w:sz w:val="16"/>
      <w:szCs w:val="16"/>
      <w:lang w:val="en-US" w:eastAsia="zh-CN" w:bidi="ar-SA"/>
    </w:rPr>
  </w:style>
  <w:style w:type="paragraph" w:customStyle="1" w:styleId="257">
    <w:name w:val="style1"/>
    <w:basedOn w:val="1"/>
    <w:qFormat/>
    <w:uiPriority w:val="0"/>
    <w:pPr>
      <w:spacing w:before="100" w:beforeLines="0" w:beforeAutospacing="1" w:after="100" w:afterLines="0" w:afterAutospacing="1"/>
    </w:pPr>
    <w:rPr>
      <w:rFonts w:ascii="Arial" w:hAnsi="Arial" w:cs="Arial"/>
      <w:sz w:val="24"/>
      <w:szCs w:val="24"/>
    </w:rPr>
  </w:style>
  <w:style w:type="paragraph" w:customStyle="1" w:styleId="258">
    <w:name w:val="pt14"/>
    <w:basedOn w:val="1"/>
    <w:qFormat/>
    <w:uiPriority w:val="0"/>
    <w:pPr>
      <w:spacing w:before="100" w:beforeLines="0" w:beforeAutospacing="1" w:after="100" w:afterLines="0" w:afterAutospacing="1"/>
    </w:pPr>
    <w:rPr>
      <w:rFonts w:ascii="宋体" w:hAnsi="宋体" w:cs="宋体"/>
      <w:sz w:val="24"/>
      <w:szCs w:val="24"/>
    </w:rPr>
  </w:style>
  <w:style w:type="paragraph" w:customStyle="1" w:styleId="259">
    <w:name w:val="pa-2"/>
    <w:basedOn w:val="1"/>
    <w:qFormat/>
    <w:uiPriority w:val="0"/>
    <w:pPr>
      <w:spacing w:line="280" w:lineRule="atLeast"/>
      <w:jc w:val="both"/>
    </w:pPr>
    <w:rPr>
      <w:rFonts w:ascii="宋体" w:hAnsi="宋体" w:cs="宋体"/>
      <w:sz w:val="24"/>
      <w:szCs w:val="24"/>
    </w:rPr>
  </w:style>
  <w:style w:type="paragraph" w:customStyle="1" w:styleId="260">
    <w:name w:val="样式 左 首行缩进:  1 字符1"/>
    <w:basedOn w:val="1"/>
    <w:qFormat/>
    <w:uiPriority w:val="0"/>
    <w:pPr>
      <w:widowControl w:val="0"/>
      <w:ind w:firstLine="240" w:firstLineChars="100"/>
    </w:pPr>
    <w:rPr>
      <w:rFonts w:cs="宋体"/>
      <w:kern w:val="2"/>
      <w:sz w:val="24"/>
    </w:rPr>
  </w:style>
  <w:style w:type="paragraph" w:customStyle="1" w:styleId="261">
    <w:name w:val="xl28"/>
    <w:basedOn w:val="1"/>
    <w:qFormat/>
    <w:uiPriority w:val="0"/>
    <w:pPr>
      <w:pBdr>
        <w:top w:val="single" w:color="auto" w:sz="4" w:space="0"/>
        <w:bottom w:val="single" w:color="auto" w:sz="4" w:space="0"/>
      </w:pBdr>
      <w:spacing w:before="100" w:beforeLines="0" w:beforeAutospacing="1" w:after="100" w:afterLines="0" w:afterAutospacing="1"/>
      <w:jc w:val="center"/>
      <w:textAlignment w:val="center"/>
    </w:pPr>
    <w:rPr>
      <w:rFonts w:ascii="Arial Unicode MS" w:hAnsi="Arial Unicode MS" w:eastAsia="Arial Unicode MS" w:cs="Arial Unicode MS"/>
      <w:sz w:val="24"/>
      <w:szCs w:val="24"/>
    </w:rPr>
  </w:style>
  <w:style w:type="paragraph" w:customStyle="1" w:styleId="262">
    <w:name w:val="样式 标题 2 + 段前: 0 磅 段后: 0 磅 行距: 单倍行距"/>
    <w:basedOn w:val="4"/>
    <w:qFormat/>
    <w:uiPriority w:val="0"/>
    <w:pPr>
      <w:spacing w:before="0" w:beforeLines="0" w:after="0" w:afterLines="0" w:line="240" w:lineRule="auto"/>
    </w:pPr>
    <w:rPr>
      <w:rFonts w:ascii="仿宋_GB2312" w:eastAsia="仿宋_GB2312" w:cs="宋体"/>
      <w:bCs w:val="0"/>
      <w:szCs w:val="32"/>
    </w:rPr>
  </w:style>
  <w:style w:type="paragraph" w:customStyle="1" w:styleId="263">
    <w:name w:val="正文（利国）"/>
    <w:basedOn w:val="1"/>
    <w:qFormat/>
    <w:uiPriority w:val="0"/>
    <w:pPr>
      <w:widowControl w:val="0"/>
      <w:ind w:firstLine="200" w:firstLineChars="200"/>
      <w:jc w:val="both"/>
    </w:pPr>
    <w:rPr>
      <w:rFonts w:ascii="宋体"/>
      <w:kern w:val="2"/>
      <w:szCs w:val="24"/>
    </w:rPr>
  </w:style>
  <w:style w:type="paragraph" w:customStyle="1" w:styleId="264">
    <w:name w:val="contentlabel"/>
    <w:basedOn w:val="1"/>
    <w:qFormat/>
    <w:uiPriority w:val="0"/>
    <w:pPr>
      <w:spacing w:before="100" w:beforeLines="0" w:beforeAutospacing="1" w:after="100" w:afterLines="0" w:afterAutospacing="1"/>
    </w:pPr>
    <w:rPr>
      <w:rFonts w:ascii="宋体" w:hAnsi="宋体" w:cs="宋体"/>
      <w:sz w:val="24"/>
      <w:szCs w:val="24"/>
    </w:rPr>
  </w:style>
  <w:style w:type="paragraph" w:customStyle="1" w:styleId="265">
    <w:name w:val="样式 小四 首行缩进:  1 字符"/>
    <w:basedOn w:val="1"/>
    <w:qFormat/>
    <w:uiPriority w:val="0"/>
    <w:pPr>
      <w:widowControl w:val="0"/>
      <w:ind w:firstLine="240" w:firstLineChars="100"/>
      <w:jc w:val="both"/>
    </w:pPr>
    <w:rPr>
      <w:rFonts w:cs="宋体"/>
      <w:kern w:val="2"/>
      <w:sz w:val="24"/>
    </w:rPr>
  </w:style>
  <w:style w:type="paragraph" w:customStyle="1" w:styleId="266">
    <w:name w:val="缺省文本"/>
    <w:basedOn w:val="1"/>
    <w:qFormat/>
    <w:uiPriority w:val="0"/>
    <w:pPr>
      <w:widowControl w:val="0"/>
      <w:jc w:val="both"/>
    </w:pPr>
    <w:rPr>
      <w:rFonts w:eastAsia="楷体_GB2312"/>
      <w:sz w:val="24"/>
    </w:rPr>
  </w:style>
  <w:style w:type="paragraph" w:customStyle="1" w:styleId="267">
    <w:name w:val="para"/>
    <w:basedOn w:val="1"/>
    <w:qFormat/>
    <w:uiPriority w:val="0"/>
    <w:pPr>
      <w:spacing w:before="100" w:beforeLines="0" w:beforeAutospacing="1" w:after="100" w:afterLines="0" w:afterAutospacing="1"/>
    </w:pPr>
    <w:rPr>
      <w:rFonts w:ascii="Arial" w:hAnsi="Arial" w:cs="Arial"/>
      <w:sz w:val="18"/>
      <w:szCs w:val="18"/>
    </w:rPr>
  </w:style>
  <w:style w:type="paragraph" w:customStyle="1" w:styleId="268">
    <w:name w:val="Heading 3"/>
    <w:basedOn w:val="106"/>
    <w:next w:val="106"/>
    <w:qFormat/>
    <w:uiPriority w:val="0"/>
    <w:rPr>
      <w:rFonts w:ascii="Arial,BoldItalic" w:hAnsi="Arial,BoldItalic"/>
      <w:sz w:val="24"/>
      <w:szCs w:val="24"/>
    </w:rPr>
  </w:style>
  <w:style w:type="paragraph" w:customStyle="1" w:styleId="269">
    <w:name w:val="缺省文本:1"/>
    <w:basedOn w:val="1"/>
    <w:qFormat/>
    <w:uiPriority w:val="0"/>
    <w:pPr>
      <w:widowControl w:val="0"/>
      <w:autoSpaceDE w:val="0"/>
      <w:autoSpaceDN w:val="0"/>
      <w:adjustRightInd w:val="0"/>
    </w:pPr>
    <w:rPr>
      <w:rFonts w:ascii="宋体"/>
      <w:sz w:val="24"/>
    </w:rPr>
  </w:style>
  <w:style w:type="paragraph" w:customStyle="1" w:styleId="270">
    <w:name w:val="SideBar"/>
    <w:basedOn w:val="1"/>
    <w:qFormat/>
    <w:uiPriority w:val="0"/>
    <w:pPr>
      <w:spacing w:before="120" w:beforeLines="0"/>
    </w:pPr>
    <w:rPr>
      <w:rFonts w:ascii="New Century Schlbk" w:hAnsi="New Century Schlbk"/>
      <w:sz w:val="22"/>
    </w:rPr>
  </w:style>
  <w:style w:type="paragraph" w:customStyle="1" w:styleId="271">
    <w:name w:val="Heading 2"/>
    <w:basedOn w:val="106"/>
    <w:next w:val="106"/>
    <w:qFormat/>
    <w:uiPriority w:val="0"/>
    <w:rPr>
      <w:rFonts w:ascii="Arial,BoldItalic" w:hAnsi="Arial,BoldItalic"/>
      <w:sz w:val="24"/>
      <w:szCs w:val="24"/>
    </w:rPr>
  </w:style>
  <w:style w:type="paragraph" w:customStyle="1" w:styleId="272">
    <w:name w:val="mmm1"/>
    <w:basedOn w:val="1"/>
    <w:qFormat/>
    <w:uiPriority w:val="0"/>
    <w:pPr>
      <w:spacing w:before="100" w:beforeLines="0" w:beforeAutospacing="1" w:after="100" w:afterLines="0" w:afterAutospacing="1" w:line="240" w:lineRule="atLeast"/>
    </w:pPr>
    <w:rPr>
      <w:rFonts w:ascii="宋体" w:hAnsi="宋体" w:cs="宋体"/>
      <w:sz w:val="18"/>
      <w:szCs w:val="18"/>
    </w:rPr>
  </w:style>
  <w:style w:type="paragraph" w:customStyle="1" w:styleId="273">
    <w:name w:val="xl53"/>
    <w:basedOn w:val="1"/>
    <w:qFormat/>
    <w:uiPriority w:val="0"/>
    <w:pPr>
      <w:pBdr>
        <w:left w:val="single" w:color="auto" w:sz="4" w:space="0"/>
        <w:bottom w:val="single" w:color="auto" w:sz="4" w:space="0"/>
      </w:pBdr>
      <w:spacing w:before="100" w:beforeLines="0" w:beforeAutospacing="1" w:after="100" w:afterLines="0" w:afterAutospacing="1"/>
      <w:jc w:val="center"/>
      <w:textAlignment w:val="center"/>
    </w:pPr>
    <w:rPr>
      <w:rFonts w:ascii="宋体" w:hAnsi="宋体"/>
      <w:sz w:val="24"/>
      <w:szCs w:val="24"/>
    </w:rPr>
  </w:style>
  <w:style w:type="paragraph" w:customStyle="1" w:styleId="274">
    <w:name w:val="MPara-4th Line"/>
    <w:basedOn w:val="1"/>
    <w:qFormat/>
    <w:uiPriority w:val="0"/>
    <w:pPr>
      <w:widowControl w:val="0"/>
      <w:tabs>
        <w:tab w:val="left" w:pos="-1440"/>
        <w:tab w:val="left" w:pos="-720"/>
        <w:tab w:val="left" w:pos="284"/>
        <w:tab w:val="left" w:pos="709"/>
        <w:tab w:val="left" w:pos="1080"/>
        <w:tab w:val="left" w:pos="1440"/>
        <w:tab w:val="left" w:pos="1800"/>
        <w:tab w:val="left" w:pos="2127"/>
        <w:tab w:val="left" w:pos="2552"/>
        <w:tab w:val="left" w:pos="2880"/>
        <w:tab w:val="left" w:pos="3240"/>
        <w:tab w:val="left" w:pos="3600"/>
        <w:tab w:val="left" w:pos="3960"/>
        <w:tab w:val="left" w:pos="4320"/>
        <w:tab w:val="left" w:pos="4678"/>
        <w:tab w:val="left" w:pos="5040"/>
        <w:tab w:val="left" w:pos="5400"/>
        <w:tab w:val="left" w:pos="5760"/>
      </w:tabs>
      <w:ind w:left="2410" w:right="1418" w:hanging="2410"/>
      <w:jc w:val="both"/>
    </w:pPr>
    <w:rPr>
      <w:rFonts w:ascii="CG Times" w:hAnsi="CG Times"/>
      <w:sz w:val="22"/>
      <w:lang w:eastAsia="en-US"/>
    </w:rPr>
  </w:style>
  <w:style w:type="paragraph" w:customStyle="1" w:styleId="275">
    <w:name w:val="È±Ê¡ÎÄ±¾"/>
    <w:basedOn w:val="1"/>
    <w:qFormat/>
    <w:uiPriority w:val="0"/>
    <w:pPr>
      <w:overflowPunct w:val="0"/>
      <w:autoSpaceDE w:val="0"/>
      <w:autoSpaceDN w:val="0"/>
      <w:adjustRightInd w:val="0"/>
      <w:spacing w:line="360" w:lineRule="auto"/>
      <w:jc w:val="both"/>
      <w:textAlignment w:val="baseline"/>
    </w:pPr>
  </w:style>
  <w:style w:type="paragraph" w:customStyle="1" w:styleId="276">
    <w:name w:val="pa-41"/>
    <w:basedOn w:val="1"/>
    <w:qFormat/>
    <w:uiPriority w:val="0"/>
    <w:pPr>
      <w:spacing w:line="280" w:lineRule="atLeast"/>
      <w:ind w:firstLine="360"/>
    </w:pPr>
    <w:rPr>
      <w:rFonts w:ascii="宋体" w:hAnsi="宋体" w:cs="宋体"/>
      <w:sz w:val="24"/>
      <w:szCs w:val="24"/>
    </w:rPr>
  </w:style>
  <w:style w:type="character" w:customStyle="1" w:styleId="277">
    <w:name w:val=" Char Char16"/>
    <w:link w:val="2"/>
    <w:qFormat/>
    <w:uiPriority w:val="0"/>
    <w:rPr>
      <w:rFonts w:ascii="宋体" w:eastAsia="宋体"/>
      <w:sz w:val="21"/>
      <w:lang w:val="en-US" w:eastAsia="zh-CN" w:bidi="ar-SA"/>
    </w:rPr>
  </w:style>
  <w:style w:type="character" w:customStyle="1" w:styleId="278">
    <w:name w:val=" Char Char26"/>
    <w:link w:val="3"/>
    <w:qFormat/>
    <w:uiPriority w:val="9"/>
    <w:rPr>
      <w:rFonts w:ascii="Cambria" w:hAnsi="Cambria" w:eastAsia="宋体" w:cs="Times New Roman"/>
      <w:b/>
      <w:bCs/>
      <w:kern w:val="32"/>
      <w:sz w:val="32"/>
      <w:szCs w:val="32"/>
    </w:rPr>
  </w:style>
  <w:style w:type="character" w:customStyle="1" w:styleId="279">
    <w:name w:val=" Char Char25"/>
    <w:link w:val="4"/>
    <w:qFormat/>
    <w:uiPriority w:val="9"/>
    <w:rPr>
      <w:rFonts w:ascii="Cambria" w:hAnsi="Cambria" w:eastAsia="宋体" w:cs="Times New Roman"/>
      <w:b/>
      <w:bCs/>
      <w:i/>
      <w:iCs/>
      <w:sz w:val="28"/>
      <w:szCs w:val="28"/>
    </w:rPr>
  </w:style>
  <w:style w:type="character" w:customStyle="1" w:styleId="280">
    <w:name w:val=" Char Char24"/>
    <w:link w:val="5"/>
    <w:qFormat/>
    <w:uiPriority w:val="9"/>
    <w:rPr>
      <w:rFonts w:ascii="Cambria" w:hAnsi="Cambria" w:eastAsia="宋体" w:cs="Times New Roman"/>
      <w:b/>
      <w:bCs/>
      <w:sz w:val="26"/>
      <w:szCs w:val="26"/>
    </w:rPr>
  </w:style>
  <w:style w:type="character" w:customStyle="1" w:styleId="281">
    <w:name w:val=" Char Char23"/>
    <w:link w:val="6"/>
    <w:qFormat/>
    <w:uiPriority w:val="9"/>
    <w:rPr>
      <w:rFonts w:cs="Times New Roman"/>
      <w:b/>
      <w:bCs/>
      <w:sz w:val="28"/>
      <w:szCs w:val="28"/>
    </w:rPr>
  </w:style>
  <w:style w:type="character" w:customStyle="1" w:styleId="282">
    <w:name w:val=" Char Char22"/>
    <w:link w:val="7"/>
    <w:qFormat/>
    <w:uiPriority w:val="9"/>
    <w:rPr>
      <w:rFonts w:cs="Times New Roman"/>
      <w:b/>
      <w:bCs/>
      <w:i/>
      <w:iCs/>
      <w:sz w:val="26"/>
      <w:szCs w:val="26"/>
    </w:rPr>
  </w:style>
  <w:style w:type="character" w:customStyle="1" w:styleId="283">
    <w:name w:val=" Char Char20"/>
    <w:link w:val="8"/>
    <w:qFormat/>
    <w:uiPriority w:val="9"/>
    <w:rPr>
      <w:rFonts w:cs="Times New Roman"/>
      <w:b/>
      <w:bCs/>
    </w:rPr>
  </w:style>
  <w:style w:type="character" w:customStyle="1" w:styleId="284">
    <w:name w:val=" Char Char19"/>
    <w:link w:val="9"/>
    <w:qFormat/>
    <w:uiPriority w:val="9"/>
    <w:rPr>
      <w:rFonts w:cs="Times New Roman"/>
      <w:sz w:val="24"/>
      <w:szCs w:val="24"/>
    </w:rPr>
  </w:style>
  <w:style w:type="character" w:customStyle="1" w:styleId="285">
    <w:name w:val=" Char Char18"/>
    <w:link w:val="10"/>
    <w:qFormat/>
    <w:uiPriority w:val="9"/>
    <w:rPr>
      <w:rFonts w:cs="Times New Roman"/>
      <w:i/>
      <w:iCs/>
      <w:sz w:val="24"/>
      <w:szCs w:val="24"/>
    </w:rPr>
  </w:style>
  <w:style w:type="character" w:customStyle="1" w:styleId="286">
    <w:name w:val=" Char Char17"/>
    <w:link w:val="11"/>
    <w:qFormat/>
    <w:uiPriority w:val="9"/>
    <w:rPr>
      <w:rFonts w:ascii="Cambria" w:hAnsi="Cambria" w:eastAsia="宋体" w:cs="Times New Roman"/>
    </w:rPr>
  </w:style>
  <w:style w:type="character" w:customStyle="1" w:styleId="287">
    <w:name w:val=" Char Char15"/>
    <w:link w:val="15"/>
    <w:semiHidden/>
    <w:qFormat/>
    <w:locked/>
    <w:uiPriority w:val="0"/>
    <w:rPr>
      <w:rFonts w:eastAsia="宋体"/>
      <w:sz w:val="24"/>
      <w:szCs w:val="24"/>
      <w:lang w:val="en-US" w:eastAsia="en-US" w:bidi="en-US"/>
    </w:rPr>
  </w:style>
  <w:style w:type="character" w:customStyle="1" w:styleId="288">
    <w:name w:val=" Char Char14"/>
    <w:link w:val="16"/>
    <w:qFormat/>
    <w:uiPriority w:val="0"/>
    <w:rPr>
      <w:sz w:val="21"/>
    </w:rPr>
  </w:style>
  <w:style w:type="character" w:customStyle="1" w:styleId="289">
    <w:name w:val=" Char Char13"/>
    <w:link w:val="20"/>
    <w:qFormat/>
    <w:uiPriority w:val="0"/>
    <w:rPr>
      <w:rFonts w:eastAsia="宋体"/>
      <w:sz w:val="24"/>
      <w:szCs w:val="24"/>
      <w:lang w:val="en-US" w:eastAsia="en-US" w:bidi="en-US"/>
    </w:rPr>
  </w:style>
  <w:style w:type="character" w:customStyle="1" w:styleId="290">
    <w:name w:val=" Char Char11"/>
    <w:link w:val="21"/>
    <w:qFormat/>
    <w:uiPriority w:val="0"/>
    <w:rPr>
      <w:rFonts w:eastAsia="宋体"/>
      <w:sz w:val="21"/>
      <w:lang w:val="en-US" w:eastAsia="zh-CN" w:bidi="ar-SA"/>
    </w:rPr>
  </w:style>
  <w:style w:type="character" w:customStyle="1" w:styleId="291">
    <w:name w:val=" Char Char10"/>
    <w:link w:val="28"/>
    <w:qFormat/>
    <w:uiPriority w:val="0"/>
    <w:rPr>
      <w:rFonts w:ascii="宋体" w:hAnsi="Courier New" w:eastAsia="宋体"/>
      <w:spacing w:val="-8"/>
      <w:kern w:val="2"/>
      <w:sz w:val="24"/>
      <w:lang w:val="en-US" w:eastAsia="zh-CN" w:bidi="ar-SA"/>
    </w:rPr>
  </w:style>
  <w:style w:type="character" w:customStyle="1" w:styleId="292">
    <w:name w:val=" Char Char9"/>
    <w:link w:val="32"/>
    <w:semiHidden/>
    <w:qFormat/>
    <w:uiPriority w:val="0"/>
    <w:rPr>
      <w:rFonts w:eastAsia="宋体"/>
      <w:kern w:val="2"/>
      <w:sz w:val="18"/>
      <w:szCs w:val="24"/>
      <w:lang w:val="en-US" w:eastAsia="en-US" w:bidi="en-US"/>
    </w:rPr>
  </w:style>
  <w:style w:type="character" w:customStyle="1" w:styleId="293">
    <w:name w:val=" Char Char6"/>
    <w:link w:val="33"/>
    <w:qFormat/>
    <w:uiPriority w:val="0"/>
    <w:rPr>
      <w:rFonts w:ascii="宋体" w:eastAsia="宋体"/>
      <w:sz w:val="18"/>
      <w:lang w:val="en-US" w:eastAsia="zh-CN" w:bidi="ar-SA"/>
    </w:rPr>
  </w:style>
  <w:style w:type="character" w:customStyle="1" w:styleId="294">
    <w:name w:val=" Char Char5"/>
    <w:link w:val="34"/>
    <w:qFormat/>
    <w:uiPriority w:val="0"/>
    <w:rPr>
      <w:rFonts w:ascii="宋体" w:eastAsia="宋体"/>
      <w:sz w:val="18"/>
      <w:lang w:val="en-US" w:eastAsia="zh-CN" w:bidi="ar-SA"/>
    </w:rPr>
  </w:style>
  <w:style w:type="character" w:customStyle="1" w:styleId="295">
    <w:name w:val=" Char Char4"/>
    <w:link w:val="37"/>
    <w:qFormat/>
    <w:uiPriority w:val="11"/>
    <w:rPr>
      <w:rFonts w:ascii="Cambria" w:hAnsi="Cambria" w:eastAsia="宋体" w:cs="Times New Roman"/>
      <w:sz w:val="24"/>
      <w:szCs w:val="24"/>
    </w:rPr>
  </w:style>
  <w:style w:type="character" w:customStyle="1" w:styleId="296">
    <w:name w:val=" Char Char2"/>
    <w:link w:val="48"/>
    <w:qFormat/>
    <w:uiPriority w:val="10"/>
    <w:rPr>
      <w:rFonts w:ascii="Cambria" w:hAnsi="Cambria" w:eastAsia="宋体" w:cs="Times New Roman"/>
      <w:b/>
      <w:bCs/>
      <w:kern w:val="28"/>
      <w:sz w:val="32"/>
      <w:szCs w:val="32"/>
    </w:rPr>
  </w:style>
  <w:style w:type="character" w:customStyle="1" w:styleId="297">
    <w:name w:val=" Char Char"/>
    <w:link w:val="49"/>
    <w:qFormat/>
    <w:uiPriority w:val="0"/>
    <w:rPr>
      <w:b/>
      <w:bCs/>
      <w:sz w:val="21"/>
    </w:rPr>
  </w:style>
  <w:style w:type="character" w:customStyle="1" w:styleId="298">
    <w:name w:val="ca-141"/>
    <w:qFormat/>
    <w:uiPriority w:val="0"/>
    <w:rPr>
      <w:rFonts w:hint="eastAsia" w:ascii="宋体" w:hAnsi="宋体" w:eastAsia="宋体"/>
      <w:sz w:val="24"/>
      <w:szCs w:val="24"/>
    </w:rPr>
  </w:style>
  <w:style w:type="character" w:customStyle="1" w:styleId="299">
    <w:name w:val="不明显强调"/>
    <w:qFormat/>
    <w:uiPriority w:val="19"/>
    <w:rPr>
      <w:i/>
      <w:color w:val="5A5A5A"/>
    </w:rPr>
  </w:style>
  <w:style w:type="character" w:customStyle="1" w:styleId="300">
    <w:name w:val="ca-71"/>
    <w:qFormat/>
    <w:uiPriority w:val="0"/>
    <w:rPr>
      <w:rFonts w:hint="eastAsia" w:ascii="宋体" w:hAnsi="宋体" w:eastAsia="宋体"/>
      <w:sz w:val="21"/>
      <w:szCs w:val="21"/>
    </w:rPr>
  </w:style>
  <w:style w:type="character" w:customStyle="1" w:styleId="301">
    <w:name w:val="bold gray"/>
    <w:qFormat/>
    <w:uiPriority w:val="0"/>
  </w:style>
  <w:style w:type="character" w:customStyle="1" w:styleId="302">
    <w:name w:val="ca-110"/>
    <w:qFormat/>
    <w:uiPriority w:val="0"/>
    <w:rPr>
      <w:rFonts w:hint="eastAsia" w:ascii="宋体" w:hAnsi="宋体" w:eastAsia="宋体"/>
      <w:b/>
      <w:bCs/>
      <w:spacing w:val="-20"/>
      <w:sz w:val="21"/>
      <w:szCs w:val="21"/>
    </w:rPr>
  </w:style>
  <w:style w:type="character" w:customStyle="1" w:styleId="303">
    <w:name w:val="纯文本 Char Char"/>
    <w:qFormat/>
    <w:uiPriority w:val="0"/>
    <w:rPr>
      <w:rFonts w:ascii="宋体" w:hAnsi="Courier New" w:eastAsia="宋体"/>
      <w:spacing w:val="-8"/>
      <w:kern w:val="2"/>
      <w:sz w:val="24"/>
      <w:lang w:val="en-US" w:eastAsia="zh-CN" w:bidi="ar-SA"/>
    </w:rPr>
  </w:style>
  <w:style w:type="character" w:customStyle="1" w:styleId="304">
    <w:name w:val="ca-131"/>
    <w:qFormat/>
    <w:uiPriority w:val="0"/>
    <w:rPr>
      <w:rFonts w:hint="eastAsia" w:ascii="宋体" w:hAnsi="宋体" w:eastAsia="宋体"/>
      <w:b/>
      <w:bCs/>
      <w:color w:val="000000"/>
      <w:spacing w:val="-20"/>
      <w:sz w:val="24"/>
      <w:szCs w:val="24"/>
    </w:rPr>
  </w:style>
  <w:style w:type="character" w:customStyle="1" w:styleId="305">
    <w:name w:val="style3"/>
    <w:qFormat/>
    <w:uiPriority w:val="0"/>
  </w:style>
  <w:style w:type="character" w:customStyle="1" w:styleId="306">
    <w:name w:val="zjaf12"/>
    <w:qFormat/>
    <w:uiPriority w:val="0"/>
  </w:style>
  <w:style w:type="character" w:customStyle="1" w:styleId="307">
    <w:name w:val="标题 1 Char"/>
    <w:qFormat/>
    <w:locked/>
    <w:uiPriority w:val="0"/>
    <w:rPr>
      <w:b/>
      <w:bCs/>
      <w:kern w:val="44"/>
      <w:sz w:val="44"/>
      <w:szCs w:val="44"/>
    </w:rPr>
  </w:style>
  <w:style w:type="character" w:customStyle="1" w:styleId="308">
    <w:name w:val="bord"/>
    <w:qFormat/>
    <w:uiPriority w:val="0"/>
  </w:style>
  <w:style w:type="character" w:customStyle="1" w:styleId="309">
    <w:name w:val="spelle"/>
    <w:qFormat/>
    <w:uiPriority w:val="0"/>
  </w:style>
  <w:style w:type="character" w:customStyle="1" w:styleId="310">
    <w:name w:val="Emphasis"/>
    <w:qFormat/>
    <w:uiPriority w:val="0"/>
    <w:rPr>
      <w:rFonts w:ascii="Arial Black" w:hAnsi="Arial Black" w:eastAsia="宋体"/>
      <w:sz w:val="18"/>
    </w:rPr>
  </w:style>
  <w:style w:type="character" w:customStyle="1" w:styleId="311">
    <w:name w:val="tit"/>
    <w:qFormat/>
    <w:uiPriority w:val="0"/>
  </w:style>
  <w:style w:type="character" w:customStyle="1" w:styleId="312">
    <w:name w:val="明显引用 Char"/>
    <w:link w:val="61"/>
    <w:qFormat/>
    <w:uiPriority w:val="30"/>
    <w:rPr>
      <w:b/>
      <w:i/>
      <w:sz w:val="24"/>
    </w:rPr>
  </w:style>
  <w:style w:type="character" w:customStyle="1" w:styleId="313">
    <w:name w:val="Heading 2 Hidden Char"/>
    <w:qFormat/>
    <w:uiPriority w:val="0"/>
    <w:rPr>
      <w:rFonts w:ascii="Arial" w:hAnsi="Arial" w:eastAsia="黑体"/>
      <w:b/>
      <w:kern w:val="2"/>
      <w:sz w:val="32"/>
      <w:lang w:val="en-US" w:eastAsia="zh-CN"/>
    </w:rPr>
  </w:style>
  <w:style w:type="character" w:customStyle="1" w:styleId="314">
    <w:name w:val="正文首行缩进 Char"/>
    <w:link w:val="62"/>
    <w:qFormat/>
    <w:uiPriority w:val="0"/>
    <w:rPr>
      <w:szCs w:val="24"/>
      <w:lang w:bidi="ar-SA"/>
    </w:rPr>
  </w:style>
  <w:style w:type="character" w:customStyle="1" w:styleId="315">
    <w:name w:val="正文缩进 Char"/>
    <w:qFormat/>
    <w:uiPriority w:val="0"/>
    <w:rPr>
      <w:kern w:val="2"/>
      <w:sz w:val="24"/>
    </w:rPr>
  </w:style>
  <w:style w:type="character" w:customStyle="1" w:styleId="316">
    <w:name w:val="段 Char"/>
    <w:link w:val="63"/>
    <w:qFormat/>
    <w:uiPriority w:val="0"/>
    <w:rPr>
      <w:rFonts w:ascii="宋体"/>
      <w:sz w:val="21"/>
      <w:szCs w:val="22"/>
      <w:lang w:val="en-US" w:eastAsia="zh-CN" w:bidi="ar-SA"/>
    </w:rPr>
  </w:style>
  <w:style w:type="character" w:customStyle="1" w:styleId="317">
    <w:name w:val="样式 宋体 小四"/>
    <w:qFormat/>
    <w:uiPriority w:val="0"/>
    <w:rPr>
      <w:rFonts w:ascii="宋体" w:hAnsi="宋体"/>
      <w:sz w:val="24"/>
    </w:rPr>
  </w:style>
  <w:style w:type="character" w:customStyle="1" w:styleId="318">
    <w:name w:val="纯文本 Char"/>
    <w:qFormat/>
    <w:uiPriority w:val="0"/>
    <w:rPr>
      <w:rFonts w:ascii="宋体" w:hAnsi="Courier New"/>
      <w:kern w:val="2"/>
      <w:sz w:val="21"/>
      <w:szCs w:val="22"/>
    </w:rPr>
  </w:style>
  <w:style w:type="character" w:customStyle="1" w:styleId="319">
    <w:name w:val="style1091"/>
    <w:qFormat/>
    <w:uiPriority w:val="0"/>
    <w:rPr>
      <w:sz w:val="22"/>
      <w:szCs w:val="22"/>
    </w:rPr>
  </w:style>
  <w:style w:type="character" w:customStyle="1" w:styleId="320">
    <w:name w:val="font01"/>
    <w:qFormat/>
    <w:uiPriority w:val="0"/>
    <w:rPr>
      <w:rFonts w:ascii="微软雅黑" w:hAnsi="微软雅黑" w:eastAsia="微软雅黑" w:cs="微软雅黑"/>
      <w:color w:val="000000"/>
      <w:sz w:val="21"/>
      <w:szCs w:val="21"/>
      <w:u w:val="none"/>
    </w:rPr>
  </w:style>
  <w:style w:type="character" w:customStyle="1" w:styleId="321">
    <w:name w:val="search_content1"/>
    <w:qFormat/>
    <w:uiPriority w:val="0"/>
    <w:rPr>
      <w:sz w:val="16"/>
      <w:szCs w:val="16"/>
    </w:rPr>
  </w:style>
  <w:style w:type="character" w:customStyle="1" w:styleId="322">
    <w:name w:val="contentlabel1"/>
    <w:qFormat/>
    <w:uiPriority w:val="0"/>
    <w:rPr>
      <w:color w:val="336666"/>
      <w:sz w:val="18"/>
      <w:szCs w:val="18"/>
      <w:u w:val="none"/>
    </w:rPr>
  </w:style>
  <w:style w:type="character" w:customStyle="1" w:styleId="323">
    <w:name w:val="3zw1"/>
    <w:qFormat/>
    <w:uiPriority w:val="0"/>
    <w:rPr>
      <w:color w:val="000000"/>
      <w:sz w:val="21"/>
      <w:szCs w:val="21"/>
    </w:rPr>
  </w:style>
  <w:style w:type="character" w:customStyle="1" w:styleId="324">
    <w:name w:val="content1"/>
    <w:qFormat/>
    <w:uiPriority w:val="0"/>
    <w:rPr>
      <w:sz w:val="18"/>
      <w:szCs w:val="18"/>
    </w:rPr>
  </w:style>
  <w:style w:type="character" w:customStyle="1" w:styleId="325">
    <w:name w:val="font61"/>
    <w:qFormat/>
    <w:uiPriority w:val="0"/>
    <w:rPr>
      <w:rFonts w:hint="default" w:ascii="Times New Roman" w:hAnsi="Times New Roman" w:cs="Times New Roman"/>
      <w:b/>
      <w:bCs/>
      <w:color w:val="000000"/>
      <w:sz w:val="21"/>
      <w:szCs w:val="21"/>
      <w:u w:val="none"/>
    </w:rPr>
  </w:style>
  <w:style w:type="character" w:customStyle="1" w:styleId="326">
    <w:name w:val="样式2 Char"/>
    <w:link w:val="64"/>
    <w:qFormat/>
    <w:locked/>
    <w:uiPriority w:val="0"/>
    <w:rPr>
      <w:rFonts w:eastAsia="宋体"/>
      <w:sz w:val="28"/>
      <w:szCs w:val="24"/>
      <w:lang w:val="en-US" w:eastAsia="en-US" w:bidi="en-US"/>
    </w:rPr>
  </w:style>
  <w:style w:type="character" w:customStyle="1" w:styleId="327">
    <w:name w:val="apple-style-span"/>
    <w:qFormat/>
    <w:uiPriority w:val="0"/>
  </w:style>
  <w:style w:type="character" w:customStyle="1" w:styleId="328">
    <w:name w:val="t"/>
    <w:qFormat/>
    <w:uiPriority w:val="0"/>
  </w:style>
  <w:style w:type="character" w:customStyle="1" w:styleId="329">
    <w:name w:val="style1041"/>
    <w:qFormat/>
    <w:uiPriority w:val="0"/>
    <w:rPr>
      <w:color w:val="FFFFFF"/>
    </w:rPr>
  </w:style>
  <w:style w:type="character" w:customStyle="1" w:styleId="330">
    <w:name w:val="z-窗体顶端 Char"/>
    <w:link w:val="65"/>
    <w:qFormat/>
    <w:locked/>
    <w:uiPriority w:val="0"/>
    <w:rPr>
      <w:rFonts w:eastAsia="宋体"/>
      <w:lang w:bidi="ar-SA"/>
    </w:rPr>
  </w:style>
  <w:style w:type="character" w:customStyle="1" w:styleId="331">
    <w:name w:val=" Char Char12"/>
    <w:qFormat/>
    <w:uiPriority w:val="0"/>
    <w:rPr>
      <w:rFonts w:eastAsia="宋体"/>
      <w:b/>
      <w:kern w:val="2"/>
      <w:sz w:val="32"/>
      <w:lang w:val="en-US" w:eastAsia="zh-CN" w:bidi="ar-SA"/>
    </w:rPr>
  </w:style>
  <w:style w:type="character" w:customStyle="1" w:styleId="332">
    <w:name w:val="ca-181"/>
    <w:qFormat/>
    <w:uiPriority w:val="0"/>
    <w:rPr>
      <w:rFonts w:hint="eastAsia" w:ascii="宋体" w:hAnsi="宋体" w:eastAsia="宋体"/>
      <w:b/>
      <w:bCs/>
      <w:spacing w:val="-20"/>
      <w:sz w:val="24"/>
      <w:szCs w:val="24"/>
    </w:rPr>
  </w:style>
  <w:style w:type="character" w:customStyle="1" w:styleId="333">
    <w:name w:val="font21"/>
    <w:qFormat/>
    <w:uiPriority w:val="0"/>
    <w:rPr>
      <w:rFonts w:hint="eastAsia" w:ascii="宋体" w:hAnsi="宋体" w:eastAsia="宋体" w:cs="宋体"/>
      <w:b/>
      <w:bCs/>
      <w:color w:val="000000"/>
      <w:sz w:val="21"/>
      <w:szCs w:val="21"/>
      <w:u w:val="none"/>
    </w:rPr>
  </w:style>
  <w:style w:type="character" w:customStyle="1" w:styleId="334">
    <w:name w:val="linkhead"/>
    <w:qFormat/>
    <w:uiPriority w:val="0"/>
  </w:style>
  <w:style w:type="character" w:customStyle="1" w:styleId="335">
    <w:name w:val=" Char Char8"/>
    <w:qFormat/>
    <w:uiPriority w:val="0"/>
    <w:rPr>
      <w:rFonts w:ascii="宋体" w:eastAsia="宋体"/>
      <w:sz w:val="18"/>
      <w:lang w:val="en-US" w:eastAsia="zh-CN" w:bidi="ar-SA"/>
    </w:rPr>
  </w:style>
  <w:style w:type="character" w:customStyle="1" w:styleId="336">
    <w:name w:val="页脚 Char"/>
    <w:qFormat/>
    <w:uiPriority w:val="0"/>
    <w:rPr>
      <w:rFonts w:ascii="宋体" w:eastAsia="宋体"/>
      <w:sz w:val="18"/>
      <w:lang w:val="en-US" w:eastAsia="zh-CN" w:bidi="ar-SA"/>
    </w:rPr>
  </w:style>
  <w:style w:type="character" w:customStyle="1" w:styleId="337">
    <w:name w:val=" Char Char7"/>
    <w:qFormat/>
    <w:uiPriority w:val="0"/>
    <w:rPr>
      <w:rFonts w:ascii="宋体" w:eastAsia="宋体"/>
      <w:sz w:val="18"/>
      <w:lang w:val="en-US" w:eastAsia="zh-CN" w:bidi="ar-SA"/>
    </w:rPr>
  </w:style>
  <w:style w:type="character" w:customStyle="1" w:styleId="338">
    <w:name w:val="模板正文 Char Char"/>
    <w:link w:val="66"/>
    <w:qFormat/>
    <w:uiPriority w:val="0"/>
    <w:rPr>
      <w:rFonts w:ascii="Calibri" w:hAnsi="Calibri" w:eastAsia="宋体"/>
      <w:sz w:val="24"/>
      <w:szCs w:val="24"/>
      <w:lang w:val="en-US" w:eastAsia="zh-CN" w:bidi="en-US"/>
    </w:rPr>
  </w:style>
  <w:style w:type="character" w:customStyle="1" w:styleId="339">
    <w:name w:val="style1031"/>
    <w:qFormat/>
    <w:uiPriority w:val="0"/>
    <w:rPr>
      <w:rFonts w:hint="default" w:ascii="Arial" w:hAnsi="Arial" w:cs="Arial"/>
    </w:rPr>
  </w:style>
  <w:style w:type="character" w:customStyle="1" w:styleId="340">
    <w:name w:val="标题 3 Char1"/>
    <w:qFormat/>
    <w:uiPriority w:val="0"/>
    <w:rPr>
      <w:rFonts w:eastAsia="宋体"/>
      <w:b/>
      <w:kern w:val="2"/>
      <w:sz w:val="32"/>
      <w:lang w:val="en-US" w:eastAsia="zh-CN" w:bidi="ar-SA"/>
    </w:rPr>
  </w:style>
  <w:style w:type="character" w:customStyle="1" w:styleId="341">
    <w:name w:val="样式 样式 标书正文 + 首行缩进:  0.01 字符 + 首行缩进:  0.01 字符 Char Char"/>
    <w:link w:val="67"/>
    <w:qFormat/>
    <w:uiPriority w:val="0"/>
    <w:rPr>
      <w:rFonts w:ascii="宋体" w:hAnsi="宋体" w:eastAsia="宋体" w:cs="宋体"/>
      <w:kern w:val="2"/>
      <w:sz w:val="28"/>
      <w:lang w:val="en-US" w:eastAsia="zh-CN" w:bidi="ar-SA"/>
    </w:rPr>
  </w:style>
  <w:style w:type="character" w:customStyle="1" w:styleId="342">
    <w:name w:val="contentheaderrev"/>
    <w:qFormat/>
    <w:uiPriority w:val="0"/>
  </w:style>
  <w:style w:type="character" w:customStyle="1" w:styleId="343">
    <w:name w:val="Message Header Label"/>
    <w:qFormat/>
    <w:uiPriority w:val="0"/>
    <w:rPr>
      <w:rFonts w:ascii="Arial Black" w:hAnsi="Arial Black" w:eastAsia="宋体"/>
      <w:sz w:val="18"/>
    </w:rPr>
  </w:style>
  <w:style w:type="character" w:customStyle="1" w:styleId="344">
    <w:name w:val="ca-01"/>
    <w:qFormat/>
    <w:uiPriority w:val="0"/>
    <w:rPr>
      <w:rFonts w:hint="default" w:ascii="Times New Roman" w:hAnsi="Times New Roman" w:cs="Times New Roman"/>
      <w:b/>
      <w:bCs/>
      <w:spacing w:val="-20"/>
      <w:sz w:val="21"/>
      <w:szCs w:val="21"/>
    </w:rPr>
  </w:style>
  <w:style w:type="character" w:customStyle="1" w:styleId="345">
    <w:name w:val="ca-291"/>
    <w:qFormat/>
    <w:uiPriority w:val="0"/>
    <w:rPr>
      <w:rFonts w:hint="default" w:ascii="Times New Roman" w:hAnsi="Times New Roman" w:cs="Times New Roman"/>
      <w:b/>
      <w:bCs/>
      <w:spacing w:val="-20"/>
      <w:sz w:val="24"/>
      <w:szCs w:val="24"/>
    </w:rPr>
  </w:style>
  <w:style w:type="character" w:customStyle="1" w:styleId="346">
    <w:name w:val="Underrubrik1 Char Char"/>
    <w:qFormat/>
    <w:uiPriority w:val="0"/>
    <w:rPr>
      <w:rFonts w:ascii="Arial" w:hAnsi="Arial"/>
      <w:b/>
      <w:bCs/>
      <w:color w:val="000000"/>
      <w:sz w:val="30"/>
    </w:rPr>
  </w:style>
  <w:style w:type="character" w:customStyle="1" w:styleId="347">
    <w:name w:val="明显参考"/>
    <w:qFormat/>
    <w:uiPriority w:val="32"/>
    <w:rPr>
      <w:b/>
      <w:sz w:val="24"/>
      <w:u w:val="single"/>
    </w:rPr>
  </w:style>
  <w:style w:type="character" w:customStyle="1" w:styleId="348">
    <w:name w:val="标题 3 Char"/>
    <w:qFormat/>
    <w:uiPriority w:val="0"/>
    <w:rPr>
      <w:rFonts w:ascii="宋体" w:hAnsi="Arial" w:eastAsia="宋体"/>
      <w:b/>
      <w:bCs/>
      <w:color w:val="000000"/>
      <w:kern w:val="2"/>
      <w:sz w:val="32"/>
      <w:szCs w:val="32"/>
      <w:lang w:val="en-US" w:eastAsia="zh-CN" w:bidi="ar-SA"/>
    </w:rPr>
  </w:style>
  <w:style w:type="character" w:customStyle="1" w:styleId="349">
    <w:name w:val=" Char Char3"/>
    <w:qFormat/>
    <w:uiPriority w:val="0"/>
    <w:rPr>
      <w:rFonts w:ascii="宋体" w:hAnsi="Courier New" w:eastAsia="宋体"/>
      <w:spacing w:val="-8"/>
      <w:kern w:val="2"/>
      <w:sz w:val="24"/>
      <w:lang w:val="en-US" w:eastAsia="zh-CN"/>
    </w:rPr>
  </w:style>
  <w:style w:type="character" w:customStyle="1" w:styleId="350">
    <w:name w:val="font-121"/>
    <w:qFormat/>
    <w:uiPriority w:val="0"/>
    <w:rPr>
      <w:color w:val="666666"/>
      <w:sz w:val="18"/>
      <w:szCs w:val="18"/>
      <w:u w:val="none"/>
    </w:rPr>
  </w:style>
  <w:style w:type="character" w:customStyle="1" w:styleId="351">
    <w:name w:val="标题4 Char"/>
    <w:qFormat/>
    <w:uiPriority w:val="0"/>
    <w:rPr>
      <w:rFonts w:ascii="宋体" w:eastAsia="宋体"/>
      <w:kern w:val="24"/>
      <w:sz w:val="24"/>
      <w:lang w:val="en-US" w:eastAsia="zh-CN" w:bidi="ar-SA"/>
    </w:rPr>
  </w:style>
  <w:style w:type="character" w:customStyle="1" w:styleId="352">
    <w:name w:val="font41"/>
    <w:qFormat/>
    <w:uiPriority w:val="0"/>
    <w:rPr>
      <w:rFonts w:hint="default" w:ascii="Times New Roman" w:hAnsi="Times New Roman" w:cs="Times New Roman"/>
      <w:color w:val="000000"/>
      <w:sz w:val="21"/>
      <w:szCs w:val="21"/>
      <w:u w:val="none"/>
    </w:rPr>
  </w:style>
  <w:style w:type="character" w:customStyle="1" w:styleId="353">
    <w:name w:val="fontarial1"/>
    <w:qFormat/>
    <w:uiPriority w:val="0"/>
    <w:rPr>
      <w:rFonts w:hint="default" w:ascii="Arial" w:hAnsi="Arial" w:cs="Arial"/>
    </w:rPr>
  </w:style>
  <w:style w:type="character" w:customStyle="1" w:styleId="354">
    <w:name w:val="bord3"/>
    <w:qFormat/>
    <w:uiPriority w:val="0"/>
  </w:style>
  <w:style w:type="character" w:customStyle="1" w:styleId="355">
    <w:name w:val="样式1 Char"/>
    <w:link w:val="68"/>
    <w:qFormat/>
    <w:locked/>
    <w:uiPriority w:val="0"/>
    <w:rPr>
      <w:rFonts w:ascii="宋体" w:hAnsi="宋体" w:eastAsia="宋体"/>
      <w:sz w:val="24"/>
      <w:szCs w:val="24"/>
      <w:lang w:val="en-US" w:eastAsia="en-US" w:bidi="en-US"/>
    </w:rPr>
  </w:style>
  <w:style w:type="character" w:customStyle="1" w:styleId="356">
    <w:name w:val="表格 Char Char"/>
    <w:link w:val="69"/>
    <w:qFormat/>
    <w:uiPriority w:val="0"/>
    <w:rPr>
      <w:rFonts w:ascii="宋体" w:hAnsi="宋体"/>
      <w:kern w:val="2"/>
      <w:sz w:val="21"/>
      <w:szCs w:val="21"/>
      <w:lang w:bidi="ar-SA"/>
    </w:rPr>
  </w:style>
  <w:style w:type="character" w:customStyle="1" w:styleId="357">
    <w:name w:val=" Char Char21"/>
    <w:qFormat/>
    <w:uiPriority w:val="0"/>
    <w:rPr>
      <w:rFonts w:eastAsia="宋体"/>
      <w:b/>
      <w:kern w:val="2"/>
      <w:sz w:val="32"/>
      <w:lang w:val="en-US" w:eastAsia="zh-CN" w:bidi="ar-SA"/>
    </w:rPr>
  </w:style>
  <w:style w:type="character" w:customStyle="1" w:styleId="358">
    <w:name w:val="style102 style103"/>
    <w:qFormat/>
    <w:uiPriority w:val="0"/>
  </w:style>
  <w:style w:type="character" w:customStyle="1" w:styleId="359">
    <w:name w:val="text_darkgray1"/>
    <w:qFormat/>
    <w:uiPriority w:val="0"/>
    <w:rPr>
      <w:color w:val="000000"/>
      <w:sz w:val="22"/>
      <w:szCs w:val="22"/>
    </w:rPr>
  </w:style>
  <w:style w:type="character" w:customStyle="1" w:styleId="360">
    <w:name w:val="f12"/>
    <w:qFormat/>
    <w:uiPriority w:val="0"/>
  </w:style>
  <w:style w:type="character" w:customStyle="1" w:styleId="361">
    <w:name w:val="ca-51"/>
    <w:qFormat/>
    <w:uiPriority w:val="0"/>
    <w:rPr>
      <w:rFonts w:hint="eastAsia" w:ascii="宋体" w:hAnsi="宋体" w:eastAsia="宋体"/>
      <w:color w:val="FF0000"/>
      <w:sz w:val="22"/>
      <w:szCs w:val="22"/>
    </w:rPr>
  </w:style>
  <w:style w:type="character" w:customStyle="1" w:styleId="362">
    <w:name w:val="标题 3 Char Char"/>
    <w:qFormat/>
    <w:uiPriority w:val="0"/>
    <w:rPr>
      <w:rFonts w:eastAsia="宋体"/>
      <w:kern w:val="2"/>
      <w:sz w:val="24"/>
      <w:szCs w:val="32"/>
    </w:rPr>
  </w:style>
  <w:style w:type="character" w:customStyle="1" w:styleId="363">
    <w:name w:val="ca-61"/>
    <w:qFormat/>
    <w:uiPriority w:val="0"/>
    <w:rPr>
      <w:rFonts w:hint="default" w:ascii="Times New Roman" w:hAnsi="Times New Roman" w:cs="Times New Roman"/>
      <w:sz w:val="21"/>
      <w:szCs w:val="21"/>
    </w:rPr>
  </w:style>
  <w:style w:type="character" w:customStyle="1" w:styleId="364">
    <w:name w:val="style11"/>
    <w:qFormat/>
    <w:uiPriority w:val="0"/>
    <w:rPr>
      <w:rFonts w:hint="default" w:ascii="Arial" w:hAnsi="Arial" w:cs="Arial"/>
    </w:rPr>
  </w:style>
  <w:style w:type="character" w:customStyle="1" w:styleId="365">
    <w:name w:val="ca-11"/>
    <w:qFormat/>
    <w:uiPriority w:val="0"/>
    <w:rPr>
      <w:rFonts w:hint="eastAsia" w:ascii="宋体" w:hAnsi="宋体" w:eastAsia="宋体"/>
      <w:color w:val="000000"/>
      <w:sz w:val="18"/>
      <w:szCs w:val="18"/>
    </w:rPr>
  </w:style>
  <w:style w:type="character" w:customStyle="1" w:styleId="366">
    <w:name w:val="标题 4 Char"/>
    <w:qFormat/>
    <w:uiPriority w:val="0"/>
    <w:rPr>
      <w:rFonts w:ascii="Arial" w:hAnsi="Arial" w:eastAsia="宋体"/>
      <w:b/>
      <w:sz w:val="28"/>
    </w:rPr>
  </w:style>
  <w:style w:type="character" w:customStyle="1" w:styleId="367">
    <w:name w:val="引用 Char"/>
    <w:link w:val="70"/>
    <w:qFormat/>
    <w:uiPriority w:val="29"/>
    <w:rPr>
      <w:i/>
      <w:sz w:val="24"/>
      <w:szCs w:val="24"/>
    </w:rPr>
  </w:style>
  <w:style w:type="character" w:customStyle="1" w:styleId="368">
    <w:name w:val="明显强调"/>
    <w:autoRedefine/>
    <w:qFormat/>
    <w:uiPriority w:val="21"/>
    <w:rPr>
      <w:b/>
      <w:i/>
      <w:sz w:val="24"/>
      <w:szCs w:val="24"/>
      <w:u w:val="single"/>
    </w:rPr>
  </w:style>
  <w:style w:type="character" w:customStyle="1" w:styleId="369">
    <w:name w:val="grame"/>
    <w:qFormat/>
    <w:uiPriority w:val="0"/>
  </w:style>
  <w:style w:type="character" w:customStyle="1" w:styleId="370">
    <w:name w:val="正文文本缩进 Char"/>
    <w:qFormat/>
    <w:uiPriority w:val="0"/>
    <w:rPr>
      <w:rFonts w:eastAsia="宋体"/>
      <w:sz w:val="21"/>
      <w:lang w:val="en-US" w:eastAsia="zh-CN" w:bidi="ar-SA"/>
    </w:rPr>
  </w:style>
  <w:style w:type="character" w:customStyle="1" w:styleId="371">
    <w:name w:val="样式4 Char"/>
    <w:link w:val="71"/>
    <w:qFormat/>
    <w:locked/>
    <w:uiPriority w:val="0"/>
    <w:rPr>
      <w:b/>
      <w:sz w:val="28"/>
      <w:lang w:bidi="ar-SA"/>
    </w:rPr>
  </w:style>
  <w:style w:type="character" w:customStyle="1" w:styleId="372">
    <w:name w:val="正文111 Char Char"/>
    <w:link w:val="72"/>
    <w:qFormat/>
    <w:uiPriority w:val="0"/>
    <w:rPr>
      <w:rFonts w:eastAsia="宋体"/>
      <w:sz w:val="24"/>
      <w:lang w:bidi="ar-SA"/>
    </w:rPr>
  </w:style>
  <w:style w:type="character" w:customStyle="1" w:styleId="373">
    <w:name w:val="text1"/>
    <w:qFormat/>
    <w:uiPriority w:val="0"/>
    <w:rPr>
      <w:rFonts w:hint="default" w:ascii="ˎ̥" w:hAnsi="ˎ̥"/>
      <w:color w:val="000000"/>
      <w:sz w:val="18"/>
      <w:szCs w:val="18"/>
    </w:rPr>
  </w:style>
  <w:style w:type="character" w:customStyle="1" w:styleId="374">
    <w:name w:val="书籍标题"/>
    <w:qFormat/>
    <w:uiPriority w:val="33"/>
    <w:rPr>
      <w:rFonts w:ascii="Cambria" w:hAnsi="Cambria" w:eastAsia="宋体"/>
      <w:b/>
      <w:i/>
      <w:sz w:val="24"/>
      <w:szCs w:val="24"/>
    </w:rPr>
  </w:style>
  <w:style w:type="character" w:customStyle="1" w:styleId="375">
    <w:name w:val="普通文字1 Char1"/>
    <w:qFormat/>
    <w:uiPriority w:val="0"/>
    <w:rPr>
      <w:rFonts w:ascii="宋体" w:hAnsi="Courier New" w:eastAsia="宋体"/>
      <w:spacing w:val="-8"/>
      <w:kern w:val="2"/>
      <w:sz w:val="24"/>
      <w:lang w:val="en-US" w:eastAsia="zh-CN" w:bidi="ar-SA"/>
    </w:rPr>
  </w:style>
  <w:style w:type="character" w:customStyle="1" w:styleId="376">
    <w:name w:val="正文 首行缩进:  2 字符 Char Char"/>
    <w:qFormat/>
    <w:uiPriority w:val="0"/>
    <w:rPr>
      <w:rFonts w:ascii="Verdana" w:hAnsi="Verdana" w:eastAsia="宋体"/>
      <w:sz w:val="24"/>
      <w:lang w:val="en-US" w:eastAsia="zh-CN"/>
    </w:rPr>
  </w:style>
  <w:style w:type="character" w:customStyle="1" w:styleId="377">
    <w:name w:val="标题 5 Char"/>
    <w:qFormat/>
    <w:locked/>
    <w:uiPriority w:val="0"/>
    <w:rPr>
      <w:rFonts w:ascii="Times New Roman" w:hAnsi="Times New Roman" w:eastAsia="宋体" w:cs="Times New Roman"/>
      <w:b/>
      <w:bCs/>
      <w:sz w:val="24"/>
      <w:szCs w:val="24"/>
    </w:rPr>
  </w:style>
  <w:style w:type="character" w:customStyle="1" w:styleId="378">
    <w:name w:val="content"/>
    <w:qFormat/>
    <w:uiPriority w:val="0"/>
  </w:style>
  <w:style w:type="character" w:customStyle="1" w:styleId="379">
    <w:name w:val="ca-21"/>
    <w:qFormat/>
    <w:uiPriority w:val="0"/>
    <w:rPr>
      <w:rFonts w:hint="eastAsia" w:ascii="宋体" w:hAnsi="宋体" w:eastAsia="宋体"/>
      <w:sz w:val="21"/>
      <w:szCs w:val="21"/>
    </w:rPr>
  </w:style>
  <w:style w:type="character" w:customStyle="1" w:styleId="380">
    <w:name w:val="black1"/>
    <w:qFormat/>
    <w:uiPriority w:val="0"/>
    <w:rPr>
      <w:rFonts w:hint="default" w:ascii="Geneva" w:hAnsi="Geneva"/>
      <w:color w:val="666666"/>
      <w:sz w:val="18"/>
      <w:szCs w:val="18"/>
      <w:u w:val="none"/>
    </w:rPr>
  </w:style>
  <w:style w:type="character" w:customStyle="1" w:styleId="381">
    <w:name w:val="纯文本 Char1"/>
    <w:qFormat/>
    <w:uiPriority w:val="0"/>
    <w:rPr>
      <w:rFonts w:ascii="宋体" w:hAnsi="Courier New"/>
      <w:spacing w:val="-8"/>
      <w:kern w:val="2"/>
      <w:sz w:val="24"/>
    </w:rPr>
  </w:style>
  <w:style w:type="character" w:customStyle="1" w:styleId="382">
    <w:name w:val="msonormal"/>
    <w:qFormat/>
    <w:uiPriority w:val="0"/>
  </w:style>
  <w:style w:type="character" w:customStyle="1" w:styleId="383">
    <w:name w:val="titleblack14px1"/>
    <w:qFormat/>
    <w:uiPriority w:val="0"/>
    <w:rPr>
      <w:b/>
      <w:bCs/>
      <w:color w:val="000000"/>
      <w:sz w:val="21"/>
      <w:szCs w:val="21"/>
    </w:rPr>
  </w:style>
  <w:style w:type="character" w:customStyle="1" w:styleId="384">
    <w:name w:val="tle_cn"/>
    <w:qFormat/>
    <w:uiPriority w:val="0"/>
  </w:style>
  <w:style w:type="character" w:customStyle="1" w:styleId="385">
    <w:name w:val="ca-101"/>
    <w:qFormat/>
    <w:uiPriority w:val="0"/>
    <w:rPr>
      <w:rFonts w:hint="eastAsia" w:ascii="宋体" w:hAnsi="宋体" w:eastAsia="宋体"/>
      <w:sz w:val="28"/>
      <w:szCs w:val="28"/>
    </w:rPr>
  </w:style>
  <w:style w:type="character" w:customStyle="1" w:styleId="386">
    <w:name w:val="页眉 Char"/>
    <w:qFormat/>
    <w:uiPriority w:val="0"/>
    <w:rPr>
      <w:rFonts w:ascii="宋体" w:eastAsia="宋体"/>
      <w:sz w:val="18"/>
      <w:lang w:val="en-US" w:eastAsia="zh-CN" w:bidi="ar-SA"/>
    </w:rPr>
  </w:style>
  <w:style w:type="character" w:customStyle="1" w:styleId="387">
    <w:name w:val="不明显参考"/>
    <w:qFormat/>
    <w:uiPriority w:val="31"/>
    <w:rPr>
      <w:sz w:val="24"/>
      <w:szCs w:val="24"/>
      <w:u w:val="single"/>
    </w:rPr>
  </w:style>
  <w:style w:type="character" w:customStyle="1" w:styleId="388">
    <w:name w:val="font51"/>
    <w:qFormat/>
    <w:uiPriority w:val="0"/>
    <w:rPr>
      <w:rFonts w:hint="eastAsia" w:ascii="宋体" w:hAnsi="宋体" w:eastAsia="宋体" w:cs="宋体"/>
      <w:color w:val="000000"/>
      <w:sz w:val="21"/>
      <w:szCs w:val="21"/>
      <w:u w:val="none"/>
    </w:rPr>
  </w:style>
  <w:style w:type="character" w:customStyle="1" w:styleId="389">
    <w:name w:val="ca-261"/>
    <w:qFormat/>
    <w:uiPriority w:val="0"/>
    <w:rPr>
      <w:rFonts w:hint="default" w:ascii="Times New Roman" w:hAnsi="Times New Roman" w:cs="Times New Roman"/>
      <w:sz w:val="24"/>
      <w:szCs w:val="24"/>
    </w:rPr>
  </w:style>
  <w:style w:type="character" w:customStyle="1" w:styleId="390">
    <w:name w:val="lineitems1"/>
    <w:qFormat/>
    <w:uiPriority w:val="0"/>
    <w:rPr>
      <w:sz w:val="19"/>
      <w:szCs w:val="19"/>
    </w:rPr>
  </w:style>
  <w:style w:type="character" w:customStyle="1" w:styleId="391">
    <w:name w:val="样式3 Char"/>
    <w:link w:val="73"/>
    <w:qFormat/>
    <w:locked/>
    <w:uiPriority w:val="0"/>
    <w:rPr>
      <w:rFonts w:eastAsia="宋体"/>
      <w:b/>
      <w:sz w:val="30"/>
      <w:lang w:bidi="ar-SA"/>
    </w:rPr>
  </w:style>
  <w:style w:type="character" w:customStyle="1" w:styleId="392">
    <w:name w:val="point_normal1"/>
    <w:qFormat/>
    <w:uiPriority w:val="0"/>
    <w:rPr>
      <w:rFonts w:hint="default" w:ascii="Arial" w:hAnsi="Arial" w:cs="Arial"/>
      <w:sz w:val="21"/>
      <w:szCs w:val="21"/>
    </w:rPr>
  </w:style>
  <w:style w:type="character" w:customStyle="1" w:styleId="393">
    <w:name w:val="bei21"/>
    <w:qFormat/>
    <w:uiPriority w:val="0"/>
    <w:rPr>
      <w:color w:val="FFFFFF"/>
    </w:rPr>
  </w:style>
  <w:style w:type="character" w:customStyle="1" w:styleId="394">
    <w:name w:val="列出段落 Char"/>
    <w:link w:val="74"/>
    <w:qFormat/>
    <w:uiPriority w:val="34"/>
    <w:rPr>
      <w:sz w:val="24"/>
      <w:szCs w:val="24"/>
    </w:rPr>
  </w:style>
  <w:style w:type="character" w:customStyle="1" w:styleId="395">
    <w:name w:val="xiao3"/>
    <w:qFormat/>
    <w:uiPriority w:val="0"/>
  </w:style>
  <w:style w:type="character" w:customStyle="1" w:styleId="396">
    <w:name w:val="f4"/>
    <w:qFormat/>
    <w:uiPriority w:val="0"/>
  </w:style>
  <w:style w:type="character" w:customStyle="1" w:styleId="397">
    <w:name w:val="正文(首行缩进) Char Char"/>
    <w:link w:val="75"/>
    <w:qFormat/>
    <w:uiPriority w:val="0"/>
    <w:rPr>
      <w:rFonts w:ascii="宋体" w:hAnsi="宋体"/>
      <w:spacing w:val="20"/>
      <w:kern w:val="24"/>
      <w:sz w:val="21"/>
      <w:szCs w:val="21"/>
      <w:lang w:eastAsia="zh-CN" w:bidi="ar-SA"/>
    </w:rPr>
  </w:style>
  <w:style w:type="character" w:customStyle="1" w:styleId="398">
    <w:name w:val="正文 + 首行缩进:  2 字符 Char Char"/>
    <w:qFormat/>
    <w:uiPriority w:val="0"/>
    <w:rPr>
      <w:rFonts w:ascii="Verdana" w:hAnsi="Verdana" w:eastAsia="宋体"/>
      <w:sz w:val="24"/>
      <w:lang w:val="en-US" w:eastAsia="zh-CN"/>
    </w:rPr>
  </w:style>
  <w:style w:type="character" w:customStyle="1" w:styleId="399">
    <w:name w:val="para1"/>
    <w:qFormat/>
    <w:uiPriority w:val="0"/>
    <w:rPr>
      <w:rFonts w:hint="default" w:ascii="Arial" w:hAnsi="Arial" w:cs="Arial"/>
      <w:sz w:val="21"/>
      <w:szCs w:val="21"/>
    </w:rPr>
  </w:style>
  <w:style w:type="character" w:customStyle="1" w:styleId="400">
    <w:name w:val="contentheaderrev1"/>
    <w:qFormat/>
    <w:uiPriority w:val="0"/>
    <w:rPr>
      <w:rFonts w:hint="default" w:ascii="Arial" w:hAnsi="Arial" w:cs="Arial"/>
      <w:b/>
      <w:bCs/>
      <w:color w:val="FFFFFF"/>
      <w:sz w:val="24"/>
      <w:szCs w:val="24"/>
      <w:u w:val="none"/>
    </w:rPr>
  </w:style>
  <w:style w:type="table" w:customStyle="1" w:styleId="401">
    <w:name w:val="Table Normal"/>
    <w:basedOn w:val="52"/>
    <w:qFormat/>
    <w:uiPriority w:val="0"/>
    <w:tblPr>
      <w:tblCellMar>
        <w:left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4.xml"/><Relationship Id="rId8" Type="http://schemas.openxmlformats.org/officeDocument/2006/relationships/header" Target="header3.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theme" Target="theme/theme1.xml"/><Relationship Id="rId11" Type="http://schemas.openxmlformats.org/officeDocument/2006/relationships/footer" Target="footer6.xml"/><Relationship Id="rId10" Type="http://schemas.openxmlformats.org/officeDocument/2006/relationships/footer" Target="foot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ops>
  <customShpExts>
    <customShpInfo spid="_x0000_s4097"/>
    <customShpInfo spid="_x0000_s4098"/>
    <customShpInfo spid="_x0000_s4100"/>
    <customShpInfo spid="_x0000_s4099"/>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海南海政招标有限公司</Company>
  <Pages>1</Pages>
  <Words>6417</Words>
  <Characters>36579</Characters>
  <Lines>304</Lines>
  <Paragraphs>85</Paragraphs>
  <TotalTime>13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2024-03-11T02:41:00Z</dcterms:created>
  <dc:creator>海政招标</dc:creator>
  <cp:lastModifiedBy>WPS_1582186936</cp:lastModifiedBy>
  <cp:lastPrinted>2021-09-29T10:26:00Z</cp:lastPrinted>
  <dcterms:modified xsi:type="dcterms:W3CDTF">2024-03-27T09:36:51Z</dcterms:modified>
  <dc:title>招标文件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690FE9FC6FBA47BB96AF610F39D9801B_13</vt:lpwstr>
  </property>
</Properties>
</file>