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仿宋" w:hAnsi="仿宋" w:eastAsia="仿宋" w:cs="仿宋"/>
          <w:color w:val="000000" w:themeColor="text1"/>
          <w:sz w:val="40"/>
          <w:szCs w:val="40"/>
          <w:lang w:eastAsia="zh-CN"/>
          <w14:textFill>
            <w14:solidFill>
              <w14:schemeClr w14:val="tx1"/>
            </w14:solidFill>
          </w14:textFill>
        </w:rPr>
      </w:pPr>
      <w:bookmarkStart w:id="0" w:name="_Toc5781"/>
      <w:r>
        <w:rPr>
          <w:rFonts w:hint="eastAsia" w:ascii="仿宋" w:hAnsi="仿宋" w:eastAsia="仿宋" w:cs="仿宋"/>
          <w:color w:val="000000" w:themeColor="text1"/>
          <w:sz w:val="40"/>
          <w:szCs w:val="40"/>
          <w:lang w:eastAsia="zh-CN"/>
          <w14:textFill>
            <w14:solidFill>
              <w14:schemeClr w14:val="tx1"/>
            </w14:solidFill>
          </w14:textFill>
        </w:rPr>
        <w:t>采购需求</w:t>
      </w:r>
      <w:bookmarkEnd w:id="0"/>
    </w:p>
    <w:p>
      <w:pPr>
        <w:widowControl/>
        <w:kinsoku w:val="0"/>
        <w:adjustRightInd w:val="0"/>
        <w:snapToGrid w:val="0"/>
        <w:textAlignment w:val="baseline"/>
        <w:rPr>
          <w:rFonts w:ascii="Arial" w:hAnsi="Arial" w:eastAsia="Arial" w:cs="Arial"/>
          <w:b/>
          <w:bCs/>
          <w:snapToGrid w:val="0"/>
          <w:color w:val="auto"/>
          <w:sz w:val="21"/>
          <w:szCs w:val="21"/>
          <w:lang w:eastAsia="zh-CN"/>
        </w:rPr>
      </w:pP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Arial" w:hAnsi="Arial" w:eastAsia="Arial" w:cs="Arial"/>
          <w:b/>
          <w:bCs/>
          <w:snapToGrid w:val="0"/>
          <w:color w:val="auto"/>
          <w:sz w:val="21"/>
          <w:szCs w:val="21"/>
          <w:lang w:eastAsia="zh-CN"/>
        </w:rPr>
        <w:t>一、采购需求一览表</w:t>
      </w:r>
    </w:p>
    <w:tbl>
      <w:tblPr>
        <w:tblStyle w:val="17"/>
        <w:tblW w:w="10740" w:type="dxa"/>
        <w:tblInd w:w="69" w:type="dxa"/>
        <w:tblLayout w:type="fixed"/>
        <w:tblCellMar>
          <w:top w:w="0" w:type="dxa"/>
          <w:left w:w="108" w:type="dxa"/>
          <w:bottom w:w="0" w:type="dxa"/>
          <w:right w:w="108" w:type="dxa"/>
        </w:tblCellMar>
      </w:tblPr>
      <w:tblGrid>
        <w:gridCol w:w="705"/>
        <w:gridCol w:w="3928"/>
        <w:gridCol w:w="1352"/>
        <w:gridCol w:w="766"/>
        <w:gridCol w:w="1250"/>
        <w:gridCol w:w="1517"/>
        <w:gridCol w:w="1222"/>
      </w:tblGrid>
      <w:tr>
        <w:tblPrEx>
          <w:tblCellMar>
            <w:top w:w="0" w:type="dxa"/>
            <w:left w:w="108" w:type="dxa"/>
            <w:bottom w:w="0" w:type="dxa"/>
            <w:right w:w="108"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bidi="ar"/>
              </w:rPr>
            </w:pPr>
            <w:r>
              <w:rPr>
                <w:rFonts w:hint="eastAsia" w:ascii="Times New Roman" w:hAnsi="Times New Roman" w:eastAsia="宋体" w:cs="宋体"/>
                <w:b/>
                <w:bCs/>
                <w:snapToGrid w:val="0"/>
                <w:color w:val="auto"/>
                <w:sz w:val="21"/>
                <w:szCs w:val="21"/>
                <w:lang w:eastAsia="zh-CN" w:bidi="ar"/>
              </w:rPr>
              <w:t>序号</w:t>
            </w:r>
          </w:p>
        </w:tc>
        <w:tc>
          <w:tcPr>
            <w:tcW w:w="3928"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hint="eastAsia" w:ascii="Times New Roman" w:hAnsi="Times New Roman" w:eastAsia="宋体" w:cs="宋体"/>
                <w:b/>
                <w:bCs/>
                <w:snapToGrid w:val="0"/>
                <w:color w:val="auto"/>
                <w:sz w:val="21"/>
                <w:szCs w:val="21"/>
                <w:lang w:eastAsia="zh-CN" w:bidi="ar"/>
              </w:rPr>
              <w:t>采购品目名称</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bidi="ar"/>
              </w:rPr>
            </w:pPr>
            <w:r>
              <w:rPr>
                <w:rFonts w:hint="eastAsia" w:ascii="Times New Roman" w:hAnsi="Times New Roman" w:eastAsia="宋体" w:cs="宋体"/>
                <w:b/>
                <w:bCs/>
                <w:snapToGrid w:val="0"/>
                <w:color w:val="auto"/>
                <w:sz w:val="21"/>
                <w:szCs w:val="21"/>
                <w:lang w:eastAsia="zh-CN" w:bidi="ar"/>
              </w:rPr>
              <w:t>单位</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Times New Roman" w:hAnsi="Times New Roman" w:eastAsia="宋体" w:cs="Times New Roman"/>
                <w:snapToGrid w:val="0"/>
                <w:color w:val="auto"/>
                <w:sz w:val="21"/>
                <w:szCs w:val="21"/>
                <w:lang w:eastAsia="zh-CN" w:bidi="ar"/>
              </w:rPr>
            </w:pPr>
            <w:r>
              <w:rPr>
                <w:rFonts w:hint="eastAsia" w:ascii="Times New Roman" w:hAnsi="Times New Roman" w:eastAsia="宋体" w:cs="宋体"/>
                <w:b/>
                <w:bCs/>
                <w:snapToGrid w:val="0"/>
                <w:color w:val="auto"/>
                <w:sz w:val="21"/>
                <w:szCs w:val="21"/>
                <w:lang w:eastAsia="zh-CN" w:bidi="ar"/>
              </w:rPr>
              <w:t>数量</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Arial" w:hAnsi="Arial" w:eastAsia="宋体" w:cs="Arial"/>
                <w:snapToGrid w:val="0"/>
                <w:color w:val="auto"/>
                <w:sz w:val="21"/>
                <w:szCs w:val="21"/>
                <w:lang w:eastAsia="zh-CN" w:bidi="ar"/>
              </w:rPr>
            </w:pPr>
            <w:r>
              <w:rPr>
                <w:rFonts w:hint="eastAsia" w:ascii="Times New Roman" w:hAnsi="Times New Roman" w:eastAsia="宋体" w:cs="宋体"/>
                <w:b/>
                <w:bCs/>
                <w:snapToGrid w:val="0"/>
                <w:color w:val="auto"/>
                <w:sz w:val="21"/>
                <w:szCs w:val="21"/>
                <w:lang w:eastAsia="zh-CN" w:bidi="ar"/>
              </w:rPr>
              <w:t>单价限价（万元）</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bidi="ar"/>
              </w:rPr>
            </w:pPr>
            <w:r>
              <w:rPr>
                <w:rFonts w:hint="eastAsia" w:ascii="Times New Roman" w:hAnsi="Times New Roman" w:eastAsia="宋体" w:cs="宋体"/>
                <w:b/>
                <w:bCs/>
                <w:snapToGrid w:val="0"/>
                <w:color w:val="auto"/>
                <w:sz w:val="21"/>
                <w:szCs w:val="21"/>
                <w:lang w:eastAsia="zh-CN" w:bidi="ar"/>
              </w:rPr>
              <w:t>是否接受进口产品投标</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Times New Roman" w:hAnsi="Times New Roman" w:eastAsia="宋体" w:cs="宋体"/>
                <w:b/>
                <w:bCs/>
                <w:snapToGrid w:val="0"/>
                <w:color w:val="auto"/>
                <w:sz w:val="21"/>
                <w:szCs w:val="21"/>
                <w:lang w:eastAsia="zh-CN" w:bidi="ar"/>
              </w:rPr>
              <w:t>备注</w:t>
            </w:r>
          </w:p>
        </w:tc>
      </w:tr>
      <w:tr>
        <w:tblPrEx>
          <w:tblCellMar>
            <w:top w:w="0" w:type="dxa"/>
            <w:left w:w="108" w:type="dxa"/>
            <w:bottom w:w="0" w:type="dxa"/>
            <w:right w:w="108"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1</w:t>
            </w:r>
          </w:p>
        </w:tc>
        <w:tc>
          <w:tcPr>
            <w:tcW w:w="3928"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Arial" w:hAnsi="Arial" w:eastAsia="宋体" w:cs="Arial"/>
                <w:snapToGrid w:val="0"/>
                <w:color w:val="auto"/>
                <w:sz w:val="21"/>
                <w:szCs w:val="21"/>
                <w:lang w:eastAsia="zh-CN"/>
              </w:rPr>
            </w:pPr>
            <w:r>
              <w:rPr>
                <w:rFonts w:hint="eastAsia" w:ascii="宋体" w:hAnsi="宋体" w:eastAsia="宋体" w:cs="宋体"/>
                <w:snapToGrid w:val="0"/>
                <w:color w:val="auto"/>
                <w:sz w:val="21"/>
                <w:szCs w:val="21"/>
                <w:lang w:eastAsia="zh-CN" w:bidi="ar"/>
              </w:rPr>
              <w:t>荧光定量</w:t>
            </w:r>
            <w:r>
              <w:rPr>
                <w:rFonts w:ascii="Arial" w:hAnsi="Arial" w:eastAsia="宋体" w:cs="Arial"/>
                <w:snapToGrid w:val="0"/>
                <w:color w:val="auto"/>
                <w:sz w:val="21"/>
                <w:szCs w:val="21"/>
                <w:lang w:eastAsia="zh-CN" w:bidi="ar"/>
              </w:rPr>
              <w:t>PCR</w:t>
            </w:r>
            <w:r>
              <w:rPr>
                <w:rFonts w:hint="eastAsia" w:ascii="宋体" w:hAnsi="宋体" w:eastAsia="宋体" w:cs="宋体"/>
                <w:snapToGrid w:val="0"/>
                <w:color w:val="auto"/>
                <w:sz w:val="21"/>
                <w:szCs w:val="21"/>
                <w:lang w:eastAsia="zh-CN" w:bidi="ar"/>
              </w:rPr>
              <w:t>仪</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台</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1</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Arial" w:hAnsi="Arial" w:eastAsia="宋体" w:cs="Arial"/>
                <w:snapToGrid w:val="0"/>
                <w:color w:val="auto"/>
                <w:sz w:val="21"/>
                <w:szCs w:val="21"/>
                <w:lang w:eastAsia="zh-CN"/>
              </w:rPr>
            </w:pPr>
            <w:r>
              <w:rPr>
                <w:rFonts w:ascii="Arial" w:hAnsi="Arial" w:eastAsia="宋体" w:cs="Arial"/>
                <w:snapToGrid w:val="0"/>
                <w:color w:val="auto"/>
                <w:sz w:val="21"/>
                <w:szCs w:val="21"/>
                <w:lang w:eastAsia="zh-CN" w:bidi="ar"/>
              </w:rPr>
              <w:t>83</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是</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baseline"/>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rPr>
              <w:t>核心产品</w:t>
            </w:r>
          </w:p>
        </w:tc>
      </w:tr>
      <w:tr>
        <w:tblPrEx>
          <w:tblCellMar>
            <w:top w:w="0" w:type="dxa"/>
            <w:left w:w="108" w:type="dxa"/>
            <w:bottom w:w="0" w:type="dxa"/>
            <w:right w:w="108"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2</w:t>
            </w:r>
          </w:p>
        </w:tc>
        <w:tc>
          <w:tcPr>
            <w:tcW w:w="3928"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Arial" w:hAnsi="Arial" w:eastAsia="宋体" w:cs="Arial"/>
                <w:snapToGrid w:val="0"/>
                <w:color w:val="auto"/>
                <w:sz w:val="21"/>
                <w:szCs w:val="21"/>
                <w:lang w:eastAsia="zh-CN"/>
              </w:rPr>
            </w:pPr>
            <w:r>
              <w:rPr>
                <w:rFonts w:ascii="Arial" w:hAnsi="Arial" w:eastAsia="宋体" w:cs="Arial"/>
                <w:snapToGrid w:val="0"/>
                <w:color w:val="auto"/>
                <w:sz w:val="21"/>
                <w:szCs w:val="21"/>
                <w:lang w:eastAsia="zh-CN" w:bidi="ar"/>
              </w:rPr>
              <w:t>PCR</w:t>
            </w:r>
            <w:r>
              <w:rPr>
                <w:rFonts w:hint="eastAsia" w:ascii="宋体" w:hAnsi="宋体" w:eastAsia="宋体" w:cs="宋体"/>
                <w:snapToGrid w:val="0"/>
                <w:color w:val="auto"/>
                <w:sz w:val="21"/>
                <w:szCs w:val="21"/>
                <w:lang w:eastAsia="zh-CN" w:bidi="ar"/>
              </w:rPr>
              <w:t>扩增仪</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套</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1</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Arial" w:hAnsi="Arial" w:eastAsia="宋体" w:cs="Arial"/>
                <w:snapToGrid w:val="0"/>
                <w:color w:val="auto"/>
                <w:sz w:val="21"/>
                <w:szCs w:val="21"/>
                <w:lang w:eastAsia="zh-CN"/>
              </w:rPr>
            </w:pPr>
            <w:r>
              <w:rPr>
                <w:rFonts w:ascii="Arial" w:hAnsi="Arial" w:eastAsia="宋体" w:cs="Arial"/>
                <w:snapToGrid w:val="0"/>
                <w:color w:val="auto"/>
                <w:sz w:val="21"/>
                <w:szCs w:val="21"/>
                <w:lang w:eastAsia="zh-CN" w:bidi="ar"/>
              </w:rPr>
              <w:t>10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是</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baseline"/>
              <w:rPr>
                <w:rFonts w:ascii="宋体" w:hAnsi="宋体" w:eastAsia="宋体" w:cs="宋体"/>
                <w:snapToGrid w:val="0"/>
                <w:color w:val="auto"/>
                <w:sz w:val="21"/>
                <w:szCs w:val="21"/>
                <w:lang w:eastAsia="zh-CN"/>
              </w:rPr>
            </w:pPr>
          </w:p>
        </w:tc>
      </w:tr>
      <w:tr>
        <w:tblPrEx>
          <w:tblCellMar>
            <w:top w:w="0" w:type="dxa"/>
            <w:left w:w="108" w:type="dxa"/>
            <w:bottom w:w="0" w:type="dxa"/>
            <w:right w:w="108" w:type="dxa"/>
          </w:tblCellMar>
        </w:tblPrEx>
        <w:trPr>
          <w:trHeight w:val="567" w:hRule="atLeast"/>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3</w:t>
            </w:r>
          </w:p>
        </w:tc>
        <w:tc>
          <w:tcPr>
            <w:tcW w:w="3928"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Arial" w:hAnsi="Arial" w:eastAsia="宋体" w:cs="Arial"/>
                <w:snapToGrid w:val="0"/>
                <w:color w:val="auto"/>
                <w:sz w:val="21"/>
                <w:szCs w:val="21"/>
                <w:lang w:eastAsia="zh-CN"/>
              </w:rPr>
            </w:pPr>
            <w:r>
              <w:rPr>
                <w:rFonts w:hint="eastAsia" w:ascii="宋体" w:hAnsi="宋体" w:eastAsia="宋体" w:cs="宋体"/>
                <w:snapToGrid w:val="0"/>
                <w:color w:val="auto"/>
                <w:sz w:val="21"/>
                <w:szCs w:val="21"/>
                <w:lang w:eastAsia="zh-CN" w:bidi="ar"/>
              </w:rPr>
              <w:t>转染系统</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台</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1</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Arial" w:hAnsi="Arial" w:eastAsia="宋体" w:cs="Arial"/>
                <w:snapToGrid w:val="0"/>
                <w:color w:val="auto"/>
                <w:sz w:val="21"/>
                <w:szCs w:val="21"/>
                <w:lang w:eastAsia="zh-CN"/>
              </w:rPr>
            </w:pPr>
            <w:r>
              <w:rPr>
                <w:rFonts w:ascii="Arial" w:hAnsi="Arial" w:eastAsia="宋体" w:cs="Arial"/>
                <w:snapToGrid w:val="0"/>
                <w:color w:val="auto"/>
                <w:sz w:val="21"/>
                <w:szCs w:val="21"/>
                <w:lang w:eastAsia="zh-CN" w:bidi="ar"/>
              </w:rPr>
              <w:t>15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是</w:t>
            </w:r>
          </w:p>
        </w:tc>
        <w:tc>
          <w:tcPr>
            <w:tcW w:w="1222"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jc w:val="center"/>
              <w:textAlignment w:val="baseline"/>
              <w:rPr>
                <w:rFonts w:ascii="宋体" w:hAnsi="宋体" w:eastAsia="宋体" w:cs="宋体"/>
                <w:snapToGrid w:val="0"/>
                <w:color w:val="auto"/>
                <w:sz w:val="21"/>
                <w:szCs w:val="21"/>
                <w:lang w:eastAsia="zh-CN"/>
              </w:rPr>
            </w:pPr>
          </w:p>
        </w:tc>
      </w:tr>
    </w:tbl>
    <w:p>
      <w:pPr>
        <w:widowControl/>
        <w:kinsoku w:val="0"/>
        <w:adjustRightInd w:val="0"/>
        <w:snapToGrid w:val="0"/>
        <w:textAlignment w:val="baseline"/>
        <w:rPr>
          <w:rFonts w:ascii="Arial" w:hAnsi="Arial" w:eastAsia="Arial" w:cs="Arial"/>
          <w:snapToGrid w:val="0"/>
          <w:color w:val="auto"/>
          <w:sz w:val="21"/>
          <w:szCs w:val="21"/>
          <w:lang w:eastAsia="zh-CN"/>
        </w:rPr>
      </w:pPr>
    </w:p>
    <w:p>
      <w:pPr>
        <w:widowControl/>
        <w:kinsoku w:val="0"/>
        <w:adjustRightInd w:val="0"/>
        <w:snapToGrid w:val="0"/>
        <w:textAlignment w:val="baseline"/>
        <w:rPr>
          <w:rFonts w:ascii="Arial" w:hAnsi="Arial" w:eastAsia="Arial" w:cs="Arial"/>
          <w:snapToGrid w:val="0"/>
          <w:color w:val="auto"/>
          <w:sz w:val="21"/>
          <w:szCs w:val="21"/>
          <w:lang w:eastAsia="zh-CN"/>
        </w:rPr>
      </w:pPr>
    </w:p>
    <w:p>
      <w:pPr>
        <w:widowControl/>
        <w:kinsoku w:val="0"/>
        <w:adjustRightInd w:val="0"/>
        <w:snapToGrid w:val="0"/>
        <w:textAlignment w:val="baseline"/>
        <w:rPr>
          <w:rFonts w:ascii="Arial" w:hAnsi="Arial" w:eastAsia="Arial" w:cs="Arial"/>
          <w:b/>
          <w:bCs/>
          <w:snapToGrid w:val="0"/>
          <w:color w:val="auto"/>
          <w:sz w:val="21"/>
          <w:szCs w:val="21"/>
          <w:lang w:eastAsia="zh-CN"/>
        </w:rPr>
      </w:pPr>
      <w:r>
        <w:rPr>
          <w:rFonts w:hint="eastAsia" w:ascii="Arial" w:hAnsi="Arial" w:eastAsia="Arial" w:cs="Arial"/>
          <w:b/>
          <w:bCs/>
          <w:snapToGrid w:val="0"/>
          <w:color w:val="auto"/>
          <w:sz w:val="21"/>
          <w:szCs w:val="21"/>
          <w:lang w:eastAsia="zh-CN"/>
        </w:rPr>
        <w:t>二、技术参数、规格及要求(包括采购标的的功能标准、性能标准、材质标准）</w:t>
      </w:r>
    </w:p>
    <w:tbl>
      <w:tblPr>
        <w:tblStyle w:val="17"/>
        <w:tblW w:w="10759" w:type="dxa"/>
        <w:tblInd w:w="52" w:type="dxa"/>
        <w:tblLayout w:type="autofit"/>
        <w:tblCellMar>
          <w:top w:w="0" w:type="dxa"/>
          <w:left w:w="108" w:type="dxa"/>
          <w:bottom w:w="0" w:type="dxa"/>
          <w:right w:w="108" w:type="dxa"/>
        </w:tblCellMar>
      </w:tblPr>
      <w:tblGrid>
        <w:gridCol w:w="570"/>
        <w:gridCol w:w="1270"/>
        <w:gridCol w:w="8919"/>
      </w:tblGrid>
      <w:tr>
        <w:tblPrEx>
          <w:tblCellMar>
            <w:top w:w="0" w:type="dxa"/>
            <w:left w:w="108" w:type="dxa"/>
            <w:bottom w:w="0" w:type="dxa"/>
            <w:right w:w="108" w:type="dxa"/>
          </w:tblCellMar>
        </w:tblPrEx>
        <w:trPr>
          <w:trHeight w:val="1705" w:hRule="atLeast"/>
        </w:trPr>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1</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Arial" w:hAnsi="Arial" w:eastAsia="宋体" w:cs="Arial"/>
                <w:snapToGrid w:val="0"/>
                <w:color w:val="auto"/>
                <w:sz w:val="21"/>
                <w:szCs w:val="21"/>
                <w:lang w:eastAsia="zh-CN"/>
              </w:rPr>
            </w:pPr>
            <w:r>
              <w:rPr>
                <w:rFonts w:hint="eastAsia" w:ascii="宋体" w:hAnsi="宋体" w:eastAsia="宋体" w:cs="宋体"/>
                <w:snapToGrid w:val="0"/>
                <w:color w:val="auto"/>
                <w:sz w:val="21"/>
                <w:szCs w:val="21"/>
                <w:lang w:eastAsia="zh-CN" w:bidi="ar"/>
              </w:rPr>
              <w:t>荧光定量</w:t>
            </w:r>
            <w:r>
              <w:rPr>
                <w:rFonts w:ascii="Arial" w:hAnsi="Arial" w:eastAsia="宋体" w:cs="Arial"/>
                <w:snapToGrid w:val="0"/>
                <w:color w:val="auto"/>
                <w:sz w:val="21"/>
                <w:szCs w:val="21"/>
                <w:lang w:eastAsia="zh-CN" w:bidi="ar"/>
              </w:rPr>
              <w:t>PCR</w:t>
            </w:r>
            <w:r>
              <w:rPr>
                <w:rFonts w:hint="eastAsia" w:ascii="宋体" w:hAnsi="宋体" w:eastAsia="宋体" w:cs="宋体"/>
                <w:snapToGrid w:val="0"/>
                <w:color w:val="auto"/>
                <w:sz w:val="21"/>
                <w:szCs w:val="21"/>
                <w:lang w:eastAsia="zh-CN" w:bidi="ar"/>
              </w:rPr>
              <w:t>仪</w:t>
            </w:r>
          </w:p>
        </w:tc>
        <w:tc>
          <w:tcPr>
            <w:tcW w:w="8919"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仪器主要技术指标：</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 热循环采用珀耳帖效应系统，加热冷却方式为半导体，温控精准度高，使用寿命长；</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 温度范围：4–99.9℃。</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 xml:space="preserve">3. 最多支持四种半导体控温的加热模块，0.2ml ×96孔、0.1ml ×96孔、384孔和微流体模块； </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4. 四种半导体控温加热模块可由用户点击仪器界面按钮，通过电动马达进行更换，操作更简便且确保更换一次到位。更换后无需校准即可使用；</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5. 0.2ml或0.1ml 的96模块均含有6个独立的精确数码温控区域，每个区域可独立设置反应温度；实时反映每个独立区域的精确温度，而非模糊的软件模拟温度；</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6. 相邻温控区温度差异最多可达5℃，最大温度差异为25℃；</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7. 激发光源为高亮度白光半导体光源，工作寿命&gt;5年；</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8. 检测系统为低温高分辨CMOS一次成像； 实时动态检测，动态显示，所有孔之间无逐个扫描时间差；</w:t>
            </w:r>
            <w:r>
              <w:rPr>
                <w:rFonts w:hint="eastAsia" w:ascii="宋体" w:hAnsi="宋体" w:eastAsia="宋体" w:cs="宋体"/>
                <w:snapToGrid w:val="0"/>
                <w:color w:val="auto"/>
                <w:sz w:val="21"/>
                <w:szCs w:val="21"/>
                <w:lang w:eastAsia="zh-CN" w:bidi="ar"/>
              </w:rPr>
              <w:br w:type="textWrapping"/>
            </w:r>
            <w:r>
              <w:rPr>
                <w:rFonts w:ascii="宋体" w:hAnsi="宋体" w:eastAsia="宋体" w:cs="宋体"/>
                <w:snapToGrid w:val="0"/>
                <w:color w:val="auto"/>
                <w:sz w:val="21"/>
                <w:szCs w:val="21"/>
                <w:lang w:eastAsia="zh-CN" w:bidi="ar"/>
              </w:rPr>
              <w:t>9</w:t>
            </w:r>
            <w:r>
              <w:rPr>
                <w:rFonts w:hint="eastAsia" w:ascii="宋体" w:hAnsi="宋体" w:eastAsia="宋体" w:cs="宋体"/>
                <w:snapToGrid w:val="0"/>
                <w:color w:val="auto"/>
                <w:sz w:val="21"/>
                <w:szCs w:val="21"/>
                <w:lang w:eastAsia="zh-CN" w:bidi="ar"/>
              </w:rPr>
              <w:t>. 6色发射光通道和6色激发光通道可自由组合，最多可检测21种不同的荧光光谱；</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0</w:t>
            </w:r>
            <w:r>
              <w:rPr>
                <w:rFonts w:hint="eastAsia" w:ascii="宋体" w:hAnsi="宋体" w:eastAsia="宋体" w:cs="宋体"/>
                <w:snapToGrid w:val="0"/>
                <w:color w:val="auto"/>
                <w:sz w:val="21"/>
                <w:szCs w:val="21"/>
                <w:lang w:eastAsia="zh-CN" w:bidi="ar"/>
              </w:rPr>
              <w:t>. 单管单次反应可同时检测6种不同靶标；</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1</w:t>
            </w:r>
            <w:r>
              <w:rPr>
                <w:rFonts w:hint="eastAsia" w:ascii="宋体" w:hAnsi="宋体" w:eastAsia="宋体" w:cs="宋体"/>
                <w:snapToGrid w:val="0"/>
                <w:color w:val="auto"/>
                <w:sz w:val="21"/>
                <w:szCs w:val="21"/>
                <w:lang w:eastAsia="zh-CN" w:bidi="ar"/>
              </w:rPr>
              <w:t>. 温度均匀性≤0.4℃，温度准确性≤0.25℃；</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2</w:t>
            </w:r>
            <w:r>
              <w:rPr>
                <w:rFonts w:hint="eastAsia" w:ascii="宋体" w:hAnsi="宋体" w:eastAsia="宋体" w:cs="宋体"/>
                <w:snapToGrid w:val="0"/>
                <w:color w:val="auto"/>
                <w:sz w:val="21"/>
                <w:szCs w:val="21"/>
                <w:lang w:eastAsia="zh-CN" w:bidi="ar"/>
              </w:rPr>
              <w:t>. 能同时检测并区分VIC荧光和TAMRA荧光，以用于基因拷贝数(CNV)检测；</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3</w:t>
            </w:r>
            <w:r>
              <w:rPr>
                <w:rFonts w:hint="eastAsia" w:ascii="宋体" w:hAnsi="宋体" w:eastAsia="宋体" w:cs="宋体"/>
                <w:snapToGrid w:val="0"/>
                <w:color w:val="auto"/>
                <w:sz w:val="21"/>
                <w:szCs w:val="21"/>
                <w:lang w:eastAsia="zh-CN" w:bidi="ar"/>
              </w:rPr>
              <w:t>. 支持ROX荧光校正去除移液误差和耗材透光度引起的物理误差；</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4</w:t>
            </w:r>
            <w:r>
              <w:rPr>
                <w:rFonts w:hint="eastAsia" w:ascii="宋体" w:hAnsi="宋体" w:eastAsia="宋体" w:cs="宋体"/>
                <w:snapToGrid w:val="0"/>
                <w:color w:val="auto"/>
                <w:sz w:val="21"/>
                <w:szCs w:val="21"/>
                <w:lang w:eastAsia="zh-CN" w:bidi="ar"/>
              </w:rPr>
              <w:t>. 安装时已校准染料：通道一：FAM, SYBR Green I；通道二：VIC；通道三：NED, ABY, TAMRA；通道四：JUN, ROX；通道五Mustang Purple, Cy5；</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5</w:t>
            </w:r>
            <w:r>
              <w:rPr>
                <w:rFonts w:hint="eastAsia" w:ascii="宋体" w:hAnsi="宋体" w:eastAsia="宋体" w:cs="宋体"/>
                <w:snapToGrid w:val="0"/>
                <w:color w:val="auto"/>
                <w:sz w:val="21"/>
                <w:szCs w:val="21"/>
                <w:lang w:eastAsia="zh-CN" w:bidi="ar"/>
              </w:rPr>
              <w:t>. 升降温速率≥6.5℃/秒；</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6</w:t>
            </w:r>
            <w:r>
              <w:rPr>
                <w:rFonts w:hint="eastAsia" w:ascii="宋体" w:hAnsi="宋体" w:eastAsia="宋体" w:cs="宋体"/>
                <w:snapToGrid w:val="0"/>
                <w:color w:val="auto"/>
                <w:sz w:val="21"/>
                <w:szCs w:val="21"/>
                <w:lang w:eastAsia="zh-CN" w:bidi="ar"/>
              </w:rPr>
              <w:t>. 运行速度快，30分钟内完成40个循环，并能提供现场验证实验支持；</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7</w:t>
            </w:r>
            <w:r>
              <w:rPr>
                <w:rFonts w:hint="eastAsia" w:ascii="宋体" w:hAnsi="宋体" w:eastAsia="宋体" w:cs="宋体"/>
                <w:snapToGrid w:val="0"/>
                <w:color w:val="auto"/>
                <w:sz w:val="21"/>
                <w:szCs w:val="21"/>
                <w:lang w:eastAsia="zh-CN" w:bidi="ar"/>
              </w:rPr>
              <w:t>. 检测灵敏度高，低至单拷贝检测/反应体系；</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8</w:t>
            </w:r>
            <w:r>
              <w:rPr>
                <w:rFonts w:hint="eastAsia" w:ascii="宋体" w:hAnsi="宋体" w:eastAsia="宋体" w:cs="宋体"/>
                <w:snapToGrid w:val="0"/>
                <w:color w:val="auto"/>
                <w:sz w:val="21"/>
                <w:szCs w:val="21"/>
                <w:lang w:eastAsia="zh-CN" w:bidi="ar"/>
              </w:rPr>
              <w:t>. 检测精密度高，可区分1.5倍拷贝数差异，置信度≥99.7%；</w:t>
            </w:r>
            <w:r>
              <w:rPr>
                <w:rFonts w:hint="eastAsia" w:ascii="宋体" w:hAnsi="宋体" w:eastAsia="宋体" w:cs="宋体"/>
                <w:snapToGrid w:val="0"/>
                <w:color w:val="auto"/>
                <w:sz w:val="21"/>
                <w:szCs w:val="21"/>
                <w:lang w:eastAsia="zh-CN" w:bidi="ar"/>
              </w:rPr>
              <w:br w:type="textWrapping"/>
            </w:r>
            <w:r>
              <w:rPr>
                <w:rFonts w:ascii="宋体" w:hAnsi="宋体" w:eastAsia="宋体" w:cs="宋体"/>
                <w:snapToGrid w:val="0"/>
                <w:color w:val="auto"/>
                <w:sz w:val="21"/>
                <w:szCs w:val="21"/>
                <w:lang w:eastAsia="zh-CN" w:bidi="ar"/>
              </w:rPr>
              <w:t>19</w:t>
            </w:r>
            <w:r>
              <w:rPr>
                <w:rFonts w:hint="eastAsia" w:ascii="宋体" w:hAnsi="宋体" w:eastAsia="宋体" w:cs="宋体"/>
                <w:snapToGrid w:val="0"/>
                <w:color w:val="auto"/>
                <w:sz w:val="21"/>
                <w:szCs w:val="21"/>
                <w:lang w:eastAsia="zh-CN" w:bidi="ar"/>
              </w:rPr>
              <w:t>. 仪器具有宽广的动态范围，不低于10个对数的线性动态范围；</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0</w:t>
            </w:r>
            <w:r>
              <w:rPr>
                <w:rFonts w:hint="eastAsia" w:ascii="宋体" w:hAnsi="宋体" w:eastAsia="宋体" w:cs="宋体"/>
                <w:snapToGrid w:val="0"/>
                <w:color w:val="auto"/>
                <w:sz w:val="21"/>
                <w:szCs w:val="21"/>
                <w:lang w:eastAsia="zh-CN" w:bidi="ar"/>
              </w:rPr>
              <w:t>. 支持高分辨率熔解曲线，分辨率最小至 0.015°C；</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1</w:t>
            </w:r>
            <w:r>
              <w:rPr>
                <w:rFonts w:hint="eastAsia" w:ascii="宋体" w:hAnsi="宋体" w:eastAsia="宋体" w:cs="宋体"/>
                <w:snapToGrid w:val="0"/>
                <w:color w:val="auto"/>
                <w:sz w:val="21"/>
                <w:szCs w:val="21"/>
                <w:lang w:eastAsia="zh-CN" w:bidi="ar"/>
              </w:rPr>
              <w:t>. 样本检测的重复性高，对高浓度和低浓度核酸样本分别进行重复性检测，CV值＜3%；</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2</w:t>
            </w:r>
            <w:r>
              <w:rPr>
                <w:rFonts w:hint="eastAsia" w:ascii="宋体" w:hAnsi="宋体" w:eastAsia="宋体" w:cs="宋体"/>
                <w:snapToGrid w:val="0"/>
                <w:color w:val="auto"/>
                <w:sz w:val="21"/>
                <w:szCs w:val="21"/>
                <w:lang w:eastAsia="zh-CN" w:bidi="ar"/>
              </w:rPr>
              <w:t>. 内置12英寸电容式触摸屏，可提供一键式的实验方案，同时支持触屏设置个性化实验程序并启动实验；支持实时察看实验进程以及最终实验结果查看和分析；</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3</w:t>
            </w:r>
            <w:r>
              <w:rPr>
                <w:rFonts w:hint="eastAsia" w:ascii="宋体" w:hAnsi="宋体" w:eastAsia="宋体" w:cs="宋体"/>
                <w:snapToGrid w:val="0"/>
                <w:color w:val="auto"/>
                <w:sz w:val="21"/>
                <w:szCs w:val="21"/>
                <w:lang w:eastAsia="zh-CN" w:bidi="ar"/>
              </w:rPr>
              <w:t>. 触摸屏支持智能远程支持，一键即可远程联系到原厂的技术支持和工程师，第一时间获取售后支持，显著缩短问题解决时间；</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4</w:t>
            </w:r>
            <w:r>
              <w:rPr>
                <w:rFonts w:hint="eastAsia" w:ascii="宋体" w:hAnsi="宋体" w:eastAsia="宋体" w:cs="宋体"/>
                <w:snapToGrid w:val="0"/>
                <w:color w:val="auto"/>
                <w:sz w:val="21"/>
                <w:szCs w:val="21"/>
                <w:lang w:eastAsia="zh-CN" w:bidi="ar"/>
              </w:rPr>
              <w:t>. 内置摄像头，支持人脸识别，无需手动操作即可登录个人账户；</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5</w:t>
            </w:r>
            <w:r>
              <w:rPr>
                <w:rFonts w:hint="eastAsia" w:ascii="宋体" w:hAnsi="宋体" w:eastAsia="宋体" w:cs="宋体"/>
                <w:snapToGrid w:val="0"/>
                <w:color w:val="auto"/>
                <w:sz w:val="21"/>
                <w:szCs w:val="21"/>
                <w:lang w:eastAsia="zh-CN" w:bidi="ar"/>
              </w:rPr>
              <w:t>. 仪器具有断电保护功能，可支持断电时间在一小时之内的实验正常恢复；</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6</w:t>
            </w:r>
            <w:r>
              <w:rPr>
                <w:rFonts w:hint="eastAsia" w:ascii="宋体" w:hAnsi="宋体" w:eastAsia="宋体" w:cs="宋体"/>
                <w:snapToGrid w:val="0"/>
                <w:color w:val="auto"/>
                <w:sz w:val="21"/>
                <w:szCs w:val="21"/>
                <w:lang w:eastAsia="zh-CN" w:bidi="ar"/>
              </w:rPr>
              <w:t>. 支持PCR主机独立运行，还可同时连接电脑或连接云服务平台, 除支持仪器连接的电脑储存数据外，仪器也支持自身储存数据;</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7</w:t>
            </w:r>
            <w:r>
              <w:rPr>
                <w:rFonts w:hint="eastAsia" w:ascii="宋体" w:hAnsi="宋体" w:eastAsia="宋体" w:cs="宋体"/>
                <w:snapToGrid w:val="0"/>
                <w:color w:val="auto"/>
                <w:sz w:val="21"/>
                <w:szCs w:val="21"/>
                <w:lang w:eastAsia="zh-CN" w:bidi="ar"/>
              </w:rPr>
              <w:t>. 软件自带原厂研发的多组分算法，可去除多色荧光间的相互干扰，保证多重分析结果的准确性，无需颜色补偿；</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8</w:t>
            </w:r>
            <w:r>
              <w:rPr>
                <w:rFonts w:hint="eastAsia" w:ascii="宋体" w:hAnsi="宋体" w:eastAsia="宋体" w:cs="宋体"/>
                <w:snapToGrid w:val="0"/>
                <w:color w:val="auto"/>
                <w:sz w:val="21"/>
                <w:szCs w:val="21"/>
                <w:lang w:eastAsia="zh-CN" w:bidi="ar"/>
              </w:rPr>
              <w:t>. 为确保售后服务及货物质量，所投产品若为进口产品，需提供厂家或国内总代理或区域代理针对本项目的授权书和售后服务承诺函原件（总代理投标须有厂家授权，区域代理投标，须有总代理授权。）</w:t>
            </w:r>
          </w:p>
        </w:tc>
      </w:tr>
      <w:tr>
        <w:tblPrEx>
          <w:tblCellMar>
            <w:top w:w="0" w:type="dxa"/>
            <w:left w:w="108" w:type="dxa"/>
            <w:bottom w:w="0" w:type="dxa"/>
            <w:right w:w="108" w:type="dxa"/>
          </w:tblCellMar>
        </w:tblPrEx>
        <w:trPr>
          <w:trHeight w:val="3600" w:hRule="atLeast"/>
        </w:trPr>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2</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Arial" w:hAnsi="Arial" w:eastAsia="宋体" w:cs="Arial"/>
                <w:snapToGrid w:val="0"/>
                <w:color w:val="auto"/>
                <w:sz w:val="21"/>
                <w:szCs w:val="21"/>
                <w:lang w:eastAsia="zh-CN"/>
              </w:rPr>
            </w:pPr>
            <w:r>
              <w:rPr>
                <w:rFonts w:ascii="Arial" w:hAnsi="Arial" w:eastAsia="宋体" w:cs="Arial"/>
                <w:snapToGrid w:val="0"/>
                <w:color w:val="auto"/>
                <w:sz w:val="21"/>
                <w:szCs w:val="21"/>
                <w:lang w:eastAsia="zh-CN" w:bidi="ar"/>
              </w:rPr>
              <w:t>PCR</w:t>
            </w:r>
            <w:r>
              <w:rPr>
                <w:rFonts w:hint="eastAsia" w:ascii="宋体" w:hAnsi="宋体" w:eastAsia="宋体" w:cs="宋体"/>
                <w:snapToGrid w:val="0"/>
                <w:color w:val="auto"/>
                <w:sz w:val="21"/>
                <w:szCs w:val="21"/>
                <w:lang w:eastAsia="zh-CN" w:bidi="ar"/>
              </w:rPr>
              <w:t>扩增仪</w:t>
            </w:r>
          </w:p>
        </w:tc>
        <w:tc>
          <w:tcPr>
            <w:tcW w:w="8919"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hint="eastAsia" w:ascii="宋体" w:hAnsi="宋体" w:eastAsia="宋体" w:cs="宋体"/>
                <w:snapToGrid w:val="0"/>
                <w:color w:val="auto"/>
                <w:sz w:val="21"/>
                <w:szCs w:val="21"/>
                <w:lang w:eastAsia="zh-CN" w:bidi="ar"/>
              </w:rPr>
              <w:t>1套设备有3台仪器</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hint="eastAsia" w:ascii="宋体" w:hAnsi="宋体" w:eastAsia="宋体" w:cs="宋体"/>
                <w:snapToGrid w:val="0"/>
                <w:color w:val="auto"/>
                <w:sz w:val="21"/>
                <w:szCs w:val="21"/>
                <w:lang w:eastAsia="zh-CN" w:bidi="ar"/>
              </w:rPr>
              <w:t>仪器主要技术指标：</w:t>
            </w:r>
            <w:r>
              <w:rPr>
                <w:rFonts w:hint="eastAsia" w:ascii="宋体" w:hAnsi="宋体" w:eastAsia="宋体" w:cs="宋体"/>
                <w:snapToGrid w:val="0"/>
                <w:color w:val="auto"/>
                <w:sz w:val="21"/>
                <w:szCs w:val="21"/>
                <w:lang w:eastAsia="zh-CN" w:bidi="ar"/>
              </w:rPr>
              <w:br w:type="textWrapping"/>
            </w:r>
            <w:r>
              <w:rPr>
                <w:rFonts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样品基座：</w:t>
            </w:r>
            <w:r>
              <w:rPr>
                <w:rFonts w:ascii="宋体" w:hAnsi="宋体" w:eastAsia="宋体" w:cs="宋体"/>
                <w:snapToGrid w:val="0"/>
                <w:color w:val="auto"/>
                <w:sz w:val="21"/>
                <w:szCs w:val="21"/>
                <w:lang w:eastAsia="zh-CN" w:bidi="ar"/>
              </w:rPr>
              <w:t>0.2ml</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96</w:t>
            </w:r>
            <w:r>
              <w:rPr>
                <w:rFonts w:hint="eastAsia" w:ascii="宋体" w:hAnsi="宋体" w:eastAsia="宋体" w:cs="宋体"/>
                <w:snapToGrid w:val="0"/>
                <w:color w:val="auto"/>
                <w:sz w:val="21"/>
                <w:szCs w:val="21"/>
                <w:lang w:eastAsia="zh-CN" w:bidi="ar"/>
              </w:rPr>
              <w:t>孔；</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最大模块变温速率</w:t>
            </w:r>
            <w:r>
              <w:rPr>
                <w:rFonts w:ascii="宋体" w:hAnsi="宋体" w:eastAsia="宋体" w:cs="宋体"/>
                <w:snapToGrid w:val="0"/>
                <w:color w:val="auto"/>
                <w:sz w:val="21"/>
                <w:szCs w:val="21"/>
                <w:lang w:eastAsia="zh-CN" w:bidi="ar"/>
              </w:rPr>
              <w:t>3.0℃/Sec</w:t>
            </w:r>
            <w:r>
              <w:rPr>
                <w:rFonts w:hint="eastAsia" w:ascii="宋体" w:hAnsi="宋体" w:eastAsia="宋体" w:cs="宋体"/>
                <w:snapToGrid w:val="0"/>
                <w:color w:val="auto"/>
                <w:sz w:val="21"/>
                <w:szCs w:val="21"/>
                <w:lang w:eastAsia="zh-CN" w:bidi="ar"/>
              </w:rPr>
              <w:t>，变温速率可调节；</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3.</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w:t>
            </w:r>
            <w:r>
              <w:rPr>
                <w:rFonts w:hint="eastAsia" w:ascii="宋体" w:hAnsi="宋体" w:eastAsia="宋体" w:cs="宋体"/>
                <w:snapToGrid w:val="0"/>
                <w:color w:val="auto"/>
                <w:sz w:val="21"/>
                <w:szCs w:val="21"/>
                <w:lang w:eastAsia="zh-CN" w:bidi="ar"/>
              </w:rPr>
              <w:t>最大样本变温速率</w:t>
            </w:r>
            <w:r>
              <w:rPr>
                <w:rFonts w:ascii="宋体" w:hAnsi="宋体" w:eastAsia="宋体" w:cs="宋体"/>
                <w:snapToGrid w:val="0"/>
                <w:color w:val="auto"/>
                <w:sz w:val="21"/>
                <w:szCs w:val="21"/>
                <w:lang w:eastAsia="zh-CN" w:bidi="ar"/>
              </w:rPr>
              <w:t>2.2℃/Sec</w:t>
            </w:r>
            <w:r>
              <w:rPr>
                <w:rFonts w:hint="eastAsia" w:ascii="宋体" w:hAnsi="宋体" w:eastAsia="宋体" w:cs="宋体"/>
                <w:snapToGrid w:val="0"/>
                <w:color w:val="auto"/>
                <w:sz w:val="21"/>
                <w:szCs w:val="21"/>
                <w:lang w:eastAsia="zh-CN" w:bidi="ar"/>
              </w:rPr>
              <w:t>；</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4.</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温度范围</w:t>
            </w:r>
            <w:r>
              <w:rPr>
                <w:rFonts w:ascii="宋体" w:hAnsi="宋体" w:eastAsia="宋体" w:cs="宋体"/>
                <w:snapToGrid w:val="0"/>
                <w:color w:val="auto"/>
                <w:sz w:val="21"/>
                <w:szCs w:val="21"/>
                <w:lang w:eastAsia="zh-CN" w:bidi="ar"/>
              </w:rPr>
              <w:t>: 0-100.0℃</w:t>
            </w:r>
            <w:r>
              <w:rPr>
                <w:rFonts w:hint="eastAsia" w:ascii="宋体" w:hAnsi="宋体" w:eastAsia="宋体" w:cs="宋体"/>
                <w:snapToGrid w:val="0"/>
                <w:color w:val="auto"/>
                <w:sz w:val="21"/>
                <w:szCs w:val="21"/>
                <w:lang w:eastAsia="zh-CN" w:bidi="ar"/>
              </w:rPr>
              <w:t>；</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5.</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温度均一性：＜</w:t>
            </w:r>
            <w:r>
              <w:rPr>
                <w:rFonts w:ascii="宋体" w:hAnsi="宋体" w:eastAsia="宋体" w:cs="宋体"/>
                <w:snapToGrid w:val="0"/>
                <w:color w:val="auto"/>
                <w:sz w:val="21"/>
                <w:szCs w:val="21"/>
                <w:lang w:eastAsia="zh-CN" w:bidi="ar"/>
              </w:rPr>
              <w:t>0.5℃</w:t>
            </w:r>
            <w:r>
              <w:rPr>
                <w:rFonts w:hint="eastAsia" w:ascii="宋体" w:hAnsi="宋体" w:eastAsia="宋体" w:cs="宋体"/>
                <w:snapToGrid w:val="0"/>
                <w:color w:val="auto"/>
                <w:sz w:val="21"/>
                <w:szCs w:val="21"/>
                <w:lang w:eastAsia="zh-CN" w:bidi="ar"/>
              </w:rPr>
              <w:t>（达到</w:t>
            </w:r>
            <w:r>
              <w:rPr>
                <w:rFonts w:ascii="宋体" w:hAnsi="宋体" w:eastAsia="宋体" w:cs="宋体"/>
                <w:snapToGrid w:val="0"/>
                <w:color w:val="auto"/>
                <w:sz w:val="21"/>
                <w:szCs w:val="21"/>
                <w:lang w:eastAsia="zh-CN" w:bidi="ar"/>
              </w:rPr>
              <w:t>95℃</w:t>
            </w:r>
            <w:r>
              <w:rPr>
                <w:rFonts w:hint="eastAsia" w:ascii="宋体" w:hAnsi="宋体" w:eastAsia="宋体" w:cs="宋体"/>
                <w:snapToGrid w:val="0"/>
                <w:color w:val="auto"/>
                <w:sz w:val="21"/>
                <w:szCs w:val="21"/>
                <w:lang w:eastAsia="zh-CN" w:bidi="ar"/>
              </w:rPr>
              <w:t>后</w:t>
            </w:r>
            <w:r>
              <w:rPr>
                <w:rFonts w:ascii="宋体" w:hAnsi="宋体" w:eastAsia="宋体" w:cs="宋体"/>
                <w:snapToGrid w:val="0"/>
                <w:color w:val="auto"/>
                <w:sz w:val="21"/>
                <w:szCs w:val="21"/>
                <w:lang w:eastAsia="zh-CN" w:bidi="ar"/>
              </w:rPr>
              <w:t>30</w:t>
            </w:r>
            <w:r>
              <w:rPr>
                <w:rFonts w:hint="eastAsia" w:ascii="宋体" w:hAnsi="宋体" w:eastAsia="宋体" w:cs="宋体"/>
                <w:snapToGrid w:val="0"/>
                <w:color w:val="auto"/>
                <w:sz w:val="21"/>
                <w:szCs w:val="21"/>
                <w:lang w:eastAsia="zh-CN" w:bidi="ar"/>
              </w:rPr>
              <w:t>秒）；</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6.</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温度准确性：±</w:t>
            </w:r>
            <w:r>
              <w:rPr>
                <w:rFonts w:ascii="宋体" w:hAnsi="宋体" w:eastAsia="宋体" w:cs="宋体"/>
                <w:snapToGrid w:val="0"/>
                <w:color w:val="auto"/>
                <w:sz w:val="21"/>
                <w:szCs w:val="21"/>
                <w:lang w:eastAsia="zh-CN" w:bidi="ar"/>
              </w:rPr>
              <w:t>0.25℃</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35-99.9℃</w:t>
            </w:r>
            <w:r>
              <w:rPr>
                <w:rFonts w:hint="eastAsia" w:ascii="宋体" w:hAnsi="宋体" w:eastAsia="宋体" w:cs="宋体"/>
                <w:snapToGrid w:val="0"/>
                <w:color w:val="auto"/>
                <w:sz w:val="21"/>
                <w:szCs w:val="21"/>
                <w:lang w:eastAsia="zh-CN" w:bidi="ar"/>
              </w:rPr>
              <w:t>），温度校验标准可追溯至美国国家标准技术局（</w:t>
            </w:r>
            <w:r>
              <w:rPr>
                <w:rFonts w:ascii="宋体" w:hAnsi="宋体" w:eastAsia="宋体" w:cs="宋体"/>
                <w:snapToGrid w:val="0"/>
                <w:color w:val="auto"/>
                <w:sz w:val="21"/>
                <w:szCs w:val="21"/>
                <w:lang w:eastAsia="zh-CN" w:bidi="ar"/>
              </w:rPr>
              <w:t>NIST</w:t>
            </w:r>
            <w:r>
              <w:rPr>
                <w:rFonts w:hint="eastAsia" w:ascii="宋体" w:hAnsi="宋体" w:eastAsia="宋体" w:cs="宋体"/>
                <w:snapToGrid w:val="0"/>
                <w:color w:val="auto"/>
                <w:sz w:val="21"/>
                <w:szCs w:val="21"/>
                <w:lang w:eastAsia="zh-CN" w:bidi="ar"/>
              </w:rPr>
              <w:t>）；</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7.</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体积范围：</w:t>
            </w:r>
            <w:r>
              <w:rPr>
                <w:rFonts w:ascii="宋体" w:hAnsi="宋体" w:eastAsia="宋体" w:cs="宋体"/>
                <w:snapToGrid w:val="0"/>
                <w:color w:val="auto"/>
                <w:sz w:val="21"/>
                <w:szCs w:val="21"/>
                <w:lang w:eastAsia="zh-CN" w:bidi="ar"/>
              </w:rPr>
              <w:t>10—100 uL</w:t>
            </w:r>
            <w:r>
              <w:rPr>
                <w:rFonts w:hint="eastAsia" w:ascii="宋体" w:hAnsi="宋体" w:eastAsia="宋体" w:cs="宋体"/>
                <w:snapToGrid w:val="0"/>
                <w:color w:val="auto"/>
                <w:sz w:val="21"/>
                <w:szCs w:val="21"/>
                <w:lang w:eastAsia="zh-CN" w:bidi="ar"/>
              </w:rPr>
              <w:t>；</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8.</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5</w:t>
            </w:r>
            <w:r>
              <w:rPr>
                <w:rFonts w:hint="eastAsia" w:ascii="宋体" w:hAnsi="宋体" w:eastAsia="宋体" w:cs="宋体"/>
                <w:snapToGrid w:val="0"/>
                <w:color w:val="auto"/>
                <w:sz w:val="21"/>
                <w:szCs w:val="21"/>
                <w:lang w:eastAsia="zh-CN" w:bidi="ar"/>
              </w:rPr>
              <w:t>英寸彩色</w:t>
            </w:r>
            <w:r>
              <w:rPr>
                <w:rFonts w:ascii="宋体" w:hAnsi="宋体" w:eastAsia="宋体" w:cs="宋体"/>
                <w:snapToGrid w:val="0"/>
                <w:color w:val="auto"/>
                <w:sz w:val="21"/>
                <w:szCs w:val="21"/>
                <w:lang w:eastAsia="zh-CN" w:bidi="ar"/>
              </w:rPr>
              <w:t>TFT</w:t>
            </w:r>
            <w:r>
              <w:rPr>
                <w:rFonts w:hint="eastAsia" w:ascii="宋体" w:hAnsi="宋体" w:eastAsia="宋体" w:cs="宋体"/>
                <w:snapToGrid w:val="0"/>
                <w:color w:val="auto"/>
                <w:sz w:val="21"/>
                <w:szCs w:val="21"/>
                <w:lang w:eastAsia="zh-CN" w:bidi="ar"/>
              </w:rPr>
              <w:t>触摸式显示屏，直观的导航按钮设置操作简单方便；</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9.</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程序存储：机载存储</w:t>
            </w:r>
            <w:r>
              <w:rPr>
                <w:rFonts w:ascii="宋体" w:hAnsi="宋体" w:eastAsia="宋体" w:cs="宋体"/>
                <w:snapToGrid w:val="0"/>
                <w:color w:val="auto"/>
                <w:sz w:val="21"/>
                <w:szCs w:val="21"/>
                <w:lang w:eastAsia="zh-CN" w:bidi="ar"/>
              </w:rPr>
              <w:t>2000MB</w:t>
            </w:r>
            <w:r>
              <w:rPr>
                <w:rFonts w:hint="eastAsia" w:ascii="宋体" w:hAnsi="宋体" w:eastAsia="宋体" w:cs="宋体"/>
                <w:snapToGrid w:val="0"/>
                <w:color w:val="auto"/>
                <w:sz w:val="21"/>
                <w:szCs w:val="21"/>
                <w:lang w:eastAsia="zh-CN" w:bidi="ar"/>
              </w:rPr>
              <w:t>（存储超过</w:t>
            </w:r>
            <w:r>
              <w:rPr>
                <w:rFonts w:ascii="宋体" w:hAnsi="宋体" w:eastAsia="宋体" w:cs="宋体"/>
                <w:snapToGrid w:val="0"/>
                <w:color w:val="auto"/>
                <w:sz w:val="21"/>
                <w:szCs w:val="21"/>
                <w:lang w:eastAsia="zh-CN" w:bidi="ar"/>
              </w:rPr>
              <w:t>1000</w:t>
            </w:r>
            <w:r>
              <w:rPr>
                <w:rFonts w:hint="eastAsia" w:ascii="宋体" w:hAnsi="宋体" w:eastAsia="宋体" w:cs="宋体"/>
                <w:snapToGrid w:val="0"/>
                <w:color w:val="auto"/>
                <w:sz w:val="21"/>
                <w:szCs w:val="21"/>
                <w:lang w:eastAsia="zh-CN" w:bidi="ar"/>
              </w:rPr>
              <w:t>个程序文件），也具有</w:t>
            </w:r>
            <w:r>
              <w:rPr>
                <w:rFonts w:ascii="宋体" w:hAnsi="宋体" w:eastAsia="宋体" w:cs="宋体"/>
                <w:snapToGrid w:val="0"/>
                <w:color w:val="auto"/>
                <w:sz w:val="21"/>
                <w:szCs w:val="21"/>
                <w:lang w:eastAsia="zh-CN" w:bidi="ar"/>
              </w:rPr>
              <w:t>USB</w:t>
            </w:r>
            <w:r>
              <w:rPr>
                <w:rFonts w:hint="eastAsia" w:ascii="宋体" w:hAnsi="宋体" w:eastAsia="宋体" w:cs="宋体"/>
                <w:snapToGrid w:val="0"/>
                <w:color w:val="auto"/>
                <w:sz w:val="21"/>
                <w:szCs w:val="21"/>
                <w:lang w:eastAsia="zh-CN" w:bidi="ar"/>
              </w:rPr>
              <w:t>插口，用于转移程序，存储不限数量的程序；</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10.</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w:t>
            </w:r>
            <w:r>
              <w:rPr>
                <w:rFonts w:hint="eastAsia" w:ascii="宋体" w:hAnsi="宋体" w:eastAsia="宋体" w:cs="宋体"/>
                <w:snapToGrid w:val="0"/>
                <w:color w:val="auto"/>
                <w:sz w:val="21"/>
                <w:szCs w:val="21"/>
                <w:lang w:eastAsia="zh-CN" w:bidi="ar"/>
              </w:rPr>
              <w:t>有线或无线网络连接，可选配</w:t>
            </w:r>
            <w:r>
              <w:rPr>
                <w:rFonts w:ascii="宋体" w:hAnsi="宋体" w:eastAsia="宋体" w:cs="宋体"/>
                <w:snapToGrid w:val="0"/>
                <w:color w:val="auto"/>
                <w:sz w:val="21"/>
                <w:szCs w:val="21"/>
                <w:lang w:eastAsia="zh-CN" w:bidi="ar"/>
              </w:rPr>
              <w:t>Wi-Fi</w:t>
            </w:r>
            <w:r>
              <w:rPr>
                <w:rFonts w:hint="eastAsia" w:ascii="宋体" w:hAnsi="宋体" w:eastAsia="宋体" w:cs="宋体"/>
                <w:snapToGrid w:val="0"/>
                <w:color w:val="auto"/>
                <w:sz w:val="21"/>
                <w:szCs w:val="21"/>
                <w:lang w:eastAsia="zh-CN" w:bidi="ar"/>
              </w:rPr>
              <w:t>连接装置，客户可免费下载</w:t>
            </w:r>
            <w:r>
              <w:rPr>
                <w:rFonts w:ascii="宋体" w:hAnsi="宋体" w:eastAsia="宋体" w:cs="宋体"/>
                <w:snapToGrid w:val="0"/>
                <w:color w:val="auto"/>
                <w:sz w:val="21"/>
                <w:szCs w:val="21"/>
                <w:lang w:eastAsia="zh-CN" w:bidi="ar"/>
              </w:rPr>
              <w:t>Instrument Connect</w:t>
            </w:r>
            <w:r>
              <w:rPr>
                <w:rFonts w:hint="eastAsia" w:ascii="宋体" w:hAnsi="宋体" w:eastAsia="宋体" w:cs="宋体"/>
                <w:snapToGrid w:val="0"/>
                <w:color w:val="auto"/>
                <w:sz w:val="21"/>
                <w:szCs w:val="21"/>
                <w:lang w:eastAsia="zh-CN" w:bidi="ar"/>
              </w:rPr>
              <w:t>手机</w:t>
            </w:r>
            <w:r>
              <w:rPr>
                <w:rFonts w:ascii="宋体" w:hAnsi="宋体" w:eastAsia="宋体" w:cs="宋体"/>
                <w:snapToGrid w:val="0"/>
                <w:color w:val="auto"/>
                <w:sz w:val="21"/>
                <w:szCs w:val="21"/>
                <w:lang w:eastAsia="zh-CN" w:bidi="ar"/>
              </w:rPr>
              <w:t>app</w:t>
            </w:r>
            <w:r>
              <w:rPr>
                <w:rFonts w:hint="eastAsia" w:ascii="宋体" w:hAnsi="宋体" w:eastAsia="宋体" w:cs="宋体"/>
                <w:snapToGrid w:val="0"/>
                <w:color w:val="auto"/>
                <w:sz w:val="21"/>
                <w:szCs w:val="21"/>
                <w:lang w:eastAsia="zh-CN" w:bidi="ar"/>
              </w:rPr>
              <w:t>到</w:t>
            </w:r>
            <w:r>
              <w:rPr>
                <w:rFonts w:ascii="宋体" w:hAnsi="宋体" w:eastAsia="宋体" w:cs="宋体"/>
                <w:snapToGrid w:val="0"/>
                <w:color w:val="auto"/>
                <w:sz w:val="21"/>
                <w:szCs w:val="21"/>
                <w:lang w:eastAsia="zh-CN" w:bidi="ar"/>
              </w:rPr>
              <w:t>iphone</w:t>
            </w:r>
            <w:r>
              <w:rPr>
                <w:rFonts w:hint="eastAsia" w:ascii="宋体" w:hAnsi="宋体" w:eastAsia="宋体" w:cs="宋体"/>
                <w:snapToGrid w:val="0"/>
                <w:color w:val="auto"/>
                <w:sz w:val="21"/>
                <w:szCs w:val="21"/>
                <w:lang w:eastAsia="zh-CN" w:bidi="ar"/>
              </w:rPr>
              <w:t>或</w:t>
            </w:r>
            <w:r>
              <w:rPr>
                <w:rFonts w:ascii="宋体" w:hAnsi="宋体" w:eastAsia="宋体" w:cs="宋体"/>
                <w:snapToGrid w:val="0"/>
                <w:color w:val="auto"/>
                <w:sz w:val="21"/>
                <w:szCs w:val="21"/>
                <w:lang w:eastAsia="zh-CN" w:bidi="ar"/>
              </w:rPr>
              <w:t>android</w:t>
            </w:r>
            <w:r>
              <w:rPr>
                <w:rFonts w:hint="eastAsia" w:ascii="宋体" w:hAnsi="宋体" w:eastAsia="宋体" w:cs="宋体"/>
                <w:snapToGrid w:val="0"/>
                <w:color w:val="auto"/>
                <w:sz w:val="21"/>
                <w:szCs w:val="21"/>
                <w:lang w:eastAsia="zh-CN" w:bidi="ar"/>
              </w:rPr>
              <w:t>设备，在手机端或电脑端随时随地远程查看仪器状态或控制仪器，也可以通过</w:t>
            </w:r>
            <w:r>
              <w:rPr>
                <w:rFonts w:ascii="宋体" w:hAnsi="宋体" w:eastAsia="宋体" w:cs="宋体"/>
                <w:snapToGrid w:val="0"/>
                <w:color w:val="auto"/>
                <w:sz w:val="21"/>
                <w:szCs w:val="21"/>
                <w:lang w:eastAsia="zh-CN" w:bidi="ar"/>
              </w:rPr>
              <w:t>Thermo Fisher Cloud</w:t>
            </w:r>
            <w:r>
              <w:rPr>
                <w:rFonts w:hint="eastAsia" w:ascii="宋体" w:hAnsi="宋体" w:eastAsia="宋体" w:cs="宋体"/>
                <w:snapToGrid w:val="0"/>
                <w:color w:val="auto"/>
                <w:sz w:val="21"/>
                <w:szCs w:val="21"/>
                <w:lang w:eastAsia="zh-CN" w:bidi="ar"/>
              </w:rPr>
              <w:t>平台在电脑端编辑程序、预约仪器、设置</w:t>
            </w:r>
            <w:r>
              <w:rPr>
                <w:rFonts w:ascii="宋体" w:hAnsi="宋体" w:eastAsia="宋体" w:cs="宋体"/>
                <w:snapToGrid w:val="0"/>
                <w:color w:val="auto"/>
                <w:sz w:val="21"/>
                <w:szCs w:val="21"/>
                <w:lang w:eastAsia="zh-CN" w:bidi="ar"/>
              </w:rPr>
              <w:t>Email</w:t>
            </w:r>
            <w:r>
              <w:rPr>
                <w:rFonts w:hint="eastAsia" w:ascii="宋体" w:hAnsi="宋体" w:eastAsia="宋体" w:cs="宋体"/>
                <w:snapToGrid w:val="0"/>
                <w:color w:val="auto"/>
                <w:sz w:val="21"/>
                <w:szCs w:val="21"/>
                <w:lang w:eastAsia="zh-CN" w:bidi="ar"/>
              </w:rPr>
              <w:t>提醒或通过</w:t>
            </w:r>
            <w:r>
              <w:rPr>
                <w:rFonts w:ascii="宋体" w:hAnsi="宋体" w:eastAsia="宋体" w:cs="宋体"/>
                <w:snapToGrid w:val="0"/>
                <w:color w:val="auto"/>
                <w:sz w:val="21"/>
                <w:szCs w:val="21"/>
                <w:lang w:eastAsia="zh-CN" w:bidi="ar"/>
              </w:rPr>
              <w:t>Cloud</w:t>
            </w:r>
            <w:r>
              <w:rPr>
                <w:rFonts w:hint="eastAsia" w:ascii="宋体" w:hAnsi="宋体" w:eastAsia="宋体" w:cs="宋体"/>
                <w:snapToGrid w:val="0"/>
                <w:color w:val="auto"/>
                <w:sz w:val="21"/>
                <w:szCs w:val="21"/>
                <w:lang w:eastAsia="zh-CN" w:bidi="ar"/>
              </w:rPr>
              <w:t>共享程序文件；可连接打印机；</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11.</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w:t>
            </w:r>
            <w:r>
              <w:rPr>
                <w:rFonts w:hint="eastAsia" w:ascii="宋体" w:hAnsi="宋体" w:eastAsia="宋体" w:cs="宋体"/>
                <w:snapToGrid w:val="0"/>
                <w:color w:val="auto"/>
                <w:sz w:val="21"/>
                <w:szCs w:val="21"/>
                <w:lang w:eastAsia="zh-CN" w:bidi="ar"/>
              </w:rPr>
              <w:t>联机操控：无需购买软件，允许多台机器在同一局域网内相互连接，并设置由其中一台来操控；</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12.</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w:t>
            </w:r>
            <w:r>
              <w:rPr>
                <w:rFonts w:hint="eastAsia" w:ascii="宋体" w:hAnsi="宋体" w:eastAsia="宋体" w:cs="宋体"/>
                <w:snapToGrid w:val="0"/>
                <w:color w:val="auto"/>
                <w:sz w:val="21"/>
                <w:szCs w:val="21"/>
                <w:lang w:eastAsia="zh-CN" w:bidi="ar"/>
              </w:rPr>
              <w:t>内置热学模拟模式，可以模拟</w:t>
            </w:r>
            <w:r>
              <w:rPr>
                <w:rFonts w:ascii="宋体" w:hAnsi="宋体" w:eastAsia="宋体" w:cs="宋体"/>
                <w:snapToGrid w:val="0"/>
                <w:color w:val="auto"/>
                <w:sz w:val="21"/>
                <w:szCs w:val="21"/>
                <w:lang w:eastAsia="zh-CN" w:bidi="ar"/>
              </w:rPr>
              <w:t>Applied Biosystems 2720</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Bio-Rad T100</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Bio-Rad MyCycler, Takara Dice, BIOER XP</w:t>
            </w:r>
            <w:r>
              <w:rPr>
                <w:rFonts w:hint="eastAsia" w:ascii="宋体" w:hAnsi="宋体" w:eastAsia="宋体" w:cs="宋体"/>
                <w:snapToGrid w:val="0"/>
                <w:color w:val="auto"/>
                <w:sz w:val="21"/>
                <w:szCs w:val="21"/>
                <w:lang w:eastAsia="zh-CN" w:bidi="ar"/>
              </w:rPr>
              <w:t>等市面上主流</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仪的热学性能，方便实验的平稳过渡；</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13.</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内置多种</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程序模板，可直接调用，包括基础</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、热启动</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、测序</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、优化</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 xml:space="preserve"> RT-PCR</w:t>
            </w:r>
            <w:r>
              <w:rPr>
                <w:rFonts w:hint="eastAsia" w:ascii="宋体" w:hAnsi="宋体" w:eastAsia="宋体" w:cs="宋体"/>
                <w:snapToGrid w:val="0"/>
                <w:color w:val="auto"/>
                <w:sz w:val="21"/>
                <w:szCs w:val="21"/>
                <w:lang w:eastAsia="zh-CN" w:bidi="ar"/>
              </w:rPr>
              <w:t>、高保真</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、高特异</w:t>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和</w:t>
            </w:r>
            <w:r>
              <w:rPr>
                <w:rFonts w:ascii="宋体" w:hAnsi="宋体" w:eastAsia="宋体" w:cs="宋体"/>
                <w:snapToGrid w:val="0"/>
                <w:color w:val="auto"/>
                <w:sz w:val="21"/>
                <w:szCs w:val="21"/>
                <w:lang w:eastAsia="zh-CN" w:bidi="ar"/>
              </w:rPr>
              <w:t>Long PCR</w:t>
            </w:r>
            <w:r>
              <w:rPr>
                <w:rFonts w:hint="eastAsia" w:ascii="宋体" w:hAnsi="宋体" w:eastAsia="宋体" w:cs="宋体"/>
                <w:snapToGrid w:val="0"/>
                <w:color w:val="auto"/>
                <w:sz w:val="21"/>
                <w:szCs w:val="21"/>
                <w:lang w:eastAsia="zh-CN" w:bidi="ar"/>
              </w:rPr>
              <w:t>等；</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14.</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内置</w:t>
            </w:r>
            <w:r>
              <w:rPr>
                <w:rFonts w:ascii="宋体" w:hAnsi="宋体" w:eastAsia="宋体" w:cs="宋体"/>
                <w:snapToGrid w:val="0"/>
                <w:color w:val="auto"/>
                <w:sz w:val="21"/>
                <w:szCs w:val="21"/>
                <w:lang w:eastAsia="zh-CN" w:bidi="ar"/>
              </w:rPr>
              <w:t>AutoDelta</w:t>
            </w:r>
            <w:r>
              <w:rPr>
                <w:rFonts w:hint="eastAsia" w:ascii="宋体" w:hAnsi="宋体" w:eastAsia="宋体" w:cs="宋体"/>
                <w:snapToGrid w:val="0"/>
                <w:color w:val="auto"/>
                <w:sz w:val="21"/>
                <w:szCs w:val="21"/>
                <w:lang w:eastAsia="zh-CN" w:bidi="ar"/>
              </w:rPr>
              <w:t>选项，适合</w:t>
            </w:r>
            <w:r>
              <w:rPr>
                <w:rFonts w:ascii="宋体" w:hAnsi="宋体" w:eastAsia="宋体" w:cs="宋体"/>
                <w:snapToGrid w:val="0"/>
                <w:color w:val="auto"/>
                <w:sz w:val="21"/>
                <w:szCs w:val="21"/>
                <w:lang w:eastAsia="zh-CN" w:bidi="ar"/>
              </w:rPr>
              <w:t>Touchdown PCR,</w:t>
            </w:r>
            <w:r>
              <w:rPr>
                <w:rFonts w:hint="eastAsia" w:ascii="宋体" w:hAnsi="宋体" w:eastAsia="宋体" w:cs="宋体"/>
                <w:snapToGrid w:val="0"/>
                <w:color w:val="auto"/>
                <w:sz w:val="21"/>
                <w:szCs w:val="21"/>
                <w:lang w:eastAsia="zh-CN" w:bidi="ar"/>
              </w:rPr>
              <w:t>从哪个循环开始哪一步进行温度升降或时间调整；</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15.</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其他功能：多重权限账户管理模式、程序覆盖保护功能、实验中编辑或暂停程序、一键设置孵育、自动断电重启、自动休眠、热盖可以关闭或调整温度、仪器自检功能、查看运行日志并导出或打印等；</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16.</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电源：</w:t>
            </w:r>
            <w:r>
              <w:rPr>
                <w:rFonts w:ascii="宋体" w:hAnsi="宋体" w:eastAsia="宋体" w:cs="宋体"/>
                <w:snapToGrid w:val="0"/>
                <w:color w:val="auto"/>
                <w:sz w:val="21"/>
                <w:szCs w:val="21"/>
                <w:lang w:eastAsia="zh-CN" w:bidi="ar"/>
              </w:rPr>
              <w:t>100-240 V</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 xml:space="preserve"> 50-60 Hz, </w:t>
            </w:r>
            <w:r>
              <w:rPr>
                <w:rFonts w:hint="eastAsia" w:ascii="宋体" w:hAnsi="宋体" w:eastAsia="宋体" w:cs="宋体"/>
                <w:snapToGrid w:val="0"/>
                <w:color w:val="auto"/>
                <w:sz w:val="21"/>
                <w:szCs w:val="21"/>
                <w:lang w:eastAsia="zh-CN" w:bidi="ar"/>
              </w:rPr>
              <w:t>最大</w:t>
            </w:r>
            <w:r>
              <w:rPr>
                <w:rFonts w:ascii="宋体" w:hAnsi="宋体" w:eastAsia="宋体" w:cs="宋体"/>
                <w:snapToGrid w:val="0"/>
                <w:color w:val="auto"/>
                <w:sz w:val="21"/>
                <w:szCs w:val="21"/>
                <w:lang w:eastAsia="zh-CN" w:bidi="ar"/>
              </w:rPr>
              <w:t xml:space="preserve"> 500W</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17.</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工作条件：</w:t>
            </w:r>
            <w:r>
              <w:rPr>
                <w:rFonts w:ascii="宋体" w:hAnsi="宋体" w:eastAsia="宋体" w:cs="宋体"/>
                <w:snapToGrid w:val="0"/>
                <w:color w:val="auto"/>
                <w:sz w:val="21"/>
                <w:szCs w:val="21"/>
                <w:lang w:eastAsia="zh-CN" w:bidi="ar"/>
              </w:rPr>
              <w:t xml:space="preserve"> </w:t>
            </w:r>
            <w:r>
              <w:rPr>
                <w:rFonts w:hint="eastAsia" w:ascii="宋体" w:hAnsi="宋体" w:eastAsia="宋体" w:cs="宋体"/>
                <w:snapToGrid w:val="0"/>
                <w:color w:val="auto"/>
                <w:sz w:val="21"/>
                <w:szCs w:val="21"/>
                <w:lang w:eastAsia="zh-CN" w:bidi="ar"/>
              </w:rPr>
              <w:t>环境温度</w:t>
            </w:r>
            <w:r>
              <w:rPr>
                <w:rFonts w:ascii="宋体" w:hAnsi="宋体" w:eastAsia="宋体" w:cs="宋体"/>
                <w:snapToGrid w:val="0"/>
                <w:color w:val="auto"/>
                <w:sz w:val="21"/>
                <w:szCs w:val="21"/>
                <w:lang w:eastAsia="zh-CN" w:bidi="ar"/>
              </w:rPr>
              <w:t>15</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30 ℃</w:t>
            </w:r>
            <w:r>
              <w:rPr>
                <w:rFonts w:hint="eastAsia" w:ascii="宋体" w:hAnsi="宋体" w:eastAsia="宋体" w:cs="宋体"/>
                <w:snapToGrid w:val="0"/>
                <w:color w:val="auto"/>
                <w:sz w:val="21"/>
                <w:szCs w:val="21"/>
                <w:lang w:eastAsia="zh-CN" w:bidi="ar"/>
              </w:rPr>
              <w:t>，相对湿度</w:t>
            </w:r>
            <w:r>
              <w:rPr>
                <w:rFonts w:ascii="宋体" w:hAnsi="宋体" w:eastAsia="宋体" w:cs="宋体"/>
                <w:snapToGrid w:val="0"/>
                <w:color w:val="auto"/>
                <w:sz w:val="21"/>
                <w:szCs w:val="21"/>
                <w:lang w:eastAsia="zh-CN" w:bidi="ar"/>
              </w:rPr>
              <w:t>15%</w:t>
            </w:r>
            <w:r>
              <w:rPr>
                <w:rFonts w:hint="eastAsia" w:ascii="宋体" w:hAnsi="宋体" w:eastAsia="宋体" w:cs="宋体"/>
                <w:snapToGrid w:val="0"/>
                <w:color w:val="auto"/>
                <w:sz w:val="21"/>
                <w:szCs w:val="21"/>
                <w:lang w:eastAsia="zh-CN" w:bidi="ar"/>
              </w:rPr>
              <w:t>～</w:t>
            </w:r>
            <w:r>
              <w:rPr>
                <w:rFonts w:ascii="宋体" w:hAnsi="宋体" w:eastAsia="宋体" w:cs="宋体"/>
                <w:snapToGrid w:val="0"/>
                <w:color w:val="auto"/>
                <w:sz w:val="21"/>
                <w:szCs w:val="21"/>
                <w:lang w:eastAsia="zh-CN" w:bidi="ar"/>
              </w:rPr>
              <w:t>80%</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w:t>
            </w:r>
            <w:r>
              <w:rPr>
                <w:rFonts w:hint="eastAsia" w:ascii="宋体" w:hAnsi="宋体" w:eastAsia="宋体" w:cs="宋体"/>
                <w:snapToGrid w:val="0"/>
                <w:color w:val="auto"/>
                <w:sz w:val="21"/>
                <w:szCs w:val="21"/>
                <w:lang w:eastAsia="zh-CN" w:bidi="ar"/>
              </w:rPr>
              <w:t>8、为确保售后服务及货物质量，所投产品若为进口产品，需提供厂家或国内总代理针对本项目的授权书和售后服务承诺函原件（总代理投标，须有厂家授权）</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hint="eastAsia" w:ascii="宋体" w:hAnsi="宋体" w:eastAsia="宋体" w:cs="宋体"/>
                <w:snapToGrid w:val="0"/>
                <w:color w:val="auto"/>
                <w:sz w:val="21"/>
                <w:szCs w:val="21"/>
                <w:lang w:eastAsia="zh-CN" w:bidi="ar"/>
              </w:rPr>
              <w:t>配置清单：</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1.</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PCR</w:t>
            </w:r>
            <w:r>
              <w:rPr>
                <w:rFonts w:hint="eastAsia" w:ascii="宋体" w:hAnsi="宋体" w:eastAsia="宋体" w:cs="宋体"/>
                <w:snapToGrid w:val="0"/>
                <w:color w:val="auto"/>
                <w:sz w:val="21"/>
                <w:szCs w:val="21"/>
                <w:lang w:eastAsia="zh-CN" w:bidi="ar"/>
              </w:rPr>
              <w:t>仪主机</w:t>
            </w:r>
            <w:r>
              <w:rPr>
                <w:rFonts w:ascii="宋体" w:hAnsi="宋体" w:eastAsia="宋体" w:cs="宋体"/>
                <w:snapToGrid w:val="0"/>
                <w:color w:val="auto"/>
                <w:sz w:val="21"/>
                <w:szCs w:val="21"/>
                <w:lang w:eastAsia="zh-CN" w:bidi="ar"/>
              </w:rPr>
              <w:t xml:space="preserve">  1</w:t>
            </w:r>
            <w:r>
              <w:rPr>
                <w:rFonts w:hint="eastAsia" w:ascii="宋体" w:hAnsi="宋体" w:eastAsia="宋体" w:cs="宋体"/>
                <w:snapToGrid w:val="0"/>
                <w:color w:val="auto"/>
                <w:sz w:val="21"/>
                <w:szCs w:val="21"/>
                <w:lang w:eastAsia="zh-CN" w:bidi="ar"/>
              </w:rPr>
              <w:t>台</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2.</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电源线</w:t>
            </w:r>
            <w:r>
              <w:rPr>
                <w:rFonts w:ascii="宋体" w:hAnsi="宋体" w:eastAsia="宋体" w:cs="宋体"/>
                <w:snapToGrid w:val="0"/>
                <w:color w:val="auto"/>
                <w:sz w:val="21"/>
                <w:szCs w:val="21"/>
                <w:lang w:eastAsia="zh-CN" w:bidi="ar"/>
              </w:rPr>
              <w:t xml:space="preserve">   1</w:t>
            </w:r>
            <w:r>
              <w:rPr>
                <w:rFonts w:hint="eastAsia" w:ascii="宋体" w:hAnsi="宋体" w:eastAsia="宋体" w:cs="宋体"/>
                <w:snapToGrid w:val="0"/>
                <w:color w:val="auto"/>
                <w:sz w:val="21"/>
                <w:szCs w:val="21"/>
                <w:lang w:eastAsia="zh-CN" w:bidi="ar"/>
              </w:rPr>
              <w:t>根</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3.</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入门耗材套装</w:t>
            </w:r>
            <w:r>
              <w:rPr>
                <w:rFonts w:ascii="宋体" w:hAnsi="宋体" w:eastAsia="宋体" w:cs="宋体"/>
                <w:snapToGrid w:val="0"/>
                <w:color w:val="auto"/>
                <w:sz w:val="21"/>
                <w:szCs w:val="21"/>
                <w:lang w:eastAsia="zh-CN" w:bidi="ar"/>
              </w:rPr>
              <w:t xml:space="preserve">  1</w:t>
            </w:r>
            <w:r>
              <w:rPr>
                <w:rFonts w:hint="eastAsia" w:ascii="宋体" w:hAnsi="宋体" w:eastAsia="宋体" w:cs="宋体"/>
                <w:snapToGrid w:val="0"/>
                <w:color w:val="auto"/>
                <w:sz w:val="21"/>
                <w:szCs w:val="21"/>
                <w:lang w:eastAsia="zh-CN" w:bidi="ar"/>
              </w:rPr>
              <w:t>盒</w:t>
            </w:r>
          </w:p>
          <w:p>
            <w:pPr>
              <w:widowControl/>
              <w:kinsoku w:val="0"/>
              <w:adjustRightInd w:val="0"/>
              <w:snapToGrid w:val="0"/>
              <w:textAlignment w:val="center"/>
              <w:rPr>
                <w:rFonts w:ascii="宋体" w:hAnsi="宋体" w:eastAsia="宋体" w:cs="宋体"/>
                <w:snapToGrid w:val="0"/>
                <w:color w:val="auto"/>
                <w:sz w:val="21"/>
                <w:szCs w:val="21"/>
                <w:lang w:eastAsia="zh-CN" w:bidi="ar"/>
              </w:rPr>
            </w:pPr>
            <w:r>
              <w:rPr>
                <w:rFonts w:ascii="宋体" w:hAnsi="宋体" w:eastAsia="宋体" w:cs="宋体"/>
                <w:snapToGrid w:val="0"/>
                <w:color w:val="auto"/>
                <w:sz w:val="21"/>
                <w:szCs w:val="21"/>
                <w:lang w:eastAsia="zh-CN" w:bidi="ar"/>
              </w:rPr>
              <w:t>4.</w:t>
            </w:r>
            <w:r>
              <w:rPr>
                <w:rFonts w:ascii="宋体" w:hAnsi="宋体" w:eastAsia="宋体" w:cs="宋体"/>
                <w:snapToGrid w:val="0"/>
                <w:color w:val="auto"/>
                <w:sz w:val="21"/>
                <w:szCs w:val="21"/>
                <w:lang w:eastAsia="zh-CN" w:bidi="ar"/>
              </w:rPr>
              <w:tab/>
            </w:r>
            <w:r>
              <w:rPr>
                <w:rFonts w:hint="eastAsia" w:ascii="宋体" w:hAnsi="宋体" w:eastAsia="宋体" w:cs="宋体"/>
                <w:snapToGrid w:val="0"/>
                <w:color w:val="auto"/>
                <w:sz w:val="21"/>
                <w:szCs w:val="21"/>
                <w:lang w:eastAsia="zh-CN" w:bidi="ar"/>
              </w:rPr>
              <w:t>快速操作说明书</w:t>
            </w:r>
            <w:r>
              <w:rPr>
                <w:rFonts w:ascii="宋体" w:hAnsi="宋体" w:eastAsia="宋体" w:cs="宋体"/>
                <w:snapToGrid w:val="0"/>
                <w:color w:val="auto"/>
                <w:sz w:val="21"/>
                <w:szCs w:val="21"/>
                <w:lang w:eastAsia="zh-CN" w:bidi="ar"/>
              </w:rPr>
              <w:t xml:space="preserve">  1</w:t>
            </w:r>
            <w:r>
              <w:rPr>
                <w:rFonts w:hint="eastAsia" w:ascii="宋体" w:hAnsi="宋体" w:eastAsia="宋体" w:cs="宋体"/>
                <w:snapToGrid w:val="0"/>
                <w:color w:val="auto"/>
                <w:sz w:val="21"/>
                <w:szCs w:val="21"/>
                <w:lang w:eastAsia="zh-CN" w:bidi="ar"/>
              </w:rPr>
              <w:t>份</w:t>
            </w:r>
          </w:p>
          <w:p>
            <w:pPr>
              <w:widowControl/>
              <w:kinsoku w:val="0"/>
              <w:adjustRightInd w:val="0"/>
              <w:snapToGrid w:val="0"/>
              <w:textAlignment w:val="center"/>
              <w:rPr>
                <w:rFonts w:ascii="宋体" w:hAnsi="宋体" w:eastAsia="宋体" w:cs="宋体"/>
                <w:snapToGrid w:val="0"/>
                <w:color w:val="auto"/>
                <w:sz w:val="21"/>
                <w:szCs w:val="21"/>
                <w:lang w:eastAsia="zh-CN"/>
              </w:rPr>
            </w:pPr>
            <w:r>
              <w:rPr>
                <w:rFonts w:ascii="宋体" w:hAnsi="宋体" w:eastAsia="宋体" w:cs="宋体"/>
                <w:snapToGrid w:val="0"/>
                <w:color w:val="auto"/>
                <w:sz w:val="21"/>
                <w:szCs w:val="21"/>
                <w:lang w:eastAsia="zh-CN" w:bidi="ar"/>
              </w:rPr>
              <w:t>5.</w:t>
            </w:r>
            <w:r>
              <w:rPr>
                <w:rFonts w:ascii="宋体" w:hAnsi="宋体" w:eastAsia="宋体" w:cs="宋体"/>
                <w:snapToGrid w:val="0"/>
                <w:color w:val="auto"/>
                <w:sz w:val="21"/>
                <w:szCs w:val="21"/>
                <w:lang w:eastAsia="zh-CN" w:bidi="ar"/>
              </w:rPr>
              <w:tab/>
            </w:r>
            <w:r>
              <w:rPr>
                <w:rFonts w:ascii="宋体" w:hAnsi="宋体" w:eastAsia="宋体" w:cs="宋体"/>
                <w:snapToGrid w:val="0"/>
                <w:color w:val="auto"/>
                <w:sz w:val="21"/>
                <w:szCs w:val="21"/>
                <w:lang w:eastAsia="zh-CN" w:bidi="ar"/>
              </w:rPr>
              <w:t xml:space="preserve">COA </w:t>
            </w:r>
            <w:r>
              <w:rPr>
                <w:rFonts w:hint="eastAsia" w:ascii="宋体" w:hAnsi="宋体" w:eastAsia="宋体" w:cs="宋体"/>
                <w:snapToGrid w:val="0"/>
                <w:color w:val="auto"/>
                <w:sz w:val="21"/>
                <w:szCs w:val="21"/>
                <w:lang w:eastAsia="zh-CN" w:bidi="ar"/>
              </w:rPr>
              <w:t>证书</w:t>
            </w:r>
            <w:r>
              <w:rPr>
                <w:rFonts w:ascii="宋体" w:hAnsi="宋体" w:eastAsia="宋体" w:cs="宋体"/>
                <w:snapToGrid w:val="0"/>
                <w:color w:val="auto"/>
                <w:sz w:val="21"/>
                <w:szCs w:val="21"/>
                <w:lang w:eastAsia="zh-CN" w:bidi="ar"/>
              </w:rPr>
              <w:t xml:space="preserve">  1</w:t>
            </w:r>
            <w:r>
              <w:rPr>
                <w:rFonts w:hint="eastAsia" w:ascii="宋体" w:hAnsi="宋体" w:eastAsia="宋体" w:cs="宋体"/>
                <w:snapToGrid w:val="0"/>
                <w:color w:val="auto"/>
                <w:sz w:val="21"/>
                <w:szCs w:val="21"/>
                <w:lang w:eastAsia="zh-CN" w:bidi="ar"/>
              </w:rPr>
              <w:t>份）</w:t>
            </w:r>
            <w:r>
              <w:rPr>
                <w:rFonts w:hint="eastAsia" w:ascii="宋体" w:hAnsi="宋体" w:eastAsia="宋体" w:cs="宋体"/>
                <w:snapToGrid w:val="0"/>
                <w:color w:val="auto"/>
                <w:sz w:val="21"/>
                <w:szCs w:val="21"/>
                <w:lang w:eastAsia="zh-CN" w:bidi="ar"/>
              </w:rPr>
              <w:br w:type="textWrapping"/>
            </w:r>
            <w:r>
              <w:rPr>
                <w:rFonts w:ascii="宋体" w:hAnsi="宋体" w:eastAsia="宋体" w:cs="宋体"/>
                <w:snapToGrid w:val="0"/>
                <w:color w:val="auto"/>
                <w:sz w:val="21"/>
                <w:szCs w:val="21"/>
                <w:lang w:eastAsia="zh-CN" w:bidi="ar"/>
              </w:rPr>
              <w:t>1</w:t>
            </w:r>
            <w:r>
              <w:rPr>
                <w:rFonts w:hint="eastAsia" w:ascii="宋体" w:hAnsi="宋体" w:eastAsia="宋体" w:cs="宋体"/>
                <w:snapToGrid w:val="0"/>
                <w:color w:val="auto"/>
                <w:sz w:val="21"/>
                <w:szCs w:val="21"/>
                <w:lang w:eastAsia="zh-CN" w:bidi="ar"/>
              </w:rPr>
              <w:t>9. ★为确保售后服务及货物质量，所投产品若为进口产品，需提供厂家或国内总代理或区域代理针对本项目的授权书和售后服务承诺函原件（总代理投标须有厂家授权，区域代理投标，须有总代理授权。）</w:t>
            </w:r>
          </w:p>
        </w:tc>
      </w:tr>
      <w:tr>
        <w:tblPrEx>
          <w:tblCellMar>
            <w:top w:w="0" w:type="dxa"/>
            <w:left w:w="108" w:type="dxa"/>
            <w:bottom w:w="0" w:type="dxa"/>
            <w:right w:w="108" w:type="dxa"/>
          </w:tblCellMar>
        </w:tblPrEx>
        <w:trPr>
          <w:trHeight w:val="6975" w:hRule="atLeast"/>
        </w:trPr>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kinsoku w:val="0"/>
              <w:adjustRightInd w:val="0"/>
              <w:snapToGrid w:val="0"/>
              <w:jc w:val="center"/>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3</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Arial" w:hAnsi="Arial" w:eastAsia="宋体" w:cs="Arial"/>
                <w:snapToGrid w:val="0"/>
                <w:color w:val="auto"/>
                <w:sz w:val="21"/>
                <w:szCs w:val="21"/>
                <w:lang w:eastAsia="zh-CN"/>
              </w:rPr>
            </w:pPr>
            <w:r>
              <w:rPr>
                <w:rFonts w:hint="eastAsia" w:ascii="宋体" w:hAnsi="宋体" w:eastAsia="宋体" w:cs="宋体"/>
                <w:snapToGrid w:val="0"/>
                <w:color w:val="auto"/>
                <w:sz w:val="21"/>
                <w:szCs w:val="21"/>
                <w:lang w:eastAsia="zh-CN" w:bidi="ar"/>
              </w:rPr>
              <w:t>转染系统</w:t>
            </w:r>
          </w:p>
        </w:tc>
        <w:tc>
          <w:tcPr>
            <w:tcW w:w="8919" w:type="dxa"/>
            <w:tcBorders>
              <w:top w:val="single" w:color="000000" w:sz="4" w:space="0"/>
              <w:left w:val="single" w:color="000000" w:sz="4" w:space="0"/>
              <w:bottom w:val="single" w:color="000000" w:sz="4" w:space="0"/>
              <w:right w:val="single" w:color="000000" w:sz="4" w:space="0"/>
            </w:tcBorders>
            <w:vAlign w:val="center"/>
          </w:tcPr>
          <w:p>
            <w:pPr>
              <w:widowControl/>
              <w:kinsoku w:val="0"/>
              <w:adjustRightInd w:val="0"/>
              <w:snapToGrid w:val="0"/>
              <w:textAlignment w:val="center"/>
              <w:rPr>
                <w:rFonts w:ascii="宋体" w:hAnsi="宋体" w:eastAsia="宋体" w:cs="宋体"/>
                <w:snapToGrid w:val="0"/>
                <w:color w:val="auto"/>
                <w:sz w:val="21"/>
                <w:szCs w:val="21"/>
                <w:lang w:eastAsia="zh-CN"/>
              </w:rPr>
            </w:pPr>
            <w:r>
              <w:rPr>
                <w:rFonts w:hint="eastAsia" w:ascii="宋体" w:hAnsi="宋体" w:eastAsia="宋体" w:cs="宋体"/>
                <w:snapToGrid w:val="0"/>
                <w:color w:val="auto"/>
                <w:sz w:val="21"/>
                <w:szCs w:val="21"/>
                <w:lang w:eastAsia="zh-CN" w:bidi="ar"/>
              </w:rPr>
              <w:t>仪器主要技术指标：</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1.转染系统采用的转染耗材，镀金电极，在电转时可形成均匀稳定的电场，大大提高转染效率，同时转染时与铝制的电转杯相比不会有大量的金属离子释放到缓冲液中，大大提高转染细胞的活性；</w:t>
            </w:r>
            <w:r>
              <w:rPr>
                <w:rFonts w:hint="eastAsia" w:ascii="宋体" w:hAnsi="宋体" w:eastAsia="宋体" w:cs="宋体"/>
                <w:snapToGrid w:val="0"/>
                <w:color w:val="auto"/>
                <w:sz w:val="21"/>
                <w:szCs w:val="21"/>
                <w:lang w:eastAsia="zh-CN" w:bidi="ar"/>
              </w:rPr>
              <w:br w:type="textWrapping"/>
            </w:r>
            <w:r>
              <w:rPr>
                <w:rFonts w:hint="eastAsia" w:ascii="宋体" w:hAnsi="宋体" w:eastAsia="宋体" w:cs="Arial"/>
                <w:snapToGrid w:val="0"/>
                <w:color w:val="auto"/>
                <w:sz w:val="21"/>
                <w:szCs w:val="21"/>
                <w:lang w:eastAsia="zh-CN"/>
              </w:rPr>
              <w:t>★</w:t>
            </w:r>
            <w:r>
              <w:rPr>
                <w:rFonts w:hint="eastAsia" w:ascii="宋体" w:hAnsi="宋体" w:eastAsia="宋体" w:cs="宋体"/>
                <w:snapToGrid w:val="0"/>
                <w:color w:val="auto"/>
                <w:sz w:val="21"/>
                <w:szCs w:val="21"/>
                <w:lang w:eastAsia="zh-CN" w:bidi="ar"/>
              </w:rPr>
              <w:t>2.电转缓冲液系统，一种缓冲液体系可以适用多种细胞的转染，并且可保证电转前后转染体系的pH值保持相对的稳定，大大提高转染细胞的活性；</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3.可电转的细胞量为 2x10</w:t>
            </w:r>
            <w:r>
              <w:rPr>
                <w:rFonts w:ascii="宋体" w:hAnsi="宋体" w:eastAsia="宋体" w:cs="宋体"/>
                <w:snapToGrid w:val="0"/>
                <w:color w:val="auto"/>
                <w:sz w:val="21"/>
                <w:szCs w:val="21"/>
                <w:vertAlign w:val="superscript"/>
                <w:lang w:eastAsia="zh-CN" w:bidi="ar"/>
              </w:rPr>
              <w:t>4</w:t>
            </w:r>
            <w:r>
              <w:rPr>
                <w:rFonts w:hint="eastAsia" w:ascii="宋体" w:hAnsi="宋体" w:eastAsia="宋体" w:cs="宋体"/>
                <w:snapToGrid w:val="0"/>
                <w:color w:val="auto"/>
                <w:sz w:val="21"/>
                <w:szCs w:val="21"/>
                <w:lang w:eastAsia="zh-CN" w:bidi="ar"/>
              </w:rPr>
              <w:t>-6x10</w:t>
            </w:r>
            <w:r>
              <w:rPr>
                <w:rFonts w:ascii="宋体" w:hAnsi="宋体" w:eastAsia="宋体" w:cs="宋体"/>
                <w:snapToGrid w:val="0"/>
                <w:color w:val="auto"/>
                <w:sz w:val="21"/>
                <w:szCs w:val="21"/>
                <w:vertAlign w:val="superscript"/>
                <w:lang w:eastAsia="zh-CN" w:bidi="ar"/>
              </w:rPr>
              <w:t>6</w:t>
            </w:r>
            <w:r>
              <w:rPr>
                <w:rFonts w:hint="eastAsia" w:ascii="宋体" w:hAnsi="宋体" w:eastAsia="宋体" w:cs="宋体"/>
                <w:snapToGrid w:val="0"/>
                <w:color w:val="auto"/>
                <w:sz w:val="21"/>
                <w:szCs w:val="21"/>
                <w:lang w:eastAsia="zh-CN" w:bidi="ar"/>
              </w:rPr>
              <w:t>，应用细胞量范围更广，即使很少的细胞也可以获得好的电转效率；</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4.转染细胞类型，可转染干细胞、神经细胞、原代细胞等难转染细胞，应用范围更加广泛；</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5．优化程序的转染程序设置，内置24种优化程序，可以迅速为您找到适合细胞电转条件，机器最多可以存储50种针对不同细胞的实验方案，程序设置灵活；</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6.电转参数的设置：输出电压（0.5-2.5 kV）、脉冲持续时间（1-100 ms）和脉冲次数（1-10），根据不同细胞类型用户可以设置不同的电转参数以获得最佳的转染效率和细胞活性；</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 xml:space="preserve">7.电转剂量，具有10 </w:t>
            </w:r>
            <w:r>
              <w:rPr>
                <w:rFonts w:ascii="Calibri" w:hAnsi="Calibri" w:eastAsia="宋体" w:cs="Calibri"/>
                <w:snapToGrid w:val="0"/>
                <w:color w:val="auto"/>
                <w:sz w:val="21"/>
                <w:szCs w:val="21"/>
                <w:lang w:eastAsia="zh-CN" w:bidi="ar"/>
              </w:rPr>
              <w:t>μ</w:t>
            </w:r>
            <w:r>
              <w:rPr>
                <w:rFonts w:hint="eastAsia" w:ascii="宋体" w:hAnsi="宋体" w:eastAsia="宋体" w:cs="宋体"/>
                <w:snapToGrid w:val="0"/>
                <w:color w:val="auto"/>
                <w:sz w:val="21"/>
                <w:szCs w:val="21"/>
                <w:lang w:eastAsia="zh-CN" w:bidi="ar"/>
              </w:rPr>
              <w:t xml:space="preserve">l和100 </w:t>
            </w:r>
            <w:r>
              <w:rPr>
                <w:rFonts w:ascii="Calibri" w:hAnsi="Calibri" w:eastAsia="宋体" w:cs="Calibri"/>
                <w:snapToGrid w:val="0"/>
                <w:color w:val="auto"/>
                <w:sz w:val="21"/>
                <w:szCs w:val="21"/>
                <w:lang w:eastAsia="zh-CN" w:bidi="ar"/>
              </w:rPr>
              <w:t>μ</w:t>
            </w:r>
            <w:r>
              <w:rPr>
                <w:rFonts w:hint="eastAsia" w:ascii="宋体" w:hAnsi="宋体" w:eastAsia="宋体" w:cs="宋体"/>
                <w:snapToGrid w:val="0"/>
                <w:color w:val="auto"/>
                <w:sz w:val="21"/>
                <w:szCs w:val="21"/>
                <w:lang w:eastAsia="zh-CN" w:bidi="ar"/>
              </w:rPr>
              <w:t>l可选，方便用户选择；</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 xml:space="preserve">8.简单、直观的用户界面，，只需轻点几下即可完成设置，操作简单只需三步即可完成实验；电源：100-240 VAC，3.0-6.0 A，50-60 Hz，300 W  </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配置清单：主机一台，配套的电转移液器一支。</w:t>
            </w:r>
            <w:r>
              <w:rPr>
                <w:rFonts w:hint="eastAsia" w:ascii="宋体" w:hAnsi="宋体" w:eastAsia="宋体" w:cs="宋体"/>
                <w:snapToGrid w:val="0"/>
                <w:color w:val="auto"/>
                <w:sz w:val="21"/>
                <w:szCs w:val="21"/>
                <w:lang w:eastAsia="zh-CN" w:bidi="ar"/>
              </w:rPr>
              <w:br w:type="textWrapping"/>
            </w:r>
            <w:r>
              <w:rPr>
                <w:rFonts w:hint="eastAsia" w:ascii="宋体" w:hAnsi="宋体" w:eastAsia="宋体" w:cs="宋体"/>
                <w:snapToGrid w:val="0"/>
                <w:color w:val="auto"/>
                <w:sz w:val="21"/>
                <w:szCs w:val="21"/>
                <w:lang w:eastAsia="zh-CN" w:bidi="ar"/>
              </w:rPr>
              <w:t>9. ★为确保售后服务及货物质量，所投产品若为进口产品，需提供厂家或国内总代理或区域代理针对本项目的授权书和售后服务承诺函原件（总代理投标须有厂家授权，区域代理投标，须有总代理授权。）</w:t>
            </w:r>
          </w:p>
        </w:tc>
      </w:tr>
    </w:tbl>
    <w:p>
      <w:pPr>
        <w:widowControl/>
        <w:kinsoku w:val="0"/>
        <w:adjustRightInd w:val="0"/>
        <w:snapToGrid w:val="0"/>
        <w:textAlignment w:val="baseline"/>
        <w:rPr>
          <w:rFonts w:ascii="Arial" w:hAnsi="Arial" w:eastAsia="Arial" w:cs="Arial"/>
          <w:snapToGrid w:val="0"/>
          <w:color w:val="auto"/>
          <w:sz w:val="21"/>
          <w:szCs w:val="21"/>
          <w:lang w:eastAsia="zh-CN"/>
        </w:rPr>
      </w:pPr>
    </w:p>
    <w:p>
      <w:pPr>
        <w:widowControl/>
        <w:kinsoku w:val="0"/>
        <w:adjustRightInd w:val="0"/>
        <w:snapToGrid w:val="0"/>
        <w:spacing w:line="360" w:lineRule="auto"/>
        <w:textAlignment w:val="baseline"/>
        <w:rPr>
          <w:rFonts w:ascii="Times New Roman" w:hAnsi="Times New Roman" w:eastAsia="宋体" w:cs="宋体"/>
          <w:b/>
          <w:bCs/>
          <w:snapToGrid w:val="0"/>
          <w:color w:val="auto"/>
          <w:kern w:val="44"/>
          <w:sz w:val="21"/>
          <w:szCs w:val="21"/>
          <w:lang w:eastAsia="zh-CN"/>
        </w:rPr>
      </w:pPr>
    </w:p>
    <w:p>
      <w:pPr>
        <w:widowControl/>
        <w:kinsoku w:val="0"/>
        <w:adjustRightInd w:val="0"/>
        <w:snapToGrid w:val="0"/>
        <w:spacing w:line="360" w:lineRule="auto"/>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b/>
          <w:bCs/>
          <w:snapToGrid w:val="0"/>
          <w:color w:val="auto"/>
          <w:kern w:val="44"/>
          <w:sz w:val="21"/>
          <w:szCs w:val="21"/>
          <w:lang w:eastAsia="zh-CN"/>
        </w:rPr>
        <w:t>注：</w:t>
      </w:r>
      <w:r>
        <w:rPr>
          <w:rFonts w:hint="eastAsia" w:ascii="Times New Roman" w:hAnsi="Times New Roman" w:eastAsia="宋体" w:cs="宋体"/>
          <w:snapToGrid w:val="0"/>
          <w:color w:val="auto"/>
          <w:sz w:val="21"/>
          <w:szCs w:val="21"/>
          <w:lang w:eastAsia="zh-CN"/>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2、投标人需对响应的“技术参数、规格、功能及其他要求”内容真实性负责，如虚假响应谋取中标资格，经核实发现，取消中标资格。</w:t>
      </w:r>
    </w:p>
    <w:p>
      <w:pPr>
        <w:widowControl/>
        <w:kinsoku w:val="0"/>
        <w:adjustRightInd w:val="0"/>
        <w:snapToGrid w:val="0"/>
        <w:spacing w:line="360" w:lineRule="auto"/>
        <w:textAlignment w:val="baseline"/>
        <w:outlineLvl w:val="3"/>
        <w:rPr>
          <w:rFonts w:ascii="Times New Roman" w:hAnsi="Times New Roman" w:eastAsia="宋体" w:cs="宋体"/>
          <w:b/>
          <w:bCs/>
          <w:snapToGrid w:val="0"/>
          <w:color w:val="auto"/>
          <w:sz w:val="21"/>
          <w:szCs w:val="21"/>
          <w:lang w:eastAsia="zh-CN"/>
        </w:rPr>
      </w:pPr>
      <w:bookmarkStart w:id="3" w:name="_GoBack"/>
      <w:bookmarkEnd w:id="3"/>
      <w:r>
        <w:rPr>
          <w:rFonts w:hint="eastAsia" w:ascii="Times New Roman" w:hAnsi="Times New Roman" w:eastAsia="宋体" w:cs="宋体"/>
          <w:b/>
          <w:bCs/>
          <w:snapToGrid w:val="0"/>
          <w:color w:val="auto"/>
          <w:sz w:val="21"/>
          <w:szCs w:val="21"/>
          <w:lang w:eastAsia="zh-CN"/>
        </w:rPr>
        <w:t>三、服务标准：</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1、售后服务：</w:t>
      </w:r>
      <w:bookmarkStart w:id="1" w:name="_Hlk134737710"/>
      <w:r>
        <w:rPr>
          <w:rFonts w:hint="eastAsia" w:ascii="Times New Roman" w:hAnsi="Times New Roman" w:eastAsia="宋体" w:cs="宋体"/>
          <w:snapToGrid w:val="0"/>
          <w:color w:val="auto"/>
          <w:sz w:val="21"/>
          <w:szCs w:val="21"/>
          <w:lang w:eastAsia="zh-CN"/>
        </w:rPr>
        <w:t>产品的质保期为至少5年，质保期内，凡因正常使用出现质量问题，投标人应提供免费维修或咨询等服务，承担因此产生的一切费用。投标人在接到买方故障通知后3小时内响应，24小时内到达用户现场并排除缺陷，修理相关货物或解决相关问题，质保期结束后，投标人仍应负责对货物提供终生维修服务或对服务提供咨询服务，只收取配件成本或服务成本。</w:t>
      </w:r>
      <w:bookmarkEnd w:id="1"/>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2、培训服务：</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（1）投标人应在采购人规定的时间内将全部产品安装、调试完毕，提供给采购人正常使用，并免费提供使用说明书及有关产品使用和管理的培训。</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（2）免费提供培训材料及所培训内容。</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（3）培训地点：采购人指定地点。</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（4）时间：培训时间不少于2场，并提供操作视频。</w:t>
      </w:r>
      <w:bookmarkStart w:id="2" w:name="_Hlk134737742"/>
      <w:r>
        <w:rPr>
          <w:rFonts w:hint="eastAsia" w:ascii="Times New Roman" w:hAnsi="Times New Roman" w:eastAsia="宋体" w:cs="宋体"/>
          <w:snapToGrid w:val="0"/>
          <w:color w:val="auto"/>
          <w:sz w:val="21"/>
          <w:szCs w:val="21"/>
          <w:lang w:eastAsia="zh-CN"/>
        </w:rPr>
        <w:t>此外，投标人应免费提供采购人不低于</w:t>
      </w:r>
      <w:r>
        <w:rPr>
          <w:rFonts w:ascii="Times New Roman" w:hAnsi="Times New Roman" w:eastAsia="宋体" w:cs="宋体"/>
          <w:snapToGrid w:val="0"/>
          <w:color w:val="auto"/>
          <w:sz w:val="21"/>
          <w:szCs w:val="21"/>
          <w:lang w:eastAsia="zh-CN"/>
        </w:rPr>
        <w:t>2</w:t>
      </w:r>
      <w:r>
        <w:rPr>
          <w:rFonts w:hint="eastAsia" w:ascii="Times New Roman" w:hAnsi="Times New Roman" w:eastAsia="宋体" w:cs="宋体"/>
          <w:snapToGrid w:val="0"/>
          <w:color w:val="auto"/>
          <w:sz w:val="21"/>
          <w:szCs w:val="21"/>
          <w:lang w:eastAsia="zh-CN"/>
        </w:rPr>
        <w:t>场次，每次不低于</w:t>
      </w:r>
      <w:r>
        <w:rPr>
          <w:rFonts w:ascii="Times New Roman" w:hAnsi="Times New Roman" w:eastAsia="宋体" w:cs="宋体"/>
          <w:snapToGrid w:val="0"/>
          <w:color w:val="auto"/>
          <w:sz w:val="21"/>
          <w:szCs w:val="21"/>
          <w:lang w:eastAsia="zh-CN"/>
        </w:rPr>
        <w:t>2</w:t>
      </w:r>
      <w:r>
        <w:rPr>
          <w:rFonts w:hint="eastAsia" w:ascii="Times New Roman" w:hAnsi="Times New Roman" w:eastAsia="宋体" w:cs="宋体"/>
          <w:snapToGrid w:val="0"/>
          <w:color w:val="auto"/>
          <w:sz w:val="21"/>
          <w:szCs w:val="21"/>
          <w:lang w:eastAsia="zh-CN"/>
        </w:rPr>
        <w:t>人次的异地培训。</w:t>
      </w:r>
      <w:bookmarkEnd w:id="2"/>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（5）内容：产品的基本原理、结构、基本操作及维护知识，并指导用户进行操作，直到用户方使用人员可独立进行操作为止。</w:t>
      </w:r>
    </w:p>
    <w:p>
      <w:pPr>
        <w:widowControl/>
        <w:kinsoku w:val="0"/>
        <w:adjustRightInd w:val="0"/>
        <w:snapToGrid w:val="0"/>
        <w:spacing w:line="360" w:lineRule="auto"/>
        <w:textAlignment w:val="baseline"/>
        <w:outlineLvl w:val="3"/>
        <w:rPr>
          <w:rFonts w:ascii="Times New Roman" w:hAnsi="Times New Roman" w:eastAsia="宋体" w:cs="宋体"/>
          <w:b/>
          <w:bCs/>
          <w:snapToGrid w:val="0"/>
          <w:color w:val="auto"/>
          <w:sz w:val="21"/>
          <w:szCs w:val="21"/>
          <w:lang w:eastAsia="zh-CN"/>
        </w:rPr>
      </w:pPr>
      <w:r>
        <w:rPr>
          <w:rFonts w:hint="eastAsia" w:ascii="Times New Roman" w:hAnsi="Times New Roman" w:eastAsia="宋体" w:cs="宋体"/>
          <w:b/>
          <w:bCs/>
          <w:snapToGrid w:val="0"/>
          <w:color w:val="auto"/>
          <w:sz w:val="21"/>
          <w:szCs w:val="21"/>
          <w:lang w:eastAsia="zh-CN"/>
        </w:rPr>
        <w:t>四、交货时间、交货地点及方式（履约时间/交付期、履约地点、履约方式）</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1、交货时间（履约时间/交付期）：合同签订后90天内交货且安装调试完毕交付使用。</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2、交货地点（履约地点）：采购人（用户）指定地点</w:t>
      </w:r>
    </w:p>
    <w:p>
      <w:pPr>
        <w:widowControl/>
        <w:kinsoku w:val="0"/>
        <w:adjustRightInd w:val="0"/>
        <w:snapToGrid w:val="0"/>
        <w:spacing w:line="360" w:lineRule="auto"/>
        <w:ind w:left="447" w:leftChars="203"/>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3、交货方式（履约方式）：由中标人运输至采购人指定地点施工及安装，且验收完毕。</w:t>
      </w:r>
    </w:p>
    <w:p>
      <w:pPr>
        <w:widowControl/>
        <w:kinsoku w:val="0"/>
        <w:adjustRightInd w:val="0"/>
        <w:snapToGrid w:val="0"/>
        <w:spacing w:line="360" w:lineRule="auto"/>
        <w:textAlignment w:val="baseline"/>
        <w:outlineLvl w:val="3"/>
        <w:rPr>
          <w:rFonts w:ascii="Times New Roman" w:hAnsi="Times New Roman" w:eastAsia="宋体" w:cs="宋体"/>
          <w:b/>
          <w:bCs/>
          <w:snapToGrid w:val="0"/>
          <w:color w:val="auto"/>
          <w:sz w:val="21"/>
          <w:szCs w:val="21"/>
          <w:lang w:eastAsia="zh-CN"/>
        </w:rPr>
      </w:pPr>
      <w:r>
        <w:rPr>
          <w:rFonts w:hint="eastAsia" w:ascii="Times New Roman" w:hAnsi="Times New Roman" w:eastAsia="宋体" w:cs="宋体"/>
          <w:b/>
          <w:bCs/>
          <w:snapToGrid w:val="0"/>
          <w:color w:val="auto"/>
          <w:sz w:val="21"/>
          <w:szCs w:val="21"/>
          <w:lang w:eastAsia="zh-CN"/>
        </w:rPr>
        <w:t>五、付款时间、方式及条件：</w:t>
      </w:r>
    </w:p>
    <w:p>
      <w:pPr>
        <w:widowControl w:val="0"/>
        <w:kinsoku w:val="0"/>
        <w:adjustRightInd w:val="0"/>
        <w:snapToGrid w:val="0"/>
        <w:ind w:firstLine="422" w:firstLineChars="200"/>
        <w:textAlignment w:val="baseline"/>
        <w:rPr>
          <w:rFonts w:ascii="Times New Roman" w:hAnsi="Times New Roman" w:eastAsia="宋体" w:cs="宋体"/>
          <w:b/>
          <w:bCs/>
          <w:snapToGrid w:val="0"/>
          <w:color w:val="auto"/>
          <w:sz w:val="21"/>
          <w:szCs w:val="21"/>
          <w:lang w:eastAsia="zh-CN"/>
        </w:rPr>
      </w:pPr>
      <w:r>
        <w:rPr>
          <w:rFonts w:hint="eastAsia" w:ascii="Times New Roman" w:hAnsi="Times New Roman" w:eastAsia="宋体" w:cs="宋体"/>
          <w:b/>
          <w:bCs/>
          <w:snapToGrid w:val="0"/>
          <w:color w:val="auto"/>
          <w:sz w:val="21"/>
          <w:szCs w:val="21"/>
          <w:lang w:eastAsia="zh-CN"/>
        </w:rPr>
        <w:t>进口产品：</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本合同甲丙之间采用第__（一）_1____种付款方式。</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（一）采取预付款的：</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1. 预付款金额为50万（含）以上</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本合同生效后，丙方向甲方提供有效期至少涵盖本合同指定到货时间点的预付款等额银行保函或者保险保函后，甲方应在10个工作日内向丙方支付合同总金额的</w:t>
      </w:r>
      <w:r>
        <w:rPr>
          <w:rFonts w:hint="eastAsia" w:ascii="宋体" w:hAnsi="宋体" w:eastAsia="宋体" w:cs="宋体"/>
          <w:snapToGrid w:val="0"/>
          <w:color w:val="000000"/>
          <w:kern w:val="2"/>
          <w:sz w:val="21"/>
          <w:szCs w:val="21"/>
          <w:u w:val="single"/>
          <w:lang w:eastAsia="zh-CN"/>
        </w:rPr>
        <w:t>70</w:t>
      </w:r>
      <w:r>
        <w:rPr>
          <w:rFonts w:hint="eastAsia" w:ascii="宋体" w:hAnsi="宋体" w:eastAsia="宋体" w:cs="宋体"/>
          <w:snapToGrid w:val="0"/>
          <w:color w:val="000000"/>
          <w:kern w:val="2"/>
          <w:sz w:val="21"/>
          <w:szCs w:val="21"/>
          <w:lang w:eastAsia="zh-CN"/>
        </w:rPr>
        <w:t>%的预付款，即人民币</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元；</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 xml:space="preserve">甲方收到本合同约定的所有货物并验收合格，取得丙方开具的合法有效的代理服务费和货物销售增值税发票后5个工作日内，向丙方支付合同总金额的 </w:t>
      </w:r>
      <w:r>
        <w:rPr>
          <w:rFonts w:hint="eastAsia" w:ascii="宋体" w:hAnsi="宋体" w:eastAsia="宋体" w:cs="宋体"/>
          <w:snapToGrid w:val="0"/>
          <w:color w:val="000000"/>
          <w:kern w:val="2"/>
          <w:sz w:val="21"/>
          <w:szCs w:val="21"/>
          <w:u w:val="single"/>
          <w:lang w:eastAsia="zh-CN"/>
        </w:rPr>
        <w:t>30</w:t>
      </w:r>
      <w:r>
        <w:rPr>
          <w:rFonts w:hint="eastAsia" w:ascii="宋体" w:hAnsi="宋体" w:eastAsia="宋体" w:cs="宋体"/>
          <w:snapToGrid w:val="0"/>
          <w:color w:val="000000"/>
          <w:kern w:val="2"/>
          <w:sz w:val="21"/>
          <w:szCs w:val="21"/>
          <w:lang w:eastAsia="zh-CN"/>
        </w:rPr>
        <w:t xml:space="preserve"> %，即人民币 </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元。</w:t>
      </w:r>
    </w:p>
    <w:p>
      <w:pPr>
        <w:widowControl w:val="0"/>
        <w:numPr>
          <w:ilvl w:val="0"/>
          <w:numId w:val="2"/>
        </w:numPr>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预付款金额为50万以下</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本合同生效后，甲方应在10个工作日内向丙方支付合同总金额的</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%的预付款，即人民币</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元；</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 xml:space="preserve">甲方收到本合同约定的所有货物并验收合格，取得丙方开具的合法有效的代理服务费和货物销售增值税发票后5个工作日内，向丙方支付合同总金额的 </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%，即人民币 </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元。</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（二）采取货到付款的：</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甲方收到本合同约定的所有货物并验收合格，取得丙方开具的合法有效的代理服务费和货物销售增值税发票后5个工作日内，按合同约定金额付款。</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 xml:space="preserve"> 无论甲丙之间采取何种付款方式，本合同全部货款根据丙乙双方协议由丙方向乙方支付。</w:t>
      </w:r>
    </w:p>
    <w:p>
      <w:pPr>
        <w:widowControl w:val="0"/>
        <w:kinsoku w:val="0"/>
        <w:adjustRightInd w:val="0"/>
        <w:snapToGrid w:val="0"/>
        <w:textAlignment w:val="baseline"/>
        <w:rPr>
          <w:rFonts w:ascii="宋体" w:hAnsi="宋体" w:eastAsia="宋体" w:cs="宋体"/>
          <w:snapToGrid w:val="0"/>
          <w:color w:val="auto"/>
          <w:sz w:val="21"/>
          <w:szCs w:val="21"/>
          <w:lang w:eastAsia="zh-CN"/>
        </w:rPr>
      </w:pPr>
    </w:p>
    <w:p>
      <w:pPr>
        <w:widowControl w:val="0"/>
        <w:kinsoku w:val="0"/>
        <w:adjustRightInd w:val="0"/>
        <w:snapToGrid w:val="0"/>
        <w:spacing w:after="120"/>
        <w:textAlignment w:val="baseline"/>
        <w:rPr>
          <w:rFonts w:ascii="宋体" w:hAnsi="宋体" w:eastAsia="宋体" w:cs="宋体"/>
          <w:b/>
          <w:bCs/>
          <w:snapToGrid w:val="0"/>
          <w:color w:val="auto"/>
          <w:sz w:val="21"/>
          <w:szCs w:val="21"/>
          <w:lang w:eastAsia="zh-CN"/>
        </w:rPr>
      </w:pPr>
      <w:r>
        <w:rPr>
          <w:rFonts w:hint="eastAsia" w:ascii="宋体" w:hAnsi="宋体" w:eastAsia="宋体" w:cs="宋体"/>
          <w:b/>
          <w:bCs/>
          <w:snapToGrid w:val="0"/>
          <w:color w:val="auto"/>
          <w:sz w:val="21"/>
          <w:szCs w:val="21"/>
          <w:lang w:eastAsia="zh-CN"/>
        </w:rPr>
        <w:t>国产产品：</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（一）采取预付款的：</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1. 预付款金额为50万（含）以上</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本合同生效后，乙方向甲方提供有效期至少涵盖本合同指定到货时间点的预付款等额银行保函或者保险保函后，甲方应在10个工作日内向乙方支付合同总金额的</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%的预付款，即人民币 </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元；</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甲方收到本合同约定的所有货物并验收合格，取得乙方开具的合法有效的增值税专用发票后5个工作日内，向乙方支付合同总金额的</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%，即人民币 </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元。</w:t>
      </w:r>
    </w:p>
    <w:p>
      <w:pPr>
        <w:widowControl w:val="0"/>
        <w:kinsoku w:val="0"/>
        <w:adjustRightInd w:val="0"/>
        <w:snapToGrid w:val="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预付款金额为50万以下</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 xml:space="preserve">本合同生效后，甲方应在10个工作日内向乙方支付合同总金额的 </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%的预付款，即人民币</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元；</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甲方收到本合同约定的所有货物并验收合格，取得乙方开具的合法有效的增值税专用发票后5个工作日内，向乙方支付合同总金额的</w:t>
      </w:r>
      <w:r>
        <w:rPr>
          <w:rFonts w:hint="eastAsia" w:ascii="宋体" w:hAnsi="宋体" w:eastAsia="宋体" w:cs="宋体"/>
          <w:snapToGrid w:val="0"/>
          <w:color w:val="000000"/>
          <w:kern w:val="2"/>
          <w:sz w:val="21"/>
          <w:szCs w:val="21"/>
          <w:u w:val="single"/>
          <w:lang w:eastAsia="zh-CN"/>
        </w:rPr>
        <w:t xml:space="preserve">    </w:t>
      </w:r>
      <w:r>
        <w:rPr>
          <w:rFonts w:hint="eastAsia" w:ascii="宋体" w:hAnsi="宋体" w:eastAsia="宋体" w:cs="宋体"/>
          <w:snapToGrid w:val="0"/>
          <w:color w:val="000000"/>
          <w:kern w:val="2"/>
          <w:sz w:val="21"/>
          <w:szCs w:val="21"/>
          <w:lang w:eastAsia="zh-CN"/>
        </w:rPr>
        <w:t xml:space="preserve"> %，即人民币                元。</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（二）采取货到付款的：</w:t>
      </w:r>
    </w:p>
    <w:p>
      <w:pPr>
        <w:widowControl w:val="0"/>
        <w:kinsoku w:val="0"/>
        <w:adjustRightInd w:val="0"/>
        <w:snapToGrid w:val="0"/>
        <w:ind w:firstLine="420" w:firstLineChars="200"/>
        <w:jc w:val="both"/>
        <w:textAlignment w:val="baseline"/>
        <w:rPr>
          <w:rFonts w:ascii="宋体" w:hAnsi="宋体" w:eastAsia="宋体" w:cs="宋体"/>
          <w:snapToGrid w:val="0"/>
          <w:color w:val="000000"/>
          <w:kern w:val="2"/>
          <w:sz w:val="21"/>
          <w:szCs w:val="21"/>
          <w:lang w:eastAsia="zh-CN"/>
        </w:rPr>
      </w:pPr>
      <w:r>
        <w:rPr>
          <w:rFonts w:hint="eastAsia" w:ascii="宋体" w:hAnsi="宋体" w:eastAsia="宋体" w:cs="宋体"/>
          <w:snapToGrid w:val="0"/>
          <w:color w:val="000000"/>
          <w:kern w:val="2"/>
          <w:sz w:val="21"/>
          <w:szCs w:val="21"/>
          <w:lang w:eastAsia="zh-CN"/>
        </w:rPr>
        <w:t>甲方收到本合同约定的所有货物并验收合格，取得乙方开具的合法有效的增值税专用发票后5个工作日内，按合同约定金额付款。</w:t>
      </w:r>
    </w:p>
    <w:p>
      <w:pPr>
        <w:widowControl w:val="0"/>
        <w:kinsoku w:val="0"/>
        <w:adjustRightInd w:val="0"/>
        <w:snapToGrid w:val="0"/>
        <w:ind w:firstLine="420" w:firstLineChars="200"/>
        <w:textAlignment w:val="baseline"/>
        <w:rPr>
          <w:rFonts w:ascii="Times New Roman" w:hAnsi="Times New Roman" w:eastAsia="宋体" w:cs="宋体"/>
          <w:bCs/>
          <w:snapToGrid w:val="0"/>
          <w:color w:val="auto"/>
          <w:sz w:val="21"/>
          <w:szCs w:val="21"/>
          <w:lang w:eastAsia="zh-CN"/>
        </w:rPr>
      </w:pPr>
    </w:p>
    <w:p>
      <w:pPr>
        <w:widowControl/>
        <w:kinsoku w:val="0"/>
        <w:adjustRightInd w:val="0"/>
        <w:snapToGrid w:val="0"/>
        <w:spacing w:line="360" w:lineRule="auto"/>
        <w:textAlignment w:val="baseline"/>
        <w:outlineLvl w:val="3"/>
        <w:rPr>
          <w:rFonts w:ascii="Times New Roman" w:hAnsi="Times New Roman" w:eastAsia="宋体" w:cs="宋体"/>
          <w:snapToGrid w:val="0"/>
          <w:color w:val="auto"/>
          <w:sz w:val="21"/>
          <w:szCs w:val="21"/>
          <w:lang w:eastAsia="zh-CN"/>
        </w:rPr>
      </w:pPr>
      <w:r>
        <w:rPr>
          <w:rFonts w:hint="eastAsia" w:ascii="Times New Roman" w:hAnsi="Times New Roman" w:eastAsia="宋体" w:cs="宋体"/>
          <w:b/>
          <w:bCs/>
          <w:snapToGrid w:val="0"/>
          <w:color w:val="auto"/>
          <w:sz w:val="21"/>
          <w:szCs w:val="21"/>
          <w:lang w:eastAsia="zh-CN"/>
        </w:rPr>
        <w:t>六、验收方法及标准：</w:t>
      </w:r>
      <w:r>
        <w:rPr>
          <w:rFonts w:hint="eastAsia" w:ascii="Times New Roman" w:hAnsi="Times New Roman" w:eastAsia="宋体" w:cs="宋体"/>
          <w:snapToGrid w:val="0"/>
          <w:color w:val="auto"/>
          <w:sz w:val="21"/>
          <w:szCs w:val="21"/>
          <w:lang w:eastAsia="zh-CN"/>
        </w:rPr>
        <w:t>按本采购文件及中标人投标文件及国家、地方和行业的相关政策、法规实施。</w:t>
      </w:r>
    </w:p>
    <w:p>
      <w:pPr>
        <w:widowControl/>
        <w:kinsoku w:val="0"/>
        <w:adjustRightInd w:val="0"/>
        <w:snapToGrid w:val="0"/>
        <w:spacing w:line="360" w:lineRule="auto"/>
        <w:textAlignment w:val="baseline"/>
        <w:outlineLvl w:val="3"/>
        <w:rPr>
          <w:rFonts w:ascii="Times New Roman" w:hAnsi="Times New Roman" w:eastAsia="宋体" w:cs="宋体"/>
          <w:b/>
          <w:bCs/>
          <w:snapToGrid w:val="0"/>
          <w:color w:val="auto"/>
          <w:sz w:val="21"/>
          <w:szCs w:val="21"/>
          <w:lang w:eastAsia="zh-CN"/>
        </w:rPr>
      </w:pPr>
      <w:r>
        <w:rPr>
          <w:rFonts w:hint="eastAsia" w:ascii="Times New Roman" w:hAnsi="Times New Roman" w:eastAsia="宋体" w:cs="宋体"/>
          <w:b/>
          <w:bCs/>
          <w:snapToGrid w:val="0"/>
          <w:color w:val="auto"/>
          <w:sz w:val="21"/>
          <w:szCs w:val="21"/>
          <w:lang w:eastAsia="zh-CN"/>
        </w:rPr>
        <w:t>七、其他</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1.安全标准：符合国家、地方和行业的相关政策、法规。</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2.项目的实质性要求：按招标文件要求实施。</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3.合同的实质性条款：采购人与中标人的名称和住所、标的、数量、质量、价款或者报酬、履行期限及地点和方式、验收要求、违约责任、解决争议的方法等内容。</w:t>
      </w:r>
    </w:p>
    <w:p>
      <w:pPr>
        <w:widowControl/>
        <w:kinsoku w:val="0"/>
        <w:adjustRightInd w:val="0"/>
        <w:snapToGrid w:val="0"/>
        <w:spacing w:line="360" w:lineRule="auto"/>
        <w:ind w:firstLine="420" w:firstLineChars="200"/>
        <w:textAlignment w:val="baseline"/>
        <w:rPr>
          <w:rFonts w:ascii="Times New Roman" w:hAnsi="Times New Roman" w:eastAsia="宋体" w:cs="宋体"/>
          <w:snapToGrid w:val="0"/>
          <w:color w:val="auto"/>
          <w:sz w:val="21"/>
          <w:szCs w:val="21"/>
          <w:lang w:eastAsia="zh-CN"/>
        </w:rPr>
      </w:pPr>
      <w:r>
        <w:rPr>
          <w:rFonts w:hint="eastAsia" w:ascii="Times New Roman" w:hAnsi="Times New Roman" w:eastAsia="宋体" w:cs="宋体"/>
          <w:snapToGrid w:val="0"/>
          <w:color w:val="auto"/>
          <w:sz w:val="21"/>
          <w:szCs w:val="21"/>
          <w:lang w:eastAsia="zh-CN"/>
        </w:rPr>
        <w:t>4.法律法规规定的强制性标准：无</w:t>
      </w:r>
    </w:p>
    <w:p>
      <w:pPr>
        <w:widowControl/>
        <w:kinsoku w:val="0"/>
        <w:adjustRightInd w:val="0"/>
        <w:snapToGrid w:val="0"/>
        <w:textAlignment w:val="baseline"/>
        <w:rPr>
          <w:rFonts w:ascii="Times New Roman" w:hAnsi="Times New Roman" w:eastAsia="宋体" w:cs="宋体"/>
          <w:b/>
          <w:bCs/>
          <w:snapToGrid w:val="0"/>
          <w:color w:val="auto"/>
          <w:sz w:val="21"/>
          <w:szCs w:val="21"/>
          <w:lang w:eastAsia="zh-CN"/>
        </w:rPr>
      </w:pPr>
      <w:r>
        <w:rPr>
          <w:rFonts w:hint="eastAsia" w:ascii="Times New Roman" w:hAnsi="Times New Roman" w:eastAsia="宋体" w:cs="宋体"/>
          <w:b/>
          <w:bCs/>
          <w:snapToGrid w:val="0"/>
          <w:color w:val="auto"/>
          <w:sz w:val="21"/>
          <w:szCs w:val="21"/>
          <w:lang w:eastAsia="zh-CN"/>
        </w:rPr>
        <w:t>八、第3包最高限价：108万元，投标人报价如超过此最高限价及各单价限价的将作为无效投标处理。</w:t>
      </w:r>
    </w:p>
    <w:p>
      <w:pPr>
        <w:pStyle w:val="14"/>
        <w:numPr>
          <w:ilvl w:val="0"/>
          <w:numId w:val="0"/>
        </w:numPr>
        <w:rPr>
          <w:rFonts w:hint="default" w:ascii="仿宋" w:hAnsi="仿宋" w:eastAsia="仿宋" w:cs="仿宋"/>
          <w:color w:val="000000" w:themeColor="text1"/>
          <w:lang w:val="en-US" w:eastAsia="zh-CN"/>
          <w14:textFill>
            <w14:solidFill>
              <w14:schemeClr w14:val="tx1"/>
            </w14:solidFill>
          </w14:textFill>
        </w:rPr>
      </w:pPr>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94FFA"/>
    <w:multiLevelType w:val="singleLevel"/>
    <w:tmpl w:val="E7194FFA"/>
    <w:lvl w:ilvl="0" w:tentative="0">
      <w:start w:val="2"/>
      <w:numFmt w:val="decimal"/>
      <w:suff w:val="space"/>
      <w:lvlText w:val="%1."/>
      <w:lvlJc w:val="left"/>
    </w:lvl>
  </w:abstractNum>
  <w:abstractNum w:abstractNumId="1">
    <w:nsid w:val="33418A24"/>
    <w:multiLevelType w:val="singleLevel"/>
    <w:tmpl w:val="33418A24"/>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jN2QwOGFlMTQ0ZTA3MWU2YmJiYTliZmI4NTJjYjQifQ=="/>
    <w:docVar w:name="KSO_WPS_MARK_KEY" w:val="d8476cdd-5cbf-4470-878b-84ac405e7700"/>
  </w:docVars>
  <w:rsids>
    <w:rsidRoot w:val="369123E6"/>
    <w:rsid w:val="000431E7"/>
    <w:rsid w:val="00064F20"/>
    <w:rsid w:val="000668BF"/>
    <w:rsid w:val="00133430"/>
    <w:rsid w:val="00206B47"/>
    <w:rsid w:val="0022310E"/>
    <w:rsid w:val="002F553F"/>
    <w:rsid w:val="005114AC"/>
    <w:rsid w:val="00532F08"/>
    <w:rsid w:val="006C5DEC"/>
    <w:rsid w:val="00703E2A"/>
    <w:rsid w:val="00876648"/>
    <w:rsid w:val="00995F95"/>
    <w:rsid w:val="00AA5F4C"/>
    <w:rsid w:val="00CE79E7"/>
    <w:rsid w:val="00DE0AE1"/>
    <w:rsid w:val="00E37040"/>
    <w:rsid w:val="01606C45"/>
    <w:rsid w:val="077C5B52"/>
    <w:rsid w:val="08C461A2"/>
    <w:rsid w:val="0B526F89"/>
    <w:rsid w:val="0D3A1F53"/>
    <w:rsid w:val="0E890501"/>
    <w:rsid w:val="0FC321A4"/>
    <w:rsid w:val="0FE8375B"/>
    <w:rsid w:val="12347E84"/>
    <w:rsid w:val="12A26EC5"/>
    <w:rsid w:val="13757A9A"/>
    <w:rsid w:val="14686F96"/>
    <w:rsid w:val="154263CD"/>
    <w:rsid w:val="1B3B29FA"/>
    <w:rsid w:val="1DDC7DDF"/>
    <w:rsid w:val="24AB494A"/>
    <w:rsid w:val="251429F5"/>
    <w:rsid w:val="278F7DE4"/>
    <w:rsid w:val="28BF0C2D"/>
    <w:rsid w:val="2BE14DD0"/>
    <w:rsid w:val="2D2949A2"/>
    <w:rsid w:val="317A1DE6"/>
    <w:rsid w:val="31831CCA"/>
    <w:rsid w:val="33640901"/>
    <w:rsid w:val="35243365"/>
    <w:rsid w:val="35AE0127"/>
    <w:rsid w:val="363910BB"/>
    <w:rsid w:val="369123E6"/>
    <w:rsid w:val="37454358"/>
    <w:rsid w:val="37D30C4F"/>
    <w:rsid w:val="388E7535"/>
    <w:rsid w:val="449358AA"/>
    <w:rsid w:val="4B7D51E5"/>
    <w:rsid w:val="4D630D6E"/>
    <w:rsid w:val="4F60421E"/>
    <w:rsid w:val="501F1F88"/>
    <w:rsid w:val="50FD78A2"/>
    <w:rsid w:val="51014E22"/>
    <w:rsid w:val="51822FD0"/>
    <w:rsid w:val="52242A6D"/>
    <w:rsid w:val="55A63E7B"/>
    <w:rsid w:val="55D62B2F"/>
    <w:rsid w:val="577A2DB4"/>
    <w:rsid w:val="5B2913E8"/>
    <w:rsid w:val="5F8D5F71"/>
    <w:rsid w:val="63F95586"/>
    <w:rsid w:val="642E6B65"/>
    <w:rsid w:val="646141D1"/>
    <w:rsid w:val="657567C9"/>
    <w:rsid w:val="6C387866"/>
    <w:rsid w:val="6FDB2297"/>
    <w:rsid w:val="701F4DDF"/>
    <w:rsid w:val="73D61BA7"/>
    <w:rsid w:val="74971C89"/>
    <w:rsid w:val="75B63210"/>
    <w:rsid w:val="772E7484"/>
    <w:rsid w:val="790117D9"/>
    <w:rsid w:val="7F02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en-US" w:eastAsia="en-US" w:bidi="ar-SA"/>
    </w:rPr>
  </w:style>
  <w:style w:type="paragraph" w:styleId="6">
    <w:name w:val="heading 2"/>
    <w:basedOn w:val="1"/>
    <w:next w:val="1"/>
    <w:autoRedefine/>
    <w:qFormat/>
    <w:uiPriority w:val="1"/>
    <w:pPr>
      <w:spacing w:before="20"/>
      <w:ind w:left="2372"/>
      <w:outlineLvl w:val="1"/>
    </w:pPr>
    <w:rPr>
      <w:sz w:val="43"/>
      <w:szCs w:val="43"/>
    </w:rPr>
  </w:style>
  <w:style w:type="paragraph" w:styleId="7">
    <w:name w:val="heading 4"/>
    <w:basedOn w:val="1"/>
    <w:next w:val="1"/>
    <w:autoRedefine/>
    <w:qFormat/>
    <w:uiPriority w:val="0"/>
    <w:pPr>
      <w:keepNext/>
      <w:keepLines/>
      <w:spacing w:line="360" w:lineRule="auto"/>
      <w:outlineLvl w:val="3"/>
    </w:pPr>
    <w:rPr>
      <w:rFonts w:cs="Times New Roman"/>
      <w:sz w:val="24"/>
    </w:rPr>
  </w:style>
  <w:style w:type="paragraph" w:styleId="8">
    <w:name w:val="heading 7"/>
    <w:basedOn w:val="1"/>
    <w:next w:val="1"/>
    <w:autoRedefine/>
    <w:qFormat/>
    <w:uiPriority w:val="1"/>
    <w:pPr>
      <w:spacing w:before="29"/>
      <w:ind w:left="226"/>
      <w:outlineLvl w:val="6"/>
    </w:pPr>
    <w:rPr>
      <w:b/>
      <w:bCs/>
      <w:sz w:val="30"/>
      <w:szCs w:val="30"/>
    </w:rPr>
  </w:style>
  <w:style w:type="character" w:default="1" w:styleId="18">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pPr>
    <w:rPr>
      <w:szCs w:val="24"/>
    </w:rPr>
  </w:style>
  <w:style w:type="paragraph" w:styleId="3">
    <w:name w:val="Body Text Indent"/>
    <w:basedOn w:val="1"/>
    <w:next w:val="4"/>
    <w:autoRedefine/>
    <w:qFormat/>
    <w:uiPriority w:val="0"/>
    <w:pPr>
      <w:spacing w:line="460" w:lineRule="exact"/>
      <w:ind w:firstLine="480" w:firstLineChars="200"/>
    </w:pPr>
    <w:rPr>
      <w:sz w:val="24"/>
    </w:rPr>
  </w:style>
  <w:style w:type="paragraph" w:styleId="4">
    <w:name w:val="envelope return"/>
    <w:basedOn w:val="1"/>
    <w:autoRedefine/>
    <w:qFormat/>
    <w:uiPriority w:val="0"/>
    <w:pPr>
      <w:adjustRightInd w:val="0"/>
      <w:snapToGrid w:val="0"/>
      <w:spacing w:after="200"/>
    </w:pPr>
    <w:rPr>
      <w:rFonts w:ascii="Arial" w:hAnsi="Arial" w:eastAsia="微软雅黑" w:cs="Times New Roman"/>
    </w:rPr>
  </w:style>
  <w:style w:type="paragraph" w:styleId="5">
    <w:name w:val="Body Text"/>
    <w:basedOn w:val="1"/>
    <w:next w:val="1"/>
    <w:autoRedefine/>
    <w:qFormat/>
    <w:uiPriority w:val="0"/>
    <w:pPr>
      <w:spacing w:after="120"/>
    </w:pPr>
  </w:style>
  <w:style w:type="paragraph" w:styleId="9">
    <w:name w:val="Normal Indent"/>
    <w:basedOn w:val="1"/>
    <w:autoRedefine/>
    <w:qFormat/>
    <w:uiPriority w:val="0"/>
    <w:pPr>
      <w:ind w:firstLine="420"/>
    </w:pPr>
    <w:rPr>
      <w:sz w:val="28"/>
      <w:szCs w:val="28"/>
    </w:rPr>
  </w:style>
  <w:style w:type="paragraph" w:styleId="10">
    <w:name w:val="annotation text"/>
    <w:basedOn w:val="1"/>
    <w:link w:val="30"/>
    <w:autoRedefine/>
    <w:semiHidden/>
    <w:qFormat/>
    <w:uiPriority w:val="0"/>
    <w:rPr>
      <w:sz w:val="24"/>
      <w:szCs w:val="20"/>
    </w:rPr>
  </w:style>
  <w:style w:type="paragraph" w:styleId="11">
    <w:name w:val="Balloon Text"/>
    <w:basedOn w:val="1"/>
    <w:link w:val="29"/>
    <w:autoRedefine/>
    <w:qFormat/>
    <w:uiPriority w:val="0"/>
    <w:rPr>
      <w:sz w:val="18"/>
      <w:szCs w:val="18"/>
    </w:rPr>
  </w:style>
  <w:style w:type="paragraph" w:styleId="12">
    <w:name w:val="footer"/>
    <w:basedOn w:val="1"/>
    <w:link w:val="28"/>
    <w:autoRedefine/>
    <w:qFormat/>
    <w:uiPriority w:val="0"/>
    <w:pPr>
      <w:tabs>
        <w:tab w:val="center" w:pos="4153"/>
        <w:tab w:val="right" w:pos="8306"/>
      </w:tabs>
      <w:snapToGrid w:val="0"/>
    </w:pPr>
    <w:rPr>
      <w:sz w:val="18"/>
      <w:szCs w:val="18"/>
    </w:rPr>
  </w:style>
  <w:style w:type="paragraph" w:styleId="13">
    <w:name w:val="header"/>
    <w:basedOn w:val="1"/>
    <w:link w:val="27"/>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autoRedefine/>
    <w:qFormat/>
    <w:uiPriority w:val="0"/>
    <w:pPr>
      <w:spacing w:after="120" w:line="480" w:lineRule="auto"/>
    </w:pPr>
  </w:style>
  <w:style w:type="paragraph" w:styleId="15">
    <w:name w:val="Normal (Web)"/>
    <w:basedOn w:val="1"/>
    <w:autoRedefine/>
    <w:qFormat/>
    <w:uiPriority w:val="0"/>
    <w:rPr>
      <w:sz w:val="24"/>
    </w:rPr>
  </w:style>
  <w:style w:type="paragraph" w:styleId="16">
    <w:name w:val="annotation subject"/>
    <w:basedOn w:val="10"/>
    <w:next w:val="10"/>
    <w:link w:val="31"/>
    <w:autoRedefine/>
    <w:qFormat/>
    <w:uiPriority w:val="0"/>
    <w:rPr>
      <w:b/>
      <w:bCs/>
      <w:sz w:val="22"/>
      <w:szCs w:val="22"/>
    </w:rPr>
  </w:style>
  <w:style w:type="character" w:styleId="19">
    <w:name w:val="annotation reference"/>
    <w:basedOn w:val="18"/>
    <w:autoRedefine/>
    <w:qFormat/>
    <w:uiPriority w:val="0"/>
    <w:rPr>
      <w:sz w:val="21"/>
      <w:szCs w:val="21"/>
    </w:rPr>
  </w:style>
  <w:style w:type="character" w:customStyle="1" w:styleId="20">
    <w:name w:val="font71"/>
    <w:basedOn w:val="18"/>
    <w:autoRedefine/>
    <w:qFormat/>
    <w:uiPriority w:val="0"/>
    <w:rPr>
      <w:rFonts w:hint="default" w:ascii="Arial" w:hAnsi="Arial" w:cs="Arial"/>
      <w:color w:val="000000"/>
      <w:sz w:val="20"/>
      <w:szCs w:val="20"/>
      <w:u w:val="none"/>
    </w:rPr>
  </w:style>
  <w:style w:type="character" w:customStyle="1" w:styleId="21">
    <w:name w:val="font51"/>
    <w:basedOn w:val="18"/>
    <w:autoRedefine/>
    <w:qFormat/>
    <w:uiPriority w:val="0"/>
    <w:rPr>
      <w:rFonts w:hint="eastAsia" w:ascii="宋体" w:hAnsi="宋体" w:eastAsia="宋体" w:cs="宋体"/>
      <w:color w:val="000000"/>
      <w:sz w:val="20"/>
      <w:szCs w:val="20"/>
      <w:u w:val="none"/>
    </w:rPr>
  </w:style>
  <w:style w:type="character" w:customStyle="1" w:styleId="22">
    <w:name w:val="font31"/>
    <w:basedOn w:val="18"/>
    <w:autoRedefine/>
    <w:qFormat/>
    <w:uiPriority w:val="0"/>
    <w:rPr>
      <w:rFonts w:ascii="MS Gothic" w:hAnsi="MS Gothic" w:eastAsia="MS Gothic" w:cs="MS Gothic"/>
      <w:color w:val="000000"/>
      <w:sz w:val="20"/>
      <w:szCs w:val="20"/>
      <w:u w:val="none"/>
    </w:rPr>
  </w:style>
  <w:style w:type="character" w:customStyle="1" w:styleId="23">
    <w:name w:val="font112"/>
    <w:basedOn w:val="18"/>
    <w:autoRedefine/>
    <w:qFormat/>
    <w:uiPriority w:val="0"/>
    <w:rPr>
      <w:rFonts w:ascii="等线" w:hAnsi="等线" w:eastAsia="等线" w:cs="等线"/>
      <w:color w:val="000000"/>
      <w:sz w:val="20"/>
      <w:szCs w:val="20"/>
      <w:u w:val="none"/>
    </w:rPr>
  </w:style>
  <w:style w:type="character" w:customStyle="1" w:styleId="24">
    <w:name w:val="font41"/>
    <w:autoRedefine/>
    <w:qFormat/>
    <w:uiPriority w:val="0"/>
    <w:rPr>
      <w:rFonts w:hint="default" w:ascii="Times New Roman" w:hAnsi="Times New Roman" w:cs="Times New Roman"/>
      <w:color w:val="000000"/>
      <w:sz w:val="20"/>
      <w:szCs w:val="20"/>
      <w:u w:val="none"/>
    </w:rPr>
  </w:style>
  <w:style w:type="paragraph" w:styleId="25">
    <w:name w:val="List Paragraph"/>
    <w:basedOn w:val="1"/>
    <w:autoRedefine/>
    <w:qFormat/>
    <w:uiPriority w:val="34"/>
    <w:pPr>
      <w:autoSpaceDE/>
      <w:autoSpaceDN/>
      <w:ind w:firstLine="420" w:firstLineChars="200"/>
      <w:jc w:val="both"/>
    </w:pPr>
    <w:rPr>
      <w:rFonts w:ascii="等线" w:hAnsi="等线" w:eastAsia="等线" w:cs="Times New Roman"/>
      <w:kern w:val="2"/>
    </w:rPr>
  </w:style>
  <w:style w:type="character" w:customStyle="1" w:styleId="26">
    <w:name w:val="15"/>
    <w:basedOn w:val="18"/>
    <w:autoRedefine/>
    <w:qFormat/>
    <w:uiPriority w:val="0"/>
    <w:rPr>
      <w:rFonts w:hint="default" w:ascii="Times New Roman" w:hAnsi="Times New Roman" w:cs="Times New Roman"/>
      <w:color w:val="000000"/>
      <w:sz w:val="20"/>
      <w:szCs w:val="20"/>
    </w:rPr>
  </w:style>
  <w:style w:type="character" w:customStyle="1" w:styleId="27">
    <w:name w:val="页眉 字符"/>
    <w:basedOn w:val="18"/>
    <w:link w:val="13"/>
    <w:autoRedefine/>
    <w:qFormat/>
    <w:uiPriority w:val="0"/>
    <w:rPr>
      <w:rFonts w:ascii="宋体" w:hAnsi="宋体" w:cs="宋体"/>
      <w:sz w:val="18"/>
      <w:szCs w:val="18"/>
      <w:lang w:eastAsia="en-US"/>
    </w:rPr>
  </w:style>
  <w:style w:type="character" w:customStyle="1" w:styleId="28">
    <w:name w:val="页脚 字符"/>
    <w:basedOn w:val="18"/>
    <w:link w:val="12"/>
    <w:autoRedefine/>
    <w:qFormat/>
    <w:uiPriority w:val="0"/>
    <w:rPr>
      <w:rFonts w:ascii="宋体" w:hAnsi="宋体" w:cs="宋体"/>
      <w:sz w:val="18"/>
      <w:szCs w:val="18"/>
      <w:lang w:eastAsia="en-US"/>
    </w:rPr>
  </w:style>
  <w:style w:type="character" w:customStyle="1" w:styleId="29">
    <w:name w:val="批注框文本 字符"/>
    <w:basedOn w:val="18"/>
    <w:link w:val="11"/>
    <w:autoRedefine/>
    <w:qFormat/>
    <w:uiPriority w:val="0"/>
    <w:rPr>
      <w:rFonts w:ascii="宋体" w:hAnsi="宋体" w:cs="宋体"/>
      <w:sz w:val="18"/>
      <w:szCs w:val="18"/>
      <w:lang w:eastAsia="en-US"/>
    </w:rPr>
  </w:style>
  <w:style w:type="character" w:customStyle="1" w:styleId="30">
    <w:name w:val="批注文字 字符"/>
    <w:basedOn w:val="18"/>
    <w:link w:val="10"/>
    <w:autoRedefine/>
    <w:semiHidden/>
    <w:qFormat/>
    <w:uiPriority w:val="0"/>
    <w:rPr>
      <w:rFonts w:ascii="宋体" w:hAnsi="宋体" w:cs="宋体"/>
      <w:sz w:val="24"/>
      <w:lang w:eastAsia="en-US"/>
    </w:rPr>
  </w:style>
  <w:style w:type="character" w:customStyle="1" w:styleId="31">
    <w:name w:val="批注主题 字符"/>
    <w:basedOn w:val="30"/>
    <w:link w:val="16"/>
    <w:autoRedefine/>
    <w:qFormat/>
    <w:uiPriority w:val="0"/>
    <w:rPr>
      <w:rFonts w:ascii="宋体" w:hAnsi="宋体" w:cs="宋体"/>
      <w:b/>
      <w:bCs/>
      <w:sz w:val="22"/>
      <w:szCs w:val="22"/>
      <w:lang w:eastAsia="en-US"/>
    </w:rPr>
  </w:style>
  <w:style w:type="paragraph" w:customStyle="1" w:styleId="32">
    <w:name w:val="Revision"/>
    <w:autoRedefine/>
    <w:hidden/>
    <w:semiHidden/>
    <w:qFormat/>
    <w:uiPriority w:val="99"/>
    <w:rPr>
      <w:rFonts w:ascii="宋体" w:hAnsi="宋体" w:eastAsia="宋体" w:cs="宋体"/>
      <w:sz w:val="22"/>
      <w:szCs w:val="22"/>
      <w:lang w:val="en-US" w:eastAsia="en-US" w:bidi="ar-SA"/>
    </w:rPr>
  </w:style>
  <w:style w:type="character" w:customStyle="1" w:styleId="33">
    <w:name w:val="font132"/>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72</Pages>
  <Words>10865</Words>
  <Characters>61934</Characters>
  <Lines>516</Lines>
  <Paragraphs>145</Paragraphs>
  <TotalTime>1</TotalTime>
  <ScaleCrop>false</ScaleCrop>
  <LinksUpToDate>false</LinksUpToDate>
  <CharactersWithSpaces>72654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2023-05-31T14:39:00Z</dcterms:created>
  <dc:creator>一缕晨光</dc:creator>
  <cp:lastModifiedBy>GJ</cp:lastModifiedBy>
  <cp:lastPrinted>2023-03-02T08:12:00Z</cp:lastPrinted>
  <dcterms:modified xsi:type="dcterms:W3CDTF">2024-04-24T01:04:03Z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3A02BABF227345C69E8161795C06EDE4</vt:lpwstr>
  </property>
</Properties>
</file>