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jc w:val="center"/>
        <w:rPr>
          <w:rFonts w:hint="eastAsia" w:ascii="宋体" w:hAnsi="宋体" w:eastAsia="宋体" w:cs="宋体"/>
          <w:b/>
          <w:bCs/>
          <w:color w:val="auto"/>
          <w:kern w:val="44"/>
          <w:sz w:val="28"/>
          <w:szCs w:val="28"/>
        </w:rPr>
      </w:pPr>
      <w:bookmarkStart w:id="0" w:name="_Toc9764"/>
      <w:r>
        <w:rPr>
          <w:rStyle w:val="7"/>
          <w:rFonts w:hint="eastAsia" w:ascii="宋体" w:hAnsi="宋体" w:eastAsia="宋体" w:cs="宋体"/>
          <w:b/>
          <w:bCs/>
          <w:color w:val="auto"/>
          <w:sz w:val="36"/>
          <w:szCs w:val="36"/>
          <w:lang w:val="en-US" w:eastAsia="zh-CN"/>
        </w:rPr>
        <w:t>第三部分  采购需求</w:t>
      </w:r>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一、</w:t>
      </w:r>
      <w:r>
        <w:rPr>
          <w:rFonts w:hint="eastAsia" w:ascii="宋体" w:hAnsi="宋体" w:eastAsia="宋体" w:cs="宋体"/>
          <w:b/>
          <w:bCs/>
          <w:color w:val="auto"/>
          <w:sz w:val="24"/>
          <w:szCs w:val="24"/>
          <w:u w:val="none"/>
        </w:rPr>
        <w:t>项目</w:t>
      </w:r>
      <w:r>
        <w:rPr>
          <w:rFonts w:hint="eastAsia" w:ascii="宋体" w:hAnsi="宋体" w:eastAsia="宋体" w:cs="宋体"/>
          <w:b/>
          <w:bCs/>
          <w:color w:val="auto"/>
          <w:sz w:val="24"/>
          <w:szCs w:val="24"/>
          <w:u w:val="none"/>
          <w:lang w:val="en-US" w:eastAsia="zh-CN"/>
        </w:rPr>
        <w:t>概况</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right="-443" w:rightChars="-211" w:hanging="425" w:firstLineChars="0"/>
        <w:jc w:val="both"/>
        <w:textAlignment w:val="auto"/>
        <w:rPr>
          <w:rFonts w:hint="eastAsia" w:ascii="宋体" w:hAnsi="宋体" w:eastAsia="宋体" w:cs="宋体"/>
          <w:color w:val="auto"/>
          <w:spacing w:val="-6"/>
          <w:sz w:val="24"/>
          <w:szCs w:val="24"/>
          <w:lang w:val="en-US" w:eastAsia="zh-CN"/>
        </w:rPr>
      </w:pPr>
      <w:r>
        <w:rPr>
          <w:rFonts w:hint="eastAsia" w:ascii="宋体" w:hAnsi="宋体" w:eastAsia="宋体" w:cs="宋体"/>
          <w:color w:val="auto"/>
          <w:spacing w:val="-6"/>
          <w:sz w:val="24"/>
          <w:szCs w:val="24"/>
          <w:lang w:val="en-US" w:eastAsia="zh-CN"/>
        </w:rPr>
        <w:t>项目名称：</w:t>
      </w:r>
      <w:r>
        <w:rPr>
          <w:rFonts w:hint="eastAsia" w:ascii="宋体" w:hAnsi="宋体" w:eastAsia="宋体" w:cs="宋体"/>
          <w:color w:val="auto"/>
          <w:spacing w:val="-12"/>
          <w:sz w:val="24"/>
          <w:szCs w:val="24"/>
          <w:lang w:eastAsia="zh-CN"/>
        </w:rPr>
        <w:t>保亭县2024年赤田水库流域农药减施增效绿色防控技术推广项目</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pacing w:val="-6"/>
          <w:sz w:val="24"/>
          <w:szCs w:val="24"/>
        </w:rPr>
        <w:t>项目编号：</w:t>
      </w:r>
      <w:r>
        <w:rPr>
          <w:rFonts w:hint="eastAsia" w:ascii="宋体" w:hAnsi="宋体" w:eastAsia="宋体" w:cs="宋体"/>
          <w:color w:val="auto"/>
          <w:spacing w:val="-6"/>
          <w:sz w:val="24"/>
          <w:szCs w:val="24"/>
          <w:lang w:eastAsia="zh-CN"/>
        </w:rPr>
        <w:t>HNZL-CG2024-015</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pacing w:val="-12"/>
          <w:sz w:val="24"/>
          <w:szCs w:val="24"/>
          <w:lang w:eastAsia="zh-CN"/>
        </w:rPr>
        <w:t>合同履行期限：</w:t>
      </w:r>
      <w:r>
        <w:rPr>
          <w:rFonts w:hint="eastAsia" w:ascii="宋体" w:hAnsi="宋体" w:eastAsia="宋体" w:cs="宋体"/>
          <w:color w:val="auto"/>
          <w:spacing w:val="-12"/>
          <w:sz w:val="24"/>
          <w:szCs w:val="24"/>
        </w:rPr>
        <w:t>自合同签订之日起至2024年11月完成</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pacing w:val="-2"/>
          <w:sz w:val="24"/>
          <w:szCs w:val="24"/>
        </w:rPr>
        <w:t>服务地点：采购人指定地点</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425" w:leftChars="0" w:hanging="425" w:firstLineChars="0"/>
        <w:jc w:val="both"/>
        <w:textAlignment w:val="auto"/>
        <w:rPr>
          <w:rFonts w:hint="eastAsia" w:ascii="宋体" w:hAnsi="宋体" w:eastAsia="宋体" w:cs="宋体"/>
          <w:color w:val="auto"/>
          <w:sz w:val="24"/>
          <w:szCs w:val="24"/>
        </w:rPr>
      </w:pPr>
      <w:r>
        <w:rPr>
          <w:rFonts w:hint="eastAsia" w:ascii="宋体" w:hAnsi="宋体" w:eastAsia="宋体" w:cs="宋体"/>
          <w:color w:val="auto"/>
          <w:spacing w:val="-2"/>
          <w:sz w:val="24"/>
          <w:szCs w:val="24"/>
          <w:lang w:val="en-US" w:eastAsia="zh-CN"/>
        </w:rPr>
        <w:t>付款方式：</w:t>
      </w:r>
      <w:r>
        <w:rPr>
          <w:rFonts w:hint="eastAsia" w:ascii="宋体" w:hAnsi="宋体" w:cs="宋体"/>
          <w:color w:val="auto"/>
          <w:spacing w:val="-2"/>
          <w:sz w:val="24"/>
          <w:szCs w:val="24"/>
          <w:lang w:val="en-US" w:eastAsia="zh-CN"/>
        </w:rPr>
        <w:t>采购合同签署生效后支付合同总额的50％，项目完成后支付合同总额的40%，验收及审计完成后支付10%尾款。</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二、项目背景及目标</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坚持以改善赤田水库流域生态环境质量为核心，以绿色发展为导向，通过在赤田水库流域果地推广示范以诱虫灯为主的绿色防控投入品及技术，减少化学农药的施用，促进当地农业绿色可持续发展；提高公众绿色防控意识，保障赤田水库流域种植业面源污染治理工作的顺利推进。选定的</w:t>
      </w:r>
      <w:bookmarkStart w:id="1" w:name="OLE_LINK41"/>
      <w:bookmarkStart w:id="2" w:name="OLE_LINK42"/>
      <w:r>
        <w:rPr>
          <w:rFonts w:hint="eastAsia" w:ascii="宋体" w:hAnsi="宋体" w:eastAsia="宋体" w:cs="宋体"/>
          <w:b w:val="0"/>
          <w:bCs w:val="0"/>
          <w:color w:val="auto"/>
          <w:sz w:val="24"/>
          <w:szCs w:val="24"/>
          <w:u w:val="none"/>
          <w:lang w:val="en-US" w:eastAsia="zh-CN"/>
        </w:rPr>
        <w:t>赤田水库流域红毛丹、芒果、龙眼、荔枝、菠萝蜜、榴莲</w:t>
      </w:r>
      <w:bookmarkEnd w:id="1"/>
      <w:bookmarkEnd w:id="2"/>
      <w:r>
        <w:rPr>
          <w:rFonts w:hint="eastAsia" w:ascii="宋体" w:hAnsi="宋体" w:eastAsia="宋体" w:cs="宋体"/>
          <w:b w:val="0"/>
          <w:bCs w:val="0"/>
          <w:color w:val="auto"/>
          <w:sz w:val="24"/>
          <w:szCs w:val="24"/>
          <w:u w:val="none"/>
          <w:lang w:val="en-US" w:eastAsia="zh-CN"/>
        </w:rPr>
        <w:t>等果园建立化学农药减量示范点面积共计10000亩（其中核心示范区1000亩），通过示范点的建设与辐射带动，减少化学农药用量，实现核心示范区农药使用量较常规管理区减少5%以上，较2023年度减少5%以上。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三、项目服务内容</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一）建立化学农药减量示范区。通过在赤田水库流域红毛丹、芒果、龙眼、荔枝、菠萝蜜、榴莲等果园推广示范以诱虫灯为主的绿色防控投入品及技术，示范面积10000亩，安装诱虫灯1000个，诱虫灯应为频振风吸混合式太阳能诱虫灯。培训指导农户熟练使用诱虫灯。每盏诱虫灯制作标识牌，标识牌内容包括定位、使用年限等，并拍照和做好相关台账。每盏诱虫灯额外配备灯泡1个，质保期24个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（二）建立化学农药减量核心示范区。选择10000亩示范果园内的1000亩增加实施其他绿色防控技术建立核心示范区1000亩，其中红毛丹园200亩、芒果园100亩、龙眼园250亩、荔枝园50亩、菠萝蜜园300亩、榴莲园100亩。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在安装诱虫灯的基础上，通过理化诱控技术、天敌释放、科学用药、农业措施等方面进行综合防控。防治材料或产品及数量如下：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olor w:val="auto"/>
          <w:lang w:val="en-US" w:eastAsia="zh-CN"/>
        </w:rPr>
      </w:pPr>
      <w:r>
        <w:rPr>
          <w:rFonts w:hint="eastAsia" w:ascii="宋体" w:hAnsi="宋体" w:eastAsia="宋体" w:cs="宋体"/>
          <w:b w:val="0"/>
          <w:bCs w:val="0"/>
          <w:color w:val="auto"/>
          <w:sz w:val="24"/>
          <w:szCs w:val="24"/>
          <w:u w:val="none"/>
          <w:lang w:val="en-US" w:eastAsia="zh-CN"/>
        </w:rPr>
        <w:br w:type="page"/>
      </w:r>
    </w:p>
    <w:tbl>
      <w:tblPr>
        <w:tblStyle w:val="5"/>
        <w:tblpPr w:leftFromText="180" w:rightFromText="180" w:vertAnchor="text" w:horzAnchor="page" w:tblpX="2001" w:tblpY="316"/>
        <w:tblOverlap w:val="never"/>
        <w:tblW w:w="48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1"/>
        <w:gridCol w:w="722"/>
        <w:gridCol w:w="1033"/>
        <w:gridCol w:w="2299"/>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产品</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规格</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数量</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要求</w:t>
            </w: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bookmarkStart w:id="3" w:name="OLE_LINK65" w:colFirst="4" w:colLast="68"/>
            <w:bookmarkStart w:id="4" w:name="OLE_LINK66" w:colFirst="4" w:colLast="68"/>
            <w:bookmarkStart w:id="5" w:name="_Hlk155434807"/>
            <w:bookmarkStart w:id="6" w:name="_Hlk156405418"/>
            <w:r>
              <w:rPr>
                <w:rFonts w:hint="eastAsia" w:ascii="宋体" w:hAnsi="宋体" w:eastAsia="宋体" w:cs="宋体"/>
                <w:b w:val="0"/>
                <w:bCs w:val="0"/>
                <w:color w:val="auto"/>
                <w:sz w:val="24"/>
                <w:szCs w:val="24"/>
                <w:u w:val="none"/>
                <w:lang w:val="en-US" w:eastAsia="zh-CN"/>
              </w:rPr>
              <w:t>频振风吸混合式太阳能诱虫灯(含安装和维护)</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套</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1000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符合GB/T24689.2-2017《植物保护机械杀虫灯》标准，并具有国家权威植保检验机构出具的有效检验报告</w:t>
            </w: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用于多种瘿蚊、夜蛾、螟虫、天牛、金龟子等成虫的诱杀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ME黄板</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张</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27000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用于桔小实蝇雄成虫的诱杀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可降解黄板</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张</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2400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用于茶黄蓟马、实蝇、叶蝉等害虫的诱杀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可降解蓝板</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张</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4800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用于花蓟马、黄胸蓟马等蓟马的诱杀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蓟马信息素</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片/条</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7200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用于辅助芒果蓟马诱杀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食诱剂</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L</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900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用于桔小实蝇、部分金龟、蛾类等害虫雌雄成虫诱杀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食诱剂诱瓶</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个</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9000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用于盛放食诱剂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孟氏隐唇瓢虫</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头</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280000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存活率＞80%</w:t>
            </w: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用于防治粉蚧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捕食螨</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袋</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18000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每袋捕食螨不低于1500头，存活率＞80%</w:t>
            </w: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用于防治害螨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超雾化喷头</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套</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200</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喷口孔径＜0.8 mm</w:t>
            </w: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降低农药用量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07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杀虫剂</w:t>
            </w:r>
          </w:p>
        </w:tc>
        <w:tc>
          <w:tcPr>
            <w:tcW w:w="434"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批</w:t>
            </w:r>
          </w:p>
        </w:tc>
        <w:tc>
          <w:tcPr>
            <w:tcW w:w="62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4</w:t>
            </w:r>
          </w:p>
        </w:tc>
        <w:tc>
          <w:tcPr>
            <w:tcW w:w="1382"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p>
        </w:tc>
        <w:tc>
          <w:tcPr>
            <w:tcW w:w="1489"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安全低毒高效的农药</w:t>
            </w:r>
          </w:p>
        </w:tc>
      </w:tr>
      <w:bookmarkEnd w:id="3"/>
      <w:bookmarkEnd w:id="4"/>
      <w:bookmarkEnd w:id="5"/>
      <w:bookmarkEnd w:id="6"/>
    </w:tbl>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（三）项目实施监测。</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监测诱虫灯及其他绿色投入品与技术投入后的虫害发生情况与减药情况。以上监测需提供第三方权威机构（科研院所、高校等）监测数据和评估报告。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四、项目成果及成效</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（一）建立以诱虫灯为主的绿色防控投入品及技术示范区10000亩。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（二）建立化学农药减量核心示范区1000亩。其中红毛丹园200亩、芒果园100亩、龙眼园250亩、荔枝园50亩、菠萝蜜园300亩、榴莲园100亩。</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（三）做好项目的绩效评价和由第三方权威机构（科研院所、高校等）出具项目评估报告一份，评估报告指标包含核心示范区农药使用量较常规管理区减少5%以上，较2023年度减少5%以上。</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（四）做好满意度调查和相关台账工作。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五、资质产权归属</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80" w:firstLineChars="200"/>
        <w:jc w:val="left"/>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本合同产出的成果及相关文件资料的知识产权归采购人所有。</w:t>
      </w:r>
      <w:r>
        <w:rPr>
          <w:rFonts w:hint="eastAsia" w:ascii="宋体" w:hAnsi="宋体" w:eastAsia="宋体" w:cs="宋体"/>
          <w:b/>
          <w:bCs/>
          <w:color w:val="auto"/>
          <w:sz w:val="24"/>
          <w:szCs w:val="24"/>
          <w:u w:val="none"/>
          <w:lang w:val="en-US" w:eastAsia="zh-CN"/>
        </w:rPr>
        <w:br w:type="textWrapping"/>
      </w:r>
      <w:r>
        <w:rPr>
          <w:rFonts w:hint="eastAsia" w:ascii="宋体" w:hAnsi="宋体" w:eastAsia="宋体" w:cs="宋体"/>
          <w:b/>
          <w:bCs/>
          <w:color w:val="auto"/>
          <w:sz w:val="24"/>
          <w:szCs w:val="24"/>
          <w:u w:val="none"/>
          <w:lang w:val="en-US" w:eastAsia="zh-CN"/>
        </w:rPr>
        <w:t>六、验收标准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（一）采购人独立邀请第三方或组织专家参与验收，并出具验收报告。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（二）成交供应商要负责汇总提交所有项目成果材料，配合完成成果验收工作。</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A3111B"/>
    <w:multiLevelType w:val="singleLevel"/>
    <w:tmpl w:val="24A3111B"/>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NzQ1YjczNjM3ZmU5YjU3YjYzMmVkNzMwOWFjNjIifQ=="/>
  </w:docVars>
  <w:rsids>
    <w:rsidRoot w:val="22AA1A12"/>
    <w:rsid w:val="22AA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4"/>
    <w:next w:val="1"/>
    <w:link w:val="7"/>
    <w:qFormat/>
    <w:uiPriority w:val="0"/>
    <w:pPr>
      <w:keepNext/>
      <w:keepLines/>
      <w:spacing w:line="360" w:lineRule="auto"/>
      <w:jc w:val="center"/>
      <w:outlineLvl w:val="0"/>
    </w:pPr>
    <w:rPr>
      <w:kern w:val="44"/>
      <w:sz w:val="36"/>
      <w:szCs w:val="44"/>
    </w:rPr>
  </w:style>
  <w:style w:type="paragraph" w:styleId="2">
    <w:name w:val="heading 2"/>
    <w:basedOn w:val="1"/>
    <w:next w:val="1"/>
    <w:qFormat/>
    <w:uiPriority w:val="9"/>
    <w:pPr>
      <w:keepNext/>
      <w:keepLines/>
      <w:spacing w:line="360" w:lineRule="auto"/>
      <w:outlineLvl w:val="1"/>
    </w:pPr>
    <w:rPr>
      <w:rFonts w:hAnsi="宋体"/>
      <w:b/>
      <w:bCs/>
      <w:sz w:val="32"/>
      <w:szCs w:val="32"/>
    </w:rPr>
  </w:style>
  <w:style w:type="paragraph" w:styleId="4">
    <w:name w:val="heading 3"/>
    <w:basedOn w:val="1"/>
    <w:next w:val="1"/>
    <w:qFormat/>
    <w:uiPriority w:val="0"/>
    <w:pPr>
      <w:keepNext/>
      <w:keepLines/>
      <w:spacing w:before="260" w:after="260" w:line="412" w:lineRule="auto"/>
      <w:jc w:val="left"/>
      <w:outlineLvl w:val="2"/>
    </w:pPr>
    <w:rPr>
      <w:b/>
      <w:sz w:val="24"/>
      <w:szCs w:val="32"/>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character" w:customStyle="1" w:styleId="7">
    <w:name w:val="标题 1 字符1"/>
    <w:link w:val="3"/>
    <w:autoRedefine/>
    <w:qFormat/>
    <w:uiPriority w:val="0"/>
    <w:rPr>
      <w:kern w:val="44"/>
      <w:sz w:val="36"/>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2024-04-27T09:03:00Z</dcterms:created>
  <dc:creator>涵饰</dc:creator>
  <cp:lastModifiedBy>涵饰</cp:lastModifiedBy>
  <dcterms:modified xsi:type="dcterms:W3CDTF">2024-04-27T09:04:07Z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8C81D07BA5A7461883CF291CD7187EE5_11</vt:lpwstr>
  </property>
</Properties>
</file>