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sz w:val="28"/>
          <w:szCs w:val="28"/>
          <w:lang w:eastAsia="zh-CN"/>
        </w:rPr>
      </w:pPr>
      <w:bookmarkStart w:id="0" w:name="_GoBack"/>
      <w:bookmarkEnd w:id="0"/>
      <w:r>
        <w:rPr>
          <w:rFonts w:hint="eastAsia" w:ascii="黑体" w:hAnsi="黑体" w:eastAsia="黑体" w:cs="宋体"/>
          <w:sz w:val="28"/>
          <w:szCs w:val="28"/>
        </w:rPr>
        <w:t>附件3</w:t>
      </w:r>
      <w:r>
        <w:rPr>
          <w:rFonts w:hint="eastAsia" w:ascii="黑体" w:hAnsi="黑体" w:eastAsia="黑体" w:cs="宋体"/>
          <w:sz w:val="28"/>
          <w:szCs w:val="28"/>
          <w:lang w:eastAsia="zh-CN"/>
        </w:rPr>
        <w:t>：</w:t>
      </w:r>
    </w:p>
    <w:p>
      <w:pPr>
        <w:jc w:val="center"/>
        <w:rPr>
          <w:rFonts w:hint="eastAsia" w:ascii="方正小标宋简体" w:hAnsi="方正小标宋简体" w:eastAsia="方正小标宋简体" w:cs="宋体"/>
          <w:sz w:val="30"/>
          <w:szCs w:val="30"/>
        </w:rPr>
      </w:pP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政 府 采 购 项 目</w:t>
      </w: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采购需求和采购实施计划</w:t>
      </w:r>
    </w:p>
    <w:p>
      <w:pPr>
        <w:jc w:val="center"/>
        <w:rPr>
          <w:rFonts w:ascii="方正小标宋简体" w:hAnsi="方正小标宋简体" w:eastAsia="方正小标宋简体" w:cs="宋体"/>
          <w:sz w:val="72"/>
          <w:szCs w:val="72"/>
        </w:rPr>
      </w:pPr>
      <w:r>
        <w:rPr>
          <w:rFonts w:hint="eastAsia" w:ascii="方正小标宋简体" w:hAnsi="方正小标宋简体" w:eastAsia="方正小标宋简体" w:cs="宋体"/>
          <w:sz w:val="72"/>
          <w:szCs w:val="72"/>
        </w:rPr>
        <w:t>一般性审查意见书</w:t>
      </w: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ind w:firstLine="1440" w:firstLineChars="450"/>
        <w:rPr>
          <w:rFonts w:ascii="方正小标宋简体" w:hAnsi="方正小标宋简体" w:eastAsia="方正小标宋简体"/>
          <w:sz w:val="32"/>
          <w:szCs w:val="32"/>
          <w:u w:val="single"/>
        </w:rPr>
      </w:pPr>
      <w:r>
        <w:rPr>
          <w:rFonts w:ascii="方正小标宋简体" w:hAnsi="方正小标宋简体" w:eastAsia="方正小标宋简体"/>
          <w:sz w:val="32"/>
          <w:szCs w:val="32"/>
        </w:rPr>
        <w:t>项</w:t>
      </w:r>
      <w:r>
        <w:rPr>
          <w:rFonts w:hint="eastAsia" w:ascii="方正小标宋简体" w:hAnsi="方正小标宋简体" w:eastAsia="方正小标宋简体"/>
          <w:sz w:val="32"/>
          <w:szCs w:val="32"/>
        </w:rPr>
        <w:t xml:space="preserve"> </w:t>
      </w:r>
      <w:r>
        <w:rPr>
          <w:rFonts w:ascii="方正小标宋简体" w:hAnsi="方正小标宋简体" w:eastAsia="方正小标宋简体"/>
          <w:sz w:val="32"/>
          <w:szCs w:val="32"/>
        </w:rPr>
        <w:t>目</w:t>
      </w:r>
      <w:r>
        <w:rPr>
          <w:rFonts w:hint="eastAsia" w:ascii="方正小标宋简体" w:hAnsi="方正小标宋简体" w:eastAsia="方正小标宋简体"/>
          <w:sz w:val="32"/>
          <w:szCs w:val="32"/>
        </w:rPr>
        <w:t xml:space="preserve"> </w:t>
      </w:r>
      <w:r>
        <w:rPr>
          <w:rFonts w:ascii="方正小标宋简体" w:hAnsi="方正小标宋简体" w:eastAsia="方正小标宋简体"/>
          <w:sz w:val="32"/>
          <w:szCs w:val="32"/>
        </w:rPr>
        <w:t>名</w:t>
      </w:r>
      <w:r>
        <w:rPr>
          <w:rFonts w:hint="eastAsia" w:ascii="方正小标宋简体" w:hAnsi="方正小标宋简体" w:eastAsia="方正小标宋简体"/>
          <w:sz w:val="32"/>
          <w:szCs w:val="32"/>
        </w:rPr>
        <w:t xml:space="preserve"> </w:t>
      </w:r>
      <w:r>
        <w:rPr>
          <w:rFonts w:ascii="方正小标宋简体" w:hAnsi="方正小标宋简体" w:eastAsia="方正小标宋简体"/>
          <w:sz w:val="32"/>
          <w:szCs w:val="32"/>
        </w:rPr>
        <w:t>称</w:t>
      </w:r>
      <w:r>
        <w:rPr>
          <w:rFonts w:hint="eastAsia" w:ascii="方正小标宋简体" w:hAnsi="方正小标宋简体" w:eastAsia="方正小标宋简体"/>
          <w:sz w:val="32"/>
          <w:szCs w:val="32"/>
        </w:rPr>
        <w:t>：</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采 购 单 位：</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预算主管部门：</w:t>
      </w:r>
      <w:r>
        <w:rPr>
          <w:rFonts w:hint="eastAsia" w:ascii="方正小标宋简体" w:hAnsi="方正小标宋简体" w:eastAsia="方正小标宋简体"/>
          <w:sz w:val="32"/>
          <w:szCs w:val="32"/>
          <w:u w:val="single"/>
        </w:rPr>
        <w:t xml:space="preserve">                    </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审 查 时 间：</w:t>
      </w:r>
      <w:r>
        <w:rPr>
          <w:rFonts w:hint="eastAsia" w:ascii="方正小标宋简体" w:hAnsi="方正小标宋简体" w:eastAsia="方正小标宋简体"/>
          <w:sz w:val="32"/>
          <w:szCs w:val="32"/>
          <w:u w:val="single"/>
        </w:rPr>
        <w:t xml:space="preserve">                     </w:t>
      </w:r>
    </w:p>
    <w:p>
      <w:pPr>
        <w:rPr>
          <w:rFonts w:ascii="方正小标宋简体" w:hAnsi="方正小标宋简体" w:eastAsia="方正小标宋简体"/>
          <w:sz w:val="44"/>
          <w:szCs w:val="44"/>
        </w:rPr>
      </w:pPr>
    </w:p>
    <w:p>
      <w:pPr>
        <w:rPr>
          <w:rFonts w:ascii="方正小标宋简体" w:hAnsi="方正小标宋简体" w:eastAsia="方正小标宋简体"/>
          <w:sz w:val="44"/>
          <w:szCs w:val="44"/>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审 查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firstLineChars="200"/>
        <w:rPr>
          <w:rFonts w:ascii="仿宋" w:hAnsi="仿宋" w:eastAsia="仿宋"/>
          <w:sz w:val="32"/>
          <w:szCs w:val="32"/>
        </w:rPr>
      </w:pP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一、</w:t>
      </w:r>
      <w:r>
        <w:rPr>
          <w:rFonts w:hint="eastAsia" w:ascii="仿宋_GB2312" w:hAnsi="仿宋" w:eastAsia="仿宋_GB2312"/>
          <w:sz w:val="32"/>
          <w:szCs w:val="32"/>
        </w:rPr>
        <w:t>采购人应当建立审查工作机制，在采购活动开始前，针对采购需求管理中的重点风险事项，对采购需求和采购实施计划进行审查。</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二、</w:t>
      </w:r>
      <w:r>
        <w:rPr>
          <w:rFonts w:hint="eastAsia" w:ascii="仿宋_GB2312" w:hAnsi="仿宋" w:eastAsia="仿宋_GB2312"/>
          <w:sz w:val="32"/>
          <w:szCs w:val="32"/>
        </w:rPr>
        <w:t>一般性审查的具体采购项目范围，由采购人根据实际情况确定。</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三、</w:t>
      </w:r>
      <w:r>
        <w:rPr>
          <w:rFonts w:hint="eastAsia" w:ascii="仿宋_GB2312" w:hAnsi="仿宋" w:eastAsia="仿宋_GB2312"/>
          <w:sz w:val="32"/>
          <w:szCs w:val="32"/>
        </w:rPr>
        <w:t>审查应当符合《办法》要求及政府采购的相关规定。</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四、</w:t>
      </w:r>
      <w:r>
        <w:rPr>
          <w:rFonts w:hint="eastAsia" w:ascii="仿宋_GB2312" w:hAnsi="仿宋" w:eastAsia="仿宋_GB2312"/>
          <w:sz w:val="32"/>
          <w:szCs w:val="32"/>
        </w:rPr>
        <w:t>对于审查不通过的，应当修改采购需求和采购实施计划的内容并重新进行审查。</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五、</w:t>
      </w:r>
      <w:r>
        <w:rPr>
          <w:rFonts w:hint="eastAsia" w:ascii="仿宋_GB2312" w:hAnsi="仿宋" w:eastAsia="仿宋_GB2312"/>
          <w:sz w:val="32"/>
          <w:szCs w:val="32"/>
        </w:rPr>
        <w:t>斜体字部分属于提醒内容，编制时应删除。</w:t>
      </w:r>
    </w:p>
    <w:p>
      <w:pPr>
        <w:spacing w:line="560" w:lineRule="exact"/>
        <w:ind w:firstLine="640" w:firstLineChars="200"/>
        <w:rPr>
          <w:rFonts w:hint="eastAsia" w:ascii="仿宋_GB2312" w:hAnsi="仿宋" w:eastAsia="仿宋_GB2312"/>
          <w:sz w:val="32"/>
          <w:szCs w:val="32"/>
        </w:rPr>
      </w:pPr>
      <w:r>
        <w:rPr>
          <w:rFonts w:hint="eastAsia" w:ascii="仿宋_GB2312" w:hAnsi="黑体" w:eastAsia="仿宋_GB2312"/>
          <w:sz w:val="32"/>
          <w:szCs w:val="32"/>
        </w:rPr>
        <w:t>六、</w:t>
      </w:r>
      <w:r>
        <w:rPr>
          <w:rFonts w:hint="eastAsia" w:ascii="仿宋_GB2312" w:hAnsi="仿宋" w:eastAsia="仿宋_GB2312"/>
          <w:sz w:val="32"/>
          <w:szCs w:val="32"/>
        </w:rPr>
        <w:t>对不适用的内容应删除，并调整相应序号。</w:t>
      </w:r>
    </w:p>
    <w:p>
      <w:pPr>
        <w:spacing w:line="560" w:lineRule="exact"/>
        <w:rPr>
          <w:rFonts w:ascii="仿宋_GB2312" w:hAnsi="Calibri"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一、审查项目情况</w:t>
      </w:r>
    </w:p>
    <w:p>
      <w:pPr>
        <w:spacing w:line="560" w:lineRule="exact"/>
        <w:ind w:firstLine="640" w:firstLineChars="200"/>
        <w:jc w:val="left"/>
        <w:rPr>
          <w:rFonts w:hint="eastAsia" w:ascii="楷体_GB2312" w:hAnsi="楷体" w:eastAsia="楷体_GB2312"/>
          <w:sz w:val="32"/>
          <w:szCs w:val="32"/>
          <w:u w:val="single"/>
        </w:rPr>
      </w:pPr>
      <w:r>
        <w:rPr>
          <w:rFonts w:hint="eastAsia" w:ascii="楷体_GB2312" w:hAnsi="楷体" w:eastAsia="楷体_GB2312"/>
          <w:sz w:val="32"/>
          <w:szCs w:val="32"/>
        </w:rPr>
        <w:t>（一）审查项目名称：</w:t>
      </w:r>
      <w:r>
        <w:rPr>
          <w:rFonts w:hint="eastAsia" w:ascii="仿宋_GB2312" w:hAnsi="楷体" w:eastAsia="仿宋_GB2312"/>
          <w:sz w:val="32"/>
          <w:szCs w:val="32"/>
          <w:u w:val="single"/>
        </w:rPr>
        <w:t xml:space="preserve">                            </w:t>
      </w:r>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（二）审查对象：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1.采购需求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（1）参与确定采购需求的专家、第三方机构：</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（2）采购需求版次：</w:t>
      </w:r>
      <w:r>
        <w:rPr>
          <w:rFonts w:hint="eastAsia" w:ascii="仿宋_GB2312" w:hAnsi="仿宋" w:eastAsia="仿宋_GB2312"/>
          <w:sz w:val="32"/>
          <w:szCs w:val="32"/>
          <w:u w:val="single"/>
        </w:rPr>
        <w:t xml:space="preserve">20    年    月（第    版）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2.采购实施计划</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（1）参与确定采购实施计划的专家、第三方机构：</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u w:val="single"/>
        </w:rPr>
        <w:t xml:space="preserve">                                                </w:t>
      </w:r>
    </w:p>
    <w:p>
      <w:pPr>
        <w:spacing w:line="560" w:lineRule="exact"/>
        <w:ind w:firstLine="640" w:firstLineChars="200"/>
        <w:rPr>
          <w:rFonts w:ascii="仿宋" w:hAnsi="仿宋" w:eastAsia="仿宋"/>
          <w:sz w:val="32"/>
          <w:szCs w:val="32"/>
        </w:rPr>
      </w:pPr>
      <w:r>
        <w:rPr>
          <w:rFonts w:hint="eastAsia" w:ascii="仿宋_GB2312" w:hAnsi="仿宋" w:eastAsia="仿宋_GB2312"/>
          <w:sz w:val="32"/>
          <w:szCs w:val="32"/>
        </w:rPr>
        <w:t>（2）采购实施计划版次：</w:t>
      </w:r>
      <w:r>
        <w:rPr>
          <w:rFonts w:hint="eastAsia" w:ascii="仿宋_GB2312" w:hAnsi="仿宋" w:eastAsia="仿宋_GB2312"/>
          <w:sz w:val="32"/>
          <w:szCs w:val="32"/>
          <w:u w:val="single"/>
        </w:rPr>
        <w:t>20    年    月（第  版）</w:t>
      </w:r>
      <w:r>
        <w:rPr>
          <w:rFonts w:hint="eastAsia" w:ascii="仿宋" w:hAnsi="仿宋" w:eastAsia="仿宋"/>
          <w:sz w:val="32"/>
          <w:szCs w:val="32"/>
          <w:u w:val="single"/>
        </w:rPr>
        <w:t xml:space="preserve"> </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二、审查人员</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3"/>
        <w:gridCol w:w="952"/>
        <w:gridCol w:w="953"/>
        <w:gridCol w:w="1420"/>
        <w:gridCol w:w="1638"/>
        <w:gridCol w:w="1688"/>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序号</w:t>
            </w:r>
          </w:p>
        </w:tc>
        <w:tc>
          <w:tcPr>
            <w:tcW w:w="992" w:type="dxa"/>
            <w:tcBorders>
              <w:right w:val="single" w:color="auto" w:sz="4" w:space="0"/>
            </w:tcBorders>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姓名</w:t>
            </w:r>
          </w:p>
        </w:tc>
        <w:tc>
          <w:tcPr>
            <w:tcW w:w="993" w:type="dxa"/>
            <w:tcBorders>
              <w:left w:val="single" w:color="auto" w:sz="4" w:space="0"/>
            </w:tcBorders>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单位</w:t>
            </w:r>
          </w:p>
        </w:tc>
        <w:tc>
          <w:tcPr>
            <w:tcW w:w="1505"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内部机构</w:t>
            </w:r>
          </w:p>
        </w:tc>
        <w:tc>
          <w:tcPr>
            <w:tcW w:w="1744"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职务/职称</w:t>
            </w:r>
          </w:p>
        </w:tc>
        <w:tc>
          <w:tcPr>
            <w:tcW w:w="1799"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联系方式</w:t>
            </w:r>
          </w:p>
        </w:tc>
        <w:tc>
          <w:tcPr>
            <w:tcW w:w="1043" w:type="dxa"/>
            <w:noWrap w:val="0"/>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sz w:val="32"/>
                <w:szCs w:val="32"/>
              </w:rPr>
            </w:pPr>
          </w:p>
        </w:tc>
        <w:tc>
          <w:tcPr>
            <w:tcW w:w="1505" w:type="dxa"/>
            <w:noWrap w:val="0"/>
            <w:vAlign w:val="center"/>
          </w:tcPr>
          <w:p>
            <w:pPr>
              <w:spacing w:line="560" w:lineRule="exact"/>
              <w:jc w:val="center"/>
              <w:rPr>
                <w:rFonts w:ascii="仿宋" w:hAnsi="仿宋" w:eastAsia="仿宋"/>
                <w:sz w:val="32"/>
                <w:szCs w:val="32"/>
              </w:rPr>
            </w:pPr>
          </w:p>
        </w:tc>
        <w:tc>
          <w:tcPr>
            <w:tcW w:w="1744" w:type="dxa"/>
            <w:noWrap w:val="0"/>
            <w:vAlign w:val="center"/>
          </w:tcPr>
          <w:p>
            <w:pPr>
              <w:spacing w:line="560" w:lineRule="exact"/>
              <w:jc w:val="center"/>
              <w:rPr>
                <w:rFonts w:ascii="仿宋" w:hAnsi="仿宋" w:eastAsia="仿宋"/>
                <w:sz w:val="32"/>
                <w:szCs w:val="32"/>
              </w:rPr>
            </w:pPr>
          </w:p>
        </w:tc>
        <w:tc>
          <w:tcPr>
            <w:tcW w:w="1799" w:type="dxa"/>
            <w:noWrap w:val="0"/>
            <w:vAlign w:val="center"/>
          </w:tcPr>
          <w:p>
            <w:pPr>
              <w:spacing w:line="560" w:lineRule="exact"/>
              <w:jc w:val="center"/>
              <w:rPr>
                <w:rFonts w:ascii="仿宋" w:hAnsi="仿宋" w:eastAsia="仿宋"/>
                <w:sz w:val="32"/>
                <w:szCs w:val="32"/>
              </w:rPr>
            </w:pPr>
          </w:p>
        </w:tc>
        <w:tc>
          <w:tcPr>
            <w:tcW w:w="1043" w:type="dxa"/>
            <w:noWrap w:val="0"/>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sz w:val="32"/>
                <w:szCs w:val="32"/>
              </w:rPr>
            </w:pPr>
          </w:p>
        </w:tc>
        <w:tc>
          <w:tcPr>
            <w:tcW w:w="1505" w:type="dxa"/>
            <w:noWrap w:val="0"/>
            <w:vAlign w:val="center"/>
          </w:tcPr>
          <w:p>
            <w:pPr>
              <w:spacing w:line="560" w:lineRule="exact"/>
              <w:jc w:val="center"/>
              <w:rPr>
                <w:rFonts w:ascii="仿宋" w:hAnsi="仿宋" w:eastAsia="仿宋"/>
                <w:sz w:val="32"/>
                <w:szCs w:val="32"/>
              </w:rPr>
            </w:pPr>
          </w:p>
        </w:tc>
        <w:tc>
          <w:tcPr>
            <w:tcW w:w="1744" w:type="dxa"/>
            <w:noWrap w:val="0"/>
            <w:vAlign w:val="center"/>
          </w:tcPr>
          <w:p>
            <w:pPr>
              <w:spacing w:line="560" w:lineRule="exact"/>
              <w:jc w:val="center"/>
              <w:rPr>
                <w:rFonts w:ascii="仿宋" w:hAnsi="仿宋" w:eastAsia="仿宋"/>
                <w:sz w:val="32"/>
                <w:szCs w:val="32"/>
              </w:rPr>
            </w:pPr>
          </w:p>
        </w:tc>
        <w:tc>
          <w:tcPr>
            <w:tcW w:w="1799" w:type="dxa"/>
            <w:noWrap w:val="0"/>
            <w:vAlign w:val="center"/>
          </w:tcPr>
          <w:p>
            <w:pPr>
              <w:spacing w:line="560" w:lineRule="exact"/>
              <w:jc w:val="center"/>
              <w:rPr>
                <w:rFonts w:ascii="仿宋" w:hAnsi="仿宋" w:eastAsia="仿宋"/>
                <w:sz w:val="32"/>
                <w:szCs w:val="32"/>
              </w:rPr>
            </w:pPr>
          </w:p>
        </w:tc>
        <w:tc>
          <w:tcPr>
            <w:tcW w:w="1043" w:type="dxa"/>
            <w:noWrap w:val="0"/>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5" w:type="dxa"/>
            <w:noWrap w:val="0"/>
            <w:vAlign w:val="center"/>
          </w:tcPr>
          <w:p>
            <w:pPr>
              <w:spacing w:line="560" w:lineRule="exact"/>
              <w:jc w:val="center"/>
              <w:rPr>
                <w:rFonts w:ascii="仿宋" w:hAnsi="仿宋" w:eastAsia="仿宋"/>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sz w:val="32"/>
                <w:szCs w:val="32"/>
              </w:rPr>
            </w:pPr>
          </w:p>
        </w:tc>
        <w:tc>
          <w:tcPr>
            <w:tcW w:w="1505" w:type="dxa"/>
            <w:noWrap w:val="0"/>
            <w:vAlign w:val="center"/>
          </w:tcPr>
          <w:p>
            <w:pPr>
              <w:spacing w:line="560" w:lineRule="exact"/>
              <w:jc w:val="center"/>
              <w:rPr>
                <w:rFonts w:ascii="仿宋" w:hAnsi="仿宋" w:eastAsia="仿宋"/>
                <w:sz w:val="32"/>
                <w:szCs w:val="32"/>
              </w:rPr>
            </w:pPr>
          </w:p>
        </w:tc>
        <w:tc>
          <w:tcPr>
            <w:tcW w:w="1744" w:type="dxa"/>
            <w:noWrap w:val="0"/>
            <w:vAlign w:val="center"/>
          </w:tcPr>
          <w:p>
            <w:pPr>
              <w:spacing w:line="560" w:lineRule="exact"/>
              <w:jc w:val="center"/>
              <w:rPr>
                <w:rFonts w:ascii="仿宋" w:hAnsi="仿宋" w:eastAsia="仿宋"/>
                <w:sz w:val="32"/>
                <w:szCs w:val="32"/>
              </w:rPr>
            </w:pPr>
          </w:p>
        </w:tc>
        <w:tc>
          <w:tcPr>
            <w:tcW w:w="1799" w:type="dxa"/>
            <w:noWrap w:val="0"/>
            <w:vAlign w:val="center"/>
          </w:tcPr>
          <w:p>
            <w:pPr>
              <w:spacing w:line="560" w:lineRule="exact"/>
              <w:jc w:val="center"/>
              <w:rPr>
                <w:rFonts w:ascii="仿宋" w:hAnsi="仿宋" w:eastAsia="仿宋"/>
                <w:sz w:val="32"/>
                <w:szCs w:val="32"/>
              </w:rPr>
            </w:pPr>
          </w:p>
        </w:tc>
        <w:tc>
          <w:tcPr>
            <w:tcW w:w="1043" w:type="dxa"/>
            <w:noWrap w:val="0"/>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sz w:val="32"/>
                <w:szCs w:val="32"/>
              </w:rPr>
            </w:pPr>
          </w:p>
        </w:tc>
        <w:tc>
          <w:tcPr>
            <w:tcW w:w="1505" w:type="dxa"/>
            <w:noWrap w:val="0"/>
            <w:vAlign w:val="center"/>
          </w:tcPr>
          <w:p>
            <w:pPr>
              <w:spacing w:line="560" w:lineRule="exact"/>
              <w:jc w:val="center"/>
              <w:rPr>
                <w:rFonts w:ascii="仿宋" w:hAnsi="仿宋" w:eastAsia="仿宋"/>
                <w:sz w:val="32"/>
                <w:szCs w:val="32"/>
              </w:rPr>
            </w:pPr>
          </w:p>
        </w:tc>
        <w:tc>
          <w:tcPr>
            <w:tcW w:w="1744" w:type="dxa"/>
            <w:noWrap w:val="0"/>
            <w:vAlign w:val="center"/>
          </w:tcPr>
          <w:p>
            <w:pPr>
              <w:spacing w:line="560" w:lineRule="exact"/>
              <w:jc w:val="center"/>
              <w:rPr>
                <w:rFonts w:ascii="仿宋" w:hAnsi="仿宋" w:eastAsia="仿宋"/>
                <w:sz w:val="32"/>
                <w:szCs w:val="32"/>
              </w:rPr>
            </w:pPr>
          </w:p>
        </w:tc>
        <w:tc>
          <w:tcPr>
            <w:tcW w:w="1799" w:type="dxa"/>
            <w:noWrap w:val="0"/>
            <w:vAlign w:val="center"/>
          </w:tcPr>
          <w:p>
            <w:pPr>
              <w:spacing w:line="560" w:lineRule="exact"/>
              <w:jc w:val="center"/>
              <w:rPr>
                <w:rFonts w:ascii="仿宋" w:hAnsi="仿宋" w:eastAsia="仿宋"/>
                <w:sz w:val="32"/>
                <w:szCs w:val="32"/>
              </w:rPr>
            </w:pPr>
          </w:p>
        </w:tc>
        <w:tc>
          <w:tcPr>
            <w:tcW w:w="1043" w:type="dxa"/>
            <w:noWrap w:val="0"/>
            <w:vAlign w:val="center"/>
          </w:tcPr>
          <w:p>
            <w:pPr>
              <w:spacing w:line="560" w:lineRule="exact"/>
              <w:jc w:val="center"/>
              <w:rPr>
                <w:rFonts w:ascii="仿宋" w:hAnsi="仿宋" w:eastAsia="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noWrap w:val="0"/>
            <w:vAlign w:val="center"/>
          </w:tcPr>
          <w:p>
            <w:pPr>
              <w:spacing w:line="560" w:lineRule="exact"/>
              <w:jc w:val="center"/>
              <w:rPr>
                <w:rFonts w:ascii="仿宋" w:hAnsi="仿宋" w:eastAsia="仿宋"/>
                <w:sz w:val="32"/>
                <w:szCs w:val="32"/>
              </w:rPr>
            </w:pPr>
          </w:p>
        </w:tc>
        <w:tc>
          <w:tcPr>
            <w:tcW w:w="992" w:type="dxa"/>
            <w:tcBorders>
              <w:right w:val="single" w:color="auto" w:sz="4" w:space="0"/>
            </w:tcBorders>
            <w:noWrap w:val="0"/>
            <w:vAlign w:val="center"/>
          </w:tcPr>
          <w:p>
            <w:pPr>
              <w:spacing w:line="560" w:lineRule="exact"/>
              <w:jc w:val="center"/>
              <w:rPr>
                <w:rFonts w:ascii="仿宋" w:hAnsi="仿宋" w:eastAsia="仿宋"/>
                <w:sz w:val="32"/>
                <w:szCs w:val="32"/>
              </w:rPr>
            </w:pPr>
          </w:p>
        </w:tc>
        <w:tc>
          <w:tcPr>
            <w:tcW w:w="993" w:type="dxa"/>
            <w:tcBorders>
              <w:left w:val="single" w:color="auto" w:sz="4" w:space="0"/>
            </w:tcBorders>
            <w:noWrap w:val="0"/>
            <w:vAlign w:val="center"/>
          </w:tcPr>
          <w:p>
            <w:pPr>
              <w:spacing w:line="560" w:lineRule="exact"/>
              <w:jc w:val="center"/>
              <w:rPr>
                <w:rFonts w:ascii="仿宋" w:hAnsi="仿宋" w:eastAsia="仿宋"/>
                <w:sz w:val="32"/>
                <w:szCs w:val="32"/>
              </w:rPr>
            </w:pPr>
          </w:p>
        </w:tc>
        <w:tc>
          <w:tcPr>
            <w:tcW w:w="1505" w:type="dxa"/>
            <w:noWrap w:val="0"/>
            <w:vAlign w:val="center"/>
          </w:tcPr>
          <w:p>
            <w:pPr>
              <w:spacing w:line="560" w:lineRule="exact"/>
              <w:jc w:val="center"/>
              <w:rPr>
                <w:rFonts w:ascii="仿宋" w:hAnsi="仿宋" w:eastAsia="仿宋"/>
                <w:sz w:val="32"/>
                <w:szCs w:val="32"/>
              </w:rPr>
            </w:pPr>
          </w:p>
        </w:tc>
        <w:tc>
          <w:tcPr>
            <w:tcW w:w="1744" w:type="dxa"/>
            <w:noWrap w:val="0"/>
            <w:vAlign w:val="center"/>
          </w:tcPr>
          <w:p>
            <w:pPr>
              <w:spacing w:line="560" w:lineRule="exact"/>
              <w:jc w:val="center"/>
              <w:rPr>
                <w:rFonts w:ascii="仿宋" w:hAnsi="仿宋" w:eastAsia="仿宋"/>
                <w:sz w:val="32"/>
                <w:szCs w:val="32"/>
              </w:rPr>
            </w:pPr>
          </w:p>
        </w:tc>
        <w:tc>
          <w:tcPr>
            <w:tcW w:w="1799" w:type="dxa"/>
            <w:noWrap w:val="0"/>
            <w:vAlign w:val="center"/>
          </w:tcPr>
          <w:p>
            <w:pPr>
              <w:spacing w:line="560" w:lineRule="exact"/>
              <w:jc w:val="center"/>
              <w:rPr>
                <w:rFonts w:ascii="仿宋" w:hAnsi="仿宋" w:eastAsia="仿宋"/>
                <w:sz w:val="32"/>
                <w:szCs w:val="32"/>
              </w:rPr>
            </w:pPr>
          </w:p>
        </w:tc>
        <w:tc>
          <w:tcPr>
            <w:tcW w:w="1043" w:type="dxa"/>
            <w:noWrap w:val="0"/>
            <w:vAlign w:val="center"/>
          </w:tcPr>
          <w:p>
            <w:pPr>
              <w:spacing w:line="560" w:lineRule="exact"/>
              <w:jc w:val="center"/>
              <w:rPr>
                <w:rFonts w:ascii="仿宋" w:hAnsi="仿宋" w:eastAsia="仿宋"/>
                <w:sz w:val="32"/>
                <w:szCs w:val="32"/>
              </w:rPr>
            </w:pPr>
          </w:p>
        </w:tc>
      </w:tr>
    </w:tbl>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审查工作机制成员应当包括本部门、本单位的采购、财务、业务、监督等内部机构。采购人可以根据本单位实际情况，建立相关专家和第三方机构参与审查的工作机制。</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参与确定采购需求和编制采购实施计划的专家和第三方机构不得参与审查。</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三、审查会议</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1.审查时间：</w:t>
      </w:r>
      <w:r>
        <w:rPr>
          <w:rFonts w:hint="eastAsia" w:ascii="仿宋_GB2312" w:hAnsi="仿宋" w:eastAsia="仿宋_GB2312"/>
          <w:sz w:val="32"/>
          <w:szCs w:val="32"/>
          <w:u w:val="single"/>
        </w:rPr>
        <w:t xml:space="preserve">                       </w:t>
      </w:r>
    </w:p>
    <w:p>
      <w:pPr>
        <w:spacing w:line="560" w:lineRule="exact"/>
        <w:ind w:firstLine="640" w:firstLineChars="200"/>
        <w:rPr>
          <w:rFonts w:hint="eastAsia" w:ascii="仿宋_GB2312" w:hAnsi="仿宋" w:eastAsia="仿宋_GB2312"/>
          <w:sz w:val="32"/>
          <w:szCs w:val="32"/>
          <w:u w:val="single"/>
        </w:rPr>
      </w:pPr>
      <w:r>
        <w:rPr>
          <w:rFonts w:hint="eastAsia" w:ascii="仿宋_GB2312" w:hAnsi="仿宋" w:eastAsia="仿宋_GB2312"/>
          <w:sz w:val="32"/>
          <w:szCs w:val="32"/>
        </w:rPr>
        <w:t>2.审查地点：</w:t>
      </w:r>
      <w:r>
        <w:rPr>
          <w:rFonts w:hint="eastAsia" w:ascii="仿宋_GB2312" w:hAnsi="仿宋" w:eastAsia="仿宋_GB2312"/>
          <w:sz w:val="32"/>
          <w:szCs w:val="32"/>
          <w:u w:val="single"/>
        </w:rPr>
        <w:t xml:space="preserve">                       </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四、审查意见</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一般性审查主要审查</w:t>
      </w:r>
      <w:r>
        <w:rPr>
          <w:rFonts w:hint="eastAsia" w:ascii="仿宋_GB2312" w:hAnsi="仿宋" w:eastAsia="仿宋_GB2312"/>
          <w:sz w:val="28"/>
          <w:szCs w:val="28"/>
        </w:rPr>
        <w:t>是否按照《办法》规定的程序和内容确定采购需求、编制采购实施计划</w:t>
      </w:r>
      <w:r>
        <w:rPr>
          <w:rFonts w:hint="eastAsia" w:ascii="仿宋_GB2312" w:hAnsi="仿宋" w:eastAsia="仿宋_GB2312"/>
          <w:sz w:val="32"/>
          <w:szCs w:val="32"/>
        </w:rPr>
        <w:t>。</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9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审 查 内 容</w:t>
            </w:r>
          </w:p>
        </w:tc>
        <w:tc>
          <w:tcPr>
            <w:tcW w:w="2131" w:type="dxa"/>
            <w:noWrap w:val="0"/>
            <w:vAlign w:val="center"/>
          </w:tcPr>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审查结果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如需开展需求调查的，是否按规定开展需求调查</w:t>
            </w:r>
          </w:p>
        </w:tc>
        <w:tc>
          <w:tcPr>
            <w:tcW w:w="2131" w:type="dxa"/>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采购需求是否符合预算、资产、财务等管理制度规定</w:t>
            </w:r>
          </w:p>
        </w:tc>
        <w:tc>
          <w:tcPr>
            <w:tcW w:w="2131" w:type="dxa"/>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6391" w:type="dxa"/>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对采购方式、评审规则、合同类型、定价方式的选择是否说明适用理由</w:t>
            </w:r>
          </w:p>
        </w:tc>
        <w:tc>
          <w:tcPr>
            <w:tcW w:w="2131" w:type="dxa"/>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属于按规定需要报相关监管部门批准、核准的事项，是否作出相关安排</w:t>
            </w:r>
          </w:p>
        </w:tc>
        <w:tc>
          <w:tcPr>
            <w:tcW w:w="2131" w:type="dxa"/>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rPr>
                <w:rFonts w:hint="eastAsia" w:ascii="仿宋_GB2312" w:hAnsi="仿宋" w:eastAsia="仿宋_GB2312"/>
                <w:sz w:val="28"/>
                <w:szCs w:val="28"/>
              </w:rPr>
            </w:pPr>
            <w:r>
              <w:rPr>
                <w:rFonts w:hint="eastAsia" w:ascii="仿宋_GB2312" w:hAnsi="仿宋" w:eastAsia="仿宋_GB2312"/>
                <w:sz w:val="28"/>
                <w:szCs w:val="28"/>
              </w:rPr>
              <w:t>采购实施计划是否完整</w:t>
            </w:r>
          </w:p>
        </w:tc>
        <w:tc>
          <w:tcPr>
            <w:tcW w:w="2131" w:type="dxa"/>
            <w:noWrap w:val="0"/>
            <w:vAlign w:val="center"/>
          </w:tcPr>
          <w:p>
            <w:pPr>
              <w:spacing w:line="560" w:lineRule="exact"/>
              <w:jc w:val="center"/>
              <w:rPr>
                <w:rFonts w:hint="eastAsia" w:ascii="仿宋_GB2312" w:hAnsi="仿宋"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1" w:type="dxa"/>
            <w:noWrap w:val="0"/>
            <w:vAlign w:val="center"/>
          </w:tcPr>
          <w:p>
            <w:pPr>
              <w:spacing w:line="560" w:lineRule="exact"/>
              <w:jc w:val="right"/>
              <w:rPr>
                <w:rFonts w:hint="eastAsia" w:ascii="仿宋_GB2312" w:hAnsi="仿宋" w:eastAsia="仿宋_GB2312"/>
                <w:b/>
                <w:sz w:val="28"/>
                <w:szCs w:val="28"/>
              </w:rPr>
            </w:pPr>
            <w:r>
              <w:rPr>
                <w:rFonts w:hint="eastAsia" w:ascii="仿宋_GB2312" w:hAnsi="仿宋" w:eastAsia="仿宋_GB2312"/>
                <w:b/>
                <w:sz w:val="28"/>
                <w:szCs w:val="28"/>
              </w:rPr>
              <w:t>审查结论</w:t>
            </w:r>
          </w:p>
        </w:tc>
        <w:tc>
          <w:tcPr>
            <w:tcW w:w="2131" w:type="dxa"/>
            <w:noWrap w:val="0"/>
            <w:vAlign w:val="center"/>
          </w:tcPr>
          <w:p>
            <w:pPr>
              <w:spacing w:line="560" w:lineRule="exact"/>
              <w:jc w:val="center"/>
              <w:rPr>
                <w:rFonts w:hint="eastAsia" w:ascii="仿宋_GB2312" w:hAnsi="仿宋" w:eastAsia="仿宋_GB2312"/>
                <w:sz w:val="28"/>
                <w:szCs w:val="28"/>
              </w:rPr>
            </w:pPr>
            <w:r>
              <w:rPr>
                <w:rFonts w:hint="eastAsia" w:ascii="仿宋_GB2312" w:hAnsi="仿宋" w:eastAsia="仿宋_GB2312"/>
                <w:sz w:val="28"/>
                <w:szCs w:val="28"/>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2" w:type="dxa"/>
            <w:gridSpan w:val="2"/>
            <w:noWrap w:val="0"/>
            <w:vAlign w:val="center"/>
          </w:tcPr>
          <w:p>
            <w:pPr>
              <w:spacing w:line="560" w:lineRule="exact"/>
              <w:jc w:val="left"/>
              <w:rPr>
                <w:rFonts w:ascii="仿宋" w:hAnsi="仿宋" w:eastAsia="仿宋"/>
                <w:sz w:val="32"/>
                <w:szCs w:val="32"/>
              </w:rPr>
            </w:pPr>
            <w:r>
              <w:rPr>
                <w:rFonts w:hint="eastAsia" w:ascii="仿宋" w:hAnsi="仿宋" w:eastAsia="仿宋"/>
                <w:sz w:val="32"/>
                <w:szCs w:val="32"/>
              </w:rPr>
              <w:t>审查意见：</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示例：经审查，采购需求、采购实施计划符合相关规定，审查通过。</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示例：经审查，选择的采购方式为竞争性磋商，但本项目不符合《政府采购竞争性磋商采购方式管理暂行办法》（财库〔2014〕214号）第三条规定的适用情形，审查不通过，根据相关规定修改后，再重新进行审查。</w:t>
            </w:r>
          </w:p>
          <w:p>
            <w:pPr>
              <w:spacing w:line="560" w:lineRule="exact"/>
              <w:ind w:firstLine="640" w:firstLineChars="200"/>
              <w:jc w:val="left"/>
              <w:rPr>
                <w:rFonts w:ascii="仿宋" w:hAnsi="仿宋" w:eastAsia="仿宋"/>
                <w:i/>
                <w:sz w:val="32"/>
                <w:szCs w:val="32"/>
                <w:u w:val="single"/>
              </w:rPr>
            </w:pPr>
          </w:p>
        </w:tc>
      </w:tr>
    </w:tbl>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审查结果为“通过”或“不通过”，审查结果“不通过”的，还需说明具体原因。</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rPr>
        <w:t>审查结果全部为“通过”的，则审查结论为“通过”。审查结果有一项为“不通过”的，则审查结论为“不通过”。</w:t>
      </w:r>
    </w:p>
    <w:p>
      <w:pPr>
        <w:spacing w:line="560" w:lineRule="exact"/>
        <w:ind w:firstLine="640" w:firstLineChars="200"/>
        <w:jc w:val="left"/>
        <w:rPr>
          <w:rFonts w:ascii="仿宋" w:hAnsi="仿宋" w:eastAsia="仿宋"/>
          <w:i/>
          <w:sz w:val="32"/>
          <w:szCs w:val="32"/>
          <w:u w:val="single"/>
        </w:rPr>
      </w:pP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审查人员（签字）：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新宋体">
    <w:altName w:val="方正书宋_GBK"/>
    <w:panose1 w:val="02010609030101010101"/>
    <w:charset w:val="00"/>
    <w:family w:val="modern"/>
    <w:pitch w:val="default"/>
    <w:sig w:usb0="00000283" w:usb1="288F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00"/>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27</w:t>
    </w:r>
    <w:r>
      <w:rPr>
        <w:rFonts w:ascii="宋体" w:hAnsi="宋体"/>
        <w:sz w:val="28"/>
        <w:szCs w:val="28"/>
      </w:rPr>
      <w:fldChar w:fldCharType="end"/>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6F2B32"/>
    <w:rsid w:val="D7BF4525"/>
    <w:rsid w:val="DBDBD092"/>
    <w:rsid w:val="DF6F2B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2022-05-19T01:21:00Z</dcterms:created>
  <dc:creator>uos</dc:creator>
  <cp:lastModifiedBy>kylin</cp:lastModifiedBy>
  <dcterms:modified xsi:type="dcterms:W3CDTF">2022-06-22T09:56:03Z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