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hint="eastAsia" w:ascii="宋体" w:hAnsi="宋体" w:cs="宋体"/>
          <w:b/>
          <w:bCs/>
          <w:kern w:val="0"/>
          <w:sz w:val="72"/>
          <w:szCs w:val="72"/>
          <w:lang w:val="en-GB"/>
        </w:rPr>
      </w:pPr>
    </w:p>
    <w:p>
      <w:pPr>
        <w:pStyle w:val="4"/>
        <w:spacing w:line="360" w:lineRule="auto"/>
        <w:ind w:firstLine="0" w:firstLineChars="0"/>
        <w:jc w:val="center"/>
        <w:rPr>
          <w:rFonts w:hint="eastAsia"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4"/>
        <w:spacing w:line="360" w:lineRule="auto"/>
        <w:ind w:firstLine="0" w:firstLineChars="0"/>
        <w:jc w:val="center"/>
        <w:rPr>
          <w:rFonts w:hint="eastAsia" w:ascii="宋体" w:hAnsi="宋体" w:cs="宋体"/>
          <w:b/>
          <w:bCs/>
          <w:kern w:val="0"/>
          <w:sz w:val="28"/>
          <w:szCs w:val="28"/>
          <w:lang w:val="en-GB"/>
        </w:rPr>
      </w:pPr>
    </w:p>
    <w:p>
      <w:pPr>
        <w:pStyle w:val="4"/>
        <w:spacing w:line="360" w:lineRule="auto"/>
        <w:ind w:firstLine="0" w:firstLineChars="0"/>
        <w:jc w:val="center"/>
        <w:rPr>
          <w:rFonts w:hint="eastAsia" w:ascii="宋体" w:hAnsi="宋体" w:cs="宋体"/>
          <w:b/>
          <w:bCs/>
          <w:kern w:val="0"/>
          <w:sz w:val="28"/>
          <w:szCs w:val="28"/>
          <w:lang w:val="en-GB"/>
        </w:rPr>
      </w:pPr>
      <w:r>
        <w:rPr>
          <w:rFonts w:ascii="宋体" w:hAnsi="宋体" w:cs="宋体"/>
          <w:b/>
          <w:kern w:val="0"/>
          <w:sz w:val="72"/>
          <w:szCs w:val="72"/>
          <w:lang w:val="en-US" w:eastAsia="zh-CN"/>
        </w:rPr>
        <w:drawing>
          <wp:inline distT="0" distB="0" distL="0" distR="0">
            <wp:extent cx="2209800" cy="2209800"/>
            <wp:effectExtent l="0" t="0" r="0" b="0"/>
            <wp:docPr id="4" name="图片 1" descr="嘉华标志2_1"/>
            <wp:cNvGraphicFramePr/>
            <a:graphic xmlns:a="http://schemas.openxmlformats.org/drawingml/2006/main">
              <a:graphicData uri="http://schemas.openxmlformats.org/drawingml/2006/picture">
                <pic:pic xmlns:pic="http://schemas.openxmlformats.org/drawingml/2006/picture">
                  <pic:nvPicPr>
                    <pic:cNvPr id="4" name="图片 1" descr="嘉华标志2_1"/>
                    <pic:cNvPicPr/>
                  </pic:nvPicPr>
                  <pic:blipFill>
                    <a:blip r:embed="rId12">
                      <a:extLst>
                        <a:ext uri="{28A0092B-C50C-407E-A947-70E740481C1C}">
                          <a14:useLocalDpi xmlns:a14="http://schemas.microsoft.com/office/drawing/2010/main" val="0"/>
                        </a:ext>
                      </a:extLst>
                    </a:blip>
                    <a:srcRect/>
                    <a:stretch>
                      <a:fillRect/>
                    </a:stretch>
                  </pic:blipFill>
                  <pic:spPr>
                    <a:xfrm>
                      <a:off x="0" y="0"/>
                      <a:ext cx="2209800" cy="2209800"/>
                    </a:xfrm>
                    <a:prstGeom prst="rect">
                      <a:avLst/>
                    </a:prstGeom>
                    <a:noFill/>
                    <a:ln>
                      <a:noFill/>
                    </a:ln>
                  </pic:spPr>
                </pic:pic>
              </a:graphicData>
            </a:graphic>
          </wp:inline>
        </w:drawing>
      </w:r>
    </w:p>
    <w:p>
      <w:pPr>
        <w:adjustRightInd w:val="0"/>
        <w:snapToGrid w:val="0"/>
        <w:spacing w:line="360" w:lineRule="auto"/>
        <w:rPr>
          <w:rStyle w:val="17"/>
          <w:rFonts w:hint="eastAsia" w:ascii="宋体" w:hAnsi="宋体" w:cs="宋体"/>
          <w:b/>
          <w:sz w:val="28"/>
          <w:szCs w:val="28"/>
        </w:rPr>
      </w:pPr>
    </w:p>
    <w:p>
      <w:pPr>
        <w:adjustRightInd w:val="0"/>
        <w:snapToGrid w:val="0"/>
        <w:spacing w:line="360" w:lineRule="auto"/>
        <w:rPr>
          <w:rStyle w:val="17"/>
          <w:rFonts w:hint="eastAsia" w:ascii="宋体" w:hAnsi="宋体" w:cs="宋体"/>
          <w:b/>
          <w:sz w:val="28"/>
          <w:szCs w:val="28"/>
        </w:rPr>
      </w:pPr>
    </w:p>
    <w:p>
      <w:pPr>
        <w:adjustRightInd w:val="0"/>
        <w:snapToGrid w:val="0"/>
        <w:spacing w:line="360" w:lineRule="auto"/>
        <w:jc w:val="center"/>
        <w:rPr>
          <w:rStyle w:val="17"/>
          <w:rFonts w:hint="eastAsia" w:ascii="宋体" w:hAnsi="宋体" w:cs="宋体"/>
          <w:b/>
          <w:sz w:val="28"/>
          <w:szCs w:val="28"/>
        </w:rPr>
      </w:pPr>
    </w:p>
    <w:p>
      <w:pPr>
        <w:adjustRightInd w:val="0"/>
        <w:snapToGrid w:val="0"/>
        <w:spacing w:line="360" w:lineRule="auto"/>
        <w:rPr>
          <w:rStyle w:val="17"/>
          <w:rFonts w:hint="eastAsia" w:ascii="宋体" w:hAnsi="宋体" w:cs="宋体"/>
          <w:b/>
          <w:sz w:val="30"/>
          <w:szCs w:val="30"/>
        </w:rPr>
      </w:pPr>
      <w:r>
        <w:rPr>
          <w:rStyle w:val="17"/>
          <w:rFonts w:hint="eastAsia" w:ascii="宋体" w:hAnsi="宋体" w:cs="宋体"/>
          <w:b/>
          <w:sz w:val="30"/>
          <w:szCs w:val="30"/>
        </w:rPr>
        <w:t xml:space="preserve">               采购方式：竞争性谈判</w:t>
      </w:r>
    </w:p>
    <w:p>
      <w:pPr>
        <w:adjustRightInd w:val="0"/>
        <w:snapToGrid w:val="0"/>
        <w:spacing w:line="360" w:lineRule="auto"/>
        <w:rPr>
          <w:rFonts w:hint="eastAsia" w:ascii="宋体" w:hAnsi="宋体" w:cs="宋体"/>
          <w:b/>
          <w:bCs/>
          <w:kern w:val="0"/>
          <w:sz w:val="30"/>
          <w:szCs w:val="30"/>
          <w:lang w:val="en-GB"/>
        </w:rPr>
      </w:pPr>
      <w:r>
        <w:rPr>
          <w:rStyle w:val="17"/>
          <w:rFonts w:hint="eastAsia" w:ascii="宋体" w:hAnsi="宋体" w:cs="宋体"/>
          <w:b/>
          <w:sz w:val="30"/>
          <w:szCs w:val="30"/>
        </w:rPr>
        <w:t xml:space="preserve">               项目编号：</w:t>
      </w:r>
      <w:r>
        <w:rPr>
          <w:rFonts w:hint="eastAsia" w:ascii="宋体" w:hAnsi="宋体" w:cs="宋体"/>
          <w:b/>
          <w:bCs/>
          <w:kern w:val="0"/>
          <w:sz w:val="30"/>
          <w:szCs w:val="30"/>
        </w:rPr>
        <w:t>GXJH2017-016</w:t>
      </w:r>
    </w:p>
    <w:p>
      <w:pPr>
        <w:adjustRightInd w:val="0"/>
        <w:snapToGrid w:val="0"/>
        <w:spacing w:line="360" w:lineRule="auto"/>
        <w:rPr>
          <w:rStyle w:val="17"/>
          <w:rFonts w:hint="eastAsia" w:ascii="宋体" w:hAnsi="宋体" w:cs="宋体"/>
          <w:b/>
          <w:sz w:val="30"/>
          <w:szCs w:val="30"/>
        </w:rPr>
      </w:pPr>
      <w:r>
        <w:rPr>
          <w:rStyle w:val="17"/>
          <w:rFonts w:hint="eastAsia" w:ascii="宋体" w:hAnsi="宋体" w:cs="宋体"/>
          <w:b/>
          <w:sz w:val="30"/>
          <w:szCs w:val="30"/>
        </w:rPr>
        <w:t xml:space="preserve">               项目名称：心理行为训练场器械采购</w:t>
      </w:r>
    </w:p>
    <w:p>
      <w:pPr>
        <w:adjustRightInd w:val="0"/>
        <w:snapToGrid w:val="0"/>
        <w:spacing w:line="360" w:lineRule="auto"/>
        <w:rPr>
          <w:rFonts w:hint="eastAsia" w:ascii="宋体" w:hAnsi="宋体" w:cs="宋体"/>
          <w:b/>
          <w:bCs/>
          <w:kern w:val="0"/>
          <w:sz w:val="30"/>
          <w:szCs w:val="30"/>
          <w:lang w:val="en-GB"/>
        </w:rPr>
      </w:pPr>
      <w:r>
        <w:rPr>
          <w:rStyle w:val="17"/>
          <w:rFonts w:hint="eastAsia" w:ascii="宋体" w:hAnsi="宋体" w:cs="宋体"/>
          <w:b/>
          <w:sz w:val="30"/>
          <w:szCs w:val="30"/>
        </w:rPr>
        <w:t xml:space="preserve">               采购单位：中国人民解放军75560部队</w:t>
      </w: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Style w:val="17"/>
          <w:rFonts w:hint="eastAsia" w:ascii="宋体" w:hAnsi="宋体" w:cs="宋体"/>
          <w:b/>
          <w:sz w:val="28"/>
          <w:szCs w:val="28"/>
        </w:rPr>
      </w:pPr>
      <w:r>
        <w:rPr>
          <w:rStyle w:val="17"/>
          <w:rFonts w:hint="eastAsia" w:ascii="宋体" w:hAnsi="宋体" w:cs="宋体"/>
          <w:b/>
          <w:sz w:val="28"/>
          <w:szCs w:val="28"/>
        </w:rPr>
        <w:t>广西嘉华建设项目管理咨询有限公司编制</w:t>
      </w:r>
    </w:p>
    <w:p>
      <w:pPr>
        <w:adjustRightInd w:val="0"/>
        <w:snapToGrid w:val="0"/>
        <w:spacing w:line="360" w:lineRule="auto"/>
        <w:jc w:val="center"/>
        <w:rPr>
          <w:rFonts w:hint="eastAsia" w:ascii="宋体" w:hAnsi="宋体" w:cs="宋体"/>
          <w:b/>
          <w:sz w:val="44"/>
          <w:szCs w:val="44"/>
        </w:rPr>
      </w:pPr>
      <w:r>
        <w:rPr>
          <w:rFonts w:hint="eastAsia" w:ascii="宋体" w:hAnsi="宋体" w:cs="宋体"/>
          <w:b/>
          <w:bCs/>
          <w:sz w:val="28"/>
          <w:szCs w:val="28"/>
        </w:rPr>
        <w:t>2017年1</w:t>
      </w:r>
      <w:r>
        <w:rPr>
          <w:rFonts w:hint="eastAsia" w:ascii="宋体" w:hAnsi="宋体" w:cs="宋体"/>
          <w:b/>
          <w:bCs/>
          <w:sz w:val="28"/>
          <w:szCs w:val="28"/>
          <w:lang w:val="en-US" w:eastAsia="zh-CN"/>
        </w:rPr>
        <w:t>2</w:t>
      </w:r>
      <w:r>
        <w:rPr>
          <w:rFonts w:hint="eastAsia" w:ascii="宋体" w:hAnsi="宋体" w:cs="宋体"/>
          <w:b/>
          <w:bCs/>
          <w:sz w:val="28"/>
          <w:szCs w:val="28"/>
        </w:rPr>
        <w:t>月</w:t>
      </w:r>
    </w:p>
    <w:p>
      <w:pPr>
        <w:tabs>
          <w:tab w:val="left" w:leader="dot" w:pos="8400"/>
        </w:tabs>
        <w:spacing w:line="480" w:lineRule="exact"/>
        <w:jc w:val="center"/>
        <w:rPr>
          <w:rFonts w:hint="eastAsia" w:ascii="宋体" w:hAnsi="宋体" w:cs="宋体"/>
          <w:b/>
          <w:sz w:val="44"/>
          <w:szCs w:val="44"/>
        </w:rPr>
        <w:sectPr>
          <w:headerReference r:id="rId3" w:type="default"/>
          <w:headerReference r:id="rId4" w:type="even"/>
          <w:footerReference r:id="rId5" w:type="even"/>
          <w:pgSz w:w="11906" w:h="16838"/>
          <w:pgMar w:top="1258" w:right="1519" w:bottom="1258" w:left="1519" w:header="907" w:footer="907" w:gutter="0"/>
          <w:pgNumType w:start="1"/>
          <w:cols w:space="720" w:num="1"/>
          <w:titlePg/>
          <w:docGrid w:type="lines" w:linePitch="312" w:charSpace="0"/>
        </w:sect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tabs>
          <w:tab w:val="left" w:leader="dot" w:pos="8400"/>
        </w:tabs>
        <w:spacing w:line="360" w:lineRule="auto"/>
        <w:jc w:val="center"/>
        <w:rPr>
          <w:rFonts w:hint="eastAsia"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hint="eastAsia" w:ascii="宋体" w:hAnsi="宋体" w:cs="宋体"/>
          <w:b/>
          <w:sz w:val="44"/>
          <w:szCs w:val="44"/>
        </w:rPr>
      </w:pPr>
    </w:p>
    <w:p>
      <w:pPr>
        <w:tabs>
          <w:tab w:val="left" w:leader="dot" w:pos="8400"/>
        </w:tabs>
        <w:spacing w:line="360" w:lineRule="auto"/>
        <w:ind w:right="31" w:rightChars="15"/>
        <w:jc w:val="left"/>
        <w:rPr>
          <w:rFonts w:hint="eastAsia" w:ascii="宋体" w:hAnsi="宋体" w:cs="宋体"/>
          <w:sz w:val="32"/>
          <w:szCs w:val="32"/>
        </w:rPr>
      </w:pPr>
      <w:r>
        <w:rPr>
          <w:rFonts w:hint="eastAsia" w:ascii="宋体" w:hAnsi="宋体" w:cs="宋体"/>
          <w:sz w:val="32"/>
          <w:szCs w:val="32"/>
        </w:rPr>
        <w:t>第一部分  谈判邀请函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hint="eastAsia" w:ascii="宋体" w:hAnsi="宋体" w:cs="宋体"/>
          <w:sz w:val="32"/>
          <w:szCs w:val="32"/>
        </w:rPr>
      </w:pPr>
      <w:r>
        <w:rPr>
          <w:rFonts w:hint="eastAsia" w:ascii="宋体" w:hAnsi="宋体" w:cs="宋体"/>
          <w:sz w:val="32"/>
          <w:szCs w:val="32"/>
        </w:rPr>
        <w:t>第二部分  供应商须知</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3</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（二）谈判文件</w:t>
      </w:r>
      <w:r>
        <w:rPr>
          <w:rFonts w:hint="eastAsia" w:ascii="宋体" w:hAnsi="宋体" w:cs="宋体"/>
          <w:sz w:val="28"/>
          <w:szCs w:val="28"/>
        </w:rPr>
        <w:tab/>
      </w:r>
      <w:r>
        <w:rPr>
          <w:rFonts w:hint="eastAsia" w:ascii="宋体" w:hAnsi="宋体" w:cs="宋体"/>
          <w:sz w:val="28"/>
          <w:szCs w:val="28"/>
        </w:rPr>
        <w:t>4</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（三）响应文件编制和数量</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（四）响应文件的递交</w:t>
      </w:r>
      <w:r>
        <w:rPr>
          <w:rFonts w:hint="eastAsia" w:ascii="宋体" w:hAnsi="宋体" w:cs="宋体"/>
          <w:sz w:val="28"/>
          <w:szCs w:val="28"/>
        </w:rPr>
        <w:tab/>
      </w:r>
      <w:r>
        <w:rPr>
          <w:rFonts w:hint="eastAsia" w:ascii="宋体" w:hAnsi="宋体" w:cs="宋体"/>
          <w:sz w:val="28"/>
          <w:szCs w:val="28"/>
        </w:rPr>
        <w:t>7</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（五）谈判</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谈判程序</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（七）确定成交供应商</w:t>
      </w:r>
      <w:r>
        <w:rPr>
          <w:rFonts w:hint="eastAsia" w:ascii="宋体" w:hAnsi="宋体" w:cs="宋体"/>
          <w:sz w:val="28"/>
          <w:szCs w:val="28"/>
        </w:rPr>
        <w:tab/>
      </w:r>
      <w:r>
        <w:rPr>
          <w:rFonts w:hint="eastAsia" w:ascii="宋体" w:hAnsi="宋体" w:cs="宋体"/>
          <w:sz w:val="28"/>
          <w:szCs w:val="28"/>
        </w:rPr>
        <w:t>12</w:t>
      </w:r>
    </w:p>
    <w:p>
      <w:pPr>
        <w:tabs>
          <w:tab w:val="left" w:leader="dot" w:pos="8400"/>
        </w:tabs>
        <w:spacing w:line="360" w:lineRule="auto"/>
        <w:ind w:right="31" w:rightChars="15" w:firstLine="630" w:firstLineChars="225"/>
        <w:jc w:val="left"/>
        <w:rPr>
          <w:rFonts w:hint="eastAsia"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12</w:t>
      </w:r>
    </w:p>
    <w:p>
      <w:pPr>
        <w:tabs>
          <w:tab w:val="left" w:leader="dot" w:pos="8400"/>
        </w:tabs>
        <w:spacing w:line="360" w:lineRule="auto"/>
        <w:ind w:right="31" w:rightChars="15"/>
        <w:jc w:val="left"/>
        <w:rPr>
          <w:rFonts w:hint="eastAsia" w:ascii="宋体" w:hAnsi="宋体" w:cs="宋体"/>
          <w:sz w:val="32"/>
          <w:szCs w:val="32"/>
        </w:rPr>
      </w:pPr>
      <w:r>
        <w:rPr>
          <w:rFonts w:hint="eastAsia" w:ascii="宋体" w:hAnsi="宋体" w:cs="宋体"/>
          <w:sz w:val="32"/>
          <w:szCs w:val="32"/>
        </w:rPr>
        <w:t>第三部分  合同条款及格式</w:t>
      </w:r>
      <w:r>
        <w:rPr>
          <w:rFonts w:hint="eastAsia" w:ascii="宋体" w:hAnsi="宋体" w:cs="宋体"/>
          <w:sz w:val="32"/>
          <w:szCs w:val="32"/>
        </w:rPr>
        <w:tab/>
      </w:r>
      <w:r>
        <w:rPr>
          <w:rFonts w:hint="eastAsia" w:ascii="宋体" w:hAnsi="宋体" w:cs="宋体"/>
          <w:sz w:val="32"/>
          <w:szCs w:val="32"/>
        </w:rPr>
        <w:t>14第四部分  响应文件内容及格式</w:t>
      </w:r>
      <w:r>
        <w:rPr>
          <w:rFonts w:hint="eastAsia" w:ascii="宋体" w:hAnsi="宋体" w:cs="宋体"/>
          <w:sz w:val="28"/>
          <w:szCs w:val="28"/>
        </w:rPr>
        <w:tab/>
      </w:r>
      <w:r>
        <w:rPr>
          <w:rFonts w:hint="eastAsia" w:ascii="宋体" w:hAnsi="宋体" w:cs="宋体"/>
          <w:sz w:val="32"/>
          <w:szCs w:val="32"/>
        </w:rPr>
        <w:t>19</w:t>
      </w:r>
    </w:p>
    <w:p>
      <w:pPr>
        <w:tabs>
          <w:tab w:val="left" w:leader="dot" w:pos="8400"/>
        </w:tabs>
        <w:spacing w:line="360" w:lineRule="auto"/>
        <w:ind w:right="31" w:rightChars="15"/>
        <w:jc w:val="left"/>
        <w:rPr>
          <w:rFonts w:hint="eastAsia" w:ascii="宋体" w:hAnsi="宋体" w:cs="宋体"/>
          <w:kern w:val="0"/>
          <w:sz w:val="32"/>
          <w:szCs w:val="32"/>
        </w:rPr>
      </w:pPr>
      <w:r>
        <w:rPr>
          <w:rFonts w:hint="eastAsia" w:ascii="宋体" w:hAnsi="宋体" w:cs="宋体"/>
          <w:sz w:val="32"/>
          <w:szCs w:val="32"/>
        </w:rPr>
        <w:t>第五部分  用户需求书</w:t>
      </w:r>
      <w:r>
        <w:rPr>
          <w:rFonts w:hint="eastAsia" w:ascii="宋体" w:hAnsi="宋体" w:cs="宋体"/>
          <w:kern w:val="0"/>
          <w:sz w:val="32"/>
          <w:szCs w:val="32"/>
        </w:rPr>
        <w:tab/>
      </w:r>
      <w:r>
        <w:rPr>
          <w:rFonts w:hint="eastAsia" w:ascii="宋体" w:hAnsi="宋体" w:cs="宋体"/>
          <w:kern w:val="0"/>
          <w:sz w:val="32"/>
          <w:szCs w:val="32"/>
        </w:rPr>
        <w:t>31</w:t>
      </w:r>
    </w:p>
    <w:p>
      <w:pPr>
        <w:tabs>
          <w:tab w:val="left" w:leader="dot" w:pos="8400"/>
        </w:tabs>
        <w:spacing w:line="360" w:lineRule="auto"/>
        <w:ind w:right="31" w:rightChars="15"/>
        <w:jc w:val="left"/>
        <w:rPr>
          <w:rFonts w:hint="eastAsia" w:ascii="宋体" w:hAnsi="宋体" w:cs="宋体"/>
          <w:kern w:val="0"/>
          <w:sz w:val="32"/>
          <w:szCs w:val="32"/>
        </w:rPr>
      </w:pPr>
    </w:p>
    <w:p>
      <w:pPr>
        <w:spacing w:line="360" w:lineRule="auto"/>
        <w:ind w:right="57"/>
        <w:outlineLvl w:val="0"/>
        <w:rPr>
          <w:rStyle w:val="17"/>
          <w:rFonts w:hint="eastAsia" w:ascii="宋体" w:hAnsi="宋体" w:cs="宋体"/>
          <w:b/>
          <w:sz w:val="24"/>
          <w:szCs w:val="24"/>
        </w:rPr>
      </w:pPr>
    </w:p>
    <w:p>
      <w:pPr>
        <w:spacing w:line="360" w:lineRule="auto"/>
        <w:ind w:right="57"/>
        <w:outlineLvl w:val="0"/>
        <w:rPr>
          <w:rStyle w:val="17"/>
          <w:rFonts w:hint="eastAsia" w:ascii="宋体" w:hAnsi="宋体" w:cs="宋体"/>
          <w:b/>
          <w:sz w:val="24"/>
          <w:szCs w:val="24"/>
        </w:rPr>
      </w:pPr>
    </w:p>
    <w:p>
      <w:pPr>
        <w:spacing w:line="360" w:lineRule="auto"/>
        <w:ind w:right="57"/>
        <w:outlineLvl w:val="0"/>
        <w:rPr>
          <w:rStyle w:val="17"/>
          <w:rFonts w:hint="eastAsia" w:ascii="宋体" w:hAnsi="宋体" w:cs="宋体"/>
          <w:b/>
          <w:sz w:val="24"/>
          <w:szCs w:val="24"/>
        </w:rPr>
      </w:pPr>
    </w:p>
    <w:p>
      <w:pPr>
        <w:spacing w:line="360" w:lineRule="auto"/>
        <w:ind w:right="57"/>
        <w:outlineLvl w:val="0"/>
        <w:rPr>
          <w:rStyle w:val="17"/>
          <w:rFonts w:hint="eastAsia" w:ascii="宋体" w:hAnsi="宋体" w:cs="宋体"/>
          <w:b/>
          <w:sz w:val="24"/>
          <w:szCs w:val="24"/>
        </w:rPr>
      </w:pPr>
    </w:p>
    <w:p>
      <w:pPr>
        <w:spacing w:line="360" w:lineRule="auto"/>
        <w:ind w:right="57"/>
        <w:outlineLvl w:val="0"/>
        <w:rPr>
          <w:rStyle w:val="17"/>
          <w:rFonts w:hint="eastAsia" w:ascii="宋体" w:hAnsi="宋体" w:cs="宋体"/>
          <w:b/>
          <w:sz w:val="24"/>
          <w:szCs w:val="24"/>
        </w:rPr>
      </w:pPr>
    </w:p>
    <w:p>
      <w:pPr>
        <w:spacing w:line="360" w:lineRule="auto"/>
        <w:jc w:val="center"/>
        <w:outlineLvl w:val="0"/>
        <w:rPr>
          <w:rStyle w:val="17"/>
          <w:rFonts w:hint="eastAsia" w:ascii="宋体" w:hAnsi="宋体" w:cs="宋体"/>
          <w:b/>
          <w:sz w:val="44"/>
          <w:szCs w:val="44"/>
        </w:rPr>
      </w:pPr>
    </w:p>
    <w:p>
      <w:pPr>
        <w:spacing w:line="360" w:lineRule="auto"/>
        <w:jc w:val="center"/>
        <w:outlineLvl w:val="0"/>
        <w:rPr>
          <w:rStyle w:val="17"/>
          <w:rFonts w:hint="eastAsia" w:ascii="宋体" w:hAnsi="宋体" w:cs="宋体"/>
          <w:b/>
          <w:sz w:val="44"/>
          <w:szCs w:val="44"/>
        </w:rPr>
        <w:sectPr>
          <w:headerReference r:id="rId7" w:type="first"/>
          <w:footerReference r:id="rId9" w:type="first"/>
          <w:headerReference r:id="rId6" w:type="default"/>
          <w:footerReference r:id="rId8" w:type="default"/>
          <w:pgSz w:w="11906" w:h="16838"/>
          <w:pgMar w:top="1134" w:right="1417" w:bottom="850" w:left="1417" w:header="907" w:footer="907" w:gutter="0"/>
          <w:cols w:space="720" w:num="1"/>
          <w:titlePg/>
          <w:docGrid w:type="lines" w:linePitch="312" w:charSpace="0"/>
        </w:sectPr>
      </w:pPr>
    </w:p>
    <w:p>
      <w:pPr>
        <w:spacing w:before="156" w:beforeLines="50" w:after="156" w:afterLines="50" w:line="360" w:lineRule="auto"/>
        <w:jc w:val="center"/>
        <w:outlineLvl w:val="0"/>
        <w:rPr>
          <w:rStyle w:val="17"/>
          <w:rFonts w:hint="eastAsia" w:ascii="宋体" w:hAnsi="宋体" w:cs="宋体"/>
          <w:b/>
          <w:sz w:val="44"/>
          <w:szCs w:val="44"/>
        </w:rPr>
      </w:pPr>
      <w:r>
        <w:rPr>
          <w:rStyle w:val="17"/>
          <w:rFonts w:hint="eastAsia" w:ascii="宋体" w:hAnsi="宋体" w:cs="宋体"/>
          <w:b/>
          <w:sz w:val="44"/>
          <w:szCs w:val="44"/>
        </w:rPr>
        <w:t>第一部分  谈判邀请函</w:t>
      </w:r>
    </w:p>
    <w:p>
      <w:pPr>
        <w:spacing w:line="440" w:lineRule="exact"/>
        <w:ind w:firstLine="480" w:firstLineChars="200"/>
        <w:outlineLvl w:val="0"/>
        <w:rPr>
          <w:rFonts w:hint="eastAsia" w:ascii="宋体" w:hAnsi="宋体" w:cs="宋体"/>
          <w:bCs/>
          <w:kern w:val="0"/>
          <w:sz w:val="24"/>
          <w:lang w:val="en-GB"/>
        </w:rPr>
      </w:pPr>
      <w:r>
        <w:rPr>
          <w:rFonts w:hint="eastAsia" w:ascii="宋体" w:hAnsi="宋体" w:cs="宋体"/>
          <w:bCs/>
          <w:kern w:val="0"/>
          <w:sz w:val="24"/>
          <w:lang w:val="en-GB"/>
        </w:rPr>
        <w:t>受中国人民解放军75560部队（以下简称“采购人”）的委托，广西嘉华建设项目管理咨询有限公司（以下简称“代理机构”）拟对心理行为训练场器械采购（项目编号：</w:t>
      </w:r>
      <w:r>
        <w:rPr>
          <w:rFonts w:hint="eastAsia" w:ascii="宋体" w:hAnsi="宋体" w:cs="宋体"/>
          <w:bCs/>
          <w:kern w:val="0"/>
          <w:sz w:val="24"/>
        </w:rPr>
        <w:t>GXJH2017-016</w:t>
      </w:r>
      <w:r>
        <w:rPr>
          <w:rFonts w:hint="eastAsia" w:ascii="宋体" w:hAnsi="宋体" w:cs="宋体"/>
          <w:bCs/>
          <w:kern w:val="0"/>
          <w:sz w:val="24"/>
          <w:lang w:val="en-GB"/>
        </w:rPr>
        <w:t>）所需的货物及服务组织竞争性谈判采购工作，兹邀请符合本次竞争性谈判采购要求的供应商进行密封报价，有关事项如下：</w:t>
      </w:r>
    </w:p>
    <w:p>
      <w:pPr>
        <w:autoSpaceDE w:val="0"/>
        <w:autoSpaceDN w:val="0"/>
        <w:adjustRightInd w:val="0"/>
        <w:snapToGrid w:val="0"/>
        <w:spacing w:before="156" w:beforeLines="50" w:after="156" w:afterLines="50" w:line="440" w:lineRule="exact"/>
        <w:rPr>
          <w:rFonts w:hint="eastAsia" w:ascii="宋体" w:hAnsi="宋体" w:cs="宋体"/>
          <w:sz w:val="28"/>
          <w:szCs w:val="28"/>
          <w:lang w:val="zh-CN"/>
        </w:rPr>
      </w:pPr>
      <w:r>
        <w:rPr>
          <w:rFonts w:hint="eastAsia" w:ascii="宋体" w:hAnsi="宋体" w:cs="宋体"/>
          <w:b/>
          <w:bCs/>
          <w:sz w:val="28"/>
          <w:szCs w:val="28"/>
          <w:lang w:val="zh-CN"/>
        </w:rPr>
        <w:t>一、招标项目的名称、用途、预算、数量及简要技术要求或性质：</w:t>
      </w:r>
    </w:p>
    <w:p>
      <w:pPr>
        <w:pStyle w:val="20"/>
        <w:spacing w:line="440" w:lineRule="exact"/>
        <w:ind w:firstLine="480"/>
        <w:rPr>
          <w:rFonts w:hint="eastAsia"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rPr>
        <w:t>心理行为训练场器械采购</w:t>
      </w:r>
    </w:p>
    <w:p>
      <w:pPr>
        <w:pStyle w:val="20"/>
        <w:spacing w:line="440" w:lineRule="exact"/>
        <w:ind w:firstLine="480"/>
        <w:rPr>
          <w:rFonts w:hint="eastAsia" w:ascii="宋体" w:hAnsi="宋体" w:cs="宋体"/>
          <w:bCs/>
          <w:kern w:val="0"/>
          <w:sz w:val="24"/>
          <w:lang w:val="en-GB"/>
        </w:rPr>
      </w:pPr>
      <w:r>
        <w:rPr>
          <w:rFonts w:hint="eastAsia" w:ascii="宋体" w:hAnsi="宋体" w:cs="宋体"/>
          <w:sz w:val="24"/>
        </w:rPr>
        <w:t>2、</w:t>
      </w:r>
      <w:r>
        <w:rPr>
          <w:rFonts w:hint="eastAsia" w:ascii="宋体" w:hAnsi="宋体" w:cs="宋体"/>
          <w:bCs/>
          <w:kern w:val="0"/>
          <w:sz w:val="24"/>
        </w:rPr>
        <w:t>用途：</w:t>
      </w:r>
      <w:r>
        <w:rPr>
          <w:rFonts w:hint="eastAsia" w:ascii="宋体" w:hAnsi="宋体" w:cs="宋体"/>
          <w:bCs/>
          <w:kern w:val="0"/>
          <w:sz w:val="24"/>
          <w:lang w:val="en-GB"/>
        </w:rPr>
        <w:t>工作需要</w:t>
      </w:r>
    </w:p>
    <w:p>
      <w:pPr>
        <w:pStyle w:val="20"/>
        <w:spacing w:line="440" w:lineRule="exact"/>
        <w:ind w:firstLine="480"/>
        <w:rPr>
          <w:rFonts w:hint="eastAsia" w:ascii="宋体" w:hAnsi="宋体" w:cs="宋体"/>
          <w:bCs/>
          <w:kern w:val="0"/>
          <w:sz w:val="24"/>
          <w:lang w:val="en-GB"/>
        </w:rPr>
      </w:pPr>
      <w:r>
        <w:rPr>
          <w:rFonts w:hint="eastAsia" w:ascii="宋体" w:hAnsi="宋体" w:cs="宋体"/>
          <w:bCs/>
          <w:kern w:val="0"/>
          <w:sz w:val="24"/>
          <w:lang w:val="en-GB"/>
        </w:rPr>
        <w:t>3、采购预算：</w:t>
      </w:r>
      <w:r>
        <w:rPr>
          <w:rFonts w:hint="eastAsia" w:ascii="宋体" w:hAnsi="宋体" w:cs="宋体"/>
          <w:bCs/>
          <w:kern w:val="0"/>
          <w:sz w:val="24"/>
        </w:rPr>
        <w:t>29.5万</w:t>
      </w:r>
      <w:r>
        <w:rPr>
          <w:rFonts w:hint="eastAsia" w:ascii="宋体" w:hAnsi="宋体" w:cs="宋体"/>
          <w:bCs/>
          <w:kern w:val="0"/>
          <w:sz w:val="24"/>
          <w:lang w:val="en-GB"/>
        </w:rPr>
        <w:t>元</w:t>
      </w:r>
    </w:p>
    <w:p>
      <w:pPr>
        <w:pStyle w:val="20"/>
        <w:spacing w:line="440" w:lineRule="exact"/>
        <w:ind w:firstLine="480"/>
        <w:rPr>
          <w:rFonts w:hint="eastAsia" w:ascii="宋体" w:hAnsi="宋体" w:cs="宋体"/>
          <w:sz w:val="24"/>
        </w:rPr>
      </w:pPr>
      <w:r>
        <w:rPr>
          <w:rFonts w:hint="eastAsia" w:ascii="宋体" w:hAnsi="宋体" w:cs="宋体"/>
          <w:sz w:val="24"/>
        </w:rPr>
        <w:t>4、数量：一批</w:t>
      </w:r>
    </w:p>
    <w:p>
      <w:pPr>
        <w:pStyle w:val="20"/>
        <w:spacing w:line="440" w:lineRule="exact"/>
        <w:ind w:firstLine="480"/>
        <w:rPr>
          <w:rFonts w:hint="eastAsia" w:ascii="宋体" w:hAnsi="宋体" w:cs="宋体"/>
          <w:sz w:val="24"/>
        </w:rPr>
      </w:pPr>
      <w:r>
        <w:rPr>
          <w:rFonts w:hint="eastAsia" w:ascii="宋体" w:hAnsi="宋体" w:cs="宋体"/>
          <w:sz w:val="24"/>
        </w:rPr>
        <w:t>5、</w:t>
      </w:r>
      <w:r>
        <w:rPr>
          <w:rFonts w:hint="eastAsia" w:ascii="宋体" w:hAnsi="宋体" w:cs="宋体"/>
          <w:sz w:val="24"/>
          <w:lang w:val="zh-CN"/>
        </w:rPr>
        <w:t>简要技术要求或采购性质：详见《用户需求书》</w:t>
      </w:r>
    </w:p>
    <w:p>
      <w:pPr>
        <w:autoSpaceDE w:val="0"/>
        <w:autoSpaceDN w:val="0"/>
        <w:adjustRightInd w:val="0"/>
        <w:snapToGrid w:val="0"/>
        <w:spacing w:before="156" w:beforeLines="50" w:after="156" w:afterLines="50" w:line="440" w:lineRule="exact"/>
        <w:rPr>
          <w:rFonts w:hint="eastAsia" w:ascii="宋体" w:hAnsi="宋体" w:cs="宋体"/>
          <w:b/>
          <w:bCs/>
          <w:sz w:val="28"/>
          <w:szCs w:val="28"/>
          <w:lang w:val="zh-CN"/>
        </w:rPr>
      </w:pPr>
      <w:r>
        <w:rPr>
          <w:rFonts w:hint="eastAsia" w:ascii="宋体" w:hAnsi="宋体" w:cs="宋体"/>
          <w:b/>
          <w:bCs/>
          <w:sz w:val="28"/>
          <w:szCs w:val="28"/>
          <w:lang w:val="zh-CN"/>
        </w:rPr>
        <w:t xml:space="preserve">二、供应商资格要求：（供应商必须具备以下条件并提交相关证明资料） </w:t>
      </w:r>
    </w:p>
    <w:p>
      <w:pPr>
        <w:snapToGrid w:val="0"/>
        <w:spacing w:line="440" w:lineRule="exact"/>
        <w:ind w:firstLine="480" w:firstLineChars="200"/>
        <w:rPr>
          <w:rFonts w:hint="eastAsia" w:ascii="宋体" w:hAnsi="宋体" w:cs="宋体"/>
          <w:sz w:val="24"/>
          <w:lang w:val="zh-CN"/>
        </w:rPr>
      </w:pPr>
      <w:r>
        <w:rPr>
          <w:rFonts w:hint="eastAsia" w:ascii="宋体" w:hAnsi="宋体" w:cs="宋体"/>
          <w:sz w:val="24"/>
          <w:lang w:val="zh-CN"/>
        </w:rPr>
        <w:t>1、在中华人民共和国注册，具有独立承担民事责任能力，需提供营业执照副本、组织机构代码证副本、税务登记证副本有效证件（或三证合一的营业执照）；</w:t>
      </w:r>
    </w:p>
    <w:p>
      <w:pPr>
        <w:snapToGrid w:val="0"/>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2、有依法缴纳税收和社会保障资金的良好记录（需提供2017年任意</w:t>
      </w:r>
      <w:r>
        <w:rPr>
          <w:rFonts w:hint="eastAsia" w:ascii="宋体" w:hAnsi="宋体" w:cs="宋体"/>
          <w:bCs/>
          <w:sz w:val="24"/>
        </w:rPr>
        <w:t>1</w:t>
      </w:r>
      <w:r>
        <w:rPr>
          <w:rFonts w:hint="eastAsia" w:ascii="宋体" w:hAnsi="宋体" w:cs="宋体"/>
          <w:bCs/>
          <w:sz w:val="24"/>
          <w:lang w:val="en-GB"/>
        </w:rPr>
        <w:t>个月的税收、社保记录凭证并加盖公章）；</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3、参加政府采购活动前三年内，在经营活动中没有重大违法记录；</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4、购买本项目谈判文件并按时缴纳谈判保证金；</w:t>
      </w:r>
    </w:p>
    <w:p>
      <w:pPr>
        <w:snapToGrid w:val="0"/>
        <w:spacing w:line="440" w:lineRule="exact"/>
        <w:ind w:firstLine="480" w:firstLineChars="200"/>
        <w:rPr>
          <w:rFonts w:hint="eastAsia" w:ascii="宋体" w:hAnsi="宋体" w:cs="宋体"/>
          <w:bCs/>
          <w:kern w:val="0"/>
          <w:sz w:val="24"/>
        </w:rPr>
      </w:pPr>
      <w:r>
        <w:rPr>
          <w:rFonts w:hint="eastAsia" w:ascii="宋体" w:hAnsi="宋体" w:cs="宋体"/>
          <w:bCs/>
          <w:sz w:val="24"/>
        </w:rPr>
        <w:t>5、</w:t>
      </w:r>
      <w:r>
        <w:rPr>
          <w:rFonts w:hint="eastAsia" w:ascii="宋体" w:hAnsi="宋体" w:cs="宋体"/>
          <w:bCs/>
          <w:kern w:val="0"/>
          <w:sz w:val="24"/>
        </w:rPr>
        <w:t>本项目不接受联合体参加谈判。</w:t>
      </w:r>
    </w:p>
    <w:p>
      <w:pPr>
        <w:autoSpaceDE w:val="0"/>
        <w:autoSpaceDN w:val="0"/>
        <w:adjustRightInd w:val="0"/>
        <w:snapToGrid w:val="0"/>
        <w:spacing w:before="156" w:beforeLines="50" w:after="156" w:afterLines="50" w:line="440" w:lineRule="exact"/>
        <w:rPr>
          <w:rFonts w:hint="eastAsia" w:ascii="宋体" w:hAnsi="宋体" w:cs="宋体"/>
          <w:b/>
          <w:bCs/>
          <w:sz w:val="28"/>
          <w:szCs w:val="28"/>
          <w:lang w:val="en-GB"/>
        </w:rPr>
      </w:pPr>
      <w:r>
        <w:rPr>
          <w:rFonts w:hint="eastAsia" w:ascii="宋体" w:hAnsi="宋体" w:cs="宋体"/>
          <w:b/>
          <w:bCs/>
          <w:sz w:val="28"/>
          <w:szCs w:val="28"/>
          <w:lang w:val="en-GB"/>
        </w:rPr>
        <w:t>三、获取谈判文件：</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lang w:val="en-GB"/>
        </w:rPr>
        <w:t>1、时间</w:t>
      </w:r>
      <w:r>
        <w:rPr>
          <w:rFonts w:hint="eastAsia" w:ascii="宋体" w:hAnsi="宋体" w:cs="宋体"/>
          <w:bCs/>
          <w:kern w:val="0"/>
          <w:sz w:val="24"/>
        </w:rPr>
        <w:t>：2017</w:t>
      </w:r>
      <w:r>
        <w:rPr>
          <w:rFonts w:hint="eastAsia" w:ascii="宋体" w:hAnsi="宋体" w:cs="宋体"/>
          <w:bCs/>
          <w:kern w:val="0"/>
          <w:sz w:val="24"/>
          <w:lang w:val="en-GB"/>
        </w:rPr>
        <w:t>年</w:t>
      </w:r>
      <w:r>
        <w:rPr>
          <w:rFonts w:hint="eastAsia" w:ascii="宋体" w:hAnsi="宋体" w:cs="宋体"/>
          <w:bCs/>
          <w:kern w:val="0"/>
          <w:sz w:val="24"/>
        </w:rPr>
        <w:t xml:space="preserve"> 12 </w:t>
      </w:r>
      <w:r>
        <w:rPr>
          <w:rFonts w:hint="eastAsia" w:ascii="宋体" w:hAnsi="宋体" w:cs="宋体"/>
          <w:bCs/>
          <w:kern w:val="0"/>
          <w:sz w:val="24"/>
          <w:lang w:val="en-GB"/>
        </w:rPr>
        <w:t>月</w:t>
      </w:r>
      <w:r>
        <w:rPr>
          <w:rFonts w:hint="eastAsia" w:ascii="宋体" w:hAnsi="宋体" w:cs="宋体"/>
          <w:bCs/>
          <w:kern w:val="0"/>
          <w:sz w:val="24"/>
        </w:rPr>
        <w:t xml:space="preserve"> 4 </w:t>
      </w:r>
      <w:r>
        <w:rPr>
          <w:rFonts w:hint="eastAsia" w:ascii="宋体" w:hAnsi="宋体" w:cs="宋体"/>
          <w:bCs/>
          <w:kern w:val="0"/>
          <w:sz w:val="24"/>
          <w:lang w:val="en-GB"/>
        </w:rPr>
        <w:t>日至201</w:t>
      </w:r>
      <w:r>
        <w:rPr>
          <w:rFonts w:hint="eastAsia" w:ascii="宋体" w:hAnsi="宋体" w:cs="宋体"/>
          <w:bCs/>
          <w:kern w:val="0"/>
          <w:sz w:val="24"/>
        </w:rPr>
        <w:t>7</w:t>
      </w:r>
      <w:r>
        <w:rPr>
          <w:rFonts w:hint="eastAsia" w:ascii="宋体" w:hAnsi="宋体" w:cs="宋体"/>
          <w:bCs/>
          <w:kern w:val="0"/>
          <w:sz w:val="24"/>
          <w:lang w:val="en-GB"/>
        </w:rPr>
        <w:t>年</w:t>
      </w:r>
      <w:r>
        <w:rPr>
          <w:rFonts w:hint="eastAsia" w:ascii="宋体" w:hAnsi="宋体" w:cs="宋体"/>
          <w:bCs/>
          <w:kern w:val="0"/>
          <w:sz w:val="24"/>
        </w:rPr>
        <w:t xml:space="preserve"> 12 </w:t>
      </w:r>
      <w:r>
        <w:rPr>
          <w:rFonts w:hint="eastAsia" w:ascii="宋体" w:hAnsi="宋体" w:cs="宋体"/>
          <w:bCs/>
          <w:kern w:val="0"/>
          <w:sz w:val="24"/>
          <w:lang w:val="en-GB"/>
        </w:rPr>
        <w:t>月</w:t>
      </w:r>
      <w:r>
        <w:rPr>
          <w:rFonts w:hint="eastAsia" w:ascii="宋体" w:hAnsi="宋体" w:cs="宋体"/>
          <w:bCs/>
          <w:kern w:val="0"/>
          <w:sz w:val="24"/>
        </w:rPr>
        <w:t xml:space="preserve"> 11 </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0－1</w:t>
      </w:r>
      <w:r>
        <w:rPr>
          <w:rFonts w:hint="eastAsia" w:ascii="宋体" w:hAnsi="宋体" w:cs="宋体"/>
          <w:bCs/>
          <w:kern w:val="0"/>
          <w:sz w:val="24"/>
        </w:rPr>
        <w:t>1</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0，下午14:30－17:00，北京时间），节假日除外；</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lang w:val="en-GB"/>
        </w:rPr>
        <w:t>2、地点</w:t>
      </w:r>
      <w:r>
        <w:rPr>
          <w:rFonts w:hint="eastAsia" w:ascii="宋体" w:hAnsi="宋体" w:cs="宋体"/>
          <w:bCs/>
          <w:kern w:val="0"/>
          <w:sz w:val="24"/>
        </w:rPr>
        <w:t>：海口市蓝天路12-1号国机中洋公馆2号1102室</w:t>
      </w:r>
      <w:r>
        <w:rPr>
          <w:rFonts w:hint="eastAsia" w:ascii="宋体" w:hAnsi="宋体" w:cs="宋体"/>
          <w:bCs/>
          <w:kern w:val="0"/>
          <w:sz w:val="24"/>
          <w:lang w:val="en-GB"/>
        </w:rPr>
        <w:t>；</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、售价</w:t>
      </w:r>
      <w:r>
        <w:rPr>
          <w:rFonts w:hint="eastAsia" w:ascii="宋体" w:hAnsi="宋体" w:cs="宋体"/>
          <w:bCs/>
          <w:kern w:val="0"/>
          <w:sz w:val="24"/>
        </w:rPr>
        <w:t>：</w:t>
      </w:r>
      <w:r>
        <w:rPr>
          <w:rFonts w:hint="eastAsia" w:ascii="宋体" w:hAnsi="宋体" w:cs="宋体"/>
          <w:bCs/>
          <w:kern w:val="0"/>
          <w:sz w:val="24"/>
          <w:lang w:val="en-GB"/>
        </w:rPr>
        <w:t>人民币100元/份（文件售后概不退）；</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4</w:t>
      </w:r>
      <w:r>
        <w:rPr>
          <w:rFonts w:hint="eastAsia" w:ascii="宋体" w:hAnsi="宋体" w:cs="宋体"/>
          <w:bCs/>
          <w:kern w:val="0"/>
          <w:sz w:val="24"/>
          <w:lang w:val="en-GB"/>
        </w:rPr>
        <w:t>、购买谈判文件时须提供（</w:t>
      </w:r>
      <w:r>
        <w:rPr>
          <w:rFonts w:hint="eastAsia" w:ascii="宋体" w:hAnsi="宋体" w:cs="宋体"/>
          <w:sz w:val="24"/>
        </w:rPr>
        <w:t>复印件加盖公章，原件现场查验</w:t>
      </w:r>
      <w:r>
        <w:rPr>
          <w:rFonts w:hint="eastAsia" w:ascii="宋体" w:hAnsi="宋体" w:cs="宋体"/>
          <w:bCs/>
          <w:kern w:val="0"/>
          <w:sz w:val="24"/>
          <w:lang w:val="en-GB"/>
        </w:rPr>
        <w:t>）：</w:t>
      </w:r>
    </w:p>
    <w:p>
      <w:pPr>
        <w:snapToGrid w:val="0"/>
        <w:spacing w:line="500" w:lineRule="exact"/>
        <w:ind w:firstLine="480" w:firstLineChars="200"/>
        <w:jc w:val="left"/>
      </w:pPr>
      <w:r>
        <w:rPr>
          <w:rFonts w:hint="eastAsia" w:ascii="宋体" w:hAnsi="宋体" w:cs="宋体"/>
          <w:sz w:val="24"/>
          <w:lang w:bidi="ar"/>
        </w:rPr>
        <w:t>（1）营业执照副本、组织机构代码证副本、税务登记证、法人代表授权委托书原件及法人代表身份证、授权代表须提供其本人在现公司购买的社保证明材料及身份证复印件；</w:t>
      </w:r>
    </w:p>
    <w:p>
      <w:pPr>
        <w:tabs>
          <w:tab w:val="left" w:pos="540"/>
        </w:tabs>
        <w:spacing w:before="156" w:beforeLines="50" w:after="156" w:afterLines="50" w:line="440" w:lineRule="exact"/>
        <w:ind w:firstLine="480" w:firstLineChars="200"/>
        <w:rPr>
          <w:rFonts w:hint="eastAsia" w:ascii="宋体" w:hAnsi="宋体" w:cs="宋体"/>
          <w:sz w:val="24"/>
          <w:lang w:bidi="ar"/>
        </w:rPr>
      </w:pPr>
      <w:r>
        <w:rPr>
          <w:rFonts w:hint="eastAsia" w:ascii="宋体" w:hAnsi="宋体" w:cs="宋体"/>
          <w:sz w:val="24"/>
          <w:lang w:bidi="ar"/>
        </w:rPr>
        <w:t>（2）供应商资格要求的相关资质证明材料。</w:t>
      </w:r>
    </w:p>
    <w:p>
      <w:pPr>
        <w:tabs>
          <w:tab w:val="left" w:pos="540"/>
        </w:tabs>
        <w:spacing w:before="156" w:beforeLines="50" w:after="156" w:afterLines="50" w:line="440" w:lineRule="exact"/>
        <w:rPr>
          <w:rFonts w:hint="eastAsia" w:ascii="宋体" w:hAnsi="宋体" w:cs="宋体"/>
          <w:bCs/>
          <w:kern w:val="0"/>
          <w:sz w:val="28"/>
          <w:szCs w:val="28"/>
          <w:lang w:val="en-GB"/>
        </w:rPr>
      </w:pPr>
      <w:r>
        <w:rPr>
          <w:rFonts w:hint="eastAsia" w:ascii="宋体" w:hAnsi="宋体" w:cs="宋体"/>
          <w:b/>
          <w:kern w:val="0"/>
          <w:sz w:val="28"/>
          <w:szCs w:val="28"/>
          <w:lang w:val="en-GB"/>
        </w:rPr>
        <w:t>四、响应文件递交截止时间、开标时间及地点：</w:t>
      </w:r>
    </w:p>
    <w:p>
      <w:pPr>
        <w:spacing w:line="440" w:lineRule="exact"/>
        <w:ind w:firstLine="480" w:firstLineChars="200"/>
        <w:rPr>
          <w:rFonts w:hint="eastAsia" w:ascii="宋体" w:hAnsi="宋体" w:cs="宋体"/>
          <w:kern w:val="0"/>
          <w:sz w:val="24"/>
        </w:rPr>
      </w:pPr>
      <w:r>
        <w:rPr>
          <w:rFonts w:hint="eastAsia" w:ascii="宋体" w:hAnsi="宋体" w:cs="宋体"/>
          <w:bCs/>
          <w:kern w:val="0"/>
          <w:sz w:val="24"/>
          <w:lang w:val="en-GB"/>
        </w:rPr>
        <w:t>1、递交时间</w:t>
      </w:r>
      <w:r>
        <w:rPr>
          <w:rFonts w:hint="eastAsia" w:ascii="宋体" w:hAnsi="宋体" w:cs="宋体"/>
          <w:bCs/>
          <w:kern w:val="0"/>
          <w:sz w:val="24"/>
        </w:rPr>
        <w:t>：</w:t>
      </w:r>
      <w:r>
        <w:rPr>
          <w:rFonts w:hint="eastAsia" w:ascii="宋体" w:hAnsi="宋体" w:cs="宋体"/>
          <w:bCs/>
          <w:kern w:val="0"/>
          <w:sz w:val="24"/>
          <w:lang w:val="en-GB"/>
        </w:rPr>
        <w:t>201</w:t>
      </w:r>
      <w:r>
        <w:rPr>
          <w:rFonts w:hint="eastAsia" w:ascii="宋体" w:hAnsi="宋体" w:cs="宋体"/>
          <w:bCs/>
          <w:kern w:val="0"/>
          <w:sz w:val="24"/>
        </w:rPr>
        <w:t>7</w:t>
      </w:r>
      <w:r>
        <w:rPr>
          <w:rFonts w:hint="eastAsia" w:ascii="宋体" w:hAnsi="宋体" w:cs="宋体"/>
          <w:bCs/>
          <w:kern w:val="0"/>
          <w:sz w:val="24"/>
          <w:lang w:val="en-GB"/>
        </w:rPr>
        <w:t>年</w:t>
      </w:r>
      <w:r>
        <w:rPr>
          <w:rFonts w:hint="eastAsia" w:ascii="宋体" w:hAnsi="宋体" w:cs="宋体"/>
          <w:bCs/>
          <w:kern w:val="0"/>
          <w:sz w:val="24"/>
        </w:rPr>
        <w:t xml:space="preserve">  12 </w:t>
      </w:r>
      <w:r>
        <w:rPr>
          <w:rFonts w:hint="eastAsia" w:ascii="宋体" w:hAnsi="宋体" w:cs="宋体"/>
          <w:bCs/>
          <w:kern w:val="0"/>
          <w:sz w:val="24"/>
          <w:lang w:val="en-GB"/>
        </w:rPr>
        <w:t>月</w:t>
      </w:r>
      <w:r>
        <w:rPr>
          <w:rFonts w:hint="eastAsia" w:ascii="宋体" w:hAnsi="宋体" w:cs="宋体"/>
          <w:bCs/>
          <w:kern w:val="0"/>
          <w:sz w:val="24"/>
        </w:rPr>
        <w:t xml:space="preserve"> 14  </w:t>
      </w:r>
      <w:r>
        <w:rPr>
          <w:rFonts w:hint="eastAsia" w:ascii="宋体" w:hAnsi="宋体" w:cs="宋体"/>
          <w:bCs/>
          <w:kern w:val="0"/>
          <w:sz w:val="24"/>
          <w:lang w:val="en-GB"/>
        </w:rPr>
        <w:t>日</w:t>
      </w:r>
      <w:r>
        <w:rPr>
          <w:rFonts w:hint="eastAsia" w:ascii="宋体" w:hAnsi="宋体" w:cs="宋体"/>
          <w:bCs/>
          <w:kern w:val="0"/>
          <w:sz w:val="24"/>
        </w:rPr>
        <w:t>9</w:t>
      </w:r>
      <w:r>
        <w:rPr>
          <w:rFonts w:hint="eastAsia" w:ascii="宋体" w:hAnsi="宋体" w:cs="宋体"/>
          <w:bCs/>
          <w:kern w:val="0"/>
          <w:sz w:val="24"/>
          <w:lang w:val="en-GB"/>
        </w:rPr>
        <w:t>:</w:t>
      </w:r>
      <w:r>
        <w:rPr>
          <w:rFonts w:hint="eastAsia" w:ascii="宋体" w:hAnsi="宋体" w:cs="宋体"/>
          <w:bCs/>
          <w:kern w:val="0"/>
          <w:sz w:val="24"/>
        </w:rPr>
        <w:t xml:space="preserve">15 </w:t>
      </w:r>
      <w:r>
        <w:rPr>
          <w:rFonts w:hint="eastAsia" w:ascii="宋体" w:hAnsi="宋体" w:cs="宋体"/>
          <w:bCs/>
          <w:kern w:val="0"/>
          <w:sz w:val="24"/>
          <w:lang w:val="en-GB"/>
        </w:rPr>
        <w:t>至</w:t>
      </w:r>
      <w:r>
        <w:rPr>
          <w:rFonts w:hint="eastAsia" w:ascii="宋体" w:hAnsi="宋体" w:cs="宋体"/>
          <w:bCs/>
          <w:kern w:val="0"/>
          <w:sz w:val="24"/>
        </w:rPr>
        <w:t>9</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cs="宋体"/>
          <w:kern w:val="0"/>
          <w:sz w:val="24"/>
        </w:rPr>
        <w:t>，逾期或不符合规定的响应文件恕不接收；</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、开标时间</w:t>
      </w:r>
      <w:r>
        <w:rPr>
          <w:rFonts w:hint="eastAsia" w:ascii="宋体" w:hAnsi="宋体" w:cs="宋体"/>
          <w:bCs/>
          <w:kern w:val="0"/>
          <w:sz w:val="24"/>
        </w:rPr>
        <w:t>：</w:t>
      </w:r>
      <w:r>
        <w:rPr>
          <w:rFonts w:hint="eastAsia" w:ascii="宋体" w:hAnsi="宋体" w:cs="宋体"/>
          <w:bCs/>
          <w:kern w:val="0"/>
          <w:sz w:val="24"/>
          <w:lang w:val="en-GB"/>
        </w:rPr>
        <w:t>201</w:t>
      </w:r>
      <w:r>
        <w:rPr>
          <w:rFonts w:hint="eastAsia" w:ascii="宋体" w:hAnsi="宋体" w:cs="宋体"/>
          <w:bCs/>
          <w:kern w:val="0"/>
          <w:sz w:val="24"/>
        </w:rPr>
        <w:t>7</w:t>
      </w:r>
      <w:r>
        <w:rPr>
          <w:rFonts w:hint="eastAsia" w:ascii="宋体" w:hAnsi="宋体" w:cs="宋体"/>
          <w:bCs/>
          <w:kern w:val="0"/>
          <w:sz w:val="24"/>
          <w:lang w:val="en-GB"/>
        </w:rPr>
        <w:t>年</w:t>
      </w:r>
      <w:r>
        <w:rPr>
          <w:rFonts w:hint="eastAsia" w:ascii="宋体" w:hAnsi="宋体" w:cs="宋体"/>
          <w:bCs/>
          <w:kern w:val="0"/>
          <w:sz w:val="24"/>
        </w:rPr>
        <w:t xml:space="preserve"> 12  </w:t>
      </w:r>
      <w:r>
        <w:rPr>
          <w:rFonts w:hint="eastAsia" w:ascii="宋体" w:hAnsi="宋体" w:cs="宋体"/>
          <w:bCs/>
          <w:kern w:val="0"/>
          <w:sz w:val="24"/>
          <w:lang w:val="en-GB"/>
        </w:rPr>
        <w:t>月</w:t>
      </w:r>
      <w:r>
        <w:rPr>
          <w:rFonts w:hint="eastAsia" w:ascii="宋体" w:hAnsi="宋体" w:cs="宋体"/>
          <w:bCs/>
          <w:kern w:val="0"/>
          <w:sz w:val="24"/>
        </w:rPr>
        <w:t xml:space="preserve"> 14 </w:t>
      </w:r>
      <w:r>
        <w:rPr>
          <w:rFonts w:hint="eastAsia" w:ascii="宋体" w:hAnsi="宋体" w:cs="宋体"/>
          <w:bCs/>
          <w:kern w:val="0"/>
          <w:sz w:val="24"/>
          <w:lang w:val="en-GB"/>
        </w:rPr>
        <w:t>日</w:t>
      </w:r>
      <w:r>
        <w:rPr>
          <w:rFonts w:hint="eastAsia" w:ascii="宋体" w:hAnsi="宋体" w:cs="宋体"/>
          <w:bCs/>
          <w:kern w:val="0"/>
          <w:sz w:val="24"/>
        </w:rPr>
        <w:t>9</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cs="宋体"/>
          <w:bCs/>
          <w:kern w:val="0"/>
          <w:sz w:val="24"/>
          <w:lang w:val="en-GB"/>
        </w:rPr>
        <w:t>；</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、开标地点</w:t>
      </w:r>
      <w:r>
        <w:rPr>
          <w:rFonts w:hint="eastAsia" w:ascii="宋体" w:hAnsi="宋体" w:cs="宋体"/>
          <w:bCs/>
          <w:kern w:val="0"/>
          <w:sz w:val="24"/>
        </w:rPr>
        <w:t>：</w:t>
      </w:r>
      <w:r>
        <w:rPr>
          <w:rFonts w:hint="eastAsia" w:ascii="宋体" w:hAnsi="宋体" w:cs="宋体"/>
          <w:bCs/>
          <w:sz w:val="24"/>
        </w:rPr>
        <w:t>海口市蓝天路12-1号国机中洋公馆2号1102室</w:t>
      </w:r>
      <w:r>
        <w:rPr>
          <w:rFonts w:hint="eastAsia" w:ascii="宋体" w:hAnsi="宋体" w:cs="宋体"/>
          <w:bCs/>
          <w:kern w:val="0"/>
          <w:sz w:val="24"/>
          <w:lang w:val="en-GB"/>
        </w:rPr>
        <w:t>。</w:t>
      </w:r>
    </w:p>
    <w:p>
      <w:pPr>
        <w:pStyle w:val="25"/>
        <w:spacing w:line="390" w:lineRule="atLeast"/>
        <w:rPr>
          <w:b/>
          <w:sz w:val="28"/>
          <w:szCs w:val="28"/>
          <w:lang w:val="en-GB"/>
        </w:rPr>
      </w:pPr>
      <w:r>
        <w:rPr>
          <w:rFonts w:hint="eastAsia"/>
          <w:b/>
          <w:sz w:val="28"/>
          <w:szCs w:val="28"/>
          <w:lang w:val="en-GB"/>
        </w:rPr>
        <w:t>五、联系方式</w:t>
      </w:r>
    </w:p>
    <w:p>
      <w:pPr>
        <w:pStyle w:val="25"/>
        <w:spacing w:line="390" w:lineRule="atLeast"/>
        <w:ind w:firstLine="600" w:firstLineChars="250"/>
        <w:jc w:val="both"/>
        <w:rPr>
          <w:rFonts w:ascii="Arial" w:hAnsi="Arial" w:cs="Arial"/>
        </w:rPr>
      </w:pPr>
      <w:r>
        <w:rPr>
          <w:rFonts w:hint="eastAsia" w:cs="Arial"/>
        </w:rPr>
        <w:t>采购人：中国人民解放军75560部队</w:t>
      </w:r>
    </w:p>
    <w:p>
      <w:pPr>
        <w:pStyle w:val="25"/>
        <w:spacing w:line="390" w:lineRule="atLeast"/>
        <w:ind w:firstLine="600" w:firstLineChars="250"/>
        <w:jc w:val="both"/>
        <w:rPr>
          <w:rFonts w:ascii="Arial" w:hAnsi="Arial" w:cs="Arial"/>
        </w:rPr>
      </w:pPr>
      <w:r>
        <w:rPr>
          <w:rFonts w:hint="eastAsia" w:cs="Arial"/>
        </w:rPr>
        <w:t>地 址：海南省屯昌县屯城镇双拥路560号</w:t>
      </w:r>
    </w:p>
    <w:p>
      <w:pPr>
        <w:pStyle w:val="25"/>
        <w:spacing w:line="390" w:lineRule="atLeast"/>
        <w:ind w:firstLine="600" w:firstLineChars="250"/>
        <w:jc w:val="both"/>
        <w:rPr>
          <w:rFonts w:ascii="Arial" w:hAnsi="Arial" w:cs="Arial"/>
        </w:rPr>
      </w:pPr>
      <w:r>
        <w:rPr>
          <w:rFonts w:hint="eastAsia" w:cs="Arial"/>
        </w:rPr>
        <w:t>电 话：15692593042</w:t>
      </w:r>
    </w:p>
    <w:p>
      <w:pPr>
        <w:pStyle w:val="25"/>
        <w:spacing w:line="390" w:lineRule="atLeast"/>
        <w:ind w:firstLine="600" w:firstLineChars="250"/>
        <w:jc w:val="both"/>
        <w:rPr>
          <w:rFonts w:hint="eastAsia" w:cs="Arial"/>
        </w:rPr>
      </w:pPr>
      <w:r>
        <w:rPr>
          <w:rFonts w:hint="eastAsia" w:cs="Arial"/>
        </w:rPr>
        <w:t>联系人：秦先生</w:t>
      </w:r>
    </w:p>
    <w:p>
      <w:pPr>
        <w:pStyle w:val="25"/>
        <w:spacing w:line="390" w:lineRule="atLeast"/>
        <w:ind w:firstLine="600" w:firstLineChars="250"/>
        <w:jc w:val="both"/>
        <w:rPr>
          <w:rFonts w:ascii="Arial" w:hAnsi="Arial" w:cs="Arial"/>
        </w:rPr>
      </w:pPr>
    </w:p>
    <w:p>
      <w:pPr>
        <w:pStyle w:val="25"/>
        <w:spacing w:line="390" w:lineRule="atLeast"/>
        <w:ind w:firstLine="600" w:firstLineChars="250"/>
        <w:jc w:val="both"/>
        <w:rPr>
          <w:rFonts w:ascii="Arial" w:hAnsi="Arial" w:cs="Arial"/>
        </w:rPr>
      </w:pPr>
      <w:r>
        <w:rPr>
          <w:rFonts w:hint="eastAsia" w:cs="Arial"/>
        </w:rPr>
        <w:t>代理机构：广西嘉华建设项目管理咨询有限公司</w:t>
      </w:r>
    </w:p>
    <w:p>
      <w:pPr>
        <w:pStyle w:val="25"/>
        <w:spacing w:line="390" w:lineRule="atLeast"/>
        <w:ind w:firstLine="600" w:firstLineChars="250"/>
        <w:jc w:val="both"/>
        <w:rPr>
          <w:rFonts w:ascii="Arial" w:hAnsi="Arial" w:cs="Arial"/>
        </w:rPr>
      </w:pPr>
      <w:r>
        <w:rPr>
          <w:rFonts w:hint="eastAsia" w:cs="Arial"/>
        </w:rPr>
        <w:t>地 址：</w:t>
      </w:r>
      <w:r>
        <w:rPr>
          <w:rFonts w:hint="eastAsia"/>
          <w:bCs/>
        </w:rPr>
        <w:t>海口市蓝天路12-1号国机中洋公馆2号1102室</w:t>
      </w:r>
    </w:p>
    <w:p>
      <w:pPr>
        <w:pStyle w:val="25"/>
        <w:spacing w:line="390" w:lineRule="atLeast"/>
        <w:ind w:firstLine="600" w:firstLineChars="250"/>
        <w:jc w:val="both"/>
        <w:rPr>
          <w:rFonts w:hint="eastAsia" w:ascii="Arial" w:hAnsi="Arial" w:cs="Arial"/>
        </w:rPr>
      </w:pPr>
      <w:r>
        <w:rPr>
          <w:rFonts w:hint="eastAsia" w:cs="Arial"/>
        </w:rPr>
        <w:t>邮 编：570310</w:t>
      </w:r>
    </w:p>
    <w:p>
      <w:pPr>
        <w:pStyle w:val="25"/>
        <w:spacing w:line="390" w:lineRule="atLeast"/>
        <w:ind w:firstLine="600" w:firstLineChars="250"/>
        <w:jc w:val="both"/>
        <w:rPr>
          <w:rFonts w:hint="eastAsia" w:ascii="Arial" w:hAnsi="Arial" w:cs="Arial"/>
        </w:rPr>
      </w:pPr>
      <w:r>
        <w:rPr>
          <w:rFonts w:hint="eastAsia" w:cs="Arial"/>
        </w:rPr>
        <w:t>电 话：0898-65328264    传 真：0898-65328214</w:t>
      </w:r>
    </w:p>
    <w:p>
      <w:pPr>
        <w:pStyle w:val="25"/>
        <w:spacing w:line="390" w:lineRule="atLeast"/>
        <w:ind w:firstLine="600" w:firstLineChars="250"/>
        <w:jc w:val="both"/>
        <w:rPr>
          <w:rFonts w:hint="eastAsia" w:cs="Arial"/>
        </w:rPr>
      </w:pPr>
      <w:r>
        <w:rPr>
          <w:rFonts w:ascii="Times New Roman" w:hAnsi="Times New Roman" w:cs="Times New Roman"/>
        </w:rPr>
        <w:t>联系人：</w:t>
      </w:r>
      <w:r>
        <w:rPr>
          <w:rFonts w:hint="eastAsia" w:ascii="Times New Roman" w:hAnsi="Times New Roman" w:cs="Times New Roman"/>
          <w:lang w:eastAsia="zh-CN"/>
        </w:rPr>
        <w:t>邢女士</w:t>
      </w:r>
    </w:p>
    <w:p>
      <w:pPr>
        <w:pStyle w:val="25"/>
        <w:spacing w:line="390" w:lineRule="atLeast"/>
        <w:ind w:firstLine="600" w:firstLineChars="250"/>
        <w:jc w:val="both"/>
        <w:rPr>
          <w:rFonts w:hint="eastAsia" w:cs="Arial"/>
        </w:rPr>
      </w:pPr>
    </w:p>
    <w:p>
      <w:pPr>
        <w:pStyle w:val="25"/>
        <w:spacing w:line="390" w:lineRule="atLeast"/>
        <w:ind w:firstLine="600" w:firstLineChars="250"/>
        <w:jc w:val="both"/>
        <w:rPr>
          <w:rFonts w:hint="eastAsia"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hint="eastAsia" w:ascii="Arial" w:hAnsi="Arial" w:cs="Arial"/>
        </w:rPr>
      </w:pPr>
    </w:p>
    <w:p>
      <w:pPr>
        <w:pStyle w:val="25"/>
        <w:spacing w:line="390" w:lineRule="atLeast"/>
        <w:ind w:firstLine="600" w:firstLineChars="250"/>
        <w:jc w:val="both"/>
        <w:rPr>
          <w:rFonts w:ascii="Arial" w:hAnsi="Arial" w:cs="Arial"/>
        </w:rPr>
      </w:pPr>
    </w:p>
    <w:p>
      <w:pPr>
        <w:spacing w:line="240" w:lineRule="exact"/>
        <w:jc w:val="left"/>
        <w:rPr>
          <w:rFonts w:hint="eastAsia" w:ascii="宋体" w:hAnsi="宋体" w:cs="宋体"/>
          <w:bCs/>
          <w:kern w:val="0"/>
          <w:sz w:val="24"/>
          <w:lang w:val="en-GB"/>
        </w:rPr>
      </w:pPr>
    </w:p>
    <w:p>
      <w:pPr>
        <w:spacing w:line="240" w:lineRule="exact"/>
        <w:jc w:val="left"/>
        <w:rPr>
          <w:rFonts w:hint="eastAsia" w:ascii="宋体" w:hAnsi="宋体" w:cs="宋体"/>
          <w:bCs/>
          <w:kern w:val="0"/>
          <w:sz w:val="24"/>
          <w:lang w:val="en-GB"/>
        </w:rPr>
      </w:pPr>
    </w:p>
    <w:p>
      <w:pPr>
        <w:spacing w:line="240" w:lineRule="exact"/>
        <w:jc w:val="left"/>
        <w:rPr>
          <w:rFonts w:hint="eastAsia" w:ascii="宋体" w:hAnsi="宋体" w:cs="宋体"/>
          <w:bCs/>
          <w:kern w:val="0"/>
          <w:sz w:val="24"/>
          <w:lang w:val="en-GB"/>
        </w:rPr>
      </w:pPr>
    </w:p>
    <w:p>
      <w:pPr>
        <w:spacing w:line="240" w:lineRule="exact"/>
        <w:jc w:val="left"/>
        <w:rPr>
          <w:rFonts w:hint="eastAsia" w:ascii="宋体" w:hAnsi="宋体" w:cs="宋体"/>
          <w:bCs/>
          <w:kern w:val="0"/>
          <w:sz w:val="24"/>
          <w:lang w:val="en-GB"/>
        </w:rPr>
      </w:pPr>
    </w:p>
    <w:p>
      <w:pPr>
        <w:spacing w:before="156" w:beforeLines="50" w:after="156" w:afterLines="50" w:line="360" w:lineRule="auto"/>
        <w:jc w:val="center"/>
        <w:rPr>
          <w:rFonts w:hint="eastAsia" w:ascii="宋体" w:hAnsi="宋体" w:cs="宋体"/>
          <w:b/>
          <w:sz w:val="30"/>
          <w:szCs w:val="30"/>
        </w:rPr>
      </w:pPr>
      <w:r>
        <w:rPr>
          <w:rFonts w:hint="eastAsia" w:ascii="宋体" w:hAnsi="宋体" w:cs="宋体"/>
          <w:b/>
          <w:sz w:val="44"/>
          <w:szCs w:val="44"/>
        </w:rPr>
        <w:t>第二部分  供应商须知</w:t>
      </w:r>
    </w:p>
    <w:p>
      <w:pPr>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（一）总则</w:t>
      </w:r>
    </w:p>
    <w:p>
      <w:pPr>
        <w:spacing w:line="440" w:lineRule="exact"/>
        <w:rPr>
          <w:rFonts w:hint="eastAsia" w:ascii="宋体" w:hAnsi="宋体" w:cs="宋体"/>
          <w:b/>
          <w:bCs/>
          <w:sz w:val="24"/>
        </w:rPr>
      </w:pPr>
      <w:bookmarkStart w:id="0" w:name="_Toc183682347"/>
      <w:bookmarkStart w:id="1" w:name="_Toc217446039"/>
      <w:bookmarkStart w:id="2" w:name="_Toc183582210"/>
      <w:r>
        <w:rPr>
          <w:rFonts w:hint="eastAsia" w:ascii="宋体" w:hAnsi="宋体" w:cs="宋体"/>
          <w:b/>
          <w:bCs/>
          <w:sz w:val="24"/>
        </w:rPr>
        <w:t>1、适用范围</w:t>
      </w:r>
    </w:p>
    <w:p>
      <w:pPr>
        <w:spacing w:line="440" w:lineRule="exact"/>
        <w:ind w:firstLine="480" w:firstLineChars="200"/>
        <w:outlineLvl w:val="0"/>
        <w:rPr>
          <w:rFonts w:hint="eastAsia" w:ascii="宋体" w:hAnsi="宋体" w:cs="宋体"/>
          <w:sz w:val="24"/>
        </w:rPr>
      </w:pPr>
      <w:r>
        <w:rPr>
          <w:rFonts w:hint="eastAsia" w:ascii="宋体" w:hAnsi="宋体" w:cs="宋体"/>
          <w:sz w:val="24"/>
        </w:rPr>
        <w:t>本</w:t>
      </w:r>
      <w:r>
        <w:rPr>
          <w:rFonts w:hint="eastAsia" w:ascii="宋体" w:hAnsi="宋体" w:cs="宋体"/>
          <w:bCs/>
          <w:kern w:val="0"/>
          <w:sz w:val="24"/>
          <w:lang w:val="en-GB"/>
        </w:rPr>
        <w:t>谈判文件</w:t>
      </w:r>
      <w:r>
        <w:rPr>
          <w:rFonts w:hint="eastAsia" w:ascii="宋体" w:hAnsi="宋体" w:cs="宋体"/>
          <w:sz w:val="24"/>
        </w:rPr>
        <w:t>仅适用于</w:t>
      </w:r>
      <w:r>
        <w:rPr>
          <w:rFonts w:hint="eastAsia" w:ascii="宋体" w:hAnsi="宋体" w:cs="宋体"/>
          <w:bCs/>
          <w:kern w:val="0"/>
          <w:sz w:val="24"/>
          <w:lang w:val="en-GB"/>
        </w:rPr>
        <w:t>本次谈判邀请中所叙述的项目。</w:t>
      </w:r>
    </w:p>
    <w:p>
      <w:pPr>
        <w:tabs>
          <w:tab w:val="left" w:pos="7665"/>
        </w:tabs>
        <w:spacing w:line="440" w:lineRule="exact"/>
        <w:rPr>
          <w:rFonts w:hint="eastAsia"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中国人民解放军75560部队</w:t>
      </w:r>
      <w:r>
        <w:rPr>
          <w:rFonts w:hint="eastAsia" w:ascii="宋体" w:hAnsi="宋体" w:cs="宋体"/>
          <w:sz w:val="24"/>
        </w:rPr>
        <w:t>。</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2.2 “采购代理机构”系指受采购人的委托依法办理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广西嘉华建设项目管理咨询有限公司</w:t>
      </w:r>
      <w:r>
        <w:rPr>
          <w:rFonts w:hint="eastAsia" w:ascii="宋体" w:hAnsi="宋体" w:cs="宋体"/>
          <w:sz w:val="24"/>
        </w:rPr>
        <w:t>。</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2.3 “供应商”系指实名购买</w:t>
      </w:r>
      <w:r>
        <w:rPr>
          <w:rFonts w:hint="eastAsia" w:ascii="宋体" w:hAnsi="宋体" w:cs="宋体"/>
          <w:bCs/>
          <w:kern w:val="0"/>
          <w:sz w:val="24"/>
          <w:lang w:val="en-GB"/>
        </w:rPr>
        <w:t>谈判文件</w:t>
      </w:r>
      <w:r>
        <w:rPr>
          <w:rFonts w:hint="eastAsia" w:ascii="宋体" w:hAnsi="宋体" w:cs="宋体"/>
          <w:sz w:val="24"/>
        </w:rPr>
        <w:t>拟参加谈判和拟向采购人提供货物及相应服务的供应商。其职责如下：</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2.3.1 对</w:t>
      </w:r>
      <w:r>
        <w:rPr>
          <w:rFonts w:hint="eastAsia" w:ascii="宋体" w:hAnsi="宋体" w:cs="宋体"/>
          <w:bCs/>
          <w:kern w:val="0"/>
          <w:sz w:val="24"/>
          <w:lang w:val="en-GB"/>
        </w:rPr>
        <w:t>谈判文件</w:t>
      </w:r>
      <w:r>
        <w:rPr>
          <w:rFonts w:hint="eastAsia" w:ascii="宋体" w:hAnsi="宋体" w:cs="宋体"/>
          <w:sz w:val="24"/>
        </w:rPr>
        <w:t>错、漏之处提出澄清、说明要求或质疑；</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2.3.2 按要求缴纳谈判保证金；</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2.3.3 按要求编制响应文件；</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2.3.4 派供应商代表递交响应文件，参加响应文件开启活动，对谈判小组就响应文件提出的问题进行澄清；“供应商代表”系指在谈判过程中代表供应商单位处理谈判事宜的人员，包括供应商单位法定代表人或负责人及取得授权的供应商单位人员；</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竞争性谈判采购</w:t>
      </w:r>
      <w:r>
        <w:rPr>
          <w:rFonts w:hint="eastAsia" w:ascii="宋体" w:hAnsi="宋体" w:cs="宋体"/>
          <w:sz w:val="24"/>
        </w:rPr>
        <w:t>项目的质疑、投诉和举报的处理工作；</w:t>
      </w:r>
    </w:p>
    <w:p>
      <w:pPr>
        <w:tabs>
          <w:tab w:val="left" w:pos="3060"/>
        </w:tabs>
        <w:spacing w:line="440" w:lineRule="exact"/>
        <w:ind w:firstLine="480" w:firstLineChars="200"/>
        <w:rPr>
          <w:rFonts w:hint="eastAsia"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2.3.7 政府采购法律法规所规定的其他职责。</w:t>
      </w:r>
      <w:bookmarkStart w:id="3" w:name="_Toc183582207"/>
      <w:bookmarkStart w:id="4" w:name="_Toc217390843"/>
      <w:bookmarkStart w:id="5" w:name="_Toc183682344"/>
      <w:bookmarkStart w:id="6" w:name="_Toc217446036"/>
    </w:p>
    <w:p>
      <w:pPr>
        <w:tabs>
          <w:tab w:val="left" w:pos="7665"/>
        </w:tabs>
        <w:spacing w:line="440" w:lineRule="exact"/>
        <w:ind w:firstLine="480" w:firstLineChars="200"/>
        <w:rPr>
          <w:rFonts w:hint="eastAsia" w:ascii="宋体" w:hAnsi="宋体" w:cs="宋体"/>
          <w:sz w:val="24"/>
        </w:rPr>
      </w:pPr>
      <w:r>
        <w:rPr>
          <w:rFonts w:hint="eastAsia" w:ascii="宋体" w:hAnsi="宋体" w:cs="宋体"/>
          <w:sz w:val="24"/>
        </w:rPr>
        <w:t>2.4 合格的供应商</w:t>
      </w:r>
      <w:bookmarkEnd w:id="3"/>
      <w:bookmarkEnd w:id="4"/>
      <w:bookmarkEnd w:id="5"/>
      <w:bookmarkEnd w:id="6"/>
    </w:p>
    <w:p>
      <w:pPr>
        <w:tabs>
          <w:tab w:val="left" w:pos="7665"/>
        </w:tabs>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符合谈判文件规定的资质要求，有能力提供满足谈判要求的相关货物及服务的法人实体。</w:t>
      </w:r>
    </w:p>
    <w:p>
      <w:pPr>
        <w:tabs>
          <w:tab w:val="left" w:pos="7665"/>
        </w:tabs>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2.4.3</w:t>
      </w:r>
      <w:r>
        <w:rPr>
          <w:rFonts w:hint="eastAsia" w:ascii="宋体" w:hAnsi="宋体"/>
          <w:kern w:val="0"/>
          <w:sz w:val="24"/>
        </w:rPr>
        <w:t>供应商应遵守中华人民共和国的有关法律、法规。</w:t>
      </w:r>
    </w:p>
    <w:p>
      <w:pPr>
        <w:tabs>
          <w:tab w:val="left" w:pos="7665"/>
        </w:tabs>
        <w:spacing w:line="440" w:lineRule="exact"/>
        <w:ind w:firstLine="480" w:firstLineChars="200"/>
        <w:rPr>
          <w:rFonts w:hint="eastAsia" w:ascii="宋体" w:hAnsi="宋体" w:cs="宋体"/>
          <w:bCs/>
          <w:kern w:val="0"/>
          <w:sz w:val="24"/>
          <w:lang w:val="en-GB"/>
        </w:rPr>
      </w:pPr>
      <w:r>
        <w:rPr>
          <w:rFonts w:hint="eastAsia" w:ascii="宋体" w:hAnsi="宋体" w:cs="宋体"/>
          <w:sz w:val="24"/>
        </w:rPr>
        <w:t xml:space="preserve">2.5 </w:t>
      </w:r>
      <w:r>
        <w:rPr>
          <w:rFonts w:hint="eastAsia" w:ascii="宋体" w:hAnsi="宋体" w:cs="宋体"/>
          <w:bCs/>
          <w:kern w:val="0"/>
          <w:sz w:val="24"/>
          <w:lang w:val="en-GB"/>
        </w:rPr>
        <w:t>“成交供应商”系指经谈判小组评审，并授予合同的供应商。</w:t>
      </w:r>
    </w:p>
    <w:p>
      <w:pPr>
        <w:pStyle w:val="7"/>
        <w:adjustRightInd w:val="0"/>
        <w:snapToGrid w:val="0"/>
        <w:spacing w:line="440" w:lineRule="exact"/>
        <w:rPr>
          <w:rFonts w:hint="eastAsia"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w:t>
      </w:r>
      <w:r>
        <w:rPr>
          <w:rFonts w:hint="eastAsia" w:ascii="宋体" w:hAnsi="宋体" w:cs="宋体"/>
          <w:bCs/>
          <w:kern w:val="0"/>
          <w:sz w:val="24"/>
        </w:rPr>
        <w:t xml:space="preserve"> </w:t>
      </w:r>
      <w:r>
        <w:rPr>
          <w:rFonts w:hint="eastAsia" w:ascii="宋体" w:hAnsi="宋体" w:cs="宋体"/>
          <w:bCs/>
          <w:kern w:val="0"/>
          <w:sz w:val="24"/>
          <w:lang w:val="en-GB"/>
        </w:rPr>
        <w:t>“货物”系指供应商制造或组织符合谈判文件要求的货物等。所投货物必须是合法生产的合格货物，并能够按照货物合同规定的品牌、产地、质量、价格和有效期等。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hint="eastAsia" w:ascii="宋体" w:hAnsi="宋体" w:cs="宋体"/>
          <w:b/>
          <w:sz w:val="24"/>
        </w:rPr>
      </w:pPr>
      <w:r>
        <w:rPr>
          <w:rFonts w:hint="eastAsia" w:ascii="宋体" w:hAnsi="宋体" w:cs="宋体"/>
          <w:b/>
          <w:sz w:val="24"/>
        </w:rPr>
        <w:t>4、谈判费用</w:t>
      </w:r>
    </w:p>
    <w:p>
      <w:pPr>
        <w:spacing w:line="440" w:lineRule="exact"/>
        <w:ind w:firstLine="480" w:firstLineChars="200"/>
        <w:rPr>
          <w:rFonts w:hint="eastAsia" w:ascii="宋体" w:hAnsi="宋体" w:cs="宋体"/>
          <w:sz w:val="24"/>
        </w:rPr>
      </w:pPr>
      <w:r>
        <w:rPr>
          <w:rFonts w:hint="eastAsia" w:ascii="宋体" w:hAnsi="宋体" w:cs="宋体"/>
          <w:sz w:val="24"/>
        </w:rPr>
        <w:t>4.1 供应商应承担所有与准备和参加谈判响应有关的费用。不论结果如何，采购代理机构和采购人均无义务和责任承担这些费用。</w:t>
      </w:r>
    </w:p>
    <w:p>
      <w:pPr>
        <w:spacing w:line="440" w:lineRule="exact"/>
        <w:ind w:firstLine="480" w:firstLineChars="200"/>
        <w:rPr>
          <w:rFonts w:hint="eastAsia" w:ascii="宋体" w:hAnsi="宋体" w:cs="宋体"/>
          <w:sz w:val="24"/>
        </w:rPr>
      </w:pPr>
      <w:r>
        <w:rPr>
          <w:rFonts w:hint="eastAsia" w:ascii="宋体" w:hAnsi="宋体" w:cs="宋体"/>
          <w:color w:val="FF0000"/>
          <w:sz w:val="24"/>
        </w:rPr>
        <w:t>4.2 采购代理机构向成交供应商收取代理服务费</w:t>
      </w:r>
      <w:r>
        <w:rPr>
          <w:rFonts w:hint="eastAsia" w:ascii="宋体" w:hAnsi="宋体" w:cs="宋体"/>
          <w:color w:val="FF0000"/>
          <w:sz w:val="24"/>
          <w:lang w:val="en-US" w:eastAsia="zh-CN"/>
        </w:rPr>
        <w:t>,本项目招标代理服务费人民币6000.00（大写：</w:t>
      </w:r>
      <w:r>
        <w:rPr>
          <w:rFonts w:hint="eastAsia" w:ascii="宋体" w:hAnsi="宋体" w:cs="宋体"/>
          <w:color w:val="FF0000"/>
          <w:sz w:val="24"/>
          <w:lang w:val="en-US" w:eastAsia="zh-CN"/>
        </w:rPr>
        <w:fldChar w:fldCharType="begin"/>
      </w:r>
      <w:r>
        <w:rPr>
          <w:rFonts w:hint="eastAsia" w:ascii="宋体" w:hAnsi="宋体" w:cs="宋体"/>
          <w:color w:val="FF0000"/>
          <w:sz w:val="24"/>
          <w:lang w:val="en-US" w:eastAsia="zh-CN"/>
        </w:rPr>
        <w:instrText xml:space="preserve"> = 5000 \* CHINESENUM4 \* MERGEFORMAT </w:instrText>
      </w:r>
      <w:r>
        <w:rPr>
          <w:rFonts w:hint="eastAsia" w:ascii="宋体" w:hAnsi="宋体" w:cs="宋体"/>
          <w:color w:val="FF0000"/>
          <w:sz w:val="24"/>
          <w:lang w:val="en-US" w:eastAsia="zh-CN"/>
        </w:rPr>
        <w:fldChar w:fldCharType="separate"/>
      </w:r>
      <w:r>
        <w:rPr>
          <w:rFonts w:hint="eastAsia" w:ascii="宋体" w:hAnsi="宋体" w:cs="宋体"/>
          <w:color w:val="FF0000"/>
          <w:sz w:val="24"/>
          <w:lang w:val="en-US" w:eastAsia="zh-CN"/>
        </w:rPr>
        <w:fldChar w:fldCharType="begin"/>
      </w:r>
      <w:r>
        <w:rPr>
          <w:rFonts w:hint="eastAsia" w:ascii="宋体" w:hAnsi="宋体" w:cs="宋体"/>
          <w:color w:val="FF0000"/>
          <w:sz w:val="24"/>
          <w:lang w:val="en-US" w:eastAsia="zh-CN"/>
        </w:rPr>
        <w:instrText xml:space="preserve"> = 6000 \* CHINESENUM2 \* MERGEFORMAT </w:instrText>
      </w:r>
      <w:r>
        <w:rPr>
          <w:rFonts w:hint="eastAsia" w:ascii="宋体" w:hAnsi="宋体" w:cs="宋体"/>
          <w:color w:val="FF0000"/>
          <w:sz w:val="24"/>
          <w:lang w:val="en-US" w:eastAsia="zh-CN"/>
        </w:rPr>
        <w:fldChar w:fldCharType="separate"/>
      </w:r>
      <w:r>
        <w:rPr>
          <w:rFonts w:hint="eastAsia" w:ascii="宋体" w:hAnsi="宋体" w:cs="宋体"/>
          <w:color w:val="FF0000"/>
          <w:sz w:val="24"/>
        </w:rPr>
        <w:t>陆仟</w:t>
      </w:r>
      <w:r>
        <w:rPr>
          <w:rFonts w:hint="eastAsia" w:ascii="宋体" w:hAnsi="宋体" w:cs="宋体"/>
          <w:color w:val="FF0000"/>
          <w:sz w:val="24"/>
          <w:lang w:val="en-US" w:eastAsia="zh-CN"/>
        </w:rPr>
        <w:fldChar w:fldCharType="end"/>
      </w:r>
      <w:r>
        <w:rPr>
          <w:rFonts w:hint="eastAsia" w:ascii="宋体" w:hAnsi="宋体" w:cs="宋体"/>
          <w:color w:val="FF0000"/>
          <w:sz w:val="24"/>
          <w:lang w:val="en-US" w:eastAsia="zh-CN"/>
        </w:rPr>
        <w:t>元整</w:t>
      </w:r>
      <w:r>
        <w:rPr>
          <w:rFonts w:hint="eastAsia" w:ascii="宋体" w:hAnsi="宋体" w:cs="宋体"/>
          <w:color w:val="FF0000"/>
          <w:sz w:val="24"/>
          <w:lang w:val="en-US" w:eastAsia="zh-CN"/>
        </w:rPr>
        <w:fldChar w:fldCharType="end"/>
      </w:r>
      <w:r>
        <w:rPr>
          <w:rFonts w:hint="eastAsia" w:ascii="宋体" w:hAnsi="宋体" w:cs="宋体"/>
          <w:color w:val="FF0000"/>
          <w:sz w:val="24"/>
          <w:lang w:val="en-US" w:eastAsia="zh-CN"/>
        </w:rPr>
        <w:t>）</w:t>
      </w:r>
      <w:r>
        <w:rPr>
          <w:rFonts w:hint="eastAsia" w:ascii="宋体" w:hAnsi="宋体" w:cs="宋体"/>
          <w:color w:val="FF0000"/>
          <w:sz w:val="24"/>
        </w:rPr>
        <w:t>。</w:t>
      </w:r>
      <w:r>
        <w:rPr>
          <w:rFonts w:hint="eastAsia" w:ascii="宋体" w:hAnsi="宋体" w:cs="宋体"/>
          <w:sz w:val="24"/>
        </w:rPr>
        <w:t>成交供应商须在成交通知书发出之日起三个工作日内向招标代理机构支付代理服务费，逾期未付，每日按代理费的百分之五收取滞纳金，且招标代理机构有权在采购合同上拒签或盖章，因此造成的法律责任均由成交供应商承担。</w:t>
      </w:r>
    </w:p>
    <w:p>
      <w:pPr>
        <w:tabs>
          <w:tab w:val="left" w:pos="7665"/>
        </w:tabs>
        <w:spacing w:line="440" w:lineRule="exact"/>
        <w:rPr>
          <w:rFonts w:hint="eastAsia" w:ascii="宋体" w:hAnsi="宋体"/>
          <w:b/>
          <w:bCs/>
          <w:sz w:val="24"/>
        </w:rPr>
      </w:pPr>
      <w:r>
        <w:rPr>
          <w:rFonts w:hint="eastAsia" w:ascii="宋体" w:hAnsi="宋体" w:cs="宋体"/>
          <w:b/>
          <w:bCs/>
          <w:sz w:val="24"/>
        </w:rPr>
        <w:t>5、</w:t>
      </w:r>
      <w:r>
        <w:rPr>
          <w:rFonts w:hint="eastAsia" w:ascii="宋体" w:hAnsi="宋体"/>
          <w:b/>
          <w:bCs/>
          <w:sz w:val="24"/>
        </w:rPr>
        <w:t>谈判文件的约束力</w:t>
      </w:r>
    </w:p>
    <w:p>
      <w:pPr>
        <w:spacing w:line="440" w:lineRule="exact"/>
        <w:ind w:firstLine="480" w:firstLineChars="200"/>
        <w:rPr>
          <w:rFonts w:hint="eastAsia" w:ascii="宋体" w:hAnsi="宋体"/>
          <w:sz w:val="24"/>
        </w:rPr>
      </w:pPr>
      <w:r>
        <w:rPr>
          <w:rFonts w:hint="eastAsia" w:ascii="宋体" w:hAnsi="宋体"/>
          <w:sz w:val="24"/>
        </w:rPr>
        <w:t>5.1 供应商购买本谈判文件后，如在递交响应文件截止时间前未对采购代理机构提出书面意见，即视为接受了本谈判文件中的所有条款和规定。</w:t>
      </w:r>
    </w:p>
    <w:p>
      <w:pPr>
        <w:spacing w:line="440" w:lineRule="exact"/>
        <w:ind w:firstLine="480" w:firstLineChars="200"/>
        <w:rPr>
          <w:rFonts w:hint="eastAsia" w:ascii="宋体" w:hAnsi="宋体" w:cs="宋体"/>
          <w:sz w:val="24"/>
        </w:rPr>
      </w:pPr>
      <w:r>
        <w:rPr>
          <w:rFonts w:hint="eastAsia" w:ascii="宋体" w:hAnsi="宋体"/>
          <w:sz w:val="24"/>
        </w:rPr>
        <w:t>5.2 本谈判文件由采购代理机构负责解释。</w:t>
      </w:r>
    </w:p>
    <w:p>
      <w:pPr>
        <w:tabs>
          <w:tab w:val="left" w:pos="7665"/>
        </w:tabs>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（二）谈判文件</w:t>
      </w:r>
    </w:p>
    <w:p>
      <w:pPr>
        <w:pStyle w:val="7"/>
        <w:adjustRightInd w:val="0"/>
        <w:snapToGrid w:val="0"/>
        <w:spacing w:line="440" w:lineRule="exact"/>
        <w:ind w:left="420" w:hanging="420"/>
        <w:rPr>
          <w:rFonts w:hint="eastAsia" w:hAnsi="宋体" w:cs="宋体"/>
          <w:b/>
          <w:bCs/>
          <w:sz w:val="24"/>
        </w:rPr>
      </w:pPr>
      <w:r>
        <w:rPr>
          <w:rFonts w:hint="eastAsia" w:hAnsi="宋体" w:cs="宋体"/>
          <w:b/>
          <w:bCs/>
          <w:sz w:val="24"/>
        </w:rPr>
        <w:t>6、谈判文件的构成</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6.1 谈判文件由下列文件以及在招标过程中发出的修正和补充文件组成：</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第一部分  谈判邀请函</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第二部分  供应商须知</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第三部分  用户需求书</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第四部分  合同条款及格式</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第五部分  响应文件格式</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6.2 供应商应认真阅读谈判文件中所有的事项、格式、条款和技术规范等。供应商没有按照谈判文件要求提交全部资料，或者供应商没有对谈判文件在各方面都做出实质性响应是供应商的风险，并可能导致其响应被拒绝或视为无效。</w:t>
      </w:r>
    </w:p>
    <w:bookmarkEnd w:id="0"/>
    <w:bookmarkEnd w:id="1"/>
    <w:bookmarkEnd w:id="2"/>
    <w:p>
      <w:pPr>
        <w:pStyle w:val="7"/>
        <w:adjustRightInd w:val="0"/>
        <w:snapToGrid w:val="0"/>
        <w:spacing w:line="440" w:lineRule="exact"/>
        <w:rPr>
          <w:rFonts w:hint="eastAsia" w:hAnsi="宋体" w:cs="宋体"/>
          <w:b/>
          <w:bCs/>
          <w:sz w:val="24"/>
        </w:rPr>
      </w:pPr>
      <w:bookmarkStart w:id="7" w:name="_Toc217446043"/>
      <w:bookmarkStart w:id="8" w:name="_Toc183682352"/>
      <w:bookmarkStart w:id="9" w:name="_Toc183582215"/>
      <w:r>
        <w:rPr>
          <w:rFonts w:hint="eastAsia" w:hAnsi="宋体" w:cs="宋体"/>
          <w:b/>
          <w:bCs/>
          <w:sz w:val="24"/>
        </w:rPr>
        <w:t>7、谈判文件的澄清</w:t>
      </w:r>
    </w:p>
    <w:p>
      <w:pPr>
        <w:pStyle w:val="7"/>
        <w:adjustRightInd w:val="0"/>
        <w:snapToGrid w:val="0"/>
        <w:spacing w:line="440" w:lineRule="exact"/>
        <w:ind w:firstLine="480" w:firstLineChars="200"/>
        <w:rPr>
          <w:rFonts w:hint="eastAsia" w:hAnsi="宋体"/>
          <w:sz w:val="24"/>
        </w:rPr>
      </w:pPr>
      <w:r>
        <w:rPr>
          <w:rFonts w:hint="eastAsia" w:hAnsi="宋体"/>
          <w:sz w:val="24"/>
        </w:rPr>
        <w:t>供应商在收到谈判文件后，若有疑问需要澄清，应于递交响应文件截止时间前（逾期不受理）以书面形式向代理机构提出，采购代理机构将以书面形式进行答复，同时采购代理机构有权将答复内容分发给所有购买了本谈判文件的供应商。否则视为完全接受谈判文件所有条款及规定。</w:t>
      </w:r>
    </w:p>
    <w:p>
      <w:pPr>
        <w:pStyle w:val="7"/>
        <w:adjustRightInd w:val="0"/>
        <w:snapToGrid w:val="0"/>
        <w:spacing w:line="440" w:lineRule="exact"/>
        <w:ind w:left="420" w:hanging="420"/>
        <w:rPr>
          <w:rFonts w:hint="eastAsia" w:hAnsi="宋体" w:cs="宋体"/>
          <w:b/>
          <w:bCs/>
          <w:sz w:val="24"/>
        </w:rPr>
      </w:pPr>
      <w:r>
        <w:rPr>
          <w:rFonts w:hint="eastAsia" w:hAnsi="宋体" w:cs="宋体"/>
          <w:b/>
          <w:bCs/>
          <w:sz w:val="24"/>
        </w:rPr>
        <w:t>8、谈判文件的修改</w:t>
      </w:r>
    </w:p>
    <w:p>
      <w:pPr>
        <w:pStyle w:val="7"/>
        <w:adjustRightInd w:val="0"/>
        <w:snapToGrid w:val="0"/>
        <w:spacing w:line="440" w:lineRule="exact"/>
        <w:ind w:firstLine="480" w:firstLineChars="200"/>
        <w:rPr>
          <w:rFonts w:hint="eastAsia" w:hAnsi="宋体"/>
          <w:sz w:val="24"/>
        </w:rPr>
      </w:pPr>
      <w:r>
        <w:rPr>
          <w:rFonts w:hint="eastAsia" w:hAnsi="宋体"/>
          <w:sz w:val="24"/>
        </w:rPr>
        <w:t>8.l 在递交响应文件截止时间前1天，</w:t>
      </w:r>
      <w:r>
        <w:rPr>
          <w:rFonts w:hint="eastAsia" w:hAnsi="宋体" w:cs="宋体"/>
          <w:sz w:val="24"/>
        </w:rPr>
        <w:t>采购代理机构和采购人可主动或在解答供应商提出的澄清问题时对谈判文件进行修改。</w:t>
      </w:r>
    </w:p>
    <w:p>
      <w:pPr>
        <w:pStyle w:val="7"/>
        <w:adjustRightInd w:val="0"/>
        <w:snapToGrid w:val="0"/>
        <w:spacing w:line="440" w:lineRule="exact"/>
        <w:ind w:firstLine="480" w:firstLineChars="200"/>
        <w:rPr>
          <w:rFonts w:hint="eastAsia" w:hAnsi="宋体"/>
          <w:sz w:val="24"/>
        </w:rPr>
      </w:pPr>
      <w:r>
        <w:rPr>
          <w:rFonts w:hint="eastAsia" w:hAnsi="宋体"/>
          <w:sz w:val="24"/>
        </w:rPr>
        <w:t xml:space="preserve">8.2 </w:t>
      </w:r>
      <w:r>
        <w:rPr>
          <w:rFonts w:hint="eastAsia" w:hAnsi="宋体" w:cs="宋体"/>
          <w:sz w:val="24"/>
        </w:rPr>
        <w:t>谈判文件的修改是谈判文件的组成部分，采购代理机构将以书面或网上公告的形式通知所有购买本谈判文件的潜在供应商，并对潜在供应商具有约束力。潜在供应商在收到上述通知后，应立即以书面形式向采购代理机构和采购人确认。</w:t>
      </w:r>
    </w:p>
    <w:p>
      <w:pPr>
        <w:pStyle w:val="7"/>
        <w:adjustRightInd w:val="0"/>
        <w:snapToGrid w:val="0"/>
        <w:spacing w:line="440" w:lineRule="exact"/>
        <w:ind w:firstLine="480" w:firstLineChars="200"/>
        <w:rPr>
          <w:rFonts w:hint="eastAsia" w:hAnsi="宋体"/>
          <w:sz w:val="24"/>
        </w:rPr>
      </w:pPr>
      <w:r>
        <w:rPr>
          <w:rFonts w:hint="eastAsia" w:hAnsi="宋体"/>
          <w:sz w:val="24"/>
        </w:rPr>
        <w:t>8.3</w:t>
      </w:r>
      <w:r>
        <w:rPr>
          <w:rFonts w:hint="eastAsia" w:hAnsi="宋体" w:cs="宋体"/>
          <w:sz w:val="24"/>
        </w:rPr>
        <w:t>为使供应商准备谈判时有充分的时间对谈判文件修改部分进行研究，采购代理机构应当在提交响应文件截止之日</w:t>
      </w:r>
      <w:r>
        <w:rPr>
          <w:rFonts w:hAnsi="宋体" w:cs="宋体"/>
          <w:sz w:val="24"/>
        </w:rPr>
        <w:t>3</w:t>
      </w:r>
      <w:r>
        <w:rPr>
          <w:rFonts w:hint="eastAsia" w:hAnsi="宋体" w:cs="宋体"/>
          <w:sz w:val="24"/>
        </w:rPr>
        <w:t>个工作日前，以书面或网上公告的形式通知所有接收谈判文件的供应商，不足</w:t>
      </w:r>
      <w:r>
        <w:rPr>
          <w:rFonts w:hAnsi="宋体" w:cs="宋体"/>
          <w:sz w:val="24"/>
        </w:rPr>
        <w:t>3</w:t>
      </w:r>
      <w:r>
        <w:rPr>
          <w:rFonts w:hint="eastAsia" w:hAnsi="宋体" w:cs="宋体"/>
          <w:sz w:val="24"/>
        </w:rPr>
        <w:t>个工作日的，应当顺延提交响应文件截止之日。</w:t>
      </w:r>
    </w:p>
    <w:p>
      <w:pPr>
        <w:snapToGrid w:val="0"/>
        <w:spacing w:line="440" w:lineRule="exact"/>
        <w:ind w:firstLine="480" w:firstLineChars="200"/>
        <w:outlineLvl w:val="0"/>
        <w:rPr>
          <w:rFonts w:hint="eastAsia" w:ascii="宋体" w:hAnsi="宋体" w:cs="宋体"/>
          <w:sz w:val="24"/>
        </w:rPr>
      </w:pPr>
      <w:r>
        <w:rPr>
          <w:rFonts w:hint="eastAsia" w:ascii="宋体" w:hAnsi="宋体" w:cs="宋体"/>
          <w:sz w:val="24"/>
        </w:rPr>
        <w:t>8.4 本</w:t>
      </w:r>
      <w:r>
        <w:rPr>
          <w:rFonts w:hint="eastAsia" w:ascii="宋体" w:hAnsi="宋体" w:cs="宋体"/>
          <w:bCs/>
          <w:kern w:val="0"/>
          <w:sz w:val="24"/>
          <w:lang w:val="en-GB"/>
        </w:rPr>
        <w:t>谈判文件</w:t>
      </w:r>
      <w:r>
        <w:rPr>
          <w:rFonts w:hint="eastAsia" w:ascii="宋体" w:hAnsi="宋体" w:cs="宋体"/>
          <w:sz w:val="24"/>
        </w:rPr>
        <w:t>的解释权属于</w:t>
      </w:r>
      <w:r>
        <w:rPr>
          <w:rFonts w:hint="eastAsia" w:hAnsi="宋体" w:cs="宋体"/>
          <w:sz w:val="24"/>
        </w:rPr>
        <w:t>采购代理机构</w:t>
      </w:r>
      <w:r>
        <w:rPr>
          <w:rFonts w:hint="eastAsia" w:ascii="宋体" w:hAnsi="宋体" w:cs="宋体"/>
          <w:sz w:val="24"/>
        </w:rPr>
        <w:t>和采购人。</w:t>
      </w:r>
    </w:p>
    <w:p>
      <w:pPr>
        <w:snapToGrid w:val="0"/>
        <w:spacing w:before="156" w:beforeLines="50" w:after="156" w:afterLines="50" w:line="440" w:lineRule="exact"/>
        <w:outlineLvl w:val="0"/>
        <w:rPr>
          <w:rFonts w:hint="eastAsia" w:ascii="宋体" w:hAnsi="宋体" w:cs="宋体"/>
          <w:b/>
          <w:sz w:val="28"/>
          <w:szCs w:val="28"/>
        </w:rPr>
      </w:pPr>
      <w:r>
        <w:rPr>
          <w:rFonts w:hint="eastAsia" w:ascii="宋体" w:hAnsi="宋体" w:cs="宋体"/>
          <w:b/>
          <w:sz w:val="28"/>
          <w:szCs w:val="28"/>
        </w:rPr>
        <w:t>（三）响应文件的编制和数量</w:t>
      </w:r>
    </w:p>
    <w:p>
      <w:pPr>
        <w:pStyle w:val="7"/>
        <w:adjustRightInd w:val="0"/>
        <w:snapToGrid w:val="0"/>
        <w:spacing w:line="440" w:lineRule="exact"/>
        <w:rPr>
          <w:rFonts w:hint="eastAsia" w:hAnsi="宋体" w:cs="宋体"/>
          <w:b/>
          <w:bCs/>
          <w:sz w:val="24"/>
        </w:rPr>
      </w:pPr>
      <w:r>
        <w:rPr>
          <w:rFonts w:hint="eastAsia" w:hAnsi="宋体" w:cs="宋体"/>
          <w:b/>
          <w:bCs/>
          <w:sz w:val="24"/>
        </w:rPr>
        <w:t>9、响应的语言及度量衡</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9.1供应商提交的响应文件以及供应商与代理机构和采购人就有关询价响应的所有来往函电均应使用中文。</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9.2供应商提交的支持文件和印刷的文献可以用另一种语言，但相应内容应附有中文翻译本，在解释响应文件时以翻译本为准。</w:t>
      </w:r>
    </w:p>
    <w:p>
      <w:pPr>
        <w:widowControl/>
        <w:spacing w:line="360" w:lineRule="auto"/>
        <w:ind w:firstLine="480" w:firstLineChars="200"/>
        <w:rPr>
          <w:rFonts w:hint="eastAsia" w:ascii="宋体" w:hAnsi="宋体" w:cs="宋体"/>
          <w:sz w:val="24"/>
        </w:rPr>
      </w:pPr>
      <w:r>
        <w:rPr>
          <w:rFonts w:hint="eastAsia" w:ascii="宋体" w:hAnsi="宋体" w:cs="宋体"/>
          <w:sz w:val="24"/>
        </w:rPr>
        <w:t>9.3 除在采购文件第四章中另有规定外，度量衡单位应使用国际单位制。</w:t>
      </w:r>
    </w:p>
    <w:p>
      <w:pPr>
        <w:widowControl/>
        <w:spacing w:line="360" w:lineRule="auto"/>
        <w:ind w:firstLine="480" w:firstLineChars="200"/>
        <w:rPr>
          <w:rFonts w:hint="eastAsia" w:ascii="宋体" w:hAnsi="宋体" w:cs="宋体"/>
          <w:sz w:val="24"/>
        </w:rPr>
      </w:pPr>
      <w:r>
        <w:rPr>
          <w:rFonts w:hint="eastAsia" w:ascii="宋体" w:hAnsi="宋体" w:cs="宋体"/>
          <w:sz w:val="24"/>
        </w:rPr>
        <w:t>9.4 “年、月、日”除非特别说明，均指公历的年、月、日。</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9.5 “工作日”指中国法定节假日以外的公历日。</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9.6 “元”指人民币元，除非上下文另有所指；货币均指人民币，除非另有特别说明。</w:t>
      </w:r>
    </w:p>
    <w:p>
      <w:pPr>
        <w:pStyle w:val="7"/>
        <w:adjustRightInd w:val="0"/>
        <w:snapToGrid w:val="0"/>
        <w:spacing w:line="440" w:lineRule="exact"/>
        <w:rPr>
          <w:rFonts w:hint="eastAsia" w:hAnsi="宋体" w:cs="宋体"/>
          <w:sz w:val="24"/>
        </w:rPr>
      </w:pPr>
      <w:r>
        <w:rPr>
          <w:rFonts w:hint="eastAsia" w:hAnsi="宋体" w:cs="宋体"/>
          <w:b/>
          <w:bCs/>
          <w:sz w:val="24"/>
        </w:rPr>
        <w:t>10、响应文件的构成</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供应商编制的响应文件应包括但不限于下列内容（详见第四部分）。</w:t>
      </w:r>
    </w:p>
    <w:p>
      <w:pPr>
        <w:pStyle w:val="7"/>
        <w:adjustRightInd w:val="0"/>
        <w:snapToGrid w:val="0"/>
        <w:spacing w:line="440" w:lineRule="exact"/>
        <w:rPr>
          <w:rFonts w:hint="eastAsia" w:hAnsi="宋体" w:cs="宋体"/>
          <w:b/>
          <w:sz w:val="24"/>
          <w:lang w:val="en-GB"/>
        </w:rPr>
      </w:pPr>
      <w:r>
        <w:rPr>
          <w:rFonts w:hint="eastAsia" w:hAnsi="宋体" w:cs="宋体"/>
          <w:b/>
          <w:sz w:val="24"/>
          <w:lang w:val="en-GB"/>
        </w:rPr>
        <w:t>1</w:t>
      </w:r>
      <w:r>
        <w:rPr>
          <w:rFonts w:hint="eastAsia" w:hAnsi="宋体" w:cs="宋体"/>
          <w:b/>
          <w:sz w:val="24"/>
        </w:rPr>
        <w:t>1</w:t>
      </w:r>
      <w:r>
        <w:rPr>
          <w:rFonts w:hint="eastAsia" w:hAnsi="宋体" w:cs="宋体"/>
          <w:b/>
          <w:sz w:val="24"/>
          <w:lang w:val="en-GB"/>
        </w:rPr>
        <w:t>、响应文件编制</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1</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cs="宋体"/>
          <w:bCs/>
          <w:sz w:val="24"/>
          <w:lang w:val="en-GB"/>
        </w:rPr>
        <w:t>供应商对谈判文件中多个包进行响应的，其响应文件的编制应按各个包的要求分别装订和封装</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1</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供应商应完整地填写谈判文件中提供的《响应承诺函》、《报价一览表》等谈判文件中规定的所有内容。</w:t>
      </w:r>
    </w:p>
    <w:p>
      <w:pPr>
        <w:pStyle w:val="7"/>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1</w:t>
      </w:r>
      <w:r>
        <w:rPr>
          <w:rFonts w:hint="eastAsia" w:hAnsi="宋体" w:cs="宋体"/>
          <w:bCs/>
          <w:sz w:val="24"/>
        </w:rPr>
        <w:t>1</w:t>
      </w:r>
      <w:r>
        <w:rPr>
          <w:rFonts w:hint="eastAsia" w:hAnsi="宋体" w:cs="宋体"/>
          <w:bCs/>
          <w:sz w:val="24"/>
          <w:lang w:val="en-GB"/>
        </w:rPr>
        <w:t>.3</w:t>
      </w:r>
      <w:r>
        <w:rPr>
          <w:rFonts w:hint="eastAsia" w:hAnsi="宋体" w:cs="宋体"/>
          <w:bCs/>
          <w:sz w:val="24"/>
        </w:rPr>
        <w:t xml:space="preserve"> </w:t>
      </w:r>
      <w:r>
        <w:rPr>
          <w:rFonts w:hint="eastAsia" w:hAnsi="宋体" w:cs="宋体"/>
          <w:bCs/>
          <w:sz w:val="24"/>
          <w:lang w:val="en-GB"/>
        </w:rPr>
        <w:t>供应商必须保证响应文件所提供的全部资料真实可靠，并接受采购代理机构对其中任何资料进一步审查的要求。</w:t>
      </w:r>
    </w:p>
    <w:p>
      <w:pPr>
        <w:pStyle w:val="7"/>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1</w:t>
      </w:r>
      <w:r>
        <w:rPr>
          <w:rFonts w:hint="eastAsia" w:hAnsi="宋体" w:cs="宋体"/>
          <w:bCs/>
          <w:sz w:val="24"/>
        </w:rPr>
        <w:t>1</w:t>
      </w:r>
      <w:r>
        <w:rPr>
          <w:rFonts w:hint="eastAsia" w:hAnsi="宋体" w:cs="宋体"/>
          <w:bCs/>
          <w:sz w:val="24"/>
          <w:lang w:val="en-GB"/>
        </w:rPr>
        <w:t>.4</w:t>
      </w:r>
      <w:r>
        <w:rPr>
          <w:rFonts w:hint="eastAsia" w:hAnsi="宋体" w:cs="宋体"/>
          <w:bCs/>
          <w:sz w:val="24"/>
        </w:rPr>
        <w:t xml:space="preserve"> </w:t>
      </w:r>
      <w:r>
        <w:rPr>
          <w:rFonts w:hint="eastAsia" w:hAnsi="宋体" w:cs="宋体"/>
          <w:bCs/>
          <w:sz w:val="24"/>
          <w:lang w:val="en-GB"/>
        </w:rPr>
        <w:t>如果响应文件填报的内容不详，或没有提供谈判文件中所要求的全部资料及数据，使谈判小组无法正常评审的，由此产生的结果由供应商承担。</w:t>
      </w:r>
    </w:p>
    <w:p>
      <w:pPr>
        <w:pStyle w:val="22"/>
        <w:spacing w:before="0" w:after="0" w:line="440" w:lineRule="exact"/>
        <w:ind w:firstLine="480" w:firstLineChars="200"/>
        <w:jc w:val="both"/>
        <w:rPr>
          <w:rFonts w:hint="eastAsia" w:ascii="宋体" w:hAnsi="宋体" w:cs="宋体"/>
          <w:bCs w:val="0"/>
          <w:spacing w:val="0"/>
          <w:szCs w:val="24"/>
          <w:lang w:val="en-GB"/>
        </w:rPr>
      </w:pPr>
      <w:r>
        <w:rPr>
          <w:rFonts w:hint="eastAsia" w:ascii="宋体" w:hAnsi="宋体" w:cs="宋体"/>
          <w:spacing w:val="0"/>
          <w:kern w:val="2"/>
          <w:szCs w:val="24"/>
          <w:lang w:val="en-GB"/>
        </w:rPr>
        <w:t>1</w:t>
      </w:r>
      <w:r>
        <w:rPr>
          <w:rFonts w:hint="eastAsia" w:ascii="宋体" w:hAnsi="宋体" w:cs="宋体"/>
          <w:spacing w:val="0"/>
          <w:kern w:val="2"/>
          <w:szCs w:val="24"/>
        </w:rPr>
        <w:t>1</w:t>
      </w:r>
      <w:r>
        <w:rPr>
          <w:rFonts w:hint="eastAsia" w:ascii="宋体" w:hAnsi="宋体" w:cs="宋体"/>
          <w:spacing w:val="0"/>
          <w:kern w:val="2"/>
          <w:szCs w:val="24"/>
          <w:lang w:val="en-GB"/>
        </w:rPr>
        <w:t>.5</w:t>
      </w:r>
      <w:r>
        <w:rPr>
          <w:rFonts w:hint="eastAsia" w:ascii="宋体" w:hAnsi="宋体" w:cs="宋体"/>
          <w:spacing w:val="0"/>
          <w:kern w:val="2"/>
          <w:szCs w:val="24"/>
        </w:rPr>
        <w:t xml:space="preserve"> </w:t>
      </w:r>
      <w:r>
        <w:rPr>
          <w:rFonts w:hint="eastAsia" w:ascii="宋体" w:hAnsi="宋体" w:cs="宋体"/>
          <w:spacing w:val="0"/>
          <w:kern w:val="2"/>
          <w:szCs w:val="24"/>
          <w:lang w:val="en-GB"/>
        </w:rPr>
        <w:t>响应文件外形尺寸应统一为A4纸规格，</w:t>
      </w:r>
      <w:r>
        <w:rPr>
          <w:rFonts w:hint="eastAsia" w:ascii="宋体" w:hAnsi="宋体" w:cs="宋体"/>
          <w:bCs w:val="0"/>
          <w:spacing w:val="0"/>
          <w:szCs w:val="24"/>
          <w:lang w:val="en-GB"/>
        </w:rPr>
        <w:t>文件所使用的印章必须为企业公章，且与供应商名称完全一致，不能以其它业务章或附属机构印章代替。需签名之处必须由当事人亲笔签署。</w:t>
      </w:r>
    </w:p>
    <w:p>
      <w:pPr>
        <w:pStyle w:val="22"/>
        <w:spacing w:before="0" w:after="0" w:line="440" w:lineRule="exact"/>
        <w:ind w:firstLine="480" w:firstLineChars="200"/>
        <w:jc w:val="both"/>
        <w:rPr>
          <w:rFonts w:hint="eastAsia"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响应文件自制部分必须打印，每页须按顺序加注页码，装订牢固且不会轻易脱落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。如因装订问题而出现漏页或缺页，由此产生的一切后果由供应商自行承担。</w:t>
      </w:r>
    </w:p>
    <w:p>
      <w:pPr>
        <w:pStyle w:val="22"/>
        <w:spacing w:before="0" w:after="0" w:line="440" w:lineRule="exact"/>
        <w:ind w:firstLine="480" w:firstLineChars="200"/>
        <w:jc w:val="both"/>
        <w:rPr>
          <w:rFonts w:hint="eastAsia"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任何行间插字、涂改和增删，必须由供应商授权代表在旁边签字或盖章后方可有效。</w:t>
      </w:r>
    </w:p>
    <w:p>
      <w:pPr>
        <w:pStyle w:val="7"/>
        <w:adjustRightInd w:val="0"/>
        <w:snapToGrid w:val="0"/>
        <w:spacing w:line="440" w:lineRule="exact"/>
        <w:rPr>
          <w:rFonts w:hint="eastAsia" w:hAnsi="宋体" w:cs="宋体"/>
          <w:b/>
          <w:sz w:val="24"/>
          <w:lang w:val="en-GB"/>
        </w:rPr>
      </w:pPr>
      <w:r>
        <w:rPr>
          <w:rFonts w:hint="eastAsia" w:hAnsi="宋体" w:cs="宋体"/>
          <w:b/>
          <w:sz w:val="24"/>
          <w:lang w:val="en-GB"/>
        </w:rPr>
        <w:t>1</w:t>
      </w:r>
      <w:r>
        <w:rPr>
          <w:rFonts w:hint="eastAsia" w:hAnsi="宋体" w:cs="宋体"/>
          <w:b/>
          <w:sz w:val="24"/>
        </w:rPr>
        <w:t>2</w:t>
      </w:r>
      <w:r>
        <w:rPr>
          <w:rFonts w:hint="eastAsia" w:hAnsi="宋体" w:cs="宋体"/>
          <w:b/>
          <w:sz w:val="24"/>
          <w:lang w:val="en-GB"/>
        </w:rPr>
        <w:t>、谈判报价</w:t>
      </w:r>
    </w:p>
    <w:p>
      <w:pPr>
        <w:pStyle w:val="22"/>
        <w:spacing w:before="0" w:after="0" w:line="440" w:lineRule="exact"/>
        <w:ind w:firstLine="482" w:firstLineChars="200"/>
        <w:jc w:val="both"/>
        <w:rPr>
          <w:rFonts w:hint="eastAsia" w:ascii="宋体" w:hAnsi="宋体" w:cs="宋体"/>
          <w:b/>
          <w:bCs w:val="0"/>
          <w:spacing w:val="0"/>
          <w:szCs w:val="24"/>
        </w:rPr>
      </w:pPr>
      <w:r>
        <w:rPr>
          <w:rFonts w:hint="eastAsia" w:ascii="宋体" w:hAnsi="宋体" w:cs="宋体"/>
          <w:b/>
          <w:bCs w:val="0"/>
          <w:spacing w:val="0"/>
          <w:szCs w:val="24"/>
        </w:rPr>
        <w:t>12.1 本项目的采购预算金额为￥29.5万元。</w:t>
      </w:r>
    </w:p>
    <w:p>
      <w:pPr>
        <w:pStyle w:val="22"/>
        <w:spacing w:before="0" w:after="0" w:line="440" w:lineRule="exact"/>
        <w:ind w:firstLine="480" w:firstLineChars="200"/>
        <w:jc w:val="both"/>
        <w:rPr>
          <w:rFonts w:hint="eastAsia" w:ascii="宋体" w:hAnsi="宋体" w:cs="宋体"/>
          <w:bCs w:val="0"/>
          <w:spacing w:val="0"/>
          <w:szCs w:val="24"/>
        </w:rPr>
      </w:pPr>
      <w:r>
        <w:rPr>
          <w:rFonts w:hint="eastAsia" w:ascii="宋体" w:hAnsi="宋体" w:cs="宋体"/>
          <w:bCs w:val="0"/>
          <w:spacing w:val="0"/>
          <w:szCs w:val="24"/>
        </w:rPr>
        <w:t>12.2 报价应包括全部货物、服务的价格及相关税费、运输到指定地点的装运费用（如有）、安装调试（如有）、培训（如有）、售后服务等其它有关的所有费用。</w:t>
      </w:r>
    </w:p>
    <w:p>
      <w:pPr>
        <w:pStyle w:val="22"/>
        <w:spacing w:before="0" w:after="0" w:line="440" w:lineRule="exact"/>
        <w:ind w:firstLine="480" w:firstLineChars="200"/>
        <w:jc w:val="both"/>
        <w:rPr>
          <w:rFonts w:hint="eastAsia" w:ascii="宋体" w:hAnsi="宋体" w:cs="宋体"/>
          <w:bCs w:val="0"/>
          <w:spacing w:val="0"/>
          <w:szCs w:val="24"/>
        </w:rPr>
      </w:pPr>
      <w:r>
        <w:rPr>
          <w:rFonts w:hint="eastAsia" w:ascii="宋体" w:hAnsi="宋体" w:cs="宋体"/>
          <w:bCs w:val="0"/>
          <w:spacing w:val="0"/>
          <w:szCs w:val="24"/>
        </w:rPr>
        <w:t>12.3 供应商应按报价一览表的要求报价，不接受有选择的报价。</w:t>
      </w:r>
    </w:p>
    <w:p>
      <w:pPr>
        <w:pStyle w:val="7"/>
        <w:adjustRightInd w:val="0"/>
        <w:snapToGrid w:val="0"/>
        <w:spacing w:line="440" w:lineRule="exact"/>
        <w:ind w:firstLine="480" w:firstLineChars="200"/>
        <w:rPr>
          <w:rFonts w:hint="eastAsia" w:hAnsi="宋体" w:cs="宋体"/>
          <w:bCs/>
          <w:sz w:val="24"/>
          <w:lang w:val="en-GB"/>
        </w:rPr>
      </w:pPr>
      <w:r>
        <w:rPr>
          <w:rFonts w:hint="eastAsia" w:hAnsi="宋体" w:cs="宋体"/>
          <w:sz w:val="24"/>
        </w:rPr>
        <w:t>12.4 成交候选供应商的报价如超过预算且采购人不能支付的，采购人有权拒绝而递选下一个顺位的成交候选供应商。</w:t>
      </w:r>
    </w:p>
    <w:p>
      <w:pPr>
        <w:spacing w:line="440" w:lineRule="exact"/>
        <w:rPr>
          <w:rFonts w:hint="eastAsia" w:ascii="宋体" w:hAnsi="宋体" w:cs="宋体"/>
          <w:b/>
          <w:sz w:val="24"/>
          <w:lang w:val="en-GB"/>
        </w:rPr>
      </w:pPr>
      <w:r>
        <w:rPr>
          <w:rFonts w:hint="eastAsia" w:ascii="宋体" w:hAnsi="宋体" w:cs="宋体"/>
          <w:b/>
          <w:sz w:val="24"/>
          <w:lang w:val="en-GB"/>
        </w:rPr>
        <w:t>1</w:t>
      </w:r>
      <w:r>
        <w:rPr>
          <w:rFonts w:hint="eastAsia" w:ascii="宋体" w:hAnsi="宋体" w:cs="宋体"/>
          <w:b/>
          <w:sz w:val="24"/>
        </w:rPr>
        <w:t>3</w:t>
      </w:r>
      <w:r>
        <w:rPr>
          <w:rFonts w:hint="eastAsia" w:ascii="宋体" w:hAnsi="宋体" w:cs="宋体"/>
          <w:b/>
          <w:sz w:val="24"/>
          <w:lang w:val="en-GB"/>
        </w:rPr>
        <w:t>、备选方案</w:t>
      </w:r>
    </w:p>
    <w:p>
      <w:pPr>
        <w:pStyle w:val="7"/>
        <w:adjustRightInd w:val="0"/>
        <w:snapToGrid w:val="0"/>
        <w:spacing w:line="440" w:lineRule="exact"/>
        <w:ind w:firstLine="480" w:firstLineChars="200"/>
        <w:rPr>
          <w:rFonts w:hint="eastAsia" w:hAnsi="宋体" w:cs="宋体"/>
          <w:bCs/>
          <w:sz w:val="24"/>
          <w:lang w:val="en-GB"/>
        </w:rPr>
      </w:pPr>
      <w:r>
        <w:rPr>
          <w:rFonts w:hint="eastAsia" w:hAnsi="宋体" w:cs="宋体"/>
          <w:bCs/>
          <w:sz w:val="24"/>
          <w:lang w:val="en-GB"/>
        </w:rPr>
        <w:t>本次谈判只允许供应商有一个响应方案，否则，其响应文件无效。</w:t>
      </w:r>
    </w:p>
    <w:p>
      <w:pPr>
        <w:spacing w:line="440" w:lineRule="exact"/>
        <w:rPr>
          <w:rFonts w:hint="eastAsia" w:ascii="宋体" w:hAnsi="宋体" w:cs="宋体"/>
          <w:b/>
          <w:sz w:val="24"/>
          <w:lang w:val="en-GB"/>
        </w:rPr>
      </w:pPr>
      <w:r>
        <w:rPr>
          <w:rFonts w:hint="eastAsia" w:ascii="宋体" w:hAnsi="宋体" w:cs="宋体"/>
          <w:b/>
          <w:sz w:val="24"/>
        </w:rPr>
        <w:t>14、</w:t>
      </w:r>
      <w:r>
        <w:rPr>
          <w:rFonts w:hint="eastAsia" w:ascii="宋体" w:hAnsi="宋体" w:cs="宋体"/>
          <w:b/>
          <w:sz w:val="24"/>
          <w:lang w:val="en-GB"/>
        </w:rPr>
        <w:t>谈判保证金</w:t>
      </w:r>
    </w:p>
    <w:p>
      <w:pPr>
        <w:spacing w:line="440" w:lineRule="exact"/>
        <w:ind w:firstLine="480" w:firstLineChars="200"/>
        <w:rPr>
          <w:rFonts w:hint="eastAsia" w:ascii="宋体" w:hAnsi="宋体" w:cs="宋体"/>
          <w:sz w:val="24"/>
        </w:rPr>
      </w:pPr>
      <w:r>
        <w:rPr>
          <w:rFonts w:hint="eastAsia" w:ascii="宋体" w:hAnsi="宋体" w:cs="宋体"/>
          <w:sz w:val="24"/>
        </w:rPr>
        <w:t>14.1 谈判保证金是参加本项目谈判的必要条件，保证金金额为</w:t>
      </w:r>
      <w:r>
        <w:rPr>
          <w:rFonts w:hint="eastAsia" w:ascii="宋体" w:hAnsi="宋体" w:cs="宋体"/>
          <w:b/>
          <w:bCs/>
          <w:sz w:val="24"/>
          <w:u w:val="single"/>
        </w:rPr>
        <w:t>￥5000.00</w:t>
      </w:r>
      <w:r>
        <w:rPr>
          <w:rFonts w:hint="eastAsia" w:ascii="宋体" w:hAnsi="宋体" w:cs="宋体"/>
          <w:sz w:val="24"/>
        </w:rPr>
        <w:t>。</w:t>
      </w:r>
    </w:p>
    <w:p>
      <w:pPr>
        <w:spacing w:line="440" w:lineRule="exact"/>
        <w:ind w:firstLine="480" w:firstLineChars="200"/>
        <w:rPr>
          <w:rFonts w:hint="eastAsia" w:ascii="宋体" w:hAnsi="宋体" w:cs="宋体"/>
          <w:sz w:val="24"/>
          <w:lang w:val="en-GB"/>
        </w:rPr>
      </w:pPr>
      <w:r>
        <w:rPr>
          <w:rFonts w:hint="eastAsia" w:ascii="宋体" w:hAnsi="宋体" w:cs="宋体"/>
          <w:sz w:val="24"/>
        </w:rPr>
        <w:t>14.2 谈判保证金</w:t>
      </w:r>
      <w:r>
        <w:rPr>
          <w:rFonts w:hint="eastAsia" w:ascii="宋体" w:hAnsi="宋体" w:cs="宋体"/>
          <w:sz w:val="24"/>
          <w:lang w:val="en-GB"/>
        </w:rPr>
        <w:t>应在</w:t>
      </w:r>
      <w:r>
        <w:rPr>
          <w:rFonts w:hint="eastAsia" w:ascii="宋体" w:hAnsi="宋体" w:cs="宋体"/>
          <w:sz w:val="24"/>
        </w:rPr>
        <w:t>递交响应文件截止时间2017年</w:t>
      </w:r>
      <w:r>
        <w:rPr>
          <w:rFonts w:hint="eastAsia" w:ascii="宋体" w:hAnsi="宋体" w:cs="宋体"/>
          <w:sz w:val="24"/>
          <w:u w:val="single"/>
        </w:rPr>
        <w:t>12</w:t>
      </w:r>
      <w:r>
        <w:rPr>
          <w:rFonts w:hint="eastAsia" w:ascii="宋体" w:hAnsi="宋体" w:cs="宋体"/>
          <w:sz w:val="24"/>
        </w:rPr>
        <w:t>月</w:t>
      </w:r>
      <w:r>
        <w:rPr>
          <w:rFonts w:hint="eastAsia" w:ascii="宋体" w:hAnsi="宋体" w:cs="宋体"/>
          <w:sz w:val="24"/>
          <w:u w:val="single"/>
        </w:rPr>
        <w:t>12</w:t>
      </w:r>
      <w:r>
        <w:rPr>
          <w:rFonts w:hint="eastAsia" w:ascii="宋体" w:hAnsi="宋体" w:cs="宋体"/>
          <w:sz w:val="24"/>
        </w:rPr>
        <w:t>日</w:t>
      </w:r>
      <w:r>
        <w:rPr>
          <w:rFonts w:hint="eastAsia" w:ascii="宋体" w:hAnsi="宋体" w:cs="宋体"/>
          <w:sz w:val="24"/>
          <w:u w:val="single"/>
        </w:rPr>
        <w:t>12</w:t>
      </w:r>
      <w:r>
        <w:rPr>
          <w:rFonts w:hint="eastAsia" w:ascii="宋体" w:hAnsi="宋体" w:cs="宋体"/>
          <w:sz w:val="24"/>
        </w:rPr>
        <w:t>：</w:t>
      </w:r>
      <w:r>
        <w:rPr>
          <w:rFonts w:hint="eastAsia" w:ascii="宋体" w:hAnsi="宋体" w:cs="宋体"/>
          <w:sz w:val="24"/>
          <w:u w:val="single"/>
        </w:rPr>
        <w:t>00</w:t>
      </w:r>
      <w:r>
        <w:rPr>
          <w:rFonts w:hint="eastAsia" w:ascii="宋体" w:hAnsi="宋体" w:cs="宋体"/>
          <w:bCs/>
          <w:sz w:val="24"/>
        </w:rPr>
        <w:t>前</w:t>
      </w:r>
      <w:r>
        <w:rPr>
          <w:rFonts w:hint="eastAsia" w:ascii="宋体" w:hAnsi="宋体" w:cs="宋体"/>
          <w:sz w:val="24"/>
          <w:lang w:val="en-GB"/>
        </w:rPr>
        <w:t>划入或存入采购代理机构指定的账户</w:t>
      </w:r>
      <w:r>
        <w:rPr>
          <w:rFonts w:hint="eastAsia" w:ascii="宋体" w:hAnsi="宋体" w:cs="宋体"/>
          <w:sz w:val="24"/>
        </w:rPr>
        <w:t>并注明汇款单位，同时保证金单据上必须注明项目编号、项目名称。</w:t>
      </w:r>
      <w:r>
        <w:rPr>
          <w:rFonts w:hint="eastAsia" w:ascii="宋体" w:hAnsi="宋体" w:cs="宋体"/>
          <w:sz w:val="24"/>
          <w:lang w:val="en-GB"/>
        </w:rPr>
        <w:t>如供应商谈判保证金未按要求到账的，视为无效响应并不接收响应文件。</w:t>
      </w:r>
    </w:p>
    <w:p>
      <w:pPr>
        <w:spacing w:line="440" w:lineRule="exact"/>
        <w:jc w:val="center"/>
        <w:outlineLvl w:val="0"/>
        <w:rPr>
          <w:rFonts w:hint="eastAsia" w:ascii="宋体" w:hAnsi="宋体" w:cs="宋体"/>
          <w:b/>
          <w:bCs/>
          <w:sz w:val="24"/>
          <w:lang w:val="en-GB"/>
        </w:rPr>
      </w:pPr>
      <w:r>
        <w:rPr>
          <w:rFonts w:hint="eastAsia" w:ascii="宋体" w:hAnsi="宋体" w:cs="宋体"/>
          <w:b/>
          <w:bCs/>
          <w:sz w:val="24"/>
          <w:lang w:val="en-GB"/>
        </w:rPr>
        <w:t>账户：广西嘉华建设项目管理咨询有限公司海南分公司</w:t>
      </w:r>
    </w:p>
    <w:p>
      <w:pPr>
        <w:spacing w:line="440" w:lineRule="exact"/>
        <w:jc w:val="center"/>
        <w:outlineLvl w:val="0"/>
        <w:rPr>
          <w:rFonts w:hint="eastAsia" w:ascii="宋体" w:hAnsi="宋体" w:cs="宋体"/>
          <w:b/>
          <w:bCs/>
          <w:sz w:val="24"/>
          <w:lang w:val="en-GB"/>
        </w:rPr>
      </w:pPr>
      <w:r>
        <w:rPr>
          <w:rFonts w:hint="eastAsia" w:ascii="宋体" w:hAnsi="宋体" w:cs="宋体"/>
          <w:b/>
          <w:bCs/>
          <w:sz w:val="24"/>
          <w:lang w:val="en-GB"/>
        </w:rPr>
        <w:t>账 号：2201-0238-0920-0978-836</w:t>
      </w:r>
    </w:p>
    <w:p>
      <w:pPr>
        <w:spacing w:line="440" w:lineRule="exact"/>
        <w:jc w:val="center"/>
        <w:outlineLvl w:val="0"/>
        <w:rPr>
          <w:rFonts w:hint="eastAsia" w:ascii="宋体" w:hAnsi="宋体" w:cs="宋体"/>
          <w:b/>
          <w:bCs/>
          <w:sz w:val="24"/>
          <w:lang w:val="en-GB"/>
        </w:rPr>
      </w:pPr>
      <w:r>
        <w:rPr>
          <w:rFonts w:hint="eastAsia" w:ascii="宋体" w:hAnsi="宋体" w:cs="宋体"/>
          <w:b/>
          <w:bCs/>
          <w:sz w:val="24"/>
          <w:lang w:val="en-GB"/>
        </w:rPr>
        <w:t xml:space="preserve">开户行：中国工商银行股份有限公司海口蓝天支行  </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14.3 谈判保证金的退还</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14.3.l 成交供应商的谈判保证金在其与采购人签订合同后5个工作日内无息退还。</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14.3.2 未成交的供应商谈判保证金将在采购代理机构发出成交通知书后5个工作日内无息退还。</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14.4 发生下列情况之一者，谈判保证金将不予退还：</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（1）供应商在报价有效期内撤回其响应文件的；</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（2）供应商不按本章规定签订合同的；</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（3）供应商提供虚假材料谋取成交、成交的；</w:t>
      </w:r>
    </w:p>
    <w:p>
      <w:pPr>
        <w:pStyle w:val="7"/>
        <w:adjustRightInd w:val="0"/>
        <w:snapToGrid w:val="0"/>
        <w:spacing w:line="440" w:lineRule="exact"/>
        <w:ind w:firstLine="480" w:firstLineChars="200"/>
        <w:rPr>
          <w:rFonts w:hint="eastAsia" w:hAnsi="宋体" w:cs="宋体"/>
          <w:sz w:val="24"/>
        </w:rPr>
      </w:pPr>
      <w:r>
        <w:rPr>
          <w:rFonts w:hint="eastAsia" w:hAnsi="宋体" w:cs="宋体"/>
          <w:sz w:val="24"/>
        </w:rPr>
        <w:t>（4）与采购人、其它供应商或者采购代理机构恶意串通的；</w:t>
      </w:r>
    </w:p>
    <w:p>
      <w:pPr>
        <w:spacing w:line="440" w:lineRule="exact"/>
        <w:ind w:firstLine="480" w:firstLineChars="200"/>
        <w:rPr>
          <w:rFonts w:hint="eastAsia" w:ascii="宋体" w:hAnsi="宋体" w:cs="宋体"/>
          <w:sz w:val="24"/>
        </w:rPr>
      </w:pPr>
      <w:r>
        <w:rPr>
          <w:rFonts w:hint="eastAsia" w:ascii="宋体" w:hAnsi="宋体" w:cs="宋体"/>
          <w:sz w:val="24"/>
        </w:rPr>
        <w:t>（5）向采购人、采购代理机构、谈判小组成员行贿或者提供其他不正当利益的。</w:t>
      </w:r>
    </w:p>
    <w:p>
      <w:pPr>
        <w:spacing w:line="440" w:lineRule="exact"/>
        <w:rPr>
          <w:rFonts w:hint="eastAsia" w:ascii="宋体" w:hAnsi="宋体" w:cs="宋体"/>
          <w:b/>
          <w:sz w:val="24"/>
          <w:lang w:val="en-GB"/>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、响应文件的有效期</w:t>
      </w:r>
    </w:p>
    <w:p>
      <w:pPr>
        <w:spacing w:line="440" w:lineRule="exact"/>
        <w:ind w:firstLine="480" w:firstLineChars="200"/>
        <w:rPr>
          <w:rFonts w:hint="eastAsia" w:ascii="宋体" w:hAnsi="宋体" w:cs="宋体"/>
          <w:bCs/>
          <w:sz w:val="24"/>
          <w:lang w:val="en-GB"/>
        </w:rPr>
      </w:pPr>
      <w:r>
        <w:rPr>
          <w:rFonts w:hint="eastAsia" w:ascii="宋体" w:hAnsi="宋体" w:cs="宋体"/>
          <w:bCs/>
          <w:sz w:val="24"/>
        </w:rPr>
        <w:t>15</w:t>
      </w:r>
      <w:r>
        <w:rPr>
          <w:rFonts w:hint="eastAsia" w:ascii="宋体" w:hAnsi="宋体" w:cs="宋体"/>
          <w:bCs/>
          <w:sz w:val="24"/>
          <w:lang w:val="en-GB"/>
        </w:rPr>
        <w:t>.1 响应文件应自开标之日起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个日历日内保持有效。响应有效期不足的报价，将被视为无效响应。</w:t>
      </w:r>
    </w:p>
    <w:p>
      <w:pPr>
        <w:spacing w:line="440" w:lineRule="exact"/>
        <w:ind w:firstLine="480" w:firstLineChars="200"/>
        <w:rPr>
          <w:rFonts w:hint="eastAsia" w:ascii="宋体" w:hAnsi="宋体" w:cs="宋体"/>
          <w:sz w:val="24"/>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响应有效期截止之前，采购代理机构和采购人可要求供应商延长响应有效期。这种要求与答复均应以书面形式提交。供应商可拒绝采购代理机构和采购人的这种要求，但其响应文件在原响应有效期满后将不再有效。同意延长响应有效期的供应商将不会被要求和允许修正其响应。</w:t>
      </w:r>
    </w:p>
    <w:p>
      <w:pPr>
        <w:autoSpaceDE w:val="0"/>
        <w:autoSpaceDN w:val="0"/>
        <w:adjustRightInd w:val="0"/>
        <w:snapToGrid w:val="0"/>
        <w:spacing w:line="440" w:lineRule="exact"/>
        <w:ind w:left="-420" w:leftChars="-200" w:right="32"/>
        <w:rPr>
          <w:rFonts w:hint="eastAsia" w:ascii="宋体" w:hAnsi="宋体" w:cs="宋体"/>
          <w:bCs/>
          <w:sz w:val="24"/>
          <w:lang w:val="en-GB"/>
        </w:rPr>
      </w:pPr>
      <w:r>
        <w:rPr>
          <w:rFonts w:hint="eastAsia" w:ascii="宋体" w:hAnsi="宋体" w:cs="宋体"/>
          <w:bCs/>
          <w:sz w:val="24"/>
        </w:rPr>
        <w:t xml:space="preserve">    </w:t>
      </w:r>
      <w:r>
        <w:rPr>
          <w:rFonts w:hint="eastAsia" w:ascii="宋体" w:hAnsi="宋体" w:cs="宋体"/>
          <w:b/>
          <w:sz w:val="24"/>
        </w:rPr>
        <w:t>16、</w:t>
      </w:r>
      <w:r>
        <w:rPr>
          <w:rFonts w:hint="eastAsia" w:ascii="宋体" w:hAnsi="宋体" w:cs="宋体"/>
          <w:b/>
          <w:sz w:val="24"/>
          <w:lang w:val="en-GB"/>
        </w:rPr>
        <w:t>响应文件的数量和签署</w:t>
      </w:r>
    </w:p>
    <w:p>
      <w:pPr>
        <w:spacing w:line="440" w:lineRule="exact"/>
        <w:ind w:firstLine="480" w:firstLineChars="200"/>
        <w:rPr>
          <w:rFonts w:hint="eastAsia" w:ascii="宋体" w:hAnsi="宋体" w:cs="宋体"/>
          <w:bCs/>
          <w:sz w:val="24"/>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.1 响应文件</w:t>
      </w:r>
      <w:r>
        <w:rPr>
          <w:rFonts w:hint="eastAsia" w:ascii="宋体" w:hAnsi="宋体" w:cs="宋体"/>
          <w:bCs/>
          <w:sz w:val="24"/>
        </w:rPr>
        <w:t>一式三份（正本一份，副本二份），固定装订（注：如胶装）。报价一览表一份，独立信封密封,</w:t>
      </w:r>
      <w:r>
        <w:rPr>
          <w:rFonts w:hint="eastAsia" w:ascii="宋体" w:hAnsi="宋体" w:cs="宋体"/>
          <w:sz w:val="24"/>
        </w:rPr>
        <w:t>信封外注明“报价一览表”。</w:t>
      </w:r>
      <w:r>
        <w:rPr>
          <w:rFonts w:hint="eastAsia" w:ascii="宋体" w:hAnsi="宋体" w:cs="宋体"/>
          <w:b/>
          <w:bCs/>
          <w:sz w:val="24"/>
        </w:rPr>
        <w:t>提</w:t>
      </w:r>
      <w:r>
        <w:rPr>
          <w:rFonts w:hint="eastAsia" w:ascii="宋体" w:hAnsi="宋体"/>
          <w:b/>
          <w:bCs/>
          <w:kern w:val="0"/>
          <w:sz w:val="24"/>
        </w:rPr>
        <w:t>供</w:t>
      </w:r>
      <w:r>
        <w:rPr>
          <w:rFonts w:hint="eastAsia" w:ascii="宋体" w:hAnsi="宋体"/>
          <w:b/>
          <w:kern w:val="0"/>
          <w:sz w:val="24"/>
        </w:rPr>
        <w:t>电子word文档1份，并将U盘或光盘（标明公司名称）密封在“报价一览表”中，电子介质的投标文件与纸质投标文件具有同等的法律效力</w:t>
      </w:r>
      <w:r>
        <w:rPr>
          <w:rFonts w:hint="eastAsia" w:ascii="宋体" w:hAnsi="宋体" w:cs="宋体"/>
          <w:b/>
          <w:sz w:val="24"/>
        </w:rPr>
        <w:t>。</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响应文件须按谈判文件的要求执行，每份响应文件均须在封面上清楚标明“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.3 响应文件正本中，文字材料需打印或用不褪色墨水书写。响应文件的正本须经法定代表人或授权代表签署和加盖供应商公章。</w:t>
      </w:r>
    </w:p>
    <w:p>
      <w:pPr>
        <w:snapToGrid w:val="0"/>
        <w:spacing w:before="156" w:beforeLines="50" w:after="156" w:afterLines="50" w:line="440" w:lineRule="exact"/>
        <w:outlineLvl w:val="0"/>
        <w:rPr>
          <w:rFonts w:hint="eastAsia" w:ascii="宋体" w:hAnsi="宋体" w:cs="宋体"/>
          <w:b/>
          <w:sz w:val="28"/>
          <w:szCs w:val="28"/>
        </w:rPr>
      </w:pPr>
      <w:r>
        <w:rPr>
          <w:rFonts w:hint="eastAsia" w:ascii="宋体" w:hAnsi="宋体" w:cs="宋体"/>
          <w:b/>
          <w:sz w:val="28"/>
          <w:szCs w:val="28"/>
        </w:rPr>
        <w:t>（四）响应文件的递交</w:t>
      </w:r>
    </w:p>
    <w:p>
      <w:pPr>
        <w:spacing w:line="440" w:lineRule="exact"/>
        <w:rPr>
          <w:rFonts w:hint="eastAsia" w:ascii="宋体" w:hAnsi="宋体" w:cs="宋体"/>
          <w:b/>
          <w:sz w:val="24"/>
        </w:rPr>
      </w:pPr>
      <w:r>
        <w:rPr>
          <w:rFonts w:hint="eastAsia" w:ascii="宋体" w:hAnsi="宋体" w:cs="宋体"/>
          <w:b/>
          <w:sz w:val="24"/>
        </w:rPr>
        <w:t>17、响应文件的密封及标记</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供应商应将响应文件正本和所有副本分别密封在两个投标专用袋（箱）中</w:t>
      </w:r>
      <w:r>
        <w:rPr>
          <w:rFonts w:hint="eastAsia" w:ascii="宋体" w:hAnsi="宋体" w:cs="宋体"/>
          <w:b/>
          <w:sz w:val="24"/>
          <w:lang w:val="en-GB"/>
        </w:rPr>
        <w:t>（正本一份共一袋，副本二份共一袋）</w:t>
      </w:r>
      <w:r>
        <w:rPr>
          <w:rFonts w:hint="eastAsia" w:ascii="宋体" w:hAnsi="宋体" w:cs="宋体"/>
          <w:bCs/>
          <w:sz w:val="24"/>
          <w:lang w:val="en-GB"/>
        </w:rPr>
        <w:t>及</w:t>
      </w:r>
      <w:r>
        <w:rPr>
          <w:rFonts w:hint="eastAsia" w:ascii="宋体" w:hAnsi="宋体" w:cs="宋体"/>
          <w:b/>
          <w:sz w:val="24"/>
          <w:lang w:val="en-GB"/>
        </w:rPr>
        <w:t>报价一览表（独立信封密封一份）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报价一览表</w:t>
      </w:r>
      <w:r>
        <w:rPr>
          <w:rFonts w:hint="eastAsia" w:ascii="宋体" w:hAnsi="宋体" w:cs="宋体"/>
          <w:bCs/>
          <w:sz w:val="24"/>
          <w:lang w:val="en-GB"/>
        </w:rPr>
        <w:t>”字样，封口处应加盖骑缝章。封皮上均应写明：</w:t>
      </w:r>
    </w:p>
    <w:p>
      <w:pPr>
        <w:spacing w:line="440" w:lineRule="exact"/>
        <w:ind w:firstLine="482" w:firstLineChars="200"/>
        <w:rPr>
          <w:rFonts w:hint="eastAsia" w:ascii="宋体" w:hAnsi="宋体" w:cs="宋体"/>
          <w:b/>
          <w:sz w:val="24"/>
        </w:rPr>
      </w:pPr>
      <w:r>
        <w:rPr>
          <w:rFonts w:hint="eastAsia" w:ascii="宋体" w:hAnsi="宋体" w:cs="宋体"/>
          <w:b/>
          <w:sz w:val="24"/>
        </w:rPr>
        <w:t>致：广西嘉华建设项目管理咨询有限公司</w:t>
      </w:r>
    </w:p>
    <w:p>
      <w:pPr>
        <w:spacing w:line="440" w:lineRule="exact"/>
        <w:ind w:firstLine="482" w:firstLineChars="200"/>
        <w:rPr>
          <w:rFonts w:hint="eastAsia" w:ascii="宋体" w:hAnsi="宋体" w:cs="宋体"/>
          <w:b/>
          <w:sz w:val="24"/>
        </w:rPr>
      </w:pPr>
      <w:r>
        <w:rPr>
          <w:rFonts w:hint="eastAsia" w:ascii="宋体" w:hAnsi="宋体" w:cs="宋体"/>
          <w:b/>
          <w:sz w:val="24"/>
        </w:rPr>
        <w:t>项目名称：</w:t>
      </w:r>
      <w:r>
        <w:rPr>
          <w:rFonts w:hint="eastAsia" w:ascii="宋体" w:hAnsi="宋体" w:cs="宋体"/>
          <w:b/>
          <w:sz w:val="24"/>
          <w:lang w:val="en-GB"/>
        </w:rPr>
        <w:t>心理行为训练场器械采购</w:t>
      </w:r>
    </w:p>
    <w:p>
      <w:pPr>
        <w:spacing w:line="440" w:lineRule="exact"/>
        <w:ind w:firstLine="482" w:firstLineChars="200"/>
        <w:rPr>
          <w:rFonts w:hint="eastAsia" w:ascii="宋体" w:hAnsi="宋体" w:cs="宋体"/>
          <w:b/>
          <w:sz w:val="24"/>
        </w:rPr>
      </w:pPr>
      <w:r>
        <w:rPr>
          <w:rFonts w:hint="eastAsia" w:ascii="宋体" w:hAnsi="宋体" w:cs="宋体"/>
          <w:b/>
          <w:sz w:val="24"/>
        </w:rPr>
        <w:t>项目编号：GXJH2017-016</w:t>
      </w:r>
    </w:p>
    <w:p>
      <w:pPr>
        <w:spacing w:line="440" w:lineRule="exact"/>
        <w:ind w:firstLine="482" w:firstLineChars="200"/>
        <w:rPr>
          <w:rFonts w:hint="eastAsia" w:ascii="宋体" w:hAnsi="宋体" w:cs="宋体"/>
          <w:b/>
          <w:sz w:val="24"/>
        </w:rPr>
      </w:pPr>
      <w:r>
        <w:rPr>
          <w:rFonts w:hint="eastAsia" w:ascii="宋体" w:hAnsi="宋体" w:cs="宋体"/>
          <w:b/>
          <w:sz w:val="24"/>
        </w:rPr>
        <w:t>注明：“请勿在递交响应文件截止时间之前启封”</w:t>
      </w:r>
    </w:p>
    <w:p>
      <w:pPr>
        <w:spacing w:line="440" w:lineRule="exact"/>
        <w:ind w:firstLine="482" w:firstLineChars="200"/>
        <w:rPr>
          <w:rFonts w:hint="eastAsia" w:ascii="宋体" w:hAnsi="宋体" w:cs="宋体"/>
          <w:b/>
          <w:sz w:val="24"/>
        </w:rPr>
      </w:pPr>
      <w:r>
        <w:rPr>
          <w:rFonts w:hint="eastAsia" w:ascii="宋体" w:hAnsi="宋体" w:cs="宋体"/>
          <w:b/>
          <w:sz w:val="24"/>
        </w:rPr>
        <w:t>供应商名称、联系人姓名和电话</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.2 响应文件未按上述规定书写标记和密封者，采购代理机构不对响应文件被错放或先期启封负责。</w:t>
      </w:r>
    </w:p>
    <w:bookmarkEnd w:id="7"/>
    <w:bookmarkEnd w:id="8"/>
    <w:bookmarkEnd w:id="9"/>
    <w:p>
      <w:pPr>
        <w:spacing w:line="440" w:lineRule="exact"/>
        <w:rPr>
          <w:rFonts w:hint="eastAsia" w:ascii="宋体" w:hAnsi="宋体" w:cs="宋体"/>
          <w:b/>
          <w:sz w:val="24"/>
        </w:rPr>
      </w:pPr>
      <w:r>
        <w:rPr>
          <w:rFonts w:hint="eastAsia" w:ascii="宋体" w:hAnsi="宋体" w:cs="宋体"/>
          <w:b/>
          <w:sz w:val="24"/>
        </w:rPr>
        <w:t>18、递交响应文件截止时间</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供应商须在递交响应文件截止时间前将响应文件送达采购代理机构规定的地点。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8</w:t>
      </w:r>
      <w:r>
        <w:rPr>
          <w:rFonts w:ascii="宋体" w:hAnsi="宋体" w:cs="宋体"/>
          <w:b/>
          <w:sz w:val="24"/>
          <w:lang w:val="en-GB"/>
        </w:rPr>
        <w:t>.2 供应商的授权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亲临开标会现场以备查验。其现场所签署确认的文件均代表供应商的决定，并作为响应文件的补充内容，具有同等法律效力。</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若采购代理机构推迟了递交响应文件截止时间，应以公告的形式通知所有供应商。在这种情况下，采购代理机构、采购人和供应商的权利和义务均应以新的递交响应文件截止时间为准。</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在递交响应文件截止时间后递交的响应文件，采购代理机构将拒绝接收。</w:t>
      </w:r>
    </w:p>
    <w:p>
      <w:pPr>
        <w:spacing w:before="156" w:beforeLines="50" w:after="156" w:afterLines="50" w:line="440" w:lineRule="exact"/>
        <w:rPr>
          <w:rFonts w:hint="eastAsia" w:ascii="宋体" w:hAnsi="宋体" w:cs="宋体"/>
          <w:bCs/>
          <w:sz w:val="28"/>
          <w:szCs w:val="28"/>
          <w:lang w:val="en-GB"/>
        </w:rPr>
      </w:pPr>
      <w:r>
        <w:rPr>
          <w:rFonts w:hint="eastAsia" w:ascii="宋体" w:hAnsi="宋体" w:cs="宋体"/>
          <w:b/>
          <w:sz w:val="28"/>
          <w:szCs w:val="28"/>
          <w:lang w:val="en-GB"/>
        </w:rPr>
        <w:t>（五）谈判</w:t>
      </w:r>
    </w:p>
    <w:p>
      <w:pPr>
        <w:spacing w:line="440" w:lineRule="exact"/>
        <w:rPr>
          <w:rFonts w:hint="eastAsia" w:ascii="宋体" w:hAnsi="宋体" w:cs="宋体"/>
          <w:b/>
          <w:sz w:val="24"/>
        </w:rPr>
      </w:pPr>
      <w:r>
        <w:rPr>
          <w:rFonts w:hint="eastAsia" w:ascii="宋体" w:hAnsi="宋体" w:cs="宋体"/>
          <w:b/>
          <w:sz w:val="24"/>
        </w:rPr>
        <w:t>19、谈判</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.l 采购代理机构按“谈判公告”或“谈判邀请函”中规定的时间和地点组织开标，采购人代表、采购代理机构有关工作人员参加。供应商应委派授权代表参加谈判活动，参加谈判的代表须持本人身份证件签名报到以证明其出席。未派授权代表或不能证明其授权代表身份的，采购代理机构对响应文件的处理不承担责任。</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.3谈判时，供应商授权代表将查验响应文件的密封情况，确认无误后拆封，公布每份响应文件中“报价一览表”的内容，以及采购代理机构认为合适的其他内容，采购代理机构将作谈判记录。</w:t>
      </w:r>
    </w:p>
    <w:p>
      <w:pPr>
        <w:spacing w:line="440" w:lineRule="exact"/>
        <w:ind w:firstLine="480" w:firstLineChars="200"/>
        <w:rPr>
          <w:rFonts w:hint="eastAsia" w:ascii="宋体" w:hAnsi="宋体" w:cs="宋体"/>
          <w:bCs/>
          <w:sz w:val="24"/>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.4 若响应文件未密封，采购代理机构将拒绝接收该供应商的响应文件。</w:t>
      </w:r>
    </w:p>
    <w:p>
      <w:pPr>
        <w:spacing w:before="156" w:beforeLines="50" w:after="156" w:afterLines="50" w:line="440" w:lineRule="exact"/>
        <w:rPr>
          <w:rFonts w:hint="eastAsia" w:ascii="宋体" w:hAnsi="宋体" w:cs="宋体"/>
          <w:b/>
          <w:sz w:val="28"/>
          <w:szCs w:val="28"/>
          <w:lang w:val="en-GB"/>
        </w:rPr>
      </w:pPr>
      <w:r>
        <w:rPr>
          <w:rFonts w:hint="eastAsia" w:ascii="宋体" w:hAnsi="宋体" w:cs="宋体"/>
          <w:b/>
          <w:sz w:val="28"/>
          <w:szCs w:val="28"/>
          <w:lang w:val="en-GB"/>
        </w:rPr>
        <w:t>（六）谈判程序</w:t>
      </w:r>
    </w:p>
    <w:p>
      <w:pPr>
        <w:spacing w:line="440" w:lineRule="exact"/>
        <w:rPr>
          <w:rFonts w:hint="eastAsia" w:ascii="宋体" w:hAnsi="宋体" w:cs="宋体"/>
          <w:b/>
          <w:bCs/>
          <w:sz w:val="24"/>
        </w:rPr>
      </w:pPr>
      <w:r>
        <w:rPr>
          <w:rFonts w:hint="eastAsia" w:ascii="宋体" w:hAnsi="宋体" w:cs="宋体"/>
          <w:b/>
          <w:bCs/>
          <w:sz w:val="24"/>
        </w:rPr>
        <w:t>20、</w:t>
      </w:r>
      <w:r>
        <w:rPr>
          <w:rFonts w:hint="eastAsia" w:ascii="宋体" w:hAnsi="宋体" w:cs="宋体"/>
          <w:b/>
          <w:bCs/>
          <w:sz w:val="24"/>
          <w:lang w:val="en-GB"/>
        </w:rPr>
        <w:t>谈判小组的组成</w:t>
      </w:r>
    </w:p>
    <w:p>
      <w:pPr>
        <w:adjustRightInd w:val="0"/>
        <w:snapToGrid w:val="0"/>
        <w:spacing w:line="440" w:lineRule="exact"/>
        <w:ind w:firstLine="480" w:firstLineChars="200"/>
        <w:jc w:val="left"/>
        <w:rPr>
          <w:rFonts w:hint="eastAsia" w:ascii="宋体" w:hAnsi="宋体"/>
          <w:sz w:val="24"/>
        </w:rPr>
      </w:pPr>
      <w:r>
        <w:rPr>
          <w:rFonts w:hint="eastAsia" w:ascii="宋体" w:hAnsi="宋体"/>
          <w:sz w:val="24"/>
        </w:rPr>
        <w:t>谈判小组由采购人代表和从海南省综合评标专家库中随机抽取的相关专家共3人以上单数组成，其中，技术、经济等方面的专家人数不得少于成员总数的2/3。该谈判小组独立工作，负责评审所有响应文件并确定成交侯选人，提交评审报告。</w:t>
      </w:r>
    </w:p>
    <w:p>
      <w:pPr>
        <w:spacing w:line="440" w:lineRule="exact"/>
        <w:rPr>
          <w:rFonts w:hint="eastAsia" w:ascii="宋体" w:hAnsi="宋体" w:cs="宋体"/>
          <w:b/>
          <w:bCs/>
          <w:sz w:val="24"/>
        </w:rPr>
      </w:pPr>
      <w:r>
        <w:rPr>
          <w:rFonts w:hint="eastAsia" w:ascii="宋体" w:hAnsi="宋体" w:cs="宋体"/>
          <w:b/>
          <w:bCs/>
          <w:sz w:val="24"/>
        </w:rPr>
        <w:t>21、谈判方法和标准</w:t>
      </w:r>
    </w:p>
    <w:p>
      <w:pPr>
        <w:adjustRightInd w:val="0"/>
        <w:snapToGrid w:val="0"/>
        <w:spacing w:line="440" w:lineRule="exact"/>
        <w:ind w:firstLine="480" w:firstLineChars="200"/>
        <w:rPr>
          <w:rFonts w:hint="eastAsia" w:ascii="宋体" w:hAnsi="宋体"/>
          <w:sz w:val="24"/>
        </w:rPr>
      </w:pPr>
      <w:r>
        <w:rPr>
          <w:rFonts w:hint="eastAsia" w:ascii="宋体" w:hAnsi="宋体"/>
          <w:sz w:val="24"/>
        </w:rPr>
        <w:t>21.1 谈判小组将按照谈判文件确定的评审办法进行。谈判小组对响应文件的评审进行资格性和符合性审查。</w:t>
      </w:r>
    </w:p>
    <w:p>
      <w:pPr>
        <w:adjustRightInd w:val="0"/>
        <w:snapToGrid w:val="0"/>
        <w:spacing w:line="440" w:lineRule="exact"/>
        <w:ind w:firstLine="480" w:firstLineChars="200"/>
        <w:rPr>
          <w:rFonts w:hint="eastAsia" w:ascii="宋体" w:hAnsi="宋体"/>
          <w:sz w:val="24"/>
        </w:rPr>
      </w:pPr>
      <w:r>
        <w:rPr>
          <w:rFonts w:hint="eastAsia" w:ascii="宋体" w:hAnsi="宋体"/>
          <w:sz w:val="24"/>
        </w:rPr>
        <w:t>21.2根据财政部、工业和信息化部2012年1月1日颁布的《政府采购促进中小企业发展暂行办法》（财库[2011]181号）第五条规定，对小、微企业予以价格评分适当优惠。若供应商为小型或微型企业者，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其参与评分的响应报价取值按响应报价的90%计（即按响应报价扣除10%后计算）。</w:t>
      </w:r>
    </w:p>
    <w:p>
      <w:pPr>
        <w:adjustRightInd w:val="0"/>
        <w:snapToGrid w:val="0"/>
        <w:spacing w:line="440" w:lineRule="exact"/>
        <w:ind w:firstLine="480" w:firstLineChars="200"/>
        <w:rPr>
          <w:rFonts w:hint="eastAsia" w:ascii="宋体" w:hAnsi="宋体"/>
          <w:sz w:val="24"/>
        </w:rPr>
      </w:pPr>
      <w:r>
        <w:rPr>
          <w:rFonts w:hint="eastAsia" w:ascii="宋体" w:hAnsi="宋体"/>
          <w:sz w:val="24"/>
        </w:rPr>
        <w:t>21.3本项目的评审方法为最低评标价法：</w:t>
      </w:r>
      <w:r>
        <w:rPr>
          <w:rFonts w:hint="eastAsia" w:ascii="宋体" w:hAnsi="宋体"/>
          <w:sz w:val="24"/>
          <w:lang w:val="en-GB"/>
        </w:rPr>
        <w:t>在满足谈判文件的前提下，且质量和服务相等的情况下，按照报价由低至高的顺序推荐</w:t>
      </w:r>
      <w:r>
        <w:rPr>
          <w:rFonts w:hint="eastAsia" w:ascii="宋体" w:hAnsi="宋体"/>
          <w:sz w:val="24"/>
        </w:rPr>
        <w:t>1-</w:t>
      </w:r>
      <w:r>
        <w:rPr>
          <w:rFonts w:hint="eastAsia" w:ascii="宋体" w:hAnsi="宋体"/>
          <w:sz w:val="24"/>
          <w:lang w:val="en-GB"/>
        </w:rPr>
        <w:t>3名为成交候选供应商。</w:t>
      </w:r>
    </w:p>
    <w:p>
      <w:pPr>
        <w:adjustRightInd w:val="0"/>
        <w:snapToGrid w:val="0"/>
        <w:spacing w:line="440" w:lineRule="exact"/>
        <w:ind w:firstLine="480" w:firstLineChars="200"/>
        <w:rPr>
          <w:rFonts w:hint="eastAsia" w:ascii="宋体" w:hAnsi="宋体"/>
          <w:sz w:val="24"/>
        </w:rPr>
      </w:pPr>
      <w:r>
        <w:rPr>
          <w:rFonts w:hint="eastAsia" w:ascii="宋体" w:hAnsi="宋体"/>
          <w:sz w:val="24"/>
        </w:rPr>
        <w:t>21.4 评审流程分为两个阶段：</w:t>
      </w:r>
    </w:p>
    <w:p>
      <w:pPr>
        <w:adjustRightInd w:val="0"/>
        <w:snapToGrid w:val="0"/>
        <w:spacing w:line="440" w:lineRule="exact"/>
        <w:ind w:firstLine="480" w:firstLineChars="200"/>
        <w:rPr>
          <w:rFonts w:hint="eastAsia" w:ascii="宋体" w:hAnsi="宋体"/>
          <w:sz w:val="24"/>
        </w:rPr>
      </w:pPr>
      <w:r>
        <w:rPr>
          <w:rFonts w:hint="eastAsia" w:ascii="宋体" w:hAnsi="宋体"/>
          <w:sz w:val="24"/>
        </w:rPr>
        <w:t>第一阶段：</w:t>
      </w:r>
      <w:r>
        <w:rPr>
          <w:rFonts w:hint="eastAsia" w:ascii="宋体" w:hAnsi="宋体"/>
          <w:sz w:val="24"/>
          <w:lang w:val="en-GB"/>
        </w:rPr>
        <w:t>资格审查</w:t>
      </w:r>
      <w:r>
        <w:rPr>
          <w:rFonts w:hint="eastAsia" w:ascii="宋体" w:hAnsi="宋体"/>
          <w:sz w:val="24"/>
        </w:rPr>
        <w:t>（对各供应商的资质进行资格性和符合性审查）</w:t>
      </w:r>
    </w:p>
    <w:p>
      <w:pPr>
        <w:adjustRightInd w:val="0"/>
        <w:snapToGrid w:val="0"/>
        <w:spacing w:line="440" w:lineRule="exact"/>
        <w:ind w:firstLine="480" w:firstLineChars="200"/>
        <w:jc w:val="left"/>
        <w:rPr>
          <w:rFonts w:hint="eastAsia" w:ascii="宋体" w:hAnsi="宋体"/>
          <w:sz w:val="24"/>
        </w:rPr>
      </w:pPr>
      <w:r>
        <w:rPr>
          <w:rFonts w:hint="eastAsia" w:ascii="宋体" w:hAnsi="宋体"/>
          <w:sz w:val="24"/>
        </w:rPr>
        <w:t>（1）资格性审查。依据法律法规和竞争性谈判文件的规定，对响应文件中的资格证明进行审查，以确定供应商是否具备响应资格。</w:t>
      </w:r>
    </w:p>
    <w:p>
      <w:pPr>
        <w:adjustRightInd w:val="0"/>
        <w:snapToGrid w:val="0"/>
        <w:spacing w:line="440" w:lineRule="exact"/>
        <w:ind w:firstLine="480" w:firstLineChars="200"/>
        <w:jc w:val="left"/>
        <w:rPr>
          <w:rFonts w:hint="eastAsia" w:ascii="宋体" w:hAnsi="宋体"/>
          <w:sz w:val="24"/>
        </w:rPr>
      </w:pPr>
      <w:r>
        <w:rPr>
          <w:rFonts w:hint="eastAsia" w:ascii="宋体" w:hAnsi="宋体"/>
          <w:sz w:val="24"/>
        </w:rPr>
        <w:t>（2）符合性审查。依据竞争性谈判文件的规定，从响应文件的有效性、完整性和对竞争性谈判文件的响应程度进行审查，以确定是否对竞争性谈判文件的实质性要求作出响应。</w:t>
      </w:r>
    </w:p>
    <w:p>
      <w:pPr>
        <w:adjustRightInd w:val="0"/>
        <w:snapToGrid w:val="0"/>
        <w:spacing w:line="440" w:lineRule="exact"/>
        <w:ind w:firstLine="480" w:firstLineChars="200"/>
        <w:rPr>
          <w:rFonts w:hint="eastAsia" w:ascii="宋体" w:hAnsi="宋体"/>
          <w:sz w:val="24"/>
        </w:rPr>
      </w:pPr>
      <w:r>
        <w:rPr>
          <w:rFonts w:hint="eastAsia" w:ascii="宋体" w:hAnsi="宋体"/>
          <w:sz w:val="24"/>
        </w:rPr>
        <w:t>第二阶段：由谈判小组所有成员集中与单一供应商分别进行谈判，给予所有参加谈判的供应商平等的谈判机会，并进行最终报价（即第二轮报价）</w:t>
      </w:r>
    </w:p>
    <w:p>
      <w:pPr>
        <w:adjustRightInd w:val="0"/>
        <w:snapToGrid w:val="0"/>
        <w:spacing w:line="440" w:lineRule="exact"/>
        <w:ind w:firstLine="482" w:firstLineChars="200"/>
        <w:rPr>
          <w:rFonts w:hint="eastAsia" w:ascii="宋体" w:hAnsi="宋体"/>
          <w:sz w:val="24"/>
        </w:rPr>
      </w:pPr>
      <w:r>
        <w:rPr>
          <w:rFonts w:hint="eastAsia" w:ascii="宋体" w:hAnsi="宋体"/>
          <w:b/>
          <w:bCs/>
          <w:sz w:val="24"/>
        </w:rPr>
        <w:t>注：</w:t>
      </w:r>
      <w:r>
        <w:rPr>
          <w:rFonts w:hint="eastAsia" w:ascii="宋体" w:hAnsi="宋体"/>
          <w:sz w:val="24"/>
        </w:rPr>
        <w:t>只有通过资格审查的供应商才能进入第二轮报价环节。在谈判过程中谈判的任何一方不得向他人透露与谈判有关的技术资料、价格或其他信息。</w:t>
      </w:r>
    </w:p>
    <w:p>
      <w:pPr>
        <w:adjustRightInd w:val="0"/>
        <w:snapToGrid w:val="0"/>
        <w:spacing w:line="440" w:lineRule="exact"/>
        <w:ind w:firstLine="480" w:firstLineChars="200"/>
        <w:rPr>
          <w:rFonts w:hint="eastAsia" w:ascii="宋体" w:hAnsi="宋体"/>
          <w:sz w:val="24"/>
          <w:lang w:val="en-GB"/>
        </w:rPr>
      </w:pPr>
      <w:r>
        <w:rPr>
          <w:rFonts w:hint="eastAsia" w:ascii="宋体" w:hAnsi="宋体"/>
          <w:sz w:val="24"/>
        </w:rPr>
        <w:t xml:space="preserve">21.5 </w:t>
      </w:r>
      <w:r>
        <w:rPr>
          <w:rFonts w:hint="eastAsia" w:ascii="宋体" w:hAnsi="宋体" w:cs="宋体"/>
          <w:sz w:val="24"/>
          <w:lang w:val="en-GB"/>
        </w:rPr>
        <w:t>资格审查：谈判小组根据国家相关法律法规和</w:t>
      </w:r>
      <w:r>
        <w:rPr>
          <w:rFonts w:hint="eastAsia" w:ascii="宋体" w:hAnsi="宋体" w:cs="宋体"/>
          <w:sz w:val="24"/>
        </w:rPr>
        <w:t>谈判文件</w:t>
      </w:r>
      <w:r>
        <w:rPr>
          <w:rFonts w:hint="eastAsia" w:ascii="宋体" w:hAnsi="宋体" w:cs="宋体"/>
          <w:sz w:val="24"/>
          <w:lang w:val="en-GB"/>
        </w:rPr>
        <w:t>的规定，对供应商的资格证明文件进行资格性和符合性审查，如供应商不具备响应资格，谈判小组可按投票方式决定是否作无效报价处理（详见</w:t>
      </w:r>
      <w:r>
        <w:rPr>
          <w:rFonts w:hint="eastAsia" w:ascii="宋体" w:hAnsi="宋体" w:cs="宋体"/>
          <w:sz w:val="24"/>
        </w:rPr>
        <w:t>附表1</w:t>
      </w:r>
      <w:r>
        <w:rPr>
          <w:rFonts w:hint="eastAsia" w:ascii="宋体" w:hAnsi="宋体" w:cs="宋体"/>
          <w:sz w:val="24"/>
          <w:lang w:val="en-GB"/>
        </w:rPr>
        <w:t>）。</w:t>
      </w:r>
    </w:p>
    <w:p>
      <w:pPr>
        <w:adjustRightInd w:val="0"/>
        <w:snapToGrid w:val="0"/>
        <w:spacing w:line="440" w:lineRule="exact"/>
        <w:ind w:firstLine="480" w:firstLineChars="200"/>
        <w:rPr>
          <w:rFonts w:hint="eastAsia" w:ascii="宋体" w:hAnsi="宋体"/>
          <w:sz w:val="24"/>
        </w:rPr>
      </w:pPr>
      <w:r>
        <w:rPr>
          <w:rFonts w:hint="eastAsia" w:ascii="宋体" w:hAnsi="宋体"/>
          <w:sz w:val="24"/>
        </w:rPr>
        <w:t>21.5.1 谈判小组根据《资格审查表》对响应文件的资格性和符合性进行审查，只有对《资格审查表》所列各项作出实质性响应的响应文件才能通过初步评审。对是否实质性响应谈判文件的要求有争议的响应内容，谈判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hint="eastAsia" w:ascii="宋体" w:hAnsi="宋体"/>
          <w:sz w:val="24"/>
        </w:rPr>
      </w:pPr>
      <w:r>
        <w:rPr>
          <w:rFonts w:hint="eastAsia" w:ascii="宋体" w:hAnsi="宋体"/>
          <w:sz w:val="24"/>
        </w:rPr>
        <w:t>（1）供应商未能满足供应商资格要求的；</w:t>
      </w:r>
    </w:p>
    <w:p>
      <w:pPr>
        <w:adjustRightInd w:val="0"/>
        <w:snapToGrid w:val="0"/>
        <w:spacing w:line="440" w:lineRule="exact"/>
        <w:ind w:firstLine="480" w:firstLineChars="200"/>
        <w:rPr>
          <w:rFonts w:hint="eastAsia" w:ascii="宋体" w:hAnsi="宋体"/>
          <w:sz w:val="24"/>
        </w:rPr>
      </w:pPr>
      <w:r>
        <w:rPr>
          <w:rFonts w:hint="eastAsia" w:ascii="宋体" w:hAnsi="宋体"/>
          <w:sz w:val="24"/>
        </w:rPr>
        <w:t xml:space="preserve">（2）供应商未提交法人授权委托书的； </w:t>
      </w:r>
    </w:p>
    <w:p>
      <w:pPr>
        <w:adjustRightInd w:val="0"/>
        <w:snapToGrid w:val="0"/>
        <w:spacing w:line="440" w:lineRule="exact"/>
        <w:ind w:firstLine="480" w:firstLineChars="200"/>
        <w:rPr>
          <w:rFonts w:hint="eastAsia" w:ascii="宋体" w:hAnsi="宋体"/>
          <w:sz w:val="24"/>
        </w:rPr>
      </w:pPr>
      <w:r>
        <w:rPr>
          <w:rFonts w:hint="eastAsia" w:ascii="宋体" w:hAnsi="宋体"/>
          <w:sz w:val="24"/>
        </w:rPr>
        <w:t>（3）供应商未按谈判文件要求的金额提交谈判保证金的；</w:t>
      </w:r>
    </w:p>
    <w:p>
      <w:pPr>
        <w:adjustRightInd w:val="0"/>
        <w:snapToGrid w:val="0"/>
        <w:spacing w:line="440" w:lineRule="exact"/>
        <w:ind w:firstLine="480" w:firstLineChars="200"/>
        <w:rPr>
          <w:rFonts w:hint="eastAsia" w:ascii="宋体" w:hAnsi="宋体"/>
          <w:sz w:val="24"/>
        </w:rPr>
      </w:pPr>
      <w:r>
        <w:rPr>
          <w:rFonts w:hint="eastAsia" w:ascii="宋体" w:hAnsi="宋体"/>
          <w:sz w:val="24"/>
        </w:rPr>
        <w:t>（4）响应有效期不足的；</w:t>
      </w:r>
    </w:p>
    <w:p>
      <w:pPr>
        <w:adjustRightInd w:val="0"/>
        <w:snapToGrid w:val="0"/>
        <w:spacing w:line="440" w:lineRule="exact"/>
        <w:ind w:firstLine="480" w:firstLineChars="200"/>
        <w:rPr>
          <w:rFonts w:hint="eastAsia"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hint="eastAsia" w:ascii="宋体" w:hAnsi="宋体"/>
          <w:sz w:val="24"/>
        </w:rPr>
      </w:pPr>
      <w:r>
        <w:rPr>
          <w:rFonts w:hint="eastAsia" w:ascii="宋体" w:hAnsi="宋体"/>
          <w:sz w:val="24"/>
        </w:rPr>
        <w:t>（6）响应文件未按谈判文件规定要求填写响应内容及签名盖章的；</w:t>
      </w:r>
    </w:p>
    <w:p>
      <w:pPr>
        <w:adjustRightInd w:val="0"/>
        <w:snapToGrid w:val="0"/>
        <w:spacing w:line="440" w:lineRule="exact"/>
        <w:ind w:firstLine="480" w:firstLineChars="200"/>
        <w:rPr>
          <w:rFonts w:hint="eastAsia" w:ascii="宋体" w:hAnsi="宋体"/>
          <w:sz w:val="24"/>
        </w:rPr>
      </w:pPr>
      <w:r>
        <w:rPr>
          <w:rFonts w:hint="eastAsia" w:ascii="宋体" w:hAnsi="宋体"/>
          <w:sz w:val="24"/>
        </w:rPr>
        <w:t>（7）报价不是固定价或者报价不是唯一的；</w:t>
      </w:r>
    </w:p>
    <w:p>
      <w:pPr>
        <w:adjustRightInd w:val="0"/>
        <w:snapToGrid w:val="0"/>
        <w:spacing w:line="440" w:lineRule="exact"/>
        <w:ind w:firstLine="480" w:firstLineChars="200"/>
        <w:rPr>
          <w:rFonts w:hint="eastAsia" w:ascii="宋体" w:hAnsi="宋体"/>
          <w:sz w:val="24"/>
        </w:rPr>
      </w:pPr>
      <w:r>
        <w:rPr>
          <w:rFonts w:hint="eastAsia" w:ascii="宋体" w:hAnsi="宋体"/>
          <w:sz w:val="24"/>
        </w:rPr>
        <w:t>（8）不符合谈判文件规定的其它条件。</w:t>
      </w:r>
    </w:p>
    <w:p>
      <w:pPr>
        <w:adjustRightInd w:val="0"/>
        <w:snapToGrid w:val="0"/>
        <w:spacing w:line="440" w:lineRule="exact"/>
        <w:ind w:firstLine="480" w:firstLineChars="200"/>
        <w:rPr>
          <w:rFonts w:hint="eastAsia" w:ascii="宋体" w:hAnsi="宋体"/>
          <w:sz w:val="24"/>
        </w:rPr>
      </w:pPr>
      <w:r>
        <w:rPr>
          <w:rFonts w:hint="eastAsia" w:ascii="宋体" w:hAnsi="宋体"/>
          <w:sz w:val="24"/>
        </w:rPr>
        <w:t>21.5.2 判断响应文件的响应与否只根据响应文件本身，而不寻求外部证据。</w:t>
      </w:r>
    </w:p>
    <w:p>
      <w:pPr>
        <w:adjustRightInd w:val="0"/>
        <w:snapToGrid w:val="0"/>
        <w:spacing w:line="440" w:lineRule="exact"/>
        <w:ind w:firstLine="480" w:firstLineChars="200"/>
        <w:rPr>
          <w:rFonts w:hint="eastAsia" w:ascii="宋体" w:hAnsi="宋体"/>
          <w:sz w:val="24"/>
        </w:rPr>
      </w:pPr>
      <w:r>
        <w:rPr>
          <w:rFonts w:hint="eastAsia" w:ascii="宋体" w:hAnsi="宋体"/>
          <w:sz w:val="24"/>
        </w:rPr>
        <w:t>21.5.3 谈判小组在初审中，对算术错误的修正原则如下：</w:t>
      </w:r>
    </w:p>
    <w:p>
      <w:pPr>
        <w:adjustRightInd w:val="0"/>
        <w:snapToGrid w:val="0"/>
        <w:spacing w:line="440" w:lineRule="exact"/>
        <w:ind w:firstLine="480" w:firstLineChars="200"/>
        <w:rPr>
          <w:rFonts w:hint="eastAsia" w:ascii="宋体" w:hAnsi="宋体"/>
          <w:sz w:val="24"/>
        </w:rPr>
      </w:pPr>
      <w:r>
        <w:rPr>
          <w:rFonts w:hint="eastAsia" w:ascii="宋体" w:hAnsi="宋体"/>
          <w:sz w:val="24"/>
        </w:rPr>
        <w:t>（1）报价一览表内容与响应文件中明细表内容不一致的，以报价一览表为准；</w:t>
      </w:r>
    </w:p>
    <w:p>
      <w:pPr>
        <w:adjustRightInd w:val="0"/>
        <w:snapToGrid w:val="0"/>
        <w:spacing w:line="440" w:lineRule="exact"/>
        <w:ind w:firstLine="480" w:firstLineChars="200"/>
        <w:rPr>
          <w:rFonts w:hint="eastAsia" w:ascii="宋体" w:hAnsi="宋体"/>
          <w:sz w:val="24"/>
        </w:rPr>
      </w:pPr>
      <w:r>
        <w:rPr>
          <w:rFonts w:hint="eastAsia" w:ascii="宋体" w:hAnsi="宋体"/>
          <w:sz w:val="24"/>
        </w:rPr>
        <w:t>（2）响应文件的大写金额和小写金额不一致的，以大写金额为准；</w:t>
      </w:r>
    </w:p>
    <w:p>
      <w:pPr>
        <w:adjustRightInd w:val="0"/>
        <w:snapToGrid w:val="0"/>
        <w:spacing w:line="440" w:lineRule="exact"/>
        <w:ind w:firstLine="480" w:firstLineChars="200"/>
        <w:rPr>
          <w:rFonts w:hint="eastAsia" w:ascii="宋体" w:hAnsi="宋体"/>
          <w:sz w:val="24"/>
        </w:rPr>
      </w:pPr>
      <w:r>
        <w:rPr>
          <w:rFonts w:hint="eastAsia" w:ascii="宋体" w:hAnsi="宋体"/>
          <w:sz w:val="24"/>
        </w:rPr>
        <w:t>（3）总价金额与按单价汇总金额不一致的，以单价金额计算结果为准；</w:t>
      </w:r>
    </w:p>
    <w:p>
      <w:pPr>
        <w:adjustRightInd w:val="0"/>
        <w:snapToGrid w:val="0"/>
        <w:spacing w:line="440" w:lineRule="exact"/>
        <w:ind w:firstLine="480" w:firstLineChars="200"/>
        <w:rPr>
          <w:rFonts w:hint="eastAsia" w:ascii="宋体" w:hAnsi="宋体"/>
          <w:sz w:val="24"/>
        </w:rPr>
      </w:pPr>
      <w:r>
        <w:rPr>
          <w:rFonts w:hint="eastAsia" w:ascii="宋体" w:hAnsi="宋体"/>
          <w:sz w:val="24"/>
        </w:rPr>
        <w:t>（4）单价金额小数点有明显错位的，以总价为准并修改单价；</w:t>
      </w:r>
    </w:p>
    <w:p>
      <w:pPr>
        <w:spacing w:line="440" w:lineRule="exact"/>
        <w:ind w:firstLine="480" w:firstLineChars="200"/>
        <w:rPr>
          <w:rFonts w:hint="eastAsia" w:ascii="宋体" w:hAnsi="宋体"/>
          <w:sz w:val="24"/>
        </w:rPr>
      </w:pPr>
      <w:r>
        <w:rPr>
          <w:rFonts w:hint="eastAsia" w:ascii="宋体" w:hAnsi="宋体" w:cs="宋体"/>
          <w:sz w:val="24"/>
        </w:rPr>
        <w:t>（5）若供应商不同意以上修正，响应文件将视为无效</w:t>
      </w:r>
      <w:r>
        <w:rPr>
          <w:rFonts w:hint="eastAsia" w:ascii="宋体" w:hAnsi="宋体"/>
          <w:sz w:val="24"/>
        </w:rPr>
        <w:t>。</w:t>
      </w:r>
    </w:p>
    <w:p>
      <w:pPr>
        <w:spacing w:line="440" w:lineRule="exact"/>
        <w:ind w:firstLine="482" w:firstLineChars="200"/>
        <w:rPr>
          <w:rFonts w:hint="eastAsia"/>
          <w:b/>
          <w:bCs/>
          <w:sz w:val="24"/>
        </w:rPr>
      </w:pPr>
      <w:r>
        <w:rPr>
          <w:rFonts w:hint="eastAsia" w:ascii="宋体" w:hAnsi="宋体"/>
          <w:b/>
          <w:bCs/>
          <w:sz w:val="24"/>
        </w:rPr>
        <w:t>21.6 成交原则：供应商有效报价达到3家或以上，</w:t>
      </w:r>
      <w:r>
        <w:rPr>
          <w:rFonts w:hint="eastAsia"/>
          <w:b/>
          <w:bCs/>
          <w:sz w:val="24"/>
        </w:rPr>
        <w:t>谈判小组应当从质量和服务均能满足采购文件实质性响应要求的供应商中，按照最终报价由低到高的顺序推荐成交候选人。谈判小组成员有异议的，按照少数服从多数的原则推荐成交候选人，采购程序继续进行。</w:t>
      </w:r>
    </w:p>
    <w:p>
      <w:pPr>
        <w:spacing w:line="440" w:lineRule="exact"/>
        <w:ind w:firstLine="482" w:firstLineChars="200"/>
        <w:rPr>
          <w:rFonts w:hint="eastAsia" w:ascii="宋体" w:hAnsi="宋体"/>
          <w:sz w:val="24"/>
        </w:rPr>
      </w:pPr>
      <w:r>
        <w:rPr>
          <w:rFonts w:hint="eastAsia" w:ascii="宋体" w:hAnsi="宋体"/>
          <w:b/>
          <w:bCs/>
          <w:sz w:val="24"/>
        </w:rPr>
        <w:t>注：</w:t>
      </w:r>
      <w:r>
        <w:rPr>
          <w:rFonts w:hint="eastAsia" w:ascii="宋体" w:hAnsi="宋体"/>
          <w:sz w:val="24"/>
        </w:rPr>
        <w:t>“有效报价”是指通过文件初审的供应商最终报价经价格核对后的评审价格，且不超过采购人的预算。</w:t>
      </w:r>
    </w:p>
    <w:p>
      <w:pPr>
        <w:spacing w:before="156" w:beforeLines="50" w:after="156" w:afterLines="50" w:line="440" w:lineRule="exact"/>
        <w:rPr>
          <w:rFonts w:hint="eastAsia" w:ascii="宋体" w:hAnsi="宋体" w:cs="宋体"/>
          <w:sz w:val="24"/>
          <w:lang w:val="en-GB"/>
        </w:rPr>
      </w:pPr>
      <w:r>
        <w:rPr>
          <w:rFonts w:hint="eastAsia" w:ascii="宋体" w:hAnsi="宋体" w:cs="宋体"/>
          <w:b/>
          <w:sz w:val="24"/>
        </w:rPr>
        <w:t>（附表1）</w:t>
      </w:r>
    </w:p>
    <w:p>
      <w:pPr>
        <w:spacing w:before="156" w:beforeLines="50" w:after="156" w:afterLines="50" w:line="440" w:lineRule="exact"/>
        <w:jc w:val="center"/>
        <w:rPr>
          <w:rFonts w:hint="eastAsia" w:ascii="宋体" w:hAnsi="宋体" w:cs="宋体"/>
          <w:b/>
          <w:bCs/>
          <w:sz w:val="36"/>
          <w:szCs w:val="36"/>
          <w:lang w:val="en-GB"/>
        </w:rPr>
      </w:pPr>
      <w:r>
        <w:rPr>
          <w:rFonts w:hint="eastAsia" w:ascii="宋体" w:hAnsi="宋体" w:cs="宋体"/>
          <w:b/>
          <w:bCs/>
          <w:sz w:val="36"/>
          <w:szCs w:val="36"/>
          <w:lang w:val="en-GB"/>
        </w:rPr>
        <w:t>资格审查表</w:t>
      </w:r>
    </w:p>
    <w:p>
      <w:pPr>
        <w:spacing w:before="156" w:beforeLines="50" w:after="312" w:afterLines="100" w:line="440" w:lineRule="exact"/>
        <w:rPr>
          <w:rFonts w:hint="eastAsia" w:ascii="宋体" w:hAnsi="宋体" w:cs="宋体"/>
          <w:b/>
          <w:sz w:val="24"/>
        </w:rPr>
      </w:pPr>
      <w:r>
        <w:rPr>
          <w:rFonts w:hint="eastAsia" w:ascii="宋体" w:hAnsi="宋体" w:cs="宋体"/>
          <w:b/>
          <w:sz w:val="24"/>
        </w:rPr>
        <w:t>项目名称：心理行为训练场器械采购                    项目编号：GXJH2017-016</w:t>
      </w:r>
    </w:p>
    <w:tbl>
      <w:tblPr>
        <w:tblStyle w:val="16"/>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评议内容（无效报价认定条件）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响应文件的有效性、完整性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是否符合谈判文件的样式和签署要求且内容完整无缺漏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是否对本项目内所有的内容进行响应，漏报其响应将被拒绝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响应有效期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响应保证金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工期或交货期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8</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产品的相关证书</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是否提供质量管理认证证书（国标或国军标）或产品检验报告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sz w:val="24"/>
              </w:rPr>
            </w:pPr>
            <w:r>
              <w:rPr>
                <w:rFonts w:hint="eastAsia" w:ascii="宋体" w:hAnsi="宋体"/>
                <w:b/>
                <w:bCs/>
                <w:sz w:val="24"/>
              </w:rPr>
              <w:t>9</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r>
              <w:rPr>
                <w:rFonts w:hint="eastAsia" w:ascii="宋体" w:hAnsi="宋体"/>
                <w:sz w:val="24"/>
              </w:rPr>
              <w:t>是否无其它无效报价认定条件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sz w:val="24"/>
              </w:rPr>
            </w:pPr>
            <w:r>
              <w:rPr>
                <w:rFonts w:hint="eastAsia" w:ascii="宋体" w:hAnsi="宋体"/>
                <w:sz w:val="24"/>
              </w:rPr>
              <w:t> </w:t>
            </w:r>
          </w:p>
        </w:tc>
      </w:tr>
    </w:tbl>
    <w:p>
      <w:pPr>
        <w:spacing w:before="156" w:beforeLines="50" w:after="156" w:afterLines="50" w:line="440" w:lineRule="exact"/>
        <w:rPr>
          <w:rFonts w:hint="eastAsia" w:ascii="宋体" w:hAnsi="宋体" w:cs="宋体"/>
          <w:b/>
          <w:bCs/>
          <w:sz w:val="24"/>
        </w:rPr>
      </w:pPr>
      <w:r>
        <w:rPr>
          <w:rFonts w:hint="eastAsia" w:ascii="宋体" w:hAnsi="宋体" w:cs="宋体"/>
          <w:b/>
          <w:bCs/>
          <w:sz w:val="24"/>
        </w:rPr>
        <w:t>注：</w:t>
      </w:r>
    </w:p>
    <w:p>
      <w:pPr>
        <w:spacing w:line="440" w:lineRule="exact"/>
        <w:ind w:firstLine="480" w:firstLineChars="200"/>
        <w:rPr>
          <w:rFonts w:hint="eastAsia"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hint="eastAsia"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sz w:val="24"/>
        </w:rPr>
      </w:pPr>
      <w:r>
        <w:rPr>
          <w:rFonts w:hint="eastAsia" w:ascii="宋体" w:hAnsi="宋体" w:cs="宋体"/>
          <w:sz w:val="24"/>
        </w:rPr>
        <w:t>3、结论是合格的，才能进入下一轮，不合格的被淘汰。</w:t>
      </w:r>
    </w:p>
    <w:p>
      <w:pPr>
        <w:spacing w:before="156" w:beforeLines="50" w:after="156" w:afterLines="50" w:line="440" w:lineRule="exact"/>
        <w:rPr>
          <w:rFonts w:hint="eastAsia" w:ascii="宋体" w:hAnsi="宋体" w:cs="宋体"/>
          <w:b/>
          <w:sz w:val="28"/>
          <w:szCs w:val="28"/>
          <w:lang w:val="en-GB"/>
        </w:rPr>
      </w:pPr>
      <w:r>
        <w:rPr>
          <w:rFonts w:hint="eastAsia" w:ascii="宋体" w:hAnsi="宋体" w:cs="宋体"/>
          <w:b/>
          <w:sz w:val="28"/>
          <w:szCs w:val="28"/>
          <w:lang w:val="en-GB"/>
        </w:rPr>
        <w:t>（七）确定成交供应商</w:t>
      </w:r>
    </w:p>
    <w:p>
      <w:pPr>
        <w:tabs>
          <w:tab w:val="left" w:pos="0"/>
        </w:tabs>
        <w:adjustRightInd w:val="0"/>
        <w:snapToGrid w:val="0"/>
        <w:spacing w:line="440" w:lineRule="exact"/>
        <w:ind w:firstLine="482" w:firstLineChars="200"/>
        <w:rPr>
          <w:rFonts w:hint="eastAsia" w:ascii="宋体" w:hAnsi="宋体" w:cs="宋体"/>
          <w:b/>
          <w:sz w:val="24"/>
        </w:rPr>
      </w:pPr>
      <w:r>
        <w:rPr>
          <w:rFonts w:hint="eastAsia" w:ascii="宋体" w:hAnsi="宋体" w:cs="宋体"/>
          <w:b/>
          <w:sz w:val="24"/>
        </w:rPr>
        <w:t>22、</w:t>
      </w:r>
      <w:r>
        <w:rPr>
          <w:rFonts w:hint="eastAsia" w:ascii="宋体" w:hAnsi="宋体" w:cs="宋体"/>
          <w:b/>
          <w:sz w:val="24"/>
          <w:lang w:val="en-GB"/>
        </w:rPr>
        <w:t>确定成交供应商的标准</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谈判小组依据对各响应文件的评审结果，提出书面评审报告，并根据谈判文件的规定，在质量和服务均相等的情况下，以最终报价由低至高的顺序向采购人推荐前三名为成交候选供应商，排名第一的为成交候选供应商，排名靠后的前</w:t>
      </w:r>
      <w:r>
        <w:rPr>
          <w:rFonts w:hint="eastAsia" w:ascii="宋体" w:hAnsi="宋体" w:cs="宋体"/>
          <w:kern w:val="0"/>
          <w:sz w:val="24"/>
        </w:rPr>
        <w:t>2</w:t>
      </w:r>
      <w:r>
        <w:rPr>
          <w:rFonts w:hint="eastAsia" w:ascii="宋体" w:hAnsi="宋体" w:cs="宋体"/>
          <w:kern w:val="0"/>
          <w:sz w:val="24"/>
          <w:lang w:val="en-GB"/>
        </w:rPr>
        <w:t>名为备选成交候选供应商</w:t>
      </w:r>
      <w:r>
        <w:rPr>
          <w:rFonts w:hint="eastAsia" w:ascii="宋体" w:hAnsi="宋体"/>
          <w:kern w:val="0"/>
          <w:sz w:val="24"/>
          <w:lang w:val="en-GB"/>
        </w:rPr>
        <w:t>。</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成交候选供应商因特殊原因放弃成交或因不可抗力提出不能履行合同，才可依评标排名次序的备选成交候选供应商依次递补为成交供应商</w:t>
      </w:r>
      <w:r>
        <w:rPr>
          <w:rFonts w:hint="eastAsia" w:ascii="宋体" w:hAnsi="宋体"/>
          <w:kern w:val="0"/>
          <w:sz w:val="24"/>
          <w:lang w:val="en-GB"/>
        </w:rPr>
        <w:t>。</w:t>
      </w:r>
    </w:p>
    <w:p>
      <w:pPr>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成交供应商确定后，采购代理机构将在政府采购指定媒体上公示成交结果</w:t>
      </w:r>
      <w:r>
        <w:rPr>
          <w:rFonts w:hint="eastAsia" w:ascii="宋体" w:hAnsi="宋体"/>
          <w:kern w:val="0"/>
          <w:sz w:val="24"/>
          <w:lang w:val="en-GB"/>
        </w:rPr>
        <w:t>。</w:t>
      </w:r>
    </w:p>
    <w:p>
      <w:pPr>
        <w:pStyle w:val="7"/>
        <w:adjustRightInd w:val="0"/>
        <w:snapToGrid w:val="0"/>
        <w:spacing w:line="440" w:lineRule="exact"/>
        <w:ind w:firstLine="480" w:firstLineChars="200"/>
        <w:rPr>
          <w:rFonts w:hint="eastAsia" w:hAnsi="宋体" w:cs="宋体"/>
          <w:kern w:val="0"/>
          <w:sz w:val="24"/>
          <w:lang w:val="en-GB"/>
        </w:rPr>
      </w:pPr>
      <w:r>
        <w:rPr>
          <w:rFonts w:hint="eastAsia" w:hAnsi="宋体" w:cs="宋体"/>
          <w:kern w:val="0"/>
          <w:sz w:val="24"/>
          <w:lang w:val="en-GB"/>
        </w:rPr>
        <w:t>2</w:t>
      </w:r>
      <w:r>
        <w:rPr>
          <w:rFonts w:hint="eastAsia" w:hAnsi="宋体" w:cs="宋体"/>
          <w:kern w:val="0"/>
          <w:sz w:val="24"/>
        </w:rPr>
        <w:t>2</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凡是属于审查、澄清、评价和比较报价的有关资料以及成交意向等，谈判小组及有关工作人员自始至终均不得向供应商或其它无关的人员透露</w:t>
      </w:r>
      <w:r>
        <w:rPr>
          <w:rFonts w:hint="eastAsia" w:hAnsi="宋体"/>
          <w:kern w:val="0"/>
          <w:sz w:val="24"/>
          <w:lang w:val="en-GB"/>
        </w:rPr>
        <w:t>。</w:t>
      </w:r>
    </w:p>
    <w:p>
      <w:pPr>
        <w:tabs>
          <w:tab w:val="left" w:pos="360"/>
          <w:tab w:val="left" w:pos="96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在评审期间，供应商企图影响采购人、采购代理机构和谈判小组而获得评审信息的任何活动，都将导致其响应文件被拒绝，并承担相应的法律责任</w:t>
      </w:r>
      <w:r>
        <w:rPr>
          <w:rFonts w:hint="eastAsia" w:ascii="宋体" w:hAnsi="宋体"/>
          <w:kern w:val="0"/>
          <w:sz w:val="24"/>
          <w:lang w:val="en-GB"/>
        </w:rPr>
        <w:t>。</w:t>
      </w:r>
    </w:p>
    <w:p>
      <w:pPr>
        <w:tabs>
          <w:tab w:val="left" w:pos="0"/>
        </w:tabs>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3、</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jc w:val="left"/>
        <w:rPr>
          <w:rFonts w:hint="eastAsia" w:ascii="宋体" w:hAnsi="宋体" w:cs="宋体"/>
          <w:kern w:val="0"/>
          <w:sz w:val="24"/>
          <w:lang w:val="en-GB"/>
        </w:rPr>
      </w:pPr>
      <w:r>
        <w:rPr>
          <w:rFonts w:hint="eastAsia" w:ascii="宋体" w:hAnsi="宋体" w:cs="宋体"/>
          <w:sz w:val="24"/>
        </w:rPr>
        <w:t>代理机构将在指定的网站（中国海南政府采购</w:t>
      </w:r>
      <w:r>
        <w:rPr>
          <w:rFonts w:ascii="宋体" w:hAnsi="宋体" w:cs="宋体"/>
          <w:sz w:val="24"/>
          <w:u w:val="single"/>
        </w:rPr>
        <w:t>http://www.ccgp-hainan.gov.cn/</w:t>
      </w:r>
      <w:r>
        <w:rPr>
          <w:rFonts w:hint="eastAsia" w:ascii="宋体" w:hAnsi="宋体" w:cs="宋体"/>
          <w:sz w:val="24"/>
        </w:rPr>
        <w:t>）</w:t>
      </w:r>
      <w:r>
        <w:rPr>
          <w:rFonts w:hint="eastAsia" w:ascii="宋体" w:hAnsi="宋体" w:cs="宋体"/>
          <w:kern w:val="0"/>
          <w:sz w:val="24"/>
          <w:lang w:val="en-GB"/>
        </w:rPr>
        <w:t>上发布谈判公告、更正公告、通知、成交公告等谈判采购过程中的所有信息，请务必关注网上公告。成交结果公示期为</w:t>
      </w:r>
      <w:r>
        <w:rPr>
          <w:rFonts w:hint="eastAsia" w:ascii="宋体" w:hAnsi="宋体" w:cs="宋体"/>
          <w:kern w:val="0"/>
          <w:sz w:val="24"/>
        </w:rPr>
        <w:t>3个工作</w:t>
      </w:r>
      <w:r>
        <w:rPr>
          <w:rFonts w:hint="eastAsia" w:ascii="宋体" w:hAnsi="宋体" w:cs="宋体"/>
          <w:kern w:val="0"/>
          <w:sz w:val="24"/>
          <w:lang w:val="en-GB"/>
        </w:rPr>
        <w:t>日。</w:t>
      </w:r>
    </w:p>
    <w:p>
      <w:pPr>
        <w:tabs>
          <w:tab w:val="left" w:pos="0"/>
        </w:tabs>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24</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如果供应商对本次谈判活动有疑问，可依据《中华人民共和国政府采购法》和相关规定，向采购代理机构提出质疑。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24</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rPr>
          <w:rFonts w:hint="eastAsia" w:ascii="宋体" w:hAnsi="宋体" w:cs="宋体"/>
          <w:kern w:val="0"/>
          <w:sz w:val="24"/>
        </w:rPr>
      </w:pPr>
      <w:r>
        <w:rPr>
          <w:rFonts w:hint="eastAsia" w:ascii="宋体" w:hAnsi="宋体"/>
          <w:sz w:val="24"/>
        </w:rPr>
        <w:t xml:space="preserve">    24.3</w:t>
      </w:r>
      <w:r>
        <w:rPr>
          <w:rFonts w:hint="eastAsia" w:ascii="宋体" w:hAnsi="宋体" w:cs="宋体"/>
          <w:sz w:val="24"/>
        </w:rPr>
        <w:t xml:space="preserve"> 供应商如认为谈判文件、招标过程和成交结果使自己的权益受到损害的，应在知道或应知道其权益受到损害之日起7个工作日内，以书面形式向采购代理机构提出质疑。匿名、非书面形式、7个工作日之外的质疑均不予受理</w:t>
      </w:r>
      <w:r>
        <w:rPr>
          <w:rFonts w:hint="eastAsia" w:ascii="宋体" w:hAnsi="宋体"/>
          <w:sz w:val="24"/>
        </w:rPr>
        <w:t>。</w:t>
      </w:r>
    </w:p>
    <w:p>
      <w:pPr>
        <w:pStyle w:val="7"/>
        <w:adjustRightInd w:val="0"/>
        <w:snapToGrid w:val="0"/>
        <w:spacing w:before="156" w:beforeLines="50" w:after="156" w:afterLines="50" w:line="440" w:lineRule="exact"/>
        <w:rPr>
          <w:rFonts w:hint="eastAsia"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14.4</w:t>
      </w:r>
      <w:r>
        <w:rPr>
          <w:rFonts w:hint="eastAsia" w:ascii="宋体" w:hAnsi="宋体" w:cs="宋体"/>
          <w:kern w:val="0"/>
          <w:sz w:val="24"/>
          <w:lang w:val="en-GB"/>
        </w:rPr>
        <w:t>条的规定之外，采购人将与成交供应商签订供货合同。</w:t>
      </w:r>
    </w:p>
    <w:p>
      <w:pPr>
        <w:autoSpaceDE w:val="0"/>
        <w:autoSpaceDN w:val="0"/>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 xml:space="preserve"> 接受和拒绝任何或所有响应文件的权力</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在特殊情况下，谈判小组、采购代理机构和采购人在报经监管部门同意后，保留在授予合同之前拒绝任何报价以及宣布谈判程序无效或拒绝所有响应的权力。</w:t>
      </w:r>
    </w:p>
    <w:p>
      <w:pPr>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签订合同</w:t>
      </w:r>
    </w:p>
    <w:p>
      <w:pPr>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27</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采购人应按谈判文件和成交供应商的响应文件订立书面合同，不得超出谈判文件和成交供应商响应文件的范围，也不得另行订立背离合同实质性内容的其他协议。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rPr>
        <w:t>27</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采购人应在成交通知书发出之日起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与成交供应商签订政府采购合同。</w:t>
      </w:r>
    </w:p>
    <w:p>
      <w:pPr>
        <w:autoSpaceDE w:val="0"/>
        <w:autoSpaceDN w:val="0"/>
        <w:adjustRightInd w:val="0"/>
        <w:snapToGrid w:val="0"/>
        <w:spacing w:line="440" w:lineRule="exact"/>
        <w:rPr>
          <w:rFonts w:hint="eastAsia" w:ascii="宋体" w:hAnsi="宋体" w:cs="宋体"/>
          <w:b/>
          <w:bCs/>
          <w:kern w:val="0"/>
          <w:sz w:val="24"/>
          <w:lang w:val="en-GB"/>
        </w:rPr>
      </w:pPr>
      <w:r>
        <w:rPr>
          <w:rFonts w:hint="eastAsia" w:ascii="宋体" w:hAnsi="宋体" w:cs="宋体"/>
          <w:b/>
          <w:bCs/>
          <w:kern w:val="0"/>
          <w:sz w:val="24"/>
        </w:rPr>
        <w:t>28</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hint="eastAsia" w:ascii="宋体" w:hAnsi="宋体" w:cs="宋体"/>
          <w:kern w:val="0"/>
          <w:sz w:val="24"/>
          <w:lang w:val="en-GB"/>
        </w:rPr>
      </w:pPr>
      <w:r>
        <w:rPr>
          <w:rFonts w:hint="eastAsia" w:ascii="宋体" w:hAnsi="宋体" w:cs="宋体"/>
          <w:b/>
          <w:bCs/>
          <w:kern w:val="0"/>
          <w:sz w:val="24"/>
        </w:rPr>
        <w:t>29</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hint="eastAsia" w:ascii="宋体" w:hAnsi="宋体" w:cs="宋体"/>
          <w:kern w:val="0"/>
          <w:sz w:val="24"/>
          <w:lang w:val="en-GB"/>
        </w:rPr>
      </w:pPr>
      <w:r>
        <w:rPr>
          <w:rFonts w:hint="eastAsia" w:ascii="宋体" w:hAnsi="宋体" w:cs="宋体"/>
          <w:kern w:val="0"/>
          <w:sz w:val="24"/>
          <w:lang w:val="en-GB"/>
        </w:rPr>
        <w:t>采购人、采购代理机构及供应商的一切谈判活动均适用于《中华人民共和国政府采购法》及相关规定。</w:t>
      </w:r>
    </w:p>
    <w:p>
      <w:pPr>
        <w:autoSpaceDE w:val="0"/>
        <w:autoSpaceDN w:val="0"/>
        <w:adjustRightInd w:val="0"/>
        <w:snapToGrid w:val="0"/>
        <w:spacing w:line="440" w:lineRule="exact"/>
        <w:jc w:val="left"/>
        <w:rPr>
          <w:rFonts w:hint="eastAsia" w:ascii="宋体" w:hAnsi="宋体" w:cs="宋体"/>
          <w:kern w:val="0"/>
          <w:sz w:val="24"/>
          <w:lang w:val="en-GB"/>
        </w:rPr>
      </w:pPr>
    </w:p>
    <w:p>
      <w:pPr>
        <w:autoSpaceDE w:val="0"/>
        <w:autoSpaceDN w:val="0"/>
        <w:adjustRightInd w:val="0"/>
        <w:snapToGrid w:val="0"/>
        <w:spacing w:line="440" w:lineRule="exact"/>
        <w:jc w:val="left"/>
        <w:rPr>
          <w:rFonts w:hint="eastAsia" w:ascii="宋体" w:hAnsi="宋体" w:cs="宋体"/>
          <w:kern w:val="0"/>
          <w:sz w:val="24"/>
          <w:lang w:val="en-GB"/>
        </w:rPr>
      </w:pPr>
    </w:p>
    <w:p>
      <w:pPr>
        <w:autoSpaceDE w:val="0"/>
        <w:autoSpaceDN w:val="0"/>
        <w:adjustRightInd w:val="0"/>
        <w:snapToGrid w:val="0"/>
        <w:spacing w:line="440" w:lineRule="exact"/>
        <w:jc w:val="left"/>
        <w:rPr>
          <w:rFonts w:hint="eastAsia" w:ascii="宋体" w:hAnsi="宋体" w:cs="宋体"/>
          <w:kern w:val="0"/>
          <w:sz w:val="24"/>
          <w:lang w:val="en-GB"/>
        </w:rPr>
      </w:pPr>
    </w:p>
    <w:p>
      <w:pPr>
        <w:autoSpaceDE w:val="0"/>
        <w:autoSpaceDN w:val="0"/>
        <w:adjustRightInd w:val="0"/>
        <w:snapToGrid w:val="0"/>
        <w:spacing w:line="240" w:lineRule="atLeast"/>
        <w:jc w:val="left"/>
        <w:rPr>
          <w:rFonts w:hint="eastAsia" w:ascii="宋体" w:hAnsi="宋体" w:cs="宋体"/>
          <w:kern w:val="0"/>
          <w:sz w:val="24"/>
          <w:lang w:val="en-GB"/>
        </w:rPr>
      </w:pPr>
    </w:p>
    <w:p>
      <w:pPr>
        <w:autoSpaceDE w:val="0"/>
        <w:autoSpaceDN w:val="0"/>
        <w:adjustRightInd w:val="0"/>
        <w:snapToGrid w:val="0"/>
        <w:spacing w:line="240" w:lineRule="atLeast"/>
        <w:jc w:val="left"/>
        <w:rPr>
          <w:rFonts w:hint="eastAsia" w:ascii="宋体" w:hAnsi="宋体" w:cs="宋体"/>
          <w:kern w:val="0"/>
          <w:sz w:val="24"/>
          <w:lang w:val="en-GB"/>
        </w:rPr>
      </w:pPr>
    </w:p>
    <w:p>
      <w:pPr>
        <w:autoSpaceDE w:val="0"/>
        <w:autoSpaceDN w:val="0"/>
        <w:adjustRightInd w:val="0"/>
        <w:snapToGrid w:val="0"/>
        <w:spacing w:line="240" w:lineRule="atLeast"/>
        <w:jc w:val="left"/>
        <w:rPr>
          <w:rFonts w:hint="eastAsia" w:ascii="宋体" w:hAnsi="宋体" w:cs="宋体"/>
          <w:kern w:val="0"/>
          <w:sz w:val="24"/>
          <w:lang w:val="en-GB"/>
        </w:rPr>
      </w:pPr>
    </w:p>
    <w:p>
      <w:pPr>
        <w:autoSpaceDE w:val="0"/>
        <w:autoSpaceDN w:val="0"/>
        <w:adjustRightInd w:val="0"/>
        <w:snapToGrid w:val="0"/>
        <w:spacing w:line="240" w:lineRule="atLeast"/>
        <w:jc w:val="left"/>
        <w:rPr>
          <w:rFonts w:hint="eastAsia" w:ascii="宋体" w:hAnsi="宋体" w:cs="宋体"/>
          <w:kern w:val="0"/>
          <w:sz w:val="24"/>
          <w:lang w:val="en-GB"/>
        </w:rPr>
      </w:pPr>
    </w:p>
    <w:p>
      <w:pPr>
        <w:autoSpaceDE w:val="0"/>
        <w:autoSpaceDN w:val="0"/>
        <w:adjustRightInd w:val="0"/>
        <w:snapToGrid w:val="0"/>
        <w:spacing w:line="240" w:lineRule="atLeast"/>
        <w:jc w:val="left"/>
        <w:rPr>
          <w:rFonts w:hint="eastAsia" w:ascii="宋体" w:hAnsi="宋体" w:cs="宋体"/>
          <w:kern w:val="0"/>
          <w:sz w:val="24"/>
          <w:lang w:val="en-GB"/>
        </w:rPr>
      </w:pPr>
    </w:p>
    <w:p>
      <w:pPr>
        <w:autoSpaceDE w:val="0"/>
        <w:autoSpaceDN w:val="0"/>
        <w:adjustRightInd w:val="0"/>
        <w:snapToGrid w:val="0"/>
        <w:spacing w:line="240" w:lineRule="atLeast"/>
        <w:jc w:val="left"/>
        <w:rPr>
          <w:rFonts w:hint="eastAsia" w:ascii="宋体" w:hAnsi="宋体" w:cs="宋体"/>
          <w:kern w:val="0"/>
          <w:sz w:val="24"/>
          <w:lang w:val="en-GB"/>
        </w:rPr>
      </w:pPr>
    </w:p>
    <w:p>
      <w:pPr>
        <w:autoSpaceDE w:val="0"/>
        <w:autoSpaceDN w:val="0"/>
        <w:adjustRightInd w:val="0"/>
        <w:snapToGrid w:val="0"/>
        <w:spacing w:line="240" w:lineRule="atLeast"/>
        <w:jc w:val="left"/>
        <w:rPr>
          <w:rFonts w:hint="eastAsia" w:ascii="宋体" w:hAnsi="宋体" w:cs="宋体"/>
          <w:kern w:val="0"/>
          <w:sz w:val="24"/>
          <w:lang w:val="en-GB"/>
        </w:rPr>
      </w:pPr>
      <w:bookmarkStart w:id="11" w:name="_GoBack"/>
      <w:bookmarkEnd w:id="11"/>
    </w:p>
    <w:p>
      <w:pPr>
        <w:spacing w:before="156" w:beforeLines="50" w:after="156" w:afterLines="50" w:line="360" w:lineRule="auto"/>
        <w:jc w:val="center"/>
        <w:rPr>
          <w:rFonts w:hint="eastAsia" w:ascii="宋体" w:hAnsi="宋体" w:cs="宋体"/>
          <w:b/>
          <w:sz w:val="44"/>
          <w:szCs w:val="44"/>
        </w:rPr>
      </w:pPr>
      <w:r>
        <w:rPr>
          <w:rFonts w:hint="eastAsia" w:ascii="宋体" w:hAnsi="宋体" w:cs="宋体"/>
          <w:b/>
          <w:sz w:val="44"/>
          <w:szCs w:val="44"/>
        </w:rPr>
        <w:t>第三部分  合同条款及格式</w:t>
      </w: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32"/>
          <w:szCs w:val="32"/>
        </w:rPr>
      </w:pPr>
      <w:r>
        <w:rPr>
          <w:rFonts w:hint="eastAsia" w:ascii="宋体" w:hAnsi="宋体" w:cs="宋体"/>
          <w:b/>
          <w:kern w:val="0"/>
          <w:sz w:val="32"/>
          <w:szCs w:val="32"/>
          <w:lang w:val="en-GB"/>
        </w:rPr>
        <w:t>中国人民解放军75560部队心理行为训练场器械采购</w:t>
      </w:r>
    </w:p>
    <w:p>
      <w:pPr>
        <w:spacing w:line="360" w:lineRule="auto"/>
        <w:jc w:val="center"/>
        <w:rPr>
          <w:rFonts w:hint="eastAsia" w:ascii="宋体" w:hAnsi="宋体" w:cs="宋体"/>
          <w:b/>
          <w:sz w:val="32"/>
          <w:szCs w:val="32"/>
        </w:rPr>
      </w:pPr>
      <w:r>
        <w:rPr>
          <w:rFonts w:hint="eastAsia" w:ascii="宋体" w:hAnsi="宋体" w:cs="宋体"/>
          <w:b/>
          <w:sz w:val="32"/>
          <w:szCs w:val="32"/>
        </w:rPr>
        <w:t>采购合同（仅供参考）</w:t>
      </w: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rPr>
          <w:rFonts w:hint="eastAsia"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GXJH2017-016    </w:t>
      </w:r>
    </w:p>
    <w:p>
      <w:pPr>
        <w:spacing w:line="360" w:lineRule="auto"/>
        <w:outlineLvl w:val="0"/>
        <w:rPr>
          <w:rFonts w:hint="eastAsia"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心理行为训练场器械采购 </w:t>
      </w:r>
    </w:p>
    <w:p>
      <w:pPr>
        <w:spacing w:line="360" w:lineRule="auto"/>
        <w:outlineLvl w:val="0"/>
        <w:rPr>
          <w:rFonts w:hint="eastAsia"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right="57"/>
        <w:jc w:val="center"/>
        <w:outlineLvl w:val="0"/>
        <w:rPr>
          <w:rFonts w:hint="eastAsia" w:ascii="宋体" w:hAnsi="宋体" w:cs="宋体"/>
          <w:b/>
          <w:bCs/>
          <w:sz w:val="28"/>
          <w:szCs w:val="28"/>
          <w:u w:val="single"/>
        </w:rPr>
      </w:pPr>
    </w:p>
    <w:p>
      <w:pPr>
        <w:spacing w:line="360" w:lineRule="auto"/>
        <w:ind w:right="57"/>
        <w:jc w:val="center"/>
        <w:outlineLvl w:val="0"/>
        <w:rPr>
          <w:rFonts w:hint="eastAsia" w:ascii="宋体" w:hAnsi="宋体" w:cs="宋体"/>
          <w:b/>
          <w:bCs/>
          <w:sz w:val="28"/>
          <w:szCs w:val="28"/>
          <w:u w:val="single"/>
        </w:rPr>
      </w:pPr>
    </w:p>
    <w:p>
      <w:pPr>
        <w:spacing w:line="360" w:lineRule="auto"/>
        <w:ind w:right="57"/>
        <w:jc w:val="center"/>
        <w:outlineLvl w:val="0"/>
        <w:rPr>
          <w:rFonts w:hint="eastAsia" w:ascii="宋体" w:hAnsi="宋体" w:cs="宋体"/>
          <w:b/>
          <w:bCs/>
          <w:sz w:val="28"/>
          <w:szCs w:val="28"/>
          <w:u w:val="single"/>
        </w:rPr>
      </w:pPr>
    </w:p>
    <w:p>
      <w:pPr>
        <w:spacing w:line="360" w:lineRule="auto"/>
        <w:ind w:right="57"/>
        <w:jc w:val="center"/>
        <w:outlineLvl w:val="0"/>
        <w:rPr>
          <w:rFonts w:hint="eastAsia" w:ascii="宋体" w:hAnsi="宋体" w:cs="宋体"/>
          <w:b/>
          <w:bCs/>
          <w:sz w:val="28"/>
          <w:szCs w:val="28"/>
          <w:u w:val="single"/>
        </w:rPr>
      </w:pPr>
    </w:p>
    <w:p>
      <w:pPr>
        <w:spacing w:line="360" w:lineRule="auto"/>
        <w:ind w:firstLine="1653" w:firstLineChars="588"/>
        <w:rPr>
          <w:rFonts w:hint="eastAsia"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bCs/>
          <w:sz w:val="28"/>
          <w:szCs w:val="28"/>
          <w:u w:val="single"/>
        </w:rPr>
        <w:t xml:space="preserve">   </w:t>
      </w:r>
      <w:r>
        <w:rPr>
          <w:rFonts w:hint="eastAsia" w:ascii="宋体" w:hAnsi="宋体" w:cs="宋体"/>
          <w:b/>
          <w:kern w:val="0"/>
          <w:sz w:val="28"/>
          <w:szCs w:val="28"/>
          <w:u w:val="single"/>
          <w:lang w:val="en-GB"/>
        </w:rPr>
        <w:t>中国人民解放军75560部队</w:t>
      </w:r>
      <w:r>
        <w:rPr>
          <w:rFonts w:hint="eastAsia" w:ascii="宋体" w:hAnsi="宋体" w:cs="宋体"/>
          <w:b/>
          <w:bCs/>
          <w:sz w:val="28"/>
          <w:szCs w:val="28"/>
          <w:u w:val="single"/>
        </w:rPr>
        <w:t xml:space="preserve">   </w:t>
      </w:r>
    </w:p>
    <w:p>
      <w:pPr>
        <w:spacing w:line="360" w:lineRule="auto"/>
        <w:ind w:firstLine="1653" w:firstLineChars="588"/>
        <w:rPr>
          <w:rFonts w:hint="eastAsia"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成交供应商          </w:t>
      </w:r>
    </w:p>
    <w:p>
      <w:pPr>
        <w:spacing w:line="360" w:lineRule="auto"/>
        <w:rPr>
          <w:rFonts w:hint="eastAsia" w:ascii="宋体" w:hAnsi="宋体" w:cs="宋体"/>
          <w:b/>
          <w:sz w:val="28"/>
          <w:szCs w:val="28"/>
        </w:rPr>
      </w:pPr>
    </w:p>
    <w:p>
      <w:pPr>
        <w:spacing w:line="360" w:lineRule="auto"/>
        <w:rPr>
          <w:rFonts w:hint="eastAsia" w:ascii="宋体" w:hAnsi="宋体" w:cs="宋体"/>
          <w:b/>
          <w:sz w:val="28"/>
          <w:szCs w:val="28"/>
        </w:rPr>
      </w:pPr>
    </w:p>
    <w:p>
      <w:pPr>
        <w:spacing w:line="360" w:lineRule="auto"/>
        <w:jc w:val="center"/>
        <w:rPr>
          <w:rFonts w:hint="eastAsia" w:ascii="宋体" w:hAnsi="宋体" w:cs="宋体"/>
          <w:b/>
          <w:sz w:val="28"/>
          <w:szCs w:val="28"/>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pacing w:line="240" w:lineRule="exact"/>
        <w:jc w:val="left"/>
        <w:rPr>
          <w:rFonts w:hint="eastAsia" w:ascii="宋体" w:hAnsi="宋体" w:cs="宋体"/>
          <w:b/>
          <w:sz w:val="24"/>
        </w:rPr>
      </w:pPr>
    </w:p>
    <w:p>
      <w:pPr>
        <w:spacing w:line="240" w:lineRule="exact"/>
        <w:jc w:val="left"/>
        <w:rPr>
          <w:rFonts w:hint="eastAsia" w:ascii="宋体" w:hAnsi="宋体" w:cs="宋体"/>
          <w:b/>
          <w:sz w:val="24"/>
        </w:rPr>
      </w:pPr>
    </w:p>
    <w:p>
      <w:pPr>
        <w:snapToGrid w:val="0"/>
        <w:spacing w:before="19" w:line="480" w:lineRule="auto"/>
        <w:rPr>
          <w:rFonts w:hint="eastAsia" w:ascii="宋体" w:hAnsi="宋体" w:cs="宋体"/>
          <w:bCs/>
          <w:sz w:val="24"/>
          <w:u w:val="single"/>
        </w:rPr>
      </w:pPr>
      <w:r>
        <w:rPr>
          <w:rFonts w:hint="eastAsia" w:ascii="宋体" w:hAnsi="宋体" w:cs="宋体"/>
          <w:sz w:val="24"/>
        </w:rPr>
        <w:t>甲方：</w:t>
      </w:r>
      <w:r>
        <w:rPr>
          <w:rFonts w:hint="eastAsia" w:ascii="宋体" w:hAnsi="宋体" w:cs="宋体"/>
          <w:b/>
          <w:sz w:val="24"/>
          <w:u w:val="single"/>
        </w:rPr>
        <w:t xml:space="preserve">    </w:t>
      </w:r>
      <w:r>
        <w:rPr>
          <w:rFonts w:hint="eastAsia" w:ascii="宋体" w:hAnsi="宋体" w:cs="宋体"/>
          <w:b/>
          <w:kern w:val="0"/>
          <w:sz w:val="24"/>
          <w:u w:val="single"/>
          <w:lang w:val="en-GB"/>
        </w:rPr>
        <w:t>中国人民解放军75560部队</w:t>
      </w:r>
      <w:r>
        <w:rPr>
          <w:rFonts w:hint="eastAsia" w:ascii="宋体" w:hAnsi="宋体" w:cs="宋体"/>
          <w:bCs/>
          <w:sz w:val="24"/>
          <w:u w:val="single"/>
        </w:rPr>
        <w:t xml:space="preserve">  </w:t>
      </w:r>
    </w:p>
    <w:p>
      <w:pPr>
        <w:snapToGrid w:val="0"/>
        <w:spacing w:line="480" w:lineRule="auto"/>
        <w:rPr>
          <w:rFonts w:hint="eastAsia"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成交供应商</w:t>
      </w:r>
      <w:r>
        <w:rPr>
          <w:rFonts w:hint="eastAsia" w:ascii="宋体" w:hAnsi="宋体" w:cs="宋体"/>
          <w:bCs/>
          <w:sz w:val="24"/>
          <w:u w:val="single"/>
        </w:rPr>
        <w:t xml:space="preserve">            </w:t>
      </w:r>
    </w:p>
    <w:p>
      <w:pPr>
        <w:snapToGrid w:val="0"/>
        <w:spacing w:line="440" w:lineRule="exact"/>
        <w:ind w:firstLine="480" w:firstLineChars="200"/>
        <w:rPr>
          <w:rFonts w:hint="eastAsia"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中国人民解放军75560部队心理行为训练场器械采购（项目编号：GXJH2017-016）</w:t>
      </w:r>
      <w:r>
        <w:rPr>
          <w:rFonts w:hint="eastAsia" w:ascii="宋体" w:hAnsi="宋体" w:cs="宋体"/>
          <w:sz w:val="24"/>
        </w:rPr>
        <w:t>竞争性谈判采购结果及谈判文件的要求，经协商一致，达成以下协议。</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一、合同标的及金额等（详见附件清单）</w:t>
      </w:r>
    </w:p>
    <w:tbl>
      <w:tblPr>
        <w:tblStyle w:val="16"/>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sz w:val="24"/>
              </w:rPr>
            </w:pPr>
            <w:r>
              <w:rPr>
                <w:rFonts w:hint="eastAsia" w:ascii="宋体" w:hAnsi="宋体" w:cs="宋体"/>
                <w:sz w:val="24"/>
              </w:rPr>
              <w:t>（大写）：</w:t>
            </w:r>
          </w:p>
        </w:tc>
      </w:tr>
    </w:tbl>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二、付款</w:t>
      </w:r>
    </w:p>
    <w:p>
      <w:pPr>
        <w:snapToGrid w:val="0"/>
        <w:spacing w:line="440" w:lineRule="exact"/>
        <w:ind w:firstLine="480" w:firstLineChars="200"/>
        <w:rPr>
          <w:rFonts w:hint="eastAsia"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hint="eastAsia"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hint="eastAsia"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三、交货</w:t>
      </w:r>
    </w:p>
    <w:p>
      <w:pPr>
        <w:snapToGrid w:val="0"/>
        <w:spacing w:line="440" w:lineRule="exact"/>
        <w:ind w:firstLine="480" w:firstLineChars="200"/>
        <w:rPr>
          <w:rFonts w:hint="eastAsia"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hint="eastAsia"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hint="eastAsia" w:ascii="宋体" w:hAnsi="宋体" w:cs="宋体"/>
          <w:sz w:val="24"/>
        </w:rPr>
      </w:pPr>
      <w:r>
        <w:rPr>
          <w:rFonts w:hint="eastAsia" w:ascii="宋体" w:hAnsi="宋体" w:cs="宋体"/>
          <w:sz w:val="24"/>
        </w:rPr>
        <w:t>3、交货期：接到甲方交货通知后，乙方应在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hint="eastAsia"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hint="eastAsia"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hint="eastAsia"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hint="eastAsia"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hint="eastAsia"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hint="eastAsia"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hint="eastAsia"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hint="eastAsia"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hint="eastAsia"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hint="eastAsia"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hint="eastAsia"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hint="eastAsia" w:ascii="宋体" w:hAnsi="宋体" w:cs="宋体"/>
          <w:sz w:val="24"/>
        </w:rPr>
      </w:pPr>
      <w:r>
        <w:rPr>
          <w:rFonts w:hint="eastAsia" w:ascii="宋体" w:hAnsi="宋体" w:cs="宋体"/>
          <w:sz w:val="24"/>
        </w:rPr>
        <w:t>2、提起诉讼。诉讼地点为采购人所在地。</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hint="eastAsia" w:ascii="宋体" w:hAnsi="宋体" w:cs="宋体"/>
          <w:sz w:val="24"/>
        </w:rPr>
      </w:pPr>
      <w:r>
        <w:rPr>
          <w:rFonts w:hint="eastAsia" w:ascii="宋体" w:hAnsi="宋体" w:cs="宋体"/>
          <w:sz w:val="24"/>
        </w:rPr>
        <w:t>本合同由甲乙双方签字盖章后生效。</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hint="eastAsia" w:ascii="宋体" w:hAnsi="宋体" w:cs="宋体"/>
          <w:b/>
          <w:sz w:val="24"/>
        </w:rPr>
      </w:pPr>
      <w:r>
        <w:rPr>
          <w:rFonts w:hint="eastAsia" w:ascii="宋体" w:hAnsi="宋体" w:cs="宋体"/>
          <w:sz w:val="24"/>
        </w:rPr>
        <w:t>采购代理机构应当在本合同上签章，以证明本合同条款与采购文件、响应文件的相关要求相符并且未对采购货物和技术参数进行实质性修改。</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hint="eastAsia"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hint="eastAsia" w:ascii="宋体" w:hAnsi="宋体" w:cs="宋体"/>
          <w:sz w:val="24"/>
        </w:rPr>
      </w:pPr>
      <w:r>
        <w:rPr>
          <w:rFonts w:hint="eastAsia" w:ascii="宋体" w:hAnsi="宋体" w:cs="宋体"/>
          <w:sz w:val="24"/>
        </w:rPr>
        <w:t>2、谈判文件、乙方的响应文件和评标时的澄清函（如有）；</w:t>
      </w:r>
    </w:p>
    <w:p>
      <w:pPr>
        <w:snapToGrid w:val="0"/>
        <w:spacing w:line="440" w:lineRule="exact"/>
        <w:ind w:firstLine="480" w:firstLineChars="200"/>
        <w:rPr>
          <w:rFonts w:hint="eastAsia" w:ascii="宋体" w:hAnsi="宋体" w:cs="宋体"/>
          <w:sz w:val="24"/>
        </w:rPr>
      </w:pPr>
      <w:r>
        <w:rPr>
          <w:rFonts w:hint="eastAsia" w:ascii="宋体" w:hAnsi="宋体" w:cs="宋体"/>
          <w:sz w:val="24"/>
        </w:rPr>
        <w:t>3、成交通知书；</w:t>
      </w:r>
    </w:p>
    <w:p>
      <w:pPr>
        <w:snapToGrid w:val="0"/>
        <w:spacing w:line="440" w:lineRule="exact"/>
        <w:ind w:firstLine="480" w:firstLineChars="200"/>
        <w:rPr>
          <w:rFonts w:hint="eastAsia"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上述合同文件内容互为补充，如有不明确，由甲方负责解释。</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由采购代理机构备案。</w:t>
      </w:r>
    </w:p>
    <w:p>
      <w:pPr>
        <w:snapToGrid w:val="0"/>
        <w:spacing w:before="156" w:beforeLines="50" w:after="156" w:afterLines="50" w:line="440" w:lineRule="exact"/>
        <w:rPr>
          <w:rFonts w:hint="eastAsia"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hint="eastAsia"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hint="eastAsia"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56" w:beforeLines="50" w:after="312" w:afterLines="100" w:line="440" w:lineRule="exact"/>
        <w:ind w:firstLine="480" w:firstLineChars="200"/>
        <w:rPr>
          <w:rFonts w:hint="eastAsia"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312" w:beforeLines="100" w:after="156" w:afterLines="50" w:line="440" w:lineRule="exact"/>
        <w:ind w:firstLine="482" w:firstLineChars="200"/>
        <w:rPr>
          <w:rFonts w:hint="eastAsia"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156" w:beforeLines="50" w:after="156" w:afterLines="50" w:line="440" w:lineRule="exact"/>
        <w:ind w:firstLine="480" w:firstLineChars="200"/>
        <w:rPr>
          <w:rFonts w:hint="eastAsia"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156" w:beforeLines="50" w:after="312" w:afterLines="100" w:line="440" w:lineRule="exact"/>
        <w:ind w:firstLine="480" w:firstLineChars="200"/>
        <w:rPr>
          <w:rFonts w:hint="eastAsia"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312" w:beforeLines="100" w:line="440" w:lineRule="exact"/>
        <w:ind w:firstLine="482" w:firstLineChars="200"/>
        <w:rPr>
          <w:rFonts w:hint="eastAsia" w:ascii="宋体" w:hAnsi="宋体" w:cs="宋体"/>
          <w:b/>
          <w:sz w:val="24"/>
        </w:rPr>
      </w:pPr>
      <w:r>
        <w:rPr>
          <w:rFonts w:hint="eastAsia" w:ascii="宋体" w:hAnsi="宋体" w:cs="宋体"/>
          <w:b/>
          <w:sz w:val="24"/>
        </w:rPr>
        <w:t>采购代理机构声明：本合同标的经广西嘉华建设项目管理咨询有限公司依法定程序采购，合同主要条款内容与招响应文件的内容一致。</w:t>
      </w:r>
    </w:p>
    <w:p>
      <w:pPr>
        <w:snapToGrid w:val="0"/>
        <w:spacing w:before="312" w:beforeLines="100" w:after="156" w:afterLines="50" w:line="440" w:lineRule="exact"/>
        <w:ind w:firstLine="482" w:firstLineChars="200"/>
        <w:rPr>
          <w:rFonts w:hint="eastAsia" w:ascii="宋体" w:hAnsi="宋体" w:cs="宋体"/>
          <w:bCs/>
          <w:sz w:val="24"/>
          <w:u w:val="single"/>
        </w:rPr>
      </w:pPr>
      <w:r>
        <w:rPr>
          <w:rFonts w:hint="eastAsia" w:ascii="宋体" w:hAnsi="宋体" w:cs="宋体"/>
          <w:b/>
          <w:sz w:val="24"/>
        </w:rPr>
        <w:t>采购代理机构：</w:t>
      </w:r>
      <w:r>
        <w:rPr>
          <w:rFonts w:hint="eastAsia" w:ascii="宋体" w:hAnsi="宋体" w:cs="宋体"/>
          <w:b/>
          <w:sz w:val="24"/>
          <w:u w:val="single"/>
        </w:rPr>
        <w:t xml:space="preserve">   广西嘉华建设项目管理咨询有限公司   </w:t>
      </w:r>
      <w:r>
        <w:rPr>
          <w:rFonts w:hint="eastAsia" w:ascii="宋体" w:hAnsi="宋体" w:cs="宋体"/>
          <w:bCs/>
          <w:sz w:val="24"/>
          <w:u w:val="single"/>
        </w:rPr>
        <w:t>（盖章）</w:t>
      </w:r>
    </w:p>
    <w:p>
      <w:pPr>
        <w:snapToGrid w:val="0"/>
        <w:spacing w:before="156" w:beforeLines="50" w:after="156" w:afterLines="50" w:line="440" w:lineRule="exact"/>
        <w:ind w:firstLine="480" w:firstLineChars="200"/>
        <w:rPr>
          <w:rFonts w:hint="eastAsia"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海口市蓝天路12-1号国机中洋公馆2号1102室</w:t>
      </w:r>
    </w:p>
    <w:p>
      <w:pPr>
        <w:snapToGrid w:val="0"/>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pacing w:before="156" w:beforeLines="50" w:after="156" w:afterLines="50" w:line="440" w:lineRule="exact"/>
        <w:ind w:firstLine="480" w:firstLineChars="200"/>
        <w:outlineLvl w:val="0"/>
        <w:rPr>
          <w:rFonts w:hint="eastAsia"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spacing w:before="156" w:beforeLines="50" w:after="156" w:afterLines="50" w:line="360" w:lineRule="auto"/>
        <w:jc w:val="center"/>
        <w:outlineLvl w:val="0"/>
        <w:rPr>
          <w:rFonts w:hint="eastAsia" w:ascii="宋体" w:hAnsi="宋体" w:cs="宋体"/>
          <w:b/>
          <w:sz w:val="44"/>
          <w:szCs w:val="44"/>
        </w:rPr>
      </w:pPr>
      <w:r>
        <w:rPr>
          <w:rFonts w:hint="eastAsia" w:ascii="宋体" w:hAnsi="宋体" w:cs="宋体"/>
          <w:b/>
          <w:sz w:val="44"/>
          <w:szCs w:val="44"/>
        </w:rPr>
        <w:t>第四部分  响应文件内容及格式</w:t>
      </w:r>
    </w:p>
    <w:p>
      <w:pPr>
        <w:snapToGrid w:val="0"/>
        <w:spacing w:line="440" w:lineRule="exact"/>
        <w:ind w:firstLine="480" w:firstLineChars="200"/>
        <w:rPr>
          <w:rFonts w:hint="eastAsia" w:ascii="宋体" w:hAnsi="宋体" w:cs="宋体"/>
          <w:sz w:val="24"/>
        </w:rPr>
      </w:pPr>
      <w:r>
        <w:rPr>
          <w:rFonts w:hint="eastAsia" w:ascii="宋体" w:hAnsi="宋体" w:cs="宋体"/>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hint="eastAsia" w:ascii="宋体" w:hAnsi="宋体" w:cs="宋体"/>
          <w:sz w:val="24"/>
        </w:rPr>
      </w:pPr>
      <w:r>
        <w:rPr>
          <w:rFonts w:hint="eastAsia" w:ascii="宋体" w:hAnsi="宋体" w:cs="宋体"/>
          <w:sz w:val="24"/>
        </w:rPr>
        <w:t>1、响应承诺函（表1）</w:t>
      </w:r>
    </w:p>
    <w:p>
      <w:pPr>
        <w:snapToGrid w:val="0"/>
        <w:spacing w:line="440" w:lineRule="exact"/>
        <w:ind w:firstLine="480" w:firstLineChars="200"/>
        <w:rPr>
          <w:rFonts w:hint="eastAsia"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hint="eastAsia"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hint="eastAsia" w:ascii="宋体" w:hAnsi="宋体" w:cs="宋体"/>
          <w:sz w:val="24"/>
        </w:rPr>
      </w:pPr>
      <w:r>
        <w:rPr>
          <w:rFonts w:hint="eastAsia" w:ascii="宋体" w:hAnsi="宋体" w:cs="宋体"/>
          <w:sz w:val="24"/>
        </w:rPr>
        <w:t>4、报价一览表（表4）</w:t>
      </w:r>
    </w:p>
    <w:p>
      <w:pPr>
        <w:snapToGrid w:val="0"/>
        <w:spacing w:line="440" w:lineRule="exact"/>
        <w:ind w:firstLine="480" w:firstLineChars="200"/>
        <w:rPr>
          <w:rFonts w:hint="eastAsia" w:ascii="宋体" w:hAnsi="宋体" w:cs="宋体"/>
          <w:sz w:val="24"/>
        </w:rPr>
      </w:pPr>
      <w:r>
        <w:rPr>
          <w:rFonts w:hint="eastAsia" w:ascii="宋体" w:hAnsi="宋体" w:cs="宋体"/>
          <w:sz w:val="24"/>
        </w:rPr>
        <w:t>5、报价明细表（表5）</w:t>
      </w:r>
    </w:p>
    <w:p>
      <w:pPr>
        <w:snapToGrid w:val="0"/>
        <w:spacing w:line="440" w:lineRule="exact"/>
        <w:ind w:firstLine="480" w:firstLineChars="200"/>
        <w:rPr>
          <w:rFonts w:hint="eastAsia" w:ascii="宋体" w:hAnsi="宋体" w:cs="宋体"/>
          <w:sz w:val="24"/>
        </w:rPr>
      </w:pPr>
      <w:r>
        <w:rPr>
          <w:rFonts w:hint="eastAsia" w:ascii="宋体" w:hAnsi="宋体" w:cs="宋体"/>
          <w:sz w:val="24"/>
        </w:rPr>
        <w:t>6、技术响应情况表（表6）</w:t>
      </w:r>
    </w:p>
    <w:p>
      <w:pPr>
        <w:snapToGrid w:val="0"/>
        <w:spacing w:line="440" w:lineRule="exact"/>
        <w:ind w:firstLine="480" w:firstLineChars="200"/>
        <w:rPr>
          <w:rFonts w:ascii="宋体" w:hAnsi="宋体" w:cs="宋体"/>
          <w:bCs/>
          <w:sz w:val="24"/>
        </w:rPr>
      </w:pPr>
      <w:r>
        <w:rPr>
          <w:rFonts w:hint="eastAsia" w:ascii="宋体" w:hAnsi="宋体" w:cs="宋体"/>
          <w:bCs/>
          <w:sz w:val="24"/>
        </w:rPr>
        <w:t>7、中小企业声明函 （表7,</w:t>
      </w:r>
      <w:r>
        <w:rPr>
          <w:rFonts w:hint="eastAsia" w:ascii="宋体" w:hAnsi="宋体" w:cs="宋体"/>
          <w:sz w:val="24"/>
        </w:rPr>
        <w:t xml:space="preserve"> 非中小企业无需提供</w:t>
      </w:r>
      <w:r>
        <w:rPr>
          <w:rFonts w:hint="eastAsia" w:ascii="宋体" w:hAnsi="宋体" w:cs="宋体"/>
          <w:bCs/>
          <w:sz w:val="24"/>
        </w:rPr>
        <w:t>）</w:t>
      </w:r>
    </w:p>
    <w:p>
      <w:pPr>
        <w:snapToGrid w:val="0"/>
        <w:spacing w:line="440" w:lineRule="exact"/>
        <w:ind w:firstLine="480" w:firstLineChars="200"/>
        <w:rPr>
          <w:rFonts w:hint="eastAsia" w:ascii="宋体" w:hAnsi="宋体" w:cs="宋体"/>
          <w:sz w:val="24"/>
        </w:rPr>
      </w:pPr>
      <w:r>
        <w:rPr>
          <w:rFonts w:hint="eastAsia" w:ascii="宋体" w:hAnsi="宋体" w:cs="宋体"/>
          <w:sz w:val="24"/>
        </w:rPr>
        <w:t>8、售后服务承诺（包括实施方案、服务承诺、培训等）</w:t>
      </w:r>
    </w:p>
    <w:p>
      <w:pPr>
        <w:snapToGrid w:val="0"/>
        <w:spacing w:line="440" w:lineRule="exact"/>
        <w:ind w:firstLine="480" w:firstLineChars="200"/>
        <w:rPr>
          <w:rFonts w:hint="eastAsia" w:ascii="宋体" w:hAnsi="宋体" w:cs="宋体"/>
          <w:sz w:val="24"/>
        </w:rPr>
      </w:pPr>
      <w:r>
        <w:rPr>
          <w:rFonts w:hint="eastAsia" w:ascii="宋体" w:hAnsi="宋体" w:cs="宋体"/>
          <w:sz w:val="24"/>
        </w:rPr>
        <w:t>9、营业执照副本、组织机构代码证副本、税务登记证副本及相关资质证复印件</w:t>
      </w:r>
    </w:p>
    <w:p>
      <w:pPr>
        <w:snapToGrid w:val="0"/>
        <w:spacing w:line="440" w:lineRule="exact"/>
        <w:ind w:firstLine="480" w:firstLineChars="200"/>
        <w:rPr>
          <w:rFonts w:hint="eastAsia" w:ascii="宋体" w:hAnsi="宋体" w:cs="宋体"/>
          <w:sz w:val="24"/>
        </w:rPr>
      </w:pPr>
      <w:r>
        <w:rPr>
          <w:rFonts w:hint="eastAsia" w:ascii="宋体" w:hAnsi="宋体" w:cs="宋体"/>
          <w:sz w:val="24"/>
        </w:rPr>
        <w:t>10、供应商简介</w:t>
      </w:r>
    </w:p>
    <w:p>
      <w:pPr>
        <w:snapToGrid w:val="0"/>
        <w:spacing w:line="440" w:lineRule="exact"/>
        <w:ind w:firstLine="480" w:firstLineChars="200"/>
        <w:rPr>
          <w:rFonts w:hint="eastAsia" w:ascii="宋体" w:hAnsi="宋体" w:cs="宋体"/>
          <w:sz w:val="24"/>
        </w:rPr>
      </w:pPr>
      <w:r>
        <w:rPr>
          <w:rFonts w:hint="eastAsia" w:ascii="宋体" w:hAnsi="宋体" w:cs="宋体"/>
          <w:sz w:val="24"/>
        </w:rPr>
        <w:t>11、供应商认为需要的其它材料(如投标保证金等)</w:t>
      </w:r>
    </w:p>
    <w:p>
      <w:pPr>
        <w:snapToGrid w:val="0"/>
        <w:spacing w:line="440" w:lineRule="exact"/>
        <w:ind w:firstLine="480" w:firstLineChars="200"/>
        <w:rPr>
          <w:rFonts w:hint="eastAsia" w:ascii="宋体" w:hAnsi="宋体" w:cs="宋体"/>
          <w:sz w:val="24"/>
        </w:rPr>
      </w:pPr>
    </w:p>
    <w:p>
      <w:pPr>
        <w:snapToGrid w:val="0"/>
        <w:spacing w:line="440" w:lineRule="exact"/>
        <w:ind w:firstLine="480" w:firstLineChars="200"/>
        <w:rPr>
          <w:rFonts w:hint="eastAsia" w:ascii="宋体" w:hAnsi="宋体" w:cs="宋体"/>
          <w:sz w:val="24"/>
        </w:rPr>
      </w:pPr>
    </w:p>
    <w:p>
      <w:pPr>
        <w:spacing w:line="440" w:lineRule="exact"/>
        <w:jc w:val="center"/>
        <w:rPr>
          <w:rFonts w:hint="eastAsia" w:ascii="宋体" w:hAnsi="宋体" w:cs="宋体"/>
          <w:b/>
          <w:bCs/>
          <w:sz w:val="24"/>
        </w:rPr>
      </w:pPr>
      <w:r>
        <w:rPr>
          <w:rFonts w:hint="eastAsia" w:ascii="宋体" w:hAnsi="宋体" w:cs="宋体"/>
          <w:b/>
          <w:bCs/>
          <w:sz w:val="24"/>
        </w:rPr>
        <w:t>注：以上复印件均需要加盖公章。</w:t>
      </w: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outlineLvl w:val="1"/>
        <w:rPr>
          <w:rFonts w:hint="eastAsia" w:ascii="宋体" w:hAnsi="宋体" w:cs="宋体"/>
          <w:b/>
          <w:sz w:val="24"/>
          <w:lang w:val="en-GB"/>
        </w:rPr>
      </w:pPr>
      <w:r>
        <w:rPr>
          <w:rFonts w:hint="eastAsia" w:ascii="宋体" w:hAnsi="宋体" w:cs="宋体"/>
          <w:b/>
          <w:bCs/>
          <w:sz w:val="24"/>
        </w:rPr>
        <w:t>（表1）</w:t>
      </w:r>
    </w:p>
    <w:p>
      <w:pPr>
        <w:spacing w:line="440" w:lineRule="exact"/>
        <w:jc w:val="center"/>
        <w:outlineLvl w:val="1"/>
        <w:rPr>
          <w:rFonts w:hint="eastAsia"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响应承诺函</w:t>
      </w:r>
    </w:p>
    <w:p>
      <w:pPr>
        <w:spacing w:before="156" w:beforeLines="50" w:line="440" w:lineRule="exact"/>
        <w:rPr>
          <w:rFonts w:hint="eastAsia" w:ascii="宋体" w:hAnsi="宋体" w:cs="宋体"/>
          <w:b/>
          <w:bCs/>
          <w:sz w:val="24"/>
          <w:lang w:val="en-GB"/>
        </w:rPr>
      </w:pPr>
      <w:r>
        <w:rPr>
          <w:rFonts w:hint="eastAsia" w:ascii="宋体" w:hAnsi="宋体" w:cs="宋体"/>
          <w:b/>
          <w:bCs/>
          <w:sz w:val="24"/>
          <w:lang w:val="en-GB"/>
        </w:rPr>
        <w:t>致：广西嘉华建设项目管理咨询有限公司</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心理行为训练场器械采购（</w:t>
      </w:r>
      <w:r>
        <w:rPr>
          <w:rFonts w:hint="eastAsia" w:ascii="宋体" w:hAnsi="宋体" w:cs="宋体"/>
          <w:b/>
          <w:bCs/>
          <w:sz w:val="24"/>
          <w:u w:val="single"/>
          <w:lang w:val="en-GB"/>
        </w:rPr>
        <w:t>项目编号：</w:t>
      </w:r>
      <w:r>
        <w:rPr>
          <w:rFonts w:hint="eastAsia" w:ascii="宋体" w:hAnsi="宋体" w:cs="宋体"/>
          <w:b/>
          <w:bCs/>
          <w:sz w:val="24"/>
          <w:u w:val="single"/>
        </w:rPr>
        <w:t>GXJH2017-016）</w:t>
      </w:r>
      <w:r>
        <w:rPr>
          <w:rFonts w:hint="eastAsia" w:ascii="宋体" w:hAnsi="宋体" w:cs="宋体"/>
          <w:sz w:val="24"/>
          <w:lang w:val="en-GB"/>
        </w:rPr>
        <w:t>的谈判邀请函，正式授权下述签字人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代表供应商</w:t>
      </w:r>
      <w:r>
        <w:rPr>
          <w:rFonts w:hint="eastAsia" w:ascii="宋体" w:hAnsi="宋体" w:cs="宋体"/>
          <w:b/>
          <w:bCs/>
          <w:sz w:val="24"/>
          <w:u w:val="single"/>
          <w:lang w:val="en-GB"/>
        </w:rPr>
        <w:t>（供应商名称）</w:t>
      </w:r>
      <w:r>
        <w:rPr>
          <w:rFonts w:hint="eastAsia" w:ascii="宋体" w:hAnsi="宋体" w:cs="宋体"/>
          <w:sz w:val="24"/>
          <w:lang w:val="en-GB"/>
        </w:rPr>
        <w:t>，提交纸质响应文件正本一式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二份</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 xml:space="preserve">1、同意并接受谈判文件的各项条款要求，遵守文件中的各项规定，按谈判文件的要求响应。 </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本响应文件的有效期为从递交响应文件截止日期起计算的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天，在此期间，本响应文件将始终对我们具有约束力，并可随时被接受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。如果我们成交，本响应文件在此期间之后将继续保持有效。</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3、我方已经详细地阅读了全部谈判文件及其附件，包括澄清及参考文件。我方已完全清晰理解谈判文件的要求，不存在任何含糊不清和误解之处，同意放弃对这些文件所提出的异议和质疑的权利。</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6、我方完全服从和尊重谈判小组所作的评审结果，同时清楚理解到响应报价最低并不一定获得成交资格。</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7、我方同意按谈判文件规定向贵司缴纳谈判保证金，</w:t>
      </w:r>
      <w:r>
        <w:rPr>
          <w:rFonts w:hint="eastAsia" w:ascii="宋体" w:hAnsi="宋体" w:cs="宋体"/>
          <w:bCs/>
          <w:kern w:val="0"/>
          <w:sz w:val="24"/>
          <w:lang w:val="en-GB"/>
        </w:rPr>
        <w:t>如果获得成交并按《成交通知书》的要求，</w:t>
      </w:r>
      <w:r>
        <w:rPr>
          <w:rFonts w:hint="eastAsia" w:ascii="宋体" w:hAnsi="宋体" w:cs="宋体"/>
          <w:sz w:val="24"/>
          <w:lang w:val="en-GB"/>
        </w:rPr>
        <w:t>如期签订合同并履行其一切责任和义务。</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8、我方在参与本次竞争性谈判采购活动中，不以任何不当手段影响、串通、排斥有关当事人或谋取、施予非法利益，如有不当行为，愿承担此行为所造成的不利后果和法律责任。</w:t>
      </w:r>
    </w:p>
    <w:p>
      <w:pPr>
        <w:spacing w:before="312" w:beforeLines="100" w:after="312" w:afterLines="100" w:line="360" w:lineRule="auto"/>
        <w:rPr>
          <w:rFonts w:hint="eastAsia" w:ascii="宋体" w:hAnsi="宋体" w:cs="宋体"/>
          <w:bCs/>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312" w:beforeLines="100" w:after="312" w:afterLines="100" w:line="360" w:lineRule="auto"/>
        <w:rPr>
          <w:rFonts w:hint="eastAsia"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312" w:beforeLines="100" w:after="312" w:afterLines="100" w:line="360" w:lineRule="auto"/>
        <w:rPr>
          <w:rFonts w:hint="eastAsia"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rPr>
          <w:rFonts w:hint="eastAsia" w:ascii="宋体" w:hAnsi="宋体" w:cs="宋体"/>
          <w:b/>
          <w:sz w:val="24"/>
          <w:lang w:val="en-GB"/>
        </w:rPr>
      </w:pPr>
      <w:r>
        <w:rPr>
          <w:rFonts w:hint="eastAsia" w:ascii="宋体" w:hAnsi="宋体" w:cs="宋体"/>
          <w:b/>
          <w:bCs/>
          <w:sz w:val="24"/>
        </w:rPr>
        <w:t>（表2）</w:t>
      </w:r>
    </w:p>
    <w:p>
      <w:pPr>
        <w:spacing w:line="440" w:lineRule="exact"/>
        <w:jc w:val="center"/>
        <w:rPr>
          <w:rFonts w:hint="eastAsia"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致：广西嘉华建设项目管理咨询有限公司</w:t>
      </w:r>
    </w:p>
    <w:p>
      <w:pPr>
        <w:spacing w:line="440" w:lineRule="exact"/>
        <w:ind w:firstLine="482" w:firstLineChars="200"/>
        <w:rPr>
          <w:rFonts w:hint="eastAsia"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中国人民解放军75560部队</w:t>
      </w:r>
      <w:r>
        <w:rPr>
          <w:rFonts w:hint="eastAsia" w:ascii="宋体" w:hAnsi="宋体" w:cs="宋体"/>
          <w:sz w:val="24"/>
          <w:lang w:val="zh-CN"/>
        </w:rPr>
        <w:t>的</w:t>
      </w:r>
      <w:r>
        <w:rPr>
          <w:rFonts w:hint="eastAsia" w:ascii="宋体" w:hAnsi="宋体" w:cs="宋体"/>
          <w:b/>
          <w:bCs/>
          <w:sz w:val="24"/>
          <w:u w:val="single"/>
          <w:lang w:val="zh-CN"/>
        </w:rPr>
        <w:t>心理行为训练场器械采购（项目编号：</w:t>
      </w:r>
      <w:r>
        <w:rPr>
          <w:rFonts w:hint="eastAsia" w:ascii="宋体" w:hAnsi="宋体" w:cs="宋体"/>
          <w:b/>
          <w:bCs/>
          <w:sz w:val="24"/>
          <w:u w:val="single"/>
        </w:rPr>
        <w:t>GXJH2017-016</w:t>
      </w:r>
      <w:r>
        <w:rPr>
          <w:rFonts w:hint="eastAsia" w:ascii="宋体" w:hAnsi="宋体" w:cs="宋体"/>
          <w:b/>
          <w:bCs/>
          <w:sz w:val="24"/>
          <w:u w:val="single"/>
          <w:lang w:val="zh-CN"/>
        </w:rPr>
        <w:t>）</w:t>
      </w:r>
      <w:r>
        <w:rPr>
          <w:rFonts w:hint="eastAsia" w:ascii="宋体" w:hAnsi="宋体" w:cs="宋体"/>
          <w:sz w:val="24"/>
          <w:lang w:val="zh-CN"/>
        </w:rPr>
        <w:t>进行响应，以本公司的名义处理一切与之相关的事务</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（签名或签章）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（签名或签章）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mc:AlternateContent>
          <mc:Choice Requires="wps">
            <w:drawing>
              <wp:anchor distT="0" distB="0" distL="114300" distR="114300" simplePos="0" relativeHeight="251658240" behindDoc="0" locked="0" layoutInCell="1" allowOverlap="1">
                <wp:simplePos x="0" y="0"/>
                <wp:positionH relativeFrom="column">
                  <wp:posOffset>2990215</wp:posOffset>
                </wp:positionH>
                <wp:positionV relativeFrom="paragraph">
                  <wp:posOffset>137795</wp:posOffset>
                </wp:positionV>
                <wp:extent cx="3090545" cy="2006600"/>
                <wp:effectExtent l="0" t="0" r="0" b="0"/>
                <wp:wrapNone/>
                <wp:docPr id="6" name="Rectangle 2"/>
                <wp:cNvGraphicFramePr/>
                <a:graphic xmlns:a="http://schemas.openxmlformats.org/drawingml/2006/main">
                  <a:graphicData uri="http://schemas.microsoft.com/office/word/2010/wordprocessingShape">
                    <wps:wsp>
                      <wps:cNvSpPr/>
                      <wps:spPr bwMode="auto">
                        <a:xfrm>
                          <a:off x="0" y="0"/>
                          <a:ext cx="3090545" cy="2006600"/>
                        </a:xfrm>
                        <a:prstGeom prst="rect">
                          <a:avLst/>
                        </a:prstGeom>
                        <a:solidFill>
                          <a:srgbClr val="FFFFFF"/>
                        </a:solidFill>
                        <a:ln w="9525">
                          <a:solidFill>
                            <a:srgbClr val="000000"/>
                          </a:solidFill>
                          <a:miter lim="800000"/>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35.45pt;margin-top:10.85pt;height:158pt;width:243.35pt;z-index:251658240;mso-width-relative:page;mso-height-relative:page;" fillcolor="#FFFFFF" filled="t" stroked="t"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TQ+C2QAAAAoBAAAPAAAAAAAAAAEAIAAAACIAAABkcnMvZG93bnJldi54&#10;bWxQSwECFAAUAAAACACHTuJAAI5zDPkBAAAABAAADgAAAAAAAAABACAAAAAoAQAAZHJzL2Uyb0Rv&#10;Yy54bWxQSwUGAAAAAAYABgBZAQAAkwUAAAAA&#10;">
                <v:fill on="t" focussize="0,0"/>
                <v:stroke color="#000000" miterlimit="8"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（正反两面）</w:t>
                      </w:r>
                    </w:p>
                  </w:txbxContent>
                </v:textbox>
              </v:rect>
            </w:pict>
          </mc:Fallback>
        </mc:AlternateContent>
      </w:r>
      <w:r>
        <w:rPr>
          <w:rFonts w:hint="eastAsia" w:ascii="宋体" w:hAnsi="宋体" w:cs="宋体"/>
          <w:sz w:val="24"/>
          <w:lang w:val="en-GB"/>
        </w:rPr>
        <mc:AlternateContent>
          <mc:Choice Requires="wps">
            <w:drawing>
              <wp:anchor distT="0" distB="0" distL="114300" distR="114300" simplePos="0" relativeHeight="251657216" behindDoc="0" locked="0" layoutInCell="1" allowOverlap="1">
                <wp:simplePos x="0" y="0"/>
                <wp:positionH relativeFrom="column">
                  <wp:posOffset>-355600</wp:posOffset>
                </wp:positionH>
                <wp:positionV relativeFrom="paragraph">
                  <wp:posOffset>146685</wp:posOffset>
                </wp:positionV>
                <wp:extent cx="3138170" cy="2000250"/>
                <wp:effectExtent l="0" t="0" r="5080" b="0"/>
                <wp:wrapNone/>
                <wp:docPr id="5" name="Rectangle 3"/>
                <wp:cNvGraphicFramePr/>
                <a:graphic xmlns:a="http://schemas.openxmlformats.org/drawingml/2006/main">
                  <a:graphicData uri="http://schemas.microsoft.com/office/word/2010/wordprocessingShape">
                    <wps:wsp>
                      <wps:cNvSpPr/>
                      <wps:spPr bwMode="auto">
                        <a:xfrm>
                          <a:off x="0" y="0"/>
                          <a:ext cx="3138170" cy="2000250"/>
                        </a:xfrm>
                        <a:prstGeom prst="rect">
                          <a:avLst/>
                        </a:prstGeom>
                        <a:solidFill>
                          <a:srgbClr val="FFFFFF"/>
                        </a:solidFill>
                        <a:ln w="9525">
                          <a:solidFill>
                            <a:srgbClr val="000000"/>
                          </a:solidFill>
                          <a:miter lim="800000"/>
                        </a:ln>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8pt;margin-top:11.55pt;height:157.5pt;width:247.1pt;z-index:251657216;mso-width-relative:page;mso-height-relative:page;" fillcolor="#FFFFFF" filled="t" stroked="t"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S3c1bZAAAACgEAAA8AAAAAAAAAAQAgAAAAIgAAAGRycy9kb3ducmV2&#10;LnhtbFBLAQIUABQAAAAIAIdO4kA8sLQy+wEAAAAEAAAOAAAAAAAAAAEAIAAAACgBAABkcnMvZTJv&#10;RG9jLnhtbFBLBQYAAAAABgAGAFkBAACVBQAAAAA=&#10;">
                <v:fill on="t" focussize="0,0"/>
                <v:stroke color="#000000" miterlimit="8"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（正反两面）</w:t>
                      </w:r>
                    </w:p>
                  </w:txbxContent>
                </v:textbox>
              </v:rect>
            </w:pict>
          </mc:Fallback>
        </mc:AlternateContent>
      </w: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jc w:val="center"/>
        <w:rPr>
          <w:rFonts w:hint="eastAsia" w:ascii="宋体" w:hAnsi="宋体" w:cs="宋体"/>
          <w:b/>
          <w:bCs/>
          <w:sz w:val="24"/>
          <w:lang w:val="en-GB"/>
        </w:rPr>
      </w:pPr>
    </w:p>
    <w:p>
      <w:pPr>
        <w:spacing w:line="440" w:lineRule="exact"/>
        <w:jc w:val="center"/>
        <w:rPr>
          <w:rFonts w:hint="eastAsia" w:ascii="宋体" w:hAnsi="宋体" w:cs="宋体"/>
          <w:b/>
          <w:bCs/>
          <w:sz w:val="24"/>
          <w:lang w:val="en-GB"/>
        </w:rPr>
      </w:pPr>
    </w:p>
    <w:p>
      <w:pPr>
        <w:spacing w:line="440" w:lineRule="exact"/>
        <w:jc w:val="center"/>
        <w:rPr>
          <w:rFonts w:hint="eastAsia" w:ascii="宋体" w:hAnsi="宋体" w:cs="宋体"/>
          <w:b/>
          <w:bCs/>
          <w:sz w:val="24"/>
          <w:lang w:val="en-GB"/>
        </w:rPr>
      </w:pPr>
      <w:r>
        <w:rPr>
          <w:rFonts w:hint="eastAsia" w:ascii="宋体" w:hAnsi="宋体" w:cs="宋体"/>
          <w:b/>
          <w:bCs/>
          <w:sz w:val="24"/>
          <w:lang w:val="en-GB"/>
        </w:rPr>
        <w:t>注：本授权书内容不得擅自修改。</w:t>
      </w:r>
    </w:p>
    <w:p>
      <w:pPr>
        <w:spacing w:line="440" w:lineRule="exact"/>
        <w:jc w:val="center"/>
        <w:rPr>
          <w:rFonts w:hint="eastAsia" w:ascii="宋体" w:hAnsi="宋体" w:cs="宋体"/>
          <w:b/>
          <w:bCs/>
          <w:sz w:val="24"/>
          <w:lang w:val="en-GB"/>
        </w:rPr>
      </w:pPr>
    </w:p>
    <w:p>
      <w:pPr>
        <w:spacing w:line="440" w:lineRule="exact"/>
        <w:rPr>
          <w:rFonts w:hint="eastAsia" w:ascii="宋体" w:hAnsi="宋体" w:cs="宋体"/>
          <w:sz w:val="24"/>
        </w:rPr>
      </w:pPr>
      <w:r>
        <w:rPr>
          <w:rFonts w:hint="eastAsia" w:ascii="宋体" w:hAnsi="宋体" w:cs="宋体"/>
          <w:b/>
          <w:bCs/>
          <w:sz w:val="24"/>
        </w:rPr>
        <w:t>（表3）</w:t>
      </w:r>
    </w:p>
    <w:p>
      <w:pPr>
        <w:spacing w:line="440" w:lineRule="exact"/>
        <w:jc w:val="center"/>
        <w:rPr>
          <w:rFonts w:hint="eastAsia" w:ascii="宋体" w:hAnsi="宋体" w:cs="宋体"/>
          <w:b/>
          <w:sz w:val="30"/>
          <w:szCs w:val="30"/>
          <w:lang w:val="en-GB"/>
        </w:rPr>
      </w:pPr>
      <w:r>
        <w:rPr>
          <w:rFonts w:hint="eastAsia" w:ascii="宋体" w:hAnsi="宋体" w:cs="宋体"/>
          <w:b/>
          <w:sz w:val="30"/>
          <w:szCs w:val="30"/>
          <w:lang w:val="en-GB"/>
        </w:rPr>
        <w:t>1.3</w:t>
      </w:r>
      <w:r>
        <w:rPr>
          <w:rFonts w:hint="eastAsia" w:ascii="宋体" w:hAnsi="宋体" w:cs="宋体"/>
          <w:b/>
          <w:sz w:val="30"/>
          <w:szCs w:val="30"/>
        </w:rPr>
        <w:t xml:space="preserve"> </w:t>
      </w:r>
      <w:r>
        <w:rPr>
          <w:rFonts w:hint="eastAsia" w:ascii="宋体" w:hAnsi="宋体" w:cs="宋体"/>
          <w:b/>
          <w:sz w:val="30"/>
          <w:szCs w:val="30"/>
          <w:lang w:val="en-GB"/>
        </w:rPr>
        <w:t>资格申明信</w:t>
      </w:r>
    </w:p>
    <w:p>
      <w:pPr>
        <w:snapToGrid w:val="0"/>
        <w:spacing w:before="156" w:beforeLines="50" w:line="440" w:lineRule="exact"/>
        <w:rPr>
          <w:rFonts w:hint="eastAsia" w:ascii="宋体" w:hAnsi="宋体" w:cs="宋体"/>
          <w:b/>
          <w:kern w:val="0"/>
          <w:sz w:val="24"/>
          <w:lang w:val="en-GB"/>
        </w:rPr>
      </w:pPr>
      <w:r>
        <w:rPr>
          <w:rFonts w:hint="eastAsia" w:ascii="宋体" w:hAnsi="宋体" w:cs="宋体"/>
          <w:b/>
          <w:kern w:val="0"/>
          <w:sz w:val="24"/>
          <w:lang w:val="en-GB"/>
        </w:rPr>
        <w:t>致：广西嘉华建设项目管理咨询有限公司</w:t>
      </w:r>
    </w:p>
    <w:p>
      <w:pPr>
        <w:spacing w:line="440" w:lineRule="exact"/>
        <w:ind w:firstLine="576"/>
        <w:rPr>
          <w:rFonts w:hint="eastAsia"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心理行为训练场器械采购（项目编号：</w:t>
      </w:r>
      <w:r>
        <w:rPr>
          <w:rFonts w:hint="eastAsia" w:ascii="宋体" w:hAnsi="宋体" w:cs="宋体"/>
          <w:b/>
          <w:bCs/>
          <w:kern w:val="0"/>
          <w:sz w:val="24"/>
          <w:u w:val="single"/>
        </w:rPr>
        <w:t>GXJH2017-016</w:t>
      </w:r>
      <w:r>
        <w:rPr>
          <w:rFonts w:hint="eastAsia" w:ascii="宋体" w:hAnsi="宋体" w:cs="宋体"/>
          <w:b/>
          <w:bCs/>
          <w:sz w:val="24"/>
          <w:u w:val="single"/>
        </w:rPr>
        <w:t>）</w:t>
      </w:r>
      <w:r>
        <w:rPr>
          <w:rFonts w:hint="eastAsia" w:ascii="宋体" w:hAnsi="宋体"/>
          <w:sz w:val="24"/>
        </w:rPr>
        <w:t>货物及服务的谈判</w:t>
      </w:r>
      <w:r>
        <w:rPr>
          <w:rFonts w:hint="eastAsia" w:ascii="宋体" w:hAnsi="宋体" w:cs="宋体"/>
          <w:sz w:val="24"/>
        </w:rPr>
        <w:t>采购活动</w:t>
      </w:r>
      <w:r>
        <w:rPr>
          <w:rFonts w:hint="eastAsia" w:ascii="宋体" w:hAnsi="宋体"/>
          <w:sz w:val="24"/>
        </w:rPr>
        <w:t>，我公司愿意参与响应。</w:t>
      </w:r>
    </w:p>
    <w:p>
      <w:pPr>
        <w:spacing w:line="440" w:lineRule="exact"/>
        <w:ind w:firstLine="576"/>
        <w:rPr>
          <w:rFonts w:hint="eastAsia" w:ascii="宋体" w:hAnsi="宋体"/>
          <w:sz w:val="24"/>
        </w:rPr>
      </w:pPr>
      <w:r>
        <w:rPr>
          <w:rFonts w:hint="eastAsia" w:ascii="宋体" w:hAnsi="宋体"/>
          <w:sz w:val="24"/>
        </w:rPr>
        <w:t>我公司在法律、财务和运作上符合谈判文件对供应商的资格要求，提供“用户需求书”中全部的货物及相关服务，提交的所有文件和全部说明是真实的和正确的。</w:t>
      </w:r>
    </w:p>
    <w:p>
      <w:pPr>
        <w:spacing w:line="440" w:lineRule="exact"/>
        <w:ind w:firstLine="576"/>
        <w:rPr>
          <w:rFonts w:hint="eastAsia"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hint="eastAsia"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adjustRightInd w:val="0"/>
        <w:snapToGrid w:val="0"/>
        <w:spacing w:line="720" w:lineRule="auto"/>
        <w:ind w:right="210" w:rightChars="100"/>
        <w:jc w:val="right"/>
        <w:rPr>
          <w:rFonts w:hint="eastAsia"/>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sz w:val="24"/>
        </w:rPr>
      </w:pPr>
      <w:r>
        <w:rPr>
          <w:rFonts w:hint="eastAsia" w:ascii="宋体" w:hAnsi="宋体" w:cs="宋体"/>
          <w:b/>
          <w:bCs/>
          <w:sz w:val="24"/>
        </w:rPr>
        <w:t>（表4）</w:t>
      </w:r>
    </w:p>
    <w:p>
      <w:pPr>
        <w:spacing w:line="440" w:lineRule="exact"/>
        <w:jc w:val="center"/>
        <w:rPr>
          <w:rFonts w:hint="eastAsia" w:ascii="宋体" w:hAnsi="宋体" w:cs="宋体"/>
          <w:b/>
          <w:sz w:val="30"/>
          <w:szCs w:val="30"/>
        </w:rPr>
      </w:pPr>
      <w:r>
        <w:rPr>
          <w:rFonts w:hint="eastAsia" w:ascii="宋体" w:hAnsi="宋体" w:cs="宋体"/>
          <w:b/>
          <w:bCs/>
          <w:sz w:val="30"/>
          <w:szCs w:val="30"/>
        </w:rPr>
        <w:t xml:space="preserve">1.4 </w:t>
      </w:r>
      <w:r>
        <w:rPr>
          <w:rFonts w:hint="eastAsia" w:ascii="宋体" w:hAnsi="宋体" w:cs="宋体"/>
          <w:b/>
          <w:sz w:val="30"/>
          <w:szCs w:val="30"/>
        </w:rPr>
        <w:t>报价一览表</w:t>
      </w:r>
    </w:p>
    <w:p>
      <w:pPr>
        <w:spacing w:after="156" w:afterLines="50" w:line="440" w:lineRule="exact"/>
        <w:jc w:val="center"/>
        <w:rPr>
          <w:rFonts w:hint="eastAsia" w:ascii="宋体" w:hAnsi="宋体" w:cs="宋体"/>
          <w:sz w:val="24"/>
        </w:rPr>
      </w:pPr>
      <w:r>
        <w:rPr>
          <w:rFonts w:hint="eastAsia" w:ascii="宋体" w:hAnsi="宋体" w:cs="宋体"/>
          <w:sz w:val="24"/>
        </w:rPr>
        <w:t>（独立信封另密封一份）</w:t>
      </w:r>
    </w:p>
    <w:tbl>
      <w:tblPr>
        <w:tblStyle w:val="16"/>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项目名称</w:t>
            </w:r>
          </w:p>
        </w:tc>
        <w:tc>
          <w:tcPr>
            <w:tcW w:w="7036" w:type="dxa"/>
          </w:tcPr>
          <w:p>
            <w:pPr>
              <w:spacing w:before="156" w:beforeLines="50" w:after="156" w:afterLines="50" w:line="440" w:lineRule="exact"/>
              <w:jc w:val="center"/>
              <w:rPr>
                <w:rFonts w:hint="eastAsia" w:ascii="宋体" w:hAnsi="宋体" w:cs="宋体"/>
                <w:b/>
                <w:bCs/>
                <w:sz w:val="24"/>
                <w:lang w:val="en-GB"/>
              </w:rPr>
            </w:pPr>
            <w:r>
              <w:rPr>
                <w:rFonts w:hint="eastAsia" w:ascii="宋体" w:hAnsi="宋体" w:cs="宋体"/>
                <w:b/>
                <w:bCs/>
                <w:sz w:val="24"/>
                <w:lang w:val="en-GB"/>
              </w:rPr>
              <w:t>心理行为训练场器械采购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hint="eastAsia" w:ascii="宋体" w:hAnsi="宋体" w:cs="宋体"/>
                <w:b/>
                <w:bCs/>
                <w:sz w:val="24"/>
                <w:lang w:val="en-GB"/>
              </w:rPr>
            </w:pPr>
            <w:r>
              <w:rPr>
                <w:rFonts w:hint="eastAsia" w:ascii="宋体" w:hAnsi="宋体" w:cs="宋体"/>
                <w:b/>
                <w:bCs/>
                <w:sz w:val="24"/>
                <w:lang w:val="en-GB"/>
              </w:rPr>
              <w:t>报价总计</w:t>
            </w:r>
          </w:p>
        </w:tc>
        <w:tc>
          <w:tcPr>
            <w:tcW w:w="7036" w:type="dxa"/>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交付时间</w:t>
            </w:r>
          </w:p>
        </w:tc>
        <w:tc>
          <w:tcPr>
            <w:tcW w:w="7036" w:type="dxa"/>
          </w:tcPr>
          <w:p>
            <w:pPr>
              <w:spacing w:before="156" w:beforeLines="50" w:after="156" w:afterLines="50" w:line="440" w:lineRule="exact"/>
              <w:rPr>
                <w:rFonts w:hint="eastAsia"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156" w:beforeLines="50" w:after="156" w:afterLines="50" w:line="440" w:lineRule="exact"/>
              <w:rPr>
                <w:rFonts w:hint="eastAsia" w:ascii="宋体" w:hAnsi="宋体" w:cs="宋体"/>
                <w:sz w:val="24"/>
                <w:lang w:val="en-GB"/>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1、报价一览表应准确填写，若报价一览表与响应文件不符时，以报价一览表为准；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rPr>
      </w:pPr>
      <w:r>
        <w:rPr>
          <w:rFonts w:hint="eastAsia" w:ascii="宋体" w:hAnsi="宋体" w:cs="宋体"/>
          <w:b/>
          <w:bCs/>
          <w:sz w:val="24"/>
        </w:rPr>
        <w:t>（表5）</w:t>
      </w:r>
    </w:p>
    <w:p>
      <w:pPr>
        <w:spacing w:line="440" w:lineRule="exact"/>
        <w:jc w:val="center"/>
        <w:rPr>
          <w:rFonts w:hint="eastAsia" w:ascii="宋体" w:hAnsi="宋体" w:cs="宋体"/>
          <w:b/>
          <w:bCs/>
          <w:kern w:val="0"/>
          <w:sz w:val="24"/>
        </w:rPr>
      </w:pPr>
      <w:r>
        <w:rPr>
          <w:rFonts w:hint="eastAsia" w:ascii="宋体" w:hAnsi="宋体" w:cs="宋体"/>
          <w:b/>
          <w:bCs/>
          <w:kern w:val="0"/>
          <w:sz w:val="30"/>
          <w:szCs w:val="30"/>
        </w:rPr>
        <w:t>1.5报价明细表</w:t>
      </w:r>
    </w:p>
    <w:tbl>
      <w:tblPr>
        <w:tblStyle w:val="16"/>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2"/>
              <w:spacing w:before="93" w:beforeLines="30" w:after="93"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3" w:beforeLines="30" w:after="93"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
                <w:bCs/>
                <w:sz w:val="24"/>
              </w:rPr>
            </w:pPr>
            <w:r>
              <w:rPr>
                <w:rFonts w:hint="eastAsia" w:ascii="宋体"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r>
              <w:rPr>
                <w:rFonts w:hint="eastAsia" w:ascii="宋体"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93" w:beforeLines="30" w:after="93"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312" w:beforeLines="100" w:after="312"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hint="eastAsia"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相关安装调试费用、质保及人员培训、后续服务及其他所有费用由供应商自行计算填列；</w:t>
      </w:r>
    </w:p>
    <w:p>
      <w:pPr>
        <w:spacing w:line="440" w:lineRule="exact"/>
        <w:ind w:firstLine="480" w:firstLineChars="200"/>
        <w:rPr>
          <w:rFonts w:hint="eastAsia"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总价=单价×数量，数量由供应商自行计算并填表；</w:t>
      </w:r>
    </w:p>
    <w:p>
      <w:pPr>
        <w:spacing w:line="440" w:lineRule="exact"/>
        <w:ind w:firstLine="480" w:firstLineChars="200"/>
        <w:rPr>
          <w:rFonts w:hint="eastAsia" w:ascii="宋体" w:hAnsi="宋体" w:cs="宋体"/>
          <w:sz w:val="24"/>
          <w:lang w:val="en-GB"/>
        </w:rPr>
      </w:pPr>
      <w:r>
        <w:rPr>
          <w:rFonts w:hint="eastAsia" w:ascii="宋体" w:hAnsi="宋体" w:cs="宋体"/>
          <w:sz w:val="24"/>
        </w:rPr>
        <w:t>4、</w:t>
      </w:r>
      <w:r>
        <w:rPr>
          <w:rFonts w:hint="eastAsia" w:ascii="宋体" w:hAnsi="宋体" w:cs="宋体"/>
          <w:sz w:val="24"/>
          <w:lang w:val="en-GB"/>
        </w:rPr>
        <w:t>“报价明细表”中“报价总计”数应当等于“报价一览表”中“报价总计”数。</w:t>
      </w: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b/>
          <w:sz w:val="24"/>
        </w:rPr>
      </w:pPr>
      <w:r>
        <w:rPr>
          <w:rFonts w:hint="eastAsia" w:ascii="宋体" w:hAnsi="宋体" w:cs="宋体"/>
          <w:b/>
          <w:bCs/>
          <w:sz w:val="24"/>
        </w:rPr>
        <w:t>（表6）</w:t>
      </w:r>
    </w:p>
    <w:p>
      <w:pPr>
        <w:spacing w:before="156" w:beforeLines="50" w:after="156" w:afterLines="50" w:line="440" w:lineRule="exact"/>
        <w:jc w:val="center"/>
        <w:rPr>
          <w:rFonts w:hint="eastAsia" w:ascii="宋体" w:hAnsi="宋体" w:cs="宋体"/>
          <w:b/>
          <w:sz w:val="24"/>
        </w:rPr>
      </w:pPr>
      <w:r>
        <w:rPr>
          <w:rFonts w:hint="eastAsia" w:ascii="宋体" w:hAnsi="宋体" w:cs="宋体"/>
          <w:b/>
          <w:sz w:val="30"/>
          <w:szCs w:val="30"/>
        </w:rPr>
        <w:t>1.6 技术响应情况表</w:t>
      </w:r>
    </w:p>
    <w:p>
      <w:pPr>
        <w:adjustRightInd w:val="0"/>
        <w:snapToGrid w:val="0"/>
        <w:spacing w:after="156" w:afterLines="50" w:line="440" w:lineRule="exact"/>
        <w:ind w:firstLine="482" w:firstLineChars="200"/>
        <w:rPr>
          <w:rFonts w:hint="eastAsia" w:ascii="宋体" w:hAnsi="宋体" w:cs="宋体"/>
          <w:b/>
          <w:bCs/>
          <w:sz w:val="24"/>
        </w:rPr>
      </w:pPr>
      <w:r>
        <w:rPr>
          <w:rFonts w:hint="eastAsia" w:ascii="宋体" w:hAnsi="宋体" w:cs="宋体"/>
          <w:b/>
          <w:bCs/>
          <w:sz w:val="24"/>
        </w:rPr>
        <w:t>说明：</w:t>
      </w:r>
      <w:r>
        <w:rPr>
          <w:rFonts w:hint="eastAsia" w:ascii="宋体" w:hAnsi="宋体" w:cs="宋体"/>
          <w:sz w:val="24"/>
        </w:rPr>
        <w:t>供应商必须仔细阅读谈判文件中所有技术规范条款和相关功能要求，并对所有技术规范和功能条目列入下表，未列入下表的视作报价人不响应。带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供应商必须根据所响应货物的实际情况如实填写，如发现有虚假描述的，该响应文件无效，并报政府采购主管部门严肃处理，并没收其谈判保证金。</w:t>
      </w:r>
    </w:p>
    <w:tbl>
      <w:tblPr>
        <w:tblStyle w:val="16"/>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sz w:val="24"/>
              </w:rPr>
            </w:pPr>
            <w:r>
              <w:rPr>
                <w:rFonts w:hint="eastAsia" w:ascii="宋体" w:hAnsi="宋体" w:cs="宋体"/>
                <w:b/>
                <w:bCs/>
                <w:sz w:val="24"/>
              </w:rPr>
              <w:t>供应商技术规范描述</w:t>
            </w:r>
          </w:p>
        </w:tc>
        <w:tc>
          <w:tcPr>
            <w:tcW w:w="1707"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hint="eastAsia"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1</w:t>
            </w:r>
          </w:p>
        </w:tc>
        <w:tc>
          <w:tcPr>
            <w:tcW w:w="1519" w:type="dxa"/>
            <w:vAlign w:val="center"/>
          </w:tcPr>
          <w:p>
            <w:pPr>
              <w:snapToGrid w:val="0"/>
              <w:spacing w:before="93" w:beforeLines="30" w:after="93" w:afterLines="30" w:line="440" w:lineRule="exact"/>
              <w:jc w:val="center"/>
              <w:rPr>
                <w:rFonts w:hint="eastAsia" w:ascii="宋体" w:hAnsi="宋体" w:cs="宋体"/>
                <w:sz w:val="24"/>
              </w:rPr>
            </w:pPr>
          </w:p>
        </w:tc>
        <w:tc>
          <w:tcPr>
            <w:tcW w:w="2890" w:type="dxa"/>
            <w:vAlign w:val="center"/>
          </w:tcPr>
          <w:p>
            <w:pPr>
              <w:snapToGrid w:val="0"/>
              <w:spacing w:before="93" w:beforeLines="30" w:after="93" w:afterLines="30" w:line="440" w:lineRule="exact"/>
              <w:jc w:val="center"/>
              <w:rPr>
                <w:rFonts w:hint="eastAsia" w:ascii="宋体" w:hAnsi="宋体" w:cs="宋体"/>
                <w:sz w:val="24"/>
              </w:rPr>
            </w:pPr>
          </w:p>
        </w:tc>
        <w:tc>
          <w:tcPr>
            <w:tcW w:w="2891" w:type="dxa"/>
            <w:vAlign w:val="center"/>
          </w:tcPr>
          <w:p>
            <w:pPr>
              <w:snapToGrid w:val="0"/>
              <w:spacing w:before="93" w:beforeLines="30" w:after="93" w:afterLines="30" w:line="440" w:lineRule="exact"/>
              <w:jc w:val="center"/>
              <w:rPr>
                <w:rFonts w:hint="eastAsia" w:ascii="宋体" w:hAnsi="宋体" w:cs="宋体"/>
                <w:sz w:val="24"/>
              </w:rPr>
            </w:pPr>
          </w:p>
        </w:tc>
        <w:tc>
          <w:tcPr>
            <w:tcW w:w="1707" w:type="dxa"/>
            <w:vAlign w:val="center"/>
          </w:tcPr>
          <w:p>
            <w:pPr>
              <w:snapToGrid w:val="0"/>
              <w:spacing w:before="93" w:beforeLines="30" w:after="93" w:afterLines="30"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2</w:t>
            </w:r>
          </w:p>
        </w:tc>
        <w:tc>
          <w:tcPr>
            <w:tcW w:w="1519" w:type="dxa"/>
            <w:vAlign w:val="center"/>
          </w:tcPr>
          <w:p>
            <w:pPr>
              <w:snapToGrid w:val="0"/>
              <w:spacing w:before="93" w:beforeLines="30" w:after="93" w:afterLines="30" w:line="440" w:lineRule="exact"/>
              <w:jc w:val="center"/>
              <w:rPr>
                <w:rFonts w:hint="eastAsia" w:ascii="宋体" w:hAnsi="宋体" w:cs="宋体"/>
                <w:sz w:val="24"/>
              </w:rPr>
            </w:pPr>
          </w:p>
        </w:tc>
        <w:tc>
          <w:tcPr>
            <w:tcW w:w="2890" w:type="dxa"/>
            <w:vAlign w:val="center"/>
          </w:tcPr>
          <w:p>
            <w:pPr>
              <w:snapToGrid w:val="0"/>
              <w:spacing w:before="93" w:beforeLines="30" w:after="93" w:afterLines="30" w:line="440" w:lineRule="exact"/>
              <w:jc w:val="center"/>
              <w:rPr>
                <w:rFonts w:hint="eastAsia" w:ascii="宋体" w:hAnsi="宋体" w:cs="宋体"/>
                <w:sz w:val="24"/>
              </w:rPr>
            </w:pPr>
          </w:p>
        </w:tc>
        <w:tc>
          <w:tcPr>
            <w:tcW w:w="2891" w:type="dxa"/>
            <w:vAlign w:val="center"/>
          </w:tcPr>
          <w:p>
            <w:pPr>
              <w:snapToGrid w:val="0"/>
              <w:spacing w:before="93" w:beforeLines="30" w:after="93" w:afterLines="30" w:line="440" w:lineRule="exact"/>
              <w:jc w:val="center"/>
              <w:rPr>
                <w:rFonts w:hint="eastAsia" w:ascii="宋体" w:hAnsi="宋体" w:cs="宋体"/>
                <w:sz w:val="24"/>
              </w:rPr>
            </w:pPr>
          </w:p>
        </w:tc>
        <w:tc>
          <w:tcPr>
            <w:tcW w:w="1707" w:type="dxa"/>
            <w:vAlign w:val="center"/>
          </w:tcPr>
          <w:p>
            <w:pPr>
              <w:snapToGrid w:val="0"/>
              <w:spacing w:before="93" w:beforeLines="30" w:after="93" w:afterLines="30"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3</w:t>
            </w:r>
          </w:p>
        </w:tc>
        <w:tc>
          <w:tcPr>
            <w:tcW w:w="1519" w:type="dxa"/>
            <w:vAlign w:val="center"/>
          </w:tcPr>
          <w:p>
            <w:pPr>
              <w:snapToGrid w:val="0"/>
              <w:spacing w:before="93" w:beforeLines="30" w:after="93" w:afterLines="30" w:line="440" w:lineRule="exact"/>
              <w:jc w:val="center"/>
              <w:rPr>
                <w:rFonts w:hint="eastAsia" w:ascii="宋体" w:hAnsi="宋体" w:cs="宋体"/>
                <w:sz w:val="24"/>
              </w:rPr>
            </w:pPr>
          </w:p>
        </w:tc>
        <w:tc>
          <w:tcPr>
            <w:tcW w:w="2890" w:type="dxa"/>
            <w:vAlign w:val="center"/>
          </w:tcPr>
          <w:p>
            <w:pPr>
              <w:snapToGrid w:val="0"/>
              <w:spacing w:before="93" w:beforeLines="30" w:after="93" w:afterLines="30" w:line="440" w:lineRule="exact"/>
              <w:jc w:val="center"/>
              <w:rPr>
                <w:rFonts w:hint="eastAsia" w:ascii="宋体" w:hAnsi="宋体" w:cs="宋体"/>
                <w:sz w:val="24"/>
              </w:rPr>
            </w:pPr>
          </w:p>
        </w:tc>
        <w:tc>
          <w:tcPr>
            <w:tcW w:w="2891" w:type="dxa"/>
            <w:vAlign w:val="center"/>
          </w:tcPr>
          <w:p>
            <w:pPr>
              <w:snapToGrid w:val="0"/>
              <w:spacing w:before="93" w:beforeLines="30" w:after="93" w:afterLines="30" w:line="440" w:lineRule="exact"/>
              <w:jc w:val="center"/>
              <w:rPr>
                <w:rFonts w:hint="eastAsia" w:ascii="宋体" w:hAnsi="宋体" w:cs="宋体"/>
                <w:sz w:val="24"/>
              </w:rPr>
            </w:pPr>
          </w:p>
        </w:tc>
        <w:tc>
          <w:tcPr>
            <w:tcW w:w="1707" w:type="dxa"/>
            <w:vAlign w:val="center"/>
          </w:tcPr>
          <w:p>
            <w:pPr>
              <w:snapToGrid w:val="0"/>
              <w:spacing w:before="93" w:beforeLines="30" w:after="93" w:afterLines="30"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4</w:t>
            </w:r>
          </w:p>
        </w:tc>
        <w:tc>
          <w:tcPr>
            <w:tcW w:w="1519" w:type="dxa"/>
            <w:vAlign w:val="center"/>
          </w:tcPr>
          <w:p>
            <w:pPr>
              <w:snapToGrid w:val="0"/>
              <w:spacing w:before="93" w:beforeLines="30" w:after="93" w:afterLines="30" w:line="440" w:lineRule="exact"/>
              <w:jc w:val="center"/>
              <w:rPr>
                <w:rFonts w:hint="eastAsia" w:ascii="宋体" w:hAnsi="宋体" w:cs="宋体"/>
                <w:sz w:val="24"/>
              </w:rPr>
            </w:pPr>
          </w:p>
        </w:tc>
        <w:tc>
          <w:tcPr>
            <w:tcW w:w="2890" w:type="dxa"/>
            <w:vAlign w:val="center"/>
          </w:tcPr>
          <w:p>
            <w:pPr>
              <w:snapToGrid w:val="0"/>
              <w:spacing w:before="93" w:beforeLines="30" w:after="93" w:afterLines="30" w:line="440" w:lineRule="exact"/>
              <w:jc w:val="center"/>
              <w:rPr>
                <w:rFonts w:hint="eastAsia" w:ascii="宋体" w:hAnsi="宋体" w:cs="宋体"/>
                <w:sz w:val="24"/>
              </w:rPr>
            </w:pPr>
          </w:p>
        </w:tc>
        <w:tc>
          <w:tcPr>
            <w:tcW w:w="2891" w:type="dxa"/>
            <w:vAlign w:val="center"/>
          </w:tcPr>
          <w:p>
            <w:pPr>
              <w:snapToGrid w:val="0"/>
              <w:spacing w:before="93" w:beforeLines="30" w:after="93" w:afterLines="30" w:line="440" w:lineRule="exact"/>
              <w:jc w:val="center"/>
              <w:rPr>
                <w:rFonts w:hint="eastAsia" w:ascii="宋体" w:hAnsi="宋体" w:cs="宋体"/>
                <w:sz w:val="24"/>
              </w:rPr>
            </w:pPr>
          </w:p>
        </w:tc>
        <w:tc>
          <w:tcPr>
            <w:tcW w:w="1707" w:type="dxa"/>
            <w:vAlign w:val="center"/>
          </w:tcPr>
          <w:p>
            <w:pPr>
              <w:snapToGrid w:val="0"/>
              <w:spacing w:before="93" w:beforeLines="30" w:after="93" w:afterLines="30"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5</w:t>
            </w:r>
          </w:p>
        </w:tc>
        <w:tc>
          <w:tcPr>
            <w:tcW w:w="1519" w:type="dxa"/>
            <w:vAlign w:val="center"/>
          </w:tcPr>
          <w:p>
            <w:pPr>
              <w:snapToGrid w:val="0"/>
              <w:spacing w:before="93" w:beforeLines="30" w:after="93" w:afterLines="30" w:line="440" w:lineRule="exact"/>
              <w:jc w:val="center"/>
              <w:rPr>
                <w:rFonts w:hint="eastAsia" w:ascii="宋体" w:hAnsi="宋体" w:cs="宋体"/>
                <w:sz w:val="24"/>
              </w:rPr>
            </w:pPr>
            <w:r>
              <w:rPr>
                <w:rFonts w:hint="eastAsia" w:ascii="宋体" w:hAnsi="宋体" w:cs="宋体"/>
                <w:sz w:val="24"/>
              </w:rPr>
              <w:t>…</w:t>
            </w:r>
          </w:p>
        </w:tc>
        <w:tc>
          <w:tcPr>
            <w:tcW w:w="2890" w:type="dxa"/>
            <w:vAlign w:val="center"/>
          </w:tcPr>
          <w:p>
            <w:pPr>
              <w:snapToGrid w:val="0"/>
              <w:spacing w:before="93" w:beforeLines="30" w:after="93" w:afterLines="30" w:line="440" w:lineRule="exact"/>
              <w:jc w:val="center"/>
              <w:rPr>
                <w:rFonts w:hint="eastAsia" w:ascii="宋体" w:hAnsi="宋体" w:cs="宋体"/>
                <w:sz w:val="24"/>
              </w:rPr>
            </w:pPr>
          </w:p>
        </w:tc>
        <w:tc>
          <w:tcPr>
            <w:tcW w:w="2891" w:type="dxa"/>
            <w:vAlign w:val="center"/>
          </w:tcPr>
          <w:p>
            <w:pPr>
              <w:snapToGrid w:val="0"/>
              <w:spacing w:before="93" w:beforeLines="30" w:after="93" w:afterLines="30" w:line="440" w:lineRule="exact"/>
              <w:jc w:val="center"/>
              <w:rPr>
                <w:rFonts w:hint="eastAsia" w:ascii="宋体" w:hAnsi="宋体" w:cs="宋体"/>
                <w:sz w:val="24"/>
              </w:rPr>
            </w:pPr>
          </w:p>
        </w:tc>
        <w:tc>
          <w:tcPr>
            <w:tcW w:w="1707" w:type="dxa"/>
            <w:vAlign w:val="center"/>
          </w:tcPr>
          <w:p>
            <w:pPr>
              <w:snapToGrid w:val="0"/>
              <w:spacing w:before="93" w:beforeLines="30" w:after="93" w:afterLines="30" w:line="440" w:lineRule="exact"/>
              <w:jc w:val="center"/>
              <w:rPr>
                <w:rFonts w:hint="eastAsia" w:ascii="宋体" w:hAnsi="宋体" w:cs="宋体"/>
                <w:sz w:val="24"/>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jc w:val="left"/>
        <w:rPr>
          <w:rFonts w:hint="eastAsia" w:ascii="宋体" w:hAnsi="宋体" w:cs="宋体"/>
          <w:b/>
          <w:bCs/>
          <w:sz w:val="24"/>
        </w:rPr>
      </w:pPr>
      <w:r>
        <w:rPr>
          <w:rFonts w:hint="eastAsia" w:ascii="宋体" w:hAnsi="宋体" w:cs="宋体"/>
          <w:b/>
          <w:bCs/>
          <w:sz w:val="24"/>
        </w:rPr>
        <w:t>注：</w:t>
      </w:r>
    </w:p>
    <w:p>
      <w:pPr>
        <w:spacing w:line="440" w:lineRule="exact"/>
        <w:ind w:firstLine="482" w:firstLineChars="200"/>
        <w:jc w:val="left"/>
        <w:rPr>
          <w:rFonts w:hint="eastAsia" w:ascii="宋体" w:hAnsi="宋体" w:cs="宋体"/>
          <w:b/>
          <w:bCs/>
          <w:sz w:val="24"/>
        </w:rPr>
      </w:pPr>
      <w:r>
        <w:rPr>
          <w:rFonts w:hint="eastAsia" w:ascii="宋体" w:hAnsi="宋体" w:cs="宋体"/>
          <w:b/>
          <w:bCs/>
          <w:sz w:val="24"/>
        </w:rPr>
        <w:t>1、此表为表样，供应商必须把招标项目的全部技术参数列入此表，并对技术参数进行逐一应答，行数可自行添加，但表式不变。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hint="eastAsia"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hint="eastAsia" w:ascii="宋体" w:hAnsi="宋体" w:cs="宋体"/>
          <w:sz w:val="24"/>
        </w:rPr>
      </w:pPr>
      <w:r>
        <w:rPr>
          <w:rFonts w:hint="eastAsia" w:ascii="宋体" w:hAnsi="宋体" w:cs="宋体"/>
          <w:sz w:val="24"/>
        </w:rPr>
        <w:t>3、请在“</w:t>
      </w:r>
      <w:r>
        <w:rPr>
          <w:rFonts w:hint="eastAsia" w:ascii="宋体" w:hAnsi="宋体" w:cs="宋体"/>
          <w:bCs/>
          <w:sz w:val="24"/>
        </w:rPr>
        <w:t>供应商技术规范描述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hint="eastAsia"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评委评标时不能只根据供应商填写的偏离情况说明来判断是否响应，而应认真查阅“响应文件技术参数/功能响应”内容以及相关的技术资料判断是否满足要求；</w:t>
      </w:r>
    </w:p>
    <w:p>
      <w:pPr>
        <w:adjustRightInd w:val="0"/>
        <w:snapToGrid w:val="0"/>
        <w:spacing w:line="440" w:lineRule="exact"/>
        <w:ind w:firstLine="480" w:firstLineChars="200"/>
        <w:jc w:val="left"/>
        <w:rPr>
          <w:rFonts w:hint="eastAsia" w:ascii="宋体" w:hAnsi="宋体" w:cs="宋体"/>
          <w:sz w:val="24"/>
        </w:rPr>
      </w:pPr>
      <w:r>
        <w:rPr>
          <w:rFonts w:hint="eastAsia" w:ascii="宋体" w:hAnsi="宋体" w:cs="宋体"/>
          <w:sz w:val="24"/>
        </w:rPr>
        <w:t>5、供应商必须据实填写，不得虚假填写，否则将取消其响应或成交资格。</w:t>
      </w:r>
    </w:p>
    <w:p>
      <w:pPr>
        <w:adjustRightInd w:val="0"/>
        <w:snapToGrid w:val="0"/>
        <w:spacing w:line="440" w:lineRule="exact"/>
        <w:jc w:val="left"/>
        <w:rPr>
          <w:rFonts w:ascii="宋体" w:hAnsi="宋体" w:cs="宋体"/>
          <w:b/>
          <w:bCs/>
          <w:sz w:val="24"/>
        </w:rPr>
      </w:pPr>
      <w:r>
        <w:rPr>
          <w:rFonts w:hint="eastAsia" w:ascii="宋体" w:hAnsi="宋体" w:cs="宋体"/>
          <w:b/>
          <w:bCs/>
          <w:sz w:val="24"/>
        </w:rPr>
        <w:t>（表7）</w:t>
      </w:r>
    </w:p>
    <w:p>
      <w:pPr>
        <w:spacing w:line="240" w:lineRule="atLeast"/>
        <w:jc w:val="left"/>
        <w:rPr>
          <w:rFonts w:hint="eastAsia" w:ascii="宋体" w:hAnsi="宋体" w:cs="宋体"/>
          <w:b/>
          <w:bCs/>
          <w:kern w:val="0"/>
          <w:sz w:val="24"/>
        </w:rPr>
      </w:pPr>
    </w:p>
    <w:p>
      <w:pPr>
        <w:spacing w:after="156" w:afterLines="50" w:line="440" w:lineRule="exact"/>
        <w:jc w:val="center"/>
        <w:rPr>
          <w:rFonts w:hint="eastAsia" w:ascii="宋体" w:hAnsi="宋体" w:cs="宋体"/>
          <w:b/>
          <w:bCs/>
          <w:kern w:val="0"/>
          <w:sz w:val="30"/>
          <w:szCs w:val="30"/>
        </w:rPr>
      </w:pPr>
      <w:r>
        <w:rPr>
          <w:rFonts w:hint="eastAsia" w:ascii="宋体" w:hAnsi="宋体" w:cs="宋体"/>
          <w:b/>
          <w:bCs/>
          <w:kern w:val="0"/>
          <w:sz w:val="30"/>
          <w:szCs w:val="30"/>
        </w:rPr>
        <w:t xml:space="preserve">1.7 </w:t>
      </w:r>
      <w:r>
        <w:rPr>
          <w:rStyle w:val="13"/>
          <w:rFonts w:hint="eastAsia"/>
          <w:sz w:val="30"/>
          <w:szCs w:val="30"/>
        </w:rPr>
        <w:t>中小企业声明函</w:t>
      </w:r>
    </w:p>
    <w:p>
      <w:pPr>
        <w:pStyle w:val="11"/>
        <w:spacing w:line="440" w:lineRule="exact"/>
        <w:ind w:firstLine="480"/>
        <w:rPr>
          <w:rFonts w:hint="eastAsia"/>
        </w:rPr>
      </w:pPr>
      <w:r>
        <w:rPr>
          <w:rFonts w:hint="eastAsia"/>
        </w:rPr>
        <w:t>本公司郑重声明，根据《政府采购促进中小企业发展暂行办法》（财库〔2011〕181号）的规定，本公司为______（请填写：中型、小型、微型）企业。即，本公司同时满足以下条件：</w:t>
      </w:r>
      <w:r>
        <w:rPr>
          <w:rFonts w:hint="eastAsia"/>
        </w:rPr>
        <w:br w:type="textWrapping"/>
      </w:r>
      <w:r>
        <w:rPr>
          <w:rFonts w:hint="eastAsia"/>
        </w:rPr>
        <w:t>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ype="textWrapping"/>
      </w:r>
      <w:r>
        <w:rPr>
          <w:rFonts w:hint="eastAsia"/>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rPr>
        <w:br w:type="textWrapping"/>
      </w:r>
      <w:r>
        <w:rPr>
          <w:rFonts w:hint="eastAsia"/>
        </w:rPr>
        <w:t>　　本公司对上述声明的真实性负责。如有虚假，将依法承担相应责任。</w:t>
      </w:r>
      <w:r>
        <w:rPr>
          <w:rFonts w:hint="eastAsia"/>
        </w:rPr>
        <w:br w:type="textWrapping"/>
      </w:r>
      <w:r>
        <w:rPr>
          <w:rFonts w:hint="eastAsia"/>
        </w:rPr>
        <w:t>　　</w:t>
      </w:r>
    </w:p>
    <w:p>
      <w:pPr>
        <w:pStyle w:val="11"/>
        <w:spacing w:line="440" w:lineRule="exact"/>
        <w:ind w:firstLine="480"/>
        <w:rPr>
          <w:rFonts w:hint="eastAsia"/>
        </w:rPr>
      </w:pPr>
      <w:r>
        <w:rPr>
          <w:rFonts w:hint="eastAsia"/>
        </w:rPr>
        <w:t>企业名称（盖章）：</w:t>
      </w:r>
      <w:r>
        <w:rPr>
          <w:rFonts w:hint="eastAsia"/>
        </w:rPr>
        <w:br w:type="textWrapping"/>
      </w:r>
      <w:r>
        <w:rPr>
          <w:rFonts w:hint="eastAsia"/>
        </w:rPr>
        <w:t>　　</w:t>
      </w:r>
    </w:p>
    <w:p>
      <w:pPr>
        <w:pStyle w:val="11"/>
        <w:spacing w:line="440" w:lineRule="exact"/>
        <w:ind w:firstLine="480"/>
        <w:rPr>
          <w:rFonts w:hint="eastAsia"/>
        </w:rPr>
      </w:pPr>
      <w:r>
        <w:rPr>
          <w:rFonts w:hint="eastAsia"/>
        </w:rPr>
        <w:t>日 期：　　</w:t>
      </w: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30"/>
          <w:szCs w:val="30"/>
        </w:rPr>
      </w:pPr>
    </w:p>
    <w:p>
      <w:pPr>
        <w:spacing w:after="156" w:afterLines="50" w:line="440" w:lineRule="exact"/>
        <w:jc w:val="center"/>
        <w:rPr>
          <w:rFonts w:hint="eastAsia" w:ascii="宋体" w:hAnsi="宋体" w:cs="宋体"/>
          <w:b/>
          <w:bCs/>
          <w:kern w:val="0"/>
          <w:sz w:val="24"/>
        </w:rPr>
      </w:pPr>
      <w:r>
        <w:rPr>
          <w:rFonts w:hint="eastAsia" w:ascii="宋体" w:hAnsi="宋体" w:cs="宋体"/>
          <w:b/>
          <w:bCs/>
          <w:kern w:val="0"/>
          <w:sz w:val="30"/>
          <w:szCs w:val="30"/>
        </w:rPr>
        <w:t>1.8 售后服务承诺</w:t>
      </w:r>
    </w:p>
    <w:p>
      <w:pPr>
        <w:tabs>
          <w:tab w:val="left" w:pos="720"/>
        </w:tabs>
        <w:autoSpaceDE w:val="0"/>
        <w:autoSpaceDN w:val="0"/>
        <w:adjustRightInd w:val="0"/>
        <w:spacing w:line="44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zh-CN"/>
        </w:rPr>
        <w:t>本附件内容由各供应商进行填写，应至少包括谈判文件要求的服务内容的响应条件；</w:t>
      </w:r>
    </w:p>
    <w:p>
      <w:pPr>
        <w:tabs>
          <w:tab w:val="left" w:pos="720"/>
        </w:tabs>
        <w:autoSpaceDE w:val="0"/>
        <w:autoSpaceDN w:val="0"/>
        <w:adjustRightInd w:val="0"/>
        <w:spacing w:line="440" w:lineRule="exact"/>
        <w:ind w:firstLine="480" w:firstLineChars="200"/>
        <w:rPr>
          <w:rFonts w:hint="eastAsia" w:ascii="宋体" w:hAnsi="宋体" w:cs="宋体"/>
          <w:sz w:val="24"/>
        </w:rPr>
      </w:pPr>
      <w:r>
        <w:rPr>
          <w:rFonts w:hint="eastAsia" w:ascii="宋体" w:hAnsi="宋体" w:cs="宋体"/>
          <w:sz w:val="24"/>
          <w:lang w:val="zh-CN"/>
        </w:rPr>
        <w:t>2、保修期应明确；</w:t>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r>
        <w:rPr>
          <w:rFonts w:hint="eastAsia" w:ascii="宋体" w:hAnsi="宋体" w:cs="宋体"/>
          <w:sz w:val="24"/>
        </w:rPr>
        <w:t>3、</w:t>
      </w:r>
      <w:r>
        <w:rPr>
          <w:rFonts w:hint="eastAsia" w:ascii="宋体" w:hAnsi="宋体" w:cs="宋体"/>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adjustRightInd w:val="0"/>
        <w:snapToGrid w:val="0"/>
        <w:spacing w:line="720" w:lineRule="auto"/>
        <w:ind w:right="210" w:rightChars="100"/>
        <w:jc w:val="right"/>
        <w:rPr>
          <w:rFonts w:hint="eastAsia"/>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440" w:lineRule="exact"/>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pStyle w:val="2"/>
        <w:keepNext w:val="0"/>
        <w:pageBreakBefore/>
        <w:spacing w:line="360" w:lineRule="auto"/>
        <w:jc w:val="center"/>
        <w:rPr>
          <w:rFonts w:hint="eastAsia" w:ascii="宋体" w:hAnsi="宋体" w:eastAsia="宋体" w:cs="宋体"/>
          <w:sz w:val="30"/>
          <w:szCs w:val="30"/>
        </w:rPr>
      </w:pPr>
      <w:bookmarkStart w:id="10" w:name="_Toc183588718"/>
      <w:r>
        <w:rPr>
          <w:rFonts w:hint="eastAsia" w:ascii="宋体" w:hAnsi="宋体" w:eastAsia="宋体" w:cs="宋体"/>
          <w:sz w:val="30"/>
          <w:szCs w:val="30"/>
          <w:lang w:val="en-US" w:eastAsia="zh-CN"/>
        </w:rPr>
        <w:t>1.9</w:t>
      </w:r>
      <w:r>
        <w:rPr>
          <w:rFonts w:hint="eastAsia" w:ascii="宋体" w:hAnsi="宋体" w:eastAsia="宋体" w:cs="宋体"/>
          <w:sz w:val="30"/>
          <w:szCs w:val="30"/>
        </w:rPr>
        <w:t>中标服务费承诺书（格式）</w:t>
      </w:r>
      <w:bookmarkEnd w:id="10"/>
    </w:p>
    <w:p>
      <w:pPr>
        <w:pStyle w:val="4"/>
        <w:ind w:firstLine="480"/>
        <w:rPr>
          <w:rFonts w:hint="eastAsia" w:ascii="宋体" w:hAnsi="宋体" w:cs="宋体"/>
          <w:sz w:val="24"/>
        </w:rPr>
      </w:pPr>
    </w:p>
    <w:p>
      <w:pPr>
        <w:pStyle w:val="7"/>
        <w:spacing w:line="360" w:lineRule="auto"/>
        <w:ind w:firstLine="480" w:firstLineChars="200"/>
        <w:rPr>
          <w:rFonts w:hint="eastAsia" w:hAnsi="宋体" w:cs="宋体"/>
          <w:sz w:val="24"/>
        </w:rPr>
      </w:pPr>
    </w:p>
    <w:p>
      <w:pPr>
        <w:pStyle w:val="7"/>
        <w:spacing w:line="360" w:lineRule="auto"/>
        <w:ind w:firstLine="480" w:firstLineChars="200"/>
        <w:rPr>
          <w:rFonts w:hint="eastAsia" w:hAnsi="宋体" w:cs="宋体"/>
          <w:sz w:val="24"/>
        </w:rPr>
      </w:pPr>
      <w:r>
        <w:rPr>
          <w:rFonts w:hint="eastAsia" w:hAnsi="宋体" w:cs="宋体"/>
          <w:sz w:val="24"/>
        </w:rPr>
        <w:t xml:space="preserve">致：广西嘉华建设项目管理咨询有限公司 </w:t>
      </w:r>
    </w:p>
    <w:p>
      <w:pPr>
        <w:pStyle w:val="7"/>
        <w:spacing w:line="360" w:lineRule="auto"/>
        <w:ind w:firstLine="480" w:firstLineChars="200"/>
        <w:rPr>
          <w:rFonts w:hint="eastAsia" w:hAnsi="宋体" w:cs="宋体"/>
          <w:sz w:val="24"/>
        </w:rPr>
      </w:pPr>
    </w:p>
    <w:p>
      <w:pPr>
        <w:pStyle w:val="7"/>
        <w:spacing w:line="360" w:lineRule="auto"/>
        <w:ind w:firstLine="480" w:firstLineChars="200"/>
        <w:rPr>
          <w:rFonts w:hint="eastAsia" w:hAnsi="宋体" w:cs="宋体"/>
          <w:sz w:val="24"/>
        </w:rPr>
      </w:pPr>
      <w:r>
        <w:rPr>
          <w:rFonts w:hint="eastAsia" w:hAnsi="宋体" w:cs="宋体"/>
          <w:sz w:val="24"/>
        </w:rPr>
        <w:t>我们在贵公司组织的</w:t>
      </w:r>
      <w:r>
        <w:rPr>
          <w:rFonts w:hint="eastAsia" w:ascii="宋体" w:hAnsi="宋体" w:cs="宋体"/>
          <w:b/>
          <w:bCs/>
          <w:kern w:val="0"/>
          <w:sz w:val="24"/>
          <w:u w:val="single"/>
        </w:rPr>
        <w:t>中国人民解放军75560部队心理行为训练场器械采购（项目编号：GXJH2017-016）</w:t>
      </w:r>
      <w:r>
        <w:rPr>
          <w:rFonts w:hint="eastAsia" w:hAnsi="宋体" w:cs="宋体"/>
          <w:sz w:val="24"/>
        </w:rPr>
        <w:t>招标中若获中标，我们保证按招标文件的规定在接到贵公司的通知后必须在三个工作日内以支票、汇票或现金方式，向贵公司一次性支付每次应该交纳的中标服务费用，否则</w:t>
      </w:r>
      <w:r>
        <w:rPr>
          <w:rFonts w:hint="eastAsia" w:hAnsi="宋体"/>
          <w:sz w:val="24"/>
        </w:rPr>
        <w:t>须向</w:t>
      </w:r>
      <w:r>
        <w:rPr>
          <w:rFonts w:hint="eastAsia" w:hAnsi="宋体"/>
          <w:sz w:val="24"/>
          <w:lang w:eastAsia="zh-CN"/>
        </w:rPr>
        <w:t xml:space="preserve">广西嘉华建设项目管理咨询有限公司 </w:t>
      </w:r>
      <w:r>
        <w:rPr>
          <w:rFonts w:hint="eastAsia" w:hAnsi="宋体"/>
          <w:sz w:val="24"/>
        </w:rPr>
        <w:t>每日支付中标总金额的0.5</w:t>
      </w:r>
      <w:r>
        <w:rPr>
          <w:rFonts w:hint="eastAsia" w:hAnsi="宋体" w:cs="宋体"/>
          <w:sz w:val="24"/>
        </w:rPr>
        <w:t>％</w:t>
      </w:r>
      <w:r>
        <w:rPr>
          <w:rFonts w:hint="eastAsia" w:hAnsi="宋体"/>
          <w:sz w:val="24"/>
        </w:rPr>
        <w:t>的违约金，并扣下投标保证金</w:t>
      </w:r>
      <w:r>
        <w:rPr>
          <w:rFonts w:hint="eastAsia" w:hAnsi="宋体" w:cs="宋体"/>
          <w:sz w:val="24"/>
        </w:rPr>
        <w:t>。</w:t>
      </w:r>
    </w:p>
    <w:p>
      <w:pPr>
        <w:spacing w:line="360" w:lineRule="auto"/>
        <w:rPr>
          <w:rFonts w:hint="eastAsia" w:ascii="宋体" w:hAnsi="宋体" w:cs="宋体"/>
          <w:sz w:val="24"/>
        </w:rPr>
      </w:pPr>
      <w:r>
        <w:rPr>
          <w:rFonts w:hint="eastAsia" w:ascii="宋体" w:hAnsi="宋体" w:cs="宋体"/>
          <w:sz w:val="24"/>
        </w:rPr>
        <w:t xml:space="preserve">    本项目代理服务费</w:t>
      </w:r>
      <w:r>
        <w:rPr>
          <w:rFonts w:hint="eastAsia" w:ascii="宋体" w:hAnsi="宋体" w:eastAsia="宋体" w:cs="Times New Roman"/>
          <w:kern w:val="2"/>
          <w:sz w:val="24"/>
          <w:szCs w:val="24"/>
          <w:lang w:val="en-US" w:eastAsia="zh-CN" w:bidi="ar-SA"/>
        </w:rPr>
        <w:t>各收费为6000.00（大写：</w:t>
      </w:r>
      <w:r>
        <w:rPr>
          <w:rFonts w:hint="eastAsia" w:ascii="宋体" w:hAnsi="宋体" w:eastAsia="宋体" w:cs="Times New Roman"/>
          <w:kern w:val="2"/>
          <w:sz w:val="24"/>
          <w:szCs w:val="24"/>
          <w:lang w:val="en-US" w:eastAsia="zh-CN" w:bidi="ar-SA"/>
        </w:rPr>
        <w:fldChar w:fldCharType="begin"/>
      </w:r>
      <w:r>
        <w:rPr>
          <w:rFonts w:hint="eastAsia" w:ascii="宋体" w:hAnsi="宋体" w:eastAsia="宋体" w:cs="Times New Roman"/>
          <w:kern w:val="2"/>
          <w:sz w:val="24"/>
          <w:szCs w:val="24"/>
          <w:lang w:val="en-US" w:eastAsia="zh-CN" w:bidi="ar-SA"/>
        </w:rPr>
        <w:instrText xml:space="preserve"> = 5000 \* CHINESENUM4 \* MERGEFORMAT </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fldChar w:fldCharType="begin"/>
      </w:r>
      <w:r>
        <w:rPr>
          <w:rFonts w:hint="eastAsia" w:ascii="宋体" w:hAnsi="宋体" w:eastAsia="宋体" w:cs="Times New Roman"/>
          <w:kern w:val="2"/>
          <w:sz w:val="24"/>
          <w:szCs w:val="24"/>
          <w:lang w:val="en-US" w:eastAsia="zh-CN" w:bidi="ar-SA"/>
        </w:rPr>
        <w:instrText xml:space="preserve"> = 6000 \* CHINESENUM2 \* MERGEFORMAT </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陆仟</w:t>
      </w:r>
      <w:r>
        <w:rPr>
          <w:rFonts w:hint="eastAsia" w:ascii="宋体" w:hAnsi="宋体" w:eastAsia="宋体" w:cs="Times New Roman"/>
          <w:kern w:val="2"/>
          <w:sz w:val="24"/>
          <w:szCs w:val="24"/>
          <w:lang w:val="en-US" w:eastAsia="zh-CN" w:bidi="ar-SA"/>
        </w:rPr>
        <w:fldChar w:fldCharType="end"/>
      </w:r>
      <w:r>
        <w:rPr>
          <w:rFonts w:hint="eastAsia" w:ascii="宋体" w:hAnsi="宋体" w:eastAsia="宋体" w:cs="Times New Roman"/>
          <w:kern w:val="2"/>
          <w:sz w:val="24"/>
          <w:szCs w:val="24"/>
          <w:lang w:val="en-US" w:eastAsia="zh-CN" w:bidi="ar-SA"/>
        </w:rPr>
        <w:t>元整</w:t>
      </w:r>
      <w:r>
        <w:rPr>
          <w:rFonts w:hint="eastAsia" w:ascii="宋体" w:hAnsi="宋体" w:eastAsia="宋体" w:cs="Times New Roman"/>
          <w:kern w:val="2"/>
          <w:sz w:val="24"/>
          <w:szCs w:val="24"/>
          <w:lang w:val="en-US" w:eastAsia="zh-CN" w:bidi="ar-SA"/>
        </w:rPr>
        <w:fldChar w:fldCharType="end"/>
      </w:r>
      <w:r>
        <w:rPr>
          <w:rFonts w:hint="eastAsia" w:ascii="宋体" w:hAnsi="宋体" w:eastAsia="宋体" w:cs="Times New Roman"/>
          <w:kern w:val="2"/>
          <w:sz w:val="24"/>
          <w:szCs w:val="24"/>
          <w:lang w:val="en-US" w:eastAsia="zh-CN" w:bidi="ar-SA"/>
        </w:rPr>
        <w:t>）。</w:t>
      </w:r>
    </w:p>
    <w:p>
      <w:pPr>
        <w:snapToGrid w:val="0"/>
        <w:ind w:firstLine="394" w:firstLineChars="196"/>
        <w:jc w:val="center"/>
        <w:rPr>
          <w:rFonts w:ascii="宋体" w:hAnsi="宋体"/>
          <w:b/>
          <w:bCs/>
          <w:kern w:val="0"/>
          <w:sz w:val="20"/>
          <w:szCs w:val="21"/>
        </w:rPr>
      </w:pPr>
    </w:p>
    <w:p>
      <w:pPr>
        <w:pStyle w:val="7"/>
        <w:spacing w:line="360" w:lineRule="auto"/>
        <w:rPr>
          <w:rFonts w:hint="eastAsia" w:hAnsi="宋体" w:cs="宋体"/>
          <w:sz w:val="24"/>
        </w:rPr>
      </w:pPr>
    </w:p>
    <w:p>
      <w:pPr>
        <w:pStyle w:val="7"/>
        <w:spacing w:line="360" w:lineRule="auto"/>
        <w:ind w:firstLine="480" w:firstLineChars="200"/>
        <w:rPr>
          <w:rFonts w:hint="eastAsia" w:hAnsi="宋体" w:cs="宋体"/>
          <w:sz w:val="24"/>
        </w:rPr>
      </w:pPr>
      <w:r>
        <w:rPr>
          <w:rFonts w:hint="eastAsia" w:hAnsi="宋体" w:cs="宋体"/>
          <w:sz w:val="24"/>
        </w:rPr>
        <w:tab/>
      </w:r>
      <w:r>
        <w:rPr>
          <w:rFonts w:hint="eastAsia" w:hAnsi="宋体" w:cs="宋体"/>
          <w:sz w:val="24"/>
        </w:rPr>
        <w:tab/>
      </w:r>
      <w:r>
        <w:rPr>
          <w:rFonts w:hint="eastAsia" w:hAnsi="宋体" w:cs="宋体"/>
          <w:sz w:val="24"/>
        </w:rPr>
        <w:t>特此承诺！</w:t>
      </w:r>
    </w:p>
    <w:p>
      <w:pPr>
        <w:pStyle w:val="7"/>
        <w:spacing w:line="360" w:lineRule="auto"/>
        <w:ind w:firstLine="480" w:firstLineChars="200"/>
        <w:rPr>
          <w:rFonts w:hint="eastAsia" w:hAnsi="宋体" w:cs="宋体"/>
          <w:sz w:val="24"/>
        </w:rPr>
      </w:pPr>
    </w:p>
    <w:p>
      <w:pPr>
        <w:pStyle w:val="7"/>
        <w:spacing w:line="360" w:lineRule="auto"/>
        <w:ind w:firstLine="480" w:firstLineChars="200"/>
        <w:rPr>
          <w:rFonts w:hint="eastAsia" w:hAnsi="宋体" w:cs="宋体"/>
          <w:sz w:val="24"/>
        </w:rPr>
      </w:pPr>
      <w:r>
        <w:rPr>
          <w:rFonts w:hint="eastAsia" w:hAnsi="宋体" w:cs="宋体"/>
          <w:sz w:val="24"/>
        </w:rPr>
        <w:tab/>
      </w:r>
      <w:r>
        <w:rPr>
          <w:rFonts w:hint="eastAsia" w:hAnsi="宋体" w:cs="宋体"/>
          <w:sz w:val="24"/>
        </w:rPr>
        <w:t>承诺方法定名称：</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p>
    <w:p>
      <w:pPr>
        <w:pStyle w:val="7"/>
        <w:spacing w:line="360" w:lineRule="auto"/>
        <w:ind w:firstLine="480" w:firstLineChars="200"/>
        <w:rPr>
          <w:rFonts w:hint="eastAsia" w:hAnsi="宋体" w:cs="宋体"/>
          <w:sz w:val="24"/>
        </w:rPr>
      </w:pPr>
      <w:r>
        <w:rPr>
          <w:rFonts w:hint="eastAsia" w:hAnsi="宋体" w:cs="宋体"/>
          <w:sz w:val="24"/>
        </w:rPr>
        <w:tab/>
      </w:r>
      <w:r>
        <w:rPr>
          <w:rFonts w:hint="eastAsia" w:hAnsi="宋体" w:cs="宋体"/>
          <w:sz w:val="24"/>
        </w:rPr>
        <w:t>地址：</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p>
    <w:p>
      <w:pPr>
        <w:pStyle w:val="7"/>
        <w:spacing w:line="360" w:lineRule="auto"/>
        <w:ind w:firstLine="480" w:firstLineChars="200"/>
        <w:rPr>
          <w:rFonts w:hint="eastAsia" w:hAnsi="宋体" w:cs="宋体"/>
          <w:sz w:val="24"/>
        </w:rPr>
      </w:pPr>
      <w:r>
        <w:rPr>
          <w:rFonts w:hint="eastAsia" w:hAnsi="宋体" w:cs="宋体"/>
          <w:sz w:val="24"/>
        </w:rPr>
        <w:tab/>
      </w:r>
      <w:r>
        <w:rPr>
          <w:rFonts w:hint="eastAsia" w:hAnsi="宋体" w:cs="宋体"/>
          <w:sz w:val="24"/>
        </w:rPr>
        <w:t>电话：</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传真：</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p>
    <w:p>
      <w:pPr>
        <w:pStyle w:val="7"/>
        <w:spacing w:line="360" w:lineRule="auto"/>
        <w:ind w:firstLine="480" w:firstLineChars="200"/>
        <w:rPr>
          <w:rFonts w:hint="eastAsia" w:hAnsi="宋体" w:cs="宋体"/>
          <w:sz w:val="24"/>
        </w:rPr>
      </w:pPr>
      <w:r>
        <w:rPr>
          <w:rFonts w:hint="eastAsia" w:hAnsi="宋体" w:cs="宋体"/>
          <w:sz w:val="24"/>
        </w:rPr>
        <w:tab/>
      </w:r>
      <w:r>
        <w:rPr>
          <w:rFonts w:hint="eastAsia" w:hAnsi="宋体" w:cs="宋体"/>
          <w:sz w:val="24"/>
        </w:rPr>
        <w:t>承诺方授权代表签字：</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（承诺方盖章）</w:t>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r>
        <w:rPr>
          <w:rFonts w:hint="eastAsia" w:hAnsi="宋体" w:cs="宋体"/>
          <w:sz w:val="24"/>
        </w:rPr>
        <w:tab/>
      </w:r>
      <w:r>
        <w:rPr>
          <w:rFonts w:hint="eastAsia" w:hAnsi="宋体" w:cs="宋体"/>
          <w:sz w:val="24"/>
        </w:rPr>
        <w:t>承诺日期：</w:t>
      </w:r>
      <w:r>
        <w:rPr>
          <w:rFonts w:hint="eastAsia" w:hAnsi="宋体" w:cs="宋体"/>
          <w:sz w:val="24"/>
        </w:rPr>
        <w:tab/>
      </w: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440" w:lineRule="exact"/>
        <w:ind w:firstLine="480" w:firstLineChars="200"/>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tabs>
          <w:tab w:val="left" w:pos="720"/>
        </w:tabs>
        <w:autoSpaceDE w:val="0"/>
        <w:autoSpaceDN w:val="0"/>
        <w:adjustRightInd w:val="0"/>
        <w:spacing w:line="240" w:lineRule="exact"/>
        <w:rPr>
          <w:rFonts w:hint="eastAsia" w:ascii="宋体" w:hAnsi="宋体" w:cs="宋体"/>
          <w:sz w:val="24"/>
          <w:lang w:val="zh-CN"/>
        </w:rPr>
      </w:pPr>
    </w:p>
    <w:p>
      <w:pPr>
        <w:spacing w:line="440" w:lineRule="exact"/>
        <w:ind w:firstLine="602" w:firstLineChars="200"/>
        <w:jc w:val="center"/>
        <w:rPr>
          <w:rFonts w:hint="eastAsia" w:ascii="宋体" w:hAnsi="宋体" w:cs="宋体"/>
          <w:b/>
          <w:kern w:val="0"/>
          <w:sz w:val="30"/>
          <w:szCs w:val="30"/>
        </w:rPr>
      </w:pPr>
      <w:r>
        <w:rPr>
          <w:rFonts w:hint="eastAsia" w:ascii="宋体" w:hAnsi="宋体" w:cs="宋体"/>
          <w:b/>
          <w:sz w:val="30"/>
          <w:szCs w:val="30"/>
          <w:lang w:val="en-US" w:eastAsia="zh-CN"/>
        </w:rPr>
        <w:t>2.0</w:t>
      </w:r>
      <w:r>
        <w:rPr>
          <w:rFonts w:hint="eastAsia" w:ascii="宋体" w:hAnsi="宋体" w:cs="宋体"/>
          <w:b/>
          <w:sz w:val="30"/>
          <w:szCs w:val="30"/>
        </w:rPr>
        <w:t xml:space="preserve"> </w:t>
      </w:r>
      <w:r>
        <w:rPr>
          <w:rFonts w:hint="eastAsia" w:ascii="宋体" w:hAnsi="宋体" w:cs="宋体"/>
          <w:b/>
          <w:kern w:val="0"/>
          <w:sz w:val="30"/>
          <w:szCs w:val="30"/>
        </w:rPr>
        <w:t>保证金退还申请书</w:t>
      </w:r>
    </w:p>
    <w:p>
      <w:pPr>
        <w:tabs>
          <w:tab w:val="left" w:pos="540"/>
        </w:tabs>
        <w:spacing w:before="156" w:beforeLines="50" w:line="440" w:lineRule="exact"/>
        <w:outlineLvl w:val="1"/>
        <w:rPr>
          <w:rFonts w:hint="eastAsia" w:ascii="宋体" w:hAnsi="宋体" w:cs="宋体"/>
          <w:b/>
          <w:bCs/>
          <w:kern w:val="0"/>
          <w:sz w:val="24"/>
        </w:rPr>
      </w:pPr>
      <w:r>
        <w:rPr>
          <w:rFonts w:hint="eastAsia" w:ascii="宋体" w:hAnsi="宋体" w:cs="宋体"/>
          <w:b/>
          <w:bCs/>
          <w:kern w:val="0"/>
          <w:sz w:val="24"/>
        </w:rPr>
        <w:t>致：广西嘉华建设项目管理咨询有限公司</w:t>
      </w:r>
    </w:p>
    <w:p>
      <w:pPr>
        <w:tabs>
          <w:tab w:val="left" w:pos="540"/>
        </w:tabs>
        <w:spacing w:line="440" w:lineRule="exact"/>
        <w:ind w:firstLine="480" w:firstLineChars="200"/>
        <w:outlineLvl w:val="1"/>
        <w:rPr>
          <w:rFonts w:hint="eastAsia" w:ascii="宋体" w:hAnsi="宋体" w:cs="宋体"/>
          <w:kern w:val="0"/>
          <w:sz w:val="24"/>
        </w:rPr>
      </w:pPr>
      <w:r>
        <w:rPr>
          <w:rFonts w:hint="eastAsia" w:ascii="宋体" w:hAnsi="宋体" w:cs="宋体"/>
          <w:kern w:val="0"/>
          <w:sz w:val="24"/>
        </w:rPr>
        <w:t>我司于</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日为</w:t>
      </w:r>
      <w:r>
        <w:rPr>
          <w:rFonts w:hint="eastAsia" w:ascii="宋体" w:hAnsi="宋体" w:cs="宋体"/>
          <w:b/>
          <w:bCs/>
          <w:kern w:val="0"/>
          <w:sz w:val="24"/>
          <w:u w:val="single"/>
        </w:rPr>
        <w:t>中国人民解放军75560部队心理行为训练场器械采购（项目编号：GXJH2017-016）</w:t>
      </w:r>
      <w:r>
        <w:rPr>
          <w:rFonts w:hint="eastAsia" w:ascii="宋体" w:hAnsi="宋体" w:cs="宋体"/>
          <w:kern w:val="0"/>
          <w:sz w:val="24"/>
        </w:rPr>
        <w:t>所提交的保证金人民币</w:t>
      </w:r>
      <w:r>
        <w:rPr>
          <w:rFonts w:hint="eastAsia" w:ascii="宋体" w:hAnsi="宋体" w:cs="宋体"/>
          <w:b/>
          <w:bCs/>
          <w:kern w:val="0"/>
          <w:sz w:val="24"/>
          <w:u w:val="single"/>
        </w:rPr>
        <w:t>￥5000.00元</w:t>
      </w:r>
      <w:r>
        <w:rPr>
          <w:rFonts w:hint="eastAsia" w:ascii="宋体" w:hAnsi="宋体" w:cs="宋体"/>
          <w:kern w:val="0"/>
          <w:sz w:val="24"/>
        </w:rPr>
        <w:t>，请贵司退还时划到以下账户：</w:t>
      </w:r>
    </w:p>
    <w:tbl>
      <w:tblPr>
        <w:tblStyle w:val="16"/>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bl>
    <w:p>
      <w:pPr>
        <w:tabs>
          <w:tab w:val="left" w:pos="540"/>
        </w:tabs>
        <w:spacing w:line="440" w:lineRule="exact"/>
        <w:outlineLvl w:val="1"/>
        <w:rPr>
          <w:rFonts w:hint="eastAsia" w:ascii="宋体" w:hAnsi="宋体" w:cs="宋体"/>
          <w:kern w:val="0"/>
          <w:sz w:val="24"/>
        </w:rPr>
      </w:pPr>
    </w:p>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tabs>
          <w:tab w:val="left" w:pos="540"/>
        </w:tabs>
        <w:spacing w:before="468" w:beforeLines="150" w:after="312" w:afterLines="100" w:line="440" w:lineRule="exact"/>
        <w:outlineLvl w:val="1"/>
        <w:rPr>
          <w:rFonts w:hint="eastAsia" w:ascii="宋体" w:hAnsi="宋体" w:cs="宋体"/>
          <w:kern w:val="0"/>
          <w:sz w:val="24"/>
        </w:rPr>
      </w:pPr>
      <w:r>
        <w:rPr>
          <w:rFonts w:hint="eastAsia" w:ascii="宋体" w:hAnsi="宋体" w:cs="宋体"/>
          <w:kern w:val="0"/>
          <w:sz w:val="24"/>
        </w:rPr>
        <w:t>日    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tabs>
          <w:tab w:val="left" w:pos="540"/>
        </w:tabs>
        <w:spacing w:before="312" w:beforeLines="100" w:after="312" w:afterLines="100" w:line="440" w:lineRule="exact"/>
        <w:ind w:firstLine="482" w:firstLineChars="200"/>
        <w:outlineLvl w:val="1"/>
        <w:rPr>
          <w:rFonts w:hint="eastAsia" w:ascii="宋体" w:hAnsi="宋体" w:cs="宋体"/>
          <w:b/>
          <w:bCs/>
          <w:kern w:val="0"/>
          <w:sz w:val="24"/>
        </w:rPr>
      </w:pPr>
      <w:r>
        <w:rPr>
          <w:rFonts w:hint="eastAsia" w:ascii="宋体" w:hAnsi="宋体" w:cs="宋体"/>
          <w:b/>
          <w:bCs/>
          <w:kern w:val="0"/>
          <w:sz w:val="24"/>
        </w:rPr>
        <w:t>注：请将此申请书在递交响应文件时，提交至广西嘉华建设项目管理咨询有限公司财务部，联系地址：海口市蓝天路12-1号国机中洋公馆2号1102室，联系人：冯女士，联系电话：65328264（转财务室）。（递交响应文件时需单独提交此文，勿放入响应文件中）</w:t>
      </w:r>
    </w:p>
    <w:p>
      <w:pPr>
        <w:tabs>
          <w:tab w:val="left" w:pos="540"/>
        </w:tabs>
        <w:spacing w:before="312" w:beforeLines="100" w:after="312" w:afterLines="100" w:line="440" w:lineRule="exact"/>
        <w:ind w:firstLine="482" w:firstLineChars="200"/>
        <w:outlineLvl w:val="1"/>
        <w:rPr>
          <w:rFonts w:hint="eastAsia" w:ascii="宋体" w:hAnsi="宋体" w:cs="宋体"/>
          <w:b/>
          <w:bCs/>
          <w:kern w:val="0"/>
          <w:sz w:val="24"/>
        </w:rPr>
      </w:pPr>
    </w:p>
    <w:p>
      <w:pPr>
        <w:tabs>
          <w:tab w:val="left" w:pos="540"/>
        </w:tabs>
        <w:spacing w:before="312" w:beforeLines="100" w:after="312" w:afterLines="100" w:line="440" w:lineRule="exact"/>
        <w:ind w:firstLine="482" w:firstLineChars="200"/>
        <w:outlineLvl w:val="1"/>
        <w:rPr>
          <w:rFonts w:hint="eastAsia" w:ascii="宋体" w:hAnsi="宋体" w:cs="宋体"/>
          <w:b/>
          <w:bCs/>
          <w:kern w:val="0"/>
          <w:sz w:val="24"/>
        </w:rPr>
      </w:pPr>
    </w:p>
    <w:p>
      <w:pPr>
        <w:tabs>
          <w:tab w:val="left" w:pos="540"/>
        </w:tabs>
        <w:spacing w:before="312" w:beforeLines="100" w:after="312" w:afterLines="100" w:line="440" w:lineRule="exact"/>
        <w:ind w:firstLine="482" w:firstLineChars="200"/>
        <w:outlineLvl w:val="1"/>
        <w:rPr>
          <w:rFonts w:hint="eastAsia" w:ascii="宋体" w:hAnsi="宋体" w:cs="宋体"/>
          <w:b/>
          <w:bCs/>
          <w:kern w:val="0"/>
          <w:sz w:val="24"/>
        </w:rPr>
      </w:pPr>
    </w:p>
    <w:p>
      <w:pPr>
        <w:tabs>
          <w:tab w:val="left" w:pos="540"/>
        </w:tabs>
        <w:spacing w:before="312" w:beforeLines="100" w:after="312" w:afterLines="100" w:line="440" w:lineRule="exact"/>
        <w:ind w:firstLine="482" w:firstLineChars="200"/>
        <w:outlineLvl w:val="1"/>
        <w:rPr>
          <w:rFonts w:hint="eastAsia" w:ascii="宋体" w:hAnsi="宋体" w:cs="宋体"/>
          <w:b/>
          <w:bCs/>
          <w:kern w:val="0"/>
          <w:sz w:val="24"/>
        </w:rPr>
      </w:pPr>
    </w:p>
    <w:p>
      <w:pPr>
        <w:tabs>
          <w:tab w:val="left" w:pos="540"/>
        </w:tabs>
        <w:spacing w:before="312" w:beforeLines="100" w:after="312" w:afterLines="100" w:line="440" w:lineRule="exact"/>
        <w:ind w:firstLine="482" w:firstLineChars="200"/>
        <w:outlineLvl w:val="1"/>
        <w:rPr>
          <w:rFonts w:hint="eastAsia" w:ascii="宋体" w:hAnsi="宋体" w:cs="宋体"/>
          <w:b/>
          <w:bCs/>
          <w:kern w:val="0"/>
          <w:sz w:val="24"/>
        </w:rPr>
      </w:pPr>
    </w:p>
    <w:p>
      <w:pPr>
        <w:spacing w:before="156" w:beforeLines="50" w:after="156" w:afterLines="50" w:line="360" w:lineRule="auto"/>
        <w:jc w:val="center"/>
        <w:rPr>
          <w:rFonts w:hint="eastAsia" w:ascii="宋体" w:hAnsi="宋体" w:cs="宋体"/>
          <w:b/>
          <w:sz w:val="44"/>
          <w:szCs w:val="44"/>
        </w:rPr>
      </w:pPr>
      <w:r>
        <w:rPr>
          <w:rFonts w:hint="eastAsia" w:ascii="宋体" w:hAnsi="宋体" w:cs="宋体"/>
          <w:b/>
          <w:sz w:val="44"/>
          <w:szCs w:val="44"/>
        </w:rPr>
        <w:t>第五部分  用户需求书</w:t>
      </w:r>
    </w:p>
    <w:p>
      <w:pPr>
        <w:numPr>
          <w:ilvl w:val="0"/>
          <w:numId w:val="2"/>
        </w:numPr>
        <w:adjustRightInd w:val="0"/>
        <w:snapToGrid w:val="0"/>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采购需求</w:t>
      </w:r>
    </w:p>
    <w:tbl>
      <w:tblPr>
        <w:tblStyle w:val="16"/>
        <w:tblW w:w="9780" w:type="dxa"/>
        <w:tblInd w:w="-306" w:type="dxa"/>
        <w:tblLayout w:type="fixed"/>
        <w:tblCellMar>
          <w:top w:w="0" w:type="dxa"/>
          <w:left w:w="108" w:type="dxa"/>
          <w:bottom w:w="0" w:type="dxa"/>
          <w:right w:w="108" w:type="dxa"/>
        </w:tblCellMar>
      </w:tblPr>
      <w:tblGrid>
        <w:gridCol w:w="810"/>
        <w:gridCol w:w="2156"/>
        <w:gridCol w:w="4133"/>
        <w:gridCol w:w="986"/>
        <w:gridCol w:w="855"/>
        <w:gridCol w:w="840"/>
      </w:tblGrid>
      <w:tr>
        <w:tblPrEx>
          <w:tblLayout w:type="fixed"/>
          <w:tblCellMar>
            <w:top w:w="0" w:type="dxa"/>
            <w:left w:w="108" w:type="dxa"/>
            <w:bottom w:w="0" w:type="dxa"/>
            <w:right w:w="108" w:type="dxa"/>
          </w:tblCellMar>
        </w:tblPrEx>
        <w:trPr>
          <w:trHeight w:val="67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215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货物名称</w:t>
            </w:r>
          </w:p>
        </w:tc>
        <w:tc>
          <w:tcPr>
            <w:tcW w:w="41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规格型号</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计量</w:t>
            </w:r>
            <w:r>
              <w:rPr>
                <w:rFonts w:hint="eastAsia" w:ascii="宋体" w:hAnsi="宋体" w:cs="宋体"/>
                <w:kern w:val="0"/>
                <w:sz w:val="24"/>
              </w:rPr>
              <w:br w:type="textWrapping"/>
            </w:r>
            <w:r>
              <w:rPr>
                <w:rFonts w:hint="eastAsia" w:ascii="宋体" w:hAnsi="宋体" w:cs="宋体"/>
                <w:kern w:val="0"/>
                <w:sz w:val="24"/>
              </w:rPr>
              <w:t>单位</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数量</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1038"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215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组合型心理行为训练器械（高空项目）包含：</w:t>
            </w:r>
            <w:r>
              <w:rPr>
                <w:rFonts w:hint="eastAsia" w:ascii="宋体" w:hAnsi="宋体" w:cs="宋体"/>
                <w:sz w:val="24"/>
              </w:rPr>
              <w:t>①</w:t>
            </w:r>
            <w:r>
              <w:rPr>
                <w:rFonts w:hint="eastAsia" w:ascii="宋体" w:hAnsi="宋体" w:cs="宋体"/>
                <w:kern w:val="0"/>
                <w:sz w:val="24"/>
              </w:rPr>
              <w:t>空中单杠、</w:t>
            </w:r>
            <w:r>
              <w:rPr>
                <w:rFonts w:hint="eastAsia" w:ascii="宋体" w:hAnsi="宋体" w:cs="宋体"/>
                <w:sz w:val="24"/>
              </w:rPr>
              <w:t>②</w:t>
            </w:r>
            <w:r>
              <w:rPr>
                <w:rFonts w:hint="eastAsia" w:ascii="宋体" w:hAnsi="宋体" w:cs="宋体"/>
                <w:kern w:val="0"/>
                <w:sz w:val="24"/>
              </w:rPr>
              <w:t>断桥、</w:t>
            </w:r>
            <w:r>
              <w:rPr>
                <w:rFonts w:hint="eastAsia" w:ascii="宋体" w:hAnsi="宋体" w:cs="宋体"/>
                <w:sz w:val="24"/>
              </w:rPr>
              <w:t>③</w:t>
            </w:r>
            <w:r>
              <w:rPr>
                <w:rFonts w:hint="eastAsia" w:ascii="宋体" w:hAnsi="宋体" w:cs="宋体"/>
                <w:kern w:val="0"/>
                <w:sz w:val="24"/>
              </w:rPr>
              <w:t>荡木桥、</w:t>
            </w:r>
            <w:r>
              <w:rPr>
                <w:rFonts w:hint="eastAsia" w:ascii="宋体" w:hAnsi="宋体" w:cs="宋体"/>
                <w:sz w:val="24"/>
              </w:rPr>
              <w:t>④</w:t>
            </w:r>
            <w:r>
              <w:rPr>
                <w:rFonts w:hint="eastAsia" w:ascii="宋体" w:hAnsi="宋体" w:cs="宋体"/>
                <w:kern w:val="0"/>
                <w:sz w:val="24"/>
              </w:rPr>
              <w:t>绳网、</w:t>
            </w:r>
            <w:r>
              <w:rPr>
                <w:rFonts w:hint="eastAsia" w:ascii="宋体" w:hAnsi="宋体" w:cs="宋体"/>
                <w:sz w:val="24"/>
              </w:rPr>
              <w:t>⑤</w:t>
            </w:r>
            <w:r>
              <w:rPr>
                <w:rFonts w:hint="eastAsia" w:ascii="宋体" w:hAnsi="宋体" w:cs="宋体"/>
                <w:kern w:val="0"/>
                <w:sz w:val="24"/>
              </w:rPr>
              <w:t>云梯、</w:t>
            </w:r>
            <w:r>
              <w:rPr>
                <w:rFonts w:hint="eastAsia" w:ascii="宋体" w:hAnsi="宋体" w:cs="宋体"/>
                <w:sz w:val="24"/>
              </w:rPr>
              <w:t>⑥</w:t>
            </w:r>
            <w:r>
              <w:rPr>
                <w:rFonts w:hint="eastAsia" w:ascii="宋体" w:hAnsi="宋体" w:cs="宋体"/>
                <w:kern w:val="0"/>
                <w:sz w:val="24"/>
              </w:rPr>
              <w:t>吊索道、</w:t>
            </w:r>
            <w:r>
              <w:rPr>
                <w:rFonts w:hint="eastAsia" w:ascii="宋体" w:hAnsi="宋体" w:cs="宋体"/>
                <w:sz w:val="24"/>
              </w:rPr>
              <w:t>⑦</w:t>
            </w:r>
            <w:r>
              <w:rPr>
                <w:rFonts w:hint="eastAsia" w:ascii="宋体" w:hAnsi="宋体" w:cs="宋体"/>
                <w:kern w:val="0"/>
                <w:sz w:val="24"/>
              </w:rPr>
              <w:t>空中索道、</w:t>
            </w:r>
            <w:r>
              <w:rPr>
                <w:rFonts w:hint="eastAsia" w:ascii="宋体" w:hAnsi="宋体" w:cs="宋体"/>
                <w:sz w:val="24"/>
              </w:rPr>
              <w:t>⑧</w:t>
            </w:r>
            <w:r>
              <w:rPr>
                <w:rFonts w:hint="eastAsia" w:ascii="宋体" w:hAnsi="宋体" w:cs="宋体"/>
                <w:kern w:val="0"/>
                <w:sz w:val="24"/>
              </w:rPr>
              <w:t>攀岩墙、</w:t>
            </w:r>
            <w:r>
              <w:rPr>
                <w:rFonts w:hint="eastAsia" w:ascii="宋体" w:hAnsi="宋体" w:cs="宋体"/>
                <w:sz w:val="24"/>
              </w:rPr>
              <w:t>⑨</w:t>
            </w:r>
            <w:r>
              <w:rPr>
                <w:rFonts w:hint="eastAsia" w:ascii="宋体" w:hAnsi="宋体" w:cs="宋体"/>
                <w:kern w:val="0"/>
                <w:sz w:val="24"/>
              </w:rPr>
              <w:t>平行钢绳。</w:t>
            </w:r>
          </w:p>
        </w:tc>
        <w:tc>
          <w:tcPr>
            <w:tcW w:w="413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①空中单杠：一根直径30厘米，长约1米的圆柱形钢管，用两个铁索联接于横梁上抱箍，抱箍通过绳索牵引在横梁上运动，从而调节单杠与立柱之间的距离。空中单杠与高8.2米立柱配合使用。</w:t>
            </w:r>
          </w:p>
          <w:p>
            <w:pPr>
              <w:rPr>
                <w:rFonts w:hint="eastAsia" w:ascii="宋体" w:hAnsi="宋体" w:cs="宋体"/>
                <w:sz w:val="24"/>
              </w:rPr>
            </w:pPr>
            <w:r>
              <w:rPr>
                <w:rFonts w:hint="eastAsia" w:ascii="宋体" w:hAnsi="宋体" w:cs="宋体"/>
                <w:sz w:val="24"/>
              </w:rPr>
              <w:t>②断桥：由两块宽30厘米、长2.5米的钢板构成。其中一块桥板上设有摇臂联接蜗杆、蜗轮，用以调节移动桥板，桥板可移动范围1米，从而使两块桥板间距离为1.2至2.2米。</w:t>
            </w:r>
          </w:p>
          <w:p>
            <w:pPr>
              <w:rPr>
                <w:rFonts w:hint="eastAsia" w:ascii="宋体" w:hAnsi="宋体" w:cs="宋体"/>
                <w:sz w:val="24"/>
              </w:rPr>
            </w:pPr>
            <w:r>
              <w:rPr>
                <w:rFonts w:hint="eastAsia" w:ascii="宋体" w:hAnsi="宋体" w:cs="宋体"/>
                <w:sz w:val="24"/>
              </w:rPr>
              <w:t>③荡木桥：直径约18厘米、长30厘米的圆木7根，每根圆木通过两根链条悬挂，相邻间隔1.2米。</w:t>
            </w:r>
          </w:p>
          <w:p>
            <w:pPr>
              <w:rPr>
                <w:rFonts w:hint="eastAsia" w:ascii="宋体" w:hAnsi="宋体" w:cs="宋体"/>
                <w:sz w:val="24"/>
              </w:rPr>
            </w:pPr>
            <w:r>
              <w:rPr>
                <w:rFonts w:hint="eastAsia" w:ascii="宋体" w:hAnsi="宋体" w:cs="宋体"/>
                <w:sz w:val="24"/>
              </w:rPr>
              <w:t>④绳网：两张4×4米绳索编织而成的网状障碍，对角相挂在主架上。</w:t>
            </w:r>
          </w:p>
          <w:p>
            <w:pPr>
              <w:rPr>
                <w:rFonts w:hint="eastAsia" w:ascii="宋体" w:hAnsi="宋体" w:cs="宋体"/>
                <w:sz w:val="24"/>
              </w:rPr>
            </w:pPr>
            <w:r>
              <w:rPr>
                <w:rFonts w:hint="eastAsia" w:ascii="宋体" w:hAnsi="宋体" w:cs="宋体"/>
                <w:sz w:val="24"/>
              </w:rPr>
              <w:t>⑤云梯：用两根绳子将四个橡胶轮胎、四根横木联接起来，横木直径20厘米、长2.4米，由上至下间距依次为1.4米、1.5米和1.6米，轮胎位于横木下方。</w:t>
            </w:r>
            <w:r>
              <w:rPr>
                <w:rFonts w:hint="eastAsia" w:ascii="宋体" w:hAnsi="宋体" w:cs="宋体"/>
                <w:sz w:val="24"/>
              </w:rPr>
              <w:br w:type="textWrapping"/>
            </w:r>
            <w:r>
              <w:rPr>
                <w:rFonts w:hint="eastAsia" w:ascii="宋体" w:hAnsi="宋体" w:cs="宋体"/>
                <w:sz w:val="24"/>
              </w:rPr>
              <w:t>⑥吊索道：两根铁链和数块宽15厘米木板联接而成，距地垂直高度10米。</w:t>
            </w:r>
          </w:p>
          <w:p>
            <w:pPr>
              <w:rPr>
                <w:rFonts w:hint="eastAsia" w:ascii="宋体" w:hAnsi="宋体" w:cs="宋体"/>
                <w:sz w:val="24"/>
              </w:rPr>
            </w:pPr>
            <w:r>
              <w:rPr>
                <w:rFonts w:hint="eastAsia" w:ascii="宋体" w:hAnsi="宋体" w:cs="宋体"/>
                <w:sz w:val="24"/>
              </w:rPr>
              <w:t>⑦空中索道：由一根独立的</w:t>
            </w:r>
            <w:r>
              <w:rPr>
                <w:rFonts w:hint="eastAsia" w:ascii="宋体" w:hAnsi="宋体" w:cs="宋体"/>
                <w:color w:val="FF0000"/>
                <w:sz w:val="24"/>
              </w:rPr>
              <w:t>钢</w:t>
            </w:r>
            <w:r>
              <w:rPr>
                <w:rFonts w:hint="eastAsia" w:ascii="宋体" w:hAnsi="宋体" w:cs="宋体"/>
                <w:sz w:val="24"/>
              </w:rPr>
              <w:t>丝和数根吊绳组成，独立钢丝距地垂直高度10米，吊绳之间间距1.2米。</w:t>
            </w:r>
          </w:p>
          <w:p>
            <w:pPr>
              <w:rPr>
                <w:rFonts w:hint="eastAsia" w:ascii="宋体" w:hAnsi="宋体" w:cs="宋体"/>
                <w:sz w:val="24"/>
              </w:rPr>
            </w:pPr>
            <w:r>
              <w:rPr>
                <w:rFonts w:hint="eastAsia" w:ascii="宋体" w:hAnsi="宋体" w:cs="宋体"/>
                <w:sz w:val="24"/>
              </w:rPr>
              <w:t>⑧攀岩墙：装有大小形状不同、高低相错的岩点，攀岩板通常有垂直攀登面和陡峭攀登面。</w:t>
            </w:r>
          </w:p>
          <w:p>
            <w:pPr>
              <w:rPr>
                <w:rFonts w:hint="eastAsia" w:ascii="宋体" w:hAnsi="宋体" w:cs="宋体"/>
                <w:sz w:val="24"/>
              </w:rPr>
            </w:pPr>
            <w:r>
              <w:rPr>
                <w:rFonts w:hint="eastAsia" w:ascii="宋体" w:hAnsi="宋体" w:cs="宋体"/>
                <w:sz w:val="24"/>
              </w:rPr>
              <w:t>⑨平行钢绳：两根相距1.2米的钢丝绳在高空形成相互合作的通路。</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套</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84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98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215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四米墙</w:t>
            </w:r>
          </w:p>
        </w:tc>
        <w:tc>
          <w:tcPr>
            <w:tcW w:w="413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高4米、宽2.4米的整体钢型材焊接墙面，一侧设有下行竖梯，正面为花纹钢板，后面设有斜支撑。</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个</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84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98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215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背摔台</w:t>
            </w:r>
          </w:p>
        </w:tc>
        <w:tc>
          <w:tcPr>
            <w:tcW w:w="413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高1.6米的钢型材焊接平台，侧面设有斜梯。</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个</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84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98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215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安全装备</w:t>
            </w:r>
          </w:p>
        </w:tc>
        <w:tc>
          <w:tcPr>
            <w:tcW w:w="413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训练项目所需的安全防护装备。</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套</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84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98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215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人员培训</w:t>
            </w:r>
          </w:p>
        </w:tc>
        <w:tc>
          <w:tcPr>
            <w:tcW w:w="413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培训多名教员和安全员。</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项</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84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98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215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多媒体训练教程</w:t>
            </w:r>
          </w:p>
        </w:tc>
        <w:tc>
          <w:tcPr>
            <w:tcW w:w="413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包含教学光盘、教具等。</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套</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84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98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7</w:t>
            </w:r>
          </w:p>
        </w:tc>
        <w:tc>
          <w:tcPr>
            <w:tcW w:w="215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运输、安装、基础施工费</w:t>
            </w:r>
          </w:p>
        </w:tc>
        <w:tc>
          <w:tcPr>
            <w:tcW w:w="4133" w:type="dxa"/>
            <w:tcBorders>
              <w:top w:val="single" w:color="auto" w:sz="4" w:space="0"/>
              <w:left w:val="nil"/>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按照心理行为训练场的施工要求进行安装调试。</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项</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84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bl>
    <w:p>
      <w:pPr>
        <w:tabs>
          <w:tab w:val="left" w:pos="2730"/>
          <w:tab w:val="left" w:pos="2835"/>
        </w:tabs>
        <w:adjustRightInd w:val="0"/>
        <w:snapToGrid w:val="0"/>
        <w:spacing w:before="156" w:beforeLines="50" w:after="156" w:afterLines="50" w:line="440" w:lineRule="exact"/>
        <w:ind w:left="720"/>
        <w:rPr>
          <w:rFonts w:hint="eastAsia" w:ascii="宋体" w:hAnsi="宋体" w:cs="宋体"/>
          <w:b/>
          <w:sz w:val="28"/>
          <w:szCs w:val="28"/>
        </w:rPr>
      </w:pPr>
    </w:p>
    <w:p>
      <w:pPr>
        <w:tabs>
          <w:tab w:val="left" w:pos="2730"/>
          <w:tab w:val="left" w:pos="2835"/>
        </w:tabs>
        <w:adjustRightInd w:val="0"/>
        <w:snapToGrid w:val="0"/>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二、相关技术参数</w:t>
      </w:r>
    </w:p>
    <w:p>
      <w:pPr>
        <w:tabs>
          <w:tab w:val="left" w:pos="2730"/>
          <w:tab w:val="left" w:pos="2835"/>
        </w:tabs>
        <w:adjustRightInd w:val="0"/>
        <w:snapToGrid w:val="0"/>
        <w:spacing w:before="156" w:beforeLines="50" w:after="156" w:afterLines="50" w:line="440" w:lineRule="exact"/>
        <w:rPr>
          <w:rFonts w:hint="eastAsia" w:ascii="宋体" w:hAnsi="宋体" w:cs="宋体"/>
          <w:b/>
          <w:sz w:val="28"/>
          <w:szCs w:val="28"/>
        </w:rPr>
      </w:pPr>
    </w:p>
    <w:tbl>
      <w:tblPr>
        <w:tblStyle w:val="16"/>
        <w:tblW w:w="9990" w:type="dxa"/>
        <w:tblInd w:w="-343" w:type="dxa"/>
        <w:tblLayout w:type="fixed"/>
        <w:tblCellMar>
          <w:top w:w="0" w:type="dxa"/>
          <w:left w:w="108" w:type="dxa"/>
          <w:bottom w:w="0" w:type="dxa"/>
          <w:right w:w="108" w:type="dxa"/>
        </w:tblCellMar>
      </w:tblPr>
      <w:tblGrid>
        <w:gridCol w:w="825"/>
        <w:gridCol w:w="1989"/>
        <w:gridCol w:w="7176"/>
      </w:tblGrid>
      <w:tr>
        <w:tblPrEx>
          <w:tblLayout w:type="fixed"/>
          <w:tblCellMar>
            <w:top w:w="0" w:type="dxa"/>
            <w:left w:w="108" w:type="dxa"/>
            <w:bottom w:w="0" w:type="dxa"/>
            <w:right w:w="108" w:type="dxa"/>
          </w:tblCellMar>
        </w:tblPrEx>
        <w:trPr>
          <w:trHeight w:val="405" w:hRule="atLeast"/>
        </w:trP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9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名称</w:t>
            </w:r>
          </w:p>
        </w:tc>
        <w:tc>
          <w:tcPr>
            <w:tcW w:w="71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质量技术标准</w:t>
            </w:r>
          </w:p>
        </w:tc>
      </w:tr>
      <w:tr>
        <w:tblPrEx>
          <w:tblLayout w:type="fixed"/>
          <w:tblCellMar>
            <w:top w:w="0" w:type="dxa"/>
            <w:left w:w="108" w:type="dxa"/>
            <w:bottom w:w="0" w:type="dxa"/>
            <w:right w:w="108" w:type="dxa"/>
          </w:tblCellMar>
        </w:tblPrEx>
        <w:trPr>
          <w:trHeight w:val="423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★主体钢构架</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1.立柱：直径不小于Φ155mm，厚度不小于6mm；材料符合标准GB/T700-1988；整体高度不低于11米。</w:t>
            </w:r>
            <w:r>
              <w:rPr>
                <w:rFonts w:hint="eastAsia" w:ascii="宋体" w:hAnsi="宋体" w:cs="宋体"/>
                <w:color w:val="000000"/>
                <w:kern w:val="0"/>
                <w:sz w:val="24"/>
              </w:rPr>
              <w:br w:type="textWrapping"/>
            </w:r>
            <w:r>
              <w:rPr>
                <w:rFonts w:hint="eastAsia" w:ascii="宋体" w:hAnsi="宋体" w:cs="宋体"/>
                <w:color w:val="000000"/>
                <w:kern w:val="0"/>
                <w:sz w:val="24"/>
              </w:rPr>
              <w:t>2.横梁：直径不小于Φ155mm，厚度不小于5mm；材料符合标准GB/T700-1988。</w:t>
            </w:r>
            <w:r>
              <w:rPr>
                <w:rFonts w:hint="eastAsia" w:ascii="宋体" w:hAnsi="宋体" w:cs="宋体"/>
                <w:color w:val="000000"/>
                <w:kern w:val="0"/>
                <w:sz w:val="24"/>
              </w:rPr>
              <w:br w:type="textWrapping"/>
            </w:r>
            <w:r>
              <w:rPr>
                <w:rFonts w:hint="eastAsia" w:ascii="宋体" w:hAnsi="宋体" w:cs="宋体"/>
                <w:color w:val="000000"/>
                <w:kern w:val="0"/>
                <w:sz w:val="24"/>
              </w:rPr>
              <w:t>3.地脚连接：预制水泥底座，方便安装及拆装；地脚螺栓：M20×800，材料符合标准GB/T700-1988；力学性能：最小拉力载荷103kN、保证载荷76kN。</w:t>
            </w:r>
            <w:r>
              <w:rPr>
                <w:rFonts w:hint="eastAsia" w:ascii="宋体" w:hAnsi="宋体" w:cs="宋体"/>
                <w:color w:val="000000"/>
                <w:kern w:val="0"/>
                <w:sz w:val="24"/>
              </w:rPr>
              <w:br w:type="textWrapping"/>
            </w:r>
            <w:r>
              <w:rPr>
                <w:rFonts w:hint="eastAsia" w:ascii="宋体" w:hAnsi="宋体" w:cs="宋体"/>
                <w:color w:val="000000"/>
                <w:kern w:val="0"/>
                <w:sz w:val="24"/>
              </w:rPr>
              <w:t>4. 立柱横梁连接：U型螺栓M20×950mm，材料符合标准GB/T700-1988；力学性能：最小拉力载荷103kN、保证载荷76kN；表面防腐处理（热镀锌）。螺栓M30×260mm，材料符合标准GB/T700-1988；力学性能：最小拉力载荷236kN、保证载荷174kN；表面防腐处理（热镀锌）。</w:t>
            </w:r>
            <w:r>
              <w:rPr>
                <w:rFonts w:hint="eastAsia" w:ascii="宋体" w:hAnsi="宋体" w:cs="宋体"/>
                <w:color w:val="000000"/>
                <w:kern w:val="0"/>
                <w:sz w:val="24"/>
              </w:rPr>
              <w:br w:type="textWrapping"/>
            </w:r>
            <w:r>
              <w:rPr>
                <w:rFonts w:hint="eastAsia" w:ascii="宋体" w:hAnsi="宋体" w:cs="宋体"/>
                <w:color w:val="000000"/>
                <w:kern w:val="0"/>
                <w:sz w:val="24"/>
              </w:rPr>
              <w:t>5.在现场直接组装，无需现场焊接，整个器材可以整体挪动而不损坏。</w:t>
            </w:r>
          </w:p>
        </w:tc>
      </w:tr>
      <w:tr>
        <w:tblPrEx>
          <w:tblLayout w:type="fixed"/>
          <w:tblCellMar>
            <w:top w:w="0" w:type="dxa"/>
            <w:left w:w="108" w:type="dxa"/>
            <w:bottom w:w="0" w:type="dxa"/>
            <w:right w:w="108" w:type="dxa"/>
          </w:tblCellMar>
        </w:tblPrEx>
        <w:trPr>
          <w:trHeight w:val="540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★保护系统</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 通用保护系统：</w:t>
            </w:r>
            <w:r>
              <w:rPr>
                <w:rFonts w:hint="eastAsia" w:ascii="宋体" w:hAnsi="宋体" w:cs="宋体"/>
                <w:color w:val="000000"/>
                <w:kern w:val="0"/>
                <w:sz w:val="24"/>
              </w:rPr>
              <w:br w:type="textWrapping"/>
            </w:r>
            <w:r>
              <w:rPr>
                <w:rFonts w:hint="eastAsia" w:ascii="宋体" w:hAnsi="宋体" w:cs="宋体"/>
                <w:color w:val="000000"/>
                <w:kern w:val="0"/>
                <w:sz w:val="24"/>
              </w:rPr>
              <w:t>钢丝绳：直径Φ14mm，</w:t>
            </w:r>
            <w:r>
              <w:rPr>
                <w:rFonts w:hint="eastAsia" w:ascii="宋体" w:hAnsi="宋体" w:cs="宋体"/>
                <w:kern w:val="0"/>
                <w:sz w:val="24"/>
              </w:rPr>
              <w:t>类型：6×7+FC，</w:t>
            </w:r>
            <w:r>
              <w:rPr>
                <w:rFonts w:hint="eastAsia" w:ascii="宋体" w:hAnsi="宋体" w:cs="宋体"/>
                <w:color w:val="000000"/>
                <w:kern w:val="0"/>
                <w:sz w:val="24"/>
              </w:rPr>
              <w:t>镀锌钢丝绳，最小破断载荷102kN。</w:t>
            </w:r>
            <w:r>
              <w:rPr>
                <w:rFonts w:hint="eastAsia" w:ascii="宋体" w:hAnsi="宋体" w:cs="宋体"/>
                <w:color w:val="000000"/>
                <w:kern w:val="0"/>
                <w:sz w:val="24"/>
              </w:rPr>
              <w:br w:type="textWrapping"/>
            </w:r>
            <w:r>
              <w:rPr>
                <w:rFonts w:hint="eastAsia" w:ascii="宋体" w:hAnsi="宋体" w:cs="宋体"/>
                <w:color w:val="000000"/>
                <w:kern w:val="0"/>
                <w:sz w:val="24"/>
              </w:rPr>
              <w:t>弓形卸扣：7/8英寸，美标G2130型弓形卸扣；力学性能：额定载荷6.5吨；表面防腐处理。</w:t>
            </w:r>
            <w:r>
              <w:rPr>
                <w:rFonts w:hint="eastAsia" w:ascii="宋体" w:hAnsi="宋体" w:cs="宋体"/>
                <w:color w:val="000000"/>
                <w:kern w:val="0"/>
                <w:sz w:val="24"/>
              </w:rPr>
              <w:br w:type="textWrapping"/>
            </w:r>
            <w:r>
              <w:rPr>
                <w:rFonts w:hint="eastAsia" w:ascii="宋体" w:hAnsi="宋体" w:cs="宋体"/>
                <w:color w:val="000000"/>
                <w:kern w:val="0"/>
                <w:sz w:val="24"/>
              </w:rPr>
              <w:t>花兰螺丝：1 1/4英寸，美式UU型；力学性能：额定载荷：6.89吨；表面防腐处理。</w:t>
            </w:r>
            <w:r>
              <w:rPr>
                <w:rFonts w:hint="eastAsia" w:ascii="宋体" w:hAnsi="宋体" w:cs="宋体"/>
                <w:color w:val="000000"/>
                <w:kern w:val="0"/>
                <w:sz w:val="24"/>
              </w:rPr>
              <w:br w:type="textWrapping"/>
            </w:r>
            <w:r>
              <w:rPr>
                <w:rFonts w:hint="eastAsia" w:ascii="宋体" w:hAnsi="宋体" w:cs="宋体"/>
                <w:color w:val="000000"/>
                <w:kern w:val="0"/>
                <w:sz w:val="24"/>
              </w:rPr>
              <w:t>滑轮：额定载荷2吨。</w:t>
            </w:r>
            <w:r>
              <w:rPr>
                <w:rFonts w:hint="eastAsia" w:ascii="宋体" w:hAnsi="宋体" w:cs="宋体"/>
                <w:color w:val="000000"/>
                <w:kern w:val="0"/>
                <w:sz w:val="24"/>
              </w:rPr>
              <w:br w:type="textWrapping"/>
            </w:r>
            <w:r>
              <w:rPr>
                <w:rFonts w:hint="eastAsia" w:ascii="宋体" w:hAnsi="宋体" w:cs="宋体"/>
                <w:color w:val="000000"/>
                <w:kern w:val="0"/>
                <w:sz w:val="24"/>
              </w:rPr>
              <w:t>弓形卸扣：5/8英寸，美标G2130型弓形卸扣；力学性能：额定载荷3.25吨；表面防腐处理。</w:t>
            </w:r>
            <w:r>
              <w:rPr>
                <w:rFonts w:hint="eastAsia" w:ascii="宋体" w:hAnsi="宋体" w:cs="宋体"/>
                <w:color w:val="000000"/>
                <w:kern w:val="0"/>
                <w:sz w:val="24"/>
              </w:rPr>
              <w:br w:type="textWrapping"/>
            </w:r>
            <w:r>
              <w:rPr>
                <w:rFonts w:hint="eastAsia" w:ascii="宋体" w:hAnsi="宋体" w:cs="宋体"/>
                <w:color w:val="000000"/>
                <w:kern w:val="0"/>
                <w:sz w:val="24"/>
              </w:rPr>
              <w:t>梨形环：直径Φ14mm，材料符合标准GB/T3077-1999；力学性能：额定载荷3.5吨、6吨无变形、破断载荷20吨。</w:t>
            </w:r>
            <w:r>
              <w:rPr>
                <w:rFonts w:hint="eastAsia" w:ascii="宋体" w:hAnsi="宋体" w:cs="宋体"/>
                <w:color w:val="000000"/>
                <w:kern w:val="0"/>
                <w:sz w:val="24"/>
              </w:rPr>
              <w:br w:type="textWrapping"/>
            </w:r>
            <w:r>
              <w:rPr>
                <w:rFonts w:hint="eastAsia" w:ascii="宋体" w:hAnsi="宋体" w:cs="宋体"/>
                <w:color w:val="000000"/>
                <w:kern w:val="0"/>
                <w:sz w:val="24"/>
              </w:rPr>
              <w:t>2. 固定端保护系统：（云梯、攀岩等项目）</w:t>
            </w:r>
            <w:r>
              <w:rPr>
                <w:rFonts w:hint="eastAsia" w:ascii="宋体" w:hAnsi="宋体" w:cs="宋体"/>
                <w:color w:val="000000"/>
                <w:kern w:val="0"/>
                <w:sz w:val="24"/>
              </w:rPr>
              <w:br w:type="textWrapping"/>
            </w:r>
            <w:r>
              <w:rPr>
                <w:rFonts w:hint="eastAsia" w:ascii="宋体" w:hAnsi="宋体" w:cs="宋体"/>
                <w:color w:val="000000"/>
                <w:kern w:val="0"/>
                <w:sz w:val="24"/>
              </w:rPr>
              <w:t>弓形卸扣：5/8英寸，美标G2130型弓形卸扣；力学性能：额定载荷3.25吨；表面防腐处理。</w:t>
            </w:r>
            <w:r>
              <w:rPr>
                <w:rFonts w:hint="eastAsia" w:ascii="宋体" w:hAnsi="宋体" w:cs="宋体"/>
                <w:color w:val="000000"/>
                <w:kern w:val="0"/>
                <w:sz w:val="24"/>
              </w:rPr>
              <w:br w:type="textWrapping"/>
            </w:r>
            <w:r>
              <w:rPr>
                <w:rFonts w:hint="eastAsia" w:ascii="宋体" w:hAnsi="宋体" w:cs="宋体"/>
                <w:color w:val="000000"/>
                <w:kern w:val="0"/>
                <w:sz w:val="24"/>
              </w:rPr>
              <w:t>梨形环：直径Φ14mm；材料符合标准GB/T3077-1999；力学性能：额定载荷3.5吨、6吨无变形、破断载荷20吨。</w:t>
            </w:r>
          </w:p>
        </w:tc>
      </w:tr>
      <w:tr>
        <w:tblPrEx>
          <w:tblLayout w:type="fixed"/>
          <w:tblCellMar>
            <w:top w:w="0" w:type="dxa"/>
            <w:left w:w="108" w:type="dxa"/>
            <w:bottom w:w="0" w:type="dxa"/>
            <w:right w:w="108" w:type="dxa"/>
          </w:tblCellMar>
        </w:tblPrEx>
        <w:trPr>
          <w:trHeight w:val="324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★空中单杠</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1.单杠长1米，其他标准不低于GB/T8390-2007。</w:t>
            </w:r>
            <w:r>
              <w:rPr>
                <w:rFonts w:hint="eastAsia" w:ascii="宋体" w:hAnsi="宋体" w:cs="宋体"/>
                <w:color w:val="000000"/>
                <w:kern w:val="0"/>
                <w:sz w:val="24"/>
              </w:rPr>
              <w:br w:type="textWrapping"/>
            </w:r>
            <w:r>
              <w:rPr>
                <w:rFonts w:hint="eastAsia" w:ascii="宋体" w:hAnsi="宋体" w:cs="宋体"/>
                <w:color w:val="000000"/>
                <w:kern w:val="0"/>
                <w:sz w:val="24"/>
              </w:rPr>
              <w:t>2.链条：直径Φ8mmＴ８级高强度链条，执行标准JB/T8108-1999；材料符合标准YB/T5211；力学性能：最小破断力80.6kN、极限工作载荷200kN；表面防腐处理。</w:t>
            </w:r>
            <w:r>
              <w:rPr>
                <w:rFonts w:hint="eastAsia" w:ascii="宋体" w:hAnsi="宋体" w:cs="宋体"/>
                <w:color w:val="000000"/>
                <w:kern w:val="0"/>
                <w:sz w:val="24"/>
              </w:rPr>
              <w:br w:type="textWrapping"/>
            </w:r>
            <w:r>
              <w:rPr>
                <w:rFonts w:hint="eastAsia" w:ascii="宋体" w:hAnsi="宋体" w:cs="宋体"/>
                <w:color w:val="000000"/>
                <w:kern w:val="0"/>
                <w:sz w:val="24"/>
              </w:rPr>
              <w:t>3.弓形卸扣：1/2英寸，美标G2130型弓形卸扣；力学性能：额定载荷2吨；表面防腐处理。</w:t>
            </w:r>
            <w:r>
              <w:rPr>
                <w:rFonts w:hint="eastAsia" w:ascii="宋体" w:hAnsi="宋体" w:cs="宋体"/>
                <w:color w:val="000000"/>
                <w:kern w:val="0"/>
                <w:sz w:val="24"/>
              </w:rPr>
              <w:br w:type="textWrapping"/>
            </w:r>
            <w:r>
              <w:rPr>
                <w:rFonts w:hint="eastAsia" w:ascii="宋体" w:hAnsi="宋体" w:cs="宋体"/>
                <w:color w:val="000000"/>
                <w:kern w:val="0"/>
                <w:sz w:val="24"/>
              </w:rPr>
              <w:t>4.弓形卸扣：5/8英寸，美标G2130型弓形卸扣；力学性能：额定载荷3.25吨；表面防腐处理。</w:t>
            </w:r>
            <w:r>
              <w:rPr>
                <w:rFonts w:hint="eastAsia" w:ascii="宋体" w:hAnsi="宋体" w:cs="宋体"/>
                <w:color w:val="000000"/>
                <w:kern w:val="0"/>
                <w:sz w:val="24"/>
              </w:rPr>
              <w:br w:type="textWrapping"/>
            </w:r>
            <w:r>
              <w:rPr>
                <w:rFonts w:hint="eastAsia" w:ascii="宋体" w:hAnsi="宋体" w:cs="宋体"/>
                <w:color w:val="000000"/>
                <w:kern w:val="0"/>
                <w:sz w:val="24"/>
              </w:rPr>
              <w:t>5.快速连接环：直径Φ10mm，力学性能：额定载荷：2200 lbs；表面处理。</w:t>
            </w:r>
            <w:r>
              <w:rPr>
                <w:rFonts w:hint="eastAsia" w:ascii="宋体" w:hAnsi="宋体" w:cs="宋体"/>
                <w:color w:val="000000"/>
                <w:kern w:val="0"/>
                <w:sz w:val="24"/>
              </w:rPr>
              <w:br w:type="textWrapping"/>
            </w:r>
            <w:r>
              <w:rPr>
                <w:rFonts w:hint="eastAsia" w:ascii="宋体" w:hAnsi="宋体" w:cs="宋体"/>
                <w:color w:val="000000"/>
                <w:kern w:val="0"/>
                <w:sz w:val="24"/>
              </w:rPr>
              <w:t>6.调节系统：小滑车，0.1吨；抗老化滑车绳。</w:t>
            </w:r>
          </w:p>
        </w:tc>
      </w:tr>
      <w:tr>
        <w:tblPrEx>
          <w:tblLayout w:type="fixed"/>
          <w:tblCellMar>
            <w:top w:w="0" w:type="dxa"/>
            <w:left w:w="108" w:type="dxa"/>
            <w:bottom w:w="0" w:type="dxa"/>
            <w:right w:w="108" w:type="dxa"/>
          </w:tblCellMar>
        </w:tblPrEx>
        <w:trPr>
          <w:trHeight w:val="258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★断桥</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1.由两块宽30厘米、长2.5米的钢板构成。其中一块桥板上设有摇臂联接蜗杆、蜗轮，用以调节移动桥板，桥板可移动范围1米，从而使两块桥板间距离为1.2至2.2米。</w:t>
            </w:r>
            <w:r>
              <w:rPr>
                <w:rFonts w:hint="eastAsia" w:ascii="宋体" w:hAnsi="宋体" w:cs="宋体"/>
                <w:color w:val="000000"/>
                <w:kern w:val="0"/>
                <w:sz w:val="24"/>
              </w:rPr>
              <w:br w:type="textWrapping"/>
            </w:r>
            <w:r>
              <w:rPr>
                <w:rFonts w:hint="eastAsia" w:ascii="宋体" w:hAnsi="宋体" w:cs="宋体"/>
                <w:color w:val="000000"/>
                <w:kern w:val="0"/>
                <w:sz w:val="24"/>
              </w:rPr>
              <w:t>2.槽钢[80（GB/T707-1988），材料符合标准GB/T700-1988。</w:t>
            </w:r>
            <w:r>
              <w:rPr>
                <w:rFonts w:hint="eastAsia" w:ascii="宋体" w:hAnsi="宋体" w:cs="宋体"/>
                <w:color w:val="000000"/>
                <w:kern w:val="0"/>
                <w:sz w:val="24"/>
              </w:rPr>
              <w:br w:type="textWrapping"/>
            </w:r>
            <w:r>
              <w:rPr>
                <w:rFonts w:hint="eastAsia" w:ascii="宋体" w:hAnsi="宋体" w:cs="宋体"/>
                <w:color w:val="000000"/>
                <w:kern w:val="0"/>
                <w:sz w:val="24"/>
              </w:rPr>
              <w:t>3.桥板为扁豆形花纹钢板：厚度不小于3mm（GB/T3277-1991），材料符合标准GB/T700-1988。</w:t>
            </w:r>
            <w:r>
              <w:rPr>
                <w:rFonts w:hint="eastAsia" w:ascii="宋体" w:hAnsi="宋体" w:cs="宋体"/>
                <w:color w:val="000000"/>
                <w:kern w:val="0"/>
                <w:sz w:val="24"/>
              </w:rPr>
              <w:br w:type="textWrapping"/>
            </w:r>
            <w:r>
              <w:rPr>
                <w:rFonts w:hint="eastAsia" w:ascii="宋体" w:hAnsi="宋体" w:cs="宋体"/>
                <w:color w:val="000000"/>
                <w:kern w:val="0"/>
                <w:sz w:val="24"/>
              </w:rPr>
              <w:t>4.U型螺栓：M20×600mm，材料符合标准GB/T700-1988；力学性能：最小拉力载荷103kN、保证载荷76kN；表面防腐处理（热镀锌）。</w:t>
            </w:r>
          </w:p>
        </w:tc>
      </w:tr>
      <w:tr>
        <w:tblPrEx>
          <w:tblLayout w:type="fixed"/>
          <w:tblCellMar>
            <w:top w:w="0" w:type="dxa"/>
            <w:left w:w="108" w:type="dxa"/>
            <w:bottom w:w="0" w:type="dxa"/>
            <w:right w:w="108" w:type="dxa"/>
          </w:tblCellMar>
        </w:tblPrEx>
        <w:trPr>
          <w:trHeight w:val="351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★荡木桥</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1.荡木轮：最少7根，相邻间隔1.2米；直径Φ140-160mm，长400mm，松木制成，两端抱箍连接，抱箍热镀锌。</w:t>
            </w:r>
            <w:r>
              <w:rPr>
                <w:rFonts w:hint="eastAsia" w:ascii="宋体" w:hAnsi="宋体" w:cs="宋体"/>
                <w:color w:val="000000"/>
                <w:kern w:val="0"/>
                <w:sz w:val="24"/>
              </w:rPr>
              <w:br w:type="textWrapping"/>
            </w:r>
            <w:r>
              <w:rPr>
                <w:rFonts w:hint="eastAsia" w:ascii="宋体" w:hAnsi="宋体" w:cs="宋体"/>
                <w:color w:val="000000"/>
                <w:kern w:val="0"/>
                <w:sz w:val="24"/>
              </w:rPr>
              <w:t>2.直径Φ6mmＴ８级高强度链条，执行标准JB/T8108-1999；材料符合标准YB/T5211；力学性能：最小破断力50kN、极限工作载荷125kN；表面防腐处理（热镀锌）。</w:t>
            </w:r>
            <w:r>
              <w:rPr>
                <w:rFonts w:hint="eastAsia" w:ascii="宋体" w:hAnsi="宋体" w:cs="宋体"/>
                <w:color w:val="000000"/>
                <w:kern w:val="0"/>
                <w:sz w:val="24"/>
              </w:rPr>
              <w:br w:type="textWrapping"/>
            </w:r>
            <w:r>
              <w:rPr>
                <w:rFonts w:hint="eastAsia" w:ascii="宋体" w:hAnsi="宋体" w:cs="宋体"/>
                <w:color w:val="000000"/>
                <w:kern w:val="0"/>
                <w:sz w:val="24"/>
              </w:rPr>
              <w:t>3.弓形卸扣：1/2英寸，美标G2130型弓形卸扣；力学性能：额定载荷2吨；表面防腐处理（热镀锌）。</w:t>
            </w:r>
            <w:r>
              <w:rPr>
                <w:rFonts w:hint="eastAsia" w:ascii="宋体" w:hAnsi="宋体" w:cs="宋体"/>
                <w:color w:val="000000"/>
                <w:kern w:val="0"/>
                <w:sz w:val="24"/>
              </w:rPr>
              <w:br w:type="textWrapping"/>
            </w:r>
            <w:r>
              <w:rPr>
                <w:rFonts w:hint="eastAsia" w:ascii="宋体" w:hAnsi="宋体" w:cs="宋体"/>
                <w:color w:val="000000"/>
                <w:kern w:val="0"/>
                <w:sz w:val="24"/>
              </w:rPr>
              <w:t>4.快速连接环：直径Φ10mm，力学性能：额定载荷：2200 lbs；表面镀锌处理。直径Φ6mm，力学性能：额定载荷：875 lbs；表面镀锌处理</w:t>
            </w:r>
          </w:p>
        </w:tc>
      </w:tr>
      <w:tr>
        <w:tblPrEx>
          <w:tblLayout w:type="fixed"/>
          <w:tblCellMar>
            <w:top w:w="0" w:type="dxa"/>
            <w:left w:w="108" w:type="dxa"/>
            <w:bottom w:w="0" w:type="dxa"/>
            <w:right w:w="108" w:type="dxa"/>
          </w:tblCellMar>
        </w:tblPrEx>
        <w:trPr>
          <w:trHeight w:val="141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★绳网</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1.两张米绳索编织而成的网状障碍，对角相挂在主架上。</w:t>
            </w:r>
            <w:r>
              <w:rPr>
                <w:rFonts w:hint="eastAsia" w:ascii="宋体" w:hAnsi="宋体" w:cs="宋体"/>
                <w:color w:val="000000"/>
                <w:kern w:val="0"/>
                <w:sz w:val="24"/>
              </w:rPr>
              <w:br w:type="textWrapping"/>
            </w:r>
            <w:r>
              <w:rPr>
                <w:rFonts w:hint="eastAsia" w:ascii="宋体" w:hAnsi="宋体" w:cs="宋体"/>
                <w:color w:val="000000"/>
                <w:kern w:val="0"/>
                <w:sz w:val="24"/>
              </w:rPr>
              <w:t>2.快速连接环：直径Φ10mm，力学性能：额定载荷：2200 lbs；表面镀锌处理。</w:t>
            </w:r>
            <w:r>
              <w:rPr>
                <w:rFonts w:hint="eastAsia" w:ascii="宋体" w:hAnsi="宋体" w:cs="宋体"/>
                <w:color w:val="000000"/>
                <w:kern w:val="0"/>
                <w:sz w:val="24"/>
              </w:rPr>
              <w:br w:type="textWrapping"/>
            </w:r>
            <w:r>
              <w:rPr>
                <w:rFonts w:hint="eastAsia" w:ascii="宋体" w:hAnsi="宋体" w:cs="宋体"/>
                <w:color w:val="000000"/>
                <w:kern w:val="0"/>
                <w:sz w:val="24"/>
              </w:rPr>
              <w:t>3.抗老化尼龙绳，直径Φ12mm，网格500mm×500mm。</w:t>
            </w:r>
          </w:p>
        </w:tc>
      </w:tr>
      <w:tr>
        <w:tblPrEx>
          <w:tblLayout w:type="fixed"/>
          <w:tblCellMar>
            <w:top w:w="0" w:type="dxa"/>
            <w:left w:w="108" w:type="dxa"/>
            <w:bottom w:w="0" w:type="dxa"/>
            <w:right w:w="108" w:type="dxa"/>
          </w:tblCellMar>
        </w:tblPrEx>
        <w:trPr>
          <w:trHeight w:val="402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★云梯</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1.由4根天梯横木和4个直径Φ1000mm轮胎组成；天梯横木由樟松木制成，</w:t>
            </w:r>
            <w:r>
              <w:rPr>
                <w:rFonts w:hint="eastAsia" w:ascii="宋体" w:hAnsi="宋体" w:cs="宋体"/>
                <w:kern w:val="0"/>
                <w:sz w:val="24"/>
              </w:rPr>
              <w:t>135mm×135mm×2950mm</w:t>
            </w:r>
            <w:r>
              <w:rPr>
                <w:rFonts w:hint="eastAsia" w:ascii="宋体" w:hAnsi="宋体" w:cs="宋体"/>
                <w:color w:val="000000"/>
                <w:kern w:val="0"/>
                <w:sz w:val="24"/>
              </w:rPr>
              <w:t>，由上至下间距依次为1.4米、1.5米和1.6米，轮胎位于横木下方。两端固定抱箍表面热镀锌处理。</w:t>
            </w:r>
            <w:r>
              <w:rPr>
                <w:rFonts w:hint="eastAsia" w:ascii="宋体" w:hAnsi="宋体" w:cs="宋体"/>
                <w:color w:val="000000"/>
                <w:kern w:val="0"/>
                <w:sz w:val="24"/>
              </w:rPr>
              <w:br w:type="textWrapping"/>
            </w:r>
            <w:r>
              <w:rPr>
                <w:rFonts w:hint="eastAsia" w:ascii="宋体" w:hAnsi="宋体" w:cs="宋体"/>
                <w:color w:val="000000"/>
                <w:kern w:val="0"/>
                <w:sz w:val="24"/>
              </w:rPr>
              <w:t>2.弓形卸扣：1/2英寸，美标G2130型弓形卸扣；力学性能：额定载荷2吨；表面防腐处理。</w:t>
            </w:r>
            <w:r>
              <w:rPr>
                <w:rFonts w:hint="eastAsia" w:ascii="宋体" w:hAnsi="宋体" w:cs="宋体"/>
                <w:color w:val="000000"/>
                <w:kern w:val="0"/>
                <w:sz w:val="24"/>
              </w:rPr>
              <w:br w:type="textWrapping"/>
            </w:r>
            <w:r>
              <w:rPr>
                <w:rFonts w:hint="eastAsia" w:ascii="宋体" w:hAnsi="宋体" w:cs="宋体"/>
                <w:color w:val="000000"/>
                <w:kern w:val="0"/>
                <w:sz w:val="24"/>
              </w:rPr>
              <w:t>3.弓形卸扣：5/8英寸，美标G2130型弓形卸扣；力学性能：额定载荷3.25吨；表面防腐处理（热镀锌）。</w:t>
            </w:r>
            <w:r>
              <w:rPr>
                <w:rFonts w:hint="eastAsia" w:ascii="宋体" w:hAnsi="宋体" w:cs="宋体"/>
                <w:color w:val="000000"/>
                <w:kern w:val="0"/>
                <w:sz w:val="24"/>
              </w:rPr>
              <w:br w:type="textWrapping"/>
            </w:r>
            <w:r>
              <w:rPr>
                <w:rFonts w:hint="eastAsia" w:ascii="宋体" w:hAnsi="宋体" w:cs="宋体"/>
                <w:color w:val="000000"/>
                <w:kern w:val="0"/>
                <w:sz w:val="24"/>
              </w:rPr>
              <w:t>4.链条：直径Φ8mmＴ８级高强度链条，执行标准JB/T8108-1999；材料：20Mn2（符合标准YB/T5211）；力学性能：最小破断力80.6kN、极限工作载荷200kN；表面防腐处理：热镀锌。</w:t>
            </w:r>
            <w:r>
              <w:rPr>
                <w:rFonts w:hint="eastAsia" w:ascii="宋体" w:hAnsi="宋体" w:cs="宋体"/>
                <w:color w:val="000000"/>
                <w:kern w:val="0"/>
                <w:sz w:val="24"/>
              </w:rPr>
              <w:br w:type="textWrapping"/>
            </w:r>
            <w:r>
              <w:rPr>
                <w:rFonts w:hint="eastAsia" w:ascii="宋体" w:hAnsi="宋体" w:cs="宋体"/>
                <w:color w:val="000000"/>
                <w:kern w:val="0"/>
                <w:sz w:val="24"/>
              </w:rPr>
              <w:t>5. 快速连接环：直径Φ10mm，力学性能：额定载荷：2200 lbs；表面镀锌处理。</w:t>
            </w:r>
          </w:p>
        </w:tc>
      </w:tr>
      <w:tr>
        <w:tblPrEx>
          <w:tblLayout w:type="fixed"/>
          <w:tblCellMar>
            <w:top w:w="0" w:type="dxa"/>
            <w:left w:w="108" w:type="dxa"/>
            <w:bottom w:w="0" w:type="dxa"/>
            <w:right w:w="108" w:type="dxa"/>
          </w:tblCellMar>
        </w:tblPrEx>
        <w:trPr>
          <w:trHeight w:val="315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★吊索桥</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 吊索桥木板：160mm×500mm×50mm(厚)，松木。</w:t>
            </w:r>
            <w:r>
              <w:rPr>
                <w:rFonts w:hint="eastAsia" w:ascii="宋体" w:hAnsi="宋体" w:cs="宋体"/>
                <w:color w:val="000000"/>
                <w:kern w:val="0"/>
                <w:sz w:val="24"/>
              </w:rPr>
              <w:br w:type="textWrapping"/>
            </w:r>
            <w:r>
              <w:rPr>
                <w:rFonts w:hint="eastAsia" w:ascii="宋体" w:hAnsi="宋体" w:cs="宋体"/>
                <w:color w:val="000000"/>
                <w:kern w:val="0"/>
                <w:sz w:val="24"/>
              </w:rPr>
              <w:t>2.弓形卸扣：5/8英寸，美标G2130型弓形卸扣；力学性能：额定载荷3.25吨；表面防腐处理（热镀锌）。</w:t>
            </w:r>
            <w:r>
              <w:rPr>
                <w:rFonts w:hint="eastAsia" w:ascii="宋体" w:hAnsi="宋体" w:cs="宋体"/>
                <w:color w:val="000000"/>
                <w:kern w:val="0"/>
                <w:sz w:val="24"/>
              </w:rPr>
              <w:br w:type="textWrapping"/>
            </w:r>
            <w:r>
              <w:rPr>
                <w:rFonts w:hint="eastAsia" w:ascii="宋体" w:hAnsi="宋体" w:cs="宋体"/>
                <w:color w:val="000000"/>
                <w:kern w:val="0"/>
                <w:sz w:val="24"/>
              </w:rPr>
              <w:t>3.调节螺栓：M20×270，材料符合标准GB/T700-1988；力学性能：最小拉力载荷103kN、保证载荷76kN；表面防腐处理。</w:t>
            </w:r>
            <w:r>
              <w:rPr>
                <w:rFonts w:hint="eastAsia" w:ascii="宋体" w:hAnsi="宋体" w:cs="宋体"/>
                <w:color w:val="000000"/>
                <w:kern w:val="0"/>
                <w:sz w:val="24"/>
              </w:rPr>
              <w:br w:type="textWrapping"/>
            </w:r>
            <w:r>
              <w:rPr>
                <w:rFonts w:hint="eastAsia" w:ascii="宋体" w:hAnsi="宋体" w:cs="宋体"/>
                <w:color w:val="000000"/>
                <w:kern w:val="0"/>
                <w:sz w:val="24"/>
              </w:rPr>
              <w:t>4. 链条：直径Φ8mmＴ８级高强度链条，执行标准JB/T8108-1999；材料符合标准YB/T5211；力学性能：最小破断力80.6kN、极限工作载荷200kN；表面防腐处理（热镀锌）。</w:t>
            </w:r>
            <w:r>
              <w:rPr>
                <w:rFonts w:hint="eastAsia" w:ascii="宋体" w:hAnsi="宋体" w:cs="宋体"/>
                <w:color w:val="000000"/>
                <w:kern w:val="0"/>
                <w:sz w:val="24"/>
              </w:rPr>
              <w:br w:type="textWrapping"/>
            </w:r>
            <w:r>
              <w:rPr>
                <w:rFonts w:hint="eastAsia" w:ascii="宋体" w:hAnsi="宋体" w:cs="宋体"/>
                <w:color w:val="000000"/>
                <w:kern w:val="0"/>
                <w:sz w:val="24"/>
              </w:rPr>
              <w:t>5. 蝴蝶扣：直径Φ8mmＴ８级高强度链条配套使用，强度等级一致。</w:t>
            </w:r>
          </w:p>
        </w:tc>
      </w:tr>
      <w:tr>
        <w:tblPrEx>
          <w:tblLayout w:type="fixed"/>
          <w:tblCellMar>
            <w:top w:w="0" w:type="dxa"/>
            <w:left w:w="108" w:type="dxa"/>
            <w:bottom w:w="0" w:type="dxa"/>
            <w:right w:w="108" w:type="dxa"/>
          </w:tblCellMar>
        </w:tblPrEx>
        <w:trPr>
          <w:trHeight w:val="108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★空中索道</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1.由一根独立的钢丝和数根吊绳组成，独立钢丝距地垂直高度</w:t>
            </w:r>
            <w:r>
              <w:rPr>
                <w:rFonts w:hint="eastAsia" w:ascii="宋体" w:hAnsi="宋体" w:cs="宋体"/>
                <w:kern w:val="0"/>
                <w:sz w:val="24"/>
              </w:rPr>
              <w:t>9</w:t>
            </w:r>
            <w:r>
              <w:rPr>
                <w:rFonts w:hint="eastAsia" w:ascii="宋体" w:hAnsi="宋体" w:cs="宋体"/>
                <w:color w:val="000000"/>
                <w:kern w:val="0"/>
                <w:sz w:val="24"/>
              </w:rPr>
              <w:t>米，吊绳之间间距1.2米。</w:t>
            </w:r>
            <w:r>
              <w:rPr>
                <w:rFonts w:hint="eastAsia" w:ascii="宋体" w:hAnsi="宋体" w:cs="宋体"/>
                <w:color w:val="000000"/>
                <w:kern w:val="0"/>
                <w:sz w:val="24"/>
              </w:rPr>
              <w:br w:type="textWrapping"/>
            </w:r>
            <w:r>
              <w:rPr>
                <w:rFonts w:hint="eastAsia" w:ascii="宋体" w:hAnsi="宋体" w:cs="宋体"/>
                <w:color w:val="000000"/>
                <w:kern w:val="0"/>
                <w:sz w:val="24"/>
              </w:rPr>
              <w:t>2.钢丝绳：直径Φ16mm，类型：6×19S+FC，镀锌钢丝绳，最小破断载荷132kN。</w:t>
            </w:r>
          </w:p>
        </w:tc>
      </w:tr>
      <w:tr>
        <w:tblPrEx>
          <w:tblLayout w:type="fixed"/>
          <w:tblCellMar>
            <w:top w:w="0" w:type="dxa"/>
            <w:left w:w="108" w:type="dxa"/>
            <w:bottom w:w="0" w:type="dxa"/>
            <w:right w:w="108" w:type="dxa"/>
          </w:tblCellMar>
        </w:tblPrEx>
        <w:trPr>
          <w:trHeight w:val="135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★攀岩墙</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抗风8级。攀岩宽4块板、高9块板。由36块攀岩板构成，其中包括平直板、斜直板、曲板及S板。岩道难度适中，可供不同人员训练使用。岩板规格：900㎜</w:t>
            </w:r>
            <w:r>
              <w:rPr>
                <w:rFonts w:hint="eastAsia" w:ascii="宋体" w:hAnsi="宋体" w:cs="仿宋_GB2312"/>
                <w:color w:val="000000"/>
                <w:kern w:val="0"/>
                <w:sz w:val="24"/>
              </w:rPr>
              <w:t>×</w:t>
            </w:r>
            <w:r>
              <w:rPr>
                <w:rFonts w:hint="eastAsia" w:ascii="宋体" w:hAnsi="宋体" w:cs="宋体"/>
                <w:color w:val="000000"/>
                <w:kern w:val="0"/>
                <w:sz w:val="24"/>
              </w:rPr>
              <w:t>900㎜</w:t>
            </w:r>
            <w:r>
              <w:rPr>
                <w:rFonts w:hint="eastAsia" w:ascii="宋体" w:hAnsi="宋体" w:cs="仿宋_GB2312"/>
                <w:color w:val="000000"/>
                <w:kern w:val="0"/>
                <w:sz w:val="24"/>
              </w:rPr>
              <w:t>；岩板材质：玻璃钢、树脂和石英沙合成板。</w:t>
            </w:r>
          </w:p>
        </w:tc>
      </w:tr>
      <w:tr>
        <w:tblPrEx>
          <w:tblLayout w:type="fixed"/>
          <w:tblCellMar>
            <w:top w:w="0" w:type="dxa"/>
            <w:left w:w="108" w:type="dxa"/>
            <w:bottom w:w="0" w:type="dxa"/>
            <w:right w:w="108" w:type="dxa"/>
          </w:tblCellMar>
        </w:tblPrEx>
        <w:trPr>
          <w:trHeight w:val="189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★平行钢绳</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1.两根相距1.2米的钢丝绳在高空形成相互合作的通路。</w:t>
            </w:r>
            <w:r>
              <w:rPr>
                <w:rFonts w:hint="eastAsia" w:ascii="宋体" w:hAnsi="宋体" w:cs="宋体"/>
                <w:color w:val="000000"/>
                <w:kern w:val="0"/>
                <w:sz w:val="24"/>
              </w:rPr>
              <w:br w:type="textWrapping"/>
            </w:r>
            <w:r>
              <w:rPr>
                <w:rFonts w:hint="eastAsia" w:ascii="宋体" w:hAnsi="宋体" w:cs="宋体"/>
                <w:color w:val="000000"/>
                <w:kern w:val="0"/>
                <w:sz w:val="24"/>
              </w:rPr>
              <w:t>2.调节螺栓：M24×500，材料符合标准GB/T700-1988；力学性能：最小拉力载荷148kN、保证载荷142kN；表面防腐处理。</w:t>
            </w:r>
            <w:r>
              <w:rPr>
                <w:rFonts w:hint="eastAsia" w:ascii="宋体" w:hAnsi="宋体" w:cs="宋体"/>
                <w:color w:val="000000"/>
                <w:kern w:val="0"/>
                <w:sz w:val="24"/>
              </w:rPr>
              <w:br w:type="textWrapping"/>
            </w:r>
            <w:r>
              <w:rPr>
                <w:rFonts w:hint="eastAsia" w:ascii="宋体" w:hAnsi="宋体" w:cs="宋体"/>
                <w:color w:val="000000"/>
                <w:kern w:val="0"/>
                <w:sz w:val="24"/>
              </w:rPr>
              <w:t>3.钢丝绳：直径Φ16mm，类型：6×19S+FC，镀锌钢丝绳，最小破断载荷132kN。</w:t>
            </w:r>
          </w:p>
        </w:tc>
      </w:tr>
      <w:tr>
        <w:tblPrEx>
          <w:tblLayout w:type="fixed"/>
          <w:tblCellMar>
            <w:top w:w="0" w:type="dxa"/>
            <w:left w:w="108" w:type="dxa"/>
            <w:bottom w:w="0" w:type="dxa"/>
            <w:right w:w="108" w:type="dxa"/>
          </w:tblCellMar>
        </w:tblPrEx>
        <w:trPr>
          <w:trHeight w:val="108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★四米墙</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规格：长2.4米×宽1.3米×高4米，一侧设有下行竖梯，正面为花纹钢板，后面设有斜支撑。材质：主材质为槽钢、角钢、花纹钢板。正面为花纹钢板，表面平整，无毛刺。后平台高3米。</w:t>
            </w:r>
          </w:p>
        </w:tc>
      </w:tr>
      <w:tr>
        <w:tblPrEx>
          <w:tblLayout w:type="fixed"/>
          <w:tblCellMar>
            <w:top w:w="0" w:type="dxa"/>
            <w:left w:w="108" w:type="dxa"/>
            <w:bottom w:w="0" w:type="dxa"/>
            <w:right w:w="108" w:type="dxa"/>
          </w:tblCellMar>
        </w:tblPrEx>
        <w:trPr>
          <w:trHeight w:val="1275"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★背摔台</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规格：长1米×宽1.1米×高2.3米（操作台高度为1.6米），侧面设有斜梯，可移动。材质：主材质为方管、角钢、花纹钢板。整体为全钢结构，表面为花纹钢板（厚度不小于3㎜</w:t>
            </w:r>
            <w:r>
              <w:rPr>
                <w:rFonts w:hint="eastAsia" w:ascii="宋体" w:hAnsi="宋体" w:cs="仿宋_GB2312"/>
                <w:color w:val="000000"/>
                <w:kern w:val="0"/>
                <w:sz w:val="24"/>
              </w:rPr>
              <w:t>）结构。</w:t>
            </w:r>
          </w:p>
        </w:tc>
      </w:tr>
      <w:tr>
        <w:tblPrEx>
          <w:tblLayout w:type="fixed"/>
          <w:tblCellMar>
            <w:top w:w="0" w:type="dxa"/>
            <w:left w:w="108" w:type="dxa"/>
            <w:bottom w:w="0" w:type="dxa"/>
            <w:right w:w="108" w:type="dxa"/>
          </w:tblCellMar>
        </w:tblPrEx>
        <w:trPr>
          <w:trHeight w:val="81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★安全装备</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最少包含全身安全带、半身安全带、主锁、d字锁、8字环、扁带、头盔、安全绳，并符合欧盟相关安全认证和国际登山协会相关安全标准。</w:t>
            </w:r>
          </w:p>
        </w:tc>
      </w:tr>
      <w:tr>
        <w:tblPrEx>
          <w:tblLayout w:type="fixed"/>
          <w:tblCellMar>
            <w:top w:w="0" w:type="dxa"/>
            <w:left w:w="108" w:type="dxa"/>
            <w:bottom w:w="0" w:type="dxa"/>
            <w:right w:w="108" w:type="dxa"/>
          </w:tblCellMar>
        </w:tblPrEx>
        <w:trPr>
          <w:trHeight w:val="54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★人员培训</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培训12名教员和安全员，并达到可以独立组织训练的水平。</w:t>
            </w:r>
          </w:p>
        </w:tc>
      </w:tr>
      <w:tr>
        <w:tblPrEx>
          <w:tblLayout w:type="fixed"/>
          <w:tblCellMar>
            <w:top w:w="0" w:type="dxa"/>
            <w:left w:w="108" w:type="dxa"/>
            <w:bottom w:w="0" w:type="dxa"/>
            <w:right w:w="108" w:type="dxa"/>
          </w:tblCellMar>
        </w:tblPrEx>
        <w:trPr>
          <w:trHeight w:val="270" w:hRule="atLeast"/>
        </w:trPr>
        <w:tc>
          <w:tcPr>
            <w:tcW w:w="8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★多媒体训练教程</w:t>
            </w:r>
          </w:p>
        </w:tc>
        <w:tc>
          <w:tcPr>
            <w:tcW w:w="7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学习后能够达到进行相关心理行为训练的水平。</w:t>
            </w:r>
          </w:p>
        </w:tc>
      </w:tr>
    </w:tbl>
    <w:p>
      <w:pPr>
        <w:tabs>
          <w:tab w:val="left" w:pos="2730"/>
          <w:tab w:val="left" w:pos="2835"/>
        </w:tabs>
        <w:adjustRightInd w:val="0"/>
        <w:snapToGrid w:val="0"/>
        <w:spacing w:before="156" w:beforeLines="50" w:after="156" w:afterLines="50" w:line="440" w:lineRule="exact"/>
        <w:rPr>
          <w:rFonts w:hint="eastAsia" w:ascii="宋体" w:hAnsi="宋体" w:cs="宋体"/>
          <w:b/>
          <w:sz w:val="28"/>
          <w:szCs w:val="28"/>
        </w:rPr>
      </w:pPr>
    </w:p>
    <w:p>
      <w:pPr>
        <w:tabs>
          <w:tab w:val="left" w:pos="2730"/>
          <w:tab w:val="left" w:pos="2835"/>
        </w:tabs>
        <w:adjustRightInd w:val="0"/>
        <w:snapToGrid w:val="0"/>
        <w:spacing w:before="156" w:beforeLines="50" w:after="156" w:afterLines="50" w:line="440" w:lineRule="exact"/>
        <w:rPr>
          <w:rFonts w:hint="eastAsia" w:ascii="宋体" w:hAnsi="宋体" w:cs="宋体"/>
          <w:b/>
          <w:sz w:val="28"/>
          <w:szCs w:val="28"/>
        </w:rPr>
      </w:pPr>
      <w:r>
        <w:rPr>
          <w:rFonts w:hint="eastAsia" w:ascii="宋体" w:hAnsi="宋体" w:cs="宋体"/>
          <w:b/>
          <w:sz w:val="28"/>
          <w:szCs w:val="28"/>
        </w:rPr>
        <w:t>三、验收标准和要求：</w:t>
      </w:r>
    </w:p>
    <w:p>
      <w:pPr>
        <w:spacing w:line="440" w:lineRule="exact"/>
        <w:ind w:firstLine="480" w:firstLineChars="200"/>
        <w:rPr>
          <w:rFonts w:hint="eastAsia" w:ascii="宋体" w:hAnsi="宋体" w:cs="宋体"/>
          <w:sz w:val="24"/>
        </w:rPr>
      </w:pPr>
      <w:r>
        <w:rPr>
          <w:rFonts w:hint="eastAsia" w:ascii="宋体" w:hAnsi="宋体" w:cs="宋体"/>
          <w:sz w:val="24"/>
        </w:rPr>
        <w:t>1、交付时间：12月26日前完成交付。</w:t>
      </w:r>
    </w:p>
    <w:p>
      <w:pPr>
        <w:spacing w:line="440" w:lineRule="exact"/>
        <w:ind w:firstLine="480" w:firstLineChars="200"/>
        <w:rPr>
          <w:rFonts w:hint="eastAsia"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hint="eastAsia"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hint="eastAsia" w:ascii="宋体" w:hAnsi="宋体" w:cs="宋体"/>
          <w:sz w:val="24"/>
        </w:rPr>
      </w:pPr>
      <w:r>
        <w:rPr>
          <w:rFonts w:hint="eastAsia" w:ascii="宋体" w:hAnsi="宋体" w:cs="宋体"/>
          <w:sz w:val="24"/>
        </w:rPr>
        <w:t>4、验收要求：按谈判文件技术参数进行验收。</w:t>
      </w:r>
    </w:p>
    <w:p>
      <w:pPr>
        <w:tabs>
          <w:tab w:val="left" w:pos="540"/>
        </w:tabs>
        <w:spacing w:before="312" w:beforeLines="100" w:after="312" w:afterLines="100" w:line="440" w:lineRule="exact"/>
        <w:ind w:firstLine="480" w:firstLineChars="200"/>
        <w:outlineLvl w:val="1"/>
        <w:rPr>
          <w:rFonts w:hint="eastAsia" w:ascii="宋体" w:hAnsi="宋体" w:cs="宋体"/>
          <w:kern w:val="0"/>
          <w:sz w:val="24"/>
        </w:rPr>
      </w:pPr>
    </w:p>
    <w:sectPr>
      <w:footerReference r:id="rId10" w:type="default"/>
      <w:pgSz w:w="11906" w:h="16838"/>
      <w:pgMar w:top="1134" w:right="1417" w:bottom="850"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215390" cy="173990"/>
              <wp:effectExtent l="0" t="0" r="0" b="0"/>
              <wp:wrapNone/>
              <wp:docPr id="8" name="文本框3"/>
              <wp:cNvGraphicFramePr/>
              <a:graphic xmlns:a="http://schemas.openxmlformats.org/drawingml/2006/main">
                <a:graphicData uri="http://schemas.microsoft.com/office/word/2010/wordprocessingShape">
                  <wps:wsp>
                    <wps:cNvSpPr/>
                    <wps:spPr bwMode="auto">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lang w:val="en-US" w:eastAsia="zh-CN"/>
                            </w:rPr>
                            <w:t>33</w:t>
                          </w:r>
                          <w:r>
                            <w:rPr>
                              <w:rFonts w:hint="eastAsia" w:ascii="宋体" w:hAnsi="宋体" w:cs="宋体"/>
                              <w:szCs w:val="21"/>
                            </w:rPr>
                            <w:fldChar w:fldCharType="end"/>
                          </w:r>
                          <w:r>
                            <w:rPr>
                              <w:rFonts w:hint="eastAsia" w:ascii="宋体" w:hAnsi="宋体" w:cs="宋体"/>
                              <w:szCs w:val="21"/>
                            </w:rPr>
                            <w:t xml:space="preserve"> 页 共 3</w:t>
                          </w:r>
                          <w:r>
                            <w:rPr>
                              <w:rFonts w:hint="eastAsia" w:ascii="宋体" w:hAnsi="宋体" w:cs="宋体"/>
                              <w:szCs w:val="21"/>
                              <w:lang w:val="en-US" w:eastAsia="zh-CN"/>
                            </w:rPr>
                            <w:t>3</w:t>
                          </w:r>
                          <w:r>
                            <w:rPr>
                              <w:rFonts w:hint="eastAsia" w:ascii="宋体" w:hAnsi="宋体" w:cs="宋体"/>
                              <w:szCs w:val="21"/>
                            </w:rPr>
                            <w:t xml:space="preserve"> 页</w:t>
                          </w:r>
                        </w:p>
                      </w:txbxContent>
                    </wps:txbx>
                    <wps:bodyPr rot="0" vert="horz" wrap="square" lIns="0" tIns="0" rIns="0" bIns="0" anchor="t" anchorCtr="0" upright="1">
                      <a:noAutofit/>
                    </wps:bodyPr>
                  </wps:wsp>
                </a:graphicData>
              </a:graphic>
            </wp:anchor>
          </w:drawing>
        </mc:Choice>
        <mc:Fallback>
          <w:pict>
            <v:rect id="文本框3" o:spid="_x0000_s1026" o:spt="1" style="position:absolute;left:0pt;height:13.7pt;width:95.7pt;mso-position-horizontal:center;mso-position-horizontal-relative:margin;mso-position-vertical:top;z-index:251659264;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4As8TWAAAABAEAAA8AAAAAAAAAAQAgAAAAIgAA&#10;AGRycy9kb3ducmV2LnhtbFBLAQIUABQAAAAIAIdO4kAk6Coj0QEAAHwDAAAOAAAAAAAAAAEAIAAA&#10;ACUBAABkcnMvZTJvRG9jLnhtbFBLBQYAAAAABgAGAFkBAABoBQ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lang w:val="en-US" w:eastAsia="zh-CN"/>
                      </w:rPr>
                      <w:t>33</w:t>
                    </w:r>
                    <w:r>
                      <w:rPr>
                        <w:rFonts w:hint="eastAsia" w:ascii="宋体" w:hAnsi="宋体" w:cs="宋体"/>
                        <w:szCs w:val="21"/>
                      </w:rPr>
                      <w:fldChar w:fldCharType="end"/>
                    </w:r>
                    <w:r>
                      <w:rPr>
                        <w:rFonts w:hint="eastAsia" w:ascii="宋体" w:hAnsi="宋体" w:cs="宋体"/>
                        <w:szCs w:val="21"/>
                      </w:rPr>
                      <w:t xml:space="preserve"> 页 共 3</w:t>
                    </w:r>
                    <w:r>
                      <w:rPr>
                        <w:rFonts w:hint="eastAsia" w:ascii="宋体" w:hAnsi="宋体" w:cs="宋体"/>
                        <w:szCs w:val="21"/>
                        <w:lang w:val="en-US" w:eastAsia="zh-CN"/>
                      </w:rPr>
                      <w:t>3</w:t>
                    </w:r>
                    <w:r>
                      <w:rPr>
                        <w:rFonts w:hint="eastAsia" w:ascii="宋体" w:hAnsi="宋体" w:cs="宋体"/>
                        <w:szCs w:val="21"/>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0"/>
      </w:pBdr>
      <w:rPr>
        <w:rFonts w:hint="eastAsia" w:ascii="宋体" w:hAnsi="宋体" w:cs="宋体"/>
        <w:b/>
        <w:bCs/>
        <w:sz w:val="21"/>
        <w:szCs w:val="21"/>
      </w:rPr>
    </w:pPr>
    <w:r>
      <w:rPr>
        <w:rFonts w:hint="eastAsia" w:ascii="宋体" w:hAnsi="宋体" w:cs="宋体"/>
        <w:b/>
        <w:bCs/>
        <w:sz w:val="21"/>
        <w:szCs w:val="21"/>
      </w:rPr>
      <w:t>海南政源招标代理有限公司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left w:val="none" w:color="auto" w:sz="0" w:space="3"/>
        <w:bottom w:val="single" w:color="auto" w:sz="4" w:space="0"/>
      </w:pBdr>
      <w:rPr>
        <w:rFonts w:hint="eastAsia" w:ascii="宋体" w:hAnsi="宋体" w:cs="宋体"/>
        <w:b/>
        <w:bCs/>
        <w:sz w:val="21"/>
        <w:szCs w:val="21"/>
      </w:rPr>
    </w:pPr>
    <w:r>
      <w:rPr>
        <w:rFonts w:ascii="宋体" w:hAnsi="宋体" w:cs="宋体"/>
        <w:b/>
        <w:kern w:val="0"/>
        <w:sz w:val="72"/>
        <w:szCs w:val="72"/>
        <w:lang w:val="en-US" w:eastAsia="zh-CN"/>
      </w:rPr>
      <w:drawing>
        <wp:inline distT="0" distB="0" distL="0" distR="0">
          <wp:extent cx="365760" cy="365760"/>
          <wp:effectExtent l="0" t="0" r="0" b="0"/>
          <wp:docPr id="7" name="图片 1" descr="嘉华标志2_1"/>
          <wp:cNvGraphicFramePr/>
          <a:graphic xmlns:a="http://schemas.openxmlformats.org/drawingml/2006/main">
            <a:graphicData uri="http://schemas.openxmlformats.org/drawingml/2006/picture">
              <pic:pic xmlns:pic="http://schemas.openxmlformats.org/drawingml/2006/picture">
                <pic:nvPicPr>
                  <pic:cNvPr id="7" name="图片 1" descr="嘉华标志2_1"/>
                  <pic:cNvPicPr/>
                </pic:nvPicPr>
                <pic:blipFill>
                  <a:blip r:embed="rId1">
                    <a:extLst>
                      <a:ext uri="{28A0092B-C50C-407E-A947-70E740481C1C}">
                        <a14:useLocalDpi xmlns:a14="http://schemas.microsoft.com/office/drawing/2010/main" val="0"/>
                      </a:ext>
                    </a:extLst>
                  </a:blip>
                  <a:srcRect/>
                  <a:stretch>
                    <a:fillRect/>
                  </a:stretch>
                </pic:blipFill>
                <pic:spPr>
                  <a:xfrm>
                    <a:off x="0" y="0"/>
                    <a:ext cx="365760" cy="365760"/>
                  </a:xfrm>
                  <a:prstGeom prst="rect">
                    <a:avLst/>
                  </a:prstGeom>
                  <a:noFill/>
                  <a:ln>
                    <a:noFill/>
                  </a:ln>
                </pic:spPr>
              </pic:pic>
            </a:graphicData>
          </a:graphic>
        </wp:inline>
      </w:drawing>
    </w:r>
    <w:r>
      <w:rPr>
        <w:rFonts w:hint="eastAsia" w:ascii="宋体" w:hAnsi="宋体" w:cs="宋体"/>
        <w:b/>
        <w:bCs/>
        <w:sz w:val="21"/>
        <w:szCs w:val="21"/>
      </w:rPr>
      <w:t>广西嘉华建设项目管理咨询有限公司                                   GXJH2017-016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439569F"/>
    <w:multiLevelType w:val="multilevel"/>
    <w:tmpl w:val="2439569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6B2"/>
    <w:rsid w:val="0006325C"/>
    <w:rsid w:val="0006417D"/>
    <w:rsid w:val="0007417E"/>
    <w:rsid w:val="00080677"/>
    <w:rsid w:val="000A48FB"/>
    <w:rsid w:val="000B0986"/>
    <w:rsid w:val="000F17F9"/>
    <w:rsid w:val="00127801"/>
    <w:rsid w:val="00134101"/>
    <w:rsid w:val="00176DCF"/>
    <w:rsid w:val="00180654"/>
    <w:rsid w:val="00185C4B"/>
    <w:rsid w:val="00186320"/>
    <w:rsid w:val="001921FA"/>
    <w:rsid w:val="001B3C6A"/>
    <w:rsid w:val="002024BE"/>
    <w:rsid w:val="00210C6E"/>
    <w:rsid w:val="00225F7D"/>
    <w:rsid w:val="00250E21"/>
    <w:rsid w:val="00252288"/>
    <w:rsid w:val="00253467"/>
    <w:rsid w:val="002976FC"/>
    <w:rsid w:val="002A0226"/>
    <w:rsid w:val="002A6ABA"/>
    <w:rsid w:val="002B39E1"/>
    <w:rsid w:val="002B3BA8"/>
    <w:rsid w:val="002B7AAB"/>
    <w:rsid w:val="002D2842"/>
    <w:rsid w:val="002D5A47"/>
    <w:rsid w:val="002D72E1"/>
    <w:rsid w:val="003243A9"/>
    <w:rsid w:val="003409CF"/>
    <w:rsid w:val="003533A8"/>
    <w:rsid w:val="003849A3"/>
    <w:rsid w:val="00385919"/>
    <w:rsid w:val="003871F2"/>
    <w:rsid w:val="0038757E"/>
    <w:rsid w:val="003A0162"/>
    <w:rsid w:val="003A3C33"/>
    <w:rsid w:val="003B0BB7"/>
    <w:rsid w:val="00401791"/>
    <w:rsid w:val="00405DEF"/>
    <w:rsid w:val="00413C22"/>
    <w:rsid w:val="0041568D"/>
    <w:rsid w:val="00417DF1"/>
    <w:rsid w:val="00422229"/>
    <w:rsid w:val="00424478"/>
    <w:rsid w:val="00426CB9"/>
    <w:rsid w:val="00445473"/>
    <w:rsid w:val="00445779"/>
    <w:rsid w:val="00462361"/>
    <w:rsid w:val="00462B1E"/>
    <w:rsid w:val="0047290A"/>
    <w:rsid w:val="00473D14"/>
    <w:rsid w:val="004B41BF"/>
    <w:rsid w:val="004B4CAE"/>
    <w:rsid w:val="004C1F19"/>
    <w:rsid w:val="004E1A30"/>
    <w:rsid w:val="004F44F8"/>
    <w:rsid w:val="004F4C2A"/>
    <w:rsid w:val="00544479"/>
    <w:rsid w:val="00567B81"/>
    <w:rsid w:val="005745FB"/>
    <w:rsid w:val="005B2936"/>
    <w:rsid w:val="005C00FF"/>
    <w:rsid w:val="005E3C4A"/>
    <w:rsid w:val="005F2E38"/>
    <w:rsid w:val="00614ACB"/>
    <w:rsid w:val="00617081"/>
    <w:rsid w:val="00682D11"/>
    <w:rsid w:val="00682DB7"/>
    <w:rsid w:val="0069377C"/>
    <w:rsid w:val="006B5AE0"/>
    <w:rsid w:val="006C7857"/>
    <w:rsid w:val="006D1A98"/>
    <w:rsid w:val="006E1969"/>
    <w:rsid w:val="006E5C87"/>
    <w:rsid w:val="007027CC"/>
    <w:rsid w:val="00712FB4"/>
    <w:rsid w:val="007145D1"/>
    <w:rsid w:val="00715FA0"/>
    <w:rsid w:val="00717616"/>
    <w:rsid w:val="00717A35"/>
    <w:rsid w:val="00726ED6"/>
    <w:rsid w:val="0073248D"/>
    <w:rsid w:val="00747405"/>
    <w:rsid w:val="00755B02"/>
    <w:rsid w:val="007700FE"/>
    <w:rsid w:val="00772C85"/>
    <w:rsid w:val="00780123"/>
    <w:rsid w:val="007A5EBD"/>
    <w:rsid w:val="007B1C8F"/>
    <w:rsid w:val="007B3DD0"/>
    <w:rsid w:val="007B5C1A"/>
    <w:rsid w:val="007F008B"/>
    <w:rsid w:val="008246B0"/>
    <w:rsid w:val="0082550F"/>
    <w:rsid w:val="00874483"/>
    <w:rsid w:val="0089265B"/>
    <w:rsid w:val="008943CD"/>
    <w:rsid w:val="00895A77"/>
    <w:rsid w:val="008D195C"/>
    <w:rsid w:val="008D4F74"/>
    <w:rsid w:val="009160CE"/>
    <w:rsid w:val="009201DD"/>
    <w:rsid w:val="00923169"/>
    <w:rsid w:val="00926EDD"/>
    <w:rsid w:val="00946ADC"/>
    <w:rsid w:val="00973DBE"/>
    <w:rsid w:val="00980715"/>
    <w:rsid w:val="009D105F"/>
    <w:rsid w:val="009D25A8"/>
    <w:rsid w:val="009E216F"/>
    <w:rsid w:val="00A064B8"/>
    <w:rsid w:val="00A11A87"/>
    <w:rsid w:val="00A43ADB"/>
    <w:rsid w:val="00A62070"/>
    <w:rsid w:val="00A8439D"/>
    <w:rsid w:val="00A85BD2"/>
    <w:rsid w:val="00AB767E"/>
    <w:rsid w:val="00AF654F"/>
    <w:rsid w:val="00B16DC7"/>
    <w:rsid w:val="00B223EA"/>
    <w:rsid w:val="00B50CFF"/>
    <w:rsid w:val="00B646EC"/>
    <w:rsid w:val="00B700D9"/>
    <w:rsid w:val="00B77A5D"/>
    <w:rsid w:val="00BA765D"/>
    <w:rsid w:val="00BB127F"/>
    <w:rsid w:val="00BB59E3"/>
    <w:rsid w:val="00BC14B0"/>
    <w:rsid w:val="00BC3845"/>
    <w:rsid w:val="00C02B14"/>
    <w:rsid w:val="00C13D78"/>
    <w:rsid w:val="00CB0C3E"/>
    <w:rsid w:val="00CB70E7"/>
    <w:rsid w:val="00CC56C7"/>
    <w:rsid w:val="00CE4A05"/>
    <w:rsid w:val="00CE53DA"/>
    <w:rsid w:val="00D038C6"/>
    <w:rsid w:val="00D74BF0"/>
    <w:rsid w:val="00DB669C"/>
    <w:rsid w:val="00DE1745"/>
    <w:rsid w:val="00DE22A4"/>
    <w:rsid w:val="00E16ADA"/>
    <w:rsid w:val="00E202B4"/>
    <w:rsid w:val="00E77192"/>
    <w:rsid w:val="00EA2D05"/>
    <w:rsid w:val="00EA79C3"/>
    <w:rsid w:val="00EC7040"/>
    <w:rsid w:val="00ED42BF"/>
    <w:rsid w:val="00EE7B50"/>
    <w:rsid w:val="00EF0A6E"/>
    <w:rsid w:val="00F07C41"/>
    <w:rsid w:val="00F503AC"/>
    <w:rsid w:val="00F64EB0"/>
    <w:rsid w:val="00F71521"/>
    <w:rsid w:val="00F77E14"/>
    <w:rsid w:val="00F84C94"/>
    <w:rsid w:val="00FA221E"/>
    <w:rsid w:val="00FE34B0"/>
    <w:rsid w:val="00FE62CF"/>
    <w:rsid w:val="02D021A4"/>
    <w:rsid w:val="03514002"/>
    <w:rsid w:val="03C1465F"/>
    <w:rsid w:val="04BC5841"/>
    <w:rsid w:val="089A530F"/>
    <w:rsid w:val="09604272"/>
    <w:rsid w:val="0A245057"/>
    <w:rsid w:val="0B542123"/>
    <w:rsid w:val="0B8519C2"/>
    <w:rsid w:val="17473AE5"/>
    <w:rsid w:val="19196B43"/>
    <w:rsid w:val="1B186912"/>
    <w:rsid w:val="1C4A05F8"/>
    <w:rsid w:val="1CE11836"/>
    <w:rsid w:val="1F553A17"/>
    <w:rsid w:val="210D0D41"/>
    <w:rsid w:val="221C0A03"/>
    <w:rsid w:val="22A76514"/>
    <w:rsid w:val="231D04B4"/>
    <w:rsid w:val="25CF0E14"/>
    <w:rsid w:val="2C4E41BD"/>
    <w:rsid w:val="2CDE07C2"/>
    <w:rsid w:val="319D6AC2"/>
    <w:rsid w:val="32EE1400"/>
    <w:rsid w:val="347818F7"/>
    <w:rsid w:val="35840EDB"/>
    <w:rsid w:val="3BBD5F62"/>
    <w:rsid w:val="3EB232EA"/>
    <w:rsid w:val="40046496"/>
    <w:rsid w:val="465A1903"/>
    <w:rsid w:val="47927E7C"/>
    <w:rsid w:val="482E4477"/>
    <w:rsid w:val="48B6475B"/>
    <w:rsid w:val="4BA750C4"/>
    <w:rsid w:val="4C774E00"/>
    <w:rsid w:val="4DC41F60"/>
    <w:rsid w:val="50711B69"/>
    <w:rsid w:val="56767421"/>
    <w:rsid w:val="56A33BB2"/>
    <w:rsid w:val="588807D3"/>
    <w:rsid w:val="58F72B68"/>
    <w:rsid w:val="5CC93A47"/>
    <w:rsid w:val="617D0325"/>
    <w:rsid w:val="623E6987"/>
    <w:rsid w:val="697A33FA"/>
    <w:rsid w:val="6B244B56"/>
    <w:rsid w:val="6C236C77"/>
    <w:rsid w:val="70CE7620"/>
    <w:rsid w:val="73CD6EDC"/>
    <w:rsid w:val="74C4191A"/>
    <w:rsid w:val="762E6238"/>
    <w:rsid w:val="76776B6A"/>
    <w:rsid w:val="77007D54"/>
    <w:rsid w:val="791818E6"/>
    <w:rsid w:val="7B7615A9"/>
    <w:rsid w:val="7C016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qFormat/>
    <w:uiPriority w:val="0"/>
    <w:rPr>
      <w:kern w:val="2"/>
      <w:szCs w:val="24"/>
    </w:rPr>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before="60"/>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rPr>
  </w:style>
  <w:style w:type="paragraph" w:styleId="8">
    <w:name w:val="Body Text Indent 2"/>
    <w:basedOn w:val="1"/>
    <w:qFormat/>
    <w:uiPriority w:val="0"/>
    <w:pPr>
      <w:spacing w:line="500" w:lineRule="exact"/>
      <w:ind w:firstLine="560" w:firstLineChars="200"/>
    </w:pPr>
    <w:rPr>
      <w:color w:val="000000"/>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qFormat/>
    <w:uiPriority w:val="22"/>
    <w:rPr>
      <w:b/>
      <w:bCs/>
      <w:kern w:val="2"/>
      <w:szCs w:val="24"/>
    </w:rPr>
  </w:style>
  <w:style w:type="character" w:styleId="14">
    <w:name w:val="page number"/>
    <w:qFormat/>
    <w:uiPriority w:val="0"/>
    <w:rPr>
      <w:rFonts w:ascii="仿宋_GB2312" w:hAnsi="Tahoma" w:eastAsia="仿宋_GB2312"/>
      <w:kern w:val="2"/>
      <w:sz w:val="28"/>
      <w:szCs w:val="28"/>
      <w:lang w:val="en-US" w:eastAsia="zh-CN" w:bidi="ar-SA"/>
    </w:rPr>
  </w:style>
  <w:style w:type="character" w:styleId="15">
    <w:name w:val="Hyperlink"/>
    <w:qFormat/>
    <w:uiPriority w:val="99"/>
    <w:rPr>
      <w:color w:val="0000FF"/>
      <w:kern w:val="2"/>
      <w:szCs w:val="24"/>
      <w:u w:val="single"/>
    </w:rPr>
  </w:style>
  <w:style w:type="character" w:customStyle="1" w:styleId="17">
    <w:name w:val="标题 1 Char"/>
    <w:qFormat/>
    <w:uiPriority w:val="0"/>
    <w:rPr>
      <w:rFonts w:hint="default" w:ascii="Arial" w:hAnsi="Arial" w:eastAsia="宋体" w:cs="Arial"/>
      <w:bCs/>
      <w:kern w:val="32"/>
      <w:sz w:val="32"/>
      <w:szCs w:val="32"/>
      <w:lang w:val="en-US" w:eastAsia="zh-CN" w:bidi="ar-SA"/>
    </w:rPr>
  </w:style>
  <w:style w:type="paragraph" w:customStyle="1" w:styleId="18">
    <w:name w:val=" Char Char Char"/>
    <w:basedOn w:val="1"/>
    <w:qFormat/>
    <w:uiPriority w:val="0"/>
    <w:pPr>
      <w:widowControl/>
      <w:spacing w:after="160" w:line="240" w:lineRule="exact"/>
      <w:jc w:val="left"/>
    </w:pPr>
  </w:style>
  <w:style w:type="paragraph" w:customStyle="1" w:styleId="19">
    <w:name w:val="p0"/>
    <w:basedOn w:val="1"/>
    <w:qFormat/>
    <w:uiPriority w:val="0"/>
    <w:pPr>
      <w:widowControl/>
    </w:pPr>
    <w:rPr>
      <w:kern w:val="0"/>
      <w:szCs w:val="21"/>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默认段落字体 Para Char Char Char Char Char Char Char Char Char1 Char"/>
    <w:basedOn w:val="1"/>
    <w:qFormat/>
    <w:uiPriority w:val="0"/>
  </w:style>
  <w:style w:type="paragraph" w:customStyle="1" w:styleId="22">
    <w:name w:val="表格文字"/>
    <w:basedOn w:val="1"/>
    <w:qFormat/>
    <w:uiPriority w:val="0"/>
    <w:pPr>
      <w:spacing w:before="25" w:after="25"/>
      <w:jc w:val="left"/>
    </w:pPr>
    <w:rPr>
      <w:bCs/>
      <w:spacing w:val="10"/>
      <w:kern w:val="0"/>
      <w:sz w:val="24"/>
      <w:szCs w:val="20"/>
    </w:rPr>
  </w:style>
  <w:style w:type="paragraph" w:customStyle="1" w:styleId="23">
    <w:name w:val="样式1"/>
    <w:basedOn w:val="1"/>
    <w:qFormat/>
    <w:uiPriority w:val="0"/>
    <w:pPr>
      <w:numPr>
        <w:ilvl w:val="0"/>
        <w:numId w:val="1"/>
      </w:numPr>
      <w:adjustRightInd w:val="0"/>
      <w:textAlignment w:val="baseline"/>
    </w:pPr>
    <w:rPr>
      <w:rFonts w:ascii="宋体" w:hAnsi="宋体"/>
      <w:kern w:val="0"/>
    </w:rPr>
  </w:style>
  <w:style w:type="paragraph" w:customStyle="1" w:styleId="24">
    <w:name w:val="Char Char Char"/>
    <w:basedOn w:val="1"/>
    <w:qFormat/>
    <w:uiPriority w:val="0"/>
    <w:pPr>
      <w:spacing w:line="400" w:lineRule="exact"/>
      <w:jc w:val="center"/>
    </w:pPr>
  </w:style>
  <w:style w:type="paragraph" w:customStyle="1" w:styleId="25">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3128</Words>
  <Characters>17834</Characters>
  <Lines>148</Lines>
  <Paragraphs>41</Paragraphs>
  <ScaleCrop>false</ScaleCrop>
  <LinksUpToDate>false</LinksUpToDate>
  <CharactersWithSpaces>20921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2017-11-30T01:31:00Z</dcterms:created>
  <dc:creator>海南政源招标代理有限公司</dc:creator>
  <cp:lastModifiedBy>Administrator</cp:lastModifiedBy>
  <cp:lastPrinted>2017-09-14T06:45:00Z</cp:lastPrinted>
  <dcterms:modified xsi:type="dcterms:W3CDTF">2017-12-14T01:10:57Z</dcterms:modified>
  <dc:subject>公开招标采购文件</dc:subject>
  <dc:title>公开招标范本初稿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