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C0" w:rsidRPr="00F95761" w:rsidRDefault="009B6DC0" w:rsidP="00F95761">
      <w:pPr>
        <w:spacing w:line="360" w:lineRule="auto"/>
        <w:jc w:val="center"/>
        <w:outlineLvl w:val="0"/>
        <w:rPr>
          <w:rFonts w:ascii="微软雅黑 Light" w:eastAsia="微软雅黑 Light" w:hAnsi="微软雅黑 Light"/>
          <w:b/>
          <w:sz w:val="44"/>
          <w:szCs w:val="21"/>
        </w:rPr>
      </w:pPr>
      <w:r w:rsidRPr="00F95761">
        <w:rPr>
          <w:rFonts w:ascii="微软雅黑 Light" w:eastAsia="微软雅黑 Light" w:hAnsi="微软雅黑 Light" w:hint="eastAsia"/>
          <w:b/>
          <w:sz w:val="44"/>
          <w:szCs w:val="21"/>
        </w:rPr>
        <w:t>用户需求书</w:t>
      </w:r>
    </w:p>
    <w:p w:rsidR="009B6DC0" w:rsidRPr="00F95761" w:rsidRDefault="009B6DC0" w:rsidP="00F95761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微软雅黑 Light" w:eastAsia="微软雅黑 Light" w:hAnsi="微软雅黑 Light"/>
          <w:b/>
          <w:szCs w:val="21"/>
        </w:rPr>
      </w:pPr>
      <w:r w:rsidRPr="00F95761">
        <w:rPr>
          <w:rFonts w:ascii="微软雅黑 Light" w:eastAsia="微软雅黑 Light" w:hAnsi="微软雅黑 Light" w:hint="eastAsia"/>
          <w:b/>
          <w:szCs w:val="21"/>
        </w:rPr>
        <w:t>项目概况</w:t>
      </w:r>
    </w:p>
    <w:p w:rsidR="009B6DC0" w:rsidRPr="00F95761" w:rsidRDefault="009B6DC0" w:rsidP="00F95761">
      <w:pPr>
        <w:pStyle w:val="a6"/>
        <w:numPr>
          <w:ilvl w:val="0"/>
          <w:numId w:val="12"/>
        </w:numPr>
        <w:spacing w:line="360" w:lineRule="auto"/>
        <w:ind w:firstLineChars="0"/>
        <w:jc w:val="left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项目名称</w:t>
      </w:r>
    </w:p>
    <w:p w:rsidR="009B6DC0" w:rsidRPr="00F95761" w:rsidRDefault="009B6DC0" w:rsidP="00F95761">
      <w:pPr>
        <w:spacing w:line="360" w:lineRule="auto"/>
        <w:ind w:firstLine="600"/>
        <w:jc w:val="left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《</w:t>
      </w:r>
      <w:r w:rsidR="000E5F7F" w:rsidRPr="00F95761">
        <w:rPr>
          <w:rFonts w:ascii="微软雅黑 Light" w:eastAsia="微软雅黑 Light" w:hAnsi="微软雅黑 Light" w:hint="eastAsia"/>
          <w:szCs w:val="21"/>
        </w:rPr>
        <w:t>万宁市日月湾综合旅游度假区总体规划暨控制性详细规划修编</w:t>
      </w:r>
      <w:r w:rsidRPr="00F95761">
        <w:rPr>
          <w:rFonts w:ascii="微软雅黑 Light" w:eastAsia="微软雅黑 Light" w:hAnsi="微软雅黑 Light" w:hint="eastAsia"/>
          <w:szCs w:val="21"/>
        </w:rPr>
        <w:t>》采购预算</w:t>
      </w:r>
      <w:r w:rsidR="000E5F7F" w:rsidRPr="00F95761">
        <w:rPr>
          <w:rFonts w:ascii="微软雅黑 Light" w:eastAsia="微软雅黑 Light" w:hAnsi="微软雅黑 Light"/>
          <w:szCs w:val="21"/>
        </w:rPr>
        <w:t>141</w:t>
      </w:r>
      <w:r w:rsidRPr="00F95761">
        <w:rPr>
          <w:rFonts w:ascii="微软雅黑 Light" w:eastAsia="微软雅黑 Light" w:hAnsi="微软雅黑 Light" w:hint="eastAsia"/>
          <w:szCs w:val="21"/>
        </w:rPr>
        <w:t>万元</w:t>
      </w:r>
      <w:r w:rsidR="008B0500" w:rsidRPr="00F95761">
        <w:rPr>
          <w:rFonts w:ascii="微软雅黑 Light" w:eastAsia="微软雅黑 Light" w:hAnsi="微软雅黑 Light" w:hint="eastAsia"/>
          <w:kern w:val="0"/>
          <w:szCs w:val="21"/>
        </w:rPr>
        <w:t>。</w:t>
      </w:r>
    </w:p>
    <w:p w:rsidR="009B6DC0" w:rsidRPr="00F95761" w:rsidRDefault="009B6DC0" w:rsidP="00F95761">
      <w:pPr>
        <w:pStyle w:val="a6"/>
        <w:numPr>
          <w:ilvl w:val="0"/>
          <w:numId w:val="12"/>
        </w:numPr>
        <w:spacing w:line="360" w:lineRule="auto"/>
        <w:ind w:firstLineChars="0"/>
        <w:jc w:val="left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项目概况</w:t>
      </w:r>
    </w:p>
    <w:p w:rsidR="000E5F7F" w:rsidRPr="00F95761" w:rsidRDefault="000E5F7F" w:rsidP="00F95761">
      <w:pPr>
        <w:spacing w:line="360" w:lineRule="auto"/>
        <w:ind w:firstLine="560"/>
        <w:rPr>
          <w:rFonts w:ascii="微软雅黑 Light" w:eastAsia="微软雅黑 Light" w:hAnsi="微软雅黑 Light"/>
          <w:kern w:val="0"/>
          <w:szCs w:val="21"/>
        </w:rPr>
      </w:pPr>
      <w:r w:rsidRPr="00F95761">
        <w:rPr>
          <w:rFonts w:ascii="微软雅黑 Light" w:eastAsia="微软雅黑 Light" w:hAnsi="微软雅黑 Light" w:hint="eastAsia"/>
          <w:kern w:val="0"/>
          <w:szCs w:val="21"/>
        </w:rPr>
        <w:t>规划范围388.86公顷，约5833亩。本次规划范围为《万宁市总体规划（空间类2015-2030）》划定的日月湾综合旅游度假区（日月湾）2030开发边界。北至田新村填海工程挖山区域，南以海岸线为界，西到高铁日月湾站以西区域，东至杨梅村，规划面积为388.86公顷。</w:t>
      </w:r>
    </w:p>
    <w:p w:rsidR="000E5F7F" w:rsidRPr="00F95761" w:rsidRDefault="000E5F7F" w:rsidP="008F3F00">
      <w:pPr>
        <w:pStyle w:val="a5"/>
        <w:spacing w:beforeLines="50" w:line="360" w:lineRule="auto"/>
        <w:rPr>
          <w:rFonts w:ascii="微软雅黑 Light" w:eastAsia="微软雅黑 Light" w:hAnsi="微软雅黑 Light"/>
          <w:b/>
          <w:szCs w:val="21"/>
        </w:rPr>
      </w:pPr>
      <w:r w:rsidRPr="00F95761">
        <w:rPr>
          <w:rFonts w:ascii="微软雅黑 Light" w:eastAsia="微软雅黑 Light" w:hAnsi="微软雅黑 Light"/>
          <w:noProof/>
          <w:szCs w:val="21"/>
        </w:rPr>
        <w:drawing>
          <wp:inline distT="0" distB="0" distL="0" distR="0">
            <wp:extent cx="5210175" cy="4124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761">
        <w:rPr>
          <w:rFonts w:ascii="微软雅黑 Light" w:eastAsia="微软雅黑 Light" w:hAnsi="微软雅黑 Light" w:hint="eastAsia"/>
          <w:szCs w:val="21"/>
        </w:rPr>
        <w:t xml:space="preserve"> </w:t>
      </w:r>
    </w:p>
    <w:p w:rsidR="00C86B82" w:rsidRPr="00F95761" w:rsidRDefault="00C86B82" w:rsidP="00F95761">
      <w:pPr>
        <w:spacing w:line="360" w:lineRule="auto"/>
        <w:ind w:firstLine="560"/>
        <w:rPr>
          <w:rFonts w:ascii="微软雅黑 Light" w:eastAsia="微软雅黑 Light" w:hAnsi="微软雅黑 Light" w:cs="宋体"/>
          <w:szCs w:val="21"/>
        </w:rPr>
      </w:pPr>
    </w:p>
    <w:p w:rsidR="009B6DC0" w:rsidRPr="00F95761" w:rsidRDefault="009B6DC0" w:rsidP="00F95761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b/>
          <w:szCs w:val="21"/>
        </w:rPr>
      </w:pPr>
      <w:bookmarkStart w:id="0" w:name="_Toc508410716"/>
      <w:bookmarkStart w:id="1" w:name="_Toc508409926"/>
      <w:r w:rsidRPr="00F95761">
        <w:rPr>
          <w:rFonts w:ascii="微软雅黑 Light" w:eastAsia="微软雅黑 Light" w:hAnsi="微软雅黑 Light" w:hint="eastAsia"/>
          <w:b/>
          <w:szCs w:val="21"/>
        </w:rPr>
        <w:lastRenderedPageBreak/>
        <w:t>设计依据及采用</w:t>
      </w:r>
      <w:r w:rsidR="00C86B82" w:rsidRPr="00F95761">
        <w:rPr>
          <w:rFonts w:ascii="微软雅黑 Light" w:eastAsia="微软雅黑 Light" w:hAnsi="微软雅黑 Light" w:hint="eastAsia"/>
          <w:b/>
          <w:szCs w:val="21"/>
        </w:rPr>
        <w:t>法规</w:t>
      </w:r>
      <w:r w:rsidRPr="00F95761">
        <w:rPr>
          <w:rFonts w:ascii="微软雅黑 Light" w:eastAsia="微软雅黑 Light" w:hAnsi="微软雅黑 Light" w:hint="eastAsia"/>
          <w:b/>
          <w:szCs w:val="21"/>
        </w:rPr>
        <w:t>、</w:t>
      </w:r>
      <w:bookmarkEnd w:id="0"/>
      <w:bookmarkEnd w:id="1"/>
      <w:r w:rsidR="00C86B82" w:rsidRPr="00F95761">
        <w:rPr>
          <w:rFonts w:ascii="微软雅黑 Light" w:eastAsia="微软雅黑 Light" w:hAnsi="微软雅黑 Light" w:hint="eastAsia"/>
          <w:b/>
          <w:szCs w:val="21"/>
        </w:rPr>
        <w:t>技术规范</w:t>
      </w:r>
    </w:p>
    <w:p w:rsidR="000E5F7F" w:rsidRPr="00F95761" w:rsidRDefault="000E5F7F" w:rsidP="00F95761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法律法规：</w:t>
      </w:r>
    </w:p>
    <w:p w:rsidR="000E5F7F" w:rsidRPr="00F95761" w:rsidRDefault="000E5F7F" w:rsidP="00F95761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szCs w:val="21"/>
        </w:rPr>
      </w:pPr>
      <w:bookmarkStart w:id="2" w:name="_Toc508410719"/>
      <w:bookmarkStart w:id="3" w:name="_Toc508409929"/>
      <w:r w:rsidRPr="00F95761">
        <w:rPr>
          <w:rFonts w:ascii="微软雅黑 Light" w:eastAsia="微软雅黑 Light" w:hAnsi="微软雅黑 Light" w:hint="eastAsia"/>
          <w:szCs w:val="21"/>
        </w:rPr>
        <w:t>《中华人民共和国旅游法》（2013年）</w:t>
      </w:r>
    </w:p>
    <w:p w:rsidR="000E5F7F" w:rsidRPr="00F95761" w:rsidRDefault="000E5F7F" w:rsidP="00F95761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《中华人民共和国城乡规划法》（2008年）</w:t>
      </w:r>
    </w:p>
    <w:p w:rsidR="000E5F7F" w:rsidRPr="00F95761" w:rsidRDefault="000E5F7F" w:rsidP="00F95761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《中华人民共和国土地管理法》（2004年）</w:t>
      </w:r>
    </w:p>
    <w:p w:rsidR="000E5F7F" w:rsidRPr="00F95761" w:rsidRDefault="000E5F7F" w:rsidP="00F95761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《中华人民共和国环境保护法》（2002年）</w:t>
      </w:r>
    </w:p>
    <w:p w:rsidR="000E5F7F" w:rsidRPr="00F95761" w:rsidRDefault="000E5F7F" w:rsidP="00F95761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《中华人民共和国森林法》（2000年）</w:t>
      </w:r>
    </w:p>
    <w:p w:rsidR="000E5F7F" w:rsidRPr="00F95761" w:rsidRDefault="000E5F7F" w:rsidP="00F95761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《中华人民共和国水污染防治法》（2008年）</w:t>
      </w:r>
    </w:p>
    <w:p w:rsidR="000E5F7F" w:rsidRPr="00F95761" w:rsidRDefault="000E5F7F" w:rsidP="00F95761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《中华人民共和国风景名胜区条例》（2006年）</w:t>
      </w:r>
    </w:p>
    <w:p w:rsidR="000E5F7F" w:rsidRPr="00F95761" w:rsidRDefault="000E5F7F" w:rsidP="00F95761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《中华人民共和国自然保护区管理条例》（2005年）以及其它相关法律法规依据</w:t>
      </w:r>
    </w:p>
    <w:p w:rsidR="008B1805" w:rsidRPr="00F95761" w:rsidRDefault="008B1805" w:rsidP="00F95761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技术规范：</w:t>
      </w:r>
    </w:p>
    <w:p w:rsidR="008B1805" w:rsidRPr="00F95761" w:rsidRDefault="008B1805" w:rsidP="00F95761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《旅游规划通则》（GB/T 18971-2003）</w:t>
      </w:r>
    </w:p>
    <w:p w:rsidR="008B1805" w:rsidRPr="00F95761" w:rsidRDefault="008B1805" w:rsidP="00F95761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《旅游资源分类、调查与评价》（GB/T 18972-2003）</w:t>
      </w:r>
    </w:p>
    <w:p w:rsidR="008B1805" w:rsidRPr="00F95761" w:rsidRDefault="008B1805" w:rsidP="00F95761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《旅游区（点）质量等级划分与评定》（GB/T 17775-2003）</w:t>
      </w:r>
    </w:p>
    <w:p w:rsidR="008B1805" w:rsidRPr="00F95761" w:rsidRDefault="008B1805" w:rsidP="00F95761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《旅游度假区等级划分标准》（GB/T 26358-2010）</w:t>
      </w:r>
    </w:p>
    <w:p w:rsidR="00723EC0" w:rsidRPr="00F95761" w:rsidRDefault="008B1805" w:rsidP="00F95761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《城市用地分类与规划建设用地标准》（GB 50137-2011）以及其它相关技术规范依据</w:t>
      </w:r>
      <w:bookmarkEnd w:id="2"/>
      <w:bookmarkEnd w:id="3"/>
      <w:r w:rsidR="00723EC0" w:rsidRPr="00F95761">
        <w:rPr>
          <w:rFonts w:ascii="微软雅黑 Light" w:eastAsia="微软雅黑 Light" w:hAnsi="微软雅黑 Light" w:hint="eastAsia"/>
          <w:szCs w:val="21"/>
        </w:rPr>
        <w:t>。</w:t>
      </w:r>
    </w:p>
    <w:p w:rsidR="009B6DC0" w:rsidRPr="00F95761" w:rsidRDefault="00F95761" w:rsidP="00F95761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b/>
          <w:szCs w:val="21"/>
        </w:rPr>
      </w:pPr>
      <w:r w:rsidRPr="00F95761">
        <w:rPr>
          <w:rFonts w:ascii="微软雅黑 Light" w:eastAsia="微软雅黑 Light" w:hAnsi="微软雅黑 Light" w:hint="eastAsia"/>
          <w:b/>
          <w:szCs w:val="21"/>
        </w:rPr>
        <w:t>设计内容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67" w:firstLine="141"/>
        <w:rPr>
          <w:rFonts w:ascii="微软雅黑 Light" w:eastAsia="微软雅黑 Light" w:hAnsi="微软雅黑 Light" w:cs="宋体"/>
          <w:b/>
          <w:szCs w:val="21"/>
        </w:rPr>
      </w:pPr>
      <w:r w:rsidRPr="00F95761">
        <w:rPr>
          <w:rFonts w:ascii="微软雅黑 Light" w:eastAsia="微软雅黑 Light" w:hAnsi="微软雅黑 Light" w:cs="宋体" w:hint="eastAsia"/>
          <w:b/>
          <w:szCs w:val="21"/>
        </w:rPr>
        <w:t>总体规划设计内容：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67" w:firstLine="141"/>
        <w:rPr>
          <w:rFonts w:ascii="微软雅黑 Light" w:eastAsia="微软雅黑 Light" w:hAnsi="微软雅黑 Light" w:cs="宋体"/>
          <w:b/>
          <w:szCs w:val="21"/>
        </w:rPr>
      </w:pPr>
      <w:r w:rsidRPr="00F95761">
        <w:rPr>
          <w:rFonts w:ascii="微软雅黑 Light" w:eastAsia="微软雅黑 Light" w:hAnsi="微软雅黑 Light" w:cs="宋体" w:hint="eastAsia"/>
          <w:b/>
          <w:szCs w:val="21"/>
        </w:rPr>
        <w:t>（包括但不限于以下内容，以满足相关规范及政府审批资料要求为准）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ascii="微软雅黑 Light" w:eastAsia="微软雅黑 Light" w:hAnsi="微软雅黑 Light" w:cs="宋体"/>
          <w:b/>
          <w:szCs w:val="21"/>
        </w:rPr>
      </w:pPr>
      <w:r w:rsidRPr="00F95761">
        <w:rPr>
          <w:rFonts w:ascii="微软雅黑 Light" w:eastAsia="微软雅黑 Light" w:hAnsi="微软雅黑 Light" w:cs="宋体" w:hint="eastAsia"/>
          <w:b/>
          <w:szCs w:val="21"/>
        </w:rPr>
        <w:t>规划内容：</w:t>
      </w:r>
    </w:p>
    <w:p w:rsidR="00F95761" w:rsidRPr="00F95761" w:rsidRDefault="00F95761" w:rsidP="00F95761">
      <w:pPr>
        <w:pStyle w:val="a6"/>
        <w:widowControl/>
        <w:numPr>
          <w:ilvl w:val="0"/>
          <w:numId w:val="15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综合现状分析</w:t>
      </w:r>
    </w:p>
    <w:p w:rsidR="00F95761" w:rsidRPr="00F95761" w:rsidRDefault="00F95761" w:rsidP="00F95761">
      <w:pPr>
        <w:pStyle w:val="a6"/>
        <w:widowControl/>
        <w:numPr>
          <w:ilvl w:val="0"/>
          <w:numId w:val="15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旅游资源和市场分析</w:t>
      </w:r>
    </w:p>
    <w:p w:rsidR="00F95761" w:rsidRPr="00F95761" w:rsidRDefault="00F95761" w:rsidP="00F95761">
      <w:pPr>
        <w:pStyle w:val="a6"/>
        <w:widowControl/>
        <w:numPr>
          <w:ilvl w:val="0"/>
          <w:numId w:val="15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规划定位与发展策略</w:t>
      </w:r>
    </w:p>
    <w:p w:rsidR="00F95761" w:rsidRPr="00F95761" w:rsidRDefault="00F95761" w:rsidP="00F95761">
      <w:pPr>
        <w:pStyle w:val="a6"/>
        <w:widowControl/>
        <w:numPr>
          <w:ilvl w:val="0"/>
          <w:numId w:val="15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旅游项目策划</w:t>
      </w:r>
    </w:p>
    <w:p w:rsidR="00F95761" w:rsidRPr="00F95761" w:rsidRDefault="00F95761" w:rsidP="00F95761">
      <w:pPr>
        <w:pStyle w:val="a6"/>
        <w:widowControl/>
        <w:numPr>
          <w:ilvl w:val="0"/>
          <w:numId w:val="15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总体空间布局与发展规模</w:t>
      </w:r>
    </w:p>
    <w:p w:rsidR="00F95761" w:rsidRPr="00F95761" w:rsidRDefault="00F95761" w:rsidP="00F95761">
      <w:pPr>
        <w:pStyle w:val="a6"/>
        <w:widowControl/>
        <w:numPr>
          <w:ilvl w:val="0"/>
          <w:numId w:val="15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相关专项规划</w:t>
      </w:r>
    </w:p>
    <w:p w:rsidR="00F95761" w:rsidRPr="00F95761" w:rsidRDefault="00F95761" w:rsidP="00F95761">
      <w:pPr>
        <w:pStyle w:val="a6"/>
        <w:widowControl/>
        <w:numPr>
          <w:ilvl w:val="0"/>
          <w:numId w:val="15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lastRenderedPageBreak/>
        <w:t>开发管控规划</w:t>
      </w:r>
    </w:p>
    <w:p w:rsidR="00F95761" w:rsidRPr="00F95761" w:rsidRDefault="00F95761" w:rsidP="00F95761">
      <w:pPr>
        <w:pStyle w:val="a6"/>
        <w:widowControl/>
        <w:numPr>
          <w:ilvl w:val="0"/>
          <w:numId w:val="15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分期发展规划</w:t>
      </w:r>
    </w:p>
    <w:p w:rsidR="00F95761" w:rsidRPr="00F95761" w:rsidRDefault="00F95761" w:rsidP="00F95761">
      <w:pPr>
        <w:pStyle w:val="a6"/>
        <w:widowControl/>
        <w:numPr>
          <w:ilvl w:val="0"/>
          <w:numId w:val="15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规划管理实施措施及建议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ascii="微软雅黑 Light" w:eastAsia="微软雅黑 Light" w:hAnsi="微软雅黑 Light" w:cs="宋体"/>
          <w:b/>
          <w:szCs w:val="21"/>
        </w:rPr>
      </w:pPr>
      <w:r w:rsidRPr="00F95761">
        <w:rPr>
          <w:rFonts w:ascii="微软雅黑 Light" w:eastAsia="微软雅黑 Light" w:hAnsi="微软雅黑 Light" w:cs="宋体" w:hint="eastAsia"/>
          <w:b/>
          <w:szCs w:val="21"/>
        </w:rPr>
        <w:t>主要图纸：</w:t>
      </w:r>
    </w:p>
    <w:p w:rsidR="00F95761" w:rsidRPr="00F95761" w:rsidRDefault="00F95761" w:rsidP="00F95761">
      <w:pPr>
        <w:pStyle w:val="a6"/>
        <w:widowControl/>
        <w:numPr>
          <w:ilvl w:val="0"/>
          <w:numId w:val="16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土地使用现状图</w:t>
      </w:r>
    </w:p>
    <w:p w:rsidR="00F95761" w:rsidRPr="00F95761" w:rsidRDefault="00F95761" w:rsidP="00F95761">
      <w:pPr>
        <w:pStyle w:val="a6"/>
        <w:widowControl/>
        <w:numPr>
          <w:ilvl w:val="0"/>
          <w:numId w:val="16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用地适宜性评价图</w:t>
      </w:r>
    </w:p>
    <w:p w:rsidR="00F95761" w:rsidRPr="00F95761" w:rsidRDefault="00F95761" w:rsidP="00F95761">
      <w:pPr>
        <w:pStyle w:val="a6"/>
        <w:widowControl/>
        <w:numPr>
          <w:ilvl w:val="0"/>
          <w:numId w:val="16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规划结构图</w:t>
      </w:r>
    </w:p>
    <w:p w:rsidR="00F95761" w:rsidRPr="00F95761" w:rsidRDefault="00F95761" w:rsidP="00F95761">
      <w:pPr>
        <w:pStyle w:val="a6"/>
        <w:widowControl/>
        <w:numPr>
          <w:ilvl w:val="0"/>
          <w:numId w:val="16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土地使用规划图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6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游览项目规划图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6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道路交通规划图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6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旅游服务设施规划图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6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景观风貌规划图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6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旅游赏析规划图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6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自然保护区及生态保护规划图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6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居民社会调控规划图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6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给水工程规划图（等市政工程规划图）</w:t>
      </w:r>
    </w:p>
    <w:p w:rsidR="00F95761" w:rsidRPr="00F95761" w:rsidRDefault="00F95761" w:rsidP="00F95761">
      <w:pPr>
        <w:pStyle w:val="a6"/>
        <w:widowControl/>
        <w:numPr>
          <w:ilvl w:val="0"/>
          <w:numId w:val="16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综合防灾规划图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6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空间管制规划图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6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分期建设规划图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ascii="微软雅黑 Light" w:eastAsia="微软雅黑 Light" w:hAnsi="微软雅黑 Light" w:cs="宋体"/>
          <w:b/>
          <w:szCs w:val="21"/>
        </w:rPr>
      </w:pPr>
      <w:r w:rsidRPr="00F95761">
        <w:rPr>
          <w:rFonts w:ascii="微软雅黑 Light" w:eastAsia="微软雅黑 Light" w:hAnsi="微软雅黑 Light" w:cs="宋体" w:hint="eastAsia"/>
          <w:b/>
          <w:szCs w:val="21"/>
        </w:rPr>
        <w:t>成果文件：</w:t>
      </w:r>
    </w:p>
    <w:p w:rsidR="00F95761" w:rsidRPr="00F95761" w:rsidRDefault="00F95761" w:rsidP="00F95761">
      <w:pPr>
        <w:adjustRightInd w:val="0"/>
        <w:snapToGrid w:val="0"/>
        <w:spacing w:line="360" w:lineRule="auto"/>
        <w:ind w:firstLineChars="200" w:firstLine="420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文本、图集、说明书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ascii="微软雅黑 Light" w:eastAsia="微软雅黑 Light" w:hAnsi="微软雅黑 Light" w:cs="宋体"/>
          <w:b/>
          <w:szCs w:val="21"/>
        </w:rPr>
      </w:pPr>
      <w:r w:rsidRPr="00F95761">
        <w:rPr>
          <w:rFonts w:ascii="微软雅黑 Light" w:eastAsia="微软雅黑 Light" w:hAnsi="微软雅黑 Light" w:cs="宋体" w:hint="eastAsia"/>
          <w:b/>
          <w:szCs w:val="21"/>
        </w:rPr>
        <w:t>控制性详细规划设计内容：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ascii="微软雅黑 Light" w:eastAsia="微软雅黑 Light" w:hAnsi="微软雅黑 Light" w:cs="宋体"/>
          <w:b/>
          <w:szCs w:val="21"/>
        </w:rPr>
      </w:pPr>
      <w:r w:rsidRPr="00F95761">
        <w:rPr>
          <w:rFonts w:ascii="微软雅黑 Light" w:eastAsia="微软雅黑 Light" w:hAnsi="微软雅黑 Light" w:cs="宋体" w:hint="eastAsia"/>
          <w:b/>
          <w:szCs w:val="21"/>
        </w:rPr>
        <w:t>（包括但不限于以下内容，以满足相关规范及政府审批资料要求为准）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ascii="微软雅黑 Light" w:eastAsia="微软雅黑 Light" w:hAnsi="微软雅黑 Light" w:cs="宋体"/>
          <w:b/>
          <w:szCs w:val="21"/>
        </w:rPr>
      </w:pPr>
      <w:r w:rsidRPr="00F95761">
        <w:rPr>
          <w:rFonts w:ascii="微软雅黑 Light" w:eastAsia="微软雅黑 Light" w:hAnsi="微软雅黑 Light" w:cs="宋体" w:hint="eastAsia"/>
          <w:b/>
          <w:szCs w:val="21"/>
        </w:rPr>
        <w:t>规划内容</w:t>
      </w:r>
    </w:p>
    <w:p w:rsidR="00F95761" w:rsidRPr="00F95761" w:rsidRDefault="00F95761" w:rsidP="00F95761">
      <w:pPr>
        <w:pStyle w:val="a6"/>
        <w:widowControl/>
        <w:numPr>
          <w:ilvl w:val="0"/>
          <w:numId w:val="14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确定规划范围内不同性质用地的界线，确定各类用地内适建，不适建或者有条件地允许建设的建筑类型</w:t>
      </w:r>
    </w:p>
    <w:p w:rsidR="00F95761" w:rsidRPr="00F95761" w:rsidRDefault="00F95761" w:rsidP="00F95761">
      <w:pPr>
        <w:pStyle w:val="a6"/>
        <w:widowControl/>
        <w:numPr>
          <w:ilvl w:val="0"/>
          <w:numId w:val="14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lastRenderedPageBreak/>
        <w:t>确定各地块建筑高度、建筑密度、容积率、绿地率等控制指标；确定公共设施配套要求、交通出入口方位、停车泊位、建筑后退红线距离等要求</w:t>
      </w:r>
    </w:p>
    <w:p w:rsidR="00F95761" w:rsidRPr="00F95761" w:rsidRDefault="00F95761" w:rsidP="00F95761">
      <w:pPr>
        <w:pStyle w:val="a6"/>
        <w:widowControl/>
        <w:numPr>
          <w:ilvl w:val="0"/>
          <w:numId w:val="14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提出各地块的建筑体量、体型、色彩等城市设计指导原则</w:t>
      </w:r>
    </w:p>
    <w:p w:rsidR="00F95761" w:rsidRPr="00F95761" w:rsidRDefault="00F95761" w:rsidP="00F95761">
      <w:pPr>
        <w:pStyle w:val="a6"/>
        <w:widowControl/>
        <w:numPr>
          <w:ilvl w:val="0"/>
          <w:numId w:val="14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根据交通需求分析，确定地块出入口位置、停车泊位、公共交通场站用地范围和站点位置、步行交通以及其它交通设施。规定各级道路的红线、断面、交叉口形式及渠化措施、控制点坐标和标高</w:t>
      </w:r>
    </w:p>
    <w:p w:rsidR="00F95761" w:rsidRPr="00F95761" w:rsidRDefault="00F95761" w:rsidP="00F95761">
      <w:pPr>
        <w:pStyle w:val="a6"/>
        <w:widowControl/>
        <w:numPr>
          <w:ilvl w:val="0"/>
          <w:numId w:val="14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根据规划建设容量，确定市政工程管线位置、管径，布局市政工程设施。确定地下空间开发利用要求</w:t>
      </w:r>
    </w:p>
    <w:p w:rsidR="00F95761" w:rsidRPr="00F95761" w:rsidRDefault="00F95761" w:rsidP="00F95761">
      <w:pPr>
        <w:pStyle w:val="a6"/>
        <w:widowControl/>
        <w:numPr>
          <w:ilvl w:val="0"/>
          <w:numId w:val="14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制定相应的土地使用与建筑管理规定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ascii="微软雅黑 Light" w:eastAsia="微软雅黑 Light" w:hAnsi="微软雅黑 Light" w:cs="宋体"/>
          <w:b/>
          <w:szCs w:val="21"/>
        </w:rPr>
      </w:pPr>
      <w:r w:rsidRPr="00F95761">
        <w:rPr>
          <w:rFonts w:ascii="微软雅黑 Light" w:eastAsia="微软雅黑 Light" w:hAnsi="微软雅黑 Light" w:cs="宋体" w:hint="eastAsia"/>
          <w:b/>
          <w:szCs w:val="21"/>
        </w:rPr>
        <w:t>主要图纸：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区位分析图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土地使用现状图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道路交通现状图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保护区范围图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现状用地权属图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现状高程分析图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现状坡度分析图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现状坡向分析图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功能结构规划图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土地使用规划图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控规与总规的比较分析图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居住用地规划图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村庄安置规划图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配套设施规划图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商业服务业设施规划图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区域交通衔接规划图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lastRenderedPageBreak/>
        <w:t>道路交通系统规划图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慢行交通系统规划图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道路竖向规划图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道路断面规划图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道路平面定位图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绿地系统规划图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景观系统规划图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住宿类旅游服务设施规划图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非住宿旅游服务设施规划图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游览线路图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开发强度控制图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建筑高度控制图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地下空间规划图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给水工程规划图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雨水工程规划图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污水工程规划图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电力工程规划图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电信工程规划图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燃气工程规划图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环卫工程规划图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防洪防潮规划图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综合防灾规划图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红线控制图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黄线控制图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蓝线控制图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绿线控制图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lastRenderedPageBreak/>
        <w:t>分期建设规划图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管理单元划分图</w:t>
      </w:r>
    </w:p>
    <w:p w:rsidR="00F95761" w:rsidRPr="00F95761" w:rsidRDefault="00F95761" w:rsidP="00F95761">
      <w:pPr>
        <w:pStyle w:val="a6"/>
        <w:widowControl/>
        <w:numPr>
          <w:ilvl w:val="0"/>
          <w:numId w:val="13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地块编号图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ascii="微软雅黑 Light" w:eastAsia="微软雅黑 Light" w:hAnsi="微软雅黑 Light" w:cs="宋体"/>
          <w:b/>
          <w:szCs w:val="21"/>
        </w:rPr>
      </w:pPr>
      <w:r w:rsidRPr="00F95761">
        <w:rPr>
          <w:rFonts w:ascii="微软雅黑 Light" w:eastAsia="微软雅黑 Light" w:hAnsi="微软雅黑 Light" w:cs="宋体" w:hint="eastAsia"/>
          <w:b/>
          <w:szCs w:val="21"/>
        </w:rPr>
        <w:t>成果文件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文本、图集（图纸、分图则）、说明书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ascii="微软雅黑 Light" w:eastAsia="微软雅黑 Light" w:hAnsi="微软雅黑 Light" w:cs="宋体"/>
          <w:b/>
          <w:szCs w:val="21"/>
        </w:rPr>
      </w:pPr>
      <w:r w:rsidRPr="00F95761">
        <w:rPr>
          <w:rFonts w:ascii="微软雅黑 Light" w:eastAsia="微软雅黑 Light" w:hAnsi="微软雅黑 Light" w:cs="宋体" w:hint="eastAsia"/>
          <w:b/>
          <w:szCs w:val="21"/>
        </w:rPr>
        <w:t>城市设计内容：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ascii="微软雅黑 Light" w:eastAsia="微软雅黑 Light" w:hAnsi="微软雅黑 Light" w:cs="宋体"/>
          <w:b/>
          <w:szCs w:val="21"/>
        </w:rPr>
      </w:pPr>
      <w:r w:rsidRPr="00F95761">
        <w:rPr>
          <w:rFonts w:ascii="微软雅黑 Light" w:eastAsia="微软雅黑 Light" w:hAnsi="微软雅黑 Light" w:cs="宋体" w:hint="eastAsia"/>
          <w:b/>
          <w:szCs w:val="21"/>
        </w:rPr>
        <w:t>（包括但不限于以下内容，以满足相关规范及政府审批资料要求为准）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ascii="微软雅黑 Light" w:eastAsia="微软雅黑 Light" w:hAnsi="微软雅黑 Light" w:cs="宋体"/>
          <w:b/>
          <w:szCs w:val="21"/>
        </w:rPr>
      </w:pPr>
      <w:r w:rsidRPr="00F95761">
        <w:rPr>
          <w:rFonts w:ascii="微软雅黑 Light" w:eastAsia="微软雅黑 Light" w:hAnsi="微软雅黑 Light" w:cs="宋体" w:hint="eastAsia"/>
          <w:b/>
          <w:szCs w:val="21"/>
        </w:rPr>
        <w:t>规划内容：</w:t>
      </w:r>
    </w:p>
    <w:p w:rsidR="00F95761" w:rsidRPr="00F95761" w:rsidRDefault="00F95761" w:rsidP="00F95761">
      <w:pPr>
        <w:pStyle w:val="a6"/>
        <w:widowControl/>
        <w:numPr>
          <w:ilvl w:val="0"/>
          <w:numId w:val="17"/>
        </w:numPr>
        <w:tabs>
          <w:tab w:val="left" w:pos="1080"/>
        </w:tabs>
        <w:adjustRightInd w:val="0"/>
        <w:snapToGrid w:val="0"/>
        <w:spacing w:line="360" w:lineRule="auto"/>
        <w:ind w:left="851"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城市设计的目标与构思</w:t>
      </w:r>
    </w:p>
    <w:p w:rsidR="00F95761" w:rsidRPr="00F95761" w:rsidRDefault="00F95761" w:rsidP="00F95761">
      <w:pPr>
        <w:pStyle w:val="a6"/>
        <w:widowControl/>
        <w:numPr>
          <w:ilvl w:val="0"/>
          <w:numId w:val="18"/>
        </w:numPr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根据对基础资料的分析研究，明晰发展理念及城市设计编制的理论基础。</w:t>
      </w:r>
    </w:p>
    <w:p w:rsidR="00F95761" w:rsidRPr="00F95761" w:rsidRDefault="00F95761" w:rsidP="00F95761">
      <w:pPr>
        <w:pStyle w:val="a6"/>
        <w:widowControl/>
        <w:numPr>
          <w:ilvl w:val="0"/>
          <w:numId w:val="18"/>
        </w:numPr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 xml:space="preserve">挖掘文化内涵，明确城市文化形象定位，构建具有特色的城市空间结构。 </w:t>
      </w:r>
    </w:p>
    <w:p w:rsidR="00F95761" w:rsidRPr="00F95761" w:rsidRDefault="00F95761" w:rsidP="00F95761">
      <w:pPr>
        <w:pStyle w:val="a6"/>
        <w:widowControl/>
        <w:numPr>
          <w:ilvl w:val="0"/>
          <w:numId w:val="17"/>
        </w:numPr>
        <w:spacing w:line="360" w:lineRule="auto"/>
        <w:ind w:left="851"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bCs/>
          <w:szCs w:val="21"/>
        </w:rPr>
        <w:t>空间要素</w:t>
      </w:r>
    </w:p>
    <w:p w:rsidR="00F95761" w:rsidRPr="00F95761" w:rsidRDefault="00F95761" w:rsidP="00F95761">
      <w:pPr>
        <w:pStyle w:val="a6"/>
        <w:widowControl/>
        <w:numPr>
          <w:ilvl w:val="0"/>
          <w:numId w:val="18"/>
        </w:numPr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梳理公共空间体系，引导公共空间开发，指导城市景观风貌建设。</w:t>
      </w:r>
    </w:p>
    <w:p w:rsidR="00F95761" w:rsidRPr="00F95761" w:rsidRDefault="00F95761" w:rsidP="00F95761">
      <w:pPr>
        <w:pStyle w:val="a6"/>
        <w:widowControl/>
        <w:numPr>
          <w:ilvl w:val="0"/>
          <w:numId w:val="18"/>
        </w:numPr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确定高度分区、高度限制，建立设计范围的空间体量三维模型。</w:t>
      </w:r>
    </w:p>
    <w:p w:rsidR="00F95761" w:rsidRPr="00F95761" w:rsidRDefault="00F95761" w:rsidP="00F95761">
      <w:pPr>
        <w:pStyle w:val="a6"/>
        <w:widowControl/>
        <w:numPr>
          <w:ilvl w:val="0"/>
          <w:numId w:val="18"/>
        </w:numPr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确定城市绿化网络，内容包括绿地系统的布局、用地安排、意向设计等内容.</w:t>
      </w:r>
    </w:p>
    <w:p w:rsidR="00F95761" w:rsidRPr="00F95761" w:rsidRDefault="00F95761" w:rsidP="00F95761">
      <w:pPr>
        <w:pStyle w:val="a6"/>
        <w:widowControl/>
        <w:numPr>
          <w:ilvl w:val="0"/>
          <w:numId w:val="18"/>
        </w:numPr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确定空间单元的特色分区、围合方式、体量分布等内容.</w:t>
      </w:r>
    </w:p>
    <w:p w:rsidR="00F95761" w:rsidRPr="00F95761" w:rsidRDefault="00F95761" w:rsidP="00F95761">
      <w:pPr>
        <w:pStyle w:val="a6"/>
        <w:widowControl/>
        <w:numPr>
          <w:ilvl w:val="0"/>
          <w:numId w:val="18"/>
        </w:numPr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确定空间节点在城市空间体系中的地位和作用以及控制要求，提出重要“节点”的设计构思和意向。</w:t>
      </w:r>
    </w:p>
    <w:p w:rsidR="00F95761" w:rsidRPr="00F95761" w:rsidRDefault="00F95761" w:rsidP="00F95761">
      <w:pPr>
        <w:pStyle w:val="a6"/>
        <w:widowControl/>
        <w:numPr>
          <w:ilvl w:val="0"/>
          <w:numId w:val="18"/>
        </w:numPr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确定界面的连续性、轮廓等内容。</w:t>
      </w:r>
    </w:p>
    <w:p w:rsidR="00F95761" w:rsidRPr="00F95761" w:rsidRDefault="00F95761" w:rsidP="00F95761">
      <w:pPr>
        <w:pStyle w:val="a6"/>
        <w:widowControl/>
        <w:numPr>
          <w:ilvl w:val="0"/>
          <w:numId w:val="18"/>
        </w:numPr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确定活动路径、视觉路径等内容。</w:t>
      </w:r>
    </w:p>
    <w:p w:rsidR="00F95761" w:rsidRPr="00F95761" w:rsidRDefault="00F95761" w:rsidP="00F95761">
      <w:pPr>
        <w:pStyle w:val="a6"/>
        <w:widowControl/>
        <w:numPr>
          <w:ilvl w:val="0"/>
          <w:numId w:val="17"/>
        </w:numPr>
        <w:spacing w:line="360" w:lineRule="auto"/>
        <w:ind w:left="851"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bCs/>
          <w:szCs w:val="21"/>
        </w:rPr>
        <w:t>环境要素</w:t>
      </w:r>
    </w:p>
    <w:p w:rsidR="00F95761" w:rsidRPr="00F95761" w:rsidRDefault="00F95761" w:rsidP="00F95761">
      <w:pPr>
        <w:pStyle w:val="a6"/>
        <w:widowControl/>
        <w:numPr>
          <w:ilvl w:val="0"/>
          <w:numId w:val="18"/>
        </w:numPr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引导绿化植被，广告标识，环境设施等的景观特征、构成与分布。</w:t>
      </w:r>
    </w:p>
    <w:p w:rsidR="00F95761" w:rsidRPr="00F95761" w:rsidRDefault="00F95761" w:rsidP="00F95761">
      <w:pPr>
        <w:pStyle w:val="a6"/>
        <w:widowControl/>
        <w:numPr>
          <w:ilvl w:val="0"/>
          <w:numId w:val="17"/>
        </w:numPr>
        <w:spacing w:line="360" w:lineRule="auto"/>
        <w:ind w:left="851"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bCs/>
          <w:szCs w:val="21"/>
        </w:rPr>
        <w:t>建筑要素</w:t>
      </w:r>
    </w:p>
    <w:p w:rsidR="00F95761" w:rsidRPr="00F95761" w:rsidRDefault="00F95761" w:rsidP="00F95761">
      <w:pPr>
        <w:pStyle w:val="a6"/>
        <w:widowControl/>
        <w:numPr>
          <w:ilvl w:val="0"/>
          <w:numId w:val="18"/>
        </w:numPr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lastRenderedPageBreak/>
        <w:t>建筑的主要轴线、景观朝向等相互组合关系。</w:t>
      </w:r>
    </w:p>
    <w:p w:rsidR="00F95761" w:rsidRPr="00F95761" w:rsidRDefault="00F95761" w:rsidP="00F95761">
      <w:pPr>
        <w:pStyle w:val="a6"/>
        <w:widowControl/>
        <w:numPr>
          <w:ilvl w:val="0"/>
          <w:numId w:val="18"/>
        </w:numPr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建筑的体量、色彩、材料、等形态特征引导。</w:t>
      </w:r>
    </w:p>
    <w:p w:rsidR="00F95761" w:rsidRPr="00F95761" w:rsidRDefault="00F95761" w:rsidP="00F95761">
      <w:pPr>
        <w:pStyle w:val="a6"/>
        <w:widowControl/>
        <w:numPr>
          <w:ilvl w:val="0"/>
          <w:numId w:val="18"/>
        </w:numPr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主要建筑物的分布、景观特征引导。</w:t>
      </w:r>
    </w:p>
    <w:p w:rsidR="00F95761" w:rsidRPr="00F95761" w:rsidRDefault="00F95761" w:rsidP="00F95761">
      <w:pPr>
        <w:pStyle w:val="a6"/>
        <w:widowControl/>
        <w:numPr>
          <w:ilvl w:val="0"/>
          <w:numId w:val="18"/>
        </w:numPr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建筑风貌引导，结合规划区本土文化与现代元素。</w:t>
      </w:r>
    </w:p>
    <w:p w:rsidR="00F95761" w:rsidRPr="00F95761" w:rsidRDefault="00F95761" w:rsidP="00F95761">
      <w:pPr>
        <w:pStyle w:val="a6"/>
        <w:widowControl/>
        <w:numPr>
          <w:ilvl w:val="0"/>
          <w:numId w:val="17"/>
        </w:numPr>
        <w:spacing w:line="360" w:lineRule="auto"/>
        <w:ind w:left="851"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bCs/>
          <w:szCs w:val="21"/>
        </w:rPr>
        <w:t>其他需要增加的内容</w:t>
      </w:r>
    </w:p>
    <w:p w:rsidR="00F95761" w:rsidRPr="00F95761" w:rsidRDefault="00F95761" w:rsidP="00F95761">
      <w:pPr>
        <w:spacing w:line="360" w:lineRule="auto"/>
        <w:ind w:left="431"/>
        <w:rPr>
          <w:rFonts w:ascii="微软雅黑 Light" w:eastAsia="微软雅黑 Light" w:hAnsi="微软雅黑 Light" w:cs="宋体"/>
          <w:b/>
          <w:szCs w:val="21"/>
        </w:rPr>
      </w:pPr>
      <w:r w:rsidRPr="00F95761">
        <w:rPr>
          <w:rFonts w:ascii="微软雅黑 Light" w:eastAsia="微软雅黑 Light" w:hAnsi="微软雅黑 Light" w:cs="宋体" w:hint="eastAsia"/>
          <w:b/>
          <w:szCs w:val="21"/>
        </w:rPr>
        <w:t>主要图纸：</w:t>
      </w:r>
    </w:p>
    <w:p w:rsidR="00F95761" w:rsidRPr="00F95761" w:rsidRDefault="00F95761" w:rsidP="00F95761">
      <w:pPr>
        <w:pStyle w:val="a6"/>
        <w:widowControl/>
        <w:numPr>
          <w:ilvl w:val="0"/>
          <w:numId w:val="19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城市设计总平面图</w:t>
      </w:r>
    </w:p>
    <w:p w:rsidR="00F95761" w:rsidRPr="00F95761" w:rsidRDefault="00F95761" w:rsidP="00F95761">
      <w:pPr>
        <w:pStyle w:val="a6"/>
        <w:widowControl/>
        <w:numPr>
          <w:ilvl w:val="0"/>
          <w:numId w:val="19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整体鸟瞰图</w:t>
      </w:r>
    </w:p>
    <w:p w:rsidR="00F95761" w:rsidRPr="00F95761" w:rsidRDefault="00F95761" w:rsidP="00F95761">
      <w:pPr>
        <w:pStyle w:val="a6"/>
        <w:widowControl/>
        <w:numPr>
          <w:ilvl w:val="0"/>
          <w:numId w:val="19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重要场景透视图</w:t>
      </w:r>
    </w:p>
    <w:p w:rsidR="00F95761" w:rsidRPr="00F95761" w:rsidRDefault="00F95761" w:rsidP="00F95761">
      <w:pPr>
        <w:pStyle w:val="a6"/>
        <w:widowControl/>
        <w:numPr>
          <w:ilvl w:val="0"/>
          <w:numId w:val="19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规划功能结构图</w:t>
      </w:r>
    </w:p>
    <w:p w:rsidR="00F95761" w:rsidRPr="00F95761" w:rsidRDefault="00F95761" w:rsidP="00F95761">
      <w:pPr>
        <w:pStyle w:val="a6"/>
        <w:widowControl/>
        <w:numPr>
          <w:ilvl w:val="0"/>
          <w:numId w:val="19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各项功能区设计指引</w:t>
      </w:r>
    </w:p>
    <w:p w:rsidR="00F95761" w:rsidRPr="00F95761" w:rsidRDefault="00F95761" w:rsidP="00F95761">
      <w:pPr>
        <w:pStyle w:val="a6"/>
        <w:widowControl/>
        <w:numPr>
          <w:ilvl w:val="0"/>
          <w:numId w:val="19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开敞空间系统规划图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9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主要城市界面景观规划图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9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建筑物高度管控规划图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9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建筑物色彩引导与控制规划图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9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/>
          <w:szCs w:val="21"/>
        </w:rPr>
        <w:t>各地块容积率控制幅度规划图</w:t>
      </w:r>
    </w:p>
    <w:p w:rsidR="00F95761" w:rsidRPr="00F95761" w:rsidRDefault="00F95761" w:rsidP="00F95761">
      <w:pPr>
        <w:pStyle w:val="a6"/>
        <w:widowControl/>
        <w:numPr>
          <w:ilvl w:val="0"/>
          <w:numId w:val="19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/>
          <w:szCs w:val="21"/>
        </w:rPr>
        <w:t>特色公共建筑造型风格意向推荐图</w:t>
      </w:r>
    </w:p>
    <w:p w:rsidR="00F95761" w:rsidRPr="00F95761" w:rsidRDefault="00F95761" w:rsidP="00F95761">
      <w:pPr>
        <w:pStyle w:val="a6"/>
        <w:widowControl/>
        <w:numPr>
          <w:ilvl w:val="0"/>
          <w:numId w:val="19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/>
          <w:szCs w:val="21"/>
        </w:rPr>
        <w:t>特色</w:t>
      </w:r>
      <w:r w:rsidRPr="00F95761">
        <w:rPr>
          <w:rFonts w:ascii="微软雅黑 Light" w:eastAsia="微软雅黑 Light" w:hAnsi="微软雅黑 Light" w:cs="宋体" w:hint="eastAsia"/>
          <w:szCs w:val="21"/>
        </w:rPr>
        <w:t>景观营造</w:t>
      </w:r>
      <w:r w:rsidRPr="00F95761">
        <w:rPr>
          <w:rFonts w:ascii="微软雅黑 Light" w:eastAsia="微软雅黑 Light" w:hAnsi="微软雅黑 Light" w:cs="宋体"/>
          <w:szCs w:val="21"/>
        </w:rPr>
        <w:t>风格意向推荐图</w:t>
      </w:r>
    </w:p>
    <w:p w:rsidR="00F95761" w:rsidRPr="00F95761" w:rsidRDefault="00F95761" w:rsidP="00F95761">
      <w:pPr>
        <w:pStyle w:val="a6"/>
        <w:widowControl/>
        <w:numPr>
          <w:ilvl w:val="0"/>
          <w:numId w:val="19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/>
          <w:szCs w:val="21"/>
        </w:rPr>
        <w:t>特色城市家具</w:t>
      </w:r>
      <w:r w:rsidRPr="00F95761">
        <w:rPr>
          <w:rFonts w:ascii="微软雅黑 Light" w:eastAsia="微软雅黑 Light" w:hAnsi="微软雅黑 Light" w:cs="宋体" w:hint="eastAsia"/>
          <w:szCs w:val="21"/>
        </w:rPr>
        <w:t>小品等风格意向推荐图</w:t>
      </w:r>
    </w:p>
    <w:p w:rsidR="00F95761" w:rsidRPr="00F95761" w:rsidRDefault="00F95761" w:rsidP="00F95761">
      <w:pPr>
        <w:pStyle w:val="a6"/>
        <w:widowControl/>
        <w:numPr>
          <w:ilvl w:val="0"/>
          <w:numId w:val="19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城市重要节点效果图</w:t>
      </w:r>
    </w:p>
    <w:p w:rsidR="00F95761" w:rsidRPr="00F95761" w:rsidRDefault="00F95761" w:rsidP="00F95761">
      <w:pPr>
        <w:pStyle w:val="a6"/>
        <w:widowControl/>
        <w:numPr>
          <w:ilvl w:val="0"/>
          <w:numId w:val="19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重要节点空间设计分析图</w:t>
      </w:r>
    </w:p>
    <w:p w:rsidR="00F95761" w:rsidRPr="00F95761" w:rsidRDefault="00F95761" w:rsidP="00F95761">
      <w:pPr>
        <w:pStyle w:val="a6"/>
        <w:widowControl/>
        <w:numPr>
          <w:ilvl w:val="0"/>
          <w:numId w:val="19"/>
        </w:numPr>
        <w:tabs>
          <w:tab w:val="left" w:pos="1080"/>
        </w:tabs>
        <w:adjustRightInd w:val="0"/>
        <w:snapToGrid w:val="0"/>
        <w:spacing w:line="360" w:lineRule="auto"/>
        <w:ind w:firstLineChars="0"/>
        <w:contextualSpacing/>
        <w:jc w:val="left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分地块城市设计导则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ascii="微软雅黑 Light" w:eastAsia="微软雅黑 Light" w:hAnsi="微软雅黑 Light" w:cs="宋体"/>
          <w:b/>
          <w:szCs w:val="21"/>
        </w:rPr>
      </w:pPr>
      <w:r w:rsidRPr="00F95761">
        <w:rPr>
          <w:rFonts w:ascii="微软雅黑 Light" w:eastAsia="微软雅黑 Light" w:hAnsi="微软雅黑 Light" w:cs="宋体" w:hint="eastAsia"/>
          <w:b/>
          <w:szCs w:val="21"/>
        </w:rPr>
        <w:t>成果文件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400" w:firstLine="840"/>
        <w:rPr>
          <w:rFonts w:ascii="微软雅黑 Light" w:eastAsia="微软雅黑 Light" w:hAnsi="微软雅黑 Light" w:cs="宋体"/>
          <w:szCs w:val="21"/>
        </w:rPr>
      </w:pPr>
      <w:r w:rsidRPr="00F95761">
        <w:rPr>
          <w:rFonts w:ascii="微软雅黑 Light" w:eastAsia="微软雅黑 Light" w:hAnsi="微软雅黑 Light" w:cs="宋体" w:hint="eastAsia"/>
          <w:szCs w:val="21"/>
        </w:rPr>
        <w:t>文本、图集</w:t>
      </w:r>
    </w:p>
    <w:p w:rsidR="00F95761" w:rsidRPr="00F95761" w:rsidRDefault="00F95761" w:rsidP="00F95761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微软雅黑 Light" w:eastAsia="微软雅黑 Light" w:hAnsi="微软雅黑 Light"/>
          <w:b/>
          <w:szCs w:val="21"/>
        </w:rPr>
      </w:pPr>
      <w:bookmarkStart w:id="4" w:name="_GoBack"/>
      <w:bookmarkEnd w:id="4"/>
      <w:r w:rsidRPr="00F95761">
        <w:rPr>
          <w:rFonts w:ascii="微软雅黑 Light" w:eastAsia="微软雅黑 Light" w:hAnsi="微软雅黑 Light"/>
          <w:b/>
          <w:szCs w:val="21"/>
        </w:rPr>
        <w:t>成果提交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lastRenderedPageBreak/>
        <w:t>纸质成果</w:t>
      </w:r>
      <w:r w:rsidRPr="00F95761">
        <w:rPr>
          <w:rFonts w:ascii="微软雅黑 Light" w:eastAsia="微软雅黑 Light" w:hAnsi="微软雅黑 Light"/>
          <w:szCs w:val="21"/>
        </w:rPr>
        <w:t>6套；规格为A3，包含能充分表达设计意图的相关图纸</w:t>
      </w:r>
      <w:r w:rsidRPr="00F95761">
        <w:rPr>
          <w:rFonts w:ascii="微软雅黑 Light" w:eastAsia="微软雅黑 Light" w:hAnsi="微软雅黑 Light" w:hint="eastAsia"/>
          <w:szCs w:val="21"/>
        </w:rPr>
        <w:t>(文本格式及质量按甲方要求执行)</w:t>
      </w:r>
      <w:r w:rsidRPr="00F95761">
        <w:rPr>
          <w:rFonts w:ascii="微软雅黑 Light" w:eastAsia="微软雅黑 Light" w:hAnsi="微软雅黑 Light"/>
          <w:szCs w:val="21"/>
        </w:rPr>
        <w:t>；</w:t>
      </w:r>
    </w:p>
    <w:p w:rsidR="00F95761" w:rsidRPr="00F95761" w:rsidRDefault="00F95761" w:rsidP="00F95761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ascii="微软雅黑 Light" w:eastAsia="微软雅黑 Light" w:hAnsi="微软雅黑 Light"/>
          <w:szCs w:val="21"/>
        </w:rPr>
      </w:pPr>
      <w:r w:rsidRPr="00F95761">
        <w:rPr>
          <w:rFonts w:ascii="微软雅黑 Light" w:eastAsia="微软雅黑 Light" w:hAnsi="微软雅黑 Light" w:hint="eastAsia"/>
          <w:szCs w:val="21"/>
        </w:rPr>
        <w:t>电子光盘</w:t>
      </w:r>
      <w:r w:rsidRPr="00F95761">
        <w:rPr>
          <w:rFonts w:ascii="微软雅黑 Light" w:eastAsia="微软雅黑 Light" w:hAnsi="微软雅黑 Light"/>
          <w:szCs w:val="21"/>
        </w:rPr>
        <w:t>2张（所有设计成果的电子文件，word、JPEG、CAD、PPT格式等）；</w:t>
      </w:r>
    </w:p>
    <w:p w:rsidR="00C43A92" w:rsidRPr="002904EC" w:rsidRDefault="00C43A92" w:rsidP="00F95761">
      <w:pPr>
        <w:spacing w:line="360" w:lineRule="auto"/>
        <w:rPr>
          <w:rFonts w:ascii="微软雅黑 Light" w:eastAsia="微软雅黑 Light" w:hAnsi="微软雅黑 Light"/>
          <w:szCs w:val="21"/>
        </w:rPr>
      </w:pPr>
    </w:p>
    <w:sectPr w:rsidR="00C43A92" w:rsidRPr="002904EC" w:rsidSect="00C43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CB" w:rsidRDefault="00BA4ECB" w:rsidP="009B6DC0">
      <w:r>
        <w:separator/>
      </w:r>
    </w:p>
  </w:endnote>
  <w:endnote w:type="continuationSeparator" w:id="0">
    <w:p w:rsidR="00BA4ECB" w:rsidRDefault="00BA4ECB" w:rsidP="009B6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 Light">
    <w:altName w:val="微软雅黑"/>
    <w:charset w:val="86"/>
    <w:family w:val="swiss"/>
    <w:pitch w:val="variable"/>
    <w:sig w:usb0="00000000" w:usb1="2ACF001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CB" w:rsidRDefault="00BA4ECB" w:rsidP="009B6DC0">
      <w:r>
        <w:separator/>
      </w:r>
    </w:p>
  </w:footnote>
  <w:footnote w:type="continuationSeparator" w:id="0">
    <w:p w:rsidR="00BA4ECB" w:rsidRDefault="00BA4ECB" w:rsidP="009B6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8B5"/>
    <w:multiLevelType w:val="hybridMultilevel"/>
    <w:tmpl w:val="8C4479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760E70"/>
    <w:multiLevelType w:val="hybridMultilevel"/>
    <w:tmpl w:val="027A76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FE4084"/>
    <w:multiLevelType w:val="hybridMultilevel"/>
    <w:tmpl w:val="9948095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5BE40BC"/>
    <w:multiLevelType w:val="hybridMultilevel"/>
    <w:tmpl w:val="5720EA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842FA5"/>
    <w:multiLevelType w:val="hybridMultilevel"/>
    <w:tmpl w:val="ED98A87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>
    <w:nsid w:val="1F052C37"/>
    <w:multiLevelType w:val="hybridMultilevel"/>
    <w:tmpl w:val="0CB4B3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5B5D8B"/>
    <w:multiLevelType w:val="hybridMultilevel"/>
    <w:tmpl w:val="EC40D47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9A279B3"/>
    <w:multiLevelType w:val="hybridMultilevel"/>
    <w:tmpl w:val="51A0D7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C823DDD"/>
    <w:multiLevelType w:val="hybridMultilevel"/>
    <w:tmpl w:val="028AACD6"/>
    <w:lvl w:ilvl="0" w:tplc="4184AEDA">
      <w:numFmt w:val="bullet"/>
      <w:lvlText w:val="-"/>
      <w:lvlJc w:val="left"/>
      <w:pPr>
        <w:ind w:left="1260" w:hanging="420"/>
      </w:pPr>
      <w:rPr>
        <w:rFonts w:ascii="微软雅黑" w:eastAsia="微软雅黑" w:hAnsi="微软雅黑" w:cs="宋体" w:hint="eastAsia"/>
      </w:rPr>
    </w:lvl>
    <w:lvl w:ilvl="1" w:tplc="88E669F6">
      <w:start w:val="1"/>
      <w:numFmt w:val="decimal"/>
      <w:lvlText w:val="（%2）"/>
      <w:lvlJc w:val="left"/>
      <w:pPr>
        <w:ind w:left="19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36465FB6"/>
    <w:multiLevelType w:val="hybridMultilevel"/>
    <w:tmpl w:val="619C25C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7D45C7"/>
    <w:multiLevelType w:val="hybridMultilevel"/>
    <w:tmpl w:val="4D148B7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C0E13B8"/>
    <w:multiLevelType w:val="hybridMultilevel"/>
    <w:tmpl w:val="7098DBC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FFF6AF0"/>
    <w:multiLevelType w:val="hybridMultilevel"/>
    <w:tmpl w:val="CBA88396"/>
    <w:lvl w:ilvl="0" w:tplc="58725F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C651FA"/>
    <w:multiLevelType w:val="hybridMultilevel"/>
    <w:tmpl w:val="6C207D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81F78B1"/>
    <w:multiLevelType w:val="hybridMultilevel"/>
    <w:tmpl w:val="CB3428F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97355B1"/>
    <w:multiLevelType w:val="hybridMultilevel"/>
    <w:tmpl w:val="70AA9E9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6">
    <w:nsid w:val="61CF7AFD"/>
    <w:multiLevelType w:val="hybridMultilevel"/>
    <w:tmpl w:val="E1F2B5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A27F3B"/>
    <w:multiLevelType w:val="hybridMultilevel"/>
    <w:tmpl w:val="8C4479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C906209"/>
    <w:multiLevelType w:val="hybridMultilevel"/>
    <w:tmpl w:val="0048352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88E669F6">
      <w:start w:val="1"/>
      <w:numFmt w:val="decimal"/>
      <w:lvlText w:val="（%2）"/>
      <w:lvlJc w:val="left"/>
      <w:pPr>
        <w:ind w:left="19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2"/>
  </w:num>
  <w:num w:numId="5">
    <w:abstractNumId w:val="9"/>
  </w:num>
  <w:num w:numId="6">
    <w:abstractNumId w:val="17"/>
  </w:num>
  <w:num w:numId="7">
    <w:abstractNumId w:val="1"/>
  </w:num>
  <w:num w:numId="8">
    <w:abstractNumId w:val="3"/>
  </w:num>
  <w:num w:numId="9">
    <w:abstractNumId w:val="4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14"/>
  </w:num>
  <w:num w:numId="16">
    <w:abstractNumId w:val="11"/>
  </w:num>
  <w:num w:numId="17">
    <w:abstractNumId w:val="18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DC0"/>
    <w:rsid w:val="000114F4"/>
    <w:rsid w:val="000E5F7F"/>
    <w:rsid w:val="001D5D90"/>
    <w:rsid w:val="002904EC"/>
    <w:rsid w:val="003479E5"/>
    <w:rsid w:val="00472719"/>
    <w:rsid w:val="004746B9"/>
    <w:rsid w:val="004870ED"/>
    <w:rsid w:val="004E0DE6"/>
    <w:rsid w:val="005E4A37"/>
    <w:rsid w:val="006D0684"/>
    <w:rsid w:val="00723EC0"/>
    <w:rsid w:val="008B0500"/>
    <w:rsid w:val="008B1805"/>
    <w:rsid w:val="008F3F00"/>
    <w:rsid w:val="00972129"/>
    <w:rsid w:val="009B6DC0"/>
    <w:rsid w:val="00A41F40"/>
    <w:rsid w:val="00BA1FBB"/>
    <w:rsid w:val="00BA4ECB"/>
    <w:rsid w:val="00C31BC4"/>
    <w:rsid w:val="00C43A92"/>
    <w:rsid w:val="00C86B82"/>
    <w:rsid w:val="00F9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9B6DC0"/>
    <w:pPr>
      <w:keepNext/>
      <w:keepLines/>
      <w:spacing w:before="260" w:after="260" w:line="415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D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D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DC0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9B6DC0"/>
    <w:rPr>
      <w:rFonts w:ascii="Cambria" w:eastAsia="宋体" w:hAnsi="Cambria" w:cs="宋体"/>
      <w:b/>
      <w:bCs/>
      <w:sz w:val="32"/>
      <w:szCs w:val="32"/>
    </w:rPr>
  </w:style>
  <w:style w:type="paragraph" w:styleId="a5">
    <w:name w:val="Plain Text"/>
    <w:basedOn w:val="a"/>
    <w:link w:val="Char1"/>
    <w:semiHidden/>
    <w:unhideWhenUsed/>
    <w:rsid w:val="000E5F7F"/>
    <w:rPr>
      <w:rFonts w:ascii="宋体" w:hAnsi="Courier New"/>
    </w:rPr>
  </w:style>
  <w:style w:type="character" w:customStyle="1" w:styleId="Char1">
    <w:name w:val="纯文本 Char"/>
    <w:basedOn w:val="a0"/>
    <w:link w:val="a5"/>
    <w:semiHidden/>
    <w:rsid w:val="000E5F7F"/>
    <w:rPr>
      <w:rFonts w:ascii="宋体" w:eastAsia="宋体" w:hAnsi="Courier New" w:cs="Times New Roman"/>
      <w:szCs w:val="20"/>
    </w:rPr>
  </w:style>
  <w:style w:type="paragraph" w:styleId="a6">
    <w:name w:val="List Paragraph"/>
    <w:basedOn w:val="a"/>
    <w:uiPriority w:val="34"/>
    <w:qFormat/>
    <w:rsid w:val="008B1805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2904E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904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352</Words>
  <Characters>2009</Characters>
  <Application>Microsoft Office Word</Application>
  <DocSecurity>0</DocSecurity>
  <Lines>16</Lines>
  <Paragraphs>4</Paragraphs>
  <ScaleCrop>false</ScaleCrop>
  <Company>中国微软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2018-07-31T08:29:00Z</dcterms:created>
  <dcterms:modified xsi:type="dcterms:W3CDTF">2018-08-01T03:00:00Z</dcterms:modified>
</cp:coreProperties>
</file>