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E" w:rsidRPr="00242A65" w:rsidRDefault="00E605EE" w:rsidP="00E605EE">
      <w:pPr>
        <w:jc w:val="center"/>
        <w:outlineLvl w:val="0"/>
        <w:rPr>
          <w:rFonts w:ascii="Times New Roman"/>
          <w:b/>
          <w:shd w:val="clear" w:color="auto" w:fill="FFFFFF" w:themeFill="background1"/>
        </w:rPr>
      </w:pPr>
      <w:bookmarkStart w:id="0" w:name="_Toc468211707"/>
      <w:r w:rsidRPr="00242A65">
        <w:rPr>
          <w:rFonts w:ascii="Times New Roman"/>
          <w:b/>
          <w:shd w:val="clear" w:color="auto" w:fill="FFFFFF" w:themeFill="background1"/>
        </w:rPr>
        <w:t>第四章</w:t>
      </w:r>
      <w:r w:rsidR="003B0170">
        <w:rPr>
          <w:rFonts w:ascii="Times New Roman" w:hint="eastAsia"/>
          <w:b/>
          <w:shd w:val="clear" w:color="auto" w:fill="FFFFFF" w:themeFill="background1"/>
        </w:rPr>
        <w:t xml:space="preserve"> </w:t>
      </w:r>
      <w:r w:rsidRPr="00242A65">
        <w:rPr>
          <w:rFonts w:ascii="Times New Roman"/>
          <w:b/>
          <w:shd w:val="clear" w:color="auto" w:fill="FFFFFF" w:themeFill="background1"/>
        </w:rPr>
        <w:t>用户需求</w:t>
      </w:r>
      <w:bookmarkEnd w:id="0"/>
    </w:p>
    <w:p w:rsidR="00E605EE" w:rsidRPr="00242A65" w:rsidRDefault="00E605EE" w:rsidP="00E605EE">
      <w:pPr>
        <w:jc w:val="center"/>
        <w:outlineLvl w:val="0"/>
        <w:rPr>
          <w:rFonts w:ascii="Times New Roman"/>
          <w:b/>
          <w:shd w:val="clear" w:color="auto" w:fill="FFFFFF" w:themeFill="background1"/>
        </w:rPr>
      </w:pPr>
    </w:p>
    <w:p w:rsidR="00E605EE" w:rsidRPr="00CC72CC" w:rsidRDefault="00E605EE" w:rsidP="00E605EE">
      <w:pPr>
        <w:spacing w:line="360" w:lineRule="auto"/>
        <w:ind w:firstLineChars="200" w:firstLine="482"/>
        <w:rPr>
          <w:rFonts w:hAnsi="宋体"/>
          <w:b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b/>
          <w:sz w:val="24"/>
          <w:szCs w:val="24"/>
          <w:shd w:val="clear" w:color="auto" w:fill="FFFFFF" w:themeFill="background1"/>
        </w:rPr>
        <w:t>一、研究背景与意义</w:t>
      </w:r>
    </w:p>
    <w:p w:rsidR="004E1F44" w:rsidRDefault="004E1F44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bookmarkStart w:id="1" w:name="_GoBack"/>
      <w:bookmarkEnd w:id="1"/>
      <w:r>
        <w:rPr>
          <w:rFonts w:hAnsi="宋体" w:hint="eastAsia"/>
          <w:sz w:val="24"/>
          <w:szCs w:val="24"/>
          <w:shd w:val="clear" w:color="auto" w:fill="FFFFFF" w:themeFill="background1"/>
        </w:rPr>
        <w:t>根据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习近平总书记在庆祝海南建省办经济特区30周年大会上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的重要讲话精神和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《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中共中央国务院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关于支持海南全面深化改革开放的指导意见》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要求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，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海南将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建设国际旅游消费中心，大力推进旅游消费领域对外开放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。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推动旅游业转型升级，加快构建以观光旅游为基础、休闲度假为重点、文体旅游和健康旅游为特色的旅游产业体系，拓展旅游消费发展空间，放宽游艇旅游管制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，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有序推进西沙旅游资源开发，稳步开放海岛游。在被赋予改革开放新使命、国际旅游消费中心新定位的历史条件下，开展《</w:t>
      </w:r>
      <w:r w:rsidR="00A53EC6">
        <w:rPr>
          <w:rFonts w:hAnsi="宋体" w:hint="eastAsia"/>
          <w:sz w:val="24"/>
          <w:szCs w:val="24"/>
          <w:shd w:val="clear" w:color="auto" w:fill="FFFFFF" w:themeFill="background1"/>
        </w:rPr>
        <w:t>环海南岛海上游航线规划</w:t>
      </w:r>
      <w:r w:rsidR="00E605EE" w:rsidRPr="00CC72CC">
        <w:rPr>
          <w:rFonts w:hAnsi="宋体" w:hint="eastAsia"/>
          <w:sz w:val="24"/>
          <w:szCs w:val="24"/>
          <w:shd w:val="clear" w:color="auto" w:fill="FFFFFF" w:themeFill="background1"/>
        </w:rPr>
        <w:t>》工作，对全省海上环岛旅游的需求、旅游船舶配布、旅游码头的环岛布局规划、环岛旅游路线的规划及海陆服务保障等深入研究，提出海上环岛旅游健康持续发展的港口配套、船型及服务保障的规划建议，是具有重要意义且十分必要的</w:t>
      </w:r>
      <w:r>
        <w:rPr>
          <w:rFonts w:hAnsi="宋体" w:hint="eastAsia"/>
          <w:sz w:val="24"/>
          <w:szCs w:val="24"/>
          <w:shd w:val="clear" w:color="auto" w:fill="FFFFFF" w:themeFill="background1"/>
        </w:rPr>
        <w:t>。</w:t>
      </w:r>
    </w:p>
    <w:p w:rsidR="00E605EE" w:rsidRPr="00CC72CC" w:rsidRDefault="00E605EE" w:rsidP="00E605EE">
      <w:pPr>
        <w:spacing w:line="360" w:lineRule="auto"/>
        <w:ind w:firstLineChars="200" w:firstLine="482"/>
        <w:rPr>
          <w:rFonts w:hAnsi="宋体"/>
          <w:b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b/>
          <w:sz w:val="24"/>
          <w:szCs w:val="24"/>
          <w:shd w:val="clear" w:color="auto" w:fill="FFFFFF" w:themeFill="background1"/>
        </w:rPr>
        <w:t>二、研究内容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1、项目背景与意义。基于当前新形势新要求，分析提出本项目的必要性和重要意义。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2、海岛沿线旅游资源情况分析。通过已有资源梳理和相关详细调研，重点梳理全省沿海港口现状资源、旅游资源和海上旅游公共服务资源等现状情况和存在问题。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3、海岛游需求分析及船型研究。结合海南海岛沿线旅游消费现状及未来发展新形势，分析海上环岛游的市场前景，预测游客数量和出行规律，匡算对航程设置和沿线基础设施的需求规模的需求。基于需求和航线布设情况、航道条件等，综合研究提出适用的邮轮游艇游船船型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4</w:t>
      </w:r>
      <w:r w:rsidR="003B0170">
        <w:rPr>
          <w:rFonts w:hAnsi="宋体" w:hint="eastAsia"/>
          <w:sz w:val="24"/>
          <w:szCs w:val="24"/>
          <w:shd w:val="clear" w:color="auto" w:fill="FFFFFF" w:themeFill="background1"/>
        </w:rPr>
        <w:t>、海上环岛游经验借鉴和启示。对</w:t>
      </w:r>
      <w:proofErr w:type="gramStart"/>
      <w:r w:rsidR="003B0170">
        <w:rPr>
          <w:rFonts w:hAnsi="宋体" w:hint="eastAsia"/>
          <w:sz w:val="24"/>
          <w:szCs w:val="24"/>
          <w:shd w:val="clear" w:color="auto" w:fill="FFFFFF" w:themeFill="background1"/>
        </w:rPr>
        <w:t>标自由</w:t>
      </w:r>
      <w:proofErr w:type="gramEnd"/>
      <w:r w:rsidR="003B0170">
        <w:rPr>
          <w:rFonts w:hAnsi="宋体" w:hint="eastAsia"/>
          <w:sz w:val="24"/>
          <w:szCs w:val="24"/>
          <w:shd w:val="clear" w:color="auto" w:fill="FFFFFF" w:themeFill="background1"/>
        </w:rPr>
        <w:t>贸易港建设要求，借鉴国内外</w:t>
      </w: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游艇消费业态和旅游码头的</w:t>
      </w:r>
      <w:proofErr w:type="gramStart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先进规划</w:t>
      </w:r>
      <w:proofErr w:type="gramEnd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布局经验，提出对海南发展环岛游在旅游线路规划、码头布局等方面的经验和启示。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5、环岛旅游路线方案设计。结合本省旅游需求特点，研究提出海上各类型环岛旅游线路设计的原则。根据经济、时间、范围的需求不同，给出邮轮、游艇、游船的环岛游路线，以及邮轮国内游和国际游路线方案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lastRenderedPageBreak/>
        <w:t>6、港点布局方案。基于旅客需求和环岛旅游资源、旅游线路，研究提出邮轮、游艇、游船的不同消费业态。</w:t>
      </w:r>
      <w:proofErr w:type="gramStart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结合业</w:t>
      </w:r>
      <w:proofErr w:type="gramEnd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态需求</w:t>
      </w:r>
      <w:r w:rsidR="003B0170">
        <w:rPr>
          <w:rFonts w:hAnsi="宋体" w:hint="eastAsia"/>
          <w:sz w:val="24"/>
          <w:szCs w:val="24"/>
          <w:shd w:val="clear" w:color="auto" w:fill="FFFFFF" w:themeFill="background1"/>
        </w:rPr>
        <w:t>，提出环岛旅游港点的整体布局方案，并对各港点</w:t>
      </w: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和船舶配布给出具体方案。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7、支持保障系统及相关配套方案。为保障海上旅游产品的安全和美好感受，打造具有国际影响力的海南国际旅游消费中心，提出相关支持保障系统方案和相关旅游配套方案。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8、潜在风险分析及规避举措。匡算码头改造和新建、船舶购置、其他配套设施建设投资等资源投入和旅游产品带来的综合效益，提出合理的经营模式建议，同时结合需求制定近远期基础设施的建设计划。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9、保障措施。根据前期工作的任务和分工，提出工作开展过程中需要的政策、管理、组织、资金等保障措施和相关建议。</w:t>
      </w:r>
    </w:p>
    <w:p w:rsidR="00E605EE" w:rsidRPr="00CC72CC" w:rsidRDefault="00E605EE" w:rsidP="00E605EE">
      <w:pPr>
        <w:spacing w:line="360" w:lineRule="auto"/>
        <w:ind w:firstLineChars="200" w:firstLine="482"/>
        <w:rPr>
          <w:rFonts w:hAnsi="宋体"/>
          <w:b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b/>
          <w:sz w:val="24"/>
          <w:szCs w:val="24"/>
          <w:shd w:val="clear" w:color="auto" w:fill="FFFFFF" w:themeFill="background1"/>
        </w:rPr>
        <w:t>三、研究的重点和难点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初步考虑研究工作的重点和难点主要体现在四个方面：一是全面梳理分析海南省海上旅游市场现状，梳理当前旅游码头和旅游船舶的能力和运营现状，相关规划情况以及建设进展情况；二是充分剖析当前党中央国务院关于对外开放新格局、经济特区高质量发展、国际旅游岛建设、国家安全等方面的新要求新形势，结合本省宏观经济形势、战略导向、区域政策、旅游产业发展等，对未来的旅游市场的发展趋势和潜在需求进行预判；三是对</w:t>
      </w:r>
      <w:proofErr w:type="gramStart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标自由</w:t>
      </w:r>
      <w:proofErr w:type="gramEnd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贸易港建设要求，提出符合国家战略要求、符合人民对美好生活向往和多样性需求的旅游线路方案；四是在充分分析和借鉴国内外游艇消费业态和旅游码头</w:t>
      </w:r>
      <w:proofErr w:type="gramStart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先进规划</w:t>
      </w:r>
      <w:proofErr w:type="gramEnd"/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布局经验的基础上，结合本省海上旅游市场需求，研究提出旅游码头的布局方案、船舶配布以及支持保障系统方案，同时系统分析潜在风险、规避举措和相关建议。</w:t>
      </w:r>
    </w:p>
    <w:p w:rsidR="00E605EE" w:rsidRDefault="00E605EE" w:rsidP="00E605EE">
      <w:pPr>
        <w:spacing w:line="360" w:lineRule="auto"/>
        <w:ind w:firstLineChars="200" w:firstLine="482"/>
        <w:rPr>
          <w:rFonts w:hAnsi="宋体"/>
          <w:b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b/>
          <w:sz w:val="24"/>
          <w:szCs w:val="24"/>
          <w:shd w:val="clear" w:color="auto" w:fill="FFFFFF" w:themeFill="background1"/>
        </w:rPr>
        <w:t>四、研究进度计划安排</w:t>
      </w:r>
    </w:p>
    <w:p w:rsidR="00E605EE" w:rsidRPr="008244EA" w:rsidRDefault="00E605EE" w:rsidP="00E605EE">
      <w:pPr>
        <w:spacing w:line="360" w:lineRule="auto"/>
        <w:rPr>
          <w:rFonts w:hAnsi="宋体"/>
          <w:b/>
          <w:bCs/>
          <w:sz w:val="24"/>
          <w:szCs w:val="24"/>
          <w:shd w:val="clear" w:color="auto" w:fill="FFFFFF" w:themeFill="background1"/>
        </w:rPr>
      </w:pPr>
      <w:r w:rsidRPr="00242A65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合同签订后</w:t>
      </w:r>
      <w:r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1</w:t>
      </w:r>
      <w:r w:rsidRPr="00242A65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个月以内提交</w:t>
      </w:r>
      <w:r w:rsidRPr="008244EA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中间成果</w:t>
      </w:r>
      <w:r w:rsidRPr="00242A65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，</w:t>
      </w:r>
      <w:r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2</w:t>
      </w:r>
      <w:r w:rsidRPr="00242A65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个月内</w:t>
      </w:r>
      <w:proofErr w:type="gramStart"/>
      <w:r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获</w:t>
      </w:r>
      <w:r w:rsidRPr="008244EA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最终</w:t>
      </w:r>
      <w:proofErr w:type="gramEnd"/>
      <w:r w:rsidRPr="008244EA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成果</w:t>
      </w:r>
      <w:r w:rsidRPr="00242A65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文件。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计划于2018年12月全面完成，具体要求时间节点如下：</w:t>
      </w:r>
    </w:p>
    <w:p w:rsidR="00E605EE" w:rsidRPr="00CC72CC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11月底，完成</w:t>
      </w:r>
      <w:r w:rsidRPr="003B0170">
        <w:rPr>
          <w:rFonts w:hAnsi="宋体" w:hint="eastAsia"/>
          <w:sz w:val="24"/>
          <w:szCs w:val="24"/>
          <w:shd w:val="clear" w:color="auto" w:fill="FFFFFF" w:themeFill="background1"/>
        </w:rPr>
        <w:t>工作大纲、全省调研、</w:t>
      </w: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中间成果并征求各地市和相关部门意见；</w:t>
      </w:r>
    </w:p>
    <w:p w:rsidR="00E605EE" w:rsidRPr="00242A65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12月底前，完成最终成果。</w:t>
      </w:r>
    </w:p>
    <w:p w:rsidR="00E605EE" w:rsidRPr="00242A65" w:rsidRDefault="00E605EE" w:rsidP="00E605EE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hAnsi="宋体"/>
          <w:b/>
          <w:bCs/>
          <w:sz w:val="24"/>
          <w:szCs w:val="24"/>
          <w:shd w:val="clear" w:color="auto" w:fill="FFFFFF" w:themeFill="background1"/>
        </w:rPr>
      </w:pPr>
      <w:r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五</w:t>
      </w:r>
      <w:r w:rsidRPr="00242A65">
        <w:rPr>
          <w:rFonts w:hAnsi="宋体"/>
          <w:b/>
          <w:bCs/>
          <w:sz w:val="24"/>
          <w:szCs w:val="24"/>
          <w:shd w:val="clear" w:color="auto" w:fill="FFFFFF" w:themeFill="background1"/>
        </w:rPr>
        <w:t>、</w:t>
      </w:r>
      <w:r w:rsidRPr="00242A65">
        <w:rPr>
          <w:rFonts w:hAnsi="宋体" w:hint="eastAsia"/>
          <w:b/>
          <w:bCs/>
          <w:sz w:val="24"/>
          <w:szCs w:val="24"/>
          <w:shd w:val="clear" w:color="auto" w:fill="FFFFFF" w:themeFill="background1"/>
        </w:rPr>
        <w:t>付款方式</w:t>
      </w:r>
    </w:p>
    <w:p w:rsidR="00E605EE" w:rsidRPr="00242A65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lastRenderedPageBreak/>
        <w:t>第一期：合同签订生效后15日内，采购人按中标金额的</w:t>
      </w:r>
      <w:r w:rsidRPr="00242A65">
        <w:rPr>
          <w:rFonts w:hAnsi="宋体"/>
          <w:sz w:val="24"/>
          <w:szCs w:val="24"/>
          <w:shd w:val="clear" w:color="auto" w:fill="FFFFFF" w:themeFill="background1"/>
        </w:rPr>
        <w:t>4</w:t>
      </w: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>0%支付给中标人作为预付款；</w:t>
      </w:r>
    </w:p>
    <w:p w:rsidR="00E605EE" w:rsidRPr="00242A65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>第二期：中标人提交</w:t>
      </w: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中间成果</w:t>
      </w: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>后15日内，采购人按中标金额的40%支付给中标人；</w:t>
      </w:r>
    </w:p>
    <w:p w:rsidR="00E605EE" w:rsidRPr="00242A65" w:rsidRDefault="00E605EE" w:rsidP="00E605EE">
      <w:pPr>
        <w:spacing w:line="360" w:lineRule="auto"/>
        <w:ind w:firstLineChars="200" w:firstLine="480"/>
        <w:rPr>
          <w:rFonts w:hAnsi="宋体"/>
          <w:sz w:val="24"/>
          <w:szCs w:val="24"/>
          <w:shd w:val="clear" w:color="auto" w:fill="FFFFFF" w:themeFill="background1"/>
        </w:rPr>
      </w:pP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>第三期：中标人提交</w:t>
      </w:r>
      <w:r w:rsidRPr="00CC72CC">
        <w:rPr>
          <w:rFonts w:hAnsi="宋体" w:hint="eastAsia"/>
          <w:sz w:val="24"/>
          <w:szCs w:val="24"/>
          <w:shd w:val="clear" w:color="auto" w:fill="FFFFFF" w:themeFill="background1"/>
        </w:rPr>
        <w:t>最终成果</w:t>
      </w: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>给采购人后15日内，采购人付清</w:t>
      </w:r>
      <w:r w:rsidRPr="00242A65">
        <w:rPr>
          <w:rFonts w:hAnsi="宋体"/>
          <w:sz w:val="24"/>
          <w:szCs w:val="24"/>
          <w:shd w:val="clear" w:color="auto" w:fill="FFFFFF" w:themeFill="background1"/>
        </w:rPr>
        <w:t>2</w:t>
      </w: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>0%余款给中标人。</w:t>
      </w:r>
    </w:p>
    <w:p w:rsidR="00E605EE" w:rsidRPr="00242A65" w:rsidRDefault="00E605EE" w:rsidP="00E605EE">
      <w:pPr>
        <w:spacing w:line="360" w:lineRule="auto"/>
        <w:ind w:firstLineChars="250" w:firstLine="602"/>
        <w:rPr>
          <w:rFonts w:hAnsi="宋体"/>
          <w:sz w:val="24"/>
          <w:szCs w:val="24"/>
          <w:shd w:val="clear" w:color="auto" w:fill="FFFFFF" w:themeFill="background1"/>
        </w:rPr>
      </w:pPr>
      <w:r>
        <w:rPr>
          <w:rFonts w:hAnsi="宋体" w:hint="eastAsia"/>
          <w:b/>
          <w:sz w:val="24"/>
          <w:szCs w:val="24"/>
          <w:shd w:val="clear" w:color="auto" w:fill="FFFFFF" w:themeFill="background1"/>
        </w:rPr>
        <w:t>六</w:t>
      </w:r>
      <w:r w:rsidRPr="00242A65">
        <w:rPr>
          <w:rFonts w:hAnsi="宋体"/>
          <w:b/>
          <w:sz w:val="24"/>
          <w:szCs w:val="24"/>
          <w:shd w:val="clear" w:color="auto" w:fill="FFFFFF" w:themeFill="background1"/>
        </w:rPr>
        <w:t>、</w:t>
      </w:r>
      <w:r w:rsidRPr="00242A65">
        <w:rPr>
          <w:rFonts w:hAnsi="宋体" w:hint="eastAsia"/>
          <w:b/>
          <w:sz w:val="24"/>
          <w:szCs w:val="24"/>
          <w:shd w:val="clear" w:color="auto" w:fill="FFFFFF" w:themeFill="background1"/>
        </w:rPr>
        <w:t>其他要求</w:t>
      </w:r>
      <w:r w:rsidRPr="00242A65">
        <w:rPr>
          <w:rFonts w:hAnsi="宋体" w:hint="eastAsia"/>
          <w:sz w:val="24"/>
          <w:szCs w:val="24"/>
          <w:shd w:val="clear" w:color="auto" w:fill="FFFFFF" w:themeFill="background1"/>
        </w:rPr>
        <w:t xml:space="preserve"> </w:t>
      </w:r>
    </w:p>
    <w:p w:rsidR="00E605EE" w:rsidRPr="00242A65" w:rsidRDefault="00C66936" w:rsidP="00E605EE">
      <w:pPr>
        <w:spacing w:line="360" w:lineRule="auto"/>
        <w:ind w:firstLine="450"/>
        <w:rPr>
          <w:rFonts w:hAnsi="宋体" w:cs="宋体"/>
          <w:sz w:val="24"/>
          <w:szCs w:val="24"/>
          <w:shd w:val="clear" w:color="auto" w:fill="FFFFFF" w:themeFill="background1"/>
        </w:rPr>
      </w:pPr>
      <w:r>
        <w:rPr>
          <w:rFonts w:hAnsi="宋体" w:hint="eastAsia"/>
          <w:sz w:val="24"/>
          <w:szCs w:val="24"/>
          <w:shd w:val="clear" w:color="auto" w:fill="FFFFFF" w:themeFill="background1"/>
        </w:rPr>
        <w:t>供应商</w:t>
      </w:r>
      <w:r w:rsidR="00E605EE" w:rsidRPr="00242A65">
        <w:rPr>
          <w:rFonts w:hAnsi="宋体" w:hint="eastAsia"/>
          <w:sz w:val="24"/>
          <w:szCs w:val="24"/>
          <w:shd w:val="clear" w:color="auto" w:fill="FFFFFF" w:themeFill="background1"/>
        </w:rPr>
        <w:t>必须根据所投项目需求、资质资料编制投标文件。在中标结果公示期间，采购人有权对中标候选人所投产品的资质证书等进行核查，如发现与其投标文件中的描述不一，代理机构将报政府采购主管部门严肃处理。</w:t>
      </w:r>
    </w:p>
    <w:p w:rsidR="009E19BB" w:rsidRPr="00E605EE" w:rsidRDefault="009E19BB"/>
    <w:sectPr w:rsidR="009E19BB" w:rsidRPr="00E605EE" w:rsidSect="009E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D1" w:rsidRDefault="00A92BD1" w:rsidP="00E605EE">
      <w:r>
        <w:separator/>
      </w:r>
    </w:p>
  </w:endnote>
  <w:endnote w:type="continuationSeparator" w:id="0">
    <w:p w:rsidR="00A92BD1" w:rsidRDefault="00A92BD1" w:rsidP="00E6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D1" w:rsidRDefault="00A92BD1" w:rsidP="00E605EE">
      <w:r>
        <w:separator/>
      </w:r>
    </w:p>
  </w:footnote>
  <w:footnote w:type="continuationSeparator" w:id="0">
    <w:p w:rsidR="00A92BD1" w:rsidRDefault="00A92BD1" w:rsidP="00E6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5EE"/>
    <w:rsid w:val="00097366"/>
    <w:rsid w:val="003B0170"/>
    <w:rsid w:val="004E1F44"/>
    <w:rsid w:val="008031D1"/>
    <w:rsid w:val="009E19BB"/>
    <w:rsid w:val="00A53EC6"/>
    <w:rsid w:val="00A570F9"/>
    <w:rsid w:val="00A92BD1"/>
    <w:rsid w:val="00C66936"/>
    <w:rsid w:val="00D43632"/>
    <w:rsid w:val="00E605EE"/>
    <w:rsid w:val="00E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E"/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</Words>
  <Characters>1528</Characters>
  <Application>Microsoft Office Word</Application>
  <DocSecurity>0</DocSecurity>
  <Lines>12</Lines>
  <Paragraphs>3</Paragraphs>
  <ScaleCrop>false</ScaleCrop>
  <Company>china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dcterms:created xsi:type="dcterms:W3CDTF">2018-10-25T05:28:00Z</dcterms:created>
  <dcterms:modified xsi:type="dcterms:W3CDTF">2018-10-25T09:14:00Z</dcterms:modified>
</cp:coreProperties>
</file>