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用户需求书</w:t>
      </w:r>
    </w:p>
    <w:p>
      <w:pPr>
        <w:pStyle w:val="2"/>
        <w:spacing w:line="240" w:lineRule="auto"/>
        <w:rPr>
          <w:sz w:val="28"/>
          <w:szCs w:val="28"/>
        </w:rPr>
      </w:pPr>
      <w:bookmarkStart w:id="0" w:name="_Toc479871901"/>
      <w:bookmarkStart w:id="1" w:name="_Toc525075866"/>
      <w:bookmarkStart w:id="2" w:name="_Toc483320213"/>
      <w:r>
        <w:rPr>
          <w:rFonts w:hint="eastAsia"/>
          <w:sz w:val="28"/>
          <w:szCs w:val="28"/>
        </w:rPr>
        <w:t>一、项目背景</w:t>
      </w:r>
      <w:bookmarkEnd w:id="0"/>
      <w:bookmarkEnd w:id="1"/>
      <w:bookmarkEnd w:id="2"/>
    </w:p>
    <w:p>
      <w:pPr>
        <w:spacing w:line="360" w:lineRule="auto"/>
        <w:ind w:firstLine="56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rPr>
        <w:t>2016年5月国务院印发的《土壤污染防治行动计划》（国发〔2016〕31号）提出：2020 年底前掌握重点行业企业用地中的污染地块分布及其环境风险情况；2017年3月海南省人民政府印发的《海南省土壤污染防治行动计划实施方案》（琼府〔2017〕27号）提出开展重点行业企业用地土壤污染状况调查，摸清重点行业企业用地土壤污染状况及污染地块分布，初步掌握污染地块环境风险情况，建立污染地块清单和优先管控名录； 2018年3月海南省生态环境保护厅印发《海南省重点行业企业用地土壤污染状况调查工作方案》（琼环土字〔2018〕5号），要求各</w:t>
      </w:r>
      <w:r>
        <w:rPr>
          <w:rFonts w:hint="eastAsia" w:ascii="仿宋" w:hAnsi="仿宋" w:eastAsia="仿宋" w:cs="仿宋"/>
          <w:color w:val="auto"/>
          <w:sz w:val="28"/>
          <w:szCs w:val="28"/>
        </w:rPr>
        <w:t>市</w:t>
      </w:r>
      <w:r>
        <w:rPr>
          <w:rFonts w:hint="eastAsia" w:ascii="仿宋" w:hAnsi="仿宋" w:eastAsia="仿宋" w:cs="仿宋"/>
          <w:color w:val="auto"/>
          <w:sz w:val="28"/>
          <w:szCs w:val="28"/>
          <w:lang w:val="en-US" w:eastAsia="zh-CN"/>
        </w:rPr>
        <w:t>县</w:t>
      </w:r>
      <w:r>
        <w:rPr>
          <w:rFonts w:hint="eastAsia" w:ascii="仿宋" w:hAnsi="仿宋" w:eastAsia="仿宋" w:cs="仿宋"/>
          <w:color w:val="000000" w:themeColor="text1"/>
          <w:sz w:val="28"/>
          <w:szCs w:val="28"/>
        </w:rPr>
        <w:t>201</w:t>
      </w:r>
      <w:r>
        <w:rPr>
          <w:rFonts w:hint="eastAsia" w:ascii="仿宋" w:hAnsi="仿宋" w:eastAsia="仿宋" w:cs="仿宋"/>
          <w:sz w:val="28"/>
          <w:szCs w:val="28"/>
        </w:rPr>
        <w:t>9年底前完成重点行业企业用地基础信息调查工作和初步采样调查工作，2019年11月海南省生态环境保护厅《关于印发海南省重点行业企业用地土壤初步采样调查地块名单的通知》（琼环土字〔2019〕15号），确定了海南省重点行业企业用地土壤初步采样调查地块名单，2020年1月海南省生态环境保护厅《关于加快推进海南省重点行业企业用地土壤污染状况调查的通知》（琼环土字〔2020〕1号）</w:t>
      </w:r>
      <w:bookmarkStart w:id="3" w:name="_Toc483320221"/>
      <w:bookmarkStart w:id="4" w:name="_Toc479871911"/>
      <w:bookmarkStart w:id="5" w:name="_Toc525075867"/>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对</w:t>
      </w:r>
      <w:r>
        <w:rPr>
          <w:rFonts w:hint="eastAsia" w:ascii="仿宋" w:hAnsi="仿宋" w:eastAsia="仿宋" w:cs="仿宋"/>
          <w:sz w:val="28"/>
          <w:szCs w:val="28"/>
          <w:highlight w:val="none"/>
        </w:rPr>
        <w:t>海南省重点行业企业用地</w:t>
      </w:r>
      <w:r>
        <w:rPr>
          <w:rFonts w:hint="eastAsia" w:ascii="仿宋" w:hAnsi="仿宋" w:eastAsia="仿宋" w:cs="仿宋"/>
          <w:sz w:val="28"/>
          <w:szCs w:val="28"/>
          <w:highlight w:val="none"/>
          <w:lang w:val="en-US" w:eastAsia="zh-CN"/>
        </w:rPr>
        <w:t xml:space="preserve">详查工作进行了分解及进度安排。  </w:t>
      </w:r>
    </w:p>
    <w:p>
      <w:pPr>
        <w:spacing w:line="360" w:lineRule="auto"/>
        <w:ind w:firstLine="562" w:firstLineChars="200"/>
        <w:rPr>
          <w:sz w:val="28"/>
          <w:szCs w:val="28"/>
        </w:rPr>
      </w:pPr>
      <w:r>
        <w:rPr>
          <w:rFonts w:hint="eastAsia"/>
          <w:b/>
          <w:bCs/>
          <w:sz w:val="28"/>
          <w:szCs w:val="28"/>
        </w:rPr>
        <w:t>二、相关法律法规依据和标准规范</w:t>
      </w:r>
      <w:bookmarkEnd w:id="3"/>
      <w:bookmarkEnd w:id="4"/>
      <w:bookmarkEnd w:id="5"/>
    </w:p>
    <w:p>
      <w:pPr>
        <w:pStyle w:val="3"/>
        <w:spacing w:line="360" w:lineRule="auto"/>
        <w:rPr>
          <w:sz w:val="28"/>
          <w:szCs w:val="28"/>
        </w:rPr>
      </w:pPr>
      <w:bookmarkStart w:id="6" w:name="_Toc479871912"/>
      <w:bookmarkStart w:id="7" w:name="_Toc483320222"/>
      <w:bookmarkStart w:id="8" w:name="_Toc420919263"/>
      <w:bookmarkStart w:id="9" w:name="_Toc525075868"/>
      <w:r>
        <w:rPr>
          <w:rFonts w:hint="eastAsia"/>
          <w:sz w:val="28"/>
          <w:szCs w:val="28"/>
        </w:rPr>
        <w:t>（一）法律政策</w:t>
      </w:r>
      <w:bookmarkEnd w:id="6"/>
      <w:bookmarkEnd w:id="7"/>
      <w:bookmarkEnd w:id="8"/>
      <w:bookmarkEnd w:id="9"/>
    </w:p>
    <w:p>
      <w:pPr>
        <w:pStyle w:val="12"/>
        <w:numPr>
          <w:ilvl w:val="0"/>
          <w:numId w:val="1"/>
        </w:numPr>
        <w:spacing w:line="360" w:lineRule="auto"/>
        <w:ind w:firstLineChars="0"/>
        <w:rPr>
          <w:rFonts w:ascii="仿宋" w:hAnsi="仿宋" w:eastAsia="仿宋" w:cs="仿宋"/>
          <w:sz w:val="28"/>
          <w:szCs w:val="28"/>
        </w:rPr>
      </w:pPr>
      <w:r>
        <w:rPr>
          <w:rFonts w:hint="eastAsia" w:ascii="仿宋" w:hAnsi="仿宋" w:eastAsia="仿宋" w:cs="仿宋"/>
          <w:sz w:val="28"/>
          <w:szCs w:val="28"/>
        </w:rPr>
        <w:t>《中华人民共和国环境保护法》；</w:t>
      </w:r>
    </w:p>
    <w:p>
      <w:pPr>
        <w:pStyle w:val="12"/>
        <w:numPr>
          <w:ilvl w:val="0"/>
          <w:numId w:val="1"/>
        </w:numPr>
        <w:spacing w:line="360" w:lineRule="auto"/>
        <w:ind w:firstLineChars="0"/>
        <w:rPr>
          <w:rFonts w:ascii="仿宋" w:hAnsi="仿宋" w:eastAsia="仿宋" w:cs="仿宋"/>
          <w:sz w:val="28"/>
          <w:szCs w:val="28"/>
        </w:rPr>
      </w:pPr>
      <w:r>
        <w:rPr>
          <w:rFonts w:hint="eastAsia" w:ascii="仿宋" w:hAnsi="仿宋" w:eastAsia="仿宋" w:cs="仿宋"/>
          <w:sz w:val="28"/>
          <w:szCs w:val="28"/>
        </w:rPr>
        <w:t>《中华人民共和国固体废物污染环境防治法》；</w:t>
      </w:r>
    </w:p>
    <w:p>
      <w:pPr>
        <w:pStyle w:val="12"/>
        <w:numPr>
          <w:ilvl w:val="0"/>
          <w:numId w:val="1"/>
        </w:numPr>
        <w:spacing w:line="360" w:lineRule="auto"/>
        <w:ind w:firstLineChars="0"/>
        <w:rPr>
          <w:rFonts w:ascii="仿宋" w:hAnsi="仿宋" w:eastAsia="仿宋" w:cs="仿宋"/>
          <w:sz w:val="28"/>
          <w:szCs w:val="28"/>
        </w:rPr>
      </w:pPr>
      <w:r>
        <w:rPr>
          <w:rFonts w:hint="eastAsia" w:ascii="仿宋" w:hAnsi="仿宋" w:eastAsia="仿宋" w:cs="仿宋"/>
          <w:sz w:val="28"/>
          <w:szCs w:val="28"/>
        </w:rPr>
        <w:t>《污染地块土壤环境管理办法》（征求意见稿）；</w:t>
      </w:r>
    </w:p>
    <w:p>
      <w:pPr>
        <w:pStyle w:val="12"/>
        <w:numPr>
          <w:ilvl w:val="0"/>
          <w:numId w:val="1"/>
        </w:numPr>
        <w:spacing w:line="360" w:lineRule="auto"/>
        <w:ind w:firstLineChars="0"/>
        <w:rPr>
          <w:rFonts w:ascii="仿宋" w:hAnsi="仿宋" w:eastAsia="仿宋" w:cs="仿宋"/>
          <w:sz w:val="28"/>
          <w:szCs w:val="28"/>
        </w:rPr>
      </w:pPr>
      <w:r>
        <w:rPr>
          <w:rFonts w:hint="eastAsia" w:ascii="仿宋" w:hAnsi="仿宋" w:eastAsia="仿宋" w:cs="仿宋"/>
          <w:sz w:val="28"/>
          <w:szCs w:val="28"/>
        </w:rPr>
        <w:t>《土壤污染防治行动计划》；</w:t>
      </w:r>
    </w:p>
    <w:p>
      <w:pPr>
        <w:pStyle w:val="12"/>
        <w:numPr>
          <w:ilvl w:val="0"/>
          <w:numId w:val="1"/>
        </w:numPr>
        <w:spacing w:line="360" w:lineRule="auto"/>
        <w:ind w:firstLineChars="0"/>
        <w:rPr>
          <w:rFonts w:ascii="仿宋" w:hAnsi="仿宋" w:eastAsia="仿宋" w:cs="仿宋"/>
          <w:sz w:val="28"/>
          <w:szCs w:val="28"/>
        </w:rPr>
      </w:pPr>
      <w:r>
        <w:rPr>
          <w:rFonts w:hint="eastAsia" w:ascii="仿宋" w:hAnsi="仿宋" w:eastAsia="仿宋" w:cs="仿宋"/>
          <w:sz w:val="28"/>
          <w:szCs w:val="28"/>
        </w:rPr>
        <w:t>《海南省土壤污染防治行动计划实施方案》；</w:t>
      </w:r>
    </w:p>
    <w:p>
      <w:pPr>
        <w:pStyle w:val="12"/>
        <w:numPr>
          <w:ilvl w:val="0"/>
          <w:numId w:val="1"/>
        </w:numPr>
        <w:spacing w:line="360" w:lineRule="auto"/>
        <w:ind w:firstLineChars="0"/>
        <w:rPr>
          <w:rFonts w:ascii="仿宋" w:hAnsi="仿宋" w:eastAsia="仿宋" w:cs="仿宋"/>
          <w:sz w:val="28"/>
          <w:szCs w:val="28"/>
        </w:rPr>
      </w:pPr>
      <w:r>
        <w:rPr>
          <w:rFonts w:ascii="仿宋" w:hAnsi="仿宋" w:eastAsia="仿宋" w:cs="仿宋"/>
          <w:sz w:val="28"/>
          <w:szCs w:val="28"/>
        </w:rPr>
        <w:t>《海南省土壤污染治理与修复规划》</w:t>
      </w:r>
      <w:r>
        <w:rPr>
          <w:rFonts w:hint="eastAsia" w:ascii="仿宋" w:hAnsi="仿宋" w:eastAsia="仿宋" w:cs="仿宋"/>
          <w:sz w:val="28"/>
          <w:szCs w:val="28"/>
        </w:rPr>
        <w:t>。</w:t>
      </w:r>
    </w:p>
    <w:p>
      <w:pPr>
        <w:pStyle w:val="3"/>
        <w:rPr>
          <w:sz w:val="28"/>
          <w:szCs w:val="28"/>
        </w:rPr>
      </w:pPr>
      <w:bookmarkStart w:id="10" w:name="_Toc479871913"/>
      <w:bookmarkStart w:id="11" w:name="_Toc483320223"/>
      <w:bookmarkStart w:id="12" w:name="_Toc420919264"/>
      <w:bookmarkStart w:id="13" w:name="_Toc525075869"/>
      <w:r>
        <w:rPr>
          <w:rFonts w:hint="eastAsia"/>
          <w:sz w:val="28"/>
          <w:szCs w:val="28"/>
        </w:rPr>
        <w:t>（二）标准、规定</w:t>
      </w:r>
      <w:bookmarkEnd w:id="10"/>
      <w:bookmarkEnd w:id="11"/>
      <w:bookmarkEnd w:id="12"/>
      <w:bookmarkEnd w:id="13"/>
    </w:p>
    <w:p>
      <w:pPr>
        <w:pStyle w:val="12"/>
        <w:numPr>
          <w:ilvl w:val="0"/>
          <w:numId w:val="2"/>
        </w:numPr>
        <w:ind w:firstLineChars="0"/>
        <w:rPr>
          <w:rFonts w:ascii="仿宋" w:hAnsi="仿宋" w:eastAsia="仿宋" w:cs="仿宋"/>
          <w:sz w:val="28"/>
          <w:szCs w:val="28"/>
        </w:rPr>
      </w:pPr>
      <w:r>
        <w:rPr>
          <w:rFonts w:hint="eastAsia" w:ascii="仿宋" w:hAnsi="仿宋" w:eastAsia="仿宋" w:cs="仿宋"/>
          <w:sz w:val="28"/>
          <w:szCs w:val="28"/>
        </w:rPr>
        <w:t>《海南省土壤污染状况详查实施方案》；</w:t>
      </w:r>
    </w:p>
    <w:p>
      <w:pPr>
        <w:pStyle w:val="12"/>
        <w:numPr>
          <w:ilvl w:val="0"/>
          <w:numId w:val="2"/>
        </w:numPr>
        <w:ind w:firstLineChars="0"/>
        <w:rPr>
          <w:rFonts w:ascii="仿宋" w:hAnsi="仿宋" w:eastAsia="仿宋" w:cs="仿宋"/>
          <w:sz w:val="28"/>
          <w:szCs w:val="28"/>
        </w:rPr>
      </w:pPr>
      <w:r>
        <w:rPr>
          <w:rFonts w:hint="eastAsia" w:ascii="仿宋" w:hAnsi="仿宋" w:eastAsia="仿宋" w:cs="仿宋"/>
          <w:sz w:val="28"/>
          <w:szCs w:val="28"/>
        </w:rPr>
        <w:t>《海南省重点行业企业用地土壤污染状况调查工作方案》（琼环土字〔2018〕3号）；</w:t>
      </w:r>
    </w:p>
    <w:p>
      <w:pPr>
        <w:pStyle w:val="12"/>
        <w:numPr>
          <w:ilvl w:val="0"/>
          <w:numId w:val="2"/>
        </w:numPr>
        <w:ind w:firstLineChars="0"/>
        <w:rPr>
          <w:rFonts w:ascii="仿宋" w:hAnsi="仿宋" w:eastAsia="仿宋" w:cs="仿宋"/>
          <w:sz w:val="28"/>
          <w:szCs w:val="28"/>
        </w:rPr>
      </w:pPr>
      <w:r>
        <w:rPr>
          <w:rFonts w:hint="eastAsia" w:ascii="仿宋" w:hAnsi="仿宋" w:eastAsia="仿宋" w:cs="仿宋"/>
          <w:sz w:val="28"/>
          <w:szCs w:val="28"/>
        </w:rPr>
        <w:t>《重点行业企业用地调查信息采集技术规定（试行）》（环办土壤〔2017〕67号）；</w:t>
      </w:r>
    </w:p>
    <w:p>
      <w:pPr>
        <w:pStyle w:val="12"/>
        <w:numPr>
          <w:ilvl w:val="0"/>
          <w:numId w:val="2"/>
        </w:numPr>
        <w:ind w:firstLineChars="0"/>
        <w:rPr>
          <w:rFonts w:ascii="仿宋" w:hAnsi="仿宋" w:eastAsia="仿宋" w:cs="仿宋"/>
          <w:sz w:val="28"/>
          <w:szCs w:val="28"/>
        </w:rPr>
      </w:pPr>
      <w:r>
        <w:rPr>
          <w:rFonts w:hint="eastAsia" w:ascii="仿宋" w:hAnsi="仿宋" w:eastAsia="仿宋" w:cs="仿宋"/>
          <w:sz w:val="28"/>
          <w:szCs w:val="28"/>
        </w:rPr>
        <w:t>《在产企业地块风险筛查与风险分级技术规定（试行）》（环办土壤〔2017〕67号）；</w:t>
      </w:r>
    </w:p>
    <w:p>
      <w:pPr>
        <w:pStyle w:val="12"/>
        <w:numPr>
          <w:ilvl w:val="0"/>
          <w:numId w:val="2"/>
        </w:numPr>
        <w:ind w:firstLineChars="0"/>
        <w:rPr>
          <w:rFonts w:ascii="仿宋" w:hAnsi="仿宋" w:eastAsia="仿宋" w:cs="仿宋"/>
          <w:sz w:val="28"/>
          <w:szCs w:val="28"/>
        </w:rPr>
      </w:pPr>
      <w:r>
        <w:rPr>
          <w:rFonts w:hint="eastAsia" w:ascii="仿宋" w:hAnsi="仿宋" w:eastAsia="仿宋" w:cs="仿宋"/>
          <w:sz w:val="28"/>
          <w:szCs w:val="28"/>
        </w:rPr>
        <w:t>《关闭搬迁企业地块风险筛查与风险分级技术规定(试行) 》（环办土壤〔2017〕67号）；</w:t>
      </w:r>
    </w:p>
    <w:p>
      <w:pPr>
        <w:pStyle w:val="12"/>
        <w:numPr>
          <w:ilvl w:val="0"/>
          <w:numId w:val="2"/>
        </w:numPr>
        <w:ind w:firstLineChars="0"/>
        <w:rPr>
          <w:rFonts w:ascii="仿宋" w:hAnsi="仿宋" w:eastAsia="仿宋" w:cs="仿宋"/>
          <w:sz w:val="28"/>
          <w:szCs w:val="28"/>
        </w:rPr>
      </w:pPr>
      <w:r>
        <w:rPr>
          <w:rFonts w:hint="eastAsia" w:ascii="仿宋" w:hAnsi="仿宋" w:eastAsia="仿宋" w:cs="仿宋"/>
          <w:sz w:val="28"/>
          <w:szCs w:val="28"/>
        </w:rPr>
        <w:t>《重点行业企业用地调查疑似污染地块布点技术规定(试行) 》（环办土壤〔2017〕67号）；</w:t>
      </w:r>
    </w:p>
    <w:p>
      <w:pPr>
        <w:pStyle w:val="12"/>
        <w:numPr>
          <w:ilvl w:val="0"/>
          <w:numId w:val="2"/>
        </w:numPr>
        <w:ind w:firstLineChars="0"/>
        <w:rPr>
          <w:rFonts w:ascii="仿宋" w:hAnsi="仿宋" w:eastAsia="仿宋" w:cs="仿宋"/>
          <w:sz w:val="28"/>
          <w:szCs w:val="28"/>
        </w:rPr>
      </w:pPr>
      <w:r>
        <w:rPr>
          <w:rFonts w:hint="eastAsia" w:ascii="仿宋" w:hAnsi="仿宋" w:eastAsia="仿宋" w:cs="仿宋"/>
          <w:sz w:val="28"/>
          <w:szCs w:val="28"/>
        </w:rPr>
        <w:t>《重点行业企业用地调查样品采集保存和流转技术规定(试行) 》（环办土壤〔2017〕67号）。</w:t>
      </w:r>
    </w:p>
    <w:p>
      <w:pPr>
        <w:pStyle w:val="2"/>
        <w:spacing w:before="0" w:after="0"/>
        <w:rPr>
          <w:rFonts w:ascii="仿宋" w:hAnsi="仿宋" w:eastAsia="仿宋" w:cs="仿宋"/>
          <w:kern w:val="0"/>
          <w:sz w:val="28"/>
          <w:szCs w:val="28"/>
        </w:rPr>
      </w:pPr>
      <w:r>
        <w:rPr>
          <w:rFonts w:hint="eastAsia" w:ascii="宋体" w:hAnsi="宋体"/>
          <w:sz w:val="28"/>
          <w:szCs w:val="28"/>
        </w:rPr>
        <w:t xml:space="preserve"> 三</w:t>
      </w:r>
      <w:r>
        <w:rPr>
          <w:rFonts w:hint="eastAsia" w:ascii="仿宋" w:hAnsi="仿宋" w:eastAsia="仿宋" w:cs="仿宋"/>
          <w:kern w:val="0"/>
          <w:sz w:val="28"/>
          <w:szCs w:val="28"/>
        </w:rPr>
        <w:t>、主要目标</w:t>
      </w:r>
    </w:p>
    <w:p>
      <w:pPr>
        <w:widowControl/>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根据国家和省相关法律法规、标准和技术规范进行重点行业企业用地初步采样调查工作。完成海南省生态环境厅纳入布点采样调查5家重点企业（海南矿业股份有限公司(选矿厂) 、华润水泥(昌江)有限公司、 海南宝来工贸有限公司、海南金昌金矿有限公司、海南昌鑫钴业有限公司）点位布设、监测井建设、样品采集、数据分析测试及结果上报工作，配合省厅开展风险分级工作，配合省生态环境厅完成“昌江县土壤污染重点行业企业优先管控名录”建设。</w:t>
      </w:r>
    </w:p>
    <w:p>
      <w:pPr>
        <w:widowControl/>
        <w:numPr>
          <w:ilvl w:val="0"/>
          <w:numId w:val="3"/>
        </w:numPr>
        <w:adjustRightInd w:val="0"/>
        <w:snapToGrid w:val="0"/>
        <w:spacing w:line="360" w:lineRule="auto"/>
        <w:rPr>
          <w:rFonts w:ascii="宋体" w:hAnsi="宋体"/>
          <w:b/>
          <w:bCs/>
          <w:kern w:val="44"/>
          <w:sz w:val="28"/>
          <w:szCs w:val="28"/>
        </w:rPr>
      </w:pPr>
      <w:r>
        <w:rPr>
          <w:rFonts w:hint="eastAsia" w:ascii="宋体" w:hAnsi="宋体"/>
          <w:b/>
          <w:bCs/>
          <w:kern w:val="44"/>
          <w:sz w:val="28"/>
          <w:szCs w:val="28"/>
        </w:rPr>
        <w:t>工作内容</w:t>
      </w:r>
    </w:p>
    <w:p>
      <w:pPr>
        <w:widowControl/>
        <w:adjustRightInd w:val="0"/>
        <w:snapToGrid w:val="0"/>
        <w:spacing w:line="360" w:lineRule="auto"/>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根据《在产企业地块风险筛查与风险分级技术规定（试行）》和《关闭搬迁企业地块风险筛查与风险分级技术规定(试行) 》的要求，结合省生态环境厅和昌江县生态环境局土壤污染防治的要求，确定昌江县纳入初步采样调查的名录，执行《重点行业企业用地调查疑似污染地块布点技术规定(试行) 》和《重点行业企业用地调查样品采集保存和流转技术规定(试行) 》，开展初步采样调查。</w:t>
      </w:r>
      <w:bookmarkStart w:id="14" w:name="_Toc525075874"/>
      <w:bookmarkStart w:id="15" w:name="_Toc488065460"/>
    </w:p>
    <w:bookmarkEnd w:id="14"/>
    <w:p>
      <w:pPr>
        <w:widowControl/>
        <w:adjustRightInd w:val="0"/>
        <w:snapToGrid w:val="0"/>
        <w:spacing w:line="360" w:lineRule="auto"/>
        <w:rPr>
          <w:b/>
          <w:bCs/>
          <w:sz w:val="28"/>
          <w:szCs w:val="28"/>
        </w:rPr>
      </w:pPr>
      <w:bookmarkStart w:id="16" w:name="_Toc525075875"/>
      <w:bookmarkStart w:id="17" w:name="_Toc488065441"/>
      <w:r>
        <w:rPr>
          <w:rFonts w:hint="eastAsia"/>
          <w:b/>
          <w:bCs/>
          <w:sz w:val="28"/>
          <w:szCs w:val="28"/>
        </w:rPr>
        <w:t xml:space="preserve"> </w:t>
      </w:r>
      <w:r>
        <w:rPr>
          <w:rFonts w:hint="eastAsia"/>
          <w:b/>
          <w:bCs/>
          <w:sz w:val="28"/>
          <w:szCs w:val="28"/>
        </w:rPr>
        <w:t>（一）</w:t>
      </w:r>
      <w:r>
        <w:rPr>
          <w:b/>
          <w:bCs/>
          <w:sz w:val="28"/>
          <w:szCs w:val="28"/>
        </w:rPr>
        <w:t xml:space="preserve"> </w:t>
      </w:r>
      <w:r>
        <w:rPr>
          <w:rFonts w:hint="eastAsia"/>
          <w:b/>
          <w:bCs/>
          <w:sz w:val="28"/>
          <w:szCs w:val="28"/>
        </w:rPr>
        <w:t>工作程序与组织实施</w:t>
      </w:r>
      <w:bookmarkEnd w:id="16"/>
      <w:bookmarkEnd w:id="17"/>
    </w:p>
    <w:p>
      <w:pPr>
        <w:widowControl/>
        <w:adjustRightInd w:val="0"/>
        <w:snapToGrid w:val="0"/>
        <w:spacing w:line="360" w:lineRule="auto"/>
        <w:rPr>
          <w:rFonts w:ascii="仿宋" w:hAnsi="仿宋" w:eastAsia="仿宋" w:cs="仿宋"/>
          <w:b/>
          <w:bCs/>
          <w:sz w:val="28"/>
          <w:szCs w:val="28"/>
        </w:rPr>
      </w:pPr>
      <w:r>
        <w:rPr>
          <w:rFonts w:hint="eastAsia"/>
          <w:b/>
          <w:bCs/>
          <w:sz w:val="28"/>
          <w:szCs w:val="28"/>
        </w:rPr>
        <w:t xml:space="preserve"> 1、</w:t>
      </w:r>
      <w:r>
        <w:rPr>
          <w:rFonts w:hint="eastAsia" w:ascii="仿宋" w:hAnsi="仿宋" w:eastAsia="仿宋" w:cs="仿宋"/>
          <w:b/>
          <w:bCs/>
          <w:sz w:val="28"/>
          <w:szCs w:val="28"/>
        </w:rPr>
        <w:t>工作程序</w:t>
      </w:r>
    </w:p>
    <w:p>
      <w:pPr>
        <w:widowControl/>
        <w:adjustRightInd w:val="0"/>
        <w:snapToGrid w:val="0"/>
        <w:spacing w:line="360" w:lineRule="auto"/>
        <w:ind w:firstLine="560" w:firstLineChars="200"/>
        <w:rPr>
          <w:rFonts w:eastAsia="仿宋"/>
          <w:sz w:val="28"/>
          <w:szCs w:val="28"/>
        </w:rPr>
      </w:pPr>
      <w:r>
        <w:rPr>
          <w:rFonts w:hint="eastAsia" w:ascii="仿宋" w:hAnsi="仿宋" w:eastAsia="仿宋" w:cs="仿宋"/>
          <w:sz w:val="28"/>
          <w:szCs w:val="28"/>
        </w:rPr>
        <w:t xml:space="preserve">疑似污染地块布点工作程序包括：识别疑似污染区域、筛选布点区域、制定布点计划、采样点现场确定、编制布点方案， </w:t>
      </w:r>
    </w:p>
    <w:p>
      <w:pPr>
        <w:pStyle w:val="6"/>
        <w:rPr>
          <w:sz w:val="28"/>
          <w:szCs w:val="28"/>
        </w:rPr>
      </w:pPr>
      <w:bookmarkStart w:id="18" w:name="_Toc488065443"/>
      <w:r>
        <w:rPr>
          <w:rFonts w:hint="eastAsia"/>
          <w:sz w:val="28"/>
          <w:szCs w:val="28"/>
        </w:rPr>
        <w:t>2、组织实施</w:t>
      </w:r>
      <w:bookmarkEnd w:id="18"/>
    </w:p>
    <w:p>
      <w:pPr>
        <w:widowControl/>
        <w:adjustRightInd w:val="0"/>
        <w:snapToGrid w:val="0"/>
        <w:spacing w:before="100" w:beforeAutospacing="1" w:after="100" w:afterAutospacing="1" w:line="360" w:lineRule="auto"/>
        <w:ind w:firstLine="560" w:firstLineChars="200"/>
        <w:rPr>
          <w:rFonts w:ascii="仿宋" w:hAnsi="仿宋" w:eastAsia="仿宋" w:cs="仿宋"/>
          <w:sz w:val="28"/>
          <w:szCs w:val="28"/>
        </w:rPr>
      </w:pPr>
      <w:r>
        <w:rPr>
          <w:rFonts w:hint="eastAsia" w:ascii="仿宋" w:hAnsi="仿宋" w:eastAsia="仿宋" w:cs="仿宋"/>
          <w:sz w:val="28"/>
          <w:szCs w:val="28"/>
        </w:rPr>
        <w:t>重点行业企业用地调查疑似污染地块布点工作应委托具有污染地块调查经验的机构承担，优先选择在本省重点行业企业用地调查工作专业机构推荐名录内开展该地块信息采集工作的专业机构。</w:t>
      </w:r>
    </w:p>
    <w:p>
      <w:pPr>
        <w:widowControl/>
        <w:adjustRightInd w:val="0"/>
        <w:snapToGrid w:val="0"/>
        <w:spacing w:before="100" w:beforeAutospacing="1" w:after="100" w:afterAutospacing="1" w:line="360" w:lineRule="auto"/>
        <w:ind w:firstLine="560" w:firstLineChars="200"/>
        <w:rPr>
          <w:rFonts w:ascii="仿宋" w:hAnsi="仿宋" w:eastAsia="仿宋" w:cs="仿宋"/>
          <w:sz w:val="28"/>
          <w:szCs w:val="28"/>
        </w:rPr>
      </w:pPr>
      <w:r>
        <w:rPr>
          <w:rFonts w:hint="eastAsia" w:ascii="仿宋" w:hAnsi="仿宋" w:eastAsia="仿宋" w:cs="仿宋"/>
          <w:sz w:val="28"/>
          <w:szCs w:val="28"/>
        </w:rPr>
        <w:t>专业机构应组建工作组开展疑似污染地块布点工作。每个工作组应指定</w:t>
      </w:r>
      <w:r>
        <w:rPr>
          <w:rFonts w:ascii="仿宋" w:hAnsi="仿宋" w:eastAsia="仿宋" w:cs="仿宋"/>
          <w:sz w:val="28"/>
          <w:szCs w:val="28"/>
        </w:rPr>
        <w:t>1</w:t>
      </w:r>
      <w:r>
        <w:rPr>
          <w:rFonts w:hint="eastAsia" w:ascii="仿宋" w:hAnsi="仿宋" w:eastAsia="仿宋" w:cs="仿宋"/>
          <w:sz w:val="28"/>
          <w:szCs w:val="28"/>
        </w:rPr>
        <w:t>名质量检查员，负责对本组布点工作的质量进行自审；专业机构应设置专门的质量监督检查组，负责对本机构布点工作的质量进行内审；专业机构应组织专家对本机构编制的疑似污染地块布点方案进行论证。</w:t>
      </w:r>
    </w:p>
    <w:p>
      <w:pPr>
        <w:pStyle w:val="4"/>
        <w:spacing w:before="0" w:after="0"/>
        <w:rPr>
          <w:sz w:val="28"/>
          <w:szCs w:val="28"/>
        </w:rPr>
      </w:pPr>
      <w:r>
        <w:rPr>
          <w:rFonts w:hint="eastAsia" w:ascii="仿宋" w:hAnsi="仿宋" w:eastAsia="仿宋" w:cs="仿宋"/>
          <w:sz w:val="28"/>
          <w:szCs w:val="28"/>
        </w:rPr>
        <w:t xml:space="preserve"> </w:t>
      </w:r>
      <w:r>
        <w:rPr>
          <w:rFonts w:hint="eastAsia"/>
          <w:sz w:val="28"/>
          <w:szCs w:val="28"/>
        </w:rPr>
        <w:t>（二） 测试项目</w:t>
      </w:r>
      <w:bookmarkEnd w:id="15"/>
    </w:p>
    <w:p>
      <w:pPr>
        <w:widowControl/>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疑似污染地块样品测试项目由专业人员根据基础信息调查有关结果选择确定，参考《省级土壤污染状况详查实施方案编制指南》中“附表1-4 重点行业企业用地调查分析测试项目”。</w:t>
      </w:r>
    </w:p>
    <w:p>
      <w:pPr>
        <w:widowControl/>
        <w:adjustRightInd w:val="0"/>
        <w:snapToGrid w:val="0"/>
        <w:spacing w:line="360" w:lineRule="auto"/>
        <w:rPr>
          <w:b/>
          <w:bCs/>
          <w:sz w:val="28"/>
          <w:szCs w:val="28"/>
        </w:rPr>
      </w:pPr>
      <w:bookmarkStart w:id="19" w:name="_Toc487469466"/>
      <w:bookmarkStart w:id="20" w:name="_Toc16517"/>
      <w:bookmarkStart w:id="21" w:name="_Toc488065463"/>
      <w:r>
        <w:rPr>
          <w:rFonts w:hint="eastAsia"/>
          <w:b/>
          <w:bCs/>
          <w:sz w:val="28"/>
          <w:szCs w:val="28"/>
        </w:rPr>
        <w:t>（三） 编制布点方案</w:t>
      </w:r>
      <w:bookmarkEnd w:id="19"/>
      <w:bookmarkEnd w:id="20"/>
      <w:bookmarkEnd w:id="21"/>
    </w:p>
    <w:p>
      <w:pPr>
        <w:widowControl/>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疑似污染地块布点方案应参考《重点行业企业用地调查疑似污染地块布点技术规定》“附录3 疑似污染地块布点方案大纲”编制，包括工作程序与组织实施、重点区域识别、布点区域筛选、布点计划（布点位置、布点数量、钻探深度、采样深度、测试项目）、采样点现场确定等内容及各相关环节照片，现场照片应具有代表性，能反映污染痕迹等情况，原则上每个疑似污染区域与布点区域2-4张。将布点方案和签字后的《重点行业企业用地调查疑似污染地块布点技术规定》“疑似污染地块布点信息记录表”上传至详查数据库。</w:t>
      </w:r>
    </w:p>
    <w:p>
      <w:pPr>
        <w:widowControl/>
        <w:adjustRightInd w:val="0"/>
        <w:snapToGrid w:val="0"/>
        <w:spacing w:line="360" w:lineRule="auto"/>
        <w:rPr>
          <w:rFonts w:ascii="宋体" w:hAnsi="宋体"/>
          <w:b/>
          <w:bCs/>
          <w:kern w:val="2"/>
          <w:sz w:val="28"/>
          <w:szCs w:val="28"/>
        </w:rPr>
      </w:pPr>
      <w:bookmarkStart w:id="22" w:name="_Toc488159094"/>
      <w:bookmarkStart w:id="23" w:name="_Toc25868"/>
      <w:r>
        <w:rPr>
          <w:rFonts w:hint="eastAsia"/>
          <w:b/>
          <w:bCs/>
          <w:sz w:val="28"/>
          <w:szCs w:val="28"/>
        </w:rPr>
        <w:t>（四）开展现场采样</w:t>
      </w:r>
      <w:bookmarkEnd w:id="22"/>
      <w:bookmarkEnd w:id="23"/>
      <w:r>
        <w:rPr>
          <w:rFonts w:hint="eastAsia" w:ascii="宋体" w:hAnsi="宋体"/>
          <w:b/>
          <w:bCs/>
          <w:kern w:val="2"/>
          <w:sz w:val="28"/>
          <w:szCs w:val="28"/>
        </w:rPr>
        <w:t xml:space="preserve"> </w:t>
      </w:r>
    </w:p>
    <w:p>
      <w:pPr>
        <w:ind w:firstLine="560" w:firstLineChars="200"/>
        <w:rPr>
          <w:rFonts w:ascii="宋体" w:hAnsi="宋体"/>
          <w:sz w:val="28"/>
          <w:szCs w:val="28"/>
        </w:rPr>
      </w:pPr>
      <w:r>
        <w:rPr>
          <w:rFonts w:hint="eastAsia" w:ascii="仿宋" w:hAnsi="仿宋" w:eastAsia="仿宋" w:cs="仿宋"/>
          <w:sz w:val="28"/>
          <w:szCs w:val="28"/>
        </w:rPr>
        <w:t>包括土壤样品采集及地下水采样；样品按照规定要求保存与流转，根据标准方法进行</w:t>
      </w:r>
      <w:r>
        <w:rPr>
          <w:rFonts w:hint="eastAsia" w:ascii="仿宋" w:hAnsi="仿宋" w:eastAsia="仿宋" w:cs="仿宋"/>
          <w:sz w:val="28"/>
          <w:szCs w:val="28"/>
          <w:lang w:eastAsia="zh-CN"/>
        </w:rPr>
        <w:t>操作</w:t>
      </w:r>
      <w:r>
        <w:rPr>
          <w:rFonts w:hint="eastAsia" w:ascii="仿宋" w:hAnsi="仿宋" w:eastAsia="仿宋" w:cs="仿宋"/>
          <w:sz w:val="28"/>
          <w:szCs w:val="28"/>
        </w:rPr>
        <w:t>。</w:t>
      </w:r>
    </w:p>
    <w:p>
      <w:pPr>
        <w:bidi w:val="0"/>
        <w:rPr>
          <w:rFonts w:ascii="Calibri" w:hAnsi="Calibri" w:eastAsia="宋体" w:cs="宋体"/>
          <w:b/>
          <w:bCs/>
          <w:sz w:val="28"/>
          <w:szCs w:val="28"/>
        </w:rPr>
      </w:pPr>
      <w:r>
        <w:rPr>
          <w:rFonts w:hint="eastAsia" w:ascii="宋体" w:hAnsi="宋体" w:cs="宋体"/>
          <w:b/>
          <w:bCs/>
          <w:sz w:val="28"/>
          <w:szCs w:val="28"/>
          <w:lang w:eastAsia="zh-CN"/>
        </w:rPr>
        <w:t>五</w:t>
      </w:r>
      <w:r>
        <w:rPr>
          <w:rFonts w:hint="eastAsia" w:ascii="Calibri" w:hAnsi="Calibri" w:eastAsia="宋体" w:cs="宋体"/>
          <w:b/>
          <w:bCs/>
          <w:sz w:val="28"/>
          <w:szCs w:val="28"/>
        </w:rPr>
        <w:t>、安全与防护</w:t>
      </w:r>
    </w:p>
    <w:p>
      <w:pPr>
        <w:widowControl/>
        <w:adjustRightInd w:val="0"/>
        <w:snapToGrid w:val="0"/>
        <w:spacing w:line="360" w:lineRule="auto"/>
        <w:ind w:firstLine="560" w:firstLineChars="200"/>
        <w:rPr>
          <w:rFonts w:ascii="宋体" w:hAnsi="宋体"/>
          <w:sz w:val="28"/>
          <w:szCs w:val="28"/>
        </w:rPr>
      </w:pPr>
      <w:r>
        <w:rPr>
          <w:rFonts w:hint="eastAsia" w:ascii="宋体" w:hAnsi="宋体"/>
          <w:sz w:val="28"/>
          <w:szCs w:val="28"/>
        </w:rPr>
        <w:t>根</w:t>
      </w:r>
      <w:r>
        <w:rPr>
          <w:rFonts w:hint="eastAsia" w:ascii="仿宋" w:hAnsi="仿宋" w:eastAsia="仿宋" w:cs="仿宋"/>
          <w:sz w:val="28"/>
          <w:szCs w:val="28"/>
        </w:rPr>
        <w:t>据污染场地调查、地质钻探以及危险化学品使用等相关技术规范，制定采样调查人员的安全和健康防护计划，对相关人员进行必要的培训，严格执行现场设备操作规范，按要求使用个人防护装备。</w:t>
      </w:r>
      <w:bookmarkStart w:id="24" w:name="_Toc488159111"/>
      <w:bookmarkStart w:id="25" w:name="_Toc469859184"/>
      <w:bookmarkStart w:id="26" w:name="_Toc20660"/>
    </w:p>
    <w:p>
      <w:pPr>
        <w:widowControl/>
        <w:adjustRightInd w:val="0"/>
        <w:snapToGrid w:val="0"/>
        <w:spacing w:line="360" w:lineRule="auto"/>
        <w:rPr>
          <w:b/>
          <w:bCs/>
          <w:sz w:val="28"/>
          <w:szCs w:val="28"/>
        </w:rPr>
      </w:pPr>
      <w:r>
        <w:rPr>
          <w:rFonts w:hint="eastAsia"/>
          <w:b/>
          <w:bCs/>
          <w:sz w:val="28"/>
          <w:szCs w:val="28"/>
          <w:lang w:eastAsia="zh-CN"/>
        </w:rPr>
        <w:t>六</w:t>
      </w:r>
      <w:r>
        <w:rPr>
          <w:rFonts w:hint="eastAsia"/>
          <w:b/>
          <w:bCs/>
          <w:sz w:val="28"/>
          <w:szCs w:val="28"/>
        </w:rPr>
        <w:t>、应急处置</w:t>
      </w:r>
      <w:bookmarkEnd w:id="24"/>
      <w:bookmarkEnd w:id="25"/>
      <w:bookmarkEnd w:id="26"/>
    </w:p>
    <w:p>
      <w:pPr>
        <w:widowControl/>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在调查采样过程中若发现或由钻探导致的危险物质泄露、地下设施受到破坏等突发情况，应首先保证现场施工人员安全，并立即报企业和地方相关管理部门，按照《突发环境事件应急管理办法》（环境保护部令 第34号）尽快落实应急处置相关事宜。</w:t>
      </w:r>
    </w:p>
    <w:p>
      <w:pPr>
        <w:widowControl/>
        <w:adjustRightInd w:val="0"/>
        <w:snapToGrid w:val="0"/>
        <w:spacing w:line="360" w:lineRule="auto"/>
        <w:rPr>
          <w:b/>
          <w:bCs/>
          <w:sz w:val="28"/>
          <w:szCs w:val="28"/>
        </w:rPr>
      </w:pPr>
      <w:bookmarkStart w:id="27" w:name="_Toc479871928"/>
      <w:bookmarkStart w:id="28" w:name="_Toc483320243"/>
      <w:bookmarkStart w:id="29" w:name="_Toc5853"/>
      <w:r>
        <w:rPr>
          <w:rFonts w:hint="eastAsia"/>
          <w:b/>
          <w:bCs/>
          <w:sz w:val="28"/>
          <w:szCs w:val="28"/>
          <w:lang w:eastAsia="zh-CN"/>
        </w:rPr>
        <w:t>七</w:t>
      </w:r>
      <w:r>
        <w:rPr>
          <w:rFonts w:hint="eastAsia"/>
          <w:b/>
          <w:bCs/>
          <w:sz w:val="28"/>
          <w:szCs w:val="28"/>
        </w:rPr>
        <w:t>、主要成果</w:t>
      </w:r>
      <w:bookmarkEnd w:id="27"/>
      <w:bookmarkEnd w:id="28"/>
      <w:bookmarkEnd w:id="29"/>
    </w:p>
    <w:p>
      <w:pPr>
        <w:widowControl/>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完成昌江县重点行业企业用地疑似污染地块基础初步采样调查监测结果上传。</w:t>
      </w:r>
    </w:p>
    <w:p>
      <w:pPr>
        <w:widowControl/>
        <w:adjustRightInd w:val="0"/>
        <w:snapToGrid w:val="0"/>
        <w:spacing w:line="360" w:lineRule="auto"/>
        <w:rPr>
          <w:b/>
          <w:bCs/>
          <w:sz w:val="28"/>
          <w:szCs w:val="28"/>
        </w:rPr>
      </w:pPr>
      <w:r>
        <w:rPr>
          <w:rFonts w:hint="eastAsia"/>
          <w:b/>
          <w:bCs/>
          <w:sz w:val="28"/>
          <w:szCs w:val="28"/>
          <w:lang w:eastAsia="zh-CN"/>
        </w:rPr>
        <w:t>八</w:t>
      </w:r>
      <w:r>
        <w:rPr>
          <w:rFonts w:hint="eastAsia"/>
          <w:b/>
          <w:bCs/>
          <w:sz w:val="28"/>
          <w:szCs w:val="28"/>
        </w:rPr>
        <w:t>、人员要求</w:t>
      </w:r>
    </w:p>
    <w:p>
      <w:pPr>
        <w:widowControl/>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受委托的专业机构应组建工作组开展土壤和地下水的采样调查工作，根据工作任务确定工作组成员，具体要求如下：</w:t>
      </w:r>
    </w:p>
    <w:p>
      <w:pPr>
        <w:widowControl/>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1、项目负责人具有</w:t>
      </w:r>
      <w:r>
        <w:rPr>
          <w:rFonts w:hint="eastAsia" w:ascii="仿宋" w:hAnsi="仿宋" w:eastAsia="仿宋" w:cs="仿宋"/>
          <w:color w:val="auto"/>
          <w:sz w:val="28"/>
          <w:szCs w:val="28"/>
        </w:rPr>
        <w:t>环</w:t>
      </w:r>
      <w:r>
        <w:rPr>
          <w:rFonts w:hint="eastAsia" w:ascii="仿宋" w:hAnsi="仿宋" w:eastAsia="仿宋" w:cs="仿宋"/>
          <w:color w:val="auto"/>
          <w:sz w:val="28"/>
          <w:szCs w:val="28"/>
          <w:lang w:val="en-US" w:eastAsia="zh-CN"/>
        </w:rPr>
        <w:t>境监测</w:t>
      </w:r>
      <w:r>
        <w:rPr>
          <w:rFonts w:hint="eastAsia" w:ascii="仿宋" w:hAnsi="仿宋" w:eastAsia="仿宋" w:cs="仿宋"/>
          <w:sz w:val="28"/>
          <w:szCs w:val="28"/>
        </w:rPr>
        <w:t>高级工程师以上职称的；</w:t>
      </w:r>
    </w:p>
    <w:p>
      <w:pPr>
        <w:widowControl/>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2、应指定具有2年以上污染地块调查工作经验的专业技术人员为组长；</w:t>
      </w:r>
    </w:p>
    <w:p>
      <w:pPr>
        <w:widowControl/>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3、样品采集人员应具有环境、土壤等相关专业知识，熟悉采样流程，掌握土壤和地下水采样的技术要求和相关设备的操作方法；</w:t>
      </w:r>
    </w:p>
    <w:p>
      <w:pPr>
        <w:widowControl/>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4、样品管理员应熟悉土壤和地下水样品保存、流转的技术要求；</w:t>
      </w:r>
    </w:p>
    <w:p>
      <w:pPr>
        <w:widowControl/>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5、应指定1名具有污染地块调查工作经验、熟悉重点行业企业用地调查质量保证与质量控制技术规定的质量检查员，负责对本工作组采样调查工作质量进行自审；</w:t>
      </w:r>
    </w:p>
    <w:p>
      <w:pPr>
        <w:widowControl/>
        <w:adjustRightInd w:val="0"/>
        <w:snapToGrid w:val="0"/>
        <w:spacing w:line="360" w:lineRule="auto"/>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6、工作组至少1名成员参加过</w:t>
      </w:r>
      <w:r>
        <w:rPr>
          <w:rFonts w:hint="eastAsia" w:ascii="仿宋" w:hAnsi="仿宋" w:eastAsia="仿宋" w:cs="仿宋"/>
          <w:color w:val="auto"/>
          <w:sz w:val="28"/>
          <w:szCs w:val="28"/>
          <w:lang w:val="en-US" w:eastAsia="zh-CN"/>
        </w:rPr>
        <w:t>国家</w:t>
      </w:r>
      <w:r>
        <w:rPr>
          <w:rFonts w:hint="eastAsia" w:ascii="仿宋" w:hAnsi="仿宋" w:eastAsia="仿宋" w:cs="仿宋"/>
          <w:color w:val="auto"/>
          <w:sz w:val="28"/>
          <w:szCs w:val="28"/>
        </w:rPr>
        <w:t>级土壤污染状况详查重点行业企业用地调查</w:t>
      </w:r>
      <w:r>
        <w:rPr>
          <w:rFonts w:hint="eastAsia" w:ascii="仿宋" w:hAnsi="仿宋" w:eastAsia="仿宋" w:cs="仿宋"/>
          <w:color w:val="auto"/>
          <w:sz w:val="28"/>
          <w:szCs w:val="28"/>
          <w:lang w:val="en-US" w:eastAsia="zh-CN"/>
        </w:rPr>
        <w:t>布点采样与分析测试的</w:t>
      </w:r>
      <w:r>
        <w:rPr>
          <w:rFonts w:hint="eastAsia" w:ascii="仿宋" w:hAnsi="仿宋" w:eastAsia="仿宋" w:cs="仿宋"/>
          <w:color w:val="auto"/>
          <w:sz w:val="28"/>
          <w:szCs w:val="28"/>
        </w:rPr>
        <w:t>专项培训。</w:t>
      </w:r>
    </w:p>
    <w:p>
      <w:pPr>
        <w:widowControl/>
        <w:adjustRightInd w:val="0"/>
        <w:snapToGrid w:val="0"/>
        <w:spacing w:line="360" w:lineRule="auto"/>
        <w:rPr>
          <w:rFonts w:hint="eastAsia"/>
          <w:b/>
          <w:bCs/>
          <w:sz w:val="28"/>
          <w:szCs w:val="28"/>
          <w:lang w:eastAsia="zh-CN"/>
        </w:rPr>
      </w:pPr>
      <w:r>
        <w:rPr>
          <w:rFonts w:hint="eastAsia"/>
          <w:b/>
          <w:bCs/>
          <w:sz w:val="28"/>
          <w:szCs w:val="28"/>
          <w:lang w:eastAsia="zh-CN"/>
        </w:rPr>
        <w:t>九</w:t>
      </w:r>
      <w:r>
        <w:rPr>
          <w:rFonts w:hint="eastAsia"/>
          <w:b/>
          <w:bCs/>
          <w:sz w:val="28"/>
          <w:szCs w:val="28"/>
        </w:rPr>
        <w:t>、</w:t>
      </w:r>
      <w:r>
        <w:rPr>
          <w:rFonts w:hint="eastAsia"/>
          <w:b/>
          <w:bCs/>
          <w:sz w:val="28"/>
          <w:szCs w:val="28"/>
          <w:lang w:eastAsia="zh-CN"/>
        </w:rPr>
        <w:t>地块信息</w:t>
      </w:r>
    </w:p>
    <w:tbl>
      <w:tblPr>
        <w:tblStyle w:val="10"/>
        <w:tblW w:w="8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
        <w:gridCol w:w="2036"/>
        <w:gridCol w:w="4136"/>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793" w:type="dxa"/>
            <w:noWrap w:val="0"/>
            <w:vAlign w:val="center"/>
          </w:tcPr>
          <w:p>
            <w:pPr>
              <w:widowControl/>
              <w:spacing w:line="360" w:lineRule="auto"/>
              <w:jc w:val="center"/>
              <w:rPr>
                <w:rFonts w:hint="eastAsia" w:ascii="Times New Roman" w:hAnsi="Times New Roman" w:eastAsia="楷体"/>
                <w:kern w:val="2"/>
                <w:sz w:val="28"/>
                <w:szCs w:val="28"/>
                <w:vertAlign w:val="baseline"/>
                <w:lang w:val="en-US" w:eastAsia="zh-CN" w:bidi="ar-SA"/>
              </w:rPr>
            </w:pPr>
            <w:r>
              <w:rPr>
                <w:rFonts w:ascii="Times New Roman" w:hAnsi="Times New Roman" w:eastAsia="楷体"/>
                <w:b/>
                <w:color w:val="000000"/>
                <w:sz w:val="28"/>
                <w:szCs w:val="28"/>
              </w:rPr>
              <w:t>序号</w:t>
            </w:r>
          </w:p>
        </w:tc>
        <w:tc>
          <w:tcPr>
            <w:tcW w:w="2036" w:type="dxa"/>
            <w:noWrap w:val="0"/>
            <w:vAlign w:val="center"/>
          </w:tcPr>
          <w:p>
            <w:pPr>
              <w:spacing w:line="360" w:lineRule="auto"/>
              <w:jc w:val="center"/>
              <w:rPr>
                <w:rFonts w:hint="default" w:ascii="Times New Roman" w:hAnsi="Times New Roman" w:eastAsia="楷体"/>
                <w:kern w:val="2"/>
                <w:sz w:val="28"/>
                <w:szCs w:val="28"/>
                <w:vertAlign w:val="baseline"/>
                <w:lang w:val="en-US" w:eastAsia="zh-CN" w:bidi="ar-SA"/>
              </w:rPr>
            </w:pPr>
            <w:r>
              <w:rPr>
                <w:rFonts w:ascii="Times New Roman" w:hAnsi="Times New Roman" w:eastAsia="楷体"/>
                <w:b/>
                <w:color w:val="000000"/>
                <w:sz w:val="28"/>
                <w:szCs w:val="28"/>
              </w:rPr>
              <w:t>地块编码</w:t>
            </w:r>
          </w:p>
        </w:tc>
        <w:tc>
          <w:tcPr>
            <w:tcW w:w="4136" w:type="dxa"/>
            <w:noWrap w:val="0"/>
            <w:vAlign w:val="center"/>
          </w:tcPr>
          <w:p>
            <w:pPr>
              <w:spacing w:line="360" w:lineRule="auto"/>
              <w:jc w:val="center"/>
              <w:rPr>
                <w:rFonts w:hint="default" w:ascii="Times New Roman" w:hAnsi="Times New Roman" w:eastAsia="楷体"/>
                <w:kern w:val="2"/>
                <w:sz w:val="28"/>
                <w:szCs w:val="28"/>
                <w:vertAlign w:val="baseline"/>
                <w:lang w:val="en-US" w:eastAsia="zh-CN" w:bidi="ar-SA"/>
              </w:rPr>
            </w:pPr>
            <w:r>
              <w:rPr>
                <w:rFonts w:ascii="Times New Roman" w:hAnsi="Times New Roman" w:eastAsia="楷体"/>
                <w:b/>
                <w:color w:val="000000"/>
                <w:sz w:val="28"/>
                <w:szCs w:val="28"/>
              </w:rPr>
              <w:t>地块名称</w:t>
            </w:r>
          </w:p>
        </w:tc>
        <w:tc>
          <w:tcPr>
            <w:tcW w:w="1836" w:type="dxa"/>
            <w:noWrap w:val="0"/>
            <w:vAlign w:val="center"/>
          </w:tcPr>
          <w:p>
            <w:pPr>
              <w:spacing w:line="360" w:lineRule="auto"/>
              <w:jc w:val="center"/>
              <w:rPr>
                <w:rFonts w:hint="eastAsia" w:ascii="Times New Roman" w:hAnsi="Times New Roman" w:eastAsia="楷体"/>
                <w:sz w:val="28"/>
                <w:szCs w:val="28"/>
                <w:vertAlign w:val="baseline"/>
                <w:lang w:val="en-US" w:eastAsia="zh-CN"/>
              </w:rPr>
            </w:pPr>
            <w:r>
              <w:rPr>
                <w:rFonts w:hint="eastAsia" w:ascii="Times New Roman" w:hAnsi="Times New Roman" w:eastAsia="楷体"/>
                <w:b/>
                <w:color w:val="000000"/>
                <w:sz w:val="28"/>
                <w:szCs w:val="28"/>
                <w:lang w:val="en-US" w:eastAsia="zh-CN"/>
              </w:rPr>
              <w:t>地块类型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793" w:type="dxa"/>
            <w:noWrap w:val="0"/>
            <w:vAlign w:val="center"/>
          </w:tcPr>
          <w:p>
            <w:pPr>
              <w:spacing w:line="360" w:lineRule="auto"/>
              <w:jc w:val="center"/>
              <w:rPr>
                <w:rFonts w:hint="eastAsia" w:ascii="Times New Roman" w:hAnsi="Times New Roman" w:eastAsia="楷体"/>
                <w:sz w:val="28"/>
                <w:szCs w:val="28"/>
                <w:vertAlign w:val="baseline"/>
                <w:lang w:val="en-US" w:eastAsia="zh-CN"/>
              </w:rPr>
            </w:pPr>
            <w:r>
              <w:rPr>
                <w:rFonts w:hint="eastAsia" w:ascii="Times New Roman" w:hAnsi="Times New Roman" w:eastAsia="楷体"/>
                <w:sz w:val="28"/>
                <w:szCs w:val="28"/>
                <w:vertAlign w:val="baseline"/>
                <w:lang w:val="en-US" w:eastAsia="zh-CN"/>
              </w:rPr>
              <w:t>1</w:t>
            </w:r>
          </w:p>
        </w:tc>
        <w:tc>
          <w:tcPr>
            <w:tcW w:w="2036" w:type="dxa"/>
            <w:noWrap w:val="0"/>
            <w:vAlign w:val="center"/>
          </w:tcPr>
          <w:p>
            <w:pPr>
              <w:spacing w:line="360" w:lineRule="auto"/>
              <w:jc w:val="center"/>
              <w:rPr>
                <w:rFonts w:hint="eastAsia" w:ascii="Times New Roman" w:hAnsi="Times New Roman" w:eastAsia="楷体" w:cs="宋体"/>
                <w:color w:val="000000"/>
                <w:kern w:val="2"/>
                <w:sz w:val="28"/>
                <w:szCs w:val="28"/>
                <w:lang w:val="en-US" w:eastAsia="zh-CN" w:bidi="ar-SA"/>
              </w:rPr>
            </w:pPr>
            <w:r>
              <w:rPr>
                <w:rFonts w:hint="eastAsia" w:ascii="Times New Roman" w:hAnsi="Times New Roman" w:eastAsia="楷体"/>
                <w:color w:val="000000"/>
                <w:sz w:val="28"/>
                <w:szCs w:val="28"/>
              </w:rPr>
              <w:t>4690261080005</w:t>
            </w:r>
          </w:p>
        </w:tc>
        <w:tc>
          <w:tcPr>
            <w:tcW w:w="4136" w:type="dxa"/>
            <w:noWrap w:val="0"/>
            <w:vAlign w:val="center"/>
          </w:tcPr>
          <w:p>
            <w:pPr>
              <w:spacing w:line="360" w:lineRule="auto"/>
              <w:jc w:val="center"/>
              <w:rPr>
                <w:rFonts w:hint="eastAsia" w:ascii="Times New Roman" w:hAnsi="Times New Roman" w:eastAsia="楷体" w:cs="宋体"/>
                <w:color w:val="000000"/>
                <w:kern w:val="2"/>
                <w:sz w:val="28"/>
                <w:szCs w:val="28"/>
                <w:lang w:val="en-US" w:eastAsia="zh-CN" w:bidi="ar-SA"/>
              </w:rPr>
            </w:pPr>
            <w:r>
              <w:rPr>
                <w:rFonts w:hint="eastAsia" w:ascii="Times New Roman" w:hAnsi="Times New Roman" w:eastAsia="楷体"/>
                <w:color w:val="000000"/>
                <w:sz w:val="28"/>
                <w:szCs w:val="28"/>
              </w:rPr>
              <w:t>海南矿业股份有限公司（选矿厂）</w:t>
            </w:r>
          </w:p>
        </w:tc>
        <w:tc>
          <w:tcPr>
            <w:tcW w:w="1836" w:type="dxa"/>
            <w:noWrap w:val="0"/>
            <w:vAlign w:val="center"/>
          </w:tcPr>
          <w:p>
            <w:pPr>
              <w:spacing w:line="360" w:lineRule="auto"/>
              <w:jc w:val="center"/>
              <w:rPr>
                <w:rFonts w:hint="eastAsia" w:ascii="Times New Roman" w:hAnsi="Times New Roman" w:eastAsia="楷体" w:cs="宋体"/>
                <w:color w:val="000000"/>
                <w:kern w:val="2"/>
                <w:sz w:val="28"/>
                <w:szCs w:val="28"/>
                <w:lang w:val="en-US" w:eastAsia="zh-CN" w:bidi="ar-SA"/>
              </w:rPr>
            </w:pPr>
            <w:r>
              <w:rPr>
                <w:rFonts w:hint="eastAsia" w:ascii="Times New Roman" w:hAnsi="Times New Roman" w:eastAsia="楷体"/>
                <w:color w:val="000000"/>
                <w:sz w:val="28"/>
                <w:szCs w:val="28"/>
              </w:rPr>
              <w:t>在产企业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793" w:type="dxa"/>
            <w:noWrap w:val="0"/>
            <w:vAlign w:val="center"/>
          </w:tcPr>
          <w:p>
            <w:pPr>
              <w:spacing w:line="360" w:lineRule="auto"/>
              <w:jc w:val="center"/>
              <w:rPr>
                <w:rFonts w:hint="default" w:ascii="Times New Roman" w:hAnsi="Times New Roman" w:eastAsia="楷体"/>
                <w:sz w:val="28"/>
                <w:szCs w:val="28"/>
                <w:vertAlign w:val="baseline"/>
                <w:lang w:val="en-US" w:eastAsia="zh-CN"/>
              </w:rPr>
            </w:pPr>
            <w:r>
              <w:rPr>
                <w:rFonts w:hint="eastAsia" w:ascii="Times New Roman" w:hAnsi="Times New Roman" w:eastAsia="楷体"/>
                <w:sz w:val="28"/>
                <w:szCs w:val="28"/>
                <w:vertAlign w:val="baseline"/>
                <w:lang w:val="en-US" w:eastAsia="zh-CN"/>
              </w:rPr>
              <w:t>2</w:t>
            </w:r>
          </w:p>
        </w:tc>
        <w:tc>
          <w:tcPr>
            <w:tcW w:w="2036" w:type="dxa"/>
            <w:noWrap w:val="0"/>
            <w:vAlign w:val="center"/>
          </w:tcPr>
          <w:p>
            <w:pPr>
              <w:spacing w:line="360" w:lineRule="auto"/>
              <w:jc w:val="center"/>
              <w:rPr>
                <w:rFonts w:hint="eastAsia" w:ascii="Times New Roman" w:hAnsi="Times New Roman" w:eastAsia="楷体" w:cs="宋体"/>
                <w:color w:val="000000"/>
                <w:kern w:val="2"/>
                <w:sz w:val="28"/>
                <w:szCs w:val="28"/>
                <w:lang w:val="en-US" w:eastAsia="zh-CN" w:bidi="ar-SA"/>
              </w:rPr>
            </w:pPr>
            <w:r>
              <w:rPr>
                <w:rFonts w:hint="eastAsia" w:ascii="Times New Roman" w:hAnsi="Times New Roman" w:eastAsia="楷体"/>
                <w:color w:val="000000"/>
                <w:sz w:val="28"/>
                <w:szCs w:val="28"/>
              </w:rPr>
              <w:t>4690261090007</w:t>
            </w:r>
          </w:p>
        </w:tc>
        <w:tc>
          <w:tcPr>
            <w:tcW w:w="4136" w:type="dxa"/>
            <w:noWrap w:val="0"/>
            <w:vAlign w:val="center"/>
          </w:tcPr>
          <w:p>
            <w:pPr>
              <w:spacing w:line="360" w:lineRule="auto"/>
              <w:jc w:val="center"/>
              <w:rPr>
                <w:rFonts w:hint="eastAsia" w:ascii="Times New Roman" w:hAnsi="Times New Roman" w:eastAsia="楷体" w:cs="宋体"/>
                <w:color w:val="000000"/>
                <w:kern w:val="2"/>
                <w:sz w:val="28"/>
                <w:szCs w:val="28"/>
                <w:lang w:val="en-US" w:eastAsia="zh-CN" w:bidi="ar-SA"/>
              </w:rPr>
            </w:pPr>
            <w:r>
              <w:rPr>
                <w:rFonts w:hint="eastAsia" w:ascii="Times New Roman" w:hAnsi="Times New Roman" w:eastAsia="楷体"/>
                <w:color w:val="000000"/>
                <w:sz w:val="28"/>
                <w:szCs w:val="28"/>
              </w:rPr>
              <w:t>海南金昌金矿有限公司</w:t>
            </w:r>
          </w:p>
        </w:tc>
        <w:tc>
          <w:tcPr>
            <w:tcW w:w="1836" w:type="dxa"/>
            <w:noWrap w:val="0"/>
            <w:vAlign w:val="center"/>
          </w:tcPr>
          <w:p>
            <w:pPr>
              <w:spacing w:line="360" w:lineRule="auto"/>
              <w:jc w:val="center"/>
              <w:rPr>
                <w:rFonts w:hint="eastAsia" w:ascii="Times New Roman" w:hAnsi="Times New Roman" w:eastAsia="楷体" w:cs="宋体"/>
                <w:color w:val="000000"/>
                <w:kern w:val="2"/>
                <w:sz w:val="28"/>
                <w:szCs w:val="28"/>
                <w:lang w:val="en-US" w:eastAsia="zh-CN" w:bidi="ar-SA"/>
              </w:rPr>
            </w:pPr>
            <w:r>
              <w:rPr>
                <w:rFonts w:hint="eastAsia" w:ascii="Times New Roman" w:hAnsi="Times New Roman" w:eastAsia="楷体"/>
                <w:color w:val="000000"/>
                <w:sz w:val="28"/>
                <w:szCs w:val="28"/>
              </w:rPr>
              <w:t>在产企业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793" w:type="dxa"/>
            <w:noWrap w:val="0"/>
            <w:vAlign w:val="center"/>
          </w:tcPr>
          <w:p>
            <w:pPr>
              <w:spacing w:line="360" w:lineRule="auto"/>
              <w:jc w:val="center"/>
              <w:rPr>
                <w:rFonts w:hint="eastAsia" w:ascii="Times New Roman" w:hAnsi="Times New Roman" w:eastAsia="楷体"/>
                <w:sz w:val="28"/>
                <w:szCs w:val="28"/>
                <w:vertAlign w:val="baseline"/>
                <w:lang w:val="en-US" w:eastAsia="zh-CN"/>
              </w:rPr>
            </w:pPr>
            <w:r>
              <w:rPr>
                <w:rFonts w:hint="eastAsia" w:ascii="Times New Roman" w:hAnsi="Times New Roman" w:eastAsia="楷体"/>
                <w:sz w:val="28"/>
                <w:szCs w:val="28"/>
                <w:vertAlign w:val="baseline"/>
                <w:lang w:val="en-US" w:eastAsia="zh-CN"/>
              </w:rPr>
              <w:t>3</w:t>
            </w:r>
          </w:p>
        </w:tc>
        <w:tc>
          <w:tcPr>
            <w:tcW w:w="2036" w:type="dxa"/>
            <w:noWrap w:val="0"/>
            <w:vAlign w:val="center"/>
          </w:tcPr>
          <w:p>
            <w:pPr>
              <w:spacing w:line="360" w:lineRule="auto"/>
              <w:jc w:val="center"/>
              <w:rPr>
                <w:rFonts w:hint="eastAsia" w:ascii="Times New Roman" w:hAnsi="Times New Roman" w:eastAsia="楷体" w:cs="宋体"/>
                <w:color w:val="000000"/>
                <w:sz w:val="28"/>
                <w:szCs w:val="28"/>
                <w:shd w:val="clear" w:color="auto" w:fill="FFFFFF"/>
                <w:lang w:val="en-US" w:eastAsia="zh-CN" w:bidi="ar-SA"/>
              </w:rPr>
            </w:pPr>
            <w:r>
              <w:rPr>
                <w:rFonts w:hint="eastAsia" w:ascii="Times New Roman" w:hAnsi="Times New Roman" w:eastAsia="楷体"/>
                <w:color w:val="000000"/>
                <w:sz w:val="28"/>
                <w:szCs w:val="28"/>
              </w:rPr>
              <w:t>4690261300025</w:t>
            </w:r>
          </w:p>
        </w:tc>
        <w:tc>
          <w:tcPr>
            <w:tcW w:w="4136" w:type="dxa"/>
            <w:noWrap w:val="0"/>
            <w:vAlign w:val="center"/>
          </w:tcPr>
          <w:p>
            <w:pPr>
              <w:spacing w:line="360" w:lineRule="auto"/>
              <w:jc w:val="center"/>
              <w:rPr>
                <w:rFonts w:hint="eastAsia" w:ascii="Times New Roman" w:hAnsi="Times New Roman" w:eastAsia="楷体" w:cs="宋体"/>
                <w:color w:val="000000"/>
                <w:sz w:val="28"/>
                <w:szCs w:val="28"/>
                <w:shd w:val="clear" w:color="auto" w:fill="FFFFFF"/>
                <w:lang w:val="en-US" w:eastAsia="zh-CN" w:bidi="ar-SA"/>
              </w:rPr>
            </w:pPr>
            <w:r>
              <w:rPr>
                <w:rFonts w:hint="eastAsia" w:ascii="Times New Roman" w:hAnsi="Times New Roman" w:eastAsia="楷体"/>
                <w:color w:val="000000"/>
                <w:sz w:val="28"/>
                <w:szCs w:val="28"/>
              </w:rPr>
              <w:t>华润水泥（昌江）有限公司</w:t>
            </w:r>
          </w:p>
        </w:tc>
        <w:tc>
          <w:tcPr>
            <w:tcW w:w="1836" w:type="dxa"/>
            <w:noWrap w:val="0"/>
            <w:vAlign w:val="center"/>
          </w:tcPr>
          <w:p>
            <w:pPr>
              <w:spacing w:line="360" w:lineRule="auto"/>
              <w:jc w:val="center"/>
              <w:rPr>
                <w:rFonts w:hint="eastAsia" w:ascii="Times New Roman" w:hAnsi="Times New Roman" w:eastAsia="楷体" w:cs="宋体"/>
                <w:color w:val="000000"/>
                <w:sz w:val="28"/>
                <w:szCs w:val="28"/>
                <w:lang w:val="en-US" w:eastAsia="zh-CN" w:bidi="ar-SA"/>
              </w:rPr>
            </w:pPr>
            <w:r>
              <w:rPr>
                <w:rFonts w:hint="eastAsia" w:ascii="Times New Roman" w:hAnsi="Times New Roman" w:eastAsia="楷体"/>
                <w:color w:val="000000"/>
                <w:sz w:val="28"/>
                <w:szCs w:val="28"/>
                <w:lang w:val="en-US" w:eastAsia="zh-CN"/>
              </w:rPr>
              <w:t>在产企业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793" w:type="dxa"/>
            <w:noWrap w:val="0"/>
            <w:vAlign w:val="top"/>
          </w:tcPr>
          <w:p>
            <w:pPr>
              <w:spacing w:line="360" w:lineRule="auto"/>
              <w:jc w:val="center"/>
              <w:rPr>
                <w:rFonts w:hint="eastAsia" w:ascii="Times New Roman" w:hAnsi="Times New Roman" w:eastAsia="楷体"/>
                <w:sz w:val="28"/>
                <w:szCs w:val="28"/>
                <w:vertAlign w:val="baseline"/>
                <w:lang w:val="en-US" w:eastAsia="zh-CN"/>
              </w:rPr>
            </w:pPr>
            <w:r>
              <w:rPr>
                <w:rFonts w:hint="eastAsia" w:ascii="Times New Roman" w:hAnsi="Times New Roman" w:eastAsia="楷体"/>
                <w:sz w:val="28"/>
                <w:szCs w:val="28"/>
                <w:vertAlign w:val="baseline"/>
                <w:lang w:val="en-US" w:eastAsia="zh-CN"/>
              </w:rPr>
              <w:t>4</w:t>
            </w:r>
          </w:p>
        </w:tc>
        <w:tc>
          <w:tcPr>
            <w:tcW w:w="2036" w:type="dxa"/>
            <w:noWrap w:val="0"/>
            <w:vAlign w:val="center"/>
          </w:tcPr>
          <w:p>
            <w:pPr>
              <w:spacing w:line="360" w:lineRule="auto"/>
              <w:jc w:val="center"/>
              <w:rPr>
                <w:rFonts w:hint="eastAsia" w:ascii="Times New Roman" w:hAnsi="Times New Roman" w:eastAsia="楷体"/>
                <w:color w:val="000000"/>
                <w:kern w:val="2"/>
                <w:sz w:val="28"/>
                <w:szCs w:val="28"/>
                <w:lang w:val="en-US" w:eastAsia="zh-CN" w:bidi="ar-SA"/>
              </w:rPr>
            </w:pPr>
            <w:r>
              <w:rPr>
                <w:rFonts w:hint="eastAsia" w:ascii="Times New Roman" w:hAnsi="Times New Roman" w:eastAsia="楷体"/>
                <w:color w:val="000000"/>
                <w:sz w:val="28"/>
                <w:szCs w:val="28"/>
              </w:rPr>
              <w:t>4690261770002</w:t>
            </w:r>
          </w:p>
        </w:tc>
        <w:tc>
          <w:tcPr>
            <w:tcW w:w="4136" w:type="dxa"/>
            <w:noWrap w:val="0"/>
            <w:vAlign w:val="center"/>
          </w:tcPr>
          <w:p>
            <w:pPr>
              <w:spacing w:line="360" w:lineRule="auto"/>
              <w:jc w:val="center"/>
              <w:rPr>
                <w:rFonts w:hint="eastAsia" w:ascii="Times New Roman" w:hAnsi="Times New Roman" w:eastAsia="楷体"/>
                <w:color w:val="000000"/>
                <w:kern w:val="2"/>
                <w:sz w:val="28"/>
                <w:szCs w:val="28"/>
                <w:lang w:val="en-US" w:eastAsia="zh-CN" w:bidi="ar-SA"/>
              </w:rPr>
            </w:pPr>
            <w:r>
              <w:rPr>
                <w:rFonts w:hint="eastAsia" w:ascii="Times New Roman" w:hAnsi="Times New Roman" w:eastAsia="楷体"/>
                <w:color w:val="000000"/>
                <w:sz w:val="28"/>
                <w:szCs w:val="28"/>
              </w:rPr>
              <w:t>海南宝来工贸有限公司</w:t>
            </w:r>
          </w:p>
        </w:tc>
        <w:tc>
          <w:tcPr>
            <w:tcW w:w="1836" w:type="dxa"/>
            <w:noWrap w:val="0"/>
            <w:vAlign w:val="center"/>
          </w:tcPr>
          <w:p>
            <w:pPr>
              <w:spacing w:line="360" w:lineRule="auto"/>
              <w:jc w:val="center"/>
              <w:rPr>
                <w:rFonts w:hint="eastAsia" w:ascii="Times New Roman" w:hAnsi="Times New Roman" w:eastAsia="楷体"/>
                <w:color w:val="000000"/>
                <w:kern w:val="2"/>
                <w:sz w:val="28"/>
                <w:szCs w:val="28"/>
                <w:lang w:val="en-US" w:eastAsia="zh-CN" w:bidi="ar-SA"/>
              </w:rPr>
            </w:pPr>
            <w:r>
              <w:rPr>
                <w:rFonts w:hint="eastAsia" w:ascii="Times New Roman" w:hAnsi="Times New Roman" w:eastAsia="楷体"/>
                <w:color w:val="000000"/>
                <w:sz w:val="28"/>
                <w:szCs w:val="28"/>
              </w:rPr>
              <w:t>在产企业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793" w:type="dxa"/>
            <w:noWrap w:val="0"/>
            <w:vAlign w:val="top"/>
          </w:tcPr>
          <w:p>
            <w:pPr>
              <w:spacing w:line="360" w:lineRule="auto"/>
              <w:jc w:val="center"/>
              <w:rPr>
                <w:rFonts w:hint="eastAsia" w:ascii="Times New Roman" w:hAnsi="Times New Roman" w:eastAsia="楷体"/>
                <w:sz w:val="28"/>
                <w:szCs w:val="28"/>
                <w:vertAlign w:val="baseline"/>
                <w:lang w:val="en-US" w:eastAsia="zh-CN"/>
              </w:rPr>
            </w:pPr>
            <w:r>
              <w:rPr>
                <w:rFonts w:hint="eastAsia" w:ascii="Times New Roman" w:hAnsi="Times New Roman" w:eastAsia="楷体"/>
                <w:sz w:val="28"/>
                <w:szCs w:val="28"/>
                <w:vertAlign w:val="baseline"/>
                <w:lang w:val="en-US" w:eastAsia="zh-CN"/>
              </w:rPr>
              <w:t>5</w:t>
            </w:r>
          </w:p>
        </w:tc>
        <w:tc>
          <w:tcPr>
            <w:tcW w:w="2036" w:type="dxa"/>
            <w:noWrap w:val="0"/>
            <w:vAlign w:val="center"/>
          </w:tcPr>
          <w:p>
            <w:pPr>
              <w:spacing w:line="360" w:lineRule="auto"/>
              <w:jc w:val="center"/>
              <w:rPr>
                <w:rFonts w:hint="eastAsia" w:ascii="Times New Roman" w:hAnsi="Times New Roman" w:eastAsia="楷体"/>
                <w:color w:val="000000"/>
                <w:kern w:val="2"/>
                <w:sz w:val="28"/>
                <w:szCs w:val="28"/>
                <w:lang w:val="en-US" w:eastAsia="zh-CN" w:bidi="ar-SA"/>
              </w:rPr>
            </w:pPr>
            <w:r>
              <w:rPr>
                <w:rFonts w:hint="eastAsia" w:ascii="Times New Roman" w:hAnsi="Times New Roman" w:eastAsia="楷体"/>
                <w:color w:val="000000"/>
                <w:sz w:val="28"/>
                <w:szCs w:val="28"/>
              </w:rPr>
              <w:t>4690262320004</w:t>
            </w:r>
          </w:p>
        </w:tc>
        <w:tc>
          <w:tcPr>
            <w:tcW w:w="4136" w:type="dxa"/>
            <w:noWrap w:val="0"/>
            <w:vAlign w:val="center"/>
          </w:tcPr>
          <w:p>
            <w:pPr>
              <w:spacing w:line="360" w:lineRule="auto"/>
              <w:jc w:val="center"/>
              <w:rPr>
                <w:rFonts w:hint="eastAsia" w:ascii="Times New Roman" w:hAnsi="Times New Roman" w:eastAsia="楷体"/>
                <w:color w:val="000000"/>
                <w:kern w:val="2"/>
                <w:sz w:val="28"/>
                <w:szCs w:val="28"/>
                <w:lang w:val="en-US" w:eastAsia="zh-CN" w:bidi="ar-SA"/>
              </w:rPr>
            </w:pPr>
            <w:r>
              <w:rPr>
                <w:rFonts w:hint="eastAsia" w:ascii="Times New Roman" w:hAnsi="Times New Roman" w:eastAsia="楷体"/>
                <w:color w:val="000000"/>
                <w:sz w:val="28"/>
                <w:szCs w:val="28"/>
              </w:rPr>
              <w:t>海南昌鑫钴业有限公司</w:t>
            </w:r>
          </w:p>
        </w:tc>
        <w:tc>
          <w:tcPr>
            <w:tcW w:w="1836" w:type="dxa"/>
            <w:noWrap w:val="0"/>
            <w:vAlign w:val="center"/>
          </w:tcPr>
          <w:p>
            <w:pPr>
              <w:spacing w:line="360" w:lineRule="auto"/>
              <w:jc w:val="center"/>
              <w:rPr>
                <w:rFonts w:hint="eastAsia" w:ascii="Times New Roman" w:hAnsi="Times New Roman" w:eastAsia="楷体"/>
                <w:color w:val="000000"/>
                <w:kern w:val="2"/>
                <w:sz w:val="28"/>
                <w:szCs w:val="28"/>
                <w:lang w:val="en-US" w:eastAsia="zh-CN" w:bidi="ar-SA"/>
              </w:rPr>
            </w:pPr>
            <w:r>
              <w:rPr>
                <w:rFonts w:hint="eastAsia" w:ascii="Times New Roman" w:hAnsi="Times New Roman" w:eastAsia="楷体"/>
                <w:color w:val="000000"/>
                <w:sz w:val="28"/>
                <w:szCs w:val="28"/>
              </w:rPr>
              <w:t>关闭企业</w:t>
            </w:r>
          </w:p>
        </w:tc>
      </w:tr>
    </w:tbl>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bookmarkStart w:id="30" w:name="_GoBack"/>
      <w:bookmarkEnd w:id="30"/>
      <w:r>
        <w:rPr>
          <w:rFonts w:hint="eastAsia" w:ascii="仿宋" w:hAnsi="仿宋" w:eastAsia="仿宋" w:cs="仿宋"/>
          <w:sz w:val="28"/>
          <w:szCs w:val="28"/>
        </w:rPr>
        <w:t>海南矿业股份有限公司（选矿厂），位于海南省昌江黎族自治县石碌镇石八铁路线南侧</w:t>
      </w:r>
      <w:r>
        <w:rPr>
          <w:rFonts w:hint="eastAsia" w:ascii="仿宋" w:hAnsi="仿宋" w:eastAsia="仿宋" w:cs="仿宋"/>
          <w:sz w:val="28"/>
          <w:szCs w:val="28"/>
          <w:lang w:eastAsia="zh-CN"/>
        </w:rPr>
        <w:t>，</w:t>
      </w:r>
      <w:r>
        <w:rPr>
          <w:rFonts w:hint="eastAsia" w:ascii="仿宋" w:hAnsi="仿宋" w:eastAsia="仿宋" w:cs="仿宋"/>
          <w:sz w:val="28"/>
          <w:szCs w:val="28"/>
        </w:rPr>
        <w:t>行业类别代码为0810。企业成立时间为2007年，属于在产企业。</w:t>
      </w:r>
    </w:p>
    <w:p>
      <w:pPr>
        <w:widowControl/>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海南金昌金矿有限公司，位于海南省昌江黎族自治县叉河镇土外山</w:t>
      </w:r>
      <w:r>
        <w:rPr>
          <w:rFonts w:hint="eastAsia" w:ascii="仿宋" w:hAnsi="仿宋" w:eastAsia="仿宋" w:cs="仿宋"/>
          <w:sz w:val="28"/>
          <w:szCs w:val="28"/>
          <w:lang w:eastAsia="zh-CN"/>
        </w:rPr>
        <w:t>，</w:t>
      </w:r>
      <w:r>
        <w:rPr>
          <w:rFonts w:hint="eastAsia" w:ascii="仿宋" w:hAnsi="仿宋" w:eastAsia="仿宋" w:cs="仿宋"/>
          <w:sz w:val="28"/>
          <w:szCs w:val="28"/>
        </w:rPr>
        <w:t>行业类别代码为0921，企业成立时间为1994年，属于在产企业。 </w:t>
      </w:r>
    </w:p>
    <w:p>
      <w:pPr>
        <w:widowControl/>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华润水泥（昌江）有限公司，位于海南省昌江黎族自治县叉河镇水尾村西侧。行业类别代码为3011。企业成立时间为1998年，属于在产企业。</w:t>
      </w:r>
    </w:p>
    <w:p>
      <w:pPr>
        <w:widowControl/>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海南宝来工贸有限公司，位于海南省昌江黎族自治县叉河镇塘村</w:t>
      </w:r>
      <w:r>
        <w:rPr>
          <w:rFonts w:hint="eastAsia" w:ascii="仿宋" w:hAnsi="仿宋" w:eastAsia="仿宋" w:cs="仿宋"/>
          <w:sz w:val="28"/>
          <w:szCs w:val="28"/>
          <w:lang w:eastAsia="zh-CN"/>
        </w:rPr>
        <w:t>，</w:t>
      </w:r>
      <w:r>
        <w:rPr>
          <w:rFonts w:hint="eastAsia" w:ascii="仿宋" w:hAnsi="仿宋" w:eastAsia="仿宋" w:cs="仿宋"/>
          <w:sz w:val="28"/>
          <w:szCs w:val="28"/>
        </w:rPr>
        <w:t>行业类别代码为7724。企业成立时间为2012年，属于在产企业。 </w:t>
      </w: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海南昌鑫钴业有限公司，位于海南省昌江黎族自治县叉河镇约1公里的原海南钢铁厂内</w:t>
      </w:r>
      <w:r>
        <w:rPr>
          <w:rFonts w:hint="eastAsia" w:ascii="仿宋" w:hAnsi="仿宋" w:eastAsia="仿宋" w:cs="仿宋"/>
          <w:sz w:val="28"/>
          <w:szCs w:val="28"/>
          <w:lang w:eastAsia="zh-CN"/>
        </w:rPr>
        <w:t>，</w:t>
      </w:r>
      <w:r>
        <w:rPr>
          <w:rFonts w:hint="eastAsia" w:ascii="仿宋" w:hAnsi="仿宋" w:eastAsia="仿宋" w:cs="仿宋"/>
          <w:sz w:val="28"/>
          <w:szCs w:val="28"/>
        </w:rPr>
        <w:t>行业类别代码为3213、3211。企业成立时间为2007年，关闭时间为2012年。属于关闭搬迁企业。</w:t>
      </w:r>
    </w:p>
    <w:sectPr>
      <w:pgSz w:w="11906" w:h="16838"/>
      <w:pgMar w:top="1440" w:right="1701" w:bottom="1440" w:left="170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4475CD"/>
    <w:multiLevelType w:val="singleLevel"/>
    <w:tmpl w:val="B94475CD"/>
    <w:lvl w:ilvl="0" w:tentative="0">
      <w:start w:val="4"/>
      <w:numFmt w:val="chineseCounting"/>
      <w:suff w:val="nothing"/>
      <w:lvlText w:val="%1、"/>
      <w:lvlJc w:val="left"/>
      <w:rPr>
        <w:rFonts w:hint="eastAsia"/>
      </w:rPr>
    </w:lvl>
  </w:abstractNum>
  <w:abstractNum w:abstractNumId="1">
    <w:nsid w:val="2AAD721B"/>
    <w:multiLevelType w:val="multilevel"/>
    <w:tmpl w:val="2AAD721B"/>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2">
    <w:nsid w:val="3BA3191D"/>
    <w:multiLevelType w:val="multilevel"/>
    <w:tmpl w:val="3BA3191D"/>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15A92"/>
    <w:rsid w:val="00185777"/>
    <w:rsid w:val="002771EF"/>
    <w:rsid w:val="00384318"/>
    <w:rsid w:val="004C171B"/>
    <w:rsid w:val="008B2385"/>
    <w:rsid w:val="00A959D0"/>
    <w:rsid w:val="00C9263E"/>
    <w:rsid w:val="169A498A"/>
    <w:rsid w:val="177F5A17"/>
    <w:rsid w:val="20FD750A"/>
    <w:rsid w:val="26E83E49"/>
    <w:rsid w:val="3B915A92"/>
    <w:rsid w:val="41017C6A"/>
    <w:rsid w:val="494722A7"/>
    <w:rsid w:val="4BDB352B"/>
    <w:rsid w:val="5EA97D61"/>
    <w:rsid w:val="5EC21645"/>
    <w:rsid w:val="618E045B"/>
    <w:rsid w:val="7F6F6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sz w:val="24"/>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basedOn w:val="1"/>
    <w:next w:val="1"/>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7">
    <w:name w:val="footer"/>
    <w:basedOn w:val="1"/>
    <w:link w:val="14"/>
    <w:qFormat/>
    <w:uiPriority w:val="0"/>
    <w:pPr>
      <w:tabs>
        <w:tab w:val="center" w:pos="4153"/>
        <w:tab w:val="right" w:pos="8306"/>
      </w:tabs>
      <w:snapToGrid w:val="0"/>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2">
    <w:name w:val="List Paragraph"/>
    <w:basedOn w:val="1"/>
    <w:qFormat/>
    <w:uiPriority w:val="0"/>
    <w:pPr>
      <w:ind w:firstLine="420" w:firstLineChars="200"/>
    </w:pPr>
  </w:style>
  <w:style w:type="character" w:customStyle="1" w:styleId="13">
    <w:name w:val="页眉 Char"/>
    <w:basedOn w:val="11"/>
    <w:link w:val="8"/>
    <w:qFormat/>
    <w:uiPriority w:val="0"/>
    <w:rPr>
      <w:rFonts w:ascii="Calibri" w:hAnsi="Calibri" w:cs="宋体"/>
      <w:sz w:val="18"/>
      <w:szCs w:val="18"/>
    </w:rPr>
  </w:style>
  <w:style w:type="character" w:customStyle="1" w:styleId="14">
    <w:name w:val="页脚 Char"/>
    <w:basedOn w:val="11"/>
    <w:link w:val="7"/>
    <w:qFormat/>
    <w:uiPriority w:val="0"/>
    <w:rPr>
      <w:rFonts w:ascii="Calibri" w:hAnsi="Calibri"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386</Words>
  <Characters>2205</Characters>
  <Lines>18</Lines>
  <Paragraphs>5</Paragraphs>
  <TotalTime>6</TotalTime>
  <ScaleCrop>false</ScaleCrop>
  <LinksUpToDate>false</LinksUpToDate>
  <CharactersWithSpaces>2586</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2020-02-25T00:21:00Z</dcterms:created>
  <dc:creator>Administrator</dc:creator>
  <cp:lastModifiedBy>Administrator</cp:lastModifiedBy>
  <dcterms:modified xsi:type="dcterms:W3CDTF">2020-03-18T08:57:05Z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