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outlineLvl w:val="0"/>
        <w:rPr>
          <w:rFonts w:hint="eastAsia" w:ascii="宋体" w:hAnsi="宋体" w:cs="宋体"/>
          <w:b/>
          <w:color w:val="000000"/>
          <w:sz w:val="48"/>
          <w:szCs w:val="48"/>
          <w:lang w:val="en-US" w:eastAsia="zh-CN"/>
        </w:rPr>
      </w:pPr>
      <w:bookmarkStart w:id="0" w:name="_Toc317237607"/>
      <w:bookmarkStart w:id="1" w:name="_Toc533433186"/>
      <w:r>
        <w:rPr>
          <w:rFonts w:hint="eastAsia" w:ascii="宋体" w:hAnsi="宋体" w:cs="宋体"/>
          <w:b/>
          <w:color w:val="000000"/>
          <w:sz w:val="48"/>
          <w:szCs w:val="48"/>
        </w:rPr>
        <w:t xml:space="preserve"> </w:t>
      </w:r>
      <w:bookmarkEnd w:id="0"/>
      <w:bookmarkEnd w:id="1"/>
      <w:r>
        <w:rPr>
          <w:rFonts w:hint="eastAsia" w:ascii="宋体" w:hAnsi="宋体" w:cs="宋体"/>
          <w:b/>
          <w:color w:val="000000"/>
          <w:sz w:val="48"/>
          <w:szCs w:val="48"/>
        </w:rPr>
        <w:t>项目</w:t>
      </w:r>
      <w:r>
        <w:rPr>
          <w:rFonts w:hint="eastAsia" w:ascii="宋体" w:hAnsi="宋体" w:cs="宋体"/>
          <w:b/>
          <w:color w:val="000000"/>
          <w:sz w:val="48"/>
          <w:szCs w:val="48"/>
          <w:lang w:val="en-US" w:eastAsia="zh-CN"/>
        </w:rPr>
        <w:t>需求</w:t>
      </w:r>
    </w:p>
    <w:p>
      <w:pPr>
        <w:widowControl/>
        <w:jc w:val="center"/>
        <w:rPr>
          <w:rFonts w:hint="eastAsia" w:ascii="宋体" w:hAnsi="宋体" w:eastAsia="宋体" w:cs="宋体"/>
          <w:bCs/>
          <w:color w:val="000000"/>
          <w:kern w:val="2"/>
          <w:sz w:val="24"/>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val="0"/>
          <w:color w:val="000000"/>
          <w:kern w:val="2"/>
          <w:sz w:val="24"/>
          <w:szCs w:val="28"/>
          <w:lang w:val="en-US" w:eastAsia="zh-CN" w:bidi="ar-SA"/>
        </w:rPr>
      </w:pPr>
      <w:r>
        <w:rPr>
          <w:rFonts w:hint="eastAsia" w:ascii="宋体" w:hAnsi="宋体" w:eastAsia="宋体" w:cs="宋体"/>
          <w:b/>
          <w:bCs w:val="0"/>
          <w:color w:val="000000"/>
          <w:kern w:val="2"/>
          <w:sz w:val="24"/>
          <w:szCs w:val="28"/>
          <w:lang w:val="en-US" w:eastAsia="zh-CN" w:bidi="ar-SA"/>
        </w:rPr>
        <w:t>一、基本建设情况</w:t>
      </w:r>
    </w:p>
    <w:p>
      <w:pPr>
        <w:keepNext w:val="0"/>
        <w:keepLines w:val="0"/>
        <w:pageBreakBefore w:val="0"/>
        <w:widowControl w:val="0"/>
        <w:kinsoku/>
        <w:wordWrap/>
        <w:overflowPunct/>
        <w:topLinePunct w:val="0"/>
        <w:autoSpaceDE/>
        <w:autoSpaceDN/>
        <w:bidi w:val="0"/>
        <w:adjustRightInd/>
        <w:snapToGrid/>
        <w:spacing w:line="240" w:lineRule="auto"/>
        <w:ind w:firstLine="555"/>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1.工程预况</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三亚市海棠区国家卫星遥感监测图斑复垦项目建设内容：拆除、绿化种植、围挡、绿化用地等工程。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2.设计情况</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海南诚业建设项目管理有限公司出具的施工图设计。</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3.建设单位</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三亚市海棠区住房和城乡建设局。</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val="0"/>
          <w:color w:val="000000"/>
          <w:kern w:val="2"/>
          <w:sz w:val="24"/>
          <w:szCs w:val="28"/>
          <w:lang w:val="en-US" w:eastAsia="zh-CN" w:bidi="ar-SA"/>
        </w:rPr>
      </w:pPr>
      <w:r>
        <w:rPr>
          <w:rFonts w:hint="eastAsia" w:ascii="宋体" w:hAnsi="宋体" w:eastAsia="宋体" w:cs="宋体"/>
          <w:b/>
          <w:bCs w:val="0"/>
          <w:color w:val="000000"/>
          <w:kern w:val="2"/>
          <w:sz w:val="24"/>
          <w:szCs w:val="28"/>
          <w:lang w:val="en-US" w:eastAsia="zh-CN" w:bidi="ar-SA"/>
        </w:rPr>
        <w:t>二、审核依据</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1.三亚市海棠区国家卫星遥感监测图斑复垦项目施工图。</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2.海南省定额站主办的《海南工程造价信息》2019年8月份三亚地区信息价，三亚地区造价信息缺项的参照周边地区或按市场价计算。</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3.国家和地方政府有关的收费标准。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4.其它有关的法规、政策、规范文件。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val="0"/>
          <w:color w:val="000000"/>
          <w:kern w:val="2"/>
          <w:sz w:val="24"/>
          <w:szCs w:val="28"/>
          <w:lang w:val="en-US" w:eastAsia="zh-CN" w:bidi="ar-SA"/>
        </w:rPr>
      </w:pPr>
      <w:r>
        <w:rPr>
          <w:rFonts w:hint="eastAsia" w:ascii="宋体" w:hAnsi="宋体" w:eastAsia="宋体" w:cs="宋体"/>
          <w:b/>
          <w:bCs w:val="0"/>
          <w:color w:val="000000"/>
          <w:kern w:val="2"/>
          <w:sz w:val="24"/>
          <w:szCs w:val="28"/>
          <w:lang w:val="en-US" w:eastAsia="zh-CN" w:bidi="ar-SA"/>
        </w:rPr>
        <w:t>三、计价和计费说明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 xml:space="preserve">    1.海南省园林绿化与仿古建筑工程综合定额(2013)、《海南省房屋建筑与装饰工程综合定额》(2017)；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2.人工单价执行《海南省住房和城乡建设厅关于调整建筑工人人工单价的通知》（[2019]2号）号文件，以122.53元/工日计取；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6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3.《海南省住房和城乡建设厅关于调整海南省建设工程增值税税率的通知》（琼建定[2019]100号），工程税率按9%计取；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60"/>
        <w:textAlignment w:val="auto"/>
        <w:outlineLvl w:val="9"/>
        <w:rPr>
          <w:rFonts w:hint="default"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4.《海南省住房和城乡建设厅关于调整海南省建设工程社会保险税率的通知》（琼建定[2019]128号），工程保险费率按23.5%计取；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6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5.材料单价采用海南省建设标准定额站发布的《海南工程造价信息》（2019年8月份）提供的三亚地区材料信息价及市场询价；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四、其他需要说明的事项</w:t>
      </w:r>
    </w:p>
    <w:p>
      <w:pPr>
        <w:keepNext w:val="0"/>
        <w:keepLines w:val="0"/>
        <w:pageBreakBefore w:val="0"/>
        <w:widowControl w:val="0"/>
        <w:tabs>
          <w:tab w:val="left" w:pos="10080"/>
        </w:tabs>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Cs/>
          <w:color w:val="000000"/>
          <w:kern w:val="2"/>
          <w:sz w:val="24"/>
          <w:szCs w:val="28"/>
          <w:lang w:val="en-US" w:eastAsia="zh-CN" w:bidi="ar-SA"/>
        </w:rPr>
      </w:pPr>
      <w:r>
        <w:rPr>
          <w:rFonts w:hint="eastAsia" w:ascii="宋体" w:hAnsi="宋体" w:eastAsia="宋体" w:cs="宋体"/>
          <w:bCs/>
          <w:color w:val="000000"/>
          <w:kern w:val="2"/>
          <w:sz w:val="24"/>
          <w:szCs w:val="28"/>
          <w:lang w:val="en-US" w:eastAsia="zh-CN" w:bidi="ar-SA"/>
        </w:rPr>
        <w:t>本次预算工程量是依据设计图纸计算工程量，计价依据海南现行相关定额计取，尚未考虑与变更相关的其他费用，也未与相关方核对。若实际完成的工程内容、施工范围、做法、施工价格与本工程预算内容不符，竣工结算时按实际竣工图纸，建设方审批的设计变更、现场签证、材料价格等进行调整。</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jc w:val="center"/>
        <w:rPr>
          <w:rFonts w:hint="eastAsia" w:eastAsia="宋体"/>
          <w:b/>
          <w:bCs/>
          <w:sz w:val="32"/>
          <w:szCs w:val="36"/>
          <w:lang w:eastAsia="zh-CN"/>
        </w:rPr>
      </w:pPr>
      <w:r>
        <w:rPr>
          <w:rFonts w:hint="eastAsia"/>
          <w:b/>
          <w:bCs/>
          <w:sz w:val="32"/>
          <w:szCs w:val="36"/>
          <w:lang w:eastAsia="zh-CN"/>
        </w:rPr>
        <w:t>工程量清单</w:t>
      </w:r>
    </w:p>
    <w:p>
      <w:pPr>
        <w:pStyle w:val="2"/>
      </w:pPr>
    </w:p>
    <w:tbl>
      <w:tblPr>
        <w:tblStyle w:val="3"/>
        <w:tblW w:w="9705" w:type="dxa"/>
        <w:tblInd w:w="0" w:type="dxa"/>
        <w:shd w:val="clear" w:color="auto" w:fill="auto"/>
        <w:tblLayout w:type="autofit"/>
        <w:tblCellMar>
          <w:top w:w="0" w:type="dxa"/>
          <w:left w:w="0" w:type="dxa"/>
          <w:bottom w:w="0" w:type="dxa"/>
          <w:right w:w="0" w:type="dxa"/>
        </w:tblCellMar>
      </w:tblPr>
      <w:tblGrid>
        <w:gridCol w:w="647"/>
        <w:gridCol w:w="245"/>
        <w:gridCol w:w="787"/>
        <w:gridCol w:w="315"/>
        <w:gridCol w:w="1722"/>
        <w:gridCol w:w="193"/>
        <w:gridCol w:w="711"/>
        <w:gridCol w:w="665"/>
        <w:gridCol w:w="1208"/>
        <w:gridCol w:w="585"/>
        <w:gridCol w:w="126"/>
        <w:gridCol w:w="74"/>
        <w:gridCol w:w="385"/>
        <w:gridCol w:w="364"/>
        <w:gridCol w:w="221"/>
        <w:gridCol w:w="585"/>
        <w:gridCol w:w="585"/>
        <w:gridCol w:w="287"/>
      </w:tblGrid>
      <w:tr>
        <w:tblPrEx>
          <w:shd w:val="clear" w:color="auto" w:fill="auto"/>
          <w:tblCellMar>
            <w:top w:w="0" w:type="dxa"/>
            <w:left w:w="0" w:type="dxa"/>
            <w:bottom w:w="0" w:type="dxa"/>
            <w:right w:w="0" w:type="dxa"/>
          </w:tblCellMar>
        </w:tblPrEx>
        <w:trPr>
          <w:trHeight w:val="675" w:hRule="atLeast"/>
        </w:trPr>
        <w:tc>
          <w:tcPr>
            <w:tcW w:w="9705" w:type="dxa"/>
            <w:gridSpan w:val="1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单位工程费汇总表</w:t>
            </w:r>
          </w:p>
        </w:tc>
      </w:tr>
      <w:tr>
        <w:tblPrEx>
          <w:shd w:val="clear" w:color="auto" w:fill="auto"/>
          <w:tblCellMar>
            <w:top w:w="0" w:type="dxa"/>
            <w:left w:w="0" w:type="dxa"/>
            <w:bottom w:w="0" w:type="dxa"/>
            <w:right w:w="0" w:type="dxa"/>
          </w:tblCellMar>
        </w:tblPrEx>
        <w:trPr>
          <w:trHeight w:val="570" w:hRule="atLeast"/>
        </w:trPr>
        <w:tc>
          <w:tcPr>
            <w:tcW w:w="3716"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工程名称：三亚市海棠区国家卫星遥感监测图斑复垦项目</w:t>
            </w:r>
          </w:p>
        </w:tc>
        <w:tc>
          <w:tcPr>
            <w:tcW w:w="3488" w:type="dxa"/>
            <w:gridSpan w:val="6"/>
            <w:tcBorders>
              <w:top w:val="nil"/>
              <w:left w:val="nil"/>
              <w:bottom w:val="nil"/>
              <w:right w:val="nil"/>
            </w:tcBorders>
            <w:shd w:val="clear" w:color="FFFFFF" w:fill="FFFFFF"/>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2501" w:type="dxa"/>
            <w:gridSpan w:val="7"/>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行号</w:t>
            </w:r>
          </w:p>
        </w:tc>
        <w:tc>
          <w:tcPr>
            <w:tcW w:w="78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230"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69" w:type="dxa"/>
            <w:gridSpan w:val="6"/>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取费说明</w:t>
            </w:r>
          </w:p>
        </w:tc>
        <w:tc>
          <w:tcPr>
            <w:tcW w:w="74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p>
        </w:tc>
        <w:tc>
          <w:tcPr>
            <w:tcW w:w="1678" w:type="dxa"/>
            <w:gridSpan w:val="4"/>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r>
      <w:tr>
        <w:tblPrEx>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分部分项项目费用</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拆除工程</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印度紫檀</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地瓜叶</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围挡</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绿化用地</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其中：人工费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措施项目合计</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其中：人工费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技术措施项目人工费+组织措施人工费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施工技术措施项目费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技术措施项目合计</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施工组织措施项目费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组织措施项目合计</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其中：安全文明施工费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安全施工基本费+安全文明施工费浮动部分+建施安责险费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其他项目合计</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其中：垃圾处置费+其中：社保费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(工日合计+技术措施项目工日合计)*56.03</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价差</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人工价差+材料价差+机械价差</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人工价差</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人工价差</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材料价差</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材料价差</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机械价差</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机械价差</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独立费</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不含税工程造价</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分部分项项目费用+措施项目费+其他项目费+规费+价差+独立费</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不含税工程造价</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8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w:t>
            </w:r>
          </w:p>
        </w:tc>
        <w:tc>
          <w:tcPr>
            <w:tcW w:w="223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含税工程造价</w:t>
            </w:r>
          </w:p>
        </w:tc>
        <w:tc>
          <w:tcPr>
            <w:tcW w:w="3369"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不含税工程造价+税金</w:t>
            </w:r>
          </w:p>
        </w:tc>
        <w:tc>
          <w:tcPr>
            <w:tcW w:w="74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892"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7"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69" w:type="dxa"/>
            <w:gridSpan w:val="6"/>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8" w:type="dxa"/>
            <w:gridSpan w:val="4"/>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795" w:hRule="atLeast"/>
        </w:trPr>
        <w:tc>
          <w:tcPr>
            <w:tcW w:w="9418" w:type="dxa"/>
            <w:gridSpan w:val="1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单位工程预(结)算表</w:t>
            </w:r>
          </w:p>
        </w:tc>
      </w:tr>
      <w:tr>
        <w:tblPrEx>
          <w:tblCellMar>
            <w:top w:w="0" w:type="dxa"/>
            <w:left w:w="0" w:type="dxa"/>
            <w:bottom w:w="0" w:type="dxa"/>
            <w:right w:w="0" w:type="dxa"/>
          </w:tblCellMar>
        </w:tblPrEx>
        <w:trPr>
          <w:gridAfter w:val="1"/>
          <w:wAfter w:w="287" w:type="dxa"/>
          <w:trHeight w:val="570" w:hRule="atLeast"/>
        </w:trPr>
        <w:tc>
          <w:tcPr>
            <w:tcW w:w="7663" w:type="dxa"/>
            <w:gridSpan w:val="1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工程名称：三亚市海棠区国家卫星遥感监测图斑复垦项目</w:t>
            </w:r>
          </w:p>
        </w:tc>
        <w:tc>
          <w:tcPr>
            <w:tcW w:w="1755"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287" w:type="dxa"/>
          <w:trHeight w:val="345" w:hRule="atLeast"/>
        </w:trPr>
        <w:tc>
          <w:tcPr>
            <w:tcW w:w="647"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7"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编号</w:t>
            </w:r>
          </w:p>
        </w:tc>
        <w:tc>
          <w:tcPr>
            <w:tcW w:w="2626"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87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c>
          <w:tcPr>
            <w:tcW w:w="58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综合单价</w:t>
            </w:r>
          </w:p>
        </w:tc>
        <w:tc>
          <w:tcPr>
            <w:tcW w:w="1170" w:type="dxa"/>
            <w:gridSpan w:val="5"/>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综合合价</w:t>
            </w:r>
          </w:p>
        </w:tc>
        <w:tc>
          <w:tcPr>
            <w:tcW w:w="117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gridAfter w:val="1"/>
          <w:wAfter w:w="287" w:type="dxa"/>
          <w:trHeight w:val="600" w:hRule="atLeast"/>
        </w:trPr>
        <w:tc>
          <w:tcPr>
            <w:tcW w:w="64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7"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58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人工费</w:t>
            </w: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拆除工程</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凿岩机破碎岩石 硬质岩</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10m3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57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借1-133</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机械装车石渣 挖掘机装车</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10m3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82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借1-139 换</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载重15t以内自卸汽车运石渣 运距≤1km 实际运距(km):10</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10m3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6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印度紫檀</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82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11-407</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 栽植 乔木(带土球) 土球直径50cm以内</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100株</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38.21</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57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11-499 *2</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庭院绿化成活保养 乔木 胸径20cm以内 单价*2</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100株/月</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38.21</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57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11-565 *3</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庭院绿化保存保养 乔木 胸径20cm以内 单价*3</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100株/月</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38.21</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57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11-79</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树木支撑 树棍桩 三脚桩</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100株</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38.21</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6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地瓜叶</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82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11-458</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 单一品种成片栽植 木本花卉 10cm营养袋(钵)</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100m2</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100.8345</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82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11-550 *2</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庭院绿化成活保养 露地花坛(喷淋) 草本 单价*2</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100m2/月</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100.8345</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82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11-617 *3</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庭院绿化保存保养 露地花坛(喷淋) 草本 单价*3</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100m2/月</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100.8345</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6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补子目1</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6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绿化用地</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57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11-103</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整理绿化地</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100m2</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100.8345</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补子目2</w:t>
            </w: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种植土</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3025.035</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360"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287" w:type="dxa"/>
          <w:trHeight w:val="345" w:hRule="atLeast"/>
        </w:trPr>
        <w:tc>
          <w:tcPr>
            <w:tcW w:w="647"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26"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0" w:type="dxa"/>
            <w:gridSpan w:val="5"/>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2"/>
      </w:pPr>
    </w:p>
    <w:tbl>
      <w:tblPr>
        <w:tblStyle w:val="3"/>
        <w:tblW w:w="9915" w:type="dxa"/>
        <w:tblInd w:w="0" w:type="dxa"/>
        <w:shd w:val="clear" w:color="auto" w:fill="auto"/>
        <w:tblLayout w:type="autofit"/>
        <w:tblCellMar>
          <w:top w:w="0" w:type="dxa"/>
          <w:left w:w="0" w:type="dxa"/>
          <w:bottom w:w="0" w:type="dxa"/>
          <w:right w:w="0" w:type="dxa"/>
        </w:tblCellMar>
      </w:tblPr>
      <w:tblGrid>
        <w:gridCol w:w="607"/>
        <w:gridCol w:w="624"/>
        <w:gridCol w:w="2127"/>
        <w:gridCol w:w="696"/>
        <w:gridCol w:w="687"/>
        <w:gridCol w:w="1889"/>
        <w:gridCol w:w="1041"/>
        <w:gridCol w:w="925"/>
        <w:gridCol w:w="1319"/>
      </w:tblGrid>
      <w:tr>
        <w:tblPrEx>
          <w:shd w:val="clear" w:color="auto" w:fill="auto"/>
          <w:tblCellMar>
            <w:top w:w="0" w:type="dxa"/>
            <w:left w:w="0" w:type="dxa"/>
            <w:bottom w:w="0" w:type="dxa"/>
            <w:right w:w="0" w:type="dxa"/>
          </w:tblCellMar>
        </w:tblPrEx>
        <w:trPr>
          <w:trHeight w:val="870" w:hRule="atLeast"/>
        </w:trPr>
        <w:tc>
          <w:tcPr>
            <w:tcW w:w="9921"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措施项目表</w:t>
            </w:r>
          </w:p>
        </w:tc>
      </w:tr>
      <w:tr>
        <w:tblPrEx>
          <w:tblCellMar>
            <w:top w:w="0" w:type="dxa"/>
            <w:left w:w="0" w:type="dxa"/>
            <w:bottom w:w="0" w:type="dxa"/>
            <w:right w:w="0" w:type="dxa"/>
          </w:tblCellMar>
        </w:tblPrEx>
        <w:trPr>
          <w:trHeight w:val="570" w:hRule="atLeast"/>
        </w:trPr>
        <w:tc>
          <w:tcPr>
            <w:tcW w:w="3851"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工程名称：三亚市海棠区国家卫星遥感监测图斑复垦项目</w:t>
            </w:r>
          </w:p>
        </w:tc>
        <w:tc>
          <w:tcPr>
            <w:tcW w:w="2773" w:type="dxa"/>
            <w:gridSpan w:val="3"/>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97"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360" w:hRule="atLeast"/>
        </w:trPr>
        <w:tc>
          <w:tcPr>
            <w:tcW w:w="683"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行号</w:t>
            </w:r>
          </w:p>
        </w:tc>
        <w:tc>
          <w:tcPr>
            <w:tcW w:w="68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30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78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92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计算基数</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p>
        </w:tc>
        <w:tc>
          <w:tcPr>
            <w:tcW w:w="154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合价</w:t>
            </w:r>
          </w:p>
        </w:tc>
      </w:tr>
      <w:tr>
        <w:tblPrEx>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垂直运输</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模板工程</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脚手架工程</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围堰工程</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安全文明施工与环境保护基本费1千万元以内部分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ZHJHZS_A</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安全文明施工与环境保护基本费1～5千万元以内部分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ZHJHZS_B</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0.87</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安全文明施工与环境保护基本费5千万～1亿元以内部分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ZHJHZS_C</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0.58</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安全文明施工与环境保护基本费1亿元以上部分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ZHJHZS_D</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AQSGJBF</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BHJSAZXF *0.001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临时设施费1千万以内部分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ZHJHZS_A</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临时设施费1～5千万元以内部分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ZHJHZS_B</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0.618</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临时设施费5千万～1亿元以内部分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ZHJHZS_C</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0.412</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临时设施费1亿元以上部分</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ZHJHZS_D</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0.206</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RGF+JSCS_RGF+JSRGF+JSCS_JSRGF</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0.19</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RGF+JSCS_RGF+JSRGF+JSCS_JSRGF</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0.51</w:t>
            </w: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68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0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683"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83"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0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8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2"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2"/>
      </w:pPr>
    </w:p>
    <w:p>
      <w:pPr>
        <w:pStyle w:val="2"/>
      </w:pPr>
    </w:p>
    <w:tbl>
      <w:tblPr>
        <w:tblStyle w:val="3"/>
        <w:tblW w:w="10185" w:type="dxa"/>
        <w:tblInd w:w="0" w:type="dxa"/>
        <w:shd w:val="clear" w:color="auto" w:fill="auto"/>
        <w:tblLayout w:type="autofit"/>
        <w:tblCellMar>
          <w:top w:w="0" w:type="dxa"/>
          <w:left w:w="0" w:type="dxa"/>
          <w:bottom w:w="0" w:type="dxa"/>
          <w:right w:w="0" w:type="dxa"/>
        </w:tblCellMar>
      </w:tblPr>
      <w:tblGrid>
        <w:gridCol w:w="717"/>
        <w:gridCol w:w="315"/>
        <w:gridCol w:w="1941"/>
        <w:gridCol w:w="1134"/>
        <w:gridCol w:w="860"/>
        <w:gridCol w:w="50"/>
        <w:gridCol w:w="615"/>
        <w:gridCol w:w="1103"/>
        <w:gridCol w:w="155"/>
        <w:gridCol w:w="535"/>
        <w:gridCol w:w="455"/>
        <w:gridCol w:w="235"/>
        <w:gridCol w:w="690"/>
        <w:gridCol w:w="65"/>
        <w:gridCol w:w="625"/>
        <w:gridCol w:w="365"/>
        <w:gridCol w:w="325"/>
      </w:tblGrid>
      <w:tr>
        <w:tblPrEx>
          <w:shd w:val="clear" w:color="auto" w:fill="auto"/>
          <w:tblCellMar>
            <w:top w:w="0" w:type="dxa"/>
            <w:left w:w="0" w:type="dxa"/>
            <w:bottom w:w="0" w:type="dxa"/>
            <w:right w:w="0" w:type="dxa"/>
          </w:tblCellMar>
        </w:tblPrEx>
        <w:trPr>
          <w:trHeight w:val="795" w:hRule="atLeast"/>
        </w:trPr>
        <w:tc>
          <w:tcPr>
            <w:tcW w:w="10185" w:type="dxa"/>
            <w:gridSpan w:val="1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单位工程人材机价差表</w:t>
            </w:r>
          </w:p>
        </w:tc>
      </w:tr>
      <w:tr>
        <w:tblPrEx>
          <w:shd w:val="clear" w:color="auto" w:fill="auto"/>
          <w:tblCellMar>
            <w:top w:w="0" w:type="dxa"/>
            <w:left w:w="0" w:type="dxa"/>
            <w:bottom w:w="0" w:type="dxa"/>
            <w:right w:w="0" w:type="dxa"/>
          </w:tblCellMar>
        </w:tblPrEx>
        <w:trPr>
          <w:trHeight w:val="570" w:hRule="atLeast"/>
        </w:trPr>
        <w:tc>
          <w:tcPr>
            <w:tcW w:w="8115" w:type="dxa"/>
            <w:gridSpan w:val="1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工程名称：三亚市海棠区国家卫星遥感监测图斑复垦项目</w:t>
            </w:r>
          </w:p>
        </w:tc>
        <w:tc>
          <w:tcPr>
            <w:tcW w:w="2070"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shd w:val="clear" w:color="auto" w:fill="auto"/>
          <w:tblCellMar>
            <w:top w:w="0" w:type="dxa"/>
            <w:left w:w="0" w:type="dxa"/>
            <w:bottom w:w="0" w:type="dxa"/>
            <w:right w:w="0" w:type="dxa"/>
          </w:tblCellMar>
        </w:tblPrEx>
        <w:trPr>
          <w:trHeight w:val="560" w:hRule="atLeast"/>
        </w:trPr>
        <w:tc>
          <w:tcPr>
            <w:tcW w:w="71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序号 </w:t>
            </w:r>
          </w:p>
        </w:tc>
        <w:tc>
          <w:tcPr>
            <w:tcW w:w="2256"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材料名称</w:t>
            </w:r>
          </w:p>
        </w:tc>
        <w:tc>
          <w:tcPr>
            <w:tcW w:w="199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w:t>
            </w:r>
          </w:p>
        </w:tc>
        <w:tc>
          <w:tcPr>
            <w:tcW w:w="66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10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材料量</w:t>
            </w:r>
          </w:p>
        </w:tc>
        <w:tc>
          <w:tcPr>
            <w:tcW w:w="69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预算价</w:t>
            </w:r>
          </w:p>
        </w:tc>
        <w:tc>
          <w:tcPr>
            <w:tcW w:w="1380"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69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价差</w:t>
            </w:r>
          </w:p>
        </w:tc>
        <w:tc>
          <w:tcPr>
            <w:tcW w:w="690"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价差合计</w:t>
            </w:r>
          </w:p>
        </w:tc>
      </w:tr>
      <w:tr>
        <w:tblPrEx>
          <w:shd w:val="clear" w:color="auto" w:fill="auto"/>
          <w:tblCellMar>
            <w:top w:w="0" w:type="dxa"/>
            <w:left w:w="0" w:type="dxa"/>
            <w:bottom w:w="0" w:type="dxa"/>
            <w:right w:w="0" w:type="dxa"/>
          </w:tblCellMar>
        </w:tblPrEx>
        <w:trPr>
          <w:trHeight w:val="51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6113.82088</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7563.91983</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111.9553</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枕木</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10.51111</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257.02797</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8.5713</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184.4</w:t>
            </w: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17"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56"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合计</w:t>
            </w:r>
          </w:p>
        </w:tc>
        <w:tc>
          <w:tcPr>
            <w:tcW w:w="199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3"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0"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0"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630" w:hRule="atLeast"/>
        </w:trPr>
        <w:tc>
          <w:tcPr>
            <w:tcW w:w="986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主材表</w:t>
            </w:r>
          </w:p>
        </w:tc>
      </w:tr>
      <w:tr>
        <w:tblPrEx>
          <w:tblCellMar>
            <w:top w:w="0" w:type="dxa"/>
            <w:left w:w="0" w:type="dxa"/>
            <w:bottom w:w="0" w:type="dxa"/>
            <w:right w:w="0" w:type="dxa"/>
          </w:tblCellMar>
        </w:tblPrEx>
        <w:trPr>
          <w:gridAfter w:val="1"/>
          <w:wAfter w:w="325" w:type="dxa"/>
          <w:trHeight w:val="510" w:hRule="atLeast"/>
        </w:trPr>
        <w:tc>
          <w:tcPr>
            <w:tcW w:w="7880" w:type="dxa"/>
            <w:gridSpan w:val="11"/>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工程名称:三亚市海棠区国家卫星遥感监测图斑复垦项目</w:t>
            </w:r>
          </w:p>
        </w:tc>
        <w:tc>
          <w:tcPr>
            <w:tcW w:w="1980"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CellMar>
            <w:top w:w="0" w:type="dxa"/>
            <w:left w:w="0" w:type="dxa"/>
            <w:bottom w:w="0" w:type="dxa"/>
            <w:right w:w="0" w:type="dxa"/>
          </w:tblCellMar>
        </w:tblPrEx>
        <w:trPr>
          <w:gridAfter w:val="1"/>
          <w:wAfter w:w="325" w:type="dxa"/>
          <w:trHeight w:val="500" w:hRule="atLeast"/>
        </w:trPr>
        <w:tc>
          <w:tcPr>
            <w:tcW w:w="1032"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07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名称规格</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873"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材料量</w:t>
            </w:r>
          </w:p>
        </w:tc>
        <w:tc>
          <w:tcPr>
            <w:tcW w:w="1980" w:type="dxa"/>
            <w:gridSpan w:val="5"/>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990"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市场价合价</w:t>
            </w: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印度紫檀</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4012.05</w:t>
            </w: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地瓜叶木本</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518793.5025</w:t>
            </w: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45" w:hRule="atLeast"/>
        </w:trPr>
        <w:tc>
          <w:tcPr>
            <w:tcW w:w="103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8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325" w:type="dxa"/>
          <w:trHeight w:val="360" w:hRule="atLeast"/>
        </w:trPr>
        <w:tc>
          <w:tcPr>
            <w:tcW w:w="8870" w:type="dxa"/>
            <w:gridSpan w:val="14"/>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eastAsia="宋体"/>
          <w:lang w:eastAsia="zh-CN"/>
        </w:rPr>
      </w:pPr>
      <w:r>
        <w:rPr>
          <w:rFonts w:hint="eastAsia" w:eastAsia="宋体"/>
          <w:lang w:eastAsia="zh-CN"/>
        </w:rPr>
        <w:drawing>
          <wp:inline distT="0" distB="0" distL="114300" distR="114300">
            <wp:extent cx="5266690" cy="7022465"/>
            <wp:effectExtent l="0" t="0" r="10160" b="6985"/>
            <wp:docPr id="1" name="图片 1" descr="f15803af099840f86340951dcdbe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5803af099840f86340951dcdbe491"/>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r>
        <w:rPr>
          <w:rFonts w:hint="eastAsia" w:eastAsia="宋体"/>
          <w:lang w:eastAsia="zh-CN"/>
        </w:rPr>
        <w:drawing>
          <wp:inline distT="0" distB="0" distL="114300" distR="114300">
            <wp:extent cx="5266690" cy="7022465"/>
            <wp:effectExtent l="0" t="0" r="10160" b="6985"/>
            <wp:docPr id="2" name="图片 2" descr="80a34edd0e65d13692a9326d22566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a34edd0e65d13692a9326d22566af"/>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17DFB"/>
    <w:multiLevelType w:val="singleLevel"/>
    <w:tmpl w:val="B6517DFB"/>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30E23"/>
    <w:rsid w:val="6D23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2020-04-08T02:23:00Z</dcterms:created>
  <dc:creator>X!!!</dc:creator>
  <cp:lastModifiedBy>X!!!</cp:lastModifiedBy>
  <dcterms:modified xsi:type="dcterms:W3CDTF">2020-04-08T02:29:56Z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