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  <w:lang w:eastAsia="zh-CN"/>
        </w:rPr>
        <w:t>采购</w:t>
      </w:r>
      <w:bookmarkStart w:id="16" w:name="_GoBack"/>
      <w:bookmarkEnd w:id="16"/>
      <w:r>
        <w:rPr>
          <w:rFonts w:hint="eastAsia" w:ascii="宋体" w:hAnsi="宋体" w:cs="宋体"/>
          <w:b/>
          <w:sz w:val="44"/>
          <w:szCs w:val="44"/>
        </w:rPr>
        <w:t>需求书</w:t>
      </w:r>
    </w:p>
    <w:p>
      <w:pPr>
        <w:adjustRightInd w:val="0"/>
        <w:snapToGrid w:val="0"/>
        <w:spacing w:before="156" w:beforeLines="50" w:after="156" w:afterLines="50"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  <w:lang w:val="en-GB"/>
        </w:rPr>
        <w:t>一、</w:t>
      </w:r>
      <w:r>
        <w:rPr>
          <w:rFonts w:hint="eastAsia" w:ascii="宋体" w:hAnsi="宋体" w:cs="宋体"/>
          <w:b/>
          <w:bCs/>
          <w:sz w:val="28"/>
          <w:szCs w:val="28"/>
        </w:rPr>
        <w:t>项目概况</w:t>
      </w:r>
      <w:bookmarkStart w:id="0" w:name="_Toc217720612"/>
      <w:bookmarkStart w:id="1" w:name="_Toc275871428"/>
      <w:bookmarkStart w:id="2" w:name="_Toc236480760"/>
      <w:bookmarkStart w:id="3" w:name="_Toc87515263"/>
      <w:bookmarkStart w:id="4" w:name="_Toc275770740"/>
      <w:bookmarkStart w:id="5" w:name="_Toc275954507"/>
      <w:bookmarkStart w:id="6" w:name="_Toc275871493"/>
      <w:bookmarkStart w:id="7" w:name="_Toc212530287"/>
      <w:bookmarkStart w:id="8" w:name="_Toc212454786"/>
      <w:bookmarkStart w:id="9" w:name="_Toc236480817"/>
      <w:bookmarkStart w:id="10" w:name="_Toc212456179"/>
      <w:bookmarkStart w:id="11" w:name="_Toc212526115"/>
      <w:bookmarkStart w:id="12" w:name="_Toc236131359"/>
      <w:bookmarkStart w:id="13" w:name="_Toc236131294"/>
      <w:bookmarkStart w:id="14" w:name="_Toc216833740"/>
      <w:bookmarkStart w:id="15" w:name="_Toc217720115"/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1、项目名称：</w:t>
      </w:r>
      <w:r>
        <w:rPr>
          <w:rFonts w:hint="eastAsia" w:ascii="宋体" w:hAnsi="宋体" w:cs="宋体"/>
          <w:color w:val="000000"/>
          <w:sz w:val="24"/>
          <w:lang w:eastAsia="zh-CN"/>
        </w:rPr>
        <w:t>耕地保护管理</w:t>
      </w:r>
      <w:r>
        <w:rPr>
          <w:rFonts w:hint="eastAsia" w:ascii="宋体" w:hAnsi="宋体" w:cs="宋体"/>
          <w:color w:val="000000"/>
          <w:sz w:val="24"/>
        </w:rPr>
        <w:t>。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rPr>
          <w:rFonts w:ascii="宋体" w:hAnsi="宋体" w:cs="宋体"/>
          <w:kern w:val="0"/>
          <w:sz w:val="24"/>
          <w:lang w:val="en-GB"/>
        </w:rPr>
      </w:pPr>
      <w:r>
        <w:rPr>
          <w:rFonts w:hint="eastAsia" w:ascii="宋体" w:hAnsi="宋体" w:cs="宋体"/>
          <w:sz w:val="24"/>
        </w:rPr>
        <w:t>2、项目预算：</w:t>
      </w:r>
      <w:r>
        <w:rPr>
          <w:rFonts w:hint="eastAsia" w:ascii="宋体" w:hAnsi="宋体" w:cs="宋体"/>
          <w:kern w:val="0"/>
          <w:sz w:val="24"/>
          <w:lang w:val="en-GB"/>
        </w:rPr>
        <w:t>人民币</w:t>
      </w:r>
      <w:r>
        <w:rPr>
          <w:rFonts w:hint="eastAsia" w:ascii="宋体" w:hAnsi="宋体" w:cs="宋体"/>
          <w:kern w:val="0"/>
          <w:sz w:val="24"/>
          <w:lang w:val="en-US" w:eastAsia="zh-CN"/>
        </w:rPr>
        <w:t>227.52</w:t>
      </w:r>
      <w:r>
        <w:rPr>
          <w:rFonts w:hint="eastAsia" w:ascii="宋体" w:hAnsi="宋体" w:cs="宋体"/>
          <w:kern w:val="0"/>
          <w:sz w:val="24"/>
          <w:lang w:val="en-GB"/>
        </w:rPr>
        <w:t>万元。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>
      <w:pPr>
        <w:adjustRightInd w:val="0"/>
        <w:snapToGrid w:val="0"/>
        <w:spacing w:before="156" w:beforeLines="50" w:after="156" w:afterLines="50" w:line="360" w:lineRule="auto"/>
        <w:rPr>
          <w:rFonts w:hint="eastAsia" w:ascii="宋体" w:hAnsi="宋体" w:cs="宋体"/>
          <w:b/>
          <w:color w:val="000000"/>
          <w:sz w:val="28"/>
          <w:szCs w:val="28"/>
          <w:lang w:val="en-GB"/>
        </w:rPr>
      </w:pPr>
      <w:r>
        <w:rPr>
          <w:rFonts w:hint="eastAsia" w:ascii="宋体" w:hAnsi="宋体" w:cs="宋体"/>
          <w:b/>
          <w:color w:val="000000"/>
          <w:sz w:val="28"/>
          <w:szCs w:val="28"/>
          <w:lang w:val="en-GB"/>
        </w:rPr>
        <w:t>二、项目服务要求</w:t>
      </w:r>
    </w:p>
    <w:p>
      <w:pPr>
        <w:adjustRightInd w:val="0"/>
        <w:snapToGrid w:val="0"/>
        <w:spacing w:before="156" w:beforeLines="50" w:after="156" w:afterLines="50" w:line="240" w:lineRule="auto"/>
        <w:rPr>
          <w:rFonts w:hint="eastAsia" w:ascii="宋体" w:hAnsi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（一）海南省储备补充耕地核实整改和备案工作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1、完成自然资源部关于储备补充耕地项目核查工作，并生成报告；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2、按照计划阶段、实施阶段和验收阶段，将全省补充耕地和提质改造项目信息备案，及时录入耕地占补平衡动态监管系统（农村土地整治监测监管系统），并建立规范的项目资料档案；</w:t>
      </w:r>
    </w:p>
    <w:p>
      <w:pPr>
        <w:spacing w:line="360" w:lineRule="auto"/>
        <w:ind w:firstLine="480" w:firstLineChars="200"/>
        <w:rPr>
          <w:rFonts w:hint="default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3、形成海南省补充耕地项目新增耕地认定和复核工作方案。</w:t>
      </w:r>
    </w:p>
    <w:p>
      <w:pPr>
        <w:adjustRightInd w:val="0"/>
        <w:snapToGrid w:val="0"/>
        <w:spacing w:before="156" w:beforeLines="50" w:after="156" w:afterLines="50" w:line="240" w:lineRule="auto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（二）海南省永久基本农田相关技术服务及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2019年耕地质量等别核查汇总工作</w:t>
      </w:r>
    </w:p>
    <w:p>
      <w:pPr>
        <w:spacing w:line="360" w:lineRule="auto"/>
        <w:ind w:firstLine="480" w:firstLineChars="200"/>
        <w:rPr>
          <w:rFonts w:hint="default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1、将整改补划方案和永久基本农田数据库汇交两部；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2、省级整改补划工作报告、表格、图件、数据库；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3、粮食安全省长责任制、耕地保护考核工作相关报告代拟稿；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4、针对审计督查提出的基本农田有关问题进行整改落实；</w:t>
      </w:r>
    </w:p>
    <w:p>
      <w:pPr>
        <w:spacing w:line="360" w:lineRule="auto"/>
        <w:ind w:firstLine="480" w:firstLineChars="200"/>
        <w:rPr>
          <w:rFonts w:hint="default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5、海南省2019年更新评价分析报告、表格、图件、数据库。</w:t>
      </w:r>
    </w:p>
    <w:p>
      <w:pPr>
        <w:spacing w:before="156" w:beforeLines="50" w:after="156" w:afterLines="50" w:line="440" w:lineRule="exact"/>
        <w:outlineLvl w:val="1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</w:t>
      </w:r>
      <w:r>
        <w:rPr>
          <w:rFonts w:hint="eastAsia" w:ascii="宋体" w:hAnsi="宋体" w:cs="宋体"/>
          <w:b/>
          <w:sz w:val="28"/>
          <w:szCs w:val="28"/>
        </w:rPr>
        <w:t>其他要求：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1、服务期限：合同签订生效之日起</w:t>
      </w:r>
      <w:r>
        <w:rPr>
          <w:rFonts w:hint="eastAsia" w:ascii="宋体" w:hAnsi="宋体" w:cs="宋体"/>
          <w:color w:val="000000"/>
          <w:sz w:val="24"/>
          <w:lang w:eastAsia="zh-CN"/>
        </w:rPr>
        <w:t>至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2020年12月31日</w:t>
      </w:r>
      <w:r>
        <w:rPr>
          <w:rFonts w:hint="eastAsia" w:ascii="宋体" w:hAnsi="宋体" w:cs="宋体"/>
          <w:sz w:val="24"/>
        </w:rPr>
        <w:t>。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2、交付地点：用户指定地点。 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3、付款条件：采购双方签订合同时另行约定。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FF000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D0535"/>
    <w:rsid w:val="2B526CC9"/>
    <w:rsid w:val="3B9D0535"/>
    <w:rsid w:val="3CCA0550"/>
    <w:rsid w:val="62BB244E"/>
    <w:rsid w:val="75AB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2020-03-24T09:32:00Z</dcterms:created>
  <dc:creator>Administrator</dc:creator>
  <cp:lastModifiedBy>Administrator</cp:lastModifiedBy>
  <dcterms:modified xsi:type="dcterms:W3CDTF">2020-04-08T09:22:31Z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